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69DA7" w14:textId="77777777" w:rsidR="00754C9A" w:rsidRDefault="00754C9A" w:rsidP="00441B6F">
      <w:pPr>
        <w:pStyle w:val="Title"/>
        <w:spacing w:after="0"/>
        <w:jc w:val="both"/>
        <w:rPr>
          <w:rFonts w:ascii="Arial" w:hAnsi="Arial" w:cs="Arial"/>
        </w:rPr>
      </w:pPr>
    </w:p>
    <w:p w14:paraId="478AE323" w14:textId="77777777" w:rsidR="00400A1E" w:rsidRPr="00400A1E" w:rsidRDefault="00400A1E" w:rsidP="00400A1E">
      <w:pPr>
        <w:jc w:val="right"/>
        <w:rPr>
          <w:rFonts w:ascii="Arial" w:hAnsi="Arial" w:cs="Arial"/>
          <w:b/>
          <w:sz w:val="36"/>
        </w:rPr>
      </w:pPr>
      <w:r w:rsidRPr="00400A1E">
        <w:rPr>
          <w:rFonts w:ascii="Arial" w:hAnsi="Arial" w:cs="Arial"/>
          <w:b/>
          <w:sz w:val="36"/>
        </w:rPr>
        <w:t xml:space="preserve">The Use </w:t>
      </w:r>
      <w:r w:rsidR="00C520C4">
        <w:rPr>
          <w:rFonts w:ascii="Arial" w:hAnsi="Arial" w:cs="Arial"/>
          <w:b/>
          <w:sz w:val="36"/>
        </w:rPr>
        <w:t>o</w:t>
      </w:r>
      <w:r w:rsidRPr="00400A1E">
        <w:rPr>
          <w:rFonts w:ascii="Arial" w:hAnsi="Arial" w:cs="Arial"/>
          <w:b/>
          <w:sz w:val="36"/>
        </w:rPr>
        <w:t>f Project L</w:t>
      </w:r>
      <w:r w:rsidR="00B903ED">
        <w:rPr>
          <w:rFonts w:ascii="Arial" w:hAnsi="Arial" w:cs="Arial"/>
          <w:b/>
          <w:sz w:val="36"/>
        </w:rPr>
        <w:t>EAP</w:t>
      </w:r>
      <w:r w:rsidR="00C520C4">
        <w:rPr>
          <w:rFonts w:ascii="Arial" w:hAnsi="Arial" w:cs="Arial"/>
          <w:b/>
          <w:sz w:val="36"/>
        </w:rPr>
        <w:t xml:space="preserve"> </w:t>
      </w:r>
      <w:r w:rsidR="00B903ED">
        <w:rPr>
          <w:rFonts w:ascii="Arial" w:hAnsi="Arial" w:cs="Arial"/>
          <w:b/>
          <w:sz w:val="36"/>
        </w:rPr>
        <w:t>(Literacy Engagement and Advancement Program)</w:t>
      </w:r>
      <w:r w:rsidRPr="00400A1E">
        <w:rPr>
          <w:rFonts w:ascii="Arial" w:hAnsi="Arial" w:cs="Arial"/>
          <w:b/>
          <w:sz w:val="36"/>
        </w:rPr>
        <w:t xml:space="preserve"> </w:t>
      </w:r>
      <w:r w:rsidR="00C520C4">
        <w:rPr>
          <w:rFonts w:ascii="Arial" w:hAnsi="Arial" w:cs="Arial"/>
          <w:b/>
          <w:sz w:val="36"/>
        </w:rPr>
        <w:t>i</w:t>
      </w:r>
      <w:r w:rsidRPr="00400A1E">
        <w:rPr>
          <w:rFonts w:ascii="Arial" w:hAnsi="Arial" w:cs="Arial"/>
          <w:b/>
          <w:sz w:val="36"/>
        </w:rPr>
        <w:t xml:space="preserve">n Enhancing </w:t>
      </w:r>
      <w:r w:rsidR="00C520C4">
        <w:rPr>
          <w:rFonts w:ascii="Arial" w:hAnsi="Arial" w:cs="Arial"/>
          <w:b/>
          <w:sz w:val="36"/>
        </w:rPr>
        <w:t>t</w:t>
      </w:r>
      <w:r w:rsidRPr="00400A1E">
        <w:rPr>
          <w:rFonts w:ascii="Arial" w:hAnsi="Arial" w:cs="Arial"/>
          <w:b/>
          <w:sz w:val="36"/>
        </w:rPr>
        <w:t xml:space="preserve">he Reading Performance </w:t>
      </w:r>
      <w:r w:rsidR="00C520C4">
        <w:rPr>
          <w:rFonts w:ascii="Arial" w:hAnsi="Arial" w:cs="Arial"/>
          <w:b/>
          <w:sz w:val="36"/>
        </w:rPr>
        <w:t>o</w:t>
      </w:r>
      <w:r w:rsidRPr="00400A1E">
        <w:rPr>
          <w:rFonts w:ascii="Arial" w:hAnsi="Arial" w:cs="Arial"/>
          <w:b/>
          <w:sz w:val="36"/>
        </w:rPr>
        <w:t xml:space="preserve">f Learners </w:t>
      </w:r>
      <w:r w:rsidR="00C520C4">
        <w:rPr>
          <w:rFonts w:ascii="Arial" w:hAnsi="Arial" w:cs="Arial"/>
          <w:b/>
          <w:sz w:val="36"/>
        </w:rPr>
        <w:t>i</w:t>
      </w:r>
      <w:r w:rsidRPr="00400A1E">
        <w:rPr>
          <w:rFonts w:ascii="Arial" w:hAnsi="Arial" w:cs="Arial"/>
          <w:b/>
          <w:sz w:val="36"/>
        </w:rPr>
        <w:t xml:space="preserve">n </w:t>
      </w:r>
      <w:proofErr w:type="spellStart"/>
      <w:r w:rsidRPr="00400A1E">
        <w:rPr>
          <w:rFonts w:ascii="Arial" w:hAnsi="Arial" w:cs="Arial"/>
          <w:b/>
          <w:sz w:val="36"/>
        </w:rPr>
        <w:t>Kabugao</w:t>
      </w:r>
      <w:proofErr w:type="spellEnd"/>
      <w:r w:rsidRPr="00400A1E">
        <w:rPr>
          <w:rFonts w:ascii="Arial" w:hAnsi="Arial" w:cs="Arial"/>
          <w:b/>
          <w:sz w:val="36"/>
        </w:rPr>
        <w:t xml:space="preserve"> Central School</w:t>
      </w:r>
    </w:p>
    <w:p w14:paraId="36389CE4" w14:textId="77777777" w:rsidR="00400A1E" w:rsidRPr="00400A1E" w:rsidRDefault="00400A1E" w:rsidP="00400A1E">
      <w:pPr>
        <w:rPr>
          <w:rFonts w:ascii="Arial" w:hAnsi="Arial" w:cs="Arial"/>
          <w:b/>
        </w:rPr>
      </w:pPr>
    </w:p>
    <w:p w14:paraId="34E7B53D" w14:textId="77777777" w:rsidR="00A258C3" w:rsidRPr="00400A1E" w:rsidRDefault="00A258C3" w:rsidP="00441B6F">
      <w:pPr>
        <w:pStyle w:val="Author"/>
        <w:spacing w:line="240" w:lineRule="auto"/>
        <w:jc w:val="both"/>
        <w:rPr>
          <w:rFonts w:ascii="Arial" w:hAnsi="Arial" w:cs="Arial"/>
          <w:sz w:val="36"/>
        </w:rPr>
      </w:pPr>
    </w:p>
    <w:p w14:paraId="10C3A8D1" w14:textId="77777777" w:rsidR="00400A1E" w:rsidRDefault="00400A1E" w:rsidP="00441B6F">
      <w:pPr>
        <w:pStyle w:val="Affiliation"/>
        <w:spacing w:after="0" w:line="240" w:lineRule="auto"/>
        <w:rPr>
          <w:rFonts w:ascii="Arial" w:hAnsi="Arial" w:cs="Arial"/>
          <w:i/>
        </w:rPr>
      </w:pPr>
    </w:p>
    <w:p w14:paraId="3D30089B" w14:textId="77777777" w:rsidR="00400A1E" w:rsidRPr="00400A1E" w:rsidRDefault="00400A1E" w:rsidP="00441B6F">
      <w:pPr>
        <w:pStyle w:val="Affiliation"/>
        <w:spacing w:after="0" w:line="240" w:lineRule="auto"/>
        <w:rPr>
          <w:rFonts w:ascii="Arial" w:hAnsi="Arial" w:cs="Arial"/>
          <w:i/>
        </w:rPr>
      </w:pPr>
    </w:p>
    <w:p w14:paraId="76C7025D" w14:textId="77777777" w:rsidR="00B01FCD" w:rsidRPr="00FB3A86" w:rsidRDefault="00000000" w:rsidP="00441B6F">
      <w:pPr>
        <w:pStyle w:val="Copyright"/>
        <w:spacing w:after="0" w:line="240" w:lineRule="auto"/>
        <w:jc w:val="both"/>
        <w:rPr>
          <w:rFonts w:ascii="Arial" w:hAnsi="Arial" w:cs="Arial"/>
        </w:rPr>
        <w:sectPr w:rsidR="00B01FCD" w:rsidRPr="00FB3A86" w:rsidSect="00E329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2364CEC">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BB2A4BE"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F66E9B6" w14:textId="77777777" w:rsidR="00D7527B" w:rsidRPr="00FB3A86" w:rsidRDefault="00D7527B"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839AC26" w14:textId="77777777" w:rsidTr="001E44FE">
        <w:tc>
          <w:tcPr>
            <w:tcW w:w="9576" w:type="dxa"/>
            <w:shd w:val="clear" w:color="auto" w:fill="F2F2F2"/>
          </w:tcPr>
          <w:p w14:paraId="4A20B90B" w14:textId="77777777" w:rsidR="00E3114E" w:rsidRDefault="00E3114E" w:rsidP="00441B6F">
            <w:pPr>
              <w:pStyle w:val="Body"/>
              <w:spacing w:after="0"/>
              <w:rPr>
                <w:rFonts w:ascii="Arial" w:eastAsia="Calibri" w:hAnsi="Arial" w:cs="Arial"/>
                <w:szCs w:val="22"/>
              </w:rPr>
            </w:pPr>
          </w:p>
          <w:p w14:paraId="6467B13D" w14:textId="77777777" w:rsidR="00D7527B" w:rsidRPr="00D7527B" w:rsidRDefault="00D7527B" w:rsidP="00441B6F">
            <w:pPr>
              <w:pStyle w:val="Body"/>
              <w:spacing w:after="0"/>
              <w:rPr>
                <w:rFonts w:ascii="Arial" w:hAnsi="Arial" w:cs="Arial"/>
                <w:color w:val="080809"/>
                <w:sz w:val="22"/>
                <w:szCs w:val="22"/>
                <w:shd w:val="clear" w:color="auto" w:fill="F0F0F0"/>
              </w:rPr>
            </w:pPr>
            <w:r w:rsidRPr="00D7527B">
              <w:rPr>
                <w:rFonts w:ascii="Arial" w:hAnsi="Arial" w:cs="Arial"/>
                <w:color w:val="080809"/>
                <w:sz w:val="22"/>
                <w:szCs w:val="22"/>
                <w:shd w:val="clear" w:color="auto" w:fill="F0F0F0"/>
              </w:rPr>
              <w:t>This study aimed to evaluate the effectiveness of the L</w:t>
            </w:r>
            <w:r w:rsidR="00E2428D">
              <w:rPr>
                <w:rFonts w:ascii="Arial" w:hAnsi="Arial" w:cs="Arial"/>
                <w:color w:val="080809"/>
                <w:sz w:val="22"/>
                <w:szCs w:val="22"/>
                <w:shd w:val="clear" w:color="auto" w:fill="F0F0F0"/>
              </w:rPr>
              <w:t>iteracy</w:t>
            </w:r>
            <w:r w:rsidRPr="00D7527B">
              <w:rPr>
                <w:rFonts w:ascii="Arial" w:hAnsi="Arial" w:cs="Arial"/>
                <w:color w:val="080809"/>
                <w:sz w:val="22"/>
                <w:szCs w:val="22"/>
                <w:shd w:val="clear" w:color="auto" w:fill="F0F0F0"/>
              </w:rPr>
              <w:t xml:space="preserve"> Engagement and Advancement Progr</w:t>
            </w:r>
            <w:r w:rsidR="00C520C4">
              <w:rPr>
                <w:rFonts w:ascii="Arial" w:hAnsi="Arial" w:cs="Arial"/>
                <w:color w:val="080809"/>
                <w:sz w:val="22"/>
                <w:szCs w:val="22"/>
                <w:shd w:val="clear" w:color="auto" w:fill="F0F0F0"/>
              </w:rPr>
              <w:t>am</w:t>
            </w:r>
            <w:r w:rsidR="001E4947">
              <w:rPr>
                <w:rFonts w:ascii="Arial" w:hAnsi="Arial" w:cs="Arial"/>
                <w:color w:val="080809"/>
                <w:sz w:val="22"/>
                <w:szCs w:val="22"/>
                <w:shd w:val="clear" w:color="auto" w:fill="F0F0F0"/>
              </w:rPr>
              <w:t xml:space="preserve"> </w:t>
            </w:r>
            <w:r w:rsidRPr="00D7527B">
              <w:rPr>
                <w:rFonts w:ascii="Arial" w:hAnsi="Arial" w:cs="Arial"/>
                <w:color w:val="080809"/>
                <w:sz w:val="22"/>
                <w:szCs w:val="22"/>
                <w:shd w:val="clear" w:color="auto" w:fill="F0F0F0"/>
              </w:rPr>
              <w:t xml:space="preserve">(LEAP) project in enhancing the reading performance of struggling learners in Grades IV to VI at Kabugao Central School during the school year 2024–2025. Specifically, it assessed learners' reading levels before and after the intervention, determined statistical significance in performance gains, and gathered participants' insights and challenges regarding the program’s implementation. A mixed-methods approach was adopted, utilizing a one-group pretest-posttest quasi-experimental design for quantitative analysis and Thematic Analysis for qualitative data. The study was conducted at </w:t>
            </w:r>
            <w:proofErr w:type="spellStart"/>
            <w:r w:rsidRPr="00D7527B">
              <w:rPr>
                <w:rFonts w:ascii="Arial" w:hAnsi="Arial" w:cs="Arial"/>
                <w:color w:val="080809"/>
                <w:sz w:val="22"/>
                <w:szCs w:val="22"/>
                <w:shd w:val="clear" w:color="auto" w:fill="F0F0F0"/>
              </w:rPr>
              <w:t>Kabugao</w:t>
            </w:r>
            <w:proofErr w:type="spellEnd"/>
            <w:r w:rsidRPr="00D7527B">
              <w:rPr>
                <w:rFonts w:ascii="Arial" w:hAnsi="Arial" w:cs="Arial"/>
                <w:color w:val="080809"/>
                <w:sz w:val="22"/>
                <w:szCs w:val="22"/>
                <w:shd w:val="clear" w:color="auto" w:fill="F0F0F0"/>
              </w:rPr>
              <w:t xml:space="preserve"> Central School, </w:t>
            </w:r>
            <w:proofErr w:type="spellStart"/>
            <w:r w:rsidRPr="00D7527B">
              <w:rPr>
                <w:rFonts w:ascii="Arial" w:hAnsi="Arial" w:cs="Arial"/>
                <w:color w:val="080809"/>
                <w:sz w:val="22"/>
                <w:szCs w:val="22"/>
                <w:shd w:val="clear" w:color="auto" w:fill="F0F0F0"/>
              </w:rPr>
              <w:t>Kabugao</w:t>
            </w:r>
            <w:proofErr w:type="spellEnd"/>
            <w:r w:rsidRPr="00D7527B">
              <w:rPr>
                <w:rFonts w:ascii="Arial" w:hAnsi="Arial" w:cs="Arial"/>
                <w:color w:val="080809"/>
                <w:sz w:val="22"/>
                <w:szCs w:val="22"/>
                <w:shd w:val="clear" w:color="auto" w:fill="F0F0F0"/>
              </w:rPr>
              <w:t>, Apayao, from June 2024 to December 2024. Methodology: Thirty-two learners identified as “frustration level” readers based on the Philippine Informal Reading Inventory (Phil-IRI) were purposively selected. The LEAP intervention, aligned with the DepEd’s ECARP/</w:t>
            </w:r>
            <w:proofErr w:type="spellStart"/>
            <w:r w:rsidRPr="00D7527B">
              <w:rPr>
                <w:rFonts w:ascii="Arial" w:hAnsi="Arial" w:cs="Arial"/>
                <w:color w:val="080809"/>
                <w:sz w:val="22"/>
                <w:szCs w:val="22"/>
                <w:shd w:val="clear" w:color="auto" w:fill="F0F0F0"/>
              </w:rPr>
              <w:t>Bawat</w:t>
            </w:r>
            <w:proofErr w:type="spellEnd"/>
            <w:r w:rsidRPr="00D7527B">
              <w:rPr>
                <w:rFonts w:ascii="Arial" w:hAnsi="Arial" w:cs="Arial"/>
                <w:color w:val="080809"/>
                <w:sz w:val="22"/>
                <w:szCs w:val="22"/>
                <w:shd w:val="clear" w:color="auto" w:fill="F0F0F0"/>
              </w:rPr>
              <w:t xml:space="preserve"> Bata </w:t>
            </w:r>
            <w:proofErr w:type="spellStart"/>
            <w:r w:rsidRPr="00D7527B">
              <w:rPr>
                <w:rFonts w:ascii="Arial" w:hAnsi="Arial" w:cs="Arial"/>
                <w:color w:val="080809"/>
                <w:sz w:val="22"/>
                <w:szCs w:val="22"/>
                <w:shd w:val="clear" w:color="auto" w:fill="F0F0F0"/>
              </w:rPr>
              <w:t>Bumabasa</w:t>
            </w:r>
            <w:proofErr w:type="spellEnd"/>
            <w:r w:rsidRPr="00D7527B">
              <w:rPr>
                <w:rFonts w:ascii="Arial" w:hAnsi="Arial" w:cs="Arial"/>
                <w:color w:val="080809"/>
                <w:sz w:val="22"/>
                <w:szCs w:val="22"/>
                <w:shd w:val="clear" w:color="auto" w:fill="F0F0F0"/>
              </w:rPr>
              <w:t xml:space="preserve"> guidelines, was implemented over a defined period. Pretest and posttest assessments were administered using LEAP-provided tools. Quantitative data were analyzed using mean, standard deviation, and paired sample t-test, while qualitative responses were coded and thematically analyzed. Pretest scores revealed a mean percentage score (MPS) of 77.63, indicating an “Improving” level of reading performance. Posttest results showed a significant increase to an MPS of 93.59, classified as “Improved,” with all learners reaching full proficiency. Statistical analysis yielded a t-value of -14.30 and a p-value of &lt;0.001, confirming the difference as highly significant. Thematic findings highlighted increased learner motivation, improved reading fluency, and enhanced classroom participation. Challenges included limited resources and initial adaptation issues. Project LEAP significantly enhanced the reading performance of struggling learners. Its structured and engaging approach effectively promoted fluency and comprehension. Continued implementation and potential expansion of the program are recommended to sustain literacy gains. </w:t>
            </w:r>
          </w:p>
          <w:p w14:paraId="79074D9E" w14:textId="77777777" w:rsidR="00505F06" w:rsidRPr="00BA1B01" w:rsidRDefault="00505F06" w:rsidP="00441B6F">
            <w:pPr>
              <w:pStyle w:val="Body"/>
              <w:spacing w:after="0"/>
              <w:rPr>
                <w:rFonts w:ascii="Arial" w:eastAsia="Calibri" w:hAnsi="Arial" w:cs="Arial"/>
                <w:szCs w:val="22"/>
              </w:rPr>
            </w:pPr>
          </w:p>
        </w:tc>
      </w:tr>
    </w:tbl>
    <w:p w14:paraId="478DEA1F" w14:textId="77777777" w:rsidR="00636EB2" w:rsidRDefault="00636EB2" w:rsidP="00441B6F">
      <w:pPr>
        <w:pStyle w:val="Body"/>
        <w:spacing w:after="0"/>
        <w:rPr>
          <w:rFonts w:ascii="Arial" w:hAnsi="Arial" w:cs="Arial"/>
          <w:i/>
        </w:rPr>
      </w:pPr>
    </w:p>
    <w:p w14:paraId="2A5B8992" w14:textId="77777777" w:rsidR="00A24E7E" w:rsidRPr="00D7527B" w:rsidRDefault="00A24E7E" w:rsidP="00441B6F">
      <w:pPr>
        <w:pStyle w:val="Body"/>
        <w:spacing w:after="0"/>
        <w:rPr>
          <w:rFonts w:ascii="Arial" w:hAnsi="Arial" w:cs="Arial"/>
          <w:i/>
        </w:rPr>
      </w:pPr>
      <w:r>
        <w:rPr>
          <w:rFonts w:ascii="Arial" w:hAnsi="Arial" w:cs="Arial"/>
          <w:i/>
        </w:rPr>
        <w:t>Keywords</w:t>
      </w:r>
      <w:r w:rsidR="00D7527B">
        <w:rPr>
          <w:rFonts w:ascii="Arial" w:hAnsi="Arial" w:cs="Arial"/>
          <w:i/>
        </w:rPr>
        <w:t>:</w:t>
      </w:r>
      <w:r w:rsidR="00D7527B" w:rsidRPr="00D7527B">
        <w:rPr>
          <w:rFonts w:ascii="Segoe UI Historic" w:hAnsi="Segoe UI Historic" w:cs="Segoe UI Historic"/>
          <w:color w:val="080809"/>
          <w:sz w:val="23"/>
          <w:szCs w:val="23"/>
          <w:shd w:val="clear" w:color="auto" w:fill="F0F0F0"/>
        </w:rPr>
        <w:t xml:space="preserve"> </w:t>
      </w:r>
      <w:r w:rsidR="00304BE3">
        <w:rPr>
          <w:rFonts w:ascii="Segoe UI Historic" w:hAnsi="Segoe UI Historic" w:cs="Segoe UI Historic"/>
          <w:i/>
          <w:color w:val="080809"/>
          <w:sz w:val="23"/>
          <w:szCs w:val="23"/>
          <w:shd w:val="clear" w:color="auto" w:fill="F0F0F0"/>
        </w:rPr>
        <w:t>r</w:t>
      </w:r>
      <w:r w:rsidR="00D7527B" w:rsidRPr="00D7527B">
        <w:rPr>
          <w:rFonts w:ascii="Arial" w:hAnsi="Arial" w:cs="Arial"/>
          <w:i/>
          <w:color w:val="080809"/>
          <w:shd w:val="clear" w:color="auto" w:fill="F0F0F0"/>
        </w:rPr>
        <w:t>eading engagement, Project LEAP, learner performance, literacy intervention, pretest-posttest, elementary education, mixed-methods</w:t>
      </w:r>
    </w:p>
    <w:p w14:paraId="15B11A81" w14:textId="77777777" w:rsidR="0024282C" w:rsidRDefault="0024282C" w:rsidP="00441B6F">
      <w:pPr>
        <w:pStyle w:val="Body"/>
        <w:spacing w:after="0"/>
        <w:rPr>
          <w:rFonts w:ascii="Arial" w:hAnsi="Arial" w:cs="Arial"/>
          <w:i/>
          <w:sz w:val="18"/>
        </w:rPr>
      </w:pPr>
    </w:p>
    <w:p w14:paraId="4652953D" w14:textId="77777777" w:rsidR="00505F06" w:rsidRPr="00A24E7E" w:rsidRDefault="00505F06" w:rsidP="00441B6F">
      <w:pPr>
        <w:pStyle w:val="Body"/>
        <w:spacing w:after="0"/>
        <w:rPr>
          <w:rFonts w:ascii="Arial" w:hAnsi="Arial" w:cs="Arial"/>
          <w:i/>
        </w:rPr>
      </w:pPr>
    </w:p>
    <w:p w14:paraId="69341ED9"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F9054EF" w14:textId="77777777" w:rsidR="00EF0EEF" w:rsidRPr="00EF0EEF" w:rsidRDefault="001E4947" w:rsidP="00EF0EEF">
      <w:pPr>
        <w:pStyle w:val="Body"/>
        <w:rPr>
          <w:rFonts w:ascii="Arial" w:hAnsi="Arial" w:cs="Arial"/>
        </w:rPr>
      </w:pPr>
      <w:bookmarkStart w:id="0" w:name="_Hlk198809213"/>
      <w:r>
        <w:rPr>
          <w:rFonts w:ascii="Arial" w:hAnsi="Arial" w:cs="Arial"/>
        </w:rPr>
        <w:tab/>
      </w:r>
      <w:r w:rsidR="00EF0EEF" w:rsidRPr="00EF0EEF">
        <w:rPr>
          <w:rFonts w:ascii="Arial" w:hAnsi="Arial" w:cs="Arial"/>
        </w:rPr>
        <w:t xml:space="preserve">In an increasingly digital and interconnected world, the ability to read effectively and engage with the text is more crucial than ever. Reading engagement, defined as the level of interest and involvement a learner exhibits while </w:t>
      </w:r>
      <w:r w:rsidR="00EF0EEF" w:rsidRPr="00EF0EEF">
        <w:rPr>
          <w:rFonts w:ascii="Arial" w:hAnsi="Arial" w:cs="Arial"/>
        </w:rPr>
        <w:lastRenderedPageBreak/>
        <w:t>interacting with written material, plays a pivotal role in academic success and lifelong learning. The multifaceted relationship between reading engagement and learning Engagement, particularly within the context of assessment practices in educational setting.</w:t>
      </w:r>
    </w:p>
    <w:p w14:paraId="2F171018" w14:textId="77777777" w:rsidR="00EF0EEF" w:rsidRPr="00EF0EEF" w:rsidRDefault="001E4947" w:rsidP="00EF0EEF">
      <w:pPr>
        <w:pStyle w:val="Body"/>
        <w:rPr>
          <w:rFonts w:ascii="Arial" w:hAnsi="Arial" w:cs="Arial"/>
        </w:rPr>
      </w:pPr>
      <w:r>
        <w:rPr>
          <w:rFonts w:ascii="Arial" w:hAnsi="Arial" w:cs="Arial"/>
        </w:rPr>
        <w:tab/>
      </w:r>
      <w:r w:rsidR="00EF0EEF" w:rsidRPr="00EF0EEF">
        <w:rPr>
          <w:rFonts w:ascii="Arial" w:hAnsi="Arial" w:cs="Arial"/>
        </w:rPr>
        <w:t xml:space="preserve">The significance of reading engagement extends beyond mere comprehension; it encompasses emotional, cognitive, and behavioral dimensions that collectively influences learners’ overall academic performance. As educators strive to create more dynamic and inclusive learning environment, understanding in the factors that foster reading engagement becomes essential. Within a given school at a given time, some learners are intent </w:t>
      </w:r>
      <w:proofErr w:type="spellStart"/>
      <w:r w:rsidR="00EF0EEF" w:rsidRPr="00EF0EEF">
        <w:rPr>
          <w:rFonts w:ascii="Arial" w:hAnsi="Arial" w:cs="Arial"/>
        </w:rPr>
        <w:t>t</w:t>
      </w:r>
      <w:proofErr w:type="spellEnd"/>
      <w:r w:rsidR="00EF0EEF" w:rsidRPr="00EF0EEF">
        <w:rPr>
          <w:rFonts w:ascii="Arial" w:hAnsi="Arial" w:cs="Arial"/>
        </w:rPr>
        <w:t xml:space="preserve"> reading and writing to understand. They focus on text meaning and avoid distractions. These engaged readers exchange ideas and interpretation of the text with peers. Their devotion to reading spans across time, transfers to variety of genre, and culminates in valued learning outcomes. In contrast, disengaged readers are inactive and inert. They tend to avoid reading and minimize effort. Rarely do they enjoy reading and its consequences, with a particular focus on how children’s motivation contributes to engagement. We also discuss how various instructional processes can facilitate reading engagement and assessment </w:t>
      </w:r>
      <w:bookmarkStart w:id="1" w:name="_Hlk198810648"/>
      <w:r w:rsidR="00EF0EEF">
        <w:rPr>
          <w:rFonts w:ascii="Arial" w:hAnsi="Arial" w:cs="Arial"/>
        </w:rPr>
        <w:t>(</w:t>
      </w:r>
      <w:r w:rsidR="00EF0EEF">
        <w:t>Au,1997)</w:t>
      </w:r>
      <w:bookmarkEnd w:id="1"/>
      <w:r w:rsidR="00EF0EEF" w:rsidRPr="00EF0EEF">
        <w:rPr>
          <w:rFonts w:ascii="Arial" w:hAnsi="Arial" w:cs="Arial"/>
        </w:rPr>
        <w:t>.</w:t>
      </w:r>
    </w:p>
    <w:p w14:paraId="22D13632" w14:textId="77777777" w:rsidR="00EF0EEF" w:rsidRPr="00EF0EEF" w:rsidRDefault="00EF0EEF" w:rsidP="00EF0EEF">
      <w:pPr>
        <w:pStyle w:val="Body"/>
        <w:rPr>
          <w:rFonts w:ascii="Arial" w:hAnsi="Arial" w:cs="Arial"/>
        </w:rPr>
      </w:pPr>
      <w:r w:rsidRPr="00EF0EEF">
        <w:rPr>
          <w:rFonts w:ascii="Arial" w:hAnsi="Arial" w:cs="Arial"/>
        </w:rPr>
        <w:t xml:space="preserve">   </w:t>
      </w:r>
      <w:r w:rsidR="001E4947">
        <w:rPr>
          <w:rFonts w:ascii="Arial" w:hAnsi="Arial" w:cs="Arial"/>
        </w:rPr>
        <w:tab/>
      </w:r>
      <w:r w:rsidRPr="00EF0EEF">
        <w:rPr>
          <w:rFonts w:ascii="Arial" w:hAnsi="Arial" w:cs="Arial"/>
        </w:rPr>
        <w:t xml:space="preserve"> Researchers have referred to different aspects of engaged reading. In her work on literacy, Au (1997) referred to children’s ownership of their sense of self-confidence and command of reading and writing. These are related engagement. Dahl (1994) and Turner (1995) portrayed students’ intrinsic motivation, referring to their enjoyment in reading for its own sake, which is essential to engage reading. Likewise, Csikszentmihalyi (1991) described engaged reading as a state of total absorption or “flow”. Quite often, researchers describe learners as “engaged” based on their on-task behavior, which is also relevant (Berliner &amp; Biddle, 1995; Tobin, 1984)</w:t>
      </w:r>
      <w:r>
        <w:rPr>
          <w:rFonts w:ascii="Arial" w:hAnsi="Arial" w:cs="Arial"/>
        </w:rPr>
        <w:t xml:space="preserve"> (</w:t>
      </w:r>
      <w:r>
        <w:t>Cambourne, B. (1995)</w:t>
      </w:r>
      <w:r w:rsidRPr="00EF0EEF">
        <w:rPr>
          <w:rFonts w:ascii="Arial" w:hAnsi="Arial" w:cs="Arial"/>
        </w:rPr>
        <w:t xml:space="preserve">. The viewpoints just discussed focus on certain assessment aspects of engagement. Other authors provide more comprehensive views. </w:t>
      </w:r>
      <w:proofErr w:type="spellStart"/>
      <w:r w:rsidRPr="00EF0EEF">
        <w:rPr>
          <w:rFonts w:ascii="Arial" w:hAnsi="Arial" w:cs="Arial"/>
        </w:rPr>
        <w:t>Combourne</w:t>
      </w:r>
      <w:proofErr w:type="spellEnd"/>
      <w:r w:rsidRPr="00EF0EEF">
        <w:rPr>
          <w:rFonts w:ascii="Arial" w:hAnsi="Arial" w:cs="Arial"/>
        </w:rPr>
        <w:t xml:space="preserve"> (1995) referred to engagement in literacy as merger of multiple qualities. He argued that engagement entails holding a purpose, seeking to understand, believing in one’s own capability, and taking responsibility for learning </w:t>
      </w:r>
      <w:r w:rsidR="00EF197E">
        <w:rPr>
          <w:rFonts w:ascii="Arial" w:hAnsi="Arial" w:cs="Arial"/>
        </w:rPr>
        <w:t>(</w:t>
      </w:r>
      <w:r>
        <w:t xml:space="preserve">Guthrie, et. </w:t>
      </w:r>
      <w:r w:rsidR="001F0662">
        <w:t>a</w:t>
      </w:r>
      <w:r>
        <w:t>l</w:t>
      </w:r>
      <w:r w:rsidR="001F0662">
        <w:t>,</w:t>
      </w:r>
      <w:r w:rsidR="00EF197E">
        <w:t xml:space="preserve"> </w:t>
      </w:r>
      <w:proofErr w:type="gramStart"/>
      <w:r w:rsidR="00EF197E">
        <w:t>2004</w:t>
      </w:r>
      <w:r>
        <w:t xml:space="preserve"> </w:t>
      </w:r>
      <w:r w:rsidR="001F0662">
        <w:rPr>
          <w:rFonts w:ascii="Arial" w:hAnsi="Arial" w:cs="Arial"/>
        </w:rPr>
        <w:t>)</w:t>
      </w:r>
      <w:proofErr w:type="gramEnd"/>
      <w:r w:rsidRPr="00EF0EEF">
        <w:rPr>
          <w:rFonts w:ascii="Arial" w:hAnsi="Arial" w:cs="Arial"/>
        </w:rPr>
        <w:t xml:space="preserve">. </w:t>
      </w:r>
      <w:r w:rsidR="001E4947">
        <w:rPr>
          <w:rFonts w:ascii="Arial" w:hAnsi="Arial" w:cs="Arial"/>
        </w:rPr>
        <w:t>(</w:t>
      </w:r>
      <w:r w:rsidRPr="00EF0EEF">
        <w:rPr>
          <w:rFonts w:ascii="Arial" w:hAnsi="Arial" w:cs="Arial"/>
        </w:rPr>
        <w:t xml:space="preserve">Guthrie, </w:t>
      </w:r>
      <w:r w:rsidR="001E4947">
        <w:rPr>
          <w:rFonts w:ascii="Arial" w:hAnsi="Arial" w:cs="Arial"/>
        </w:rPr>
        <w:t xml:space="preserve">et. al, </w:t>
      </w:r>
      <w:r w:rsidRPr="00EF0EEF">
        <w:rPr>
          <w:rFonts w:ascii="Arial" w:hAnsi="Arial" w:cs="Arial"/>
        </w:rPr>
        <w:t xml:space="preserve">1996) described engaged readers as motivated to read for a variety of personal goal, strategic in using multiple approaches to comprehend, Knowledgeable in their construction of new understanding from text, and socially interactive in their approach to literacy. Despite their wide range of terminology, these investigators concur that readers are decision makers whose affects as well as their Language and cognition play a role in reading management and </w:t>
      </w:r>
      <w:r w:rsidR="00EF197E" w:rsidRPr="00EF0EEF">
        <w:rPr>
          <w:rFonts w:ascii="Arial" w:hAnsi="Arial" w:cs="Arial"/>
        </w:rPr>
        <w:t>assessment</w:t>
      </w:r>
      <w:r w:rsidR="00EF197E">
        <w:rPr>
          <w:rFonts w:ascii="Arial" w:hAnsi="Arial" w:cs="Arial"/>
        </w:rPr>
        <w:t>. (</w:t>
      </w:r>
      <w:r w:rsidR="00EF197E">
        <w:t>Almasi,1996) As</w:t>
      </w:r>
      <w:r w:rsidRPr="00EF0EEF">
        <w:rPr>
          <w:rFonts w:ascii="Arial" w:hAnsi="Arial" w:cs="Arial"/>
        </w:rPr>
        <w:t xml:space="preserve"> </w:t>
      </w:r>
      <w:r w:rsidR="00693FC9">
        <w:rPr>
          <w:rFonts w:ascii="Arial" w:hAnsi="Arial" w:cs="Arial"/>
        </w:rPr>
        <w:t>(</w:t>
      </w:r>
      <w:r w:rsidRPr="00EF0EEF">
        <w:rPr>
          <w:rFonts w:ascii="Arial" w:hAnsi="Arial" w:cs="Arial"/>
        </w:rPr>
        <w:t>Gutherie et al</w:t>
      </w:r>
      <w:r w:rsidR="001F0662">
        <w:rPr>
          <w:rFonts w:ascii="Arial" w:hAnsi="Arial" w:cs="Arial"/>
        </w:rPr>
        <w:t>,</w:t>
      </w:r>
      <w:r w:rsidRPr="00EF0EEF">
        <w:rPr>
          <w:rFonts w:ascii="Arial" w:hAnsi="Arial" w:cs="Arial"/>
        </w:rPr>
        <w:t xml:space="preserve"> 1996) noted, reading is strategic and conceptual as well motivated and intentional. The cognitive side of engagement emphasizes that effective readers are deliberately making choices within a context and selecting strategies for comprehending text content. Almasi, </w:t>
      </w:r>
      <w:r w:rsidR="001F0662">
        <w:rPr>
          <w:rFonts w:ascii="Arial" w:hAnsi="Arial" w:cs="Arial"/>
        </w:rPr>
        <w:t xml:space="preserve">et.al </w:t>
      </w:r>
      <w:r w:rsidRPr="00EF0EEF">
        <w:rPr>
          <w:rFonts w:ascii="Arial" w:hAnsi="Arial" w:cs="Arial"/>
        </w:rPr>
        <w:t xml:space="preserve">1996) illustrated that engaged readers seek conceptual understanding. They question the author and each dialogue, collectively constructing meaning that incorporates information from multiple perspectives of different </w:t>
      </w:r>
      <w:r w:rsidR="001F0662" w:rsidRPr="00EF0EEF">
        <w:rPr>
          <w:rFonts w:ascii="Arial" w:hAnsi="Arial" w:cs="Arial"/>
        </w:rPr>
        <w:t>readers</w:t>
      </w:r>
      <w:r w:rsidR="001F0662">
        <w:rPr>
          <w:rFonts w:ascii="Arial" w:hAnsi="Arial" w:cs="Arial"/>
        </w:rPr>
        <w:t>. In</w:t>
      </w:r>
      <w:r w:rsidRPr="00EF0EEF">
        <w:rPr>
          <w:rFonts w:ascii="Arial" w:hAnsi="Arial" w:cs="Arial"/>
        </w:rPr>
        <w:t xml:space="preserve"> these efforts to gain conceptual understanding, engaged readers are strategic. As </w:t>
      </w:r>
      <w:r w:rsidR="001F0662">
        <w:rPr>
          <w:rFonts w:ascii="Arial" w:hAnsi="Arial" w:cs="Arial"/>
        </w:rPr>
        <w:t>(</w:t>
      </w:r>
      <w:r w:rsidRPr="00EF0EEF">
        <w:rPr>
          <w:rFonts w:ascii="Arial" w:hAnsi="Arial" w:cs="Arial"/>
        </w:rPr>
        <w:t xml:space="preserve">Duffy et al. 1987) and </w:t>
      </w:r>
      <w:r w:rsidR="001F0662">
        <w:rPr>
          <w:rFonts w:ascii="Arial" w:hAnsi="Arial" w:cs="Arial"/>
        </w:rPr>
        <w:t>(</w:t>
      </w:r>
      <w:r w:rsidRPr="00EF0EEF">
        <w:rPr>
          <w:rFonts w:ascii="Arial" w:hAnsi="Arial" w:cs="Arial"/>
        </w:rPr>
        <w:t xml:space="preserve">Pressley, </w:t>
      </w:r>
      <w:r w:rsidR="004A0303">
        <w:rPr>
          <w:rFonts w:ascii="Arial" w:hAnsi="Arial" w:cs="Arial"/>
        </w:rPr>
        <w:t>et. al</w:t>
      </w:r>
      <w:r w:rsidRPr="00EF0EEF">
        <w:rPr>
          <w:rFonts w:ascii="Arial" w:hAnsi="Arial" w:cs="Arial"/>
        </w:rPr>
        <w:t xml:space="preserve"> 1992) found, readers decided when and how to apply their strategies conditionally (Paris</w:t>
      </w:r>
      <w:r w:rsidR="004A0303">
        <w:rPr>
          <w:rFonts w:ascii="Arial" w:hAnsi="Arial" w:cs="Arial"/>
        </w:rPr>
        <w:t xml:space="preserve"> et.</w:t>
      </w:r>
      <w:r w:rsidR="001F0662">
        <w:rPr>
          <w:rFonts w:ascii="Arial" w:hAnsi="Arial" w:cs="Arial"/>
        </w:rPr>
        <w:t xml:space="preserve"> al,</w:t>
      </w:r>
      <w:r w:rsidR="004A0303">
        <w:rPr>
          <w:rFonts w:ascii="Arial" w:hAnsi="Arial" w:cs="Arial"/>
        </w:rPr>
        <w:t xml:space="preserve"> </w:t>
      </w:r>
      <w:r w:rsidR="001F0662">
        <w:rPr>
          <w:rFonts w:ascii="Arial" w:hAnsi="Arial" w:cs="Arial"/>
        </w:rPr>
        <w:t>1</w:t>
      </w:r>
      <w:r w:rsidRPr="00EF0EEF">
        <w:rPr>
          <w:rFonts w:ascii="Arial" w:hAnsi="Arial" w:cs="Arial"/>
        </w:rPr>
        <w:t xml:space="preserve">991). Such strategic reading results in conceptual understanding (Beck, </w:t>
      </w:r>
      <w:r w:rsidR="004A0303">
        <w:rPr>
          <w:rFonts w:ascii="Arial" w:hAnsi="Arial" w:cs="Arial"/>
        </w:rPr>
        <w:t>et. al</w:t>
      </w:r>
      <w:r w:rsidRPr="00EF0EEF">
        <w:rPr>
          <w:rFonts w:ascii="Arial" w:hAnsi="Arial" w:cs="Arial"/>
        </w:rPr>
        <w:t xml:space="preserve"> 1996) an advances knowledge acquisition (Alexander, </w:t>
      </w:r>
      <w:r w:rsidR="001F0662">
        <w:rPr>
          <w:rFonts w:ascii="Arial" w:hAnsi="Arial" w:cs="Arial"/>
        </w:rPr>
        <w:t>et. al,</w:t>
      </w:r>
      <w:r w:rsidRPr="00EF0EEF">
        <w:rPr>
          <w:rFonts w:ascii="Arial" w:hAnsi="Arial" w:cs="Arial"/>
        </w:rPr>
        <w:t xml:space="preserve"> 1996). This new knowledge may be used in more extended inquiry into broader literary themes (Harste, 1994) or science topics (Roth &amp; Bowen, 1995). As </w:t>
      </w:r>
      <w:r w:rsidR="001F0662">
        <w:rPr>
          <w:rFonts w:ascii="Arial" w:hAnsi="Arial" w:cs="Arial"/>
        </w:rPr>
        <w:t>(</w:t>
      </w:r>
      <w:r w:rsidRPr="00EF0EEF">
        <w:rPr>
          <w:rFonts w:ascii="Arial" w:hAnsi="Arial" w:cs="Arial"/>
        </w:rPr>
        <w:t>Guthrie</w:t>
      </w:r>
      <w:r w:rsidR="001F0662">
        <w:rPr>
          <w:rFonts w:ascii="Arial" w:hAnsi="Arial" w:cs="Arial"/>
        </w:rPr>
        <w:t xml:space="preserve"> et. al, </w:t>
      </w:r>
      <w:r w:rsidRPr="00EF0EEF">
        <w:rPr>
          <w:rFonts w:ascii="Arial" w:hAnsi="Arial" w:cs="Arial"/>
        </w:rPr>
        <w:t xml:space="preserve">1998) suggested “engagement in reading refers to motivated use of strategies to gain conceptual knowledge reading”. In addition, within any classrooms, engaged readers are interacting with peers socially to construct meaning of literary works (Almasi,1995) and participate I classroom discourse as a natural part of schooling (Gee &amp; green, 1998). Although the cognitive and social dimensions of engaged reading are distinguishable from the motivational dimension, engagement cannot occur without all three </w:t>
      </w:r>
      <w:r w:rsidR="00EF197E">
        <w:rPr>
          <w:rFonts w:ascii="Arial" w:hAnsi="Arial" w:cs="Arial"/>
        </w:rPr>
        <w:t>(</w:t>
      </w:r>
      <w:r w:rsidR="00EF197E">
        <w:t>Campbell et. al, 1997)</w:t>
      </w:r>
    </w:p>
    <w:p w14:paraId="4F18EEF6" w14:textId="77777777" w:rsidR="00EF0EEF" w:rsidRPr="00EF0EEF" w:rsidRDefault="006C4AC1" w:rsidP="00EF0EEF">
      <w:pPr>
        <w:pStyle w:val="Body"/>
        <w:rPr>
          <w:rFonts w:ascii="Arial" w:hAnsi="Arial" w:cs="Arial"/>
        </w:rPr>
      </w:pPr>
      <w:r>
        <w:rPr>
          <w:rFonts w:ascii="Arial" w:hAnsi="Arial" w:cs="Arial"/>
        </w:rPr>
        <w:tab/>
      </w:r>
      <w:r w:rsidR="00EF0EEF" w:rsidRPr="00EF0EEF">
        <w:rPr>
          <w:rFonts w:ascii="Arial" w:hAnsi="Arial" w:cs="Arial"/>
        </w:rPr>
        <w:t>Engagement of learners in reading and assessment is strongly associated with reading achievement. Learners who read actively and frequently improve their comprehension of text as a consequence (</w:t>
      </w:r>
      <w:proofErr w:type="spellStart"/>
      <w:r w:rsidR="00EF0EEF" w:rsidRPr="00EF0EEF">
        <w:rPr>
          <w:rFonts w:ascii="Arial" w:hAnsi="Arial" w:cs="Arial"/>
        </w:rPr>
        <w:t>Cipielewski</w:t>
      </w:r>
      <w:proofErr w:type="spellEnd"/>
      <w:r w:rsidR="00EF0EEF" w:rsidRPr="00EF0EEF">
        <w:rPr>
          <w:rFonts w:ascii="Arial" w:hAnsi="Arial" w:cs="Arial"/>
        </w:rPr>
        <w:t xml:space="preserve"> &amp; Stanovich, 1992). However, it is also likely that the students who are capable of understanding a wide-range of text choose to read independently for their own enjoyment. This connection between engagement and achievement, measured as the ability to understand narrative and expository text, was shown on Nationals sample of students (Campbell </w:t>
      </w:r>
      <w:r w:rsidR="001F0662">
        <w:rPr>
          <w:rFonts w:ascii="Arial" w:hAnsi="Arial" w:cs="Arial"/>
        </w:rPr>
        <w:t>et. Al,</w:t>
      </w:r>
      <w:r w:rsidR="00EF0EEF" w:rsidRPr="00EF0EEF">
        <w:rPr>
          <w:rFonts w:ascii="Arial" w:hAnsi="Arial" w:cs="Arial"/>
        </w:rPr>
        <w:t xml:space="preserve"> 1997). At all three ages (9, 13, and 17 years), the higher engaged readers showed higher achievement than the lessen engaged readers. The cross-age comparisons were higher achievement than the lessen engaged readers. The comparison cross age comparison was remarkable</w:t>
      </w:r>
      <w:r w:rsidR="00EF197E">
        <w:rPr>
          <w:rFonts w:ascii="Arial" w:hAnsi="Arial" w:cs="Arial"/>
        </w:rPr>
        <w:t xml:space="preserve"> (</w:t>
      </w:r>
      <w:proofErr w:type="spellStart"/>
      <w:r w:rsidR="00EF197E">
        <w:t>Lesaux</w:t>
      </w:r>
      <w:proofErr w:type="spellEnd"/>
      <w:r w:rsidR="00EF197E">
        <w:t xml:space="preserve"> &amp; Crosson ,2010)</w:t>
      </w:r>
    </w:p>
    <w:p w14:paraId="0A942232" w14:textId="77777777" w:rsidR="00EF0EEF" w:rsidRPr="00EF0EEF" w:rsidRDefault="006C4AC1" w:rsidP="00EF0EEF">
      <w:pPr>
        <w:pStyle w:val="Body"/>
        <w:rPr>
          <w:rFonts w:ascii="Arial" w:hAnsi="Arial" w:cs="Arial"/>
        </w:rPr>
      </w:pPr>
      <w:r>
        <w:rPr>
          <w:rFonts w:ascii="Arial" w:hAnsi="Arial" w:cs="Arial"/>
        </w:rPr>
        <w:tab/>
      </w:r>
      <w:r w:rsidR="00EF0EEF" w:rsidRPr="00EF0EEF">
        <w:rPr>
          <w:rFonts w:ascii="Arial" w:hAnsi="Arial" w:cs="Arial"/>
        </w:rPr>
        <w:t>Engagement in reading may substantially compensate for low family income and educational background. In the same national data, engaged readers from low income/ education families were higher in achievement than less engaged readers from high income e/ educational backgrounds. Of course, the highest achievement in text comprehension was found among students were both more engaged and enjoyed a family background with economic and educational opportunity.</w:t>
      </w:r>
    </w:p>
    <w:bookmarkEnd w:id="0"/>
    <w:p w14:paraId="6FF08EEF" w14:textId="77777777" w:rsidR="00790ADA" w:rsidRPr="00FB3A86" w:rsidRDefault="00790ADA" w:rsidP="00441B6F">
      <w:pPr>
        <w:pStyle w:val="Body"/>
        <w:spacing w:after="0"/>
        <w:rPr>
          <w:rFonts w:ascii="Arial" w:hAnsi="Arial" w:cs="Arial"/>
        </w:rPr>
      </w:pPr>
    </w:p>
    <w:p w14:paraId="7AA85E8E" w14:textId="77777777"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420541">
        <w:rPr>
          <w:rFonts w:ascii="Arial" w:hAnsi="Arial" w:cs="Arial"/>
        </w:rPr>
        <w:t>statement of the problem</w:t>
      </w:r>
    </w:p>
    <w:p w14:paraId="284077FB" w14:textId="77777777" w:rsidR="00790ADA" w:rsidRPr="00FB3A86" w:rsidRDefault="00790ADA" w:rsidP="00441B6F">
      <w:pPr>
        <w:pStyle w:val="AbstHead"/>
        <w:spacing w:after="0"/>
        <w:jc w:val="both"/>
        <w:rPr>
          <w:rFonts w:ascii="Arial" w:hAnsi="Arial" w:cs="Arial"/>
        </w:rPr>
      </w:pPr>
    </w:p>
    <w:p w14:paraId="4C479E8A" w14:textId="77777777" w:rsidR="00420541" w:rsidRPr="00420541" w:rsidRDefault="00420541" w:rsidP="00420541">
      <w:pPr>
        <w:pStyle w:val="Body"/>
        <w:rPr>
          <w:rFonts w:ascii="Arial" w:hAnsi="Arial" w:cs="Arial"/>
        </w:rPr>
      </w:pPr>
      <w:bookmarkStart w:id="2" w:name="_Hlk198811180"/>
      <w:r>
        <w:rPr>
          <w:rFonts w:ascii="Arial" w:hAnsi="Arial" w:cs="Arial"/>
        </w:rPr>
        <w:tab/>
      </w:r>
      <w:r w:rsidR="00E2428D">
        <w:rPr>
          <w:rFonts w:ascii="Arial" w:hAnsi="Arial" w:cs="Arial"/>
        </w:rPr>
        <w:t>Generally, t</w:t>
      </w:r>
      <w:r w:rsidRPr="00420541">
        <w:rPr>
          <w:rFonts w:ascii="Arial" w:hAnsi="Arial" w:cs="Arial"/>
        </w:rPr>
        <w:t>his study aim</w:t>
      </w:r>
      <w:r w:rsidR="00E2428D">
        <w:rPr>
          <w:rFonts w:ascii="Arial" w:hAnsi="Arial" w:cs="Arial"/>
        </w:rPr>
        <w:t>ed</w:t>
      </w:r>
      <w:r w:rsidRPr="00420541">
        <w:rPr>
          <w:rFonts w:ascii="Arial" w:hAnsi="Arial" w:cs="Arial"/>
        </w:rPr>
        <w:t xml:space="preserve"> to evaluate the effectiveness of the L</w:t>
      </w:r>
      <w:r w:rsidR="00E2428D">
        <w:rPr>
          <w:rFonts w:ascii="Arial" w:hAnsi="Arial" w:cs="Arial"/>
        </w:rPr>
        <w:t xml:space="preserve">iteracy </w:t>
      </w:r>
      <w:r w:rsidRPr="00420541">
        <w:rPr>
          <w:rFonts w:ascii="Arial" w:hAnsi="Arial" w:cs="Arial"/>
        </w:rPr>
        <w:t>Engagement and A</w:t>
      </w:r>
      <w:r w:rsidR="00E2428D">
        <w:rPr>
          <w:rFonts w:ascii="Arial" w:hAnsi="Arial" w:cs="Arial"/>
        </w:rPr>
        <w:t>dvancement</w:t>
      </w:r>
      <w:r w:rsidRPr="00420541">
        <w:rPr>
          <w:rFonts w:ascii="Arial" w:hAnsi="Arial" w:cs="Arial"/>
        </w:rPr>
        <w:t xml:space="preserve"> Project (LEAP) in enhancing the reading performance of learners at Kabugao Central School during the SY 2024-2025. Specifically, it seeks to address the following questions:</w:t>
      </w:r>
    </w:p>
    <w:p w14:paraId="729A0379" w14:textId="77777777" w:rsidR="00420541" w:rsidRPr="00420541" w:rsidRDefault="00420541" w:rsidP="00420541">
      <w:pPr>
        <w:pStyle w:val="Body"/>
        <w:numPr>
          <w:ilvl w:val="0"/>
          <w:numId w:val="31"/>
        </w:numPr>
        <w:rPr>
          <w:rFonts w:ascii="Arial" w:hAnsi="Arial" w:cs="Arial"/>
        </w:rPr>
      </w:pPr>
      <w:r w:rsidRPr="00420541">
        <w:rPr>
          <w:rFonts w:ascii="Arial" w:hAnsi="Arial" w:cs="Arial"/>
        </w:rPr>
        <w:t>What is the level of the reading performance of learners before the implementation of project LEAP?</w:t>
      </w:r>
    </w:p>
    <w:p w14:paraId="19843604" w14:textId="77777777" w:rsidR="00420541" w:rsidRPr="00420541" w:rsidRDefault="00420541" w:rsidP="00420541">
      <w:pPr>
        <w:pStyle w:val="Body"/>
        <w:numPr>
          <w:ilvl w:val="0"/>
          <w:numId w:val="31"/>
        </w:numPr>
        <w:rPr>
          <w:rFonts w:ascii="Arial" w:hAnsi="Arial" w:cs="Arial"/>
        </w:rPr>
      </w:pPr>
      <w:r w:rsidRPr="00420541">
        <w:rPr>
          <w:rFonts w:ascii="Arial" w:hAnsi="Arial" w:cs="Arial"/>
        </w:rPr>
        <w:t>What is the level of the reading performance of learners after the implementation of project LEAP?</w:t>
      </w:r>
    </w:p>
    <w:p w14:paraId="0018F114" w14:textId="77777777" w:rsidR="00420541" w:rsidRPr="00420541" w:rsidRDefault="00420541" w:rsidP="00420541">
      <w:pPr>
        <w:pStyle w:val="Body"/>
        <w:numPr>
          <w:ilvl w:val="0"/>
          <w:numId w:val="31"/>
        </w:numPr>
        <w:rPr>
          <w:rFonts w:ascii="Arial" w:hAnsi="Arial" w:cs="Arial"/>
        </w:rPr>
      </w:pPr>
      <w:r w:rsidRPr="00420541">
        <w:rPr>
          <w:rFonts w:ascii="Arial" w:hAnsi="Arial" w:cs="Arial"/>
        </w:rPr>
        <w:t xml:space="preserve">Is there a significant difference in the reading performance of learners before and after the use of project LEAP? </w:t>
      </w:r>
    </w:p>
    <w:bookmarkEnd w:id="2"/>
    <w:p w14:paraId="57E53387" w14:textId="77777777" w:rsidR="00790ADA" w:rsidRPr="00FB3A86" w:rsidRDefault="00790ADA" w:rsidP="00420541">
      <w:pPr>
        <w:pStyle w:val="Body"/>
        <w:spacing w:after="0"/>
        <w:rPr>
          <w:rFonts w:ascii="Arial" w:hAnsi="Arial" w:cs="Arial"/>
        </w:rPr>
      </w:pPr>
    </w:p>
    <w:p w14:paraId="0EF6A2C8" w14:textId="77777777" w:rsidR="00E2428D" w:rsidRDefault="00AA74E0" w:rsidP="00E2428D">
      <w:pPr>
        <w:tabs>
          <w:tab w:val="left" w:pos="6520"/>
        </w:tabs>
        <w:spacing w:line="480" w:lineRule="auto"/>
        <w:jc w:val="both"/>
        <w:rPr>
          <w:color w:val="000000" w:themeColor="text1"/>
        </w:rPr>
      </w:pPr>
      <w:r w:rsidRPr="00C30A0F">
        <w:rPr>
          <w:rFonts w:ascii="Arial" w:hAnsi="Arial" w:cs="Arial"/>
          <w:b/>
          <w:caps/>
          <w:sz w:val="22"/>
        </w:rPr>
        <w:t xml:space="preserve">2.1 </w:t>
      </w:r>
      <w:proofErr w:type="spellStart"/>
      <w:r w:rsidR="00E2428D">
        <w:rPr>
          <w:rFonts w:ascii="Arial" w:hAnsi="Arial" w:cs="Arial"/>
          <w:b/>
          <w:sz w:val="22"/>
        </w:rPr>
        <w:t>Hyphothesis</w:t>
      </w:r>
      <w:proofErr w:type="spellEnd"/>
      <w:r w:rsidR="00E2428D" w:rsidRPr="00B016B8">
        <w:rPr>
          <w:color w:val="000000" w:themeColor="text1"/>
        </w:rPr>
        <w:t xml:space="preserve">           </w:t>
      </w:r>
    </w:p>
    <w:p w14:paraId="26CF8084" w14:textId="77777777" w:rsidR="00790ADA" w:rsidRPr="00E2428D" w:rsidRDefault="00E2428D" w:rsidP="00E2428D">
      <w:pPr>
        <w:pStyle w:val="Body"/>
        <w:rPr>
          <w:b/>
          <w:color w:val="000000" w:themeColor="text1"/>
        </w:rPr>
      </w:pPr>
      <w:r w:rsidRPr="00E2428D">
        <w:rPr>
          <w:color w:val="000000" w:themeColor="text1"/>
        </w:rPr>
        <w:t xml:space="preserve">            H</w:t>
      </w:r>
      <w:r w:rsidRPr="00E2428D">
        <w:rPr>
          <w:color w:val="000000" w:themeColor="text1"/>
          <w:vertAlign w:val="subscript"/>
        </w:rPr>
        <w:t>o</w:t>
      </w:r>
      <w:r w:rsidRPr="00E2428D">
        <w:rPr>
          <w:color w:val="000000" w:themeColor="text1"/>
        </w:rPr>
        <w:t>: There is no significant difference in the reading performance of learners before and after the implementation of project LEAP.</w:t>
      </w:r>
    </w:p>
    <w:p w14:paraId="018201BA" w14:textId="77777777" w:rsidR="00902823" w:rsidRDefault="00000F8F" w:rsidP="00441B6F">
      <w:pPr>
        <w:pStyle w:val="Head1"/>
        <w:spacing w:after="0"/>
        <w:jc w:val="both"/>
        <w:rPr>
          <w:rFonts w:ascii="Arial" w:hAnsi="Arial" w:cs="Arial"/>
        </w:rPr>
      </w:pPr>
      <w:r>
        <w:rPr>
          <w:rFonts w:ascii="Arial" w:hAnsi="Arial" w:cs="Arial"/>
        </w:rPr>
        <w:t>3</w:t>
      </w:r>
      <w:r w:rsidR="00E41DE5">
        <w:rPr>
          <w:rFonts w:ascii="Arial" w:hAnsi="Arial" w:cs="Arial"/>
        </w:rPr>
        <w:t xml:space="preserve">. </w:t>
      </w:r>
      <w:r w:rsidR="00E2428D">
        <w:rPr>
          <w:rFonts w:ascii="Arial" w:hAnsi="Arial" w:cs="Arial"/>
        </w:rPr>
        <w:t>methodology</w:t>
      </w:r>
    </w:p>
    <w:p w14:paraId="7388F1C4" w14:textId="77777777" w:rsidR="00E41DE5" w:rsidRDefault="00E41DE5" w:rsidP="00441B6F">
      <w:pPr>
        <w:pStyle w:val="Head1"/>
        <w:spacing w:after="0"/>
        <w:jc w:val="both"/>
        <w:rPr>
          <w:rFonts w:ascii="Arial" w:hAnsi="Arial" w:cs="Arial"/>
        </w:rPr>
      </w:pPr>
    </w:p>
    <w:p w14:paraId="67AFEB0E" w14:textId="77777777" w:rsidR="00E41DE5" w:rsidRDefault="00E41DE5" w:rsidP="00441B6F">
      <w:pPr>
        <w:pStyle w:val="Head1"/>
        <w:spacing w:after="0"/>
        <w:jc w:val="both"/>
        <w:rPr>
          <w:rFonts w:ascii="Arial" w:hAnsi="Arial" w:cs="Arial"/>
        </w:rPr>
      </w:pPr>
      <w:r>
        <w:rPr>
          <w:rFonts w:ascii="Arial" w:hAnsi="Arial" w:cs="Arial"/>
        </w:rPr>
        <w:t>3.</w:t>
      </w:r>
      <w:r>
        <w:rPr>
          <w:rFonts w:ascii="Arial" w:hAnsi="Arial" w:cs="Arial"/>
          <w:caps w:val="0"/>
        </w:rPr>
        <w:t xml:space="preserve">1 </w:t>
      </w:r>
      <w:proofErr w:type="spellStart"/>
      <w:r>
        <w:rPr>
          <w:rFonts w:ascii="Arial" w:hAnsi="Arial" w:cs="Arial"/>
          <w:caps w:val="0"/>
        </w:rPr>
        <w:t>Reseach</w:t>
      </w:r>
      <w:proofErr w:type="spellEnd"/>
      <w:r>
        <w:rPr>
          <w:rFonts w:ascii="Arial" w:hAnsi="Arial" w:cs="Arial"/>
          <w:caps w:val="0"/>
        </w:rPr>
        <w:t xml:space="preserve"> Design</w:t>
      </w:r>
    </w:p>
    <w:p w14:paraId="62D97165" w14:textId="77777777" w:rsidR="00E41DE5" w:rsidRDefault="00E41DE5" w:rsidP="00E41DE5">
      <w:pPr>
        <w:ind w:firstLine="720"/>
        <w:jc w:val="both"/>
        <w:rPr>
          <w:color w:val="000000" w:themeColor="text1"/>
        </w:rPr>
      </w:pPr>
      <w:r w:rsidRPr="00E41DE5">
        <w:rPr>
          <w:color w:val="000000" w:themeColor="text1"/>
        </w:rPr>
        <w:t xml:space="preserve">A one-group pretest-posttest quasi-experimental design will be utilized to quantitatively measure changes in the learners' reading performance before and after the implementation of the LEAP project. </w:t>
      </w:r>
    </w:p>
    <w:p w14:paraId="4AE00C74" w14:textId="77777777" w:rsidR="00E41DE5" w:rsidRDefault="00E41DE5" w:rsidP="00E41DE5">
      <w:pPr>
        <w:ind w:firstLine="720"/>
        <w:jc w:val="both"/>
        <w:rPr>
          <w:color w:val="000000" w:themeColor="text1"/>
        </w:rPr>
      </w:pPr>
    </w:p>
    <w:p w14:paraId="104A930A" w14:textId="77777777" w:rsidR="00E41DE5" w:rsidRDefault="00E41DE5" w:rsidP="00E41DE5">
      <w:pPr>
        <w:pStyle w:val="Head1"/>
        <w:spacing w:after="0"/>
        <w:jc w:val="both"/>
        <w:rPr>
          <w:rFonts w:ascii="Arial" w:hAnsi="Arial" w:cs="Arial"/>
          <w:caps w:val="0"/>
        </w:rPr>
      </w:pPr>
      <w:r>
        <w:rPr>
          <w:rFonts w:ascii="Arial" w:hAnsi="Arial" w:cs="Arial"/>
        </w:rPr>
        <w:t>3.</w:t>
      </w:r>
      <w:r>
        <w:rPr>
          <w:rFonts w:ascii="Arial" w:hAnsi="Arial" w:cs="Arial"/>
          <w:caps w:val="0"/>
        </w:rPr>
        <w:t>2 Locale of the Study</w:t>
      </w:r>
    </w:p>
    <w:p w14:paraId="17F79265" w14:textId="77777777" w:rsidR="00E41DE5" w:rsidRDefault="00E41DE5" w:rsidP="00E41DE5">
      <w:pPr>
        <w:ind w:firstLine="720"/>
        <w:jc w:val="both"/>
        <w:rPr>
          <w:color w:val="000000" w:themeColor="text1"/>
        </w:rPr>
      </w:pPr>
      <w:r w:rsidRPr="00B016B8">
        <w:rPr>
          <w:color w:val="000000" w:themeColor="text1"/>
        </w:rPr>
        <w:t xml:space="preserve">The study will be conducted at Kabugao Central School (KCS), which is situated in </w:t>
      </w:r>
      <w:proofErr w:type="spellStart"/>
      <w:r w:rsidRPr="00B016B8">
        <w:rPr>
          <w:color w:val="000000" w:themeColor="text1"/>
        </w:rPr>
        <w:t>Poblacion</w:t>
      </w:r>
      <w:proofErr w:type="spellEnd"/>
      <w:r w:rsidRPr="00B016B8">
        <w:rPr>
          <w:color w:val="000000" w:themeColor="text1"/>
        </w:rPr>
        <w:t xml:space="preserve">, </w:t>
      </w:r>
      <w:proofErr w:type="spellStart"/>
      <w:r w:rsidRPr="00B016B8">
        <w:rPr>
          <w:color w:val="000000" w:themeColor="text1"/>
        </w:rPr>
        <w:t>Kabugao</w:t>
      </w:r>
      <w:proofErr w:type="spellEnd"/>
      <w:r w:rsidRPr="00B016B8">
        <w:rPr>
          <w:color w:val="000000" w:themeColor="text1"/>
        </w:rPr>
        <w:t xml:space="preserve">, Apayao. Kabugao Central School </w:t>
      </w:r>
      <w:r w:rsidRPr="001060DC">
        <w:rPr>
          <w:color w:val="000000" w:themeColor="text1"/>
        </w:rPr>
        <w:t>is a medium-sized school that serves as the central institution within the Kabugao 1 District. It is approximately 0.50 kilometers from the municipal town hall.</w:t>
      </w:r>
    </w:p>
    <w:p w14:paraId="0FB7E32B" w14:textId="77777777" w:rsidR="00E41DE5" w:rsidRDefault="00E41DE5" w:rsidP="00E41DE5">
      <w:pPr>
        <w:ind w:firstLine="720"/>
        <w:jc w:val="both"/>
        <w:rPr>
          <w:color w:val="000000" w:themeColor="text1"/>
        </w:rPr>
      </w:pPr>
    </w:p>
    <w:p w14:paraId="1C929E1F" w14:textId="77777777" w:rsidR="00E41DE5" w:rsidRDefault="00E41DE5" w:rsidP="00E41DE5">
      <w:pPr>
        <w:pStyle w:val="Head1"/>
        <w:spacing w:after="0"/>
        <w:jc w:val="both"/>
        <w:rPr>
          <w:rFonts w:ascii="Arial" w:hAnsi="Arial" w:cs="Arial"/>
          <w:caps w:val="0"/>
        </w:rPr>
      </w:pPr>
      <w:r>
        <w:rPr>
          <w:rFonts w:ascii="Arial" w:hAnsi="Arial" w:cs="Arial"/>
        </w:rPr>
        <w:t>3.</w:t>
      </w:r>
      <w:r>
        <w:rPr>
          <w:rFonts w:ascii="Arial" w:hAnsi="Arial" w:cs="Arial"/>
          <w:caps w:val="0"/>
        </w:rPr>
        <w:t>3 Participants of the Study</w:t>
      </w:r>
    </w:p>
    <w:p w14:paraId="3FC8D943" w14:textId="77777777" w:rsidR="00E41DE5" w:rsidRDefault="00E41DE5" w:rsidP="00E41DE5">
      <w:pPr>
        <w:ind w:firstLine="720"/>
        <w:jc w:val="both"/>
        <w:rPr>
          <w:color w:val="000000" w:themeColor="text1"/>
        </w:rPr>
      </w:pPr>
      <w:r w:rsidRPr="001060DC">
        <w:rPr>
          <w:color w:val="000000" w:themeColor="text1"/>
        </w:rPr>
        <w:t xml:space="preserve">The study participants will include Grade IV to VI learners identified as being at the “frustration level” in reading, based on the Phil-IRI pretest administered at the beginning of the 2024–2025 school year. The distribution of participants is shown </w:t>
      </w:r>
      <w:r>
        <w:rPr>
          <w:color w:val="000000" w:themeColor="text1"/>
        </w:rPr>
        <w:t>below</w:t>
      </w:r>
      <w:r w:rsidRPr="00B016B8">
        <w:rPr>
          <w:color w:val="000000" w:themeColor="text1"/>
        </w:rPr>
        <w:t>.</w:t>
      </w:r>
    </w:p>
    <w:p w14:paraId="1743BC8E" w14:textId="6C3DF208" w:rsidR="00726E07" w:rsidRPr="00726E07" w:rsidRDefault="00726E07" w:rsidP="00E41DE5">
      <w:pPr>
        <w:ind w:firstLine="720"/>
        <w:jc w:val="both"/>
        <w:rPr>
          <w:b/>
          <w:color w:val="000000" w:themeColor="text1"/>
        </w:rPr>
      </w:pPr>
      <w:r w:rsidRPr="00726E07">
        <w:rPr>
          <w:b/>
          <w:color w:val="000000" w:themeColor="text1"/>
        </w:rPr>
        <w:t xml:space="preserve">Table 1. </w:t>
      </w:r>
      <w:r w:rsidR="00BD35CB" w:rsidRPr="001B20FA">
        <w:rPr>
          <w:b/>
          <w:color w:val="000000" w:themeColor="text1"/>
        </w:rPr>
        <w:t>Study participants and their grade level</w:t>
      </w:r>
    </w:p>
    <w:tbl>
      <w:tblPr>
        <w:tblStyle w:val="TableGrid"/>
        <w:tblpPr w:leftFromText="180" w:rightFromText="180" w:vertAnchor="text" w:horzAnchor="page" w:tblpX="2881" w:tblpY="152"/>
        <w:tblOverlap w:val="never"/>
        <w:tblW w:w="7225" w:type="dxa"/>
        <w:tblLayout w:type="fixed"/>
        <w:tblLook w:val="04A0" w:firstRow="1" w:lastRow="0" w:firstColumn="1" w:lastColumn="0" w:noHBand="0" w:noVBand="1"/>
      </w:tblPr>
      <w:tblGrid>
        <w:gridCol w:w="3612"/>
        <w:gridCol w:w="3613"/>
      </w:tblGrid>
      <w:tr w:rsidR="00E41DE5" w:rsidRPr="009F103E" w14:paraId="107FE2A0" w14:textId="77777777" w:rsidTr="0008040B">
        <w:trPr>
          <w:cantSplit/>
          <w:trHeight w:val="144"/>
        </w:trPr>
        <w:tc>
          <w:tcPr>
            <w:tcW w:w="3612" w:type="dxa"/>
            <w:vAlign w:val="center"/>
          </w:tcPr>
          <w:p w14:paraId="1CA54591" w14:textId="77777777" w:rsidR="00E41DE5" w:rsidRPr="008870DD" w:rsidRDefault="00E41DE5" w:rsidP="00E41DE5">
            <w:pPr>
              <w:pStyle w:val="NoSpacing1"/>
              <w:spacing w:line="240" w:lineRule="auto"/>
              <w:jc w:val="center"/>
              <w:rPr>
                <w:rFonts w:ascii="Times New Roman" w:hAnsi="Times New Roman"/>
                <w:b/>
                <w:sz w:val="24"/>
                <w:szCs w:val="40"/>
              </w:rPr>
            </w:pPr>
            <w:r w:rsidRPr="008870DD">
              <w:rPr>
                <w:rFonts w:ascii="Times New Roman" w:hAnsi="Times New Roman"/>
                <w:b/>
                <w:sz w:val="24"/>
                <w:szCs w:val="40"/>
              </w:rPr>
              <w:t>Grade Level</w:t>
            </w:r>
          </w:p>
        </w:tc>
        <w:tc>
          <w:tcPr>
            <w:tcW w:w="3613" w:type="dxa"/>
            <w:vAlign w:val="center"/>
          </w:tcPr>
          <w:p w14:paraId="0B6A8513" w14:textId="77777777" w:rsidR="00E41DE5" w:rsidRPr="008870DD" w:rsidRDefault="00E41DE5" w:rsidP="00E41DE5">
            <w:pPr>
              <w:pStyle w:val="NoSpacing1"/>
              <w:spacing w:line="240" w:lineRule="auto"/>
              <w:jc w:val="center"/>
              <w:rPr>
                <w:rFonts w:ascii="Times New Roman" w:hAnsi="Times New Roman"/>
                <w:b/>
                <w:sz w:val="24"/>
                <w:szCs w:val="40"/>
              </w:rPr>
            </w:pPr>
            <w:r w:rsidRPr="008870DD">
              <w:rPr>
                <w:rFonts w:ascii="Times New Roman" w:hAnsi="Times New Roman"/>
                <w:b/>
                <w:sz w:val="24"/>
                <w:szCs w:val="40"/>
              </w:rPr>
              <w:t>No. of Learners</w:t>
            </w:r>
          </w:p>
        </w:tc>
      </w:tr>
      <w:tr w:rsidR="00E41DE5" w:rsidRPr="009F103E" w14:paraId="777144AF" w14:textId="77777777" w:rsidTr="0008040B">
        <w:trPr>
          <w:cantSplit/>
          <w:trHeight w:val="144"/>
        </w:trPr>
        <w:tc>
          <w:tcPr>
            <w:tcW w:w="3612" w:type="dxa"/>
            <w:vAlign w:val="center"/>
          </w:tcPr>
          <w:p w14:paraId="1525DADC" w14:textId="77777777" w:rsidR="00E41DE5" w:rsidRPr="009F103E" w:rsidRDefault="00E41DE5" w:rsidP="00E41DE5">
            <w:pPr>
              <w:pStyle w:val="NoSpacing1"/>
              <w:spacing w:line="240" w:lineRule="auto"/>
              <w:jc w:val="center"/>
              <w:rPr>
                <w:rFonts w:ascii="Times New Roman" w:hAnsi="Times New Roman"/>
                <w:sz w:val="24"/>
                <w:szCs w:val="40"/>
              </w:rPr>
            </w:pPr>
            <w:r w:rsidRPr="009F103E">
              <w:rPr>
                <w:rFonts w:ascii="Times New Roman" w:hAnsi="Times New Roman"/>
                <w:sz w:val="24"/>
                <w:szCs w:val="40"/>
              </w:rPr>
              <w:t>IV</w:t>
            </w:r>
          </w:p>
        </w:tc>
        <w:tc>
          <w:tcPr>
            <w:tcW w:w="3613" w:type="dxa"/>
            <w:vAlign w:val="center"/>
          </w:tcPr>
          <w:p w14:paraId="6849EF61" w14:textId="77777777" w:rsidR="00E41DE5" w:rsidRPr="009F103E" w:rsidRDefault="00E41DE5" w:rsidP="00E41DE5">
            <w:pPr>
              <w:pStyle w:val="NoSpacing1"/>
              <w:spacing w:line="240" w:lineRule="auto"/>
              <w:jc w:val="center"/>
              <w:rPr>
                <w:rFonts w:ascii="Times New Roman" w:hAnsi="Times New Roman"/>
                <w:bCs/>
                <w:sz w:val="24"/>
                <w:szCs w:val="40"/>
              </w:rPr>
            </w:pPr>
            <w:r w:rsidRPr="009F103E">
              <w:rPr>
                <w:rFonts w:ascii="Times New Roman" w:hAnsi="Times New Roman"/>
                <w:bCs/>
                <w:sz w:val="24"/>
                <w:szCs w:val="40"/>
              </w:rPr>
              <w:t>8</w:t>
            </w:r>
          </w:p>
        </w:tc>
      </w:tr>
      <w:tr w:rsidR="00E41DE5" w:rsidRPr="009F103E" w14:paraId="2342E167" w14:textId="77777777" w:rsidTr="0008040B">
        <w:trPr>
          <w:cantSplit/>
          <w:trHeight w:val="144"/>
        </w:trPr>
        <w:tc>
          <w:tcPr>
            <w:tcW w:w="3612" w:type="dxa"/>
            <w:vAlign w:val="center"/>
          </w:tcPr>
          <w:p w14:paraId="4F64F5B8" w14:textId="77777777" w:rsidR="00E41DE5" w:rsidRPr="009F103E" w:rsidRDefault="00E41DE5" w:rsidP="00E41DE5">
            <w:pPr>
              <w:pStyle w:val="NoSpacing1"/>
              <w:spacing w:line="240" w:lineRule="auto"/>
              <w:jc w:val="center"/>
              <w:rPr>
                <w:rFonts w:ascii="Times New Roman" w:hAnsi="Times New Roman"/>
                <w:sz w:val="24"/>
                <w:szCs w:val="40"/>
              </w:rPr>
            </w:pPr>
            <w:r w:rsidRPr="009F103E">
              <w:rPr>
                <w:rFonts w:ascii="Times New Roman" w:hAnsi="Times New Roman"/>
                <w:sz w:val="24"/>
                <w:szCs w:val="40"/>
              </w:rPr>
              <w:t>V</w:t>
            </w:r>
          </w:p>
        </w:tc>
        <w:tc>
          <w:tcPr>
            <w:tcW w:w="3613" w:type="dxa"/>
            <w:vAlign w:val="center"/>
          </w:tcPr>
          <w:p w14:paraId="6F336F54" w14:textId="77777777" w:rsidR="00E41DE5" w:rsidRPr="009F103E" w:rsidRDefault="00E41DE5" w:rsidP="00E41DE5">
            <w:pPr>
              <w:pStyle w:val="NoSpacing1"/>
              <w:spacing w:line="240" w:lineRule="auto"/>
              <w:jc w:val="center"/>
              <w:rPr>
                <w:rFonts w:ascii="Times New Roman" w:hAnsi="Times New Roman"/>
                <w:bCs/>
                <w:sz w:val="24"/>
                <w:szCs w:val="40"/>
              </w:rPr>
            </w:pPr>
            <w:r w:rsidRPr="009F103E">
              <w:rPr>
                <w:rFonts w:ascii="Times New Roman" w:hAnsi="Times New Roman"/>
                <w:bCs/>
                <w:sz w:val="24"/>
                <w:szCs w:val="40"/>
              </w:rPr>
              <w:t>8</w:t>
            </w:r>
          </w:p>
        </w:tc>
      </w:tr>
      <w:tr w:rsidR="00E41DE5" w:rsidRPr="009F103E" w14:paraId="21A4C5B0" w14:textId="77777777" w:rsidTr="0008040B">
        <w:trPr>
          <w:cantSplit/>
          <w:trHeight w:val="144"/>
        </w:trPr>
        <w:tc>
          <w:tcPr>
            <w:tcW w:w="3612" w:type="dxa"/>
            <w:vAlign w:val="center"/>
          </w:tcPr>
          <w:p w14:paraId="57CDF7DF" w14:textId="77777777" w:rsidR="00E41DE5" w:rsidRPr="009F103E" w:rsidRDefault="00E41DE5" w:rsidP="00E41DE5">
            <w:pPr>
              <w:pStyle w:val="NoSpacing1"/>
              <w:spacing w:line="240" w:lineRule="auto"/>
              <w:jc w:val="center"/>
              <w:rPr>
                <w:rFonts w:ascii="Times New Roman" w:hAnsi="Times New Roman"/>
                <w:sz w:val="24"/>
                <w:szCs w:val="40"/>
              </w:rPr>
            </w:pPr>
            <w:r w:rsidRPr="009F103E">
              <w:rPr>
                <w:rFonts w:ascii="Times New Roman" w:hAnsi="Times New Roman"/>
                <w:sz w:val="24"/>
                <w:szCs w:val="40"/>
              </w:rPr>
              <w:t>VI</w:t>
            </w:r>
          </w:p>
        </w:tc>
        <w:tc>
          <w:tcPr>
            <w:tcW w:w="3613" w:type="dxa"/>
            <w:vAlign w:val="center"/>
          </w:tcPr>
          <w:p w14:paraId="13AAFC7B" w14:textId="77777777" w:rsidR="00E41DE5" w:rsidRPr="009F103E" w:rsidRDefault="00E41DE5" w:rsidP="00E41DE5">
            <w:pPr>
              <w:pStyle w:val="NoSpacing1"/>
              <w:spacing w:line="240" w:lineRule="auto"/>
              <w:jc w:val="center"/>
              <w:rPr>
                <w:rFonts w:ascii="Times New Roman" w:hAnsi="Times New Roman"/>
                <w:bCs/>
                <w:sz w:val="24"/>
                <w:szCs w:val="40"/>
              </w:rPr>
            </w:pPr>
            <w:r w:rsidRPr="009F103E">
              <w:rPr>
                <w:rFonts w:ascii="Times New Roman" w:hAnsi="Times New Roman"/>
                <w:bCs/>
                <w:sz w:val="24"/>
                <w:szCs w:val="40"/>
              </w:rPr>
              <w:t>16</w:t>
            </w:r>
          </w:p>
        </w:tc>
      </w:tr>
      <w:tr w:rsidR="00E41DE5" w:rsidRPr="009F103E" w14:paraId="29DA0A12" w14:textId="77777777" w:rsidTr="0008040B">
        <w:trPr>
          <w:cantSplit/>
          <w:trHeight w:val="144"/>
        </w:trPr>
        <w:tc>
          <w:tcPr>
            <w:tcW w:w="3612" w:type="dxa"/>
            <w:vAlign w:val="center"/>
          </w:tcPr>
          <w:p w14:paraId="4940C3F5" w14:textId="77777777" w:rsidR="00E41DE5" w:rsidRPr="009F103E" w:rsidRDefault="00E41DE5" w:rsidP="00E41DE5">
            <w:pPr>
              <w:pStyle w:val="NoSpacing1"/>
              <w:spacing w:line="240" w:lineRule="auto"/>
              <w:jc w:val="center"/>
              <w:rPr>
                <w:rFonts w:ascii="Times New Roman" w:hAnsi="Times New Roman"/>
                <w:b/>
                <w:bCs/>
                <w:sz w:val="24"/>
                <w:szCs w:val="40"/>
              </w:rPr>
            </w:pPr>
            <w:r w:rsidRPr="009F103E">
              <w:rPr>
                <w:rFonts w:ascii="Times New Roman" w:hAnsi="Times New Roman"/>
                <w:b/>
                <w:bCs/>
                <w:sz w:val="24"/>
                <w:szCs w:val="40"/>
              </w:rPr>
              <w:t>Total</w:t>
            </w:r>
          </w:p>
        </w:tc>
        <w:tc>
          <w:tcPr>
            <w:tcW w:w="3613" w:type="dxa"/>
            <w:vAlign w:val="center"/>
          </w:tcPr>
          <w:p w14:paraId="54AA71BC" w14:textId="77777777" w:rsidR="00E41DE5" w:rsidRPr="009F103E" w:rsidRDefault="00E41DE5" w:rsidP="00E41DE5">
            <w:pPr>
              <w:pStyle w:val="NoSpacing1"/>
              <w:spacing w:line="240" w:lineRule="auto"/>
              <w:jc w:val="center"/>
              <w:rPr>
                <w:rFonts w:ascii="Times New Roman" w:hAnsi="Times New Roman"/>
                <w:b/>
                <w:bCs/>
                <w:sz w:val="24"/>
                <w:szCs w:val="40"/>
              </w:rPr>
            </w:pPr>
            <w:r w:rsidRPr="009F103E">
              <w:rPr>
                <w:rFonts w:ascii="Times New Roman" w:hAnsi="Times New Roman"/>
                <w:b/>
                <w:bCs/>
                <w:sz w:val="24"/>
                <w:szCs w:val="40"/>
              </w:rPr>
              <w:t>32</w:t>
            </w:r>
          </w:p>
        </w:tc>
      </w:tr>
    </w:tbl>
    <w:p w14:paraId="2CC12709" w14:textId="77777777" w:rsidR="00E41DE5" w:rsidRDefault="00E41DE5" w:rsidP="00E41DE5">
      <w:pPr>
        <w:pStyle w:val="Head1"/>
        <w:spacing w:after="0"/>
        <w:jc w:val="both"/>
        <w:rPr>
          <w:rFonts w:ascii="Arial" w:hAnsi="Arial" w:cs="Arial"/>
          <w:caps w:val="0"/>
        </w:rPr>
      </w:pPr>
    </w:p>
    <w:p w14:paraId="09035D96" w14:textId="77777777" w:rsidR="00E41DE5" w:rsidRDefault="00E41DE5" w:rsidP="00E41DE5">
      <w:pPr>
        <w:ind w:firstLine="720"/>
        <w:jc w:val="both"/>
        <w:rPr>
          <w:color w:val="000000" w:themeColor="text1"/>
        </w:rPr>
      </w:pPr>
    </w:p>
    <w:p w14:paraId="612A0ABF" w14:textId="77777777" w:rsidR="00E41DE5" w:rsidRPr="00B016B8" w:rsidRDefault="00E41DE5" w:rsidP="00E41DE5">
      <w:pPr>
        <w:ind w:firstLine="720"/>
        <w:jc w:val="both"/>
        <w:rPr>
          <w:color w:val="000000" w:themeColor="text1"/>
        </w:rPr>
      </w:pPr>
    </w:p>
    <w:p w14:paraId="24EB37A0" w14:textId="77777777" w:rsidR="00E41DE5" w:rsidRDefault="00E41DE5" w:rsidP="00E41DE5">
      <w:pPr>
        <w:pStyle w:val="Head1"/>
        <w:spacing w:after="0"/>
        <w:jc w:val="both"/>
        <w:rPr>
          <w:rFonts w:ascii="Arial" w:hAnsi="Arial" w:cs="Arial"/>
        </w:rPr>
      </w:pPr>
    </w:p>
    <w:p w14:paraId="6EC1C0BA" w14:textId="77777777" w:rsidR="00E41DE5" w:rsidRPr="00E41DE5" w:rsidRDefault="00E41DE5" w:rsidP="00E41DE5">
      <w:pPr>
        <w:ind w:firstLine="720"/>
        <w:jc w:val="both"/>
        <w:rPr>
          <w:color w:val="000000" w:themeColor="text1"/>
        </w:rPr>
      </w:pPr>
    </w:p>
    <w:p w14:paraId="1A0B83FA" w14:textId="77777777" w:rsidR="00E41DE5" w:rsidRPr="005F2260" w:rsidRDefault="00E41DE5" w:rsidP="00E41DE5">
      <w:pPr>
        <w:spacing w:line="480" w:lineRule="auto"/>
        <w:ind w:firstLine="720"/>
        <w:jc w:val="both"/>
        <w:rPr>
          <w:color w:val="000000" w:themeColor="text1"/>
          <w:lang w:val="en-PH"/>
        </w:rPr>
      </w:pPr>
      <w:r w:rsidRPr="001060DC">
        <w:rPr>
          <w:color w:val="000000" w:themeColor="text1"/>
        </w:rPr>
        <w:t xml:space="preserve"> </w:t>
      </w:r>
    </w:p>
    <w:p w14:paraId="46D2D095" w14:textId="77777777" w:rsidR="00790ADA" w:rsidRDefault="00790ADA" w:rsidP="00441B6F">
      <w:pPr>
        <w:pStyle w:val="Body"/>
        <w:spacing w:after="0"/>
        <w:rPr>
          <w:rFonts w:ascii="Arial" w:hAnsi="Arial" w:cs="Arial"/>
        </w:rPr>
      </w:pPr>
    </w:p>
    <w:p w14:paraId="2098B7E7" w14:textId="77777777" w:rsidR="00E41DE5" w:rsidRDefault="00E41DE5" w:rsidP="00441B6F">
      <w:pPr>
        <w:pStyle w:val="Body"/>
        <w:spacing w:after="0"/>
        <w:rPr>
          <w:rFonts w:ascii="Arial" w:hAnsi="Arial" w:cs="Arial"/>
        </w:rPr>
      </w:pPr>
    </w:p>
    <w:p w14:paraId="1DD3CF3E" w14:textId="77777777" w:rsidR="00E41DE5" w:rsidRDefault="00E41DE5" w:rsidP="00441B6F">
      <w:pPr>
        <w:pStyle w:val="Body"/>
        <w:spacing w:after="0"/>
        <w:rPr>
          <w:rFonts w:ascii="Arial" w:hAnsi="Arial" w:cs="Arial"/>
        </w:rPr>
      </w:pPr>
    </w:p>
    <w:p w14:paraId="61C24B72" w14:textId="77777777" w:rsidR="00E41DE5" w:rsidRDefault="00E41DE5" w:rsidP="00441B6F">
      <w:pPr>
        <w:pStyle w:val="Body"/>
        <w:spacing w:after="0"/>
        <w:rPr>
          <w:rFonts w:ascii="Arial" w:hAnsi="Arial" w:cs="Arial"/>
        </w:rPr>
      </w:pPr>
    </w:p>
    <w:p w14:paraId="75D55104" w14:textId="77777777" w:rsidR="00E41DE5" w:rsidRDefault="00E41DE5" w:rsidP="00E41DE5">
      <w:pPr>
        <w:pStyle w:val="Head1"/>
        <w:spacing w:after="0"/>
        <w:jc w:val="both"/>
        <w:rPr>
          <w:rFonts w:ascii="Arial" w:hAnsi="Arial" w:cs="Arial"/>
          <w:caps w:val="0"/>
        </w:rPr>
      </w:pPr>
      <w:r>
        <w:rPr>
          <w:rFonts w:ascii="Arial" w:hAnsi="Arial" w:cs="Arial"/>
        </w:rPr>
        <w:t>3.</w:t>
      </w:r>
      <w:r>
        <w:rPr>
          <w:rFonts w:ascii="Arial" w:hAnsi="Arial" w:cs="Arial"/>
          <w:caps w:val="0"/>
        </w:rPr>
        <w:t>4 Research Instrument</w:t>
      </w:r>
    </w:p>
    <w:p w14:paraId="13920948" w14:textId="77777777" w:rsidR="00E41DE5" w:rsidRDefault="00E41DE5" w:rsidP="00E41DE5">
      <w:pPr>
        <w:pStyle w:val="NoSpacing1"/>
        <w:spacing w:line="240" w:lineRule="auto"/>
        <w:jc w:val="both"/>
        <w:rPr>
          <w:rFonts w:ascii="Arial" w:hAnsi="Arial" w:cs="Arial"/>
          <w:sz w:val="20"/>
          <w:szCs w:val="20"/>
        </w:rPr>
      </w:pPr>
      <w:r>
        <w:rPr>
          <w:rFonts w:ascii="Arial" w:eastAsia="Times New Roman" w:hAnsi="Arial" w:cs="Arial"/>
          <w:sz w:val="20"/>
          <w:szCs w:val="20"/>
        </w:rPr>
        <w:tab/>
      </w:r>
      <w:r w:rsidRPr="00E41DE5">
        <w:rPr>
          <w:rFonts w:ascii="Arial" w:hAnsi="Arial" w:cs="Arial"/>
          <w:sz w:val="20"/>
          <w:szCs w:val="20"/>
        </w:rPr>
        <w:t>The primary instrument for data collection will be a pretest-posttest assessment, drawn from the LEAP package provided by the Curriculum Implementation Division (CID) of the Schools Division Office (SDO) of Apayao. These tools are aligned with the targeted reading skills addressed in the LEAP intervention.</w:t>
      </w:r>
    </w:p>
    <w:p w14:paraId="647AC853" w14:textId="77777777" w:rsidR="00E41DE5" w:rsidRDefault="00E41DE5" w:rsidP="00E41DE5">
      <w:pPr>
        <w:pStyle w:val="Head1"/>
        <w:spacing w:after="0"/>
        <w:jc w:val="both"/>
        <w:rPr>
          <w:rFonts w:ascii="Arial" w:hAnsi="Arial" w:cs="Arial"/>
          <w:caps w:val="0"/>
        </w:rPr>
      </w:pPr>
      <w:r>
        <w:rPr>
          <w:rFonts w:ascii="Arial" w:hAnsi="Arial" w:cs="Arial"/>
        </w:rPr>
        <w:t>3.</w:t>
      </w:r>
      <w:r w:rsidR="00B903ED">
        <w:rPr>
          <w:rFonts w:ascii="Arial" w:hAnsi="Arial" w:cs="Arial"/>
          <w:caps w:val="0"/>
        </w:rPr>
        <w:t>5</w:t>
      </w:r>
      <w:r>
        <w:rPr>
          <w:rFonts w:ascii="Arial" w:hAnsi="Arial" w:cs="Arial"/>
          <w:caps w:val="0"/>
        </w:rPr>
        <w:t xml:space="preserve"> Data Gathering</w:t>
      </w:r>
    </w:p>
    <w:p w14:paraId="556408B2" w14:textId="77777777" w:rsidR="00E41DE5" w:rsidRDefault="00E41DE5" w:rsidP="00E41DE5">
      <w:pPr>
        <w:pStyle w:val="NoSpacing1"/>
        <w:spacing w:line="240" w:lineRule="auto"/>
        <w:jc w:val="both"/>
        <w:rPr>
          <w:rFonts w:ascii="Arial" w:hAnsi="Arial" w:cs="Arial"/>
          <w:sz w:val="20"/>
          <w:szCs w:val="20"/>
        </w:rPr>
      </w:pPr>
      <w:r>
        <w:rPr>
          <w:rFonts w:ascii="Arial" w:hAnsi="Arial" w:cs="Arial"/>
          <w:sz w:val="20"/>
          <w:szCs w:val="20"/>
        </w:rPr>
        <w:tab/>
      </w:r>
      <w:r w:rsidRPr="00E41DE5">
        <w:rPr>
          <w:rFonts w:ascii="Arial" w:hAnsi="Arial" w:cs="Arial"/>
          <w:sz w:val="20"/>
          <w:szCs w:val="20"/>
        </w:rPr>
        <w:t>The researcher will seek formal approval to conduct the study from the OIC–Public Schools District Supervisor (PSDS) of Kabugao District 1 and the School Head of Kabugao Central School. Upon approval, the LEAP project will be implemented, and both pretest and posttest assessments will be administered. Qualitative data will also be collected through interviews or reflection forms to capture learner and teacher perspectives on the program.</w:t>
      </w:r>
    </w:p>
    <w:p w14:paraId="79AE67C2" w14:textId="77777777" w:rsidR="00B903ED" w:rsidRDefault="00B903ED" w:rsidP="00E41DE5">
      <w:pPr>
        <w:pStyle w:val="NoSpacing1"/>
        <w:spacing w:line="240" w:lineRule="auto"/>
        <w:jc w:val="both"/>
        <w:rPr>
          <w:rFonts w:ascii="Arial" w:hAnsi="Arial" w:cs="Arial"/>
          <w:sz w:val="20"/>
          <w:szCs w:val="20"/>
        </w:rPr>
      </w:pPr>
    </w:p>
    <w:p w14:paraId="32CF682D" w14:textId="77777777" w:rsidR="00B903ED" w:rsidRDefault="00B903ED" w:rsidP="00B903ED">
      <w:pPr>
        <w:pStyle w:val="Head1"/>
        <w:spacing w:after="0"/>
        <w:jc w:val="both"/>
        <w:rPr>
          <w:rFonts w:ascii="Arial" w:hAnsi="Arial" w:cs="Arial"/>
          <w:caps w:val="0"/>
        </w:rPr>
      </w:pPr>
      <w:r>
        <w:rPr>
          <w:rFonts w:ascii="Arial" w:hAnsi="Arial" w:cs="Arial"/>
        </w:rPr>
        <w:lastRenderedPageBreak/>
        <w:t>3.</w:t>
      </w:r>
      <w:r>
        <w:rPr>
          <w:rFonts w:ascii="Arial" w:hAnsi="Arial" w:cs="Arial"/>
          <w:caps w:val="0"/>
        </w:rPr>
        <w:t>6 Statistical Analysis</w:t>
      </w:r>
    </w:p>
    <w:p w14:paraId="59DC5300" w14:textId="77777777" w:rsidR="00B903ED" w:rsidRDefault="00B903ED" w:rsidP="00B903ED">
      <w:pPr>
        <w:pStyle w:val="ListParagraph1"/>
        <w:spacing w:line="240" w:lineRule="auto"/>
        <w:ind w:left="0" w:firstLine="720"/>
        <w:jc w:val="both"/>
        <w:rPr>
          <w:rFonts w:ascii="Arial" w:hAnsi="Arial" w:cs="Arial"/>
          <w:color w:val="000000" w:themeColor="text1"/>
          <w:sz w:val="20"/>
          <w:szCs w:val="20"/>
        </w:rPr>
      </w:pPr>
      <w:r w:rsidRPr="00B903ED">
        <w:rPr>
          <w:rFonts w:ascii="Arial" w:hAnsi="Arial" w:cs="Arial"/>
          <w:color w:val="000000" w:themeColor="text1"/>
          <w:sz w:val="20"/>
          <w:szCs w:val="20"/>
        </w:rPr>
        <w:t>Standard deviation and mean will be utilized to compute the pretest and post-test scores to determine the reading performance of the participants. The following rubric will be used to determine the reading level of the participants based on their reading performance before and after the intervention. The rubric is presented below.</w:t>
      </w:r>
    </w:p>
    <w:p w14:paraId="7468F9DE" w14:textId="50B573B6" w:rsidR="00B903ED" w:rsidRPr="00726E07" w:rsidRDefault="00726E07" w:rsidP="00726E07">
      <w:pPr>
        <w:pStyle w:val="ListParagraph1"/>
        <w:spacing w:line="240" w:lineRule="auto"/>
        <w:ind w:left="0" w:firstLine="720"/>
        <w:jc w:val="both"/>
        <w:rPr>
          <w:rFonts w:ascii="Arial" w:hAnsi="Arial" w:cs="Arial"/>
          <w:b/>
          <w:color w:val="000000" w:themeColor="text1"/>
          <w:sz w:val="20"/>
          <w:szCs w:val="20"/>
        </w:rPr>
      </w:pPr>
      <w:r w:rsidRPr="00726E07">
        <w:rPr>
          <w:rFonts w:ascii="Arial" w:hAnsi="Arial" w:cs="Arial"/>
          <w:b/>
          <w:color w:val="000000" w:themeColor="text1"/>
          <w:sz w:val="20"/>
          <w:szCs w:val="20"/>
        </w:rPr>
        <w:t xml:space="preserve">Table 2. </w:t>
      </w:r>
      <w:r w:rsidR="00542814">
        <w:rPr>
          <w:rFonts w:ascii="Arial" w:hAnsi="Arial" w:cs="Arial"/>
          <w:b/>
          <w:color w:val="000000" w:themeColor="text1"/>
          <w:sz w:val="20"/>
          <w:szCs w:val="20"/>
        </w:rPr>
        <w:t>Determining</w:t>
      </w:r>
      <w:r w:rsidR="00542814" w:rsidRPr="00542814">
        <w:rPr>
          <w:rFonts w:ascii="Arial" w:hAnsi="Arial" w:cs="Arial"/>
          <w:b/>
          <w:color w:val="000000" w:themeColor="text1"/>
          <w:sz w:val="20"/>
          <w:szCs w:val="20"/>
        </w:rPr>
        <w:t xml:space="preserve"> the reading level of the participants before and after the intervention</w:t>
      </w:r>
    </w:p>
    <w:tbl>
      <w:tblPr>
        <w:tblStyle w:val="TableGrid"/>
        <w:tblW w:w="5000" w:type="pct"/>
        <w:jc w:val="center"/>
        <w:tblLook w:val="04A0" w:firstRow="1" w:lastRow="0" w:firstColumn="1" w:lastColumn="0" w:noHBand="0" w:noVBand="1"/>
      </w:tblPr>
      <w:tblGrid>
        <w:gridCol w:w="3186"/>
        <w:gridCol w:w="3186"/>
        <w:gridCol w:w="4644"/>
      </w:tblGrid>
      <w:tr w:rsidR="00B903ED" w:rsidRPr="00B903ED" w14:paraId="1D9F8BAC" w14:textId="77777777" w:rsidTr="0008040B">
        <w:trPr>
          <w:trHeight w:val="288"/>
          <w:jc w:val="center"/>
        </w:trPr>
        <w:tc>
          <w:tcPr>
            <w:tcW w:w="1446" w:type="pct"/>
            <w:vAlign w:val="center"/>
          </w:tcPr>
          <w:p w14:paraId="7A46B5CD" w14:textId="77777777" w:rsidR="00B903ED" w:rsidRPr="00B903ED" w:rsidRDefault="00B903ED" w:rsidP="00B903ED">
            <w:pPr>
              <w:pStyle w:val="ListParagraph1"/>
              <w:spacing w:after="0" w:line="240" w:lineRule="auto"/>
              <w:ind w:left="0"/>
              <w:jc w:val="center"/>
              <w:rPr>
                <w:rFonts w:ascii="Arial" w:hAnsi="Arial" w:cs="Arial"/>
                <w:b/>
                <w:bCs/>
                <w:sz w:val="20"/>
                <w:szCs w:val="20"/>
              </w:rPr>
            </w:pPr>
            <w:bookmarkStart w:id="3" w:name="_Hlk198201403"/>
            <w:r w:rsidRPr="00B903ED">
              <w:rPr>
                <w:rFonts w:ascii="Arial" w:hAnsi="Arial" w:cs="Arial"/>
                <w:b/>
                <w:bCs/>
                <w:sz w:val="20"/>
                <w:szCs w:val="20"/>
              </w:rPr>
              <w:t>Mean Percentage Score</w:t>
            </w:r>
          </w:p>
        </w:tc>
        <w:tc>
          <w:tcPr>
            <w:tcW w:w="1446" w:type="pct"/>
            <w:vAlign w:val="center"/>
          </w:tcPr>
          <w:p w14:paraId="05B978EE" w14:textId="77777777" w:rsidR="00B903ED" w:rsidRPr="00B903ED" w:rsidRDefault="00B903ED" w:rsidP="00B903ED">
            <w:pPr>
              <w:pStyle w:val="ListParagraph1"/>
              <w:spacing w:after="0" w:line="240" w:lineRule="auto"/>
              <w:ind w:left="0"/>
              <w:jc w:val="center"/>
              <w:rPr>
                <w:rFonts w:ascii="Arial" w:hAnsi="Arial" w:cs="Arial"/>
                <w:b/>
                <w:bCs/>
                <w:sz w:val="20"/>
                <w:szCs w:val="20"/>
              </w:rPr>
            </w:pPr>
            <w:r w:rsidRPr="00B903ED">
              <w:rPr>
                <w:rFonts w:ascii="Arial" w:hAnsi="Arial" w:cs="Arial"/>
                <w:b/>
                <w:bCs/>
                <w:sz w:val="20"/>
                <w:szCs w:val="20"/>
              </w:rPr>
              <w:t>Reading Level</w:t>
            </w:r>
          </w:p>
        </w:tc>
        <w:tc>
          <w:tcPr>
            <w:tcW w:w="2108" w:type="pct"/>
            <w:vAlign w:val="center"/>
          </w:tcPr>
          <w:p w14:paraId="3760F4E3" w14:textId="77777777" w:rsidR="00B903ED" w:rsidRPr="00B903ED" w:rsidRDefault="00B903ED" w:rsidP="00B903ED">
            <w:pPr>
              <w:pStyle w:val="ListParagraph1"/>
              <w:spacing w:after="0" w:line="240" w:lineRule="auto"/>
              <w:ind w:left="0"/>
              <w:jc w:val="center"/>
              <w:rPr>
                <w:rFonts w:ascii="Arial" w:hAnsi="Arial" w:cs="Arial"/>
                <w:b/>
                <w:bCs/>
                <w:sz w:val="20"/>
                <w:szCs w:val="20"/>
              </w:rPr>
            </w:pPr>
            <w:r w:rsidRPr="00B903ED">
              <w:rPr>
                <w:rFonts w:ascii="Arial" w:hAnsi="Arial" w:cs="Arial"/>
                <w:b/>
                <w:bCs/>
                <w:sz w:val="20"/>
                <w:szCs w:val="20"/>
              </w:rPr>
              <w:t>Interpretation</w:t>
            </w:r>
          </w:p>
        </w:tc>
      </w:tr>
      <w:tr w:rsidR="00B903ED" w:rsidRPr="00B903ED" w14:paraId="7A443B93" w14:textId="77777777" w:rsidTr="0008040B">
        <w:trPr>
          <w:trHeight w:val="432"/>
          <w:jc w:val="center"/>
        </w:trPr>
        <w:tc>
          <w:tcPr>
            <w:tcW w:w="1446" w:type="pct"/>
            <w:vAlign w:val="center"/>
          </w:tcPr>
          <w:p w14:paraId="0CBE0BD8"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74% and below</w:t>
            </w:r>
          </w:p>
        </w:tc>
        <w:tc>
          <w:tcPr>
            <w:tcW w:w="1446" w:type="pct"/>
            <w:vAlign w:val="center"/>
          </w:tcPr>
          <w:p w14:paraId="71D92672"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Starting</w:t>
            </w:r>
          </w:p>
        </w:tc>
        <w:tc>
          <w:tcPr>
            <w:tcW w:w="2108" w:type="pct"/>
            <w:vAlign w:val="center"/>
          </w:tcPr>
          <w:p w14:paraId="32A4E078"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50689393" w14:textId="77777777" w:rsidTr="0008040B">
        <w:trPr>
          <w:trHeight w:val="432"/>
          <w:jc w:val="center"/>
        </w:trPr>
        <w:tc>
          <w:tcPr>
            <w:tcW w:w="1446" w:type="pct"/>
            <w:vAlign w:val="center"/>
          </w:tcPr>
          <w:p w14:paraId="26AE6A65"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75% - 79%</w:t>
            </w:r>
          </w:p>
        </w:tc>
        <w:tc>
          <w:tcPr>
            <w:tcW w:w="1446" w:type="pct"/>
            <w:vAlign w:val="center"/>
          </w:tcPr>
          <w:p w14:paraId="0C345F10"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Improving</w:t>
            </w:r>
          </w:p>
        </w:tc>
        <w:tc>
          <w:tcPr>
            <w:tcW w:w="2108" w:type="pct"/>
            <w:vAlign w:val="center"/>
          </w:tcPr>
          <w:p w14:paraId="502FAF65"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325EA2A8" w14:textId="77777777" w:rsidTr="0008040B">
        <w:trPr>
          <w:trHeight w:val="432"/>
          <w:jc w:val="center"/>
        </w:trPr>
        <w:tc>
          <w:tcPr>
            <w:tcW w:w="1446" w:type="pct"/>
            <w:vAlign w:val="center"/>
          </w:tcPr>
          <w:p w14:paraId="56F25F18"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80% - 100%</w:t>
            </w:r>
          </w:p>
        </w:tc>
        <w:tc>
          <w:tcPr>
            <w:tcW w:w="1446" w:type="pct"/>
            <w:vAlign w:val="center"/>
          </w:tcPr>
          <w:p w14:paraId="2B36FCC1"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Improved</w:t>
            </w:r>
          </w:p>
        </w:tc>
        <w:tc>
          <w:tcPr>
            <w:tcW w:w="2108" w:type="pct"/>
            <w:vAlign w:val="center"/>
          </w:tcPr>
          <w:p w14:paraId="778B3434" w14:textId="77777777" w:rsidR="00B903ED" w:rsidRPr="00B903ED" w:rsidRDefault="00B903ED" w:rsidP="00B903ED">
            <w:pPr>
              <w:pStyle w:val="ListParagraph1"/>
              <w:spacing w:after="0" w:line="240" w:lineRule="auto"/>
              <w:ind w:left="0"/>
              <w:jc w:val="center"/>
              <w:rPr>
                <w:rFonts w:ascii="Arial" w:hAnsi="Arial" w:cs="Arial"/>
                <w:sz w:val="20"/>
                <w:szCs w:val="20"/>
              </w:rPr>
            </w:pPr>
            <w:r w:rsidRPr="00B903ED">
              <w:rPr>
                <w:rFonts w:ascii="Arial" w:hAnsi="Arial" w:cs="Arial"/>
                <w:sz w:val="20"/>
                <w:szCs w:val="20"/>
              </w:rPr>
              <w:t>Mastered full proficiency in the skill.</w:t>
            </w:r>
          </w:p>
        </w:tc>
      </w:tr>
      <w:bookmarkEnd w:id="3"/>
    </w:tbl>
    <w:p w14:paraId="7392D2EE" w14:textId="77777777" w:rsidR="00B903ED" w:rsidRPr="00B903ED" w:rsidRDefault="00B903ED" w:rsidP="00B903ED">
      <w:pPr>
        <w:pStyle w:val="ListParagraph1"/>
        <w:spacing w:line="240" w:lineRule="auto"/>
        <w:ind w:left="0" w:firstLine="720"/>
        <w:jc w:val="both"/>
        <w:rPr>
          <w:rFonts w:ascii="Arial" w:hAnsi="Arial" w:cs="Arial"/>
          <w:b/>
          <w:bCs/>
          <w:color w:val="0070C0"/>
          <w:sz w:val="20"/>
          <w:szCs w:val="20"/>
        </w:rPr>
      </w:pPr>
    </w:p>
    <w:p w14:paraId="62B2F4BD" w14:textId="77777777" w:rsidR="00B903ED" w:rsidRDefault="00B903ED" w:rsidP="00B903ED">
      <w:pPr>
        <w:pStyle w:val="ListParagraph1"/>
        <w:spacing w:line="240" w:lineRule="auto"/>
        <w:ind w:left="0" w:firstLine="720"/>
        <w:jc w:val="both"/>
        <w:rPr>
          <w:rFonts w:ascii="Arial" w:eastAsiaTheme="minorEastAsia" w:hAnsi="Arial" w:cs="Arial"/>
          <w:bCs/>
          <w:color w:val="000000" w:themeColor="text1"/>
          <w:sz w:val="20"/>
          <w:szCs w:val="20"/>
        </w:rPr>
      </w:pPr>
      <w:r w:rsidRPr="00B903ED">
        <w:rPr>
          <w:rFonts w:ascii="Arial" w:hAnsi="Arial" w:cs="Arial"/>
          <w:color w:val="000000" w:themeColor="text1"/>
          <w:sz w:val="20"/>
          <w:szCs w:val="20"/>
        </w:rPr>
        <w:t xml:space="preserve">Paired sample T-test will be used to compare the reading performance scores of learners before and after the intervention to determine if there is a statistically significant difference in their reading abilities. </w:t>
      </w:r>
      <w:r w:rsidRPr="00B903ED">
        <w:rPr>
          <w:rFonts w:ascii="Arial" w:eastAsiaTheme="minorEastAsia" w:hAnsi="Arial" w:cs="Arial"/>
          <w:bCs/>
          <w:color w:val="000000" w:themeColor="text1"/>
          <w:sz w:val="20"/>
          <w:szCs w:val="20"/>
        </w:rPr>
        <w:t>The scales below will be used to determine the difference between variables.</w:t>
      </w:r>
    </w:p>
    <w:p w14:paraId="0663CF4E" w14:textId="206A270B" w:rsidR="00726E07" w:rsidRPr="00726E07" w:rsidRDefault="00726E07" w:rsidP="00B903ED">
      <w:pPr>
        <w:pStyle w:val="ListParagraph1"/>
        <w:spacing w:line="240" w:lineRule="auto"/>
        <w:ind w:left="0" w:firstLine="720"/>
        <w:jc w:val="both"/>
        <w:rPr>
          <w:rFonts w:ascii="Arial" w:eastAsiaTheme="minorEastAsia" w:hAnsi="Arial" w:cs="Arial"/>
          <w:b/>
          <w:bCs/>
          <w:color w:val="000000" w:themeColor="text1"/>
          <w:sz w:val="20"/>
          <w:szCs w:val="20"/>
        </w:rPr>
      </w:pPr>
      <w:r w:rsidRPr="00726E07">
        <w:rPr>
          <w:rFonts w:ascii="Arial" w:eastAsiaTheme="minorEastAsia" w:hAnsi="Arial" w:cs="Arial"/>
          <w:b/>
          <w:bCs/>
          <w:color w:val="000000" w:themeColor="text1"/>
          <w:sz w:val="20"/>
          <w:szCs w:val="20"/>
        </w:rPr>
        <w:t xml:space="preserve">Table 3. </w:t>
      </w:r>
      <w:r w:rsidR="00E555E8" w:rsidRPr="00E555E8">
        <w:rPr>
          <w:rFonts w:ascii="Arial" w:eastAsiaTheme="minorEastAsia" w:hAnsi="Arial" w:cs="Arial"/>
          <w:b/>
          <w:bCs/>
          <w:color w:val="000000" w:themeColor="text1"/>
          <w:sz w:val="20"/>
          <w:szCs w:val="20"/>
        </w:rPr>
        <w:t>Interpretation of p-values based on significance levels</w:t>
      </w:r>
    </w:p>
    <w:tbl>
      <w:tblPr>
        <w:tblStyle w:val="TableGrid"/>
        <w:tblW w:w="5000" w:type="pct"/>
        <w:tblLook w:val="04A0" w:firstRow="1" w:lastRow="0" w:firstColumn="1" w:lastColumn="0" w:noHBand="0" w:noVBand="1"/>
      </w:tblPr>
      <w:tblGrid>
        <w:gridCol w:w="4741"/>
        <w:gridCol w:w="6275"/>
      </w:tblGrid>
      <w:tr w:rsidR="00B903ED" w:rsidRPr="00B903ED" w14:paraId="15BF4ADC" w14:textId="77777777" w:rsidTr="0008040B">
        <w:tc>
          <w:tcPr>
            <w:tcW w:w="2152" w:type="pct"/>
          </w:tcPr>
          <w:p w14:paraId="3E14923E" w14:textId="77777777" w:rsidR="00B903ED" w:rsidRPr="00B903ED" w:rsidRDefault="00B903ED" w:rsidP="00B903ED">
            <w:pPr>
              <w:tabs>
                <w:tab w:val="left" w:pos="810"/>
                <w:tab w:val="left" w:pos="1412"/>
              </w:tabs>
              <w:jc w:val="center"/>
              <w:rPr>
                <w:rFonts w:ascii="Arial" w:hAnsi="Arial" w:cs="Arial"/>
                <w:b/>
                <w:bCs/>
                <w:color w:val="000000" w:themeColor="text1"/>
                <w:sz w:val="20"/>
                <w:szCs w:val="20"/>
              </w:rPr>
            </w:pPr>
            <w:r w:rsidRPr="00B903ED">
              <w:rPr>
                <w:rFonts w:ascii="Arial" w:hAnsi="Arial" w:cs="Arial"/>
                <w:b/>
                <w:bCs/>
                <w:color w:val="000000" w:themeColor="text1"/>
                <w:sz w:val="20"/>
                <w:szCs w:val="20"/>
              </w:rPr>
              <w:t>Significance Level</w:t>
            </w:r>
          </w:p>
        </w:tc>
        <w:tc>
          <w:tcPr>
            <w:tcW w:w="2848" w:type="pct"/>
          </w:tcPr>
          <w:p w14:paraId="363B2320" w14:textId="77777777" w:rsidR="00B903ED" w:rsidRPr="00B903ED" w:rsidRDefault="00B903ED" w:rsidP="00B903ED">
            <w:pPr>
              <w:tabs>
                <w:tab w:val="left" w:pos="810"/>
                <w:tab w:val="left" w:pos="1412"/>
              </w:tabs>
              <w:jc w:val="center"/>
              <w:rPr>
                <w:rFonts w:ascii="Arial" w:hAnsi="Arial" w:cs="Arial"/>
                <w:b/>
                <w:bCs/>
                <w:color w:val="000000" w:themeColor="text1"/>
                <w:sz w:val="20"/>
                <w:szCs w:val="20"/>
              </w:rPr>
            </w:pPr>
            <w:r w:rsidRPr="00B903ED">
              <w:rPr>
                <w:rFonts w:ascii="Arial" w:hAnsi="Arial" w:cs="Arial"/>
                <w:b/>
                <w:bCs/>
                <w:color w:val="000000" w:themeColor="text1"/>
                <w:sz w:val="20"/>
                <w:szCs w:val="20"/>
              </w:rPr>
              <w:t>Interpretation</w:t>
            </w:r>
          </w:p>
        </w:tc>
      </w:tr>
      <w:tr w:rsidR="00B903ED" w:rsidRPr="00B903ED" w14:paraId="062E6247" w14:textId="77777777" w:rsidTr="0008040B">
        <w:tc>
          <w:tcPr>
            <w:tcW w:w="2152" w:type="pct"/>
          </w:tcPr>
          <w:p w14:paraId="66A7914B"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m:oMathPara>
              <m:oMath>
                <m:r>
                  <w:rPr>
                    <w:rFonts w:ascii="Cambria Math" w:hAnsi="Cambria Math" w:cs="Arial"/>
                    <w:color w:val="000000" w:themeColor="text1"/>
                    <w:sz w:val="20"/>
                    <w:szCs w:val="20"/>
                  </w:rPr>
                  <m:t>p≥0.05</m:t>
                </m:r>
              </m:oMath>
            </m:oMathPara>
          </w:p>
        </w:tc>
        <w:tc>
          <w:tcPr>
            <w:tcW w:w="2848" w:type="pct"/>
          </w:tcPr>
          <w:p w14:paraId="457DCD00"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w:r w:rsidRPr="00B903ED">
              <w:rPr>
                <w:rFonts w:ascii="Arial" w:hAnsi="Arial" w:cs="Arial"/>
                <w:color w:val="000000" w:themeColor="text1"/>
                <w:sz w:val="20"/>
                <w:szCs w:val="20"/>
              </w:rPr>
              <w:t>Not Significant (NS)</w:t>
            </w:r>
          </w:p>
        </w:tc>
      </w:tr>
      <w:tr w:rsidR="00B903ED" w:rsidRPr="00B903ED" w14:paraId="286A5B92" w14:textId="77777777" w:rsidTr="0008040B">
        <w:tc>
          <w:tcPr>
            <w:tcW w:w="2152" w:type="pct"/>
          </w:tcPr>
          <w:p w14:paraId="3C7CF923"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m:oMathPara>
              <m:oMath>
                <m:r>
                  <w:rPr>
                    <w:rFonts w:ascii="Cambria Math" w:hAnsi="Cambria Math" w:cs="Arial"/>
                    <w:color w:val="000000" w:themeColor="text1"/>
                    <w:sz w:val="20"/>
                    <w:szCs w:val="20"/>
                  </w:rPr>
                  <m:t>p≤0.05</m:t>
                </m:r>
              </m:oMath>
            </m:oMathPara>
          </w:p>
        </w:tc>
        <w:tc>
          <w:tcPr>
            <w:tcW w:w="2848" w:type="pct"/>
          </w:tcPr>
          <w:p w14:paraId="216E8829"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w:r w:rsidRPr="00B903ED">
              <w:rPr>
                <w:rFonts w:ascii="Arial" w:hAnsi="Arial" w:cs="Arial"/>
                <w:color w:val="000000" w:themeColor="text1"/>
                <w:sz w:val="20"/>
                <w:szCs w:val="20"/>
              </w:rPr>
              <w:t>Significant (S)</w:t>
            </w:r>
          </w:p>
        </w:tc>
      </w:tr>
      <w:tr w:rsidR="00B903ED" w:rsidRPr="00B903ED" w14:paraId="520D6F0F" w14:textId="77777777" w:rsidTr="0008040B">
        <w:tc>
          <w:tcPr>
            <w:tcW w:w="2152" w:type="pct"/>
          </w:tcPr>
          <w:p w14:paraId="1347BF3E"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m:oMathPara>
              <m:oMath>
                <m:r>
                  <w:rPr>
                    <w:rFonts w:ascii="Cambria Math" w:hAnsi="Cambria Math" w:cs="Arial"/>
                    <w:color w:val="000000" w:themeColor="text1"/>
                    <w:sz w:val="20"/>
                    <w:szCs w:val="20"/>
                  </w:rPr>
                  <m:t>p≤0.01</m:t>
                </m:r>
              </m:oMath>
            </m:oMathPara>
          </w:p>
        </w:tc>
        <w:tc>
          <w:tcPr>
            <w:tcW w:w="2848" w:type="pct"/>
          </w:tcPr>
          <w:p w14:paraId="428060C6"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w:r w:rsidRPr="00B903ED">
              <w:rPr>
                <w:rFonts w:ascii="Arial" w:hAnsi="Arial" w:cs="Arial"/>
                <w:color w:val="000000" w:themeColor="text1"/>
                <w:sz w:val="20"/>
                <w:szCs w:val="20"/>
              </w:rPr>
              <w:t>Very Significant (VS)</w:t>
            </w:r>
          </w:p>
        </w:tc>
      </w:tr>
      <w:tr w:rsidR="00B903ED" w:rsidRPr="00B903ED" w14:paraId="1E47F998" w14:textId="77777777" w:rsidTr="0008040B">
        <w:tc>
          <w:tcPr>
            <w:tcW w:w="2152" w:type="pct"/>
          </w:tcPr>
          <w:p w14:paraId="686A7833"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m:oMathPara>
              <m:oMath>
                <m:r>
                  <w:rPr>
                    <w:rFonts w:ascii="Cambria Math" w:hAnsi="Cambria Math" w:cs="Arial"/>
                    <w:color w:val="000000" w:themeColor="text1"/>
                    <w:sz w:val="20"/>
                    <w:szCs w:val="20"/>
                  </w:rPr>
                  <m:t>p≤0.001</m:t>
                </m:r>
              </m:oMath>
            </m:oMathPara>
          </w:p>
        </w:tc>
        <w:tc>
          <w:tcPr>
            <w:tcW w:w="2848" w:type="pct"/>
          </w:tcPr>
          <w:p w14:paraId="57922FFE" w14:textId="77777777" w:rsidR="00B903ED" w:rsidRPr="00B903ED" w:rsidRDefault="00B903ED" w:rsidP="00B903ED">
            <w:pPr>
              <w:tabs>
                <w:tab w:val="left" w:pos="810"/>
                <w:tab w:val="left" w:pos="1412"/>
              </w:tabs>
              <w:jc w:val="center"/>
              <w:rPr>
                <w:rFonts w:ascii="Arial" w:hAnsi="Arial" w:cs="Arial"/>
                <w:color w:val="000000" w:themeColor="text1"/>
                <w:sz w:val="20"/>
                <w:szCs w:val="20"/>
              </w:rPr>
            </w:pPr>
            <w:r w:rsidRPr="00B903ED">
              <w:rPr>
                <w:rFonts w:ascii="Arial" w:hAnsi="Arial" w:cs="Arial"/>
                <w:color w:val="000000" w:themeColor="text1"/>
                <w:sz w:val="20"/>
                <w:szCs w:val="20"/>
              </w:rPr>
              <w:t>Highly Significant (HS)</w:t>
            </w:r>
          </w:p>
        </w:tc>
      </w:tr>
    </w:tbl>
    <w:p w14:paraId="4A3EF949" w14:textId="77777777" w:rsidR="00726E07" w:rsidRDefault="00726E07" w:rsidP="00726E07">
      <w:pPr>
        <w:pStyle w:val="Head1"/>
        <w:spacing w:after="0"/>
        <w:jc w:val="both"/>
        <w:rPr>
          <w:rFonts w:ascii="Arial" w:hAnsi="Arial" w:cs="Arial"/>
        </w:rPr>
      </w:pPr>
    </w:p>
    <w:p w14:paraId="6CEE40C8" w14:textId="77777777" w:rsidR="00726E07" w:rsidRDefault="00726E07" w:rsidP="00726E07">
      <w:pPr>
        <w:pStyle w:val="Head1"/>
        <w:spacing w:after="0"/>
        <w:jc w:val="both"/>
        <w:rPr>
          <w:rFonts w:ascii="Arial" w:hAnsi="Arial" w:cs="Arial"/>
          <w:caps w:val="0"/>
        </w:rPr>
      </w:pPr>
      <w:r>
        <w:rPr>
          <w:rFonts w:ascii="Arial" w:hAnsi="Arial" w:cs="Arial"/>
        </w:rPr>
        <w:t>4.</w:t>
      </w:r>
      <w:r>
        <w:rPr>
          <w:rFonts w:ascii="Arial" w:hAnsi="Arial" w:cs="Arial"/>
          <w:caps w:val="0"/>
        </w:rPr>
        <w:t xml:space="preserve"> RESULT AND DISCUSSION</w:t>
      </w:r>
    </w:p>
    <w:p w14:paraId="0B381BA4" w14:textId="77777777" w:rsidR="00F60708" w:rsidRDefault="00B903ED" w:rsidP="00F60708">
      <w:pPr>
        <w:spacing w:after="240"/>
        <w:ind w:firstLine="720"/>
        <w:jc w:val="both"/>
        <w:rPr>
          <w:rFonts w:ascii="Arial" w:hAnsi="Arial" w:cs="Arial"/>
          <w:color w:val="000000" w:themeColor="text1"/>
        </w:rPr>
      </w:pPr>
      <w:r w:rsidRPr="00B903ED">
        <w:rPr>
          <w:rFonts w:ascii="Arial" w:hAnsi="Arial" w:cs="Arial"/>
        </w:rPr>
        <w:t xml:space="preserve">This chapter presents the results, analysis and interpretation of to </w:t>
      </w:r>
      <w:r w:rsidRPr="00B903ED">
        <w:rPr>
          <w:rFonts w:ascii="Arial" w:hAnsi="Arial" w:cs="Arial"/>
          <w:color w:val="000000" w:themeColor="text1"/>
        </w:rPr>
        <w:t>evaluate the effectiveness of the Learning Engagement and Assessment Project (LEAP) in enhancing the reading performance of learners at Kabugao Central School during the SY 2024-2025,</w:t>
      </w:r>
    </w:p>
    <w:p w14:paraId="0289141C" w14:textId="77777777" w:rsidR="00F60708" w:rsidRPr="00F60708" w:rsidRDefault="00F60708" w:rsidP="00F60708">
      <w:pPr>
        <w:spacing w:after="240"/>
        <w:jc w:val="both"/>
        <w:rPr>
          <w:rFonts w:ascii="Arial" w:hAnsi="Arial" w:cs="Arial"/>
          <w:b/>
          <w:color w:val="000000" w:themeColor="text1"/>
          <w:sz w:val="22"/>
        </w:rPr>
      </w:pPr>
      <w:r w:rsidRPr="00F60708">
        <w:rPr>
          <w:rFonts w:ascii="Arial" w:hAnsi="Arial" w:cs="Arial"/>
          <w:b/>
          <w:bCs/>
          <w:color w:val="000000" w:themeColor="text1"/>
          <w:sz w:val="22"/>
        </w:rPr>
        <w:t xml:space="preserve">4.1  </w:t>
      </w:r>
      <w:r>
        <w:rPr>
          <w:rFonts w:ascii="Arial" w:hAnsi="Arial" w:cs="Arial"/>
          <w:b/>
          <w:sz w:val="22"/>
        </w:rPr>
        <w:t>T</w:t>
      </w:r>
      <w:r w:rsidRPr="00F60708">
        <w:rPr>
          <w:rFonts w:ascii="Arial" w:hAnsi="Arial" w:cs="Arial"/>
          <w:b/>
          <w:sz w:val="22"/>
        </w:rPr>
        <w:t>he level of the reading performance of learners before the implementation of project LEAP</w:t>
      </w:r>
    </w:p>
    <w:p w14:paraId="5FD52C1E" w14:textId="77777777" w:rsidR="00B903ED" w:rsidRPr="00F60708" w:rsidRDefault="00B903ED" w:rsidP="00B903ED">
      <w:pPr>
        <w:ind w:left="-142"/>
        <w:jc w:val="both"/>
        <w:rPr>
          <w:rFonts w:ascii="Arial" w:hAnsi="Arial" w:cs="Arial"/>
          <w:b/>
          <w:bCs/>
          <w:color w:val="000000" w:themeColor="text1"/>
        </w:rPr>
      </w:pPr>
      <w:r w:rsidRPr="00B903ED">
        <w:rPr>
          <w:rFonts w:ascii="Arial" w:hAnsi="Arial" w:cs="Arial"/>
          <w:b/>
          <w:bCs/>
          <w:color w:val="000000" w:themeColor="text1"/>
        </w:rPr>
        <w:t xml:space="preserve">Table </w:t>
      </w:r>
      <w:r w:rsidR="00726E07">
        <w:rPr>
          <w:rFonts w:ascii="Arial" w:hAnsi="Arial" w:cs="Arial"/>
          <w:b/>
          <w:bCs/>
          <w:color w:val="000000" w:themeColor="text1"/>
        </w:rPr>
        <w:t>4</w:t>
      </w:r>
      <w:r w:rsidRPr="00B903ED">
        <w:rPr>
          <w:rFonts w:ascii="Arial" w:hAnsi="Arial" w:cs="Arial"/>
          <w:b/>
          <w:bCs/>
          <w:color w:val="000000" w:themeColor="text1"/>
        </w:rPr>
        <w:t>:</w:t>
      </w:r>
      <w:r w:rsidRPr="00B903ED">
        <w:rPr>
          <w:rFonts w:ascii="Arial" w:hAnsi="Arial" w:cs="Arial"/>
          <w:b/>
          <w:bCs/>
        </w:rPr>
        <w:t xml:space="preserve"> Level of Reading Performance of Learners Before the Implementation of Project LEAP</w:t>
      </w:r>
    </w:p>
    <w:tbl>
      <w:tblPr>
        <w:tblStyle w:val="TableGrid"/>
        <w:tblW w:w="8784" w:type="dxa"/>
        <w:tblLayout w:type="fixed"/>
        <w:tblLook w:val="04A0" w:firstRow="1" w:lastRow="0" w:firstColumn="1" w:lastColumn="0" w:noHBand="0" w:noVBand="1"/>
      </w:tblPr>
      <w:tblGrid>
        <w:gridCol w:w="846"/>
        <w:gridCol w:w="1134"/>
        <w:gridCol w:w="1134"/>
        <w:gridCol w:w="850"/>
        <w:gridCol w:w="1418"/>
        <w:gridCol w:w="3402"/>
      </w:tblGrid>
      <w:tr w:rsidR="00B903ED" w:rsidRPr="00B903ED" w14:paraId="66EE58C3" w14:textId="77777777" w:rsidTr="0008040B">
        <w:tc>
          <w:tcPr>
            <w:tcW w:w="846" w:type="dxa"/>
            <w:vAlign w:val="center"/>
          </w:tcPr>
          <w:p w14:paraId="100A72B7"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Resp.</w:t>
            </w:r>
          </w:p>
        </w:tc>
        <w:tc>
          <w:tcPr>
            <w:tcW w:w="1134" w:type="dxa"/>
            <w:vAlign w:val="center"/>
          </w:tcPr>
          <w:p w14:paraId="7BDF8B9A"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Correct Words</w:t>
            </w:r>
          </w:p>
        </w:tc>
        <w:tc>
          <w:tcPr>
            <w:tcW w:w="1134" w:type="dxa"/>
            <w:vAlign w:val="center"/>
          </w:tcPr>
          <w:p w14:paraId="49FB8AD5"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Miscues</w:t>
            </w:r>
          </w:p>
        </w:tc>
        <w:tc>
          <w:tcPr>
            <w:tcW w:w="850" w:type="dxa"/>
            <w:vAlign w:val="center"/>
          </w:tcPr>
          <w:p w14:paraId="5209D8D5"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MPS (%)</w:t>
            </w:r>
          </w:p>
        </w:tc>
        <w:tc>
          <w:tcPr>
            <w:tcW w:w="1418" w:type="dxa"/>
            <w:vAlign w:val="center"/>
          </w:tcPr>
          <w:p w14:paraId="5ED039D8"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Reading Level</w:t>
            </w:r>
          </w:p>
        </w:tc>
        <w:tc>
          <w:tcPr>
            <w:tcW w:w="3402" w:type="dxa"/>
            <w:vAlign w:val="center"/>
          </w:tcPr>
          <w:p w14:paraId="754804D5"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Interpretation</w:t>
            </w:r>
          </w:p>
        </w:tc>
      </w:tr>
      <w:tr w:rsidR="00B903ED" w:rsidRPr="00B903ED" w14:paraId="53ED677F" w14:textId="77777777" w:rsidTr="0008040B">
        <w:tc>
          <w:tcPr>
            <w:tcW w:w="846" w:type="dxa"/>
            <w:vAlign w:val="center"/>
          </w:tcPr>
          <w:p w14:paraId="60D01491"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29B1F5D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w:t>
            </w:r>
          </w:p>
        </w:tc>
        <w:tc>
          <w:tcPr>
            <w:tcW w:w="1134" w:type="dxa"/>
            <w:vAlign w:val="center"/>
          </w:tcPr>
          <w:p w14:paraId="2B2FFF0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6B58BBC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84.0</w:t>
            </w:r>
          </w:p>
        </w:tc>
        <w:tc>
          <w:tcPr>
            <w:tcW w:w="1418" w:type="dxa"/>
            <w:vAlign w:val="center"/>
          </w:tcPr>
          <w:p w14:paraId="4628157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0ACC1FD2"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56A839F1" w14:textId="77777777" w:rsidTr="0008040B">
        <w:tc>
          <w:tcPr>
            <w:tcW w:w="846" w:type="dxa"/>
            <w:vAlign w:val="center"/>
          </w:tcPr>
          <w:p w14:paraId="55A8536B"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3595195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w:t>
            </w:r>
          </w:p>
        </w:tc>
        <w:tc>
          <w:tcPr>
            <w:tcW w:w="1134" w:type="dxa"/>
            <w:vAlign w:val="center"/>
          </w:tcPr>
          <w:p w14:paraId="33FB21C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444AFDE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80.0</w:t>
            </w:r>
          </w:p>
        </w:tc>
        <w:tc>
          <w:tcPr>
            <w:tcW w:w="1418" w:type="dxa"/>
            <w:vAlign w:val="center"/>
          </w:tcPr>
          <w:p w14:paraId="0BFC168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60F94A67"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6157CC1" w14:textId="77777777" w:rsidTr="0008040B">
        <w:tc>
          <w:tcPr>
            <w:tcW w:w="846" w:type="dxa"/>
            <w:vAlign w:val="center"/>
          </w:tcPr>
          <w:p w14:paraId="0EC3BB4E"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05F5504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w:t>
            </w:r>
          </w:p>
        </w:tc>
        <w:tc>
          <w:tcPr>
            <w:tcW w:w="1134" w:type="dxa"/>
            <w:vAlign w:val="center"/>
          </w:tcPr>
          <w:p w14:paraId="2F150BA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556C11E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78.0</w:t>
            </w:r>
          </w:p>
        </w:tc>
        <w:tc>
          <w:tcPr>
            <w:tcW w:w="1418" w:type="dxa"/>
            <w:vAlign w:val="center"/>
          </w:tcPr>
          <w:p w14:paraId="2DF7B2C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1291FFF8"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2BDD4354" w14:textId="77777777" w:rsidTr="0008040B">
        <w:tc>
          <w:tcPr>
            <w:tcW w:w="846" w:type="dxa"/>
            <w:vAlign w:val="center"/>
          </w:tcPr>
          <w:p w14:paraId="015F9950"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B89311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77</w:t>
            </w:r>
          </w:p>
        </w:tc>
        <w:tc>
          <w:tcPr>
            <w:tcW w:w="1134" w:type="dxa"/>
            <w:vAlign w:val="center"/>
          </w:tcPr>
          <w:p w14:paraId="692CD41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23</w:t>
            </w:r>
          </w:p>
        </w:tc>
        <w:tc>
          <w:tcPr>
            <w:tcW w:w="850" w:type="dxa"/>
            <w:vAlign w:val="center"/>
          </w:tcPr>
          <w:p w14:paraId="77D2278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77.0</w:t>
            </w:r>
          </w:p>
        </w:tc>
        <w:tc>
          <w:tcPr>
            <w:tcW w:w="1418" w:type="dxa"/>
            <w:vAlign w:val="center"/>
          </w:tcPr>
          <w:p w14:paraId="5443AC2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433037E6"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0AD72A45" w14:textId="77777777" w:rsidTr="0008040B">
        <w:tc>
          <w:tcPr>
            <w:tcW w:w="846" w:type="dxa"/>
            <w:vAlign w:val="center"/>
          </w:tcPr>
          <w:p w14:paraId="626CC003"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010F0C6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w:t>
            </w:r>
          </w:p>
        </w:tc>
        <w:tc>
          <w:tcPr>
            <w:tcW w:w="1134" w:type="dxa"/>
            <w:vAlign w:val="center"/>
          </w:tcPr>
          <w:p w14:paraId="395BB90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0ED6848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84.0</w:t>
            </w:r>
          </w:p>
        </w:tc>
        <w:tc>
          <w:tcPr>
            <w:tcW w:w="1418" w:type="dxa"/>
            <w:vAlign w:val="center"/>
          </w:tcPr>
          <w:p w14:paraId="56A6464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43E387A2"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50AD1AFF" w14:textId="77777777" w:rsidTr="0008040B">
        <w:tc>
          <w:tcPr>
            <w:tcW w:w="846" w:type="dxa"/>
            <w:vAlign w:val="center"/>
          </w:tcPr>
          <w:p w14:paraId="7B7D596D"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12DCABE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w:t>
            </w:r>
          </w:p>
        </w:tc>
        <w:tc>
          <w:tcPr>
            <w:tcW w:w="1134" w:type="dxa"/>
            <w:vAlign w:val="center"/>
          </w:tcPr>
          <w:p w14:paraId="36BC6A5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7548F4E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80.0</w:t>
            </w:r>
          </w:p>
        </w:tc>
        <w:tc>
          <w:tcPr>
            <w:tcW w:w="1418" w:type="dxa"/>
            <w:vAlign w:val="center"/>
          </w:tcPr>
          <w:p w14:paraId="0AE9406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31597A14"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EC7D127" w14:textId="77777777" w:rsidTr="0008040B">
        <w:tc>
          <w:tcPr>
            <w:tcW w:w="846" w:type="dxa"/>
            <w:vAlign w:val="center"/>
          </w:tcPr>
          <w:p w14:paraId="1BF1784A"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19A0659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69</w:t>
            </w:r>
          </w:p>
        </w:tc>
        <w:tc>
          <w:tcPr>
            <w:tcW w:w="1134" w:type="dxa"/>
            <w:vAlign w:val="center"/>
          </w:tcPr>
          <w:p w14:paraId="3965CF8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31</w:t>
            </w:r>
          </w:p>
        </w:tc>
        <w:tc>
          <w:tcPr>
            <w:tcW w:w="850" w:type="dxa"/>
            <w:vAlign w:val="center"/>
          </w:tcPr>
          <w:p w14:paraId="11D77C6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69.0</w:t>
            </w:r>
          </w:p>
        </w:tc>
        <w:tc>
          <w:tcPr>
            <w:tcW w:w="1418" w:type="dxa"/>
            <w:vAlign w:val="center"/>
          </w:tcPr>
          <w:p w14:paraId="12CC801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4A5BCCAC"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219465FC" w14:textId="77777777" w:rsidTr="0008040B">
        <w:tc>
          <w:tcPr>
            <w:tcW w:w="846" w:type="dxa"/>
            <w:vAlign w:val="center"/>
          </w:tcPr>
          <w:p w14:paraId="12AFA9E0"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7814AEA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w:t>
            </w:r>
          </w:p>
        </w:tc>
        <w:tc>
          <w:tcPr>
            <w:tcW w:w="1134" w:type="dxa"/>
            <w:vAlign w:val="center"/>
          </w:tcPr>
          <w:p w14:paraId="4C7CD99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6CB4543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80.0</w:t>
            </w:r>
          </w:p>
        </w:tc>
        <w:tc>
          <w:tcPr>
            <w:tcW w:w="1418" w:type="dxa"/>
            <w:vAlign w:val="center"/>
          </w:tcPr>
          <w:p w14:paraId="5D0EA99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168C5B39"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67404C75" w14:textId="77777777" w:rsidTr="0008040B">
        <w:tc>
          <w:tcPr>
            <w:tcW w:w="846" w:type="dxa"/>
            <w:vAlign w:val="center"/>
          </w:tcPr>
          <w:p w14:paraId="55194AF0"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65CC39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74</w:t>
            </w:r>
          </w:p>
        </w:tc>
        <w:tc>
          <w:tcPr>
            <w:tcW w:w="1134" w:type="dxa"/>
            <w:vAlign w:val="center"/>
          </w:tcPr>
          <w:p w14:paraId="6FC828A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26</w:t>
            </w:r>
          </w:p>
        </w:tc>
        <w:tc>
          <w:tcPr>
            <w:tcW w:w="850" w:type="dxa"/>
            <w:vAlign w:val="center"/>
          </w:tcPr>
          <w:p w14:paraId="6CCBB23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74.0</w:t>
            </w:r>
          </w:p>
        </w:tc>
        <w:tc>
          <w:tcPr>
            <w:tcW w:w="1418" w:type="dxa"/>
            <w:vAlign w:val="center"/>
          </w:tcPr>
          <w:p w14:paraId="5D806FB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2349F4C7"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4FF124F6" w14:textId="77777777" w:rsidTr="0008040B">
        <w:tc>
          <w:tcPr>
            <w:tcW w:w="846" w:type="dxa"/>
            <w:vAlign w:val="center"/>
          </w:tcPr>
          <w:p w14:paraId="28C2205D"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3A604CE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77</w:t>
            </w:r>
          </w:p>
        </w:tc>
        <w:tc>
          <w:tcPr>
            <w:tcW w:w="1134" w:type="dxa"/>
            <w:vAlign w:val="center"/>
          </w:tcPr>
          <w:p w14:paraId="1B74025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23</w:t>
            </w:r>
          </w:p>
        </w:tc>
        <w:tc>
          <w:tcPr>
            <w:tcW w:w="850" w:type="dxa"/>
            <w:vAlign w:val="center"/>
          </w:tcPr>
          <w:p w14:paraId="4C8A2F6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77.0</w:t>
            </w:r>
          </w:p>
        </w:tc>
        <w:tc>
          <w:tcPr>
            <w:tcW w:w="1418" w:type="dxa"/>
            <w:vAlign w:val="center"/>
          </w:tcPr>
          <w:p w14:paraId="6C484E1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2CE7B400"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639C2DF0" w14:textId="77777777" w:rsidTr="0008040B">
        <w:tc>
          <w:tcPr>
            <w:tcW w:w="846" w:type="dxa"/>
            <w:vAlign w:val="center"/>
          </w:tcPr>
          <w:p w14:paraId="7123DDB6"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07FD81F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w:t>
            </w:r>
          </w:p>
        </w:tc>
        <w:tc>
          <w:tcPr>
            <w:tcW w:w="1134" w:type="dxa"/>
            <w:vAlign w:val="center"/>
          </w:tcPr>
          <w:p w14:paraId="2370658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29F4DD9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84.0</w:t>
            </w:r>
          </w:p>
        </w:tc>
        <w:tc>
          <w:tcPr>
            <w:tcW w:w="1418" w:type="dxa"/>
            <w:vAlign w:val="center"/>
          </w:tcPr>
          <w:p w14:paraId="31E5BE0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55B6DF2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2ABFF1F1" w14:textId="77777777" w:rsidTr="0008040B">
        <w:tc>
          <w:tcPr>
            <w:tcW w:w="846" w:type="dxa"/>
            <w:vAlign w:val="center"/>
          </w:tcPr>
          <w:p w14:paraId="799B4EAA"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5625C0F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w:t>
            </w:r>
          </w:p>
        </w:tc>
        <w:tc>
          <w:tcPr>
            <w:tcW w:w="1134" w:type="dxa"/>
            <w:vAlign w:val="center"/>
          </w:tcPr>
          <w:p w14:paraId="0168FBF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339798C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80.0</w:t>
            </w:r>
          </w:p>
        </w:tc>
        <w:tc>
          <w:tcPr>
            <w:tcW w:w="1418" w:type="dxa"/>
            <w:vAlign w:val="center"/>
          </w:tcPr>
          <w:p w14:paraId="59CC3CB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0B432A71"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71A97EB6" w14:textId="77777777" w:rsidTr="0008040B">
        <w:tc>
          <w:tcPr>
            <w:tcW w:w="846" w:type="dxa"/>
            <w:vAlign w:val="center"/>
          </w:tcPr>
          <w:p w14:paraId="20B16991"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512BB04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72</w:t>
            </w:r>
          </w:p>
        </w:tc>
        <w:tc>
          <w:tcPr>
            <w:tcW w:w="1134" w:type="dxa"/>
            <w:vAlign w:val="center"/>
          </w:tcPr>
          <w:p w14:paraId="14173E8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28</w:t>
            </w:r>
          </w:p>
        </w:tc>
        <w:tc>
          <w:tcPr>
            <w:tcW w:w="850" w:type="dxa"/>
            <w:vAlign w:val="center"/>
          </w:tcPr>
          <w:p w14:paraId="5AC6C8F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72.0</w:t>
            </w:r>
          </w:p>
        </w:tc>
        <w:tc>
          <w:tcPr>
            <w:tcW w:w="1418" w:type="dxa"/>
            <w:vAlign w:val="center"/>
          </w:tcPr>
          <w:p w14:paraId="1718723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1FE36514"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5E74B01F" w14:textId="77777777" w:rsidTr="0008040B">
        <w:tc>
          <w:tcPr>
            <w:tcW w:w="846" w:type="dxa"/>
            <w:vAlign w:val="center"/>
          </w:tcPr>
          <w:p w14:paraId="0E6F1324"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563E0BD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74</w:t>
            </w:r>
          </w:p>
        </w:tc>
        <w:tc>
          <w:tcPr>
            <w:tcW w:w="1134" w:type="dxa"/>
            <w:vAlign w:val="center"/>
          </w:tcPr>
          <w:p w14:paraId="2559270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26</w:t>
            </w:r>
          </w:p>
        </w:tc>
        <w:tc>
          <w:tcPr>
            <w:tcW w:w="850" w:type="dxa"/>
            <w:vAlign w:val="center"/>
          </w:tcPr>
          <w:p w14:paraId="683BDF6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74.0</w:t>
            </w:r>
          </w:p>
        </w:tc>
        <w:tc>
          <w:tcPr>
            <w:tcW w:w="1418" w:type="dxa"/>
            <w:vAlign w:val="center"/>
          </w:tcPr>
          <w:p w14:paraId="5BF78AA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428E0C25"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282390EC" w14:textId="77777777" w:rsidTr="0008040B">
        <w:tc>
          <w:tcPr>
            <w:tcW w:w="846" w:type="dxa"/>
            <w:vAlign w:val="center"/>
          </w:tcPr>
          <w:p w14:paraId="3D957672"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29EDBD7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w:t>
            </w:r>
          </w:p>
        </w:tc>
        <w:tc>
          <w:tcPr>
            <w:tcW w:w="1134" w:type="dxa"/>
            <w:vAlign w:val="center"/>
          </w:tcPr>
          <w:p w14:paraId="2089839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56896AF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78.0</w:t>
            </w:r>
          </w:p>
        </w:tc>
        <w:tc>
          <w:tcPr>
            <w:tcW w:w="1418" w:type="dxa"/>
            <w:vAlign w:val="center"/>
          </w:tcPr>
          <w:p w14:paraId="70D9EB1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731C84E7"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7CCE5B11" w14:textId="77777777" w:rsidTr="0008040B">
        <w:tc>
          <w:tcPr>
            <w:tcW w:w="846" w:type="dxa"/>
            <w:vAlign w:val="center"/>
          </w:tcPr>
          <w:p w14:paraId="777B8313"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58606BD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79</w:t>
            </w:r>
          </w:p>
        </w:tc>
        <w:tc>
          <w:tcPr>
            <w:tcW w:w="1134" w:type="dxa"/>
            <w:vAlign w:val="center"/>
          </w:tcPr>
          <w:p w14:paraId="0615B50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21</w:t>
            </w:r>
          </w:p>
        </w:tc>
        <w:tc>
          <w:tcPr>
            <w:tcW w:w="850" w:type="dxa"/>
            <w:vAlign w:val="center"/>
          </w:tcPr>
          <w:p w14:paraId="09CDAD0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79.0</w:t>
            </w:r>
          </w:p>
        </w:tc>
        <w:tc>
          <w:tcPr>
            <w:tcW w:w="1418" w:type="dxa"/>
            <w:vAlign w:val="center"/>
          </w:tcPr>
          <w:p w14:paraId="32747C5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39D35E1D"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 xml:space="preserve">Needs minimal guidance to achieve </w:t>
            </w:r>
            <w:r w:rsidRPr="00B903ED">
              <w:rPr>
                <w:rFonts w:ascii="Arial" w:hAnsi="Arial" w:cs="Arial"/>
                <w:sz w:val="20"/>
                <w:szCs w:val="20"/>
              </w:rPr>
              <w:lastRenderedPageBreak/>
              <w:t>proficiency in the skill.</w:t>
            </w:r>
          </w:p>
        </w:tc>
      </w:tr>
      <w:tr w:rsidR="00B903ED" w:rsidRPr="00B903ED" w14:paraId="79BC84BA" w14:textId="77777777" w:rsidTr="0008040B">
        <w:tc>
          <w:tcPr>
            <w:tcW w:w="846" w:type="dxa"/>
            <w:vAlign w:val="center"/>
          </w:tcPr>
          <w:p w14:paraId="1388A7E5"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7C9DB47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72</w:t>
            </w:r>
          </w:p>
        </w:tc>
        <w:tc>
          <w:tcPr>
            <w:tcW w:w="1134" w:type="dxa"/>
            <w:vAlign w:val="center"/>
          </w:tcPr>
          <w:p w14:paraId="4920FC8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28</w:t>
            </w:r>
          </w:p>
        </w:tc>
        <w:tc>
          <w:tcPr>
            <w:tcW w:w="850" w:type="dxa"/>
            <w:vAlign w:val="center"/>
          </w:tcPr>
          <w:p w14:paraId="1184324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72.0</w:t>
            </w:r>
          </w:p>
        </w:tc>
        <w:tc>
          <w:tcPr>
            <w:tcW w:w="1418" w:type="dxa"/>
            <w:vAlign w:val="center"/>
          </w:tcPr>
          <w:p w14:paraId="178A0EA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266131B4"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4948FA60" w14:textId="77777777" w:rsidTr="0008040B">
        <w:tc>
          <w:tcPr>
            <w:tcW w:w="846" w:type="dxa"/>
            <w:vAlign w:val="center"/>
          </w:tcPr>
          <w:p w14:paraId="503CD891"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94D1C6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76</w:t>
            </w:r>
          </w:p>
        </w:tc>
        <w:tc>
          <w:tcPr>
            <w:tcW w:w="1134" w:type="dxa"/>
            <w:vAlign w:val="center"/>
          </w:tcPr>
          <w:p w14:paraId="2E475A3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24</w:t>
            </w:r>
          </w:p>
        </w:tc>
        <w:tc>
          <w:tcPr>
            <w:tcW w:w="850" w:type="dxa"/>
            <w:vAlign w:val="center"/>
          </w:tcPr>
          <w:p w14:paraId="025C855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76.0</w:t>
            </w:r>
          </w:p>
        </w:tc>
        <w:tc>
          <w:tcPr>
            <w:tcW w:w="1418" w:type="dxa"/>
            <w:vAlign w:val="center"/>
          </w:tcPr>
          <w:p w14:paraId="3274052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27F6FCB2"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71BEDC4D" w14:textId="77777777" w:rsidTr="0008040B">
        <w:tc>
          <w:tcPr>
            <w:tcW w:w="846" w:type="dxa"/>
            <w:vAlign w:val="center"/>
          </w:tcPr>
          <w:p w14:paraId="0FBA1A2E"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718B205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66</w:t>
            </w:r>
          </w:p>
        </w:tc>
        <w:tc>
          <w:tcPr>
            <w:tcW w:w="1134" w:type="dxa"/>
            <w:vAlign w:val="center"/>
          </w:tcPr>
          <w:p w14:paraId="01657ED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34</w:t>
            </w:r>
          </w:p>
        </w:tc>
        <w:tc>
          <w:tcPr>
            <w:tcW w:w="850" w:type="dxa"/>
            <w:vAlign w:val="center"/>
          </w:tcPr>
          <w:p w14:paraId="2DBF6C5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66.0</w:t>
            </w:r>
          </w:p>
        </w:tc>
        <w:tc>
          <w:tcPr>
            <w:tcW w:w="1418" w:type="dxa"/>
            <w:vAlign w:val="center"/>
          </w:tcPr>
          <w:p w14:paraId="23AC6A4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2876D465"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1ADC1D02" w14:textId="77777777" w:rsidTr="0008040B">
        <w:tc>
          <w:tcPr>
            <w:tcW w:w="846" w:type="dxa"/>
            <w:vAlign w:val="center"/>
          </w:tcPr>
          <w:p w14:paraId="4216619B"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6FAB61A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w:t>
            </w:r>
          </w:p>
        </w:tc>
        <w:tc>
          <w:tcPr>
            <w:tcW w:w="1134" w:type="dxa"/>
            <w:vAlign w:val="center"/>
          </w:tcPr>
          <w:p w14:paraId="1CCD540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0C1D51C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78.0</w:t>
            </w:r>
          </w:p>
        </w:tc>
        <w:tc>
          <w:tcPr>
            <w:tcW w:w="1418" w:type="dxa"/>
            <w:vAlign w:val="center"/>
          </w:tcPr>
          <w:p w14:paraId="5BD82DB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0F5DC1AF"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3F14E905" w14:textId="77777777" w:rsidTr="0008040B">
        <w:tc>
          <w:tcPr>
            <w:tcW w:w="846" w:type="dxa"/>
            <w:vAlign w:val="center"/>
          </w:tcPr>
          <w:p w14:paraId="0951A5AE"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1C4DB06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79</w:t>
            </w:r>
          </w:p>
        </w:tc>
        <w:tc>
          <w:tcPr>
            <w:tcW w:w="1134" w:type="dxa"/>
            <w:vAlign w:val="center"/>
          </w:tcPr>
          <w:p w14:paraId="6B75D92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21</w:t>
            </w:r>
          </w:p>
        </w:tc>
        <w:tc>
          <w:tcPr>
            <w:tcW w:w="850" w:type="dxa"/>
            <w:vAlign w:val="center"/>
          </w:tcPr>
          <w:p w14:paraId="231896A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79.0</w:t>
            </w:r>
          </w:p>
        </w:tc>
        <w:tc>
          <w:tcPr>
            <w:tcW w:w="1418" w:type="dxa"/>
            <w:vAlign w:val="center"/>
          </w:tcPr>
          <w:p w14:paraId="0158EE6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4BBD7A98"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315C1293" w14:textId="77777777" w:rsidTr="0008040B">
        <w:tc>
          <w:tcPr>
            <w:tcW w:w="846" w:type="dxa"/>
            <w:vAlign w:val="center"/>
          </w:tcPr>
          <w:p w14:paraId="203C34EB"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0C6D58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w:t>
            </w:r>
          </w:p>
        </w:tc>
        <w:tc>
          <w:tcPr>
            <w:tcW w:w="1134" w:type="dxa"/>
            <w:vAlign w:val="center"/>
          </w:tcPr>
          <w:p w14:paraId="26FA00F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6004FA8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78.0</w:t>
            </w:r>
          </w:p>
        </w:tc>
        <w:tc>
          <w:tcPr>
            <w:tcW w:w="1418" w:type="dxa"/>
            <w:vAlign w:val="center"/>
          </w:tcPr>
          <w:p w14:paraId="3A0BAFE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6D675CB2"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2AD3F858" w14:textId="77777777" w:rsidTr="0008040B">
        <w:tc>
          <w:tcPr>
            <w:tcW w:w="846" w:type="dxa"/>
            <w:vAlign w:val="center"/>
          </w:tcPr>
          <w:p w14:paraId="34415942"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A0A1A3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79</w:t>
            </w:r>
          </w:p>
        </w:tc>
        <w:tc>
          <w:tcPr>
            <w:tcW w:w="1134" w:type="dxa"/>
            <w:vAlign w:val="center"/>
          </w:tcPr>
          <w:p w14:paraId="009D40C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21</w:t>
            </w:r>
          </w:p>
        </w:tc>
        <w:tc>
          <w:tcPr>
            <w:tcW w:w="850" w:type="dxa"/>
            <w:vAlign w:val="center"/>
          </w:tcPr>
          <w:p w14:paraId="2BCB932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79.0</w:t>
            </w:r>
          </w:p>
        </w:tc>
        <w:tc>
          <w:tcPr>
            <w:tcW w:w="1418" w:type="dxa"/>
            <w:vAlign w:val="center"/>
          </w:tcPr>
          <w:p w14:paraId="3BD8E5C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0AF3175D"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6D071311" w14:textId="77777777" w:rsidTr="0008040B">
        <w:tc>
          <w:tcPr>
            <w:tcW w:w="846" w:type="dxa"/>
            <w:vAlign w:val="center"/>
          </w:tcPr>
          <w:p w14:paraId="20EB0C3B"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7440F91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81</w:t>
            </w:r>
          </w:p>
        </w:tc>
        <w:tc>
          <w:tcPr>
            <w:tcW w:w="1134" w:type="dxa"/>
            <w:vAlign w:val="center"/>
          </w:tcPr>
          <w:p w14:paraId="7BA1CAE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19</w:t>
            </w:r>
          </w:p>
        </w:tc>
        <w:tc>
          <w:tcPr>
            <w:tcW w:w="850" w:type="dxa"/>
            <w:vAlign w:val="center"/>
          </w:tcPr>
          <w:p w14:paraId="08F1625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81.0</w:t>
            </w:r>
          </w:p>
        </w:tc>
        <w:tc>
          <w:tcPr>
            <w:tcW w:w="1418" w:type="dxa"/>
            <w:vAlign w:val="center"/>
          </w:tcPr>
          <w:p w14:paraId="2F55C75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08CE4A5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1A8DFFB" w14:textId="77777777" w:rsidTr="0008040B">
        <w:tc>
          <w:tcPr>
            <w:tcW w:w="846" w:type="dxa"/>
            <w:vAlign w:val="center"/>
          </w:tcPr>
          <w:p w14:paraId="4373721B"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3EED444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82</w:t>
            </w:r>
          </w:p>
        </w:tc>
        <w:tc>
          <w:tcPr>
            <w:tcW w:w="1134" w:type="dxa"/>
            <w:vAlign w:val="center"/>
          </w:tcPr>
          <w:p w14:paraId="2F6078A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18</w:t>
            </w:r>
          </w:p>
        </w:tc>
        <w:tc>
          <w:tcPr>
            <w:tcW w:w="850" w:type="dxa"/>
            <w:vAlign w:val="center"/>
          </w:tcPr>
          <w:p w14:paraId="2300C4D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82.0</w:t>
            </w:r>
          </w:p>
        </w:tc>
        <w:tc>
          <w:tcPr>
            <w:tcW w:w="1418" w:type="dxa"/>
            <w:vAlign w:val="center"/>
          </w:tcPr>
          <w:p w14:paraId="6F8BDB0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635E3F22"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0E50E5A" w14:textId="77777777" w:rsidTr="0008040B">
        <w:tc>
          <w:tcPr>
            <w:tcW w:w="846" w:type="dxa"/>
            <w:vAlign w:val="center"/>
          </w:tcPr>
          <w:p w14:paraId="36A577DA"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04F3AD9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77</w:t>
            </w:r>
          </w:p>
        </w:tc>
        <w:tc>
          <w:tcPr>
            <w:tcW w:w="1134" w:type="dxa"/>
            <w:vAlign w:val="center"/>
          </w:tcPr>
          <w:p w14:paraId="1357CAC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23</w:t>
            </w:r>
          </w:p>
        </w:tc>
        <w:tc>
          <w:tcPr>
            <w:tcW w:w="850" w:type="dxa"/>
            <w:vAlign w:val="center"/>
          </w:tcPr>
          <w:p w14:paraId="2A0A37D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77.0</w:t>
            </w:r>
          </w:p>
        </w:tc>
        <w:tc>
          <w:tcPr>
            <w:tcW w:w="1418" w:type="dxa"/>
            <w:vAlign w:val="center"/>
          </w:tcPr>
          <w:p w14:paraId="650CF1E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3CA8C046"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5A1FFF37" w14:textId="77777777" w:rsidTr="0008040B">
        <w:tc>
          <w:tcPr>
            <w:tcW w:w="846" w:type="dxa"/>
            <w:vAlign w:val="center"/>
          </w:tcPr>
          <w:p w14:paraId="5E647320"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EA18A0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75</w:t>
            </w:r>
          </w:p>
        </w:tc>
        <w:tc>
          <w:tcPr>
            <w:tcW w:w="1134" w:type="dxa"/>
            <w:vAlign w:val="center"/>
          </w:tcPr>
          <w:p w14:paraId="263A4FD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25</w:t>
            </w:r>
          </w:p>
        </w:tc>
        <w:tc>
          <w:tcPr>
            <w:tcW w:w="850" w:type="dxa"/>
            <w:vAlign w:val="center"/>
          </w:tcPr>
          <w:p w14:paraId="2614F41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75.0</w:t>
            </w:r>
          </w:p>
        </w:tc>
        <w:tc>
          <w:tcPr>
            <w:tcW w:w="1418" w:type="dxa"/>
            <w:vAlign w:val="center"/>
          </w:tcPr>
          <w:p w14:paraId="0CE6120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714E0B9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4A458C22" w14:textId="77777777" w:rsidTr="0008040B">
        <w:tc>
          <w:tcPr>
            <w:tcW w:w="846" w:type="dxa"/>
            <w:vAlign w:val="center"/>
          </w:tcPr>
          <w:p w14:paraId="188ECCF4"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39597CA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w:t>
            </w:r>
          </w:p>
        </w:tc>
        <w:tc>
          <w:tcPr>
            <w:tcW w:w="1134" w:type="dxa"/>
            <w:vAlign w:val="center"/>
          </w:tcPr>
          <w:p w14:paraId="39105F4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4424C2C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78.0</w:t>
            </w:r>
          </w:p>
        </w:tc>
        <w:tc>
          <w:tcPr>
            <w:tcW w:w="1418" w:type="dxa"/>
            <w:vAlign w:val="center"/>
          </w:tcPr>
          <w:p w14:paraId="5150E97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Improving</w:t>
            </w:r>
          </w:p>
        </w:tc>
        <w:tc>
          <w:tcPr>
            <w:tcW w:w="3402" w:type="dxa"/>
            <w:vAlign w:val="center"/>
          </w:tcPr>
          <w:p w14:paraId="281860C7"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minimal guidance to achieve proficiency in the skill.</w:t>
            </w:r>
          </w:p>
        </w:tc>
      </w:tr>
      <w:tr w:rsidR="00B903ED" w:rsidRPr="00B903ED" w14:paraId="6AE32A31" w14:textId="77777777" w:rsidTr="0008040B">
        <w:tc>
          <w:tcPr>
            <w:tcW w:w="846" w:type="dxa"/>
            <w:vAlign w:val="center"/>
          </w:tcPr>
          <w:p w14:paraId="691DC605"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3642AD9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82</w:t>
            </w:r>
          </w:p>
        </w:tc>
        <w:tc>
          <w:tcPr>
            <w:tcW w:w="1134" w:type="dxa"/>
            <w:vAlign w:val="center"/>
          </w:tcPr>
          <w:p w14:paraId="3709884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18</w:t>
            </w:r>
          </w:p>
        </w:tc>
        <w:tc>
          <w:tcPr>
            <w:tcW w:w="850" w:type="dxa"/>
            <w:vAlign w:val="center"/>
          </w:tcPr>
          <w:p w14:paraId="03BD647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82.0</w:t>
            </w:r>
          </w:p>
        </w:tc>
        <w:tc>
          <w:tcPr>
            <w:tcW w:w="1418" w:type="dxa"/>
            <w:vAlign w:val="center"/>
          </w:tcPr>
          <w:p w14:paraId="13C3A87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54235791"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1DE87CC0" w14:textId="77777777" w:rsidTr="0008040B">
        <w:tc>
          <w:tcPr>
            <w:tcW w:w="846" w:type="dxa"/>
            <w:vAlign w:val="center"/>
          </w:tcPr>
          <w:p w14:paraId="27D695CF"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6E3DF15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67</w:t>
            </w:r>
          </w:p>
        </w:tc>
        <w:tc>
          <w:tcPr>
            <w:tcW w:w="1134" w:type="dxa"/>
            <w:vAlign w:val="center"/>
          </w:tcPr>
          <w:p w14:paraId="5960EAA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33</w:t>
            </w:r>
          </w:p>
        </w:tc>
        <w:tc>
          <w:tcPr>
            <w:tcW w:w="850" w:type="dxa"/>
            <w:vAlign w:val="center"/>
          </w:tcPr>
          <w:p w14:paraId="7616E44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67.0</w:t>
            </w:r>
          </w:p>
        </w:tc>
        <w:tc>
          <w:tcPr>
            <w:tcW w:w="1418" w:type="dxa"/>
            <w:vAlign w:val="center"/>
          </w:tcPr>
          <w:p w14:paraId="674163C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Starting</w:t>
            </w:r>
          </w:p>
        </w:tc>
        <w:tc>
          <w:tcPr>
            <w:tcW w:w="3402" w:type="dxa"/>
            <w:vAlign w:val="center"/>
          </w:tcPr>
          <w:p w14:paraId="529E4C78"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Needs close guidance to develop proficiency in the skill.</w:t>
            </w:r>
          </w:p>
        </w:tc>
      </w:tr>
      <w:tr w:rsidR="00B903ED" w:rsidRPr="00B903ED" w14:paraId="4DC1BBE6" w14:textId="77777777" w:rsidTr="0008040B">
        <w:tc>
          <w:tcPr>
            <w:tcW w:w="846" w:type="dxa"/>
            <w:vAlign w:val="center"/>
          </w:tcPr>
          <w:p w14:paraId="7B068D77"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456E058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w:t>
            </w:r>
          </w:p>
        </w:tc>
        <w:tc>
          <w:tcPr>
            <w:tcW w:w="1134" w:type="dxa"/>
            <w:vAlign w:val="center"/>
          </w:tcPr>
          <w:p w14:paraId="28D6796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46FB9C0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84.0</w:t>
            </w:r>
          </w:p>
        </w:tc>
        <w:tc>
          <w:tcPr>
            <w:tcW w:w="1418" w:type="dxa"/>
            <w:vAlign w:val="center"/>
          </w:tcPr>
          <w:p w14:paraId="3D9DF3A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6F98A368"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4395FA4" w14:textId="77777777" w:rsidTr="0008040B">
        <w:tc>
          <w:tcPr>
            <w:tcW w:w="846" w:type="dxa"/>
            <w:vAlign w:val="center"/>
          </w:tcPr>
          <w:p w14:paraId="1C524EC8" w14:textId="77777777" w:rsidR="00B903ED" w:rsidRPr="00B903ED" w:rsidRDefault="00B903ED" w:rsidP="00B903ED">
            <w:pPr>
              <w:pStyle w:val="ListParagraph"/>
              <w:numPr>
                <w:ilvl w:val="0"/>
                <w:numId w:val="32"/>
              </w:numPr>
              <w:ind w:left="744" w:hanging="567"/>
              <w:jc w:val="center"/>
              <w:rPr>
                <w:rFonts w:ascii="Arial" w:hAnsi="Arial" w:cs="Arial"/>
                <w:sz w:val="20"/>
                <w:szCs w:val="20"/>
              </w:rPr>
            </w:pPr>
          </w:p>
        </w:tc>
        <w:tc>
          <w:tcPr>
            <w:tcW w:w="1134" w:type="dxa"/>
            <w:vAlign w:val="center"/>
          </w:tcPr>
          <w:p w14:paraId="1CA51B8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w:t>
            </w:r>
          </w:p>
        </w:tc>
        <w:tc>
          <w:tcPr>
            <w:tcW w:w="1134" w:type="dxa"/>
            <w:vAlign w:val="center"/>
          </w:tcPr>
          <w:p w14:paraId="051E183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6E928C8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80.0</w:t>
            </w:r>
          </w:p>
        </w:tc>
        <w:tc>
          <w:tcPr>
            <w:tcW w:w="1418" w:type="dxa"/>
            <w:vAlign w:val="center"/>
          </w:tcPr>
          <w:p w14:paraId="07250B0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vAlign w:val="center"/>
          </w:tcPr>
          <w:p w14:paraId="3323EC9F"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39B0E05" w14:textId="77777777" w:rsidTr="0008040B">
        <w:tc>
          <w:tcPr>
            <w:tcW w:w="3964" w:type="dxa"/>
            <w:gridSpan w:val="4"/>
            <w:vAlign w:val="center"/>
          </w:tcPr>
          <w:p w14:paraId="2816BBD2" w14:textId="77777777" w:rsidR="00B903ED" w:rsidRPr="00B903ED" w:rsidRDefault="00B903ED" w:rsidP="00B903ED">
            <w:pPr>
              <w:jc w:val="right"/>
              <w:rPr>
                <w:rFonts w:ascii="Arial" w:hAnsi="Arial" w:cs="Arial"/>
                <w:b/>
                <w:bCs/>
                <w:sz w:val="20"/>
                <w:szCs w:val="20"/>
              </w:rPr>
            </w:pPr>
            <w:r w:rsidRPr="00B903ED">
              <w:rPr>
                <w:rFonts w:ascii="Arial" w:hAnsi="Arial" w:cs="Arial"/>
                <w:b/>
                <w:bCs/>
                <w:sz w:val="20"/>
                <w:szCs w:val="20"/>
              </w:rPr>
              <w:t>Overall MPS = 77.63</w:t>
            </w:r>
          </w:p>
          <w:p w14:paraId="0B302555" w14:textId="77777777" w:rsidR="00B903ED" w:rsidRPr="00B903ED" w:rsidRDefault="00B903ED" w:rsidP="00B903ED">
            <w:pPr>
              <w:jc w:val="right"/>
              <w:rPr>
                <w:rFonts w:ascii="Arial" w:hAnsi="Arial" w:cs="Arial"/>
                <w:b/>
                <w:bCs/>
                <w:sz w:val="20"/>
                <w:szCs w:val="20"/>
              </w:rPr>
            </w:pPr>
            <w:r w:rsidRPr="00B903ED">
              <w:rPr>
                <w:rFonts w:ascii="Arial" w:hAnsi="Arial" w:cs="Arial"/>
                <w:b/>
                <w:bCs/>
                <w:sz w:val="20"/>
                <w:szCs w:val="20"/>
              </w:rPr>
              <w:t>Standard Deviation = 4.65</w:t>
            </w:r>
          </w:p>
        </w:tc>
        <w:tc>
          <w:tcPr>
            <w:tcW w:w="1418" w:type="dxa"/>
            <w:vAlign w:val="center"/>
          </w:tcPr>
          <w:p w14:paraId="5114F0A4"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Improving</w:t>
            </w:r>
          </w:p>
        </w:tc>
        <w:tc>
          <w:tcPr>
            <w:tcW w:w="3402" w:type="dxa"/>
            <w:vAlign w:val="center"/>
          </w:tcPr>
          <w:p w14:paraId="2B609759" w14:textId="77777777" w:rsidR="00B903ED" w:rsidRPr="00B903ED" w:rsidRDefault="00B903ED" w:rsidP="00B903ED">
            <w:pPr>
              <w:rPr>
                <w:rFonts w:ascii="Arial" w:hAnsi="Arial" w:cs="Arial"/>
                <w:b/>
                <w:bCs/>
                <w:sz w:val="20"/>
                <w:szCs w:val="20"/>
              </w:rPr>
            </w:pPr>
            <w:r w:rsidRPr="00B903ED">
              <w:rPr>
                <w:rFonts w:ascii="Arial" w:hAnsi="Arial" w:cs="Arial"/>
                <w:b/>
                <w:bCs/>
                <w:sz w:val="20"/>
                <w:szCs w:val="20"/>
              </w:rPr>
              <w:t>Needs minimal guidance to achieve proficiency in the skill.</w:t>
            </w:r>
          </w:p>
        </w:tc>
      </w:tr>
    </w:tbl>
    <w:p w14:paraId="5E75A3BE" w14:textId="77777777" w:rsidR="00B903ED" w:rsidRDefault="00B903ED" w:rsidP="00B903ED">
      <w:pPr>
        <w:spacing w:after="240"/>
        <w:ind w:left="-142" w:firstLine="862"/>
        <w:jc w:val="both"/>
        <w:rPr>
          <w:rFonts w:ascii="Arial" w:hAnsi="Arial" w:cs="Arial"/>
          <w:color w:val="000000" w:themeColor="text1"/>
          <w:lang w:val="en-PH"/>
        </w:rPr>
      </w:pPr>
      <w:r w:rsidRPr="00B903ED">
        <w:rPr>
          <w:rFonts w:ascii="Arial" w:hAnsi="Arial" w:cs="Arial"/>
          <w:color w:val="000000" w:themeColor="text1"/>
          <w:lang w:val="en-PH"/>
        </w:rPr>
        <w:t xml:space="preserve">The results in Table </w:t>
      </w:r>
      <w:r w:rsidR="00726E07">
        <w:rPr>
          <w:rFonts w:ascii="Arial" w:hAnsi="Arial" w:cs="Arial"/>
          <w:color w:val="000000" w:themeColor="text1"/>
          <w:lang w:val="en-PH"/>
        </w:rPr>
        <w:t>4</w:t>
      </w:r>
      <w:r w:rsidRPr="00B903ED">
        <w:rPr>
          <w:rFonts w:ascii="Arial" w:hAnsi="Arial" w:cs="Arial"/>
          <w:color w:val="000000" w:themeColor="text1"/>
          <w:lang w:val="en-PH"/>
        </w:rPr>
        <w:t xml:space="preserve"> reveal that prior to the implementation of Project LEAP, the overall mean percentage score (MPS) of learners in </w:t>
      </w:r>
      <w:proofErr w:type="spellStart"/>
      <w:r w:rsidRPr="00B903ED">
        <w:rPr>
          <w:rFonts w:ascii="Arial" w:hAnsi="Arial" w:cs="Arial"/>
          <w:color w:val="000000" w:themeColor="text1"/>
          <w:lang w:val="en-PH"/>
        </w:rPr>
        <w:t>Kabugao</w:t>
      </w:r>
      <w:proofErr w:type="spellEnd"/>
      <w:r w:rsidRPr="00B903ED">
        <w:rPr>
          <w:rFonts w:ascii="Arial" w:hAnsi="Arial" w:cs="Arial"/>
          <w:color w:val="000000" w:themeColor="text1"/>
          <w:lang w:val="en-PH"/>
        </w:rPr>
        <w:t xml:space="preserve"> Central School was 77.63, with a standard deviation of 4.65. This score corresponds to the “Improving” reading level, indicating that most learners were nearing proficiency but still required minimal guidance to master the skill. Out of the 32 learners, a significant portion—13 students—already achieved an “Improved” level, demonstrating full mastery of reading proficiency. Meanwhile, 15 students were at the “Improving” stage, and 7 were still at the “Starting” level, indicating a need for close guidance and support. These findings imply that although a portion of the learners had solid reading skills, a substantial number still struggled with fluency and comprehension, highlighting the necessity of implementing Project LEAP as an intervention to further enhance reading engagement and elevate the proficiency levels across the cohort. This baseline data provides a critical foundation for evaluating the program’s effectiveness in addressing these learning gaps.</w:t>
      </w:r>
      <w:r w:rsidRPr="00B903ED">
        <w:rPr>
          <w:rFonts w:ascii="Arial" w:hAnsi="Arial" w:cs="Arial"/>
        </w:rPr>
        <w:t xml:space="preserve"> T</w:t>
      </w:r>
      <w:r w:rsidRPr="00B903ED">
        <w:rPr>
          <w:rFonts w:ascii="Arial" w:hAnsi="Arial" w:cs="Arial"/>
          <w:color w:val="000000" w:themeColor="text1"/>
        </w:rPr>
        <w:t>he results aligned in the study of [3], which emphasized that increasing reading comprehension and engagement through concept-oriented reading instruction significantly enhances learners’ motivation and proficiency. Like the findings in Kabugao Central School, their study demonstrated that when students are actively engaged through structured and meaningful interventions—such as Project LEAP—they exhibit notable gains in reading performance. This supports the idea that targeted reading programs not only help struggling readers progress but also sustain the momentum of those already showing improvement.</w:t>
      </w:r>
      <w:r w:rsidRPr="00B903ED">
        <w:rPr>
          <w:rFonts w:ascii="Arial" w:hAnsi="Arial" w:cs="Arial"/>
          <w:color w:val="000000" w:themeColor="text1"/>
          <w:lang w:val="en-PH"/>
        </w:rPr>
        <w:t xml:space="preserve"> </w:t>
      </w:r>
    </w:p>
    <w:p w14:paraId="62178644" w14:textId="77777777" w:rsidR="00D028B4" w:rsidRPr="00D028B4" w:rsidRDefault="00D028B4" w:rsidP="00D028B4">
      <w:pPr>
        <w:spacing w:after="240"/>
        <w:jc w:val="both"/>
        <w:rPr>
          <w:rFonts w:ascii="Arial" w:hAnsi="Arial" w:cs="Arial"/>
          <w:b/>
          <w:color w:val="000000" w:themeColor="text1"/>
          <w:sz w:val="22"/>
        </w:rPr>
      </w:pPr>
      <w:r w:rsidRPr="00F60708">
        <w:rPr>
          <w:rFonts w:ascii="Arial" w:hAnsi="Arial" w:cs="Arial"/>
          <w:b/>
          <w:bCs/>
          <w:color w:val="000000" w:themeColor="text1"/>
          <w:sz w:val="22"/>
        </w:rPr>
        <w:t xml:space="preserve">4.1 </w:t>
      </w:r>
      <w:r>
        <w:rPr>
          <w:rFonts w:ascii="Arial" w:hAnsi="Arial" w:cs="Arial"/>
          <w:b/>
          <w:sz w:val="22"/>
        </w:rPr>
        <w:t>T</w:t>
      </w:r>
      <w:r w:rsidRPr="00F60708">
        <w:rPr>
          <w:rFonts w:ascii="Arial" w:hAnsi="Arial" w:cs="Arial"/>
          <w:b/>
          <w:sz w:val="22"/>
        </w:rPr>
        <w:t xml:space="preserve">he level of the reading performance of learners </w:t>
      </w:r>
      <w:r>
        <w:rPr>
          <w:rFonts w:ascii="Arial" w:hAnsi="Arial" w:cs="Arial"/>
          <w:b/>
          <w:sz w:val="22"/>
        </w:rPr>
        <w:t>after</w:t>
      </w:r>
      <w:r w:rsidRPr="00F60708">
        <w:rPr>
          <w:rFonts w:ascii="Arial" w:hAnsi="Arial" w:cs="Arial"/>
          <w:b/>
          <w:sz w:val="22"/>
        </w:rPr>
        <w:t xml:space="preserve"> the implementation of project LEAP</w:t>
      </w:r>
    </w:p>
    <w:p w14:paraId="3B86BB2A" w14:textId="77777777" w:rsidR="00B903ED" w:rsidRPr="00B903ED" w:rsidRDefault="00B903ED" w:rsidP="00B903ED">
      <w:pPr>
        <w:ind w:left="-142"/>
        <w:jc w:val="both"/>
        <w:rPr>
          <w:rFonts w:ascii="Arial" w:hAnsi="Arial" w:cs="Arial"/>
          <w:b/>
          <w:bCs/>
        </w:rPr>
      </w:pPr>
      <w:r w:rsidRPr="00B903ED">
        <w:rPr>
          <w:rFonts w:ascii="Arial" w:hAnsi="Arial" w:cs="Arial"/>
          <w:b/>
          <w:bCs/>
          <w:color w:val="000000" w:themeColor="text1"/>
        </w:rPr>
        <w:t xml:space="preserve">Table </w:t>
      </w:r>
      <w:r w:rsidR="00726E07">
        <w:rPr>
          <w:rFonts w:ascii="Arial" w:hAnsi="Arial" w:cs="Arial"/>
          <w:b/>
          <w:bCs/>
          <w:color w:val="000000" w:themeColor="text1"/>
        </w:rPr>
        <w:t>5</w:t>
      </w:r>
      <w:r w:rsidRPr="00B903ED">
        <w:rPr>
          <w:rFonts w:ascii="Arial" w:hAnsi="Arial" w:cs="Arial"/>
          <w:b/>
          <w:bCs/>
          <w:color w:val="000000" w:themeColor="text1"/>
        </w:rPr>
        <w:t>:</w:t>
      </w:r>
      <w:r w:rsidRPr="00B903ED">
        <w:rPr>
          <w:rFonts w:ascii="Arial" w:hAnsi="Arial" w:cs="Arial"/>
          <w:b/>
          <w:bCs/>
        </w:rPr>
        <w:t xml:space="preserve"> Level of Reading Performance of Learners After the Implementation of Project LEAP</w:t>
      </w:r>
    </w:p>
    <w:tbl>
      <w:tblPr>
        <w:tblStyle w:val="TableGrid"/>
        <w:tblW w:w="8784" w:type="dxa"/>
        <w:tblLayout w:type="fixed"/>
        <w:tblLook w:val="04A0" w:firstRow="1" w:lastRow="0" w:firstColumn="1" w:lastColumn="0" w:noHBand="0" w:noVBand="1"/>
      </w:tblPr>
      <w:tblGrid>
        <w:gridCol w:w="846"/>
        <w:gridCol w:w="1134"/>
        <w:gridCol w:w="1134"/>
        <w:gridCol w:w="850"/>
        <w:gridCol w:w="1418"/>
        <w:gridCol w:w="3402"/>
      </w:tblGrid>
      <w:tr w:rsidR="00B903ED" w:rsidRPr="00B903ED" w14:paraId="5905D68D" w14:textId="77777777" w:rsidTr="0008040B">
        <w:tc>
          <w:tcPr>
            <w:tcW w:w="846" w:type="dxa"/>
            <w:vAlign w:val="center"/>
          </w:tcPr>
          <w:p w14:paraId="3AC719A4"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Resp.</w:t>
            </w:r>
          </w:p>
        </w:tc>
        <w:tc>
          <w:tcPr>
            <w:tcW w:w="1134" w:type="dxa"/>
            <w:vAlign w:val="center"/>
          </w:tcPr>
          <w:p w14:paraId="032F8B30"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Correct Words</w:t>
            </w:r>
          </w:p>
        </w:tc>
        <w:tc>
          <w:tcPr>
            <w:tcW w:w="1134" w:type="dxa"/>
            <w:vAlign w:val="center"/>
          </w:tcPr>
          <w:p w14:paraId="51FB6569"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Miscues</w:t>
            </w:r>
          </w:p>
        </w:tc>
        <w:tc>
          <w:tcPr>
            <w:tcW w:w="850" w:type="dxa"/>
            <w:vAlign w:val="center"/>
          </w:tcPr>
          <w:p w14:paraId="346E5719"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MPS (%)</w:t>
            </w:r>
          </w:p>
        </w:tc>
        <w:tc>
          <w:tcPr>
            <w:tcW w:w="1418" w:type="dxa"/>
            <w:vAlign w:val="center"/>
          </w:tcPr>
          <w:p w14:paraId="08101E6C"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Reading Level</w:t>
            </w:r>
          </w:p>
        </w:tc>
        <w:tc>
          <w:tcPr>
            <w:tcW w:w="3402" w:type="dxa"/>
            <w:vAlign w:val="center"/>
          </w:tcPr>
          <w:p w14:paraId="6D6BBB85"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Interpretation</w:t>
            </w:r>
          </w:p>
        </w:tc>
      </w:tr>
      <w:tr w:rsidR="00B903ED" w:rsidRPr="00B903ED" w14:paraId="37BF12C7" w14:textId="77777777" w:rsidTr="0008040B">
        <w:tc>
          <w:tcPr>
            <w:tcW w:w="846" w:type="dxa"/>
            <w:vAlign w:val="center"/>
          </w:tcPr>
          <w:p w14:paraId="5004B52A" w14:textId="77777777" w:rsidR="00B903ED" w:rsidRPr="00B903ED" w:rsidRDefault="00B903ED" w:rsidP="00B903ED">
            <w:pPr>
              <w:pStyle w:val="ListParagraph"/>
              <w:numPr>
                <w:ilvl w:val="0"/>
                <w:numId w:val="33"/>
              </w:numPr>
              <w:ind w:left="319"/>
              <w:jc w:val="center"/>
              <w:rPr>
                <w:rFonts w:ascii="Arial" w:hAnsi="Arial" w:cs="Arial"/>
                <w:sz w:val="20"/>
                <w:szCs w:val="20"/>
              </w:rPr>
            </w:pPr>
          </w:p>
        </w:tc>
        <w:tc>
          <w:tcPr>
            <w:tcW w:w="1134" w:type="dxa"/>
            <w:vAlign w:val="center"/>
          </w:tcPr>
          <w:p w14:paraId="5FA6F33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91</w:t>
            </w:r>
          </w:p>
        </w:tc>
        <w:tc>
          <w:tcPr>
            <w:tcW w:w="1134" w:type="dxa"/>
            <w:vAlign w:val="center"/>
          </w:tcPr>
          <w:p w14:paraId="22CD282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33890E5F"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91.0</w:t>
            </w:r>
          </w:p>
        </w:tc>
        <w:tc>
          <w:tcPr>
            <w:tcW w:w="1418" w:type="dxa"/>
            <w:vAlign w:val="center"/>
          </w:tcPr>
          <w:p w14:paraId="2BF9159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DBD71B0"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9799C19" w14:textId="77777777" w:rsidTr="0008040B">
        <w:tc>
          <w:tcPr>
            <w:tcW w:w="846" w:type="dxa"/>
            <w:vAlign w:val="center"/>
          </w:tcPr>
          <w:p w14:paraId="38402BB8"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10D9FA0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1558A8C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054F4E1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4E733E2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3624B67D"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6550E86A" w14:textId="77777777" w:rsidTr="0008040B">
        <w:tc>
          <w:tcPr>
            <w:tcW w:w="846" w:type="dxa"/>
            <w:vAlign w:val="center"/>
          </w:tcPr>
          <w:p w14:paraId="096637E3"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17AB9E9"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96</w:t>
            </w:r>
          </w:p>
        </w:tc>
        <w:tc>
          <w:tcPr>
            <w:tcW w:w="1134" w:type="dxa"/>
            <w:vAlign w:val="center"/>
          </w:tcPr>
          <w:p w14:paraId="4C3AED3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0BAA70EF"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96.0</w:t>
            </w:r>
          </w:p>
        </w:tc>
        <w:tc>
          <w:tcPr>
            <w:tcW w:w="1418" w:type="dxa"/>
            <w:vAlign w:val="center"/>
          </w:tcPr>
          <w:p w14:paraId="24BB252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3A8D99C5"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1DD5159D" w14:textId="77777777" w:rsidTr="0008040B">
        <w:tc>
          <w:tcPr>
            <w:tcW w:w="846" w:type="dxa"/>
            <w:vAlign w:val="center"/>
          </w:tcPr>
          <w:p w14:paraId="6BF12025"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1C6B0C07"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89</w:t>
            </w:r>
          </w:p>
        </w:tc>
        <w:tc>
          <w:tcPr>
            <w:tcW w:w="1134" w:type="dxa"/>
            <w:vAlign w:val="center"/>
          </w:tcPr>
          <w:p w14:paraId="51B9214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23</w:t>
            </w:r>
          </w:p>
        </w:tc>
        <w:tc>
          <w:tcPr>
            <w:tcW w:w="850" w:type="dxa"/>
            <w:vAlign w:val="center"/>
          </w:tcPr>
          <w:p w14:paraId="463DF46F"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89.0</w:t>
            </w:r>
          </w:p>
        </w:tc>
        <w:tc>
          <w:tcPr>
            <w:tcW w:w="1418" w:type="dxa"/>
            <w:vAlign w:val="center"/>
          </w:tcPr>
          <w:p w14:paraId="51D7322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47AB9DE4"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589FAB48" w14:textId="77777777" w:rsidTr="0008040B">
        <w:tc>
          <w:tcPr>
            <w:tcW w:w="846" w:type="dxa"/>
            <w:vAlign w:val="center"/>
          </w:tcPr>
          <w:p w14:paraId="12AADD16"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FF05F8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88</w:t>
            </w:r>
          </w:p>
        </w:tc>
        <w:tc>
          <w:tcPr>
            <w:tcW w:w="1134" w:type="dxa"/>
            <w:vAlign w:val="center"/>
          </w:tcPr>
          <w:p w14:paraId="038E4D7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053D716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88.0</w:t>
            </w:r>
          </w:p>
        </w:tc>
        <w:tc>
          <w:tcPr>
            <w:tcW w:w="1418" w:type="dxa"/>
            <w:vAlign w:val="center"/>
          </w:tcPr>
          <w:p w14:paraId="2134E46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52ADE52"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69328E48" w14:textId="77777777" w:rsidTr="0008040B">
        <w:tc>
          <w:tcPr>
            <w:tcW w:w="846" w:type="dxa"/>
            <w:vAlign w:val="center"/>
          </w:tcPr>
          <w:p w14:paraId="007ACB8B"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01DF3392"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6ACA11A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6513053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25BB273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17DBE024"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1B09C6C2" w14:textId="77777777" w:rsidTr="0008040B">
        <w:tc>
          <w:tcPr>
            <w:tcW w:w="846" w:type="dxa"/>
            <w:vAlign w:val="center"/>
          </w:tcPr>
          <w:p w14:paraId="53894BC1"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552BFEA8"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13D5612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31</w:t>
            </w:r>
          </w:p>
        </w:tc>
        <w:tc>
          <w:tcPr>
            <w:tcW w:w="850" w:type="dxa"/>
            <w:vAlign w:val="center"/>
          </w:tcPr>
          <w:p w14:paraId="7BFDD5A2"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53F9A35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2AFBDAE8"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78D0618F" w14:textId="77777777" w:rsidTr="0008040B">
        <w:tc>
          <w:tcPr>
            <w:tcW w:w="846" w:type="dxa"/>
            <w:vAlign w:val="center"/>
          </w:tcPr>
          <w:p w14:paraId="611AB719"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58EF23E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90</w:t>
            </w:r>
          </w:p>
        </w:tc>
        <w:tc>
          <w:tcPr>
            <w:tcW w:w="1134" w:type="dxa"/>
            <w:vAlign w:val="center"/>
          </w:tcPr>
          <w:p w14:paraId="69405AD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64EA87E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90.0</w:t>
            </w:r>
          </w:p>
        </w:tc>
        <w:tc>
          <w:tcPr>
            <w:tcW w:w="1418" w:type="dxa"/>
            <w:vAlign w:val="center"/>
          </w:tcPr>
          <w:p w14:paraId="146BBA67"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3DAB7F8"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022EB57" w14:textId="77777777" w:rsidTr="0008040B">
        <w:tc>
          <w:tcPr>
            <w:tcW w:w="846" w:type="dxa"/>
            <w:vAlign w:val="center"/>
          </w:tcPr>
          <w:p w14:paraId="6D3B9B30"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22BD848A"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93</w:t>
            </w:r>
          </w:p>
        </w:tc>
        <w:tc>
          <w:tcPr>
            <w:tcW w:w="1134" w:type="dxa"/>
            <w:vAlign w:val="center"/>
          </w:tcPr>
          <w:p w14:paraId="5B925E9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26</w:t>
            </w:r>
          </w:p>
        </w:tc>
        <w:tc>
          <w:tcPr>
            <w:tcW w:w="850" w:type="dxa"/>
            <w:vAlign w:val="center"/>
          </w:tcPr>
          <w:p w14:paraId="194403D4"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93.0</w:t>
            </w:r>
          </w:p>
        </w:tc>
        <w:tc>
          <w:tcPr>
            <w:tcW w:w="1418" w:type="dxa"/>
            <w:vAlign w:val="center"/>
          </w:tcPr>
          <w:p w14:paraId="6153933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5E445FF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FDE15B6" w14:textId="77777777" w:rsidTr="0008040B">
        <w:tc>
          <w:tcPr>
            <w:tcW w:w="846" w:type="dxa"/>
            <w:vAlign w:val="center"/>
          </w:tcPr>
          <w:p w14:paraId="56AB2333"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7E723703"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7EB5745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23</w:t>
            </w:r>
          </w:p>
        </w:tc>
        <w:tc>
          <w:tcPr>
            <w:tcW w:w="850" w:type="dxa"/>
            <w:vAlign w:val="center"/>
          </w:tcPr>
          <w:p w14:paraId="123DDA72"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69F205F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4DC3B5D"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7CFA76A8" w14:textId="77777777" w:rsidTr="0008040B">
        <w:tc>
          <w:tcPr>
            <w:tcW w:w="846" w:type="dxa"/>
            <w:vAlign w:val="center"/>
          </w:tcPr>
          <w:p w14:paraId="55F3A010"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7E506172"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91</w:t>
            </w:r>
          </w:p>
        </w:tc>
        <w:tc>
          <w:tcPr>
            <w:tcW w:w="1134" w:type="dxa"/>
            <w:vAlign w:val="center"/>
          </w:tcPr>
          <w:p w14:paraId="6CB7583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50C0DF8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91.0</w:t>
            </w:r>
          </w:p>
        </w:tc>
        <w:tc>
          <w:tcPr>
            <w:tcW w:w="1418" w:type="dxa"/>
            <w:vAlign w:val="center"/>
          </w:tcPr>
          <w:p w14:paraId="124BD68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2727B8D"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4022EA8" w14:textId="77777777" w:rsidTr="0008040B">
        <w:tc>
          <w:tcPr>
            <w:tcW w:w="846" w:type="dxa"/>
            <w:vAlign w:val="center"/>
          </w:tcPr>
          <w:p w14:paraId="2FA71235"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772398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90</w:t>
            </w:r>
          </w:p>
        </w:tc>
        <w:tc>
          <w:tcPr>
            <w:tcW w:w="1134" w:type="dxa"/>
            <w:vAlign w:val="center"/>
          </w:tcPr>
          <w:p w14:paraId="34157AF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371BDCF4"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90.0</w:t>
            </w:r>
          </w:p>
        </w:tc>
        <w:tc>
          <w:tcPr>
            <w:tcW w:w="1418" w:type="dxa"/>
            <w:vAlign w:val="center"/>
          </w:tcPr>
          <w:p w14:paraId="42F85A7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4CB2D780"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7C3EBEF" w14:textId="77777777" w:rsidTr="0008040B">
        <w:tc>
          <w:tcPr>
            <w:tcW w:w="846" w:type="dxa"/>
            <w:vAlign w:val="center"/>
          </w:tcPr>
          <w:p w14:paraId="62C49EBF"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2C0AFCAD"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89</w:t>
            </w:r>
          </w:p>
        </w:tc>
        <w:tc>
          <w:tcPr>
            <w:tcW w:w="1134" w:type="dxa"/>
            <w:vAlign w:val="center"/>
          </w:tcPr>
          <w:p w14:paraId="3C8C32E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28</w:t>
            </w:r>
          </w:p>
        </w:tc>
        <w:tc>
          <w:tcPr>
            <w:tcW w:w="850" w:type="dxa"/>
            <w:vAlign w:val="center"/>
          </w:tcPr>
          <w:p w14:paraId="698A327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89.0</w:t>
            </w:r>
          </w:p>
        </w:tc>
        <w:tc>
          <w:tcPr>
            <w:tcW w:w="1418" w:type="dxa"/>
            <w:vAlign w:val="center"/>
          </w:tcPr>
          <w:p w14:paraId="75BE076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162F8311"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E0F4FD7" w14:textId="77777777" w:rsidTr="0008040B">
        <w:tc>
          <w:tcPr>
            <w:tcW w:w="846" w:type="dxa"/>
            <w:vAlign w:val="center"/>
          </w:tcPr>
          <w:p w14:paraId="723EF19C"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73C7D9F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89</w:t>
            </w:r>
          </w:p>
        </w:tc>
        <w:tc>
          <w:tcPr>
            <w:tcW w:w="1134" w:type="dxa"/>
            <w:vAlign w:val="center"/>
          </w:tcPr>
          <w:p w14:paraId="5500DE8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26</w:t>
            </w:r>
          </w:p>
        </w:tc>
        <w:tc>
          <w:tcPr>
            <w:tcW w:w="850" w:type="dxa"/>
            <w:vAlign w:val="center"/>
          </w:tcPr>
          <w:p w14:paraId="1D658AC8"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89.0</w:t>
            </w:r>
          </w:p>
        </w:tc>
        <w:tc>
          <w:tcPr>
            <w:tcW w:w="1418" w:type="dxa"/>
            <w:vAlign w:val="center"/>
          </w:tcPr>
          <w:p w14:paraId="5B89D4C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51B59483"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12C4197" w14:textId="77777777" w:rsidTr="0008040B">
        <w:tc>
          <w:tcPr>
            <w:tcW w:w="846" w:type="dxa"/>
            <w:vAlign w:val="center"/>
          </w:tcPr>
          <w:p w14:paraId="6C76B44F"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20F0264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88</w:t>
            </w:r>
          </w:p>
        </w:tc>
        <w:tc>
          <w:tcPr>
            <w:tcW w:w="1134" w:type="dxa"/>
            <w:vAlign w:val="center"/>
          </w:tcPr>
          <w:p w14:paraId="37FA0528"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0DA4975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88.0</w:t>
            </w:r>
          </w:p>
        </w:tc>
        <w:tc>
          <w:tcPr>
            <w:tcW w:w="1418" w:type="dxa"/>
            <w:vAlign w:val="center"/>
          </w:tcPr>
          <w:p w14:paraId="7E4DB25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5BFFBD1"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733BA393" w14:textId="77777777" w:rsidTr="0008040B">
        <w:tc>
          <w:tcPr>
            <w:tcW w:w="846" w:type="dxa"/>
            <w:vAlign w:val="center"/>
          </w:tcPr>
          <w:p w14:paraId="09DD0E55"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007B898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84</w:t>
            </w:r>
          </w:p>
        </w:tc>
        <w:tc>
          <w:tcPr>
            <w:tcW w:w="1134" w:type="dxa"/>
            <w:vAlign w:val="center"/>
          </w:tcPr>
          <w:p w14:paraId="1E56DD4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21</w:t>
            </w:r>
          </w:p>
        </w:tc>
        <w:tc>
          <w:tcPr>
            <w:tcW w:w="850" w:type="dxa"/>
            <w:vAlign w:val="center"/>
          </w:tcPr>
          <w:p w14:paraId="057498B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84.0</w:t>
            </w:r>
          </w:p>
        </w:tc>
        <w:tc>
          <w:tcPr>
            <w:tcW w:w="1418" w:type="dxa"/>
            <w:vAlign w:val="center"/>
          </w:tcPr>
          <w:p w14:paraId="6514276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51382DA3"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97FA2ED" w14:textId="77777777" w:rsidTr="0008040B">
        <w:tc>
          <w:tcPr>
            <w:tcW w:w="846" w:type="dxa"/>
            <w:vAlign w:val="center"/>
          </w:tcPr>
          <w:p w14:paraId="51FF24AE"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442EFECD"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w:t>
            </w:r>
          </w:p>
        </w:tc>
        <w:tc>
          <w:tcPr>
            <w:tcW w:w="1134" w:type="dxa"/>
            <w:vAlign w:val="center"/>
          </w:tcPr>
          <w:p w14:paraId="59F1E54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28</w:t>
            </w:r>
          </w:p>
        </w:tc>
        <w:tc>
          <w:tcPr>
            <w:tcW w:w="850" w:type="dxa"/>
            <w:vAlign w:val="center"/>
          </w:tcPr>
          <w:p w14:paraId="2FF5905D"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98.0</w:t>
            </w:r>
          </w:p>
        </w:tc>
        <w:tc>
          <w:tcPr>
            <w:tcW w:w="1418" w:type="dxa"/>
            <w:vAlign w:val="center"/>
          </w:tcPr>
          <w:p w14:paraId="7AB002C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4D67283E"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63A66EC8" w14:textId="77777777" w:rsidTr="0008040B">
        <w:tc>
          <w:tcPr>
            <w:tcW w:w="846" w:type="dxa"/>
            <w:vAlign w:val="center"/>
          </w:tcPr>
          <w:p w14:paraId="009A0DC2"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10E6CA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w:t>
            </w:r>
          </w:p>
        </w:tc>
        <w:tc>
          <w:tcPr>
            <w:tcW w:w="1134" w:type="dxa"/>
            <w:vAlign w:val="center"/>
          </w:tcPr>
          <w:p w14:paraId="116BC7D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24</w:t>
            </w:r>
          </w:p>
        </w:tc>
        <w:tc>
          <w:tcPr>
            <w:tcW w:w="850" w:type="dxa"/>
            <w:vAlign w:val="center"/>
          </w:tcPr>
          <w:p w14:paraId="6EDF7CA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98.0</w:t>
            </w:r>
          </w:p>
        </w:tc>
        <w:tc>
          <w:tcPr>
            <w:tcW w:w="1418" w:type="dxa"/>
            <w:vAlign w:val="center"/>
          </w:tcPr>
          <w:p w14:paraId="0EBD210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8A95820"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B52FA56" w14:textId="77777777" w:rsidTr="0008040B">
        <w:tc>
          <w:tcPr>
            <w:tcW w:w="846" w:type="dxa"/>
            <w:vAlign w:val="center"/>
          </w:tcPr>
          <w:p w14:paraId="02F4E07A"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0754586E"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49D1189A"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34</w:t>
            </w:r>
          </w:p>
        </w:tc>
        <w:tc>
          <w:tcPr>
            <w:tcW w:w="850" w:type="dxa"/>
            <w:vAlign w:val="center"/>
          </w:tcPr>
          <w:p w14:paraId="75A9B5F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0AB669C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1303940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7A50246" w14:textId="77777777" w:rsidTr="0008040B">
        <w:tc>
          <w:tcPr>
            <w:tcW w:w="846" w:type="dxa"/>
            <w:vAlign w:val="center"/>
          </w:tcPr>
          <w:p w14:paraId="095A5949"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6A200728"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95</w:t>
            </w:r>
          </w:p>
        </w:tc>
        <w:tc>
          <w:tcPr>
            <w:tcW w:w="1134" w:type="dxa"/>
            <w:vAlign w:val="center"/>
          </w:tcPr>
          <w:p w14:paraId="69BF67DD"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6F007D6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95.0</w:t>
            </w:r>
          </w:p>
        </w:tc>
        <w:tc>
          <w:tcPr>
            <w:tcW w:w="1418" w:type="dxa"/>
            <w:vAlign w:val="center"/>
          </w:tcPr>
          <w:p w14:paraId="00D886E8"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DBC30B3"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1E480DF1" w14:textId="77777777" w:rsidTr="0008040B">
        <w:tc>
          <w:tcPr>
            <w:tcW w:w="846" w:type="dxa"/>
            <w:vAlign w:val="center"/>
          </w:tcPr>
          <w:p w14:paraId="6054DBBB"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27E822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97</w:t>
            </w:r>
          </w:p>
        </w:tc>
        <w:tc>
          <w:tcPr>
            <w:tcW w:w="1134" w:type="dxa"/>
            <w:vAlign w:val="center"/>
          </w:tcPr>
          <w:p w14:paraId="3A538222"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21</w:t>
            </w:r>
          </w:p>
        </w:tc>
        <w:tc>
          <w:tcPr>
            <w:tcW w:w="850" w:type="dxa"/>
            <w:vAlign w:val="center"/>
          </w:tcPr>
          <w:p w14:paraId="30B43123"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97.0</w:t>
            </w:r>
          </w:p>
        </w:tc>
        <w:tc>
          <w:tcPr>
            <w:tcW w:w="1418" w:type="dxa"/>
            <w:vAlign w:val="center"/>
          </w:tcPr>
          <w:p w14:paraId="0BCDDCF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73A1B921"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1FA60A6" w14:textId="77777777" w:rsidTr="0008040B">
        <w:tc>
          <w:tcPr>
            <w:tcW w:w="846" w:type="dxa"/>
            <w:vAlign w:val="center"/>
          </w:tcPr>
          <w:p w14:paraId="4D4BA034"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694DD9EF"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w:t>
            </w:r>
          </w:p>
        </w:tc>
        <w:tc>
          <w:tcPr>
            <w:tcW w:w="1134" w:type="dxa"/>
            <w:vAlign w:val="center"/>
          </w:tcPr>
          <w:p w14:paraId="6AAE870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447E21C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98.0</w:t>
            </w:r>
          </w:p>
        </w:tc>
        <w:tc>
          <w:tcPr>
            <w:tcW w:w="1418" w:type="dxa"/>
            <w:vAlign w:val="center"/>
          </w:tcPr>
          <w:p w14:paraId="35E1D4A3"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33A73DCB"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09D8BD63" w14:textId="77777777" w:rsidTr="0008040B">
        <w:tc>
          <w:tcPr>
            <w:tcW w:w="846" w:type="dxa"/>
            <w:vAlign w:val="center"/>
          </w:tcPr>
          <w:p w14:paraId="6D5A9A37"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47DB2EF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3EA64EE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21</w:t>
            </w:r>
          </w:p>
        </w:tc>
        <w:tc>
          <w:tcPr>
            <w:tcW w:w="850" w:type="dxa"/>
            <w:vAlign w:val="center"/>
          </w:tcPr>
          <w:p w14:paraId="0D2D5666"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1F584B2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1948685F"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296CBA5E" w14:textId="77777777" w:rsidTr="0008040B">
        <w:tc>
          <w:tcPr>
            <w:tcW w:w="846" w:type="dxa"/>
            <w:vAlign w:val="center"/>
          </w:tcPr>
          <w:p w14:paraId="5AE62D45"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4B6393A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46240A24"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19</w:t>
            </w:r>
          </w:p>
        </w:tc>
        <w:tc>
          <w:tcPr>
            <w:tcW w:w="850" w:type="dxa"/>
            <w:vAlign w:val="center"/>
          </w:tcPr>
          <w:p w14:paraId="6FA5E1D0"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49D4E77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07C19B3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13EADD2B" w14:textId="77777777" w:rsidTr="0008040B">
        <w:tc>
          <w:tcPr>
            <w:tcW w:w="846" w:type="dxa"/>
            <w:vAlign w:val="center"/>
          </w:tcPr>
          <w:p w14:paraId="4B3667C3"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013785DA"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95</w:t>
            </w:r>
          </w:p>
        </w:tc>
        <w:tc>
          <w:tcPr>
            <w:tcW w:w="1134" w:type="dxa"/>
            <w:vAlign w:val="center"/>
          </w:tcPr>
          <w:p w14:paraId="4A169FC9"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18</w:t>
            </w:r>
          </w:p>
        </w:tc>
        <w:tc>
          <w:tcPr>
            <w:tcW w:w="850" w:type="dxa"/>
            <w:vAlign w:val="center"/>
          </w:tcPr>
          <w:p w14:paraId="60FCC693"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95.0</w:t>
            </w:r>
          </w:p>
        </w:tc>
        <w:tc>
          <w:tcPr>
            <w:tcW w:w="1418" w:type="dxa"/>
            <w:vAlign w:val="center"/>
          </w:tcPr>
          <w:p w14:paraId="5C5AD19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23266B30"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2D4CF88F" w14:textId="77777777" w:rsidTr="0008040B">
        <w:tc>
          <w:tcPr>
            <w:tcW w:w="846" w:type="dxa"/>
            <w:vAlign w:val="center"/>
          </w:tcPr>
          <w:p w14:paraId="34336E19"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41386C1"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97</w:t>
            </w:r>
          </w:p>
        </w:tc>
        <w:tc>
          <w:tcPr>
            <w:tcW w:w="1134" w:type="dxa"/>
            <w:vAlign w:val="center"/>
          </w:tcPr>
          <w:p w14:paraId="6C257380"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23</w:t>
            </w:r>
          </w:p>
        </w:tc>
        <w:tc>
          <w:tcPr>
            <w:tcW w:w="850" w:type="dxa"/>
            <w:vAlign w:val="center"/>
          </w:tcPr>
          <w:p w14:paraId="73CCEA16"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97.0</w:t>
            </w:r>
          </w:p>
        </w:tc>
        <w:tc>
          <w:tcPr>
            <w:tcW w:w="1418" w:type="dxa"/>
            <w:vAlign w:val="center"/>
          </w:tcPr>
          <w:p w14:paraId="173D401C"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23D13E3A"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57603FB6" w14:textId="77777777" w:rsidTr="0008040B">
        <w:tc>
          <w:tcPr>
            <w:tcW w:w="846" w:type="dxa"/>
            <w:vAlign w:val="center"/>
          </w:tcPr>
          <w:p w14:paraId="7CE85658"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78456A59"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1A0DC641"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25</w:t>
            </w:r>
          </w:p>
        </w:tc>
        <w:tc>
          <w:tcPr>
            <w:tcW w:w="850" w:type="dxa"/>
            <w:vAlign w:val="center"/>
          </w:tcPr>
          <w:p w14:paraId="1D7B7113"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23ADA7F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581276B1"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64E719E" w14:textId="77777777" w:rsidTr="0008040B">
        <w:tc>
          <w:tcPr>
            <w:tcW w:w="846" w:type="dxa"/>
            <w:vAlign w:val="center"/>
          </w:tcPr>
          <w:p w14:paraId="22791A09"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1AE89AD9"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w:t>
            </w:r>
          </w:p>
        </w:tc>
        <w:tc>
          <w:tcPr>
            <w:tcW w:w="1134" w:type="dxa"/>
            <w:vAlign w:val="center"/>
          </w:tcPr>
          <w:p w14:paraId="6889268F"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22</w:t>
            </w:r>
          </w:p>
        </w:tc>
        <w:tc>
          <w:tcPr>
            <w:tcW w:w="850" w:type="dxa"/>
            <w:vAlign w:val="center"/>
          </w:tcPr>
          <w:p w14:paraId="709930D6"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94.0</w:t>
            </w:r>
          </w:p>
        </w:tc>
        <w:tc>
          <w:tcPr>
            <w:tcW w:w="1418" w:type="dxa"/>
            <w:vAlign w:val="center"/>
          </w:tcPr>
          <w:p w14:paraId="3FF3695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781E1D14"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143C90C1" w14:textId="77777777" w:rsidTr="0008040B">
        <w:tc>
          <w:tcPr>
            <w:tcW w:w="846" w:type="dxa"/>
            <w:vAlign w:val="center"/>
          </w:tcPr>
          <w:p w14:paraId="7A697CDB"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BE7E22F"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97</w:t>
            </w:r>
          </w:p>
        </w:tc>
        <w:tc>
          <w:tcPr>
            <w:tcW w:w="1134" w:type="dxa"/>
            <w:vAlign w:val="center"/>
          </w:tcPr>
          <w:p w14:paraId="49DCEC08"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18</w:t>
            </w:r>
          </w:p>
        </w:tc>
        <w:tc>
          <w:tcPr>
            <w:tcW w:w="850" w:type="dxa"/>
            <w:vAlign w:val="center"/>
          </w:tcPr>
          <w:p w14:paraId="3B57C945"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97.0</w:t>
            </w:r>
          </w:p>
        </w:tc>
        <w:tc>
          <w:tcPr>
            <w:tcW w:w="1418" w:type="dxa"/>
            <w:vAlign w:val="center"/>
          </w:tcPr>
          <w:p w14:paraId="31D13828"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42641313"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5AA23496" w14:textId="77777777" w:rsidTr="0008040B">
        <w:tc>
          <w:tcPr>
            <w:tcW w:w="846" w:type="dxa"/>
            <w:vAlign w:val="center"/>
          </w:tcPr>
          <w:p w14:paraId="7289EF36"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30AAE62D"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w:t>
            </w:r>
          </w:p>
        </w:tc>
        <w:tc>
          <w:tcPr>
            <w:tcW w:w="1134" w:type="dxa"/>
            <w:vAlign w:val="center"/>
          </w:tcPr>
          <w:p w14:paraId="274D140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33</w:t>
            </w:r>
          </w:p>
        </w:tc>
        <w:tc>
          <w:tcPr>
            <w:tcW w:w="850" w:type="dxa"/>
            <w:vAlign w:val="center"/>
          </w:tcPr>
          <w:p w14:paraId="53073068"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98.0</w:t>
            </w:r>
          </w:p>
        </w:tc>
        <w:tc>
          <w:tcPr>
            <w:tcW w:w="1418" w:type="dxa"/>
            <w:vAlign w:val="center"/>
          </w:tcPr>
          <w:p w14:paraId="55D8DF05"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7BF0A977"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776199DD" w14:textId="77777777" w:rsidTr="0008040B">
        <w:tc>
          <w:tcPr>
            <w:tcW w:w="846" w:type="dxa"/>
            <w:vAlign w:val="center"/>
          </w:tcPr>
          <w:p w14:paraId="1BC85029"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6EB7FD6C"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99</w:t>
            </w:r>
          </w:p>
        </w:tc>
        <w:tc>
          <w:tcPr>
            <w:tcW w:w="1134" w:type="dxa"/>
            <w:vAlign w:val="center"/>
          </w:tcPr>
          <w:p w14:paraId="238211D8"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16</w:t>
            </w:r>
          </w:p>
        </w:tc>
        <w:tc>
          <w:tcPr>
            <w:tcW w:w="850" w:type="dxa"/>
            <w:vAlign w:val="center"/>
          </w:tcPr>
          <w:p w14:paraId="4FF35DD0"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99.0</w:t>
            </w:r>
          </w:p>
        </w:tc>
        <w:tc>
          <w:tcPr>
            <w:tcW w:w="1418" w:type="dxa"/>
            <w:vAlign w:val="center"/>
          </w:tcPr>
          <w:p w14:paraId="4662E64E"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5B2A0DD5"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4F850AC5" w14:textId="77777777" w:rsidTr="0008040B">
        <w:tc>
          <w:tcPr>
            <w:tcW w:w="846" w:type="dxa"/>
            <w:vAlign w:val="center"/>
          </w:tcPr>
          <w:p w14:paraId="7658AC4B" w14:textId="77777777" w:rsidR="00B903ED" w:rsidRPr="00B903ED" w:rsidRDefault="00B903ED" w:rsidP="00B903ED">
            <w:pPr>
              <w:pStyle w:val="ListParagraph"/>
              <w:numPr>
                <w:ilvl w:val="0"/>
                <w:numId w:val="33"/>
              </w:numPr>
              <w:ind w:left="744" w:hanging="567"/>
              <w:jc w:val="center"/>
              <w:rPr>
                <w:rFonts w:ascii="Arial" w:hAnsi="Arial" w:cs="Arial"/>
                <w:sz w:val="20"/>
                <w:szCs w:val="20"/>
              </w:rPr>
            </w:pPr>
          </w:p>
        </w:tc>
        <w:tc>
          <w:tcPr>
            <w:tcW w:w="1134" w:type="dxa"/>
            <w:vAlign w:val="center"/>
          </w:tcPr>
          <w:p w14:paraId="42D6A093"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99</w:t>
            </w:r>
          </w:p>
        </w:tc>
        <w:tc>
          <w:tcPr>
            <w:tcW w:w="1134" w:type="dxa"/>
            <w:vAlign w:val="center"/>
          </w:tcPr>
          <w:p w14:paraId="3EDAED76"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20</w:t>
            </w:r>
          </w:p>
        </w:tc>
        <w:tc>
          <w:tcPr>
            <w:tcW w:w="850" w:type="dxa"/>
            <w:vAlign w:val="center"/>
          </w:tcPr>
          <w:p w14:paraId="6FD49B56" w14:textId="77777777" w:rsidR="00B903ED" w:rsidRPr="00B903ED" w:rsidRDefault="00B903ED" w:rsidP="00B903ED">
            <w:pPr>
              <w:jc w:val="center"/>
              <w:rPr>
                <w:rFonts w:ascii="Arial" w:hAnsi="Arial" w:cs="Arial"/>
                <w:sz w:val="20"/>
                <w:szCs w:val="20"/>
              </w:rPr>
            </w:pPr>
            <w:r w:rsidRPr="00B903ED">
              <w:rPr>
                <w:rFonts w:ascii="Arial" w:hAnsi="Arial" w:cs="Arial"/>
                <w:color w:val="000000"/>
                <w:sz w:val="20"/>
                <w:szCs w:val="20"/>
              </w:rPr>
              <w:t>99.0</w:t>
            </w:r>
          </w:p>
        </w:tc>
        <w:tc>
          <w:tcPr>
            <w:tcW w:w="1418" w:type="dxa"/>
            <w:vAlign w:val="center"/>
          </w:tcPr>
          <w:p w14:paraId="4A58196B" w14:textId="77777777" w:rsidR="00B903ED" w:rsidRPr="00B903ED" w:rsidRDefault="00B903ED" w:rsidP="00B903ED">
            <w:pPr>
              <w:jc w:val="center"/>
              <w:rPr>
                <w:rFonts w:ascii="Arial" w:hAnsi="Arial" w:cs="Arial"/>
                <w:sz w:val="20"/>
                <w:szCs w:val="20"/>
              </w:rPr>
            </w:pPr>
            <w:r w:rsidRPr="00B903ED">
              <w:rPr>
                <w:rFonts w:ascii="Arial" w:hAnsi="Arial" w:cs="Arial"/>
                <w:sz w:val="20"/>
                <w:szCs w:val="20"/>
              </w:rPr>
              <w:t>Improved</w:t>
            </w:r>
          </w:p>
        </w:tc>
        <w:tc>
          <w:tcPr>
            <w:tcW w:w="3402" w:type="dxa"/>
          </w:tcPr>
          <w:p w14:paraId="30D3FC5B" w14:textId="77777777" w:rsidR="00B903ED" w:rsidRPr="00B903ED" w:rsidRDefault="00B903ED" w:rsidP="00B903ED">
            <w:pPr>
              <w:jc w:val="both"/>
              <w:rPr>
                <w:rFonts w:ascii="Arial" w:hAnsi="Arial" w:cs="Arial"/>
                <w:sz w:val="20"/>
                <w:szCs w:val="20"/>
              </w:rPr>
            </w:pPr>
            <w:r w:rsidRPr="00B903ED">
              <w:rPr>
                <w:rFonts w:ascii="Arial" w:hAnsi="Arial" w:cs="Arial"/>
                <w:sz w:val="20"/>
                <w:szCs w:val="20"/>
              </w:rPr>
              <w:t>Mastered full proficiency in the skill.</w:t>
            </w:r>
          </w:p>
        </w:tc>
      </w:tr>
      <w:tr w:rsidR="00B903ED" w:rsidRPr="00B903ED" w14:paraId="325EA299" w14:textId="77777777" w:rsidTr="0008040B">
        <w:tc>
          <w:tcPr>
            <w:tcW w:w="3964" w:type="dxa"/>
            <w:gridSpan w:val="4"/>
            <w:vAlign w:val="center"/>
          </w:tcPr>
          <w:p w14:paraId="3DFB0DFE" w14:textId="77777777" w:rsidR="00B903ED" w:rsidRPr="00B903ED" w:rsidRDefault="00B903ED" w:rsidP="00B903ED">
            <w:pPr>
              <w:jc w:val="right"/>
              <w:rPr>
                <w:rFonts w:ascii="Arial" w:hAnsi="Arial" w:cs="Arial"/>
                <w:b/>
                <w:bCs/>
                <w:sz w:val="20"/>
                <w:szCs w:val="20"/>
              </w:rPr>
            </w:pPr>
            <w:r w:rsidRPr="00B903ED">
              <w:rPr>
                <w:rFonts w:ascii="Arial" w:hAnsi="Arial" w:cs="Arial"/>
                <w:b/>
                <w:bCs/>
                <w:sz w:val="20"/>
                <w:szCs w:val="20"/>
              </w:rPr>
              <w:t>Overall MPS = 93.59</w:t>
            </w:r>
          </w:p>
          <w:p w14:paraId="6354AEB9" w14:textId="77777777" w:rsidR="00B903ED" w:rsidRPr="00B903ED" w:rsidRDefault="00B903ED" w:rsidP="00B903ED">
            <w:pPr>
              <w:jc w:val="right"/>
              <w:rPr>
                <w:rFonts w:ascii="Arial" w:hAnsi="Arial" w:cs="Arial"/>
                <w:b/>
                <w:bCs/>
                <w:sz w:val="20"/>
                <w:szCs w:val="20"/>
              </w:rPr>
            </w:pPr>
            <w:r w:rsidRPr="00B903ED">
              <w:rPr>
                <w:rFonts w:ascii="Arial" w:hAnsi="Arial" w:cs="Arial"/>
                <w:b/>
                <w:bCs/>
                <w:sz w:val="20"/>
                <w:szCs w:val="20"/>
              </w:rPr>
              <w:t xml:space="preserve">Standard Deviation = 3.77 </w:t>
            </w:r>
          </w:p>
        </w:tc>
        <w:tc>
          <w:tcPr>
            <w:tcW w:w="1418" w:type="dxa"/>
            <w:vAlign w:val="center"/>
          </w:tcPr>
          <w:p w14:paraId="42BFED29" w14:textId="77777777" w:rsidR="00B903ED" w:rsidRPr="00B903ED" w:rsidRDefault="00B903ED" w:rsidP="00B903ED">
            <w:pPr>
              <w:jc w:val="center"/>
              <w:rPr>
                <w:rFonts w:ascii="Arial" w:hAnsi="Arial" w:cs="Arial"/>
                <w:b/>
                <w:bCs/>
                <w:sz w:val="20"/>
                <w:szCs w:val="20"/>
              </w:rPr>
            </w:pPr>
            <w:r w:rsidRPr="00B903ED">
              <w:rPr>
                <w:rFonts w:ascii="Arial" w:hAnsi="Arial" w:cs="Arial"/>
                <w:b/>
                <w:bCs/>
                <w:sz w:val="20"/>
                <w:szCs w:val="20"/>
              </w:rPr>
              <w:t>Improved</w:t>
            </w:r>
          </w:p>
        </w:tc>
        <w:tc>
          <w:tcPr>
            <w:tcW w:w="3402" w:type="dxa"/>
            <w:vAlign w:val="center"/>
          </w:tcPr>
          <w:p w14:paraId="57FA24B2" w14:textId="77777777" w:rsidR="00B903ED" w:rsidRPr="00B903ED" w:rsidRDefault="00B903ED" w:rsidP="00B903ED">
            <w:pPr>
              <w:jc w:val="both"/>
              <w:rPr>
                <w:rFonts w:ascii="Arial" w:hAnsi="Arial" w:cs="Arial"/>
                <w:b/>
                <w:bCs/>
                <w:sz w:val="20"/>
                <w:szCs w:val="20"/>
              </w:rPr>
            </w:pPr>
            <w:r w:rsidRPr="00B903ED">
              <w:rPr>
                <w:rFonts w:ascii="Arial" w:hAnsi="Arial" w:cs="Arial"/>
                <w:b/>
                <w:bCs/>
                <w:sz w:val="20"/>
                <w:szCs w:val="20"/>
              </w:rPr>
              <w:t>Mastered full proficiency in the skill.</w:t>
            </w:r>
          </w:p>
        </w:tc>
      </w:tr>
    </w:tbl>
    <w:p w14:paraId="73908A91" w14:textId="77777777" w:rsidR="00B903ED" w:rsidRPr="00B903ED" w:rsidRDefault="00B903ED" w:rsidP="00B903ED">
      <w:pPr>
        <w:jc w:val="both"/>
        <w:rPr>
          <w:rFonts w:ascii="Arial" w:hAnsi="Arial" w:cs="Arial"/>
          <w:color w:val="000000" w:themeColor="text1"/>
        </w:rPr>
      </w:pPr>
    </w:p>
    <w:p w14:paraId="0B20C55B" w14:textId="77777777" w:rsidR="00B903ED" w:rsidRDefault="00B903ED" w:rsidP="00B903ED">
      <w:pPr>
        <w:ind w:left="-142" w:firstLine="862"/>
        <w:jc w:val="both"/>
        <w:rPr>
          <w:rFonts w:ascii="Arial" w:hAnsi="Arial" w:cs="Arial"/>
          <w:color w:val="000000" w:themeColor="text1"/>
        </w:rPr>
      </w:pPr>
      <w:r w:rsidRPr="00B903ED">
        <w:rPr>
          <w:rFonts w:ascii="Arial" w:hAnsi="Arial" w:cs="Arial"/>
          <w:color w:val="000000" w:themeColor="text1"/>
        </w:rPr>
        <w:t xml:space="preserve">Table </w:t>
      </w:r>
      <w:r w:rsidR="00726E07">
        <w:rPr>
          <w:rFonts w:ascii="Arial" w:hAnsi="Arial" w:cs="Arial"/>
          <w:color w:val="000000" w:themeColor="text1"/>
        </w:rPr>
        <w:t>5</w:t>
      </w:r>
      <w:r w:rsidRPr="00B903ED">
        <w:rPr>
          <w:rFonts w:ascii="Arial" w:hAnsi="Arial" w:cs="Arial"/>
          <w:color w:val="000000" w:themeColor="text1"/>
        </w:rPr>
        <w:t xml:space="preserve"> reveals a consistently high level of reading performance among the learners at Kabugao Central School following the implementation of Project LEAP (Learning Engagement and Advancement Progress). All 32 respondents achieved a “Mastered full proficiency in the skill” interpretation, with their MPS (Mean Percentage Score) ranging from 84.0 to 99.0, and an overall average of 93.59 percent. This impressive outcome, accompanied by a relatively low standard deviation of 3.77, indicates not only significant individual improvement but also a uniform advancement across the group. The “Improved” reading level classification for all learners highlights the effectiveness of Project LEAP in enhancing reading accuracy and fluency. The implication of these results is that Project LEAP has been a successful and impactful intervention in raising learners’ reading competencies, suggesting that continued implementation or expansion of the program could sustain or even further improve reading engagement and performance in similar educational contexts. The results aligned in the study of </w:t>
      </w:r>
      <w:r w:rsidR="00693FC9">
        <w:rPr>
          <w:rFonts w:ascii="Arial" w:hAnsi="Arial" w:cs="Arial"/>
        </w:rPr>
        <w:t>(</w:t>
      </w:r>
      <w:r w:rsidR="00693FC9" w:rsidRPr="00EF0EEF">
        <w:rPr>
          <w:rFonts w:ascii="Arial" w:hAnsi="Arial" w:cs="Arial"/>
        </w:rPr>
        <w:t>Guthrie</w:t>
      </w:r>
      <w:r w:rsidR="00693FC9">
        <w:rPr>
          <w:rFonts w:ascii="Arial" w:hAnsi="Arial" w:cs="Arial"/>
        </w:rPr>
        <w:t xml:space="preserve"> et. al, </w:t>
      </w:r>
      <w:r w:rsidR="00693FC9" w:rsidRPr="00EF0EEF">
        <w:rPr>
          <w:rFonts w:ascii="Arial" w:hAnsi="Arial" w:cs="Arial"/>
        </w:rPr>
        <w:t>1998</w:t>
      </w:r>
      <w:proofErr w:type="gramStart"/>
      <w:r w:rsidR="00693FC9" w:rsidRPr="00EF0EEF">
        <w:rPr>
          <w:rFonts w:ascii="Arial" w:hAnsi="Arial" w:cs="Arial"/>
        </w:rPr>
        <w:t>)</w:t>
      </w:r>
      <w:r w:rsidR="00693FC9">
        <w:rPr>
          <w:rFonts w:ascii="Arial" w:hAnsi="Arial" w:cs="Arial"/>
        </w:rPr>
        <w:t>,</w:t>
      </w:r>
      <w:r w:rsidRPr="00B903ED">
        <w:rPr>
          <w:rFonts w:ascii="Arial" w:hAnsi="Arial" w:cs="Arial"/>
          <w:color w:val="000000" w:themeColor="text1"/>
        </w:rPr>
        <w:t>which</w:t>
      </w:r>
      <w:proofErr w:type="gramEnd"/>
      <w:r w:rsidRPr="00B903ED">
        <w:rPr>
          <w:rFonts w:ascii="Arial" w:hAnsi="Arial" w:cs="Arial"/>
          <w:color w:val="000000" w:themeColor="text1"/>
        </w:rPr>
        <w:t xml:space="preserve"> demonstrated that increasing reading comprehension and engagement through concept-oriented reading instruction (CORI) significantly enhanced students’ motivation and academic outcomes. Like the findings at Kabugao Central School, the learners in Guthrie’s study exhibited higher levels of reading achievement when instructional strategies were designed to foster engagement and active participation. This alignment reinforces the idea that structured reading interventions like Project LEAP can be instrumental in promoting not only proficiency but also enthusiasm for reading among learners.</w:t>
      </w:r>
    </w:p>
    <w:p w14:paraId="033FDE19" w14:textId="77777777" w:rsidR="00D028B4" w:rsidRDefault="00D028B4" w:rsidP="00B903ED">
      <w:pPr>
        <w:ind w:left="-142" w:firstLine="862"/>
        <w:jc w:val="both"/>
        <w:rPr>
          <w:rFonts w:ascii="Arial" w:hAnsi="Arial" w:cs="Arial"/>
          <w:color w:val="000000" w:themeColor="text1"/>
        </w:rPr>
      </w:pPr>
    </w:p>
    <w:p w14:paraId="443814BD" w14:textId="77777777" w:rsidR="00D028B4" w:rsidRPr="00D028B4" w:rsidRDefault="00D028B4" w:rsidP="00D028B4">
      <w:pPr>
        <w:spacing w:after="240"/>
        <w:jc w:val="both"/>
        <w:rPr>
          <w:rFonts w:ascii="Arial" w:hAnsi="Arial" w:cs="Arial"/>
          <w:b/>
          <w:color w:val="000000" w:themeColor="text1"/>
          <w:sz w:val="22"/>
        </w:rPr>
      </w:pPr>
      <w:proofErr w:type="gramStart"/>
      <w:r w:rsidRPr="00F60708">
        <w:rPr>
          <w:rFonts w:ascii="Arial" w:hAnsi="Arial" w:cs="Arial"/>
          <w:b/>
          <w:bCs/>
          <w:color w:val="000000" w:themeColor="text1"/>
          <w:sz w:val="22"/>
        </w:rPr>
        <w:t xml:space="preserve">4.1  </w:t>
      </w:r>
      <w:r>
        <w:rPr>
          <w:rFonts w:ascii="Arial" w:hAnsi="Arial" w:cs="Arial"/>
          <w:b/>
          <w:sz w:val="22"/>
        </w:rPr>
        <w:t>T</w:t>
      </w:r>
      <w:r w:rsidRPr="00F60708">
        <w:rPr>
          <w:rFonts w:ascii="Arial" w:hAnsi="Arial" w:cs="Arial"/>
          <w:b/>
          <w:sz w:val="22"/>
        </w:rPr>
        <w:t>he</w:t>
      </w:r>
      <w:proofErr w:type="gramEnd"/>
      <w:r w:rsidRPr="00F60708">
        <w:rPr>
          <w:rFonts w:ascii="Arial" w:hAnsi="Arial" w:cs="Arial"/>
          <w:b/>
          <w:sz w:val="22"/>
        </w:rPr>
        <w:t xml:space="preserve"> level of the reading performance of learners before</w:t>
      </w:r>
      <w:r>
        <w:rPr>
          <w:rFonts w:ascii="Arial" w:hAnsi="Arial" w:cs="Arial"/>
          <w:b/>
          <w:sz w:val="22"/>
        </w:rPr>
        <w:t xml:space="preserve"> after</w:t>
      </w:r>
      <w:r w:rsidRPr="00F60708">
        <w:rPr>
          <w:rFonts w:ascii="Arial" w:hAnsi="Arial" w:cs="Arial"/>
          <w:b/>
          <w:sz w:val="22"/>
        </w:rPr>
        <w:t xml:space="preserve"> the implementation of project LEAP</w:t>
      </w:r>
    </w:p>
    <w:p w14:paraId="36805E38" w14:textId="77777777" w:rsidR="00B903ED" w:rsidRPr="00B903ED" w:rsidRDefault="00B903ED" w:rsidP="00B903ED">
      <w:pPr>
        <w:ind w:left="-142"/>
        <w:jc w:val="both"/>
        <w:rPr>
          <w:rFonts w:ascii="Arial" w:hAnsi="Arial" w:cs="Arial"/>
          <w:b/>
          <w:bCs/>
          <w:color w:val="000000" w:themeColor="text1"/>
        </w:rPr>
      </w:pPr>
      <w:r w:rsidRPr="00B903ED">
        <w:rPr>
          <w:rFonts w:ascii="Arial" w:hAnsi="Arial" w:cs="Arial"/>
          <w:b/>
          <w:bCs/>
          <w:color w:val="000000" w:themeColor="text1"/>
        </w:rPr>
        <w:t xml:space="preserve">Table </w:t>
      </w:r>
      <w:r w:rsidR="00726E07">
        <w:rPr>
          <w:rFonts w:ascii="Arial" w:hAnsi="Arial" w:cs="Arial"/>
          <w:b/>
          <w:bCs/>
          <w:color w:val="000000" w:themeColor="text1"/>
        </w:rPr>
        <w:t>6</w:t>
      </w:r>
      <w:r w:rsidRPr="00B903ED">
        <w:rPr>
          <w:rFonts w:ascii="Arial" w:hAnsi="Arial" w:cs="Arial"/>
          <w:b/>
          <w:bCs/>
          <w:color w:val="000000" w:themeColor="text1"/>
        </w:rPr>
        <w:t>: Comparison of Pre-Test and Post-Test Reading Performance of Learners</w:t>
      </w:r>
    </w:p>
    <w:tbl>
      <w:tblPr>
        <w:tblStyle w:val="TableGrid"/>
        <w:tblW w:w="5000" w:type="pct"/>
        <w:tblLook w:val="04A0" w:firstRow="1" w:lastRow="0" w:firstColumn="1" w:lastColumn="0" w:noHBand="0" w:noVBand="1"/>
      </w:tblPr>
      <w:tblGrid>
        <w:gridCol w:w="2295"/>
        <w:gridCol w:w="1024"/>
        <w:gridCol w:w="1029"/>
        <w:gridCol w:w="1188"/>
        <w:gridCol w:w="1322"/>
        <w:gridCol w:w="1961"/>
        <w:gridCol w:w="2197"/>
      </w:tblGrid>
      <w:tr w:rsidR="00B903ED" w:rsidRPr="00B903ED" w14:paraId="7B7EDDA5" w14:textId="77777777" w:rsidTr="0008040B">
        <w:trPr>
          <w:trHeight w:val="557"/>
        </w:trPr>
        <w:tc>
          <w:tcPr>
            <w:tcW w:w="1042" w:type="pct"/>
            <w:vAlign w:val="center"/>
          </w:tcPr>
          <w:p w14:paraId="75AB66BA"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Sex Group</w:t>
            </w:r>
          </w:p>
        </w:tc>
        <w:tc>
          <w:tcPr>
            <w:tcW w:w="465" w:type="pct"/>
            <w:vAlign w:val="center"/>
          </w:tcPr>
          <w:p w14:paraId="4B90EC59"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Mean</w:t>
            </w:r>
          </w:p>
        </w:tc>
        <w:tc>
          <w:tcPr>
            <w:tcW w:w="467" w:type="pct"/>
            <w:vAlign w:val="center"/>
          </w:tcPr>
          <w:p w14:paraId="11C7F910"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SD</w:t>
            </w:r>
          </w:p>
        </w:tc>
        <w:tc>
          <w:tcPr>
            <w:tcW w:w="539" w:type="pct"/>
            <w:vAlign w:val="center"/>
          </w:tcPr>
          <w:p w14:paraId="3FAA8F6A"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t-value</w:t>
            </w:r>
          </w:p>
        </w:tc>
        <w:tc>
          <w:tcPr>
            <w:tcW w:w="600" w:type="pct"/>
            <w:vAlign w:val="center"/>
          </w:tcPr>
          <w:p w14:paraId="0D4C9C9E"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p-value</w:t>
            </w:r>
          </w:p>
        </w:tc>
        <w:tc>
          <w:tcPr>
            <w:tcW w:w="890" w:type="pct"/>
            <w:vAlign w:val="center"/>
          </w:tcPr>
          <w:p w14:paraId="4F211B56"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 xml:space="preserve">Decision at </w:t>
            </w:r>
            <m:oMath>
              <m:r>
                <m:rPr>
                  <m:sty m:val="bi"/>
                </m:rPr>
                <w:rPr>
                  <w:rFonts w:ascii="Cambria Math" w:hAnsi="Cambria Math" w:cs="Arial"/>
                  <w:sz w:val="20"/>
                  <w:szCs w:val="20"/>
                </w:rPr>
                <m:t>α=0.05</m:t>
              </m:r>
            </m:oMath>
          </w:p>
        </w:tc>
        <w:tc>
          <w:tcPr>
            <w:tcW w:w="997" w:type="pct"/>
            <w:vAlign w:val="center"/>
          </w:tcPr>
          <w:p w14:paraId="44228616" w14:textId="77777777" w:rsidR="00B903ED" w:rsidRPr="00B903ED" w:rsidRDefault="00B903ED" w:rsidP="00B903ED">
            <w:pPr>
              <w:jc w:val="center"/>
              <w:rPr>
                <w:rFonts w:ascii="Arial" w:hAnsi="Arial" w:cs="Arial"/>
                <w:b/>
                <w:sz w:val="20"/>
                <w:szCs w:val="20"/>
              </w:rPr>
            </w:pPr>
            <w:r w:rsidRPr="00B903ED">
              <w:rPr>
                <w:rFonts w:ascii="Arial" w:hAnsi="Arial" w:cs="Arial"/>
                <w:b/>
                <w:sz w:val="20"/>
                <w:szCs w:val="20"/>
              </w:rPr>
              <w:t>Interpretation</w:t>
            </w:r>
          </w:p>
        </w:tc>
      </w:tr>
      <w:tr w:rsidR="00B903ED" w:rsidRPr="00B903ED" w14:paraId="7E37ECEB" w14:textId="77777777" w:rsidTr="0008040B">
        <w:trPr>
          <w:trHeight w:val="557"/>
        </w:trPr>
        <w:tc>
          <w:tcPr>
            <w:tcW w:w="1042" w:type="pct"/>
            <w:vAlign w:val="center"/>
          </w:tcPr>
          <w:p w14:paraId="4D09F31C" w14:textId="77777777" w:rsidR="00B903ED" w:rsidRPr="00B903ED" w:rsidRDefault="00B903ED" w:rsidP="00B903ED">
            <w:pPr>
              <w:jc w:val="center"/>
              <w:rPr>
                <w:rFonts w:ascii="Arial" w:hAnsi="Arial" w:cs="Arial"/>
                <w:b/>
                <w:sz w:val="20"/>
                <w:szCs w:val="20"/>
              </w:rPr>
            </w:pPr>
            <w:r w:rsidRPr="00B903ED">
              <w:rPr>
                <w:rFonts w:ascii="Arial" w:hAnsi="Arial" w:cs="Arial"/>
                <w:sz w:val="20"/>
                <w:szCs w:val="20"/>
                <w:lang w:val="id-ID"/>
              </w:rPr>
              <w:t>Pre-test Reading Performance</w:t>
            </w:r>
          </w:p>
        </w:tc>
        <w:tc>
          <w:tcPr>
            <w:tcW w:w="465" w:type="pct"/>
            <w:vAlign w:val="center"/>
          </w:tcPr>
          <w:p w14:paraId="11C04FDE"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77.63</w:t>
            </w:r>
          </w:p>
        </w:tc>
        <w:tc>
          <w:tcPr>
            <w:tcW w:w="467" w:type="pct"/>
            <w:vAlign w:val="center"/>
          </w:tcPr>
          <w:p w14:paraId="19C4B132"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4.65</w:t>
            </w:r>
          </w:p>
        </w:tc>
        <w:tc>
          <w:tcPr>
            <w:tcW w:w="539" w:type="pct"/>
            <w:vMerge w:val="restart"/>
            <w:vAlign w:val="center"/>
          </w:tcPr>
          <w:p w14:paraId="29CE91D3"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-14.30</w:t>
            </w:r>
          </w:p>
        </w:tc>
        <w:tc>
          <w:tcPr>
            <w:tcW w:w="600" w:type="pct"/>
            <w:vMerge w:val="restart"/>
            <w:vAlign w:val="center"/>
          </w:tcPr>
          <w:p w14:paraId="74BD0A24"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&lt;0.001</w:t>
            </w:r>
          </w:p>
        </w:tc>
        <w:tc>
          <w:tcPr>
            <w:tcW w:w="890" w:type="pct"/>
            <w:vMerge w:val="restart"/>
            <w:vAlign w:val="center"/>
          </w:tcPr>
          <w:p w14:paraId="133AF3A7"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Reject Ho</w:t>
            </w:r>
          </w:p>
        </w:tc>
        <w:tc>
          <w:tcPr>
            <w:tcW w:w="997" w:type="pct"/>
            <w:vMerge w:val="restart"/>
            <w:vAlign w:val="center"/>
          </w:tcPr>
          <w:p w14:paraId="57A208C9"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Highly Significant</w:t>
            </w:r>
          </w:p>
        </w:tc>
      </w:tr>
      <w:tr w:rsidR="00B903ED" w:rsidRPr="00B903ED" w14:paraId="12E8F456" w14:textId="77777777" w:rsidTr="0008040B">
        <w:trPr>
          <w:trHeight w:val="557"/>
        </w:trPr>
        <w:tc>
          <w:tcPr>
            <w:tcW w:w="1042" w:type="pct"/>
            <w:vAlign w:val="center"/>
          </w:tcPr>
          <w:p w14:paraId="4288F4C6" w14:textId="77777777" w:rsidR="00B903ED" w:rsidRPr="00B903ED" w:rsidRDefault="00B903ED" w:rsidP="00B903ED">
            <w:pPr>
              <w:jc w:val="center"/>
              <w:rPr>
                <w:rFonts w:ascii="Arial" w:hAnsi="Arial" w:cs="Arial"/>
                <w:b/>
                <w:sz w:val="20"/>
                <w:szCs w:val="20"/>
              </w:rPr>
            </w:pPr>
            <w:r w:rsidRPr="00B903ED">
              <w:rPr>
                <w:rFonts w:ascii="Arial" w:hAnsi="Arial" w:cs="Arial"/>
                <w:sz w:val="20"/>
                <w:szCs w:val="20"/>
                <w:lang w:val="id-ID"/>
              </w:rPr>
              <w:t>Post-test Reading Performance</w:t>
            </w:r>
          </w:p>
        </w:tc>
        <w:tc>
          <w:tcPr>
            <w:tcW w:w="465" w:type="pct"/>
            <w:vAlign w:val="center"/>
          </w:tcPr>
          <w:p w14:paraId="1B231E15"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93.59</w:t>
            </w:r>
          </w:p>
        </w:tc>
        <w:tc>
          <w:tcPr>
            <w:tcW w:w="467" w:type="pct"/>
            <w:vAlign w:val="center"/>
          </w:tcPr>
          <w:p w14:paraId="2D45D06A" w14:textId="77777777" w:rsidR="00B903ED" w:rsidRPr="00B903ED" w:rsidRDefault="00B903ED" w:rsidP="00B903ED">
            <w:pPr>
              <w:jc w:val="center"/>
              <w:rPr>
                <w:rFonts w:ascii="Arial" w:hAnsi="Arial" w:cs="Arial"/>
                <w:bCs/>
                <w:sz w:val="20"/>
                <w:szCs w:val="20"/>
              </w:rPr>
            </w:pPr>
            <w:r w:rsidRPr="00B903ED">
              <w:rPr>
                <w:rFonts w:ascii="Arial" w:hAnsi="Arial" w:cs="Arial"/>
                <w:bCs/>
                <w:sz w:val="20"/>
                <w:szCs w:val="20"/>
              </w:rPr>
              <w:t>3.77</w:t>
            </w:r>
          </w:p>
        </w:tc>
        <w:tc>
          <w:tcPr>
            <w:tcW w:w="539" w:type="pct"/>
            <w:vMerge/>
            <w:vAlign w:val="center"/>
          </w:tcPr>
          <w:p w14:paraId="6A59429B" w14:textId="77777777" w:rsidR="00B903ED" w:rsidRPr="00B903ED" w:rsidRDefault="00B903ED" w:rsidP="00B903ED">
            <w:pPr>
              <w:jc w:val="center"/>
              <w:rPr>
                <w:rFonts w:ascii="Arial" w:hAnsi="Arial" w:cs="Arial"/>
                <w:bCs/>
                <w:sz w:val="20"/>
                <w:szCs w:val="20"/>
              </w:rPr>
            </w:pPr>
          </w:p>
        </w:tc>
        <w:tc>
          <w:tcPr>
            <w:tcW w:w="600" w:type="pct"/>
            <w:vMerge/>
            <w:vAlign w:val="center"/>
          </w:tcPr>
          <w:p w14:paraId="7D5D14D0" w14:textId="77777777" w:rsidR="00B903ED" w:rsidRPr="00B903ED" w:rsidRDefault="00B903ED" w:rsidP="00B903ED">
            <w:pPr>
              <w:jc w:val="center"/>
              <w:rPr>
                <w:rFonts w:ascii="Arial" w:hAnsi="Arial" w:cs="Arial"/>
                <w:bCs/>
                <w:sz w:val="20"/>
                <w:szCs w:val="20"/>
              </w:rPr>
            </w:pPr>
          </w:p>
        </w:tc>
        <w:tc>
          <w:tcPr>
            <w:tcW w:w="890" w:type="pct"/>
            <w:vMerge/>
            <w:vAlign w:val="center"/>
          </w:tcPr>
          <w:p w14:paraId="76F46DF7" w14:textId="77777777" w:rsidR="00B903ED" w:rsidRPr="00B903ED" w:rsidRDefault="00B903ED" w:rsidP="00B903ED">
            <w:pPr>
              <w:jc w:val="center"/>
              <w:rPr>
                <w:rFonts w:ascii="Arial" w:hAnsi="Arial" w:cs="Arial"/>
                <w:bCs/>
                <w:sz w:val="20"/>
                <w:szCs w:val="20"/>
              </w:rPr>
            </w:pPr>
          </w:p>
        </w:tc>
        <w:tc>
          <w:tcPr>
            <w:tcW w:w="997" w:type="pct"/>
            <w:vMerge/>
            <w:vAlign w:val="center"/>
          </w:tcPr>
          <w:p w14:paraId="1A2B870E" w14:textId="77777777" w:rsidR="00B903ED" w:rsidRPr="00B903ED" w:rsidRDefault="00B903ED" w:rsidP="00B903ED">
            <w:pPr>
              <w:jc w:val="center"/>
              <w:rPr>
                <w:rFonts w:ascii="Arial" w:hAnsi="Arial" w:cs="Arial"/>
                <w:bCs/>
                <w:sz w:val="20"/>
                <w:szCs w:val="20"/>
              </w:rPr>
            </w:pPr>
          </w:p>
        </w:tc>
      </w:tr>
    </w:tbl>
    <w:p w14:paraId="0DF24F54" w14:textId="77777777" w:rsidR="00B903ED" w:rsidRDefault="00B903ED" w:rsidP="00B903ED">
      <w:pPr>
        <w:spacing w:after="240"/>
        <w:ind w:left="-142" w:firstLine="862"/>
        <w:jc w:val="both"/>
        <w:rPr>
          <w:rFonts w:ascii="Arial" w:hAnsi="Arial" w:cs="Arial"/>
          <w:color w:val="000000" w:themeColor="text1"/>
        </w:rPr>
      </w:pPr>
      <w:r w:rsidRPr="00B903ED">
        <w:rPr>
          <w:rFonts w:ascii="Arial" w:hAnsi="Arial" w:cs="Arial"/>
          <w:color w:val="000000" w:themeColor="text1"/>
        </w:rPr>
        <w:t xml:space="preserve">Table </w:t>
      </w:r>
      <w:r w:rsidR="00726E07">
        <w:rPr>
          <w:rFonts w:ascii="Arial" w:hAnsi="Arial" w:cs="Arial"/>
          <w:color w:val="000000" w:themeColor="text1"/>
        </w:rPr>
        <w:t>6</w:t>
      </w:r>
      <w:r w:rsidRPr="00B903ED">
        <w:rPr>
          <w:rFonts w:ascii="Arial" w:hAnsi="Arial" w:cs="Arial"/>
          <w:color w:val="000000" w:themeColor="text1"/>
        </w:rPr>
        <w:t xml:space="preserve"> reveals a substantial improvement in the reading performance of learners at Kabugao Central School following the implementation of Project LEAP (Learning Engagement and Advancement Progress). The mean score increased significantly from 77.63 in the pre-test to 93.59 in the post-test, accompanied by a decrease in standard deviation from 4.65 to 3.77, indicating not only improved performance but also greater consistency among learners. The computed t-value of -14.30 and a p-value of less than 0.001 indicate that this improvement is highly significant, warranting the rejection </w:t>
      </w:r>
      <w:r w:rsidRPr="00B903ED">
        <w:rPr>
          <w:rFonts w:ascii="Arial" w:hAnsi="Arial" w:cs="Arial"/>
          <w:color w:val="000000" w:themeColor="text1"/>
        </w:rPr>
        <w:lastRenderedPageBreak/>
        <w:t xml:space="preserve">of the null hypothesis. These results strongly suggest that Project LEAP had a positive and meaningful impact on students' reading engagement and achievement. The implication is that incorporating targeted, engaging reading interventions like Project LEAP can effectively address learning gaps, enhance comprehension skills, and promote academic growth in reading among elementary learners. These results aligned with the study of </w:t>
      </w:r>
      <w:r w:rsidR="00693FC9">
        <w:rPr>
          <w:rFonts w:ascii="Arial" w:hAnsi="Arial" w:cs="Arial"/>
        </w:rPr>
        <w:t>(</w:t>
      </w:r>
      <w:r w:rsidR="00693FC9" w:rsidRPr="00EF0EEF">
        <w:rPr>
          <w:rFonts w:ascii="Arial" w:hAnsi="Arial" w:cs="Arial"/>
        </w:rPr>
        <w:t>Guthrie</w:t>
      </w:r>
      <w:r w:rsidR="00693FC9">
        <w:rPr>
          <w:rFonts w:ascii="Arial" w:hAnsi="Arial" w:cs="Arial"/>
        </w:rPr>
        <w:t xml:space="preserve"> et. al, </w:t>
      </w:r>
      <w:r w:rsidR="00693FC9" w:rsidRPr="00EF0EEF">
        <w:rPr>
          <w:rFonts w:ascii="Arial" w:hAnsi="Arial" w:cs="Arial"/>
        </w:rPr>
        <w:t>1998)</w:t>
      </w:r>
      <w:r w:rsidRPr="00B903ED">
        <w:rPr>
          <w:rFonts w:ascii="Arial" w:hAnsi="Arial" w:cs="Arial"/>
          <w:color w:val="000000" w:themeColor="text1"/>
        </w:rPr>
        <w:t xml:space="preserve">, which demonstrated that students who received concept-oriented reading instruction exhibited significantly greater reading comprehension and engagement than those in traditional settings. Similarly, </w:t>
      </w:r>
      <w:r w:rsidR="00693FC9">
        <w:rPr>
          <w:rFonts w:ascii="Arial" w:hAnsi="Arial" w:cs="Arial"/>
        </w:rPr>
        <w:t>(</w:t>
      </w:r>
      <w:r w:rsidR="00693FC9">
        <w:t>Cambourne, B. (1995)</w:t>
      </w:r>
      <w:r w:rsidR="00693FC9">
        <w:rPr>
          <w:rFonts w:ascii="Arial" w:hAnsi="Arial" w:cs="Arial"/>
        </w:rPr>
        <w:t xml:space="preserve">, </w:t>
      </w:r>
      <w:r w:rsidRPr="00B903ED">
        <w:rPr>
          <w:rFonts w:ascii="Arial" w:hAnsi="Arial" w:cs="Arial"/>
          <w:color w:val="000000" w:themeColor="text1"/>
        </w:rPr>
        <w:t xml:space="preserve">emphasized that fostering ownership and cultural relevance in reading instruction leads to improved literacy achievement, particularly among diverse learners—an approach mirrored in Project LEAP’s learner-centered strategy. Moreover, </w:t>
      </w:r>
      <w:r w:rsidR="00693FC9">
        <w:rPr>
          <w:rFonts w:ascii="Arial" w:hAnsi="Arial" w:cs="Arial"/>
        </w:rPr>
        <w:t>(</w:t>
      </w:r>
      <w:r w:rsidR="00693FC9">
        <w:t>Au,1997</w:t>
      </w:r>
      <w:proofErr w:type="gramStart"/>
      <w:r w:rsidR="00693FC9">
        <w:t>)</w:t>
      </w:r>
      <w:r w:rsidR="00693FC9" w:rsidRPr="00EF0EEF">
        <w:rPr>
          <w:rFonts w:ascii="Arial" w:hAnsi="Arial" w:cs="Arial"/>
        </w:rPr>
        <w:t>.</w:t>
      </w:r>
      <w:r w:rsidRPr="00B903ED">
        <w:rPr>
          <w:rFonts w:ascii="Arial" w:hAnsi="Arial" w:cs="Arial"/>
          <w:color w:val="000000" w:themeColor="text1"/>
        </w:rPr>
        <w:t>asserted</w:t>
      </w:r>
      <w:proofErr w:type="gramEnd"/>
      <w:r w:rsidRPr="00B903ED">
        <w:rPr>
          <w:rFonts w:ascii="Arial" w:hAnsi="Arial" w:cs="Arial"/>
          <w:color w:val="000000" w:themeColor="text1"/>
        </w:rPr>
        <w:t xml:space="preserve"> that authentic, meaningful reading experiences contribute to higher motivation and performance in literacy, a core component evident in the success of the intervention at </w:t>
      </w:r>
      <w:proofErr w:type="spellStart"/>
      <w:r w:rsidRPr="00B903ED">
        <w:rPr>
          <w:rFonts w:ascii="Arial" w:hAnsi="Arial" w:cs="Arial"/>
          <w:color w:val="000000" w:themeColor="text1"/>
        </w:rPr>
        <w:t>Kabugao</w:t>
      </w:r>
      <w:proofErr w:type="spellEnd"/>
      <w:r w:rsidRPr="00B903ED">
        <w:rPr>
          <w:rFonts w:ascii="Arial" w:hAnsi="Arial" w:cs="Arial"/>
          <w:color w:val="000000" w:themeColor="text1"/>
        </w:rPr>
        <w:t xml:space="preserve"> Central School.</w:t>
      </w:r>
    </w:p>
    <w:p w14:paraId="23D9F2F4" w14:textId="77777777" w:rsidR="006A6642" w:rsidRDefault="006A6642" w:rsidP="006A6642">
      <w:pPr>
        <w:pStyle w:val="Head1"/>
        <w:spacing w:after="0"/>
        <w:jc w:val="both"/>
        <w:rPr>
          <w:rFonts w:ascii="Arial" w:hAnsi="Arial" w:cs="Arial"/>
          <w:caps w:val="0"/>
        </w:rPr>
      </w:pPr>
      <w:r>
        <w:rPr>
          <w:rFonts w:ascii="Arial" w:hAnsi="Arial" w:cs="Arial"/>
        </w:rPr>
        <w:t>5.</w:t>
      </w:r>
      <w:r>
        <w:rPr>
          <w:rFonts w:ascii="Arial" w:hAnsi="Arial" w:cs="Arial"/>
          <w:caps w:val="0"/>
        </w:rPr>
        <w:t xml:space="preserve"> CONCLUSION</w:t>
      </w:r>
    </w:p>
    <w:p w14:paraId="7B4A3F46" w14:textId="77777777" w:rsidR="006A6642" w:rsidRDefault="006A6642" w:rsidP="006A6642">
      <w:pPr>
        <w:pStyle w:val="Head1"/>
        <w:spacing w:after="0"/>
        <w:jc w:val="both"/>
        <w:rPr>
          <w:rFonts w:ascii="Arial" w:hAnsi="Arial" w:cs="Arial"/>
          <w:caps w:val="0"/>
        </w:rPr>
      </w:pPr>
    </w:p>
    <w:p w14:paraId="6A6A48F4" w14:textId="77777777" w:rsidR="006A6642" w:rsidRPr="006A6642" w:rsidRDefault="006A6642" w:rsidP="006A6642">
      <w:pPr>
        <w:jc w:val="both"/>
        <w:rPr>
          <w:rFonts w:ascii="Arial" w:hAnsi="Arial" w:cs="Arial"/>
          <w:bCs/>
          <w:iCs/>
          <w:lang w:val="en-PH"/>
        </w:rPr>
      </w:pPr>
      <w:r>
        <w:rPr>
          <w:rFonts w:ascii="Arial" w:hAnsi="Arial" w:cs="Arial"/>
          <w:bCs/>
          <w:iCs/>
        </w:rPr>
        <w:tab/>
      </w:r>
      <w:r w:rsidRPr="006A6642">
        <w:rPr>
          <w:rFonts w:ascii="Arial" w:hAnsi="Arial" w:cs="Arial"/>
          <w:bCs/>
          <w:iCs/>
        </w:rPr>
        <w:t xml:space="preserve">The initial reading performance of learners at </w:t>
      </w:r>
      <w:proofErr w:type="spellStart"/>
      <w:r w:rsidRPr="006A6642">
        <w:rPr>
          <w:rFonts w:ascii="Arial" w:hAnsi="Arial" w:cs="Arial"/>
          <w:bCs/>
          <w:iCs/>
        </w:rPr>
        <w:t>Kabugao</w:t>
      </w:r>
      <w:proofErr w:type="spellEnd"/>
      <w:r w:rsidRPr="006A6642">
        <w:rPr>
          <w:rFonts w:ascii="Arial" w:hAnsi="Arial" w:cs="Arial"/>
          <w:bCs/>
          <w:iCs/>
        </w:rPr>
        <w:t xml:space="preserve"> Central School revealed a diverse range of abilities, indicating that while some students were on track or ahead in reading, others needed additional support. This highlights the importance of tailored interventions to meet the varying needs of students. The observed general trend of improvement before the project’s implementation suggests that learners were capable of growth, but not all were progressing at the same pace. This baseline data provided a strong justification for introducing Project LEAP to enhance reading engagement and close performance gaps.</w:t>
      </w:r>
    </w:p>
    <w:p w14:paraId="0A7DA178" w14:textId="77777777" w:rsidR="006A6642" w:rsidRPr="006A6642" w:rsidRDefault="006A6642" w:rsidP="006A6642">
      <w:pPr>
        <w:jc w:val="both"/>
        <w:rPr>
          <w:rFonts w:ascii="Arial" w:hAnsi="Arial" w:cs="Arial"/>
          <w:bCs/>
          <w:iCs/>
        </w:rPr>
      </w:pPr>
      <w:r w:rsidRPr="006A6642">
        <w:rPr>
          <w:rFonts w:ascii="Arial" w:hAnsi="Arial" w:cs="Arial"/>
          <w:bCs/>
          <w:iCs/>
        </w:rPr>
        <w:tab/>
        <w:t>After the implementation of Project LEAP, all learners showed consistent improvement in reading skills, which demonstrates the program’s effectiveness in promoting literacy development. The uniform classification of students under the “Improved” reading level implies that the intervention created equitable opportunities for growth among learners, regardless of their starting point. This outcome emphasizes the potential of Project LEAP as a structured approach to foster reading proficiency and fluency in a classroom setting.</w:t>
      </w:r>
    </w:p>
    <w:p w14:paraId="10A8307E" w14:textId="77777777" w:rsidR="006A6642" w:rsidRPr="006A6642" w:rsidRDefault="006A6642" w:rsidP="006A6642">
      <w:pPr>
        <w:jc w:val="both"/>
        <w:rPr>
          <w:rFonts w:ascii="Arial" w:hAnsi="Arial" w:cs="Arial"/>
          <w:bCs/>
          <w:iCs/>
        </w:rPr>
      </w:pPr>
      <w:r w:rsidRPr="006A6642">
        <w:rPr>
          <w:rFonts w:ascii="Arial" w:hAnsi="Arial" w:cs="Arial"/>
          <w:bCs/>
          <w:iCs/>
        </w:rPr>
        <w:tab/>
        <w:t xml:space="preserve">The significant enhancement in reading performance from pre-test to post-test results confirms the impact of Project LEAP in boosting students’ reading engagement and achievement. The statistical validation of the results indicates that the progress observed was a direct effect of the intervention and not due to external factors. This finding affirms the value of evidence-based reading programs in supporting academic development and suggests that continued use of Project LEAP could sustain and further improve literacy outcomes in the school. </w:t>
      </w:r>
    </w:p>
    <w:p w14:paraId="1F591895" w14:textId="77777777" w:rsidR="006A6642" w:rsidRDefault="006A6642" w:rsidP="006A6642">
      <w:pPr>
        <w:pStyle w:val="Head1"/>
        <w:spacing w:after="0"/>
        <w:jc w:val="both"/>
        <w:rPr>
          <w:rFonts w:ascii="Arial" w:hAnsi="Arial" w:cs="Arial"/>
          <w:caps w:val="0"/>
        </w:rPr>
      </w:pPr>
    </w:p>
    <w:p w14:paraId="3810D88E" w14:textId="77777777" w:rsidR="00790ADA" w:rsidRPr="00FB3A86" w:rsidRDefault="00790ADA" w:rsidP="00441B6F">
      <w:pPr>
        <w:pStyle w:val="Body"/>
        <w:spacing w:after="0"/>
        <w:rPr>
          <w:rFonts w:ascii="Arial" w:hAnsi="Arial" w:cs="Arial"/>
        </w:rPr>
      </w:pPr>
    </w:p>
    <w:p w14:paraId="65671301" w14:textId="77777777" w:rsidR="0034009A" w:rsidRDefault="0034009A" w:rsidP="00441B6F">
      <w:pPr>
        <w:pStyle w:val="ReferHead"/>
        <w:spacing w:after="0"/>
        <w:jc w:val="both"/>
        <w:rPr>
          <w:rFonts w:ascii="Arial" w:hAnsi="Arial" w:cs="Arial"/>
          <w:b w:val="0"/>
          <w:caps w:val="0"/>
          <w:sz w:val="20"/>
        </w:rPr>
      </w:pPr>
    </w:p>
    <w:p w14:paraId="3E50F883"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35A89B0" w14:textId="77777777" w:rsidR="002B685A" w:rsidRDefault="00E93E67" w:rsidP="00441B6F">
      <w:pPr>
        <w:pStyle w:val="ReferHead"/>
        <w:spacing w:after="0"/>
        <w:jc w:val="both"/>
        <w:rPr>
          <w:rFonts w:ascii="Arial" w:hAnsi="Arial" w:cs="Arial"/>
          <w:b w:val="0"/>
          <w:caps w:val="0"/>
          <w:sz w:val="20"/>
        </w:rPr>
      </w:pPr>
      <w:r>
        <w:rPr>
          <w:rFonts w:ascii="Arial" w:hAnsi="Arial" w:cs="Arial"/>
          <w:bCs/>
        </w:rPr>
        <w:tab/>
      </w:r>
      <w:r w:rsidR="002B3175" w:rsidRPr="002B3175">
        <w:rPr>
          <w:rFonts w:ascii="Arial" w:hAnsi="Arial" w:cs="Arial"/>
          <w:b w:val="0"/>
          <w:sz w:val="20"/>
        </w:rPr>
        <w:t xml:space="preserve">I </w:t>
      </w:r>
      <w:r w:rsidR="002B3175" w:rsidRPr="002B3175">
        <w:rPr>
          <w:rFonts w:ascii="Arial" w:hAnsi="Arial" w:cs="Arial"/>
          <w:b w:val="0"/>
          <w:caps w:val="0"/>
          <w:sz w:val="20"/>
        </w:rPr>
        <w:t>affirmed that the participants voluntarily consented to take part in the study after being fully informed about its purpose, nature, and potential implications. Their responses were collected with the utmost respect for their privacy and confidentiality.</w:t>
      </w:r>
    </w:p>
    <w:p w14:paraId="03610573" w14:textId="77777777" w:rsidR="002B3175" w:rsidRPr="002B3175" w:rsidRDefault="002B3175" w:rsidP="00441B6F">
      <w:pPr>
        <w:pStyle w:val="ReferHead"/>
        <w:spacing w:after="0"/>
        <w:jc w:val="both"/>
        <w:rPr>
          <w:rFonts w:ascii="Arial" w:hAnsi="Arial" w:cs="Arial"/>
          <w:b w:val="0"/>
          <w:bCs/>
          <w:sz w:val="20"/>
        </w:rPr>
      </w:pPr>
    </w:p>
    <w:p w14:paraId="3C1ABE75" w14:textId="77777777" w:rsidR="00391E4C" w:rsidRDefault="00391E4C" w:rsidP="00391E4C">
      <w:pPr>
        <w:pStyle w:val="ReferHead"/>
        <w:spacing w:after="0"/>
        <w:jc w:val="both"/>
        <w:rPr>
          <w:rFonts w:ascii="Arial" w:hAnsi="Arial" w:cs="Arial"/>
          <w:bCs/>
        </w:rPr>
      </w:pPr>
      <w:r>
        <w:rPr>
          <w:rFonts w:ascii="Arial" w:hAnsi="Arial" w:cs="Arial"/>
          <w:bCs/>
        </w:rPr>
        <w:t xml:space="preserve">disclaimer (artificial </w:t>
      </w:r>
      <w:r w:rsidR="00416D18">
        <w:rPr>
          <w:rFonts w:ascii="Arial" w:hAnsi="Arial" w:cs="Arial"/>
          <w:bCs/>
        </w:rPr>
        <w:t>INTELLIGENCE)</w:t>
      </w:r>
    </w:p>
    <w:p w14:paraId="69095263" w14:textId="77777777" w:rsidR="002E0843" w:rsidRDefault="002E0843" w:rsidP="00391E4C">
      <w:pPr>
        <w:pStyle w:val="ReferHead"/>
        <w:spacing w:after="0"/>
        <w:jc w:val="both"/>
        <w:rPr>
          <w:rFonts w:ascii="Arial" w:hAnsi="Arial" w:cs="Arial"/>
          <w:bCs/>
        </w:rPr>
      </w:pPr>
      <w:r>
        <w:rPr>
          <w:rFonts w:ascii="Arial" w:hAnsi="Arial" w:cs="Arial"/>
          <w:b w:val="0"/>
          <w:caps w:val="0"/>
          <w:sz w:val="20"/>
        </w:rPr>
        <w:tab/>
        <w:t xml:space="preserve">I acknowledge that I have used </w:t>
      </w:r>
      <w:proofErr w:type="spellStart"/>
      <w:r>
        <w:rPr>
          <w:rFonts w:ascii="Arial" w:hAnsi="Arial" w:cs="Arial"/>
          <w:b w:val="0"/>
          <w:caps w:val="0"/>
          <w:sz w:val="20"/>
        </w:rPr>
        <w:t>Quilbot</w:t>
      </w:r>
      <w:proofErr w:type="spellEnd"/>
      <w:r>
        <w:rPr>
          <w:rFonts w:ascii="Arial" w:hAnsi="Arial" w:cs="Arial"/>
          <w:b w:val="0"/>
          <w:caps w:val="0"/>
          <w:sz w:val="20"/>
        </w:rPr>
        <w:t xml:space="preserve"> for only refining some of the sections in the document.</w:t>
      </w:r>
    </w:p>
    <w:p w14:paraId="25AA8F89" w14:textId="77777777" w:rsidR="005C784C" w:rsidRDefault="005C784C" w:rsidP="00441B6F">
      <w:pPr>
        <w:pStyle w:val="ReferHead"/>
        <w:spacing w:after="0"/>
        <w:jc w:val="both"/>
        <w:rPr>
          <w:rFonts w:ascii="Arial" w:hAnsi="Arial" w:cs="Arial"/>
          <w:b w:val="0"/>
          <w:caps w:val="0"/>
          <w:sz w:val="20"/>
        </w:rPr>
      </w:pPr>
    </w:p>
    <w:p w14:paraId="1B514001"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71139E9" w14:textId="77777777" w:rsidR="002E0843" w:rsidRDefault="002E0843" w:rsidP="002E0843">
      <w:pPr>
        <w:pStyle w:val="ReferHead"/>
        <w:spacing w:after="0"/>
        <w:jc w:val="both"/>
        <w:rPr>
          <w:rFonts w:ascii="Arial" w:hAnsi="Arial" w:cs="Arial"/>
          <w:b w:val="0"/>
          <w:caps w:val="0"/>
          <w:sz w:val="20"/>
        </w:rPr>
      </w:pPr>
      <w:r>
        <w:rPr>
          <w:rFonts w:ascii="Arial" w:hAnsi="Arial" w:cs="Arial"/>
          <w:b w:val="0"/>
          <w:caps w:val="0"/>
          <w:sz w:val="20"/>
        </w:rPr>
        <w:tab/>
      </w:r>
      <w:r w:rsidR="002B3175" w:rsidRPr="002B3175">
        <w:rPr>
          <w:rFonts w:ascii="Arial" w:hAnsi="Arial" w:cs="Arial"/>
          <w:b w:val="0"/>
          <w:caps w:val="0"/>
          <w:sz w:val="20"/>
        </w:rPr>
        <w:t>The study was carried out in accordance with the college's standards and received institutional approval. Ethical approval was not required, as the research adhered to all relevant ethical guidelines, ensuring the privacy and confidentiality of the participants were respected</w:t>
      </w:r>
      <w:r w:rsidR="002B3175" w:rsidRPr="002B3175">
        <w:rPr>
          <w:rFonts w:ascii="Arial" w:hAnsi="Arial" w:cs="Arial"/>
          <w:b w:val="0"/>
          <w:sz w:val="20"/>
        </w:rPr>
        <w:t>.</w:t>
      </w:r>
      <w:r w:rsidR="002B3175" w:rsidRPr="002B3175">
        <w:rPr>
          <w:rFonts w:ascii="Arial" w:hAnsi="Arial" w:cs="Arial"/>
          <w:b w:val="0"/>
          <w:caps w:val="0"/>
          <w:sz w:val="20"/>
        </w:rPr>
        <w:t xml:space="preserve"> </w:t>
      </w:r>
    </w:p>
    <w:p w14:paraId="0AE7676E" w14:textId="77777777" w:rsidR="002B3175" w:rsidRDefault="002B3175" w:rsidP="002E0843">
      <w:pPr>
        <w:pStyle w:val="ReferHead"/>
        <w:spacing w:after="0"/>
        <w:jc w:val="both"/>
        <w:rPr>
          <w:rFonts w:ascii="Arial" w:hAnsi="Arial" w:cs="Arial"/>
          <w:b w:val="0"/>
          <w:bCs/>
          <w:sz w:val="20"/>
        </w:rPr>
      </w:pPr>
    </w:p>
    <w:p w14:paraId="6A779AE2" w14:textId="77777777" w:rsidR="002B3175" w:rsidRDefault="002B3175" w:rsidP="002B3175">
      <w:pPr>
        <w:pStyle w:val="ReferHead"/>
        <w:spacing w:after="0"/>
        <w:jc w:val="both"/>
        <w:rPr>
          <w:rFonts w:ascii="Arial" w:hAnsi="Arial" w:cs="Arial"/>
          <w:bCs/>
        </w:rPr>
      </w:pPr>
      <w:r>
        <w:rPr>
          <w:rFonts w:ascii="Arial" w:hAnsi="Arial" w:cs="Arial"/>
          <w:bCs/>
        </w:rPr>
        <w:t>references</w:t>
      </w:r>
    </w:p>
    <w:p w14:paraId="097DCB96" w14:textId="77777777" w:rsidR="001F0662" w:rsidRDefault="001F0662" w:rsidP="002B3175">
      <w:pPr>
        <w:pStyle w:val="ReferHead"/>
        <w:spacing w:after="0"/>
        <w:jc w:val="both"/>
        <w:rPr>
          <w:rFonts w:ascii="Arial" w:hAnsi="Arial" w:cs="Arial"/>
          <w:bCs/>
        </w:rPr>
      </w:pPr>
    </w:p>
    <w:p w14:paraId="39F7FA28" w14:textId="77777777" w:rsidR="001F0662" w:rsidRDefault="001F0662" w:rsidP="001F0662">
      <w:pPr>
        <w:pStyle w:val="NormalWeb"/>
      </w:pPr>
      <w:r>
        <w:t xml:space="preserve"> </w:t>
      </w:r>
      <w:r>
        <w:rPr>
          <w:rStyle w:val="Strong"/>
        </w:rPr>
        <w:t>Almasi, J. F.</w:t>
      </w:r>
      <w:r>
        <w:t xml:space="preserve"> (1996). The nature of engaged reading in classroom discussions of literature. </w:t>
      </w:r>
      <w:r>
        <w:rPr>
          <w:rStyle w:val="Emphasis"/>
        </w:rPr>
        <w:t>Journal of Literacy Research, 28</w:t>
      </w:r>
      <w:r>
        <w:t xml:space="preserve">(1), 1–25. </w:t>
      </w:r>
      <w:hyperlink r:id="rId14" w:tgtFrame="_new" w:history="1">
        <w:r>
          <w:rPr>
            <w:rStyle w:val="Hyperlink"/>
          </w:rPr>
          <w:t>https://doi.org/10.1080/10862969609547913</w:t>
        </w:r>
      </w:hyperlink>
    </w:p>
    <w:p w14:paraId="7944A100" w14:textId="77777777" w:rsidR="001F0662" w:rsidRDefault="001F0662" w:rsidP="001F0662">
      <w:pPr>
        <w:pStyle w:val="NormalWeb"/>
      </w:pPr>
      <w:r>
        <w:rPr>
          <w:rStyle w:val="Strong"/>
        </w:rPr>
        <w:t>Au, K. H.</w:t>
      </w:r>
      <w:r>
        <w:t xml:space="preserve"> (1997). Ownership, literacy achievement, and students of diverse cultural backgrounds. In J. T. Guthrie &amp; A. Wigfield (Eds.), </w:t>
      </w:r>
      <w:r>
        <w:rPr>
          <w:rStyle w:val="Emphasis"/>
        </w:rPr>
        <w:t>Reading engagement: Motivating readers through integrated instruction</w:t>
      </w:r>
      <w:r>
        <w:t xml:space="preserve"> (pp. 168–182). Newark, DE: International Reading Association.</w:t>
      </w:r>
    </w:p>
    <w:p w14:paraId="58E18059" w14:textId="77777777" w:rsidR="001F0662" w:rsidRDefault="001F0662" w:rsidP="001F0662">
      <w:pPr>
        <w:pStyle w:val="NormalWeb"/>
      </w:pPr>
      <w:r>
        <w:rPr>
          <w:rStyle w:val="Strong"/>
        </w:rPr>
        <w:lastRenderedPageBreak/>
        <w:t>Beck, I. L., McKeown, M. G., Sandora, C., Kucan, L., &amp; Worthy, J.</w:t>
      </w:r>
      <w:r>
        <w:t xml:space="preserve"> (1996). Questioning the author: A yearlong classroom implementation to engage students with text. </w:t>
      </w:r>
      <w:r>
        <w:rPr>
          <w:rStyle w:val="Emphasis"/>
        </w:rPr>
        <w:t>The Elementary School Journal, 96</w:t>
      </w:r>
      <w:r>
        <w:t>(4), 385–414. https://doi.org/10.1086/461850</w:t>
      </w:r>
    </w:p>
    <w:p w14:paraId="5E05C034" w14:textId="77777777" w:rsidR="001F0662" w:rsidRDefault="001F0662" w:rsidP="001F0662">
      <w:pPr>
        <w:pStyle w:val="NormalWeb"/>
      </w:pPr>
      <w:r>
        <w:rPr>
          <w:rStyle w:val="Strong"/>
        </w:rPr>
        <w:t>Cambourne, B.</w:t>
      </w:r>
      <w:r>
        <w:t xml:space="preserve"> (1995). Toward an educationally relevant theory of literacy learning: Twenty years of inquiry. </w:t>
      </w:r>
      <w:r>
        <w:rPr>
          <w:rStyle w:val="Emphasis"/>
        </w:rPr>
        <w:t>The Reading Teacher, 49</w:t>
      </w:r>
      <w:r>
        <w:t>(3), 182–190.</w:t>
      </w:r>
    </w:p>
    <w:p w14:paraId="1DAB7DFC" w14:textId="77777777" w:rsidR="001F0662" w:rsidRDefault="001F0662" w:rsidP="001F0662">
      <w:pPr>
        <w:pStyle w:val="NormalWeb"/>
      </w:pPr>
      <w:r>
        <w:rPr>
          <w:rStyle w:val="Strong"/>
        </w:rPr>
        <w:t>Campbell, J. R., Voelkl, K. E., &amp; Donahue, P. L.</w:t>
      </w:r>
      <w:r>
        <w:t xml:space="preserve"> (1997). </w:t>
      </w:r>
      <w:r>
        <w:rPr>
          <w:rStyle w:val="Emphasis"/>
        </w:rPr>
        <w:t>NAEP 1996 reading report card for the nation and the states</w:t>
      </w:r>
      <w:r>
        <w:t xml:space="preserve">. U.S. Department of Education, Office of Educational Research and Improvement. </w:t>
      </w:r>
      <w:hyperlink r:id="rId15" w:tgtFrame="_new" w:history="1">
        <w:r>
          <w:rPr>
            <w:rStyle w:val="Hyperlink"/>
          </w:rPr>
          <w:t>https://nces.ed.gov/pubs97/97971.pdf</w:t>
        </w:r>
      </w:hyperlink>
    </w:p>
    <w:p w14:paraId="570CE006" w14:textId="77777777" w:rsidR="001F0662" w:rsidRDefault="001F0662" w:rsidP="001F0662">
      <w:pPr>
        <w:pStyle w:val="NormalWeb"/>
      </w:pPr>
      <w:r>
        <w:rPr>
          <w:rStyle w:val="Strong"/>
        </w:rPr>
        <w:t>Csikszentmihalyi, M.</w:t>
      </w:r>
      <w:r>
        <w:t xml:space="preserve"> (1991). </w:t>
      </w:r>
      <w:r>
        <w:rPr>
          <w:rStyle w:val="Emphasis"/>
        </w:rPr>
        <w:t>Flow: The psychology of optimal experience</w:t>
      </w:r>
      <w:r>
        <w:t xml:space="preserve">. </w:t>
      </w:r>
      <w:proofErr w:type="spellStart"/>
      <w:r>
        <w:t>HarperPerennial</w:t>
      </w:r>
      <w:proofErr w:type="spellEnd"/>
      <w:r>
        <w:t>.</w:t>
      </w:r>
    </w:p>
    <w:p w14:paraId="23FB17DB" w14:textId="77777777" w:rsidR="001F0662" w:rsidRDefault="001F0662" w:rsidP="001F0662">
      <w:pPr>
        <w:pStyle w:val="NormalWeb"/>
      </w:pPr>
      <w:r>
        <w:rPr>
          <w:rStyle w:val="Strong"/>
        </w:rPr>
        <w:t>Duffy, G. G.</w:t>
      </w:r>
      <w:r>
        <w:t xml:space="preserve"> (1987). Effects of explaining the reasoning associated with using reading strategies. </w:t>
      </w:r>
      <w:r>
        <w:rPr>
          <w:rStyle w:val="Emphasis"/>
        </w:rPr>
        <w:t>Reading Research Quarterly, 22</w:t>
      </w:r>
      <w:r>
        <w:t xml:space="preserve">(3), 347–368. </w:t>
      </w:r>
      <w:hyperlink r:id="rId16" w:tgtFrame="_new" w:history="1">
        <w:r>
          <w:rPr>
            <w:rStyle w:val="Hyperlink"/>
          </w:rPr>
          <w:t>https://doi.org/10.1598/RRQ.22.3.3</w:t>
        </w:r>
      </w:hyperlink>
    </w:p>
    <w:p w14:paraId="72CEDF95" w14:textId="77777777" w:rsidR="001F0662" w:rsidRDefault="001F0662" w:rsidP="001F0662">
      <w:pPr>
        <w:pStyle w:val="NormalWeb"/>
      </w:pPr>
      <w:r>
        <w:rPr>
          <w:rStyle w:val="Strong"/>
        </w:rPr>
        <w:t>Guthrie, J. T., Van Meter, P., Hancock, G., McCann, A., Anderson, E., &amp; Alao, S.</w:t>
      </w:r>
      <w:r>
        <w:t xml:space="preserve"> (1998). Does concept-oriented reading instruction increase strategy use and conceptual learning from text? </w:t>
      </w:r>
      <w:r>
        <w:rPr>
          <w:rStyle w:val="Emphasis"/>
        </w:rPr>
        <w:t>Journal of Educational Psychology, 90</w:t>
      </w:r>
      <w:r>
        <w:t xml:space="preserve">(2), 261–278. </w:t>
      </w:r>
      <w:hyperlink r:id="rId17" w:tgtFrame="_new" w:history="1">
        <w:r>
          <w:rPr>
            <w:rStyle w:val="Hyperlink"/>
          </w:rPr>
          <w:t>https://doi.org/10.1037/0022-0663.90.2.261</w:t>
        </w:r>
      </w:hyperlink>
    </w:p>
    <w:p w14:paraId="05644BB9" w14:textId="77777777" w:rsidR="001F0662" w:rsidRDefault="001F0662" w:rsidP="001F0662">
      <w:pPr>
        <w:pStyle w:val="NormalWeb"/>
      </w:pPr>
      <w:r>
        <w:t xml:space="preserve"> </w:t>
      </w:r>
      <w:r>
        <w:rPr>
          <w:rStyle w:val="Strong"/>
        </w:rPr>
        <w:t xml:space="preserve">Guthrie, J. T., Wigfield, A., Barbosa, P., Perencevich, K. C., Taboada, A., Davis, M. H., </w:t>
      </w:r>
      <w:proofErr w:type="spellStart"/>
      <w:r>
        <w:rPr>
          <w:rStyle w:val="Strong"/>
        </w:rPr>
        <w:t>Scafiddi</w:t>
      </w:r>
      <w:proofErr w:type="spellEnd"/>
      <w:r>
        <w:rPr>
          <w:rStyle w:val="Strong"/>
        </w:rPr>
        <w:t>, N. T., &amp; Tonks, S. M.</w:t>
      </w:r>
      <w:r>
        <w:t xml:space="preserve"> (2004). Increasing reading comprehension and engagement through concept-oriented reading instruction. </w:t>
      </w:r>
      <w:r>
        <w:rPr>
          <w:rStyle w:val="Emphasis"/>
        </w:rPr>
        <w:t>Journal of Educational Psychology, 96</w:t>
      </w:r>
      <w:r>
        <w:t xml:space="preserve">(3), 403–423. </w:t>
      </w:r>
      <w:hyperlink r:id="rId18" w:tgtFrame="_new" w:history="1">
        <w:r>
          <w:rPr>
            <w:rStyle w:val="Hyperlink"/>
          </w:rPr>
          <w:t>https://doi.org/10.1037/0022-0663.96.3.403</w:t>
        </w:r>
      </w:hyperlink>
    </w:p>
    <w:p w14:paraId="73B99D98" w14:textId="77777777" w:rsidR="001F0662" w:rsidRDefault="001F0662" w:rsidP="001F0662">
      <w:pPr>
        <w:pStyle w:val="NormalWeb"/>
      </w:pPr>
      <w:r>
        <w:rPr>
          <w:rStyle w:val="Strong"/>
        </w:rPr>
        <w:t>Harste, J. C., &amp; Leland, C. H.</w:t>
      </w:r>
      <w:r>
        <w:t xml:space="preserve"> (1994). Multiple ways of knowing: Curriculum in a new key. </w:t>
      </w:r>
      <w:r>
        <w:rPr>
          <w:rStyle w:val="Emphasis"/>
        </w:rPr>
        <w:t>Language Arts, 71</w:t>
      </w:r>
      <w:r>
        <w:t>(5), 337–345. https://doi.org/10.58680/la199425208</w:t>
      </w:r>
    </w:p>
    <w:p w14:paraId="32DFC28F" w14:textId="77777777" w:rsidR="001F0662" w:rsidRDefault="001F0662" w:rsidP="001F0662">
      <w:pPr>
        <w:pStyle w:val="NormalWeb"/>
      </w:pPr>
      <w:proofErr w:type="spellStart"/>
      <w:r>
        <w:rPr>
          <w:rStyle w:val="Strong"/>
        </w:rPr>
        <w:t>Lesaux</w:t>
      </w:r>
      <w:proofErr w:type="spellEnd"/>
      <w:r>
        <w:rPr>
          <w:rStyle w:val="Strong"/>
        </w:rPr>
        <w:t>, N. K., &amp; Crosson, A. C.</w:t>
      </w:r>
      <w:r>
        <w:t xml:space="preserve"> (2010). Revisiting assumptions about the relationship of fluent reading to comprehension: Spanish-speakers' text-reading fluency in English. </w:t>
      </w:r>
      <w:r>
        <w:rPr>
          <w:rStyle w:val="Emphasis"/>
        </w:rPr>
        <w:t>Reading and Writing, 23</w:t>
      </w:r>
      <w:r>
        <w:t xml:space="preserve">(5), 475–494. </w:t>
      </w:r>
      <w:hyperlink r:id="rId19" w:tgtFrame="_new" w:history="1">
        <w:r>
          <w:rPr>
            <w:rStyle w:val="Hyperlink"/>
          </w:rPr>
          <w:t>https://doi.org/10.1007/s11145-009-9168-8</w:t>
        </w:r>
      </w:hyperlink>
    </w:p>
    <w:p w14:paraId="4D37C8FB" w14:textId="77777777" w:rsidR="001F0662" w:rsidRDefault="001F0662" w:rsidP="001F0662">
      <w:pPr>
        <w:pStyle w:val="NormalWeb"/>
      </w:pPr>
      <w:r>
        <w:rPr>
          <w:rStyle w:val="Strong"/>
        </w:rPr>
        <w:t>Paris, S. G., Wasik, B. A., &amp; Turner, J. C.</w:t>
      </w:r>
      <w:r>
        <w:t xml:space="preserve"> (1991). The development of strategic readers. In R. Barr, M. Kamil, P. Mosenthal, &amp; P. D. Pearson (Eds.), </w:t>
      </w:r>
      <w:r>
        <w:rPr>
          <w:rStyle w:val="Emphasis"/>
        </w:rPr>
        <w:t>Handbook of reading research</w:t>
      </w:r>
      <w:r>
        <w:t xml:space="preserve"> (Vol. 2, pp. 609–640). Lawrence Erlbaum Associates.</w:t>
      </w:r>
    </w:p>
    <w:p w14:paraId="702627A3" w14:textId="77777777" w:rsidR="001F0662" w:rsidRDefault="001F0662" w:rsidP="001F0662">
      <w:pPr>
        <w:pStyle w:val="NormalWeb"/>
      </w:pPr>
      <w:r>
        <w:rPr>
          <w:rStyle w:val="Strong"/>
        </w:rPr>
        <w:t>Pressley, M., Schuder, T., Bergman, J. L., &amp; El-</w:t>
      </w:r>
      <w:proofErr w:type="spellStart"/>
      <w:r>
        <w:rPr>
          <w:rStyle w:val="Strong"/>
        </w:rPr>
        <w:t>Dinary</w:t>
      </w:r>
      <w:proofErr w:type="spellEnd"/>
      <w:r>
        <w:rPr>
          <w:rStyle w:val="Strong"/>
        </w:rPr>
        <w:t>, P. B.</w:t>
      </w:r>
      <w:r>
        <w:t xml:space="preserve"> (1992). A researcher-educator collaborative interview study of transactional comprehension strategies instruction. </w:t>
      </w:r>
      <w:r>
        <w:rPr>
          <w:rStyle w:val="Emphasis"/>
        </w:rPr>
        <w:t>Journal of Educational Psychology, 84</w:t>
      </w:r>
      <w:r>
        <w:t>(2), 231–246. https://doi.org/10.1037/0022-0663.84.2.231</w:t>
      </w:r>
    </w:p>
    <w:p w14:paraId="02CB8BFC" w14:textId="77777777" w:rsidR="001F0662" w:rsidRDefault="001F0662" w:rsidP="001F0662">
      <w:pPr>
        <w:pStyle w:val="NormalWeb"/>
      </w:pPr>
      <w:proofErr w:type="spellStart"/>
      <w:r>
        <w:rPr>
          <w:rStyle w:val="Strong"/>
        </w:rPr>
        <w:t>Ipielewski</w:t>
      </w:r>
      <w:proofErr w:type="spellEnd"/>
      <w:r>
        <w:rPr>
          <w:rStyle w:val="Strong"/>
        </w:rPr>
        <w:t>, J., &amp; Stanovich, K. E.</w:t>
      </w:r>
      <w:r>
        <w:t xml:space="preserve"> (1992). Predicting growth in reading ability from children's exposure to print. </w:t>
      </w:r>
      <w:r>
        <w:rPr>
          <w:rStyle w:val="Emphasis"/>
        </w:rPr>
        <w:t>Journal of Experimental Child Psychology, 54</w:t>
      </w:r>
      <w:r>
        <w:t>(1), 74–89. https://doi.org/10.1016/0022-0965(92)90007-8</w:t>
      </w:r>
    </w:p>
    <w:p w14:paraId="55C5E816" w14:textId="77777777" w:rsidR="001F0662" w:rsidRDefault="001F0662" w:rsidP="002B3175">
      <w:pPr>
        <w:pStyle w:val="ReferHead"/>
        <w:spacing w:after="0"/>
        <w:jc w:val="both"/>
        <w:rPr>
          <w:rFonts w:ascii="Arial" w:hAnsi="Arial" w:cs="Arial"/>
          <w:bCs/>
        </w:rPr>
      </w:pPr>
    </w:p>
    <w:sectPr w:rsidR="001F0662" w:rsidSect="00E32978">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6EB63" w14:textId="77777777" w:rsidR="0030222C" w:rsidRDefault="0030222C" w:rsidP="00C37E61">
      <w:r>
        <w:separator/>
      </w:r>
    </w:p>
  </w:endnote>
  <w:endnote w:type="continuationSeparator" w:id="0">
    <w:p w14:paraId="618BD701" w14:textId="77777777" w:rsidR="0030222C" w:rsidRDefault="0030222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D539" w14:textId="77777777" w:rsidR="00E32978" w:rsidRDefault="00E32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0EC4" w14:textId="77777777" w:rsidR="00E32978" w:rsidRDefault="00E32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5078" w14:textId="1C2FB555" w:rsidR="002E0843" w:rsidRPr="00E32978" w:rsidRDefault="002E0843" w:rsidP="00E329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E761" w14:textId="77777777" w:rsidR="002E0843" w:rsidRPr="00C37E61" w:rsidRDefault="002E084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3728F" w14:textId="77777777" w:rsidR="0030222C" w:rsidRDefault="0030222C" w:rsidP="00C37E61">
      <w:r>
        <w:separator/>
      </w:r>
    </w:p>
  </w:footnote>
  <w:footnote w:type="continuationSeparator" w:id="0">
    <w:p w14:paraId="474FDE4F" w14:textId="77777777" w:rsidR="0030222C" w:rsidRDefault="0030222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C9A3" w14:textId="477459F3" w:rsidR="00E32978" w:rsidRDefault="00E32978">
    <w:pPr>
      <w:pStyle w:val="Header"/>
    </w:pPr>
    <w:r>
      <w:rPr>
        <w:noProof/>
      </w:rPr>
      <w:pict w14:anchorId="4459E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782"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812A9" w14:textId="4F54DB7D" w:rsidR="00E32978" w:rsidRDefault="00E32978">
    <w:pPr>
      <w:pStyle w:val="Header"/>
    </w:pPr>
    <w:r>
      <w:rPr>
        <w:noProof/>
      </w:rPr>
      <w:pict w14:anchorId="76F5D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783"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532F" w14:textId="41C669D4" w:rsidR="002E0843" w:rsidRPr="00296529" w:rsidRDefault="00E32978" w:rsidP="00296529">
    <w:pPr>
      <w:ind w:left="2160"/>
      <w:jc w:val="center"/>
      <w:rPr>
        <w:rFonts w:ascii="Times New Roman" w:eastAsia="Calibri" w:hAnsi="Times New Roman"/>
        <w:i/>
        <w:sz w:val="18"/>
        <w:szCs w:val="22"/>
      </w:rPr>
    </w:pPr>
    <w:r>
      <w:rPr>
        <w:noProof/>
      </w:rPr>
      <w:pict w14:anchorId="4E4B8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781"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C7AD609" w14:textId="77777777" w:rsidR="002E0843" w:rsidRPr="00296529" w:rsidRDefault="002E084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F721EAB" w14:textId="77777777" w:rsidR="002E0843" w:rsidRPr="00296529" w:rsidRDefault="002E084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0F424A" w14:textId="77777777" w:rsidR="002E0843" w:rsidRPr="00296529" w:rsidRDefault="002E084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6EE540" w14:textId="77777777" w:rsidR="002E0843" w:rsidRDefault="002E084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55DB651" w14:textId="77777777" w:rsidR="002E0843" w:rsidRDefault="002E084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7283B30" w14:textId="77777777" w:rsidR="002E0843" w:rsidRDefault="002E084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9E02" w14:textId="1DC06371" w:rsidR="00E32978" w:rsidRDefault="00E32978">
    <w:pPr>
      <w:pStyle w:val="Header"/>
    </w:pPr>
    <w:r>
      <w:rPr>
        <w:noProof/>
      </w:rPr>
      <w:pict w14:anchorId="7903B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785"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B2FCC" w14:textId="1D9C9C95" w:rsidR="00E32978" w:rsidRDefault="00E32978">
    <w:pPr>
      <w:pStyle w:val="Header"/>
    </w:pPr>
    <w:r>
      <w:rPr>
        <w:noProof/>
      </w:rPr>
      <w:pict w14:anchorId="1F6FC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786"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E7B6" w14:textId="790C9B17" w:rsidR="00E32978" w:rsidRDefault="00E32978">
    <w:pPr>
      <w:pStyle w:val="Header"/>
    </w:pPr>
    <w:r>
      <w:rPr>
        <w:noProof/>
      </w:rPr>
      <w:pict w14:anchorId="587AC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5784"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03FF2"/>
    <w:multiLevelType w:val="hybridMultilevel"/>
    <w:tmpl w:val="CCCEA1D0"/>
    <w:lvl w:ilvl="0" w:tplc="3409000F">
      <w:start w:val="1"/>
      <w:numFmt w:val="decimal"/>
      <w:lvlText w:val="%1."/>
      <w:lvlJc w:val="left"/>
      <w:pPr>
        <w:ind w:left="1080" w:hanging="360"/>
      </w:pPr>
      <w:rPr>
        <w:rFonts w:hint="default"/>
      </w:r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1D6DF2"/>
    <w:multiLevelType w:val="hybridMultilevel"/>
    <w:tmpl w:val="70004DA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BAE66BF"/>
    <w:multiLevelType w:val="hybridMultilevel"/>
    <w:tmpl w:val="BC7689C6"/>
    <w:lvl w:ilvl="0" w:tplc="FFFFFFFF">
      <w:start w:val="1"/>
      <w:numFmt w:val="decimal"/>
      <w:lvlText w:val="R%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FC76925"/>
    <w:multiLevelType w:val="hybridMultilevel"/>
    <w:tmpl w:val="BC7689C6"/>
    <w:lvl w:ilvl="0" w:tplc="2DB291B6">
      <w:start w:val="1"/>
      <w:numFmt w:val="decimal"/>
      <w:lvlText w:val="R%1"/>
      <w:lvlJc w:val="left"/>
      <w:pPr>
        <w:ind w:left="928"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8CE531E"/>
    <w:multiLevelType w:val="singleLevel"/>
    <w:tmpl w:val="68CE531E"/>
    <w:lvl w:ilvl="0">
      <w:start w:val="1"/>
      <w:numFmt w:val="decimal"/>
      <w:suff w:val="space"/>
      <w:lvlText w:val="%1."/>
      <w:lvlJc w:val="left"/>
      <w:pPr>
        <w:ind w:left="240" w:firstLine="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275063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2495532">
    <w:abstractNumId w:val="19"/>
  </w:num>
  <w:num w:numId="3" w16cid:durableId="1827092714">
    <w:abstractNumId w:val="28"/>
  </w:num>
  <w:num w:numId="4" w16cid:durableId="6961244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08304815">
    <w:abstractNumId w:val="8"/>
  </w:num>
  <w:num w:numId="6" w16cid:durableId="1339187772">
    <w:abstractNumId w:val="7"/>
  </w:num>
  <w:num w:numId="7" w16cid:durableId="1052924870">
    <w:abstractNumId w:val="2"/>
  </w:num>
  <w:num w:numId="8" w16cid:durableId="934484108">
    <w:abstractNumId w:val="15"/>
  </w:num>
  <w:num w:numId="9" w16cid:durableId="2142453344">
    <w:abstractNumId w:val="30"/>
  </w:num>
  <w:num w:numId="10" w16cid:durableId="1227183972">
    <w:abstractNumId w:val="3"/>
  </w:num>
  <w:num w:numId="11" w16cid:durableId="725224473">
    <w:abstractNumId w:val="23"/>
  </w:num>
  <w:num w:numId="12" w16cid:durableId="2041277354">
    <w:abstractNumId w:val="4"/>
  </w:num>
  <w:num w:numId="13" w16cid:durableId="1249459927">
    <w:abstractNumId w:val="21"/>
  </w:num>
  <w:num w:numId="14" w16cid:durableId="1634872658">
    <w:abstractNumId w:val="9"/>
  </w:num>
  <w:num w:numId="15" w16cid:durableId="493691714">
    <w:abstractNumId w:val="26"/>
  </w:num>
  <w:num w:numId="16" w16cid:durableId="460457905">
    <w:abstractNumId w:val="6"/>
  </w:num>
  <w:num w:numId="17" w16cid:durableId="1325359658">
    <w:abstractNumId w:val="27"/>
  </w:num>
  <w:num w:numId="18" w16cid:durableId="732973199">
    <w:abstractNumId w:val="17"/>
  </w:num>
  <w:num w:numId="19" w16cid:durableId="1754352771">
    <w:abstractNumId w:val="33"/>
  </w:num>
  <w:num w:numId="20" w16cid:durableId="1361392500">
    <w:abstractNumId w:val="13"/>
  </w:num>
  <w:num w:numId="21" w16cid:durableId="204146312">
    <w:abstractNumId w:val="11"/>
  </w:num>
  <w:num w:numId="22" w16cid:durableId="1166507792">
    <w:abstractNumId w:val="16"/>
  </w:num>
  <w:num w:numId="23" w16cid:durableId="1575121639">
    <w:abstractNumId w:val="24"/>
  </w:num>
  <w:num w:numId="24" w16cid:durableId="1832409182">
    <w:abstractNumId w:val="31"/>
  </w:num>
  <w:num w:numId="25" w16cid:durableId="656224325">
    <w:abstractNumId w:val="5"/>
  </w:num>
  <w:num w:numId="26" w16cid:durableId="1488863252">
    <w:abstractNumId w:val="20"/>
  </w:num>
  <w:num w:numId="27" w16cid:durableId="1571815866">
    <w:abstractNumId w:val="25"/>
  </w:num>
  <w:num w:numId="28" w16cid:durableId="511991628">
    <w:abstractNumId w:val="32"/>
  </w:num>
  <w:num w:numId="29" w16cid:durableId="708988988">
    <w:abstractNumId w:val="29"/>
  </w:num>
  <w:num w:numId="30" w16cid:durableId="1963535058">
    <w:abstractNumId w:val="12"/>
  </w:num>
  <w:num w:numId="31" w16cid:durableId="50428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1598130">
    <w:abstractNumId w:val="18"/>
  </w:num>
  <w:num w:numId="33" w16cid:durableId="137303246">
    <w:abstractNumId w:val="14"/>
  </w:num>
  <w:num w:numId="34" w16cid:durableId="436484143">
    <w:abstractNumId w:val="22"/>
  </w:num>
  <w:num w:numId="35" w16cid:durableId="101457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K2MDcysTA0sbAwMDRU0lEKTi0uzszPAykwrAUAB3cHaiwAAAA="/>
  </w:docVars>
  <w:rsids>
    <w:rsidRoot w:val="00AA6219"/>
    <w:rsid w:val="00000F8F"/>
    <w:rsid w:val="00030174"/>
    <w:rsid w:val="0004579C"/>
    <w:rsid w:val="00067864"/>
    <w:rsid w:val="0008040B"/>
    <w:rsid w:val="000A47FA"/>
    <w:rsid w:val="000A65B7"/>
    <w:rsid w:val="000A65D3"/>
    <w:rsid w:val="000B1E33"/>
    <w:rsid w:val="000D689F"/>
    <w:rsid w:val="000E7B7B"/>
    <w:rsid w:val="000E7D62"/>
    <w:rsid w:val="00103357"/>
    <w:rsid w:val="00106CAF"/>
    <w:rsid w:val="00123C9F"/>
    <w:rsid w:val="00126190"/>
    <w:rsid w:val="00126304"/>
    <w:rsid w:val="00130F17"/>
    <w:rsid w:val="001320BF"/>
    <w:rsid w:val="001448F8"/>
    <w:rsid w:val="00163BC4"/>
    <w:rsid w:val="00191062"/>
    <w:rsid w:val="00192B72"/>
    <w:rsid w:val="001A29D8"/>
    <w:rsid w:val="001A5CAA"/>
    <w:rsid w:val="001B0427"/>
    <w:rsid w:val="001B20FA"/>
    <w:rsid w:val="001D3A51"/>
    <w:rsid w:val="001E10D2"/>
    <w:rsid w:val="001E25B4"/>
    <w:rsid w:val="001E44FE"/>
    <w:rsid w:val="001E4947"/>
    <w:rsid w:val="001F0662"/>
    <w:rsid w:val="00200595"/>
    <w:rsid w:val="00204835"/>
    <w:rsid w:val="00231920"/>
    <w:rsid w:val="0023195C"/>
    <w:rsid w:val="00241194"/>
    <w:rsid w:val="0024282C"/>
    <w:rsid w:val="002460DC"/>
    <w:rsid w:val="00250985"/>
    <w:rsid w:val="002556F6"/>
    <w:rsid w:val="00283105"/>
    <w:rsid w:val="00284C4C"/>
    <w:rsid w:val="00287E68"/>
    <w:rsid w:val="00296529"/>
    <w:rsid w:val="002B27FB"/>
    <w:rsid w:val="002B3175"/>
    <w:rsid w:val="002B685A"/>
    <w:rsid w:val="002C57D2"/>
    <w:rsid w:val="002E0843"/>
    <w:rsid w:val="002E0D56"/>
    <w:rsid w:val="0030222C"/>
    <w:rsid w:val="00304BE3"/>
    <w:rsid w:val="00315186"/>
    <w:rsid w:val="0033343E"/>
    <w:rsid w:val="0034009A"/>
    <w:rsid w:val="003512C2"/>
    <w:rsid w:val="00371FB6"/>
    <w:rsid w:val="003763C1"/>
    <w:rsid w:val="00376BBE"/>
    <w:rsid w:val="00391E4C"/>
    <w:rsid w:val="0039224F"/>
    <w:rsid w:val="003A43A4"/>
    <w:rsid w:val="003A7E18"/>
    <w:rsid w:val="003B18AF"/>
    <w:rsid w:val="003C4C86"/>
    <w:rsid w:val="003C6258"/>
    <w:rsid w:val="003D210B"/>
    <w:rsid w:val="003E2904"/>
    <w:rsid w:val="00400A1E"/>
    <w:rsid w:val="00401927"/>
    <w:rsid w:val="0041027F"/>
    <w:rsid w:val="00412475"/>
    <w:rsid w:val="00416D18"/>
    <w:rsid w:val="00420541"/>
    <w:rsid w:val="00423789"/>
    <w:rsid w:val="00440F43"/>
    <w:rsid w:val="00441B6F"/>
    <w:rsid w:val="00446221"/>
    <w:rsid w:val="00450E62"/>
    <w:rsid w:val="004539DB"/>
    <w:rsid w:val="00471A80"/>
    <w:rsid w:val="00494537"/>
    <w:rsid w:val="004A0303"/>
    <w:rsid w:val="004D305E"/>
    <w:rsid w:val="004D4277"/>
    <w:rsid w:val="00502516"/>
    <w:rsid w:val="00505F06"/>
    <w:rsid w:val="00506828"/>
    <w:rsid w:val="0053056E"/>
    <w:rsid w:val="00542814"/>
    <w:rsid w:val="00554FDA"/>
    <w:rsid w:val="005B0B8F"/>
    <w:rsid w:val="005C784C"/>
    <w:rsid w:val="005D17F6"/>
    <w:rsid w:val="005E5539"/>
    <w:rsid w:val="00602BF5"/>
    <w:rsid w:val="00603FCC"/>
    <w:rsid w:val="00617FDD"/>
    <w:rsid w:val="00633614"/>
    <w:rsid w:val="00633F68"/>
    <w:rsid w:val="00636EB2"/>
    <w:rsid w:val="006375B8"/>
    <w:rsid w:val="00654C5C"/>
    <w:rsid w:val="0066510A"/>
    <w:rsid w:val="00673F9F"/>
    <w:rsid w:val="00686953"/>
    <w:rsid w:val="00687DEA"/>
    <w:rsid w:val="00687E67"/>
    <w:rsid w:val="00693FC9"/>
    <w:rsid w:val="006967F7"/>
    <w:rsid w:val="006A250C"/>
    <w:rsid w:val="006A6642"/>
    <w:rsid w:val="006B21D3"/>
    <w:rsid w:val="006B57D0"/>
    <w:rsid w:val="006C3A77"/>
    <w:rsid w:val="006C4AC1"/>
    <w:rsid w:val="006D30FF"/>
    <w:rsid w:val="006D6940"/>
    <w:rsid w:val="006F11EC"/>
    <w:rsid w:val="0070082C"/>
    <w:rsid w:val="00726E07"/>
    <w:rsid w:val="007369E6"/>
    <w:rsid w:val="00743AE3"/>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17E21"/>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33011"/>
    <w:rsid w:val="00B52583"/>
    <w:rsid w:val="00B52896"/>
    <w:rsid w:val="00B903ED"/>
    <w:rsid w:val="00B95236"/>
    <w:rsid w:val="00B96BD9"/>
    <w:rsid w:val="00BA08F5"/>
    <w:rsid w:val="00BA1B01"/>
    <w:rsid w:val="00BA2641"/>
    <w:rsid w:val="00BB37AA"/>
    <w:rsid w:val="00BC53A0"/>
    <w:rsid w:val="00BD35CB"/>
    <w:rsid w:val="00BE62AD"/>
    <w:rsid w:val="00BF121F"/>
    <w:rsid w:val="00BF1F80"/>
    <w:rsid w:val="00C11BE3"/>
    <w:rsid w:val="00C166EF"/>
    <w:rsid w:val="00C17EB0"/>
    <w:rsid w:val="00C27F5F"/>
    <w:rsid w:val="00C30A0F"/>
    <w:rsid w:val="00C37E61"/>
    <w:rsid w:val="00C520C4"/>
    <w:rsid w:val="00C70F1B"/>
    <w:rsid w:val="00C71A47"/>
    <w:rsid w:val="00C7464C"/>
    <w:rsid w:val="00C85588"/>
    <w:rsid w:val="00C85DA0"/>
    <w:rsid w:val="00CB6941"/>
    <w:rsid w:val="00CD6755"/>
    <w:rsid w:val="00CD6856"/>
    <w:rsid w:val="00CE0089"/>
    <w:rsid w:val="00CE793C"/>
    <w:rsid w:val="00CF193C"/>
    <w:rsid w:val="00D028B4"/>
    <w:rsid w:val="00D173F1"/>
    <w:rsid w:val="00D74CB0"/>
    <w:rsid w:val="00D7527B"/>
    <w:rsid w:val="00D8295D"/>
    <w:rsid w:val="00DA3616"/>
    <w:rsid w:val="00DC2A65"/>
    <w:rsid w:val="00DE15F0"/>
    <w:rsid w:val="00DE5663"/>
    <w:rsid w:val="00DE78AA"/>
    <w:rsid w:val="00E053D0"/>
    <w:rsid w:val="00E15994"/>
    <w:rsid w:val="00E2428D"/>
    <w:rsid w:val="00E3114E"/>
    <w:rsid w:val="00E31A70"/>
    <w:rsid w:val="00E32978"/>
    <w:rsid w:val="00E35B02"/>
    <w:rsid w:val="00E41DE5"/>
    <w:rsid w:val="00E555E8"/>
    <w:rsid w:val="00E66496"/>
    <w:rsid w:val="00E66B35"/>
    <w:rsid w:val="00E66E10"/>
    <w:rsid w:val="00E769F6"/>
    <w:rsid w:val="00E8407C"/>
    <w:rsid w:val="00E84F3C"/>
    <w:rsid w:val="00E93E67"/>
    <w:rsid w:val="00E95D47"/>
    <w:rsid w:val="00E97103"/>
    <w:rsid w:val="00EA012C"/>
    <w:rsid w:val="00EB0496"/>
    <w:rsid w:val="00EC6A55"/>
    <w:rsid w:val="00ED0288"/>
    <w:rsid w:val="00EE52CB"/>
    <w:rsid w:val="00EF0EEF"/>
    <w:rsid w:val="00EF197E"/>
    <w:rsid w:val="00EF581D"/>
    <w:rsid w:val="00EF7FD8"/>
    <w:rsid w:val="00F06F59"/>
    <w:rsid w:val="00F17988"/>
    <w:rsid w:val="00F469F0"/>
    <w:rsid w:val="00F52883"/>
    <w:rsid w:val="00F53273"/>
    <w:rsid w:val="00F60708"/>
    <w:rsid w:val="00F755E4"/>
    <w:rsid w:val="00F77D02"/>
    <w:rsid w:val="00F82B6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DCA9A3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420541"/>
    <w:pPr>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420541"/>
    <w:rPr>
      <w:sz w:val="24"/>
      <w:szCs w:val="24"/>
    </w:rPr>
  </w:style>
  <w:style w:type="paragraph" w:customStyle="1" w:styleId="NoSpacing1">
    <w:name w:val="No Spacing1"/>
    <w:uiPriority w:val="1"/>
    <w:qFormat/>
    <w:rsid w:val="00E41DE5"/>
    <w:pPr>
      <w:spacing w:after="160" w:line="259" w:lineRule="auto"/>
    </w:pPr>
    <w:rPr>
      <w:rFonts w:ascii="Calibri" w:eastAsia="Calibri" w:hAnsi="Calibri"/>
      <w:sz w:val="22"/>
      <w:szCs w:val="22"/>
    </w:rPr>
  </w:style>
  <w:style w:type="paragraph" w:customStyle="1" w:styleId="ListParagraph1">
    <w:name w:val="List Paragraph1"/>
    <w:basedOn w:val="Normal"/>
    <w:uiPriority w:val="34"/>
    <w:qFormat/>
    <w:rsid w:val="00B903ED"/>
    <w:pPr>
      <w:spacing w:after="160" w:line="259" w:lineRule="auto"/>
      <w:ind w:left="720"/>
      <w:contextualSpacing/>
    </w:pPr>
    <w:rPr>
      <w:rFonts w:ascii="Times New Roman" w:hAnsi="Times New Roman"/>
      <w:sz w:val="24"/>
      <w:szCs w:val="24"/>
    </w:rPr>
  </w:style>
  <w:style w:type="paragraph" w:styleId="NormalWeb">
    <w:name w:val="Normal (Web)"/>
    <w:basedOn w:val="Normal"/>
    <w:uiPriority w:val="99"/>
    <w:semiHidden/>
    <w:unhideWhenUsed/>
    <w:rsid w:val="002B3175"/>
    <w:pPr>
      <w:spacing w:before="100" w:beforeAutospacing="1" w:after="100" w:afterAutospacing="1"/>
    </w:pPr>
    <w:rPr>
      <w:rFonts w:ascii="Times New Roman" w:hAnsi="Times New Roman"/>
      <w:sz w:val="24"/>
      <w:szCs w:val="24"/>
      <w:lang w:val="en-PH" w:eastAsia="en-PH"/>
    </w:rPr>
  </w:style>
  <w:style w:type="character" w:styleId="Strong">
    <w:name w:val="Strong"/>
    <w:basedOn w:val="DefaultParagraphFont"/>
    <w:uiPriority w:val="22"/>
    <w:qFormat/>
    <w:rsid w:val="002B3175"/>
    <w:rPr>
      <w:b/>
      <w:bCs/>
    </w:rPr>
  </w:style>
  <w:style w:type="character" w:customStyle="1" w:styleId="relative">
    <w:name w:val="relative"/>
    <w:basedOn w:val="DefaultParagraphFont"/>
    <w:rsid w:val="001F0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1375726">
      <w:bodyDiv w:val="1"/>
      <w:marLeft w:val="0"/>
      <w:marRight w:val="0"/>
      <w:marTop w:val="0"/>
      <w:marBottom w:val="0"/>
      <w:divBdr>
        <w:top w:val="none" w:sz="0" w:space="0" w:color="auto"/>
        <w:left w:val="none" w:sz="0" w:space="0" w:color="auto"/>
        <w:bottom w:val="none" w:sz="0" w:space="0" w:color="auto"/>
        <w:right w:val="none" w:sz="0" w:space="0" w:color="auto"/>
      </w:divBdr>
    </w:div>
    <w:div w:id="61467429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159922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37/0022-0663.96.3.403"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37/0022-0663.90.2.26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598/RRQ.22.3.3"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ces.ed.gov/pubs97/97971.pdf"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007/s11145-009-9168-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10862969609547913"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CEBA-E2F2-45A9-BB6C-D3396DAB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252</TotalTime>
  <Pages>8</Pages>
  <Words>4350</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29087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36</cp:revision>
  <cp:lastPrinted>1999-07-06T11:00:00Z</cp:lastPrinted>
  <dcterms:created xsi:type="dcterms:W3CDTF">2014-10-25T14:34:00Z</dcterms:created>
  <dcterms:modified xsi:type="dcterms:W3CDTF">2025-05-22T12:34:00Z</dcterms:modified>
</cp:coreProperties>
</file>