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80A0" w14:textId="77777777" w:rsidR="00552F1F" w:rsidRPr="00CE327C" w:rsidRDefault="00552F1F" w:rsidP="00A57C95">
      <w:pPr>
        <w:jc w:val="center"/>
        <w:rPr>
          <w:rFonts w:ascii="Times New Roman" w:hAnsi="Times New Roman" w:cs="Times New Roman"/>
          <w:b/>
          <w:sz w:val="24"/>
          <w:szCs w:val="24"/>
        </w:rPr>
      </w:pPr>
      <w:r w:rsidRPr="00CE327C">
        <w:rPr>
          <w:rFonts w:ascii="Times New Roman" w:hAnsi="Times New Roman" w:cs="Times New Roman"/>
          <w:b/>
          <w:sz w:val="24"/>
          <w:szCs w:val="24"/>
        </w:rPr>
        <w:t xml:space="preserve">Improving Acclimatization potential of Shooting and Rooting by </w:t>
      </w:r>
      <w:r w:rsidR="00F42355" w:rsidRPr="00CE327C">
        <w:rPr>
          <w:rFonts w:ascii="Times New Roman" w:hAnsi="Times New Roman" w:cs="Times New Roman"/>
          <w:b/>
          <w:sz w:val="24"/>
          <w:szCs w:val="24"/>
        </w:rPr>
        <w:t>CPPU</w:t>
      </w:r>
      <w:r w:rsidRPr="00CE327C">
        <w:rPr>
          <w:rFonts w:ascii="Times New Roman" w:hAnsi="Times New Roman" w:cs="Times New Roman"/>
          <w:b/>
          <w:sz w:val="24"/>
          <w:szCs w:val="24"/>
        </w:rPr>
        <w:t xml:space="preserve"> and Seaweed extract response in Syngonium</w:t>
      </w:r>
      <w:r w:rsidRPr="00CE327C">
        <w:rPr>
          <w:rFonts w:ascii="Times New Roman" w:hAnsi="Times New Roman" w:cs="Times New Roman"/>
          <w:b/>
          <w:bCs/>
          <w:i/>
          <w:iCs/>
          <w:sz w:val="24"/>
          <w:szCs w:val="24"/>
        </w:rPr>
        <w:t xml:space="preserve"> </w:t>
      </w:r>
      <w:r w:rsidRPr="00CE327C">
        <w:rPr>
          <w:rFonts w:ascii="Times New Roman" w:hAnsi="Times New Roman" w:cs="Times New Roman"/>
          <w:b/>
          <w:bCs/>
          <w:iCs/>
          <w:sz w:val="24"/>
          <w:szCs w:val="24"/>
        </w:rPr>
        <w:t>(</w:t>
      </w:r>
      <w:r w:rsidRPr="00CE327C">
        <w:rPr>
          <w:rFonts w:ascii="Times New Roman" w:hAnsi="Times New Roman" w:cs="Times New Roman"/>
          <w:b/>
          <w:i/>
          <w:iCs/>
          <w:sz w:val="24"/>
          <w:szCs w:val="24"/>
        </w:rPr>
        <w:t>Syngonium podophyllum</w:t>
      </w:r>
      <w:r w:rsidRPr="00CE327C">
        <w:rPr>
          <w:rFonts w:ascii="Times New Roman" w:hAnsi="Times New Roman" w:cs="Times New Roman"/>
          <w:b/>
          <w:bCs/>
          <w:iCs/>
          <w:sz w:val="24"/>
          <w:szCs w:val="24"/>
        </w:rPr>
        <w:t>)</w:t>
      </w:r>
      <w:r w:rsidRPr="00CE327C">
        <w:rPr>
          <w:rFonts w:ascii="Times New Roman" w:hAnsi="Times New Roman" w:cs="Times New Roman"/>
          <w:b/>
          <w:bCs/>
          <w:sz w:val="24"/>
          <w:szCs w:val="24"/>
        </w:rPr>
        <w:t xml:space="preserve"> </w:t>
      </w:r>
      <w:r w:rsidRPr="00CE327C">
        <w:rPr>
          <w:rFonts w:ascii="Times New Roman" w:hAnsi="Times New Roman" w:cs="Times New Roman"/>
          <w:b/>
          <w:sz w:val="24"/>
          <w:szCs w:val="24"/>
        </w:rPr>
        <w:t xml:space="preserve">under </w:t>
      </w:r>
      <w:r w:rsidR="00A57C95" w:rsidRPr="00CE327C">
        <w:rPr>
          <w:rFonts w:ascii="Times New Roman" w:hAnsi="Times New Roman" w:cs="Times New Roman"/>
          <w:b/>
          <w:sz w:val="24"/>
          <w:szCs w:val="24"/>
        </w:rPr>
        <w:t>Micro-climate Condition.</w:t>
      </w:r>
    </w:p>
    <w:p w14:paraId="599B67F9" w14:textId="77777777" w:rsidR="00D90128" w:rsidRDefault="00D90128" w:rsidP="00C54CAB">
      <w:pPr>
        <w:spacing w:after="0"/>
        <w:outlineLvl w:val="3"/>
        <w:rPr>
          <w:rFonts w:ascii="Times New Roman" w:eastAsia="Times New Roman" w:hAnsi="Times New Roman" w:cs="Times New Roman"/>
          <w:b/>
          <w:bCs/>
          <w:sz w:val="24"/>
          <w:szCs w:val="24"/>
        </w:rPr>
      </w:pPr>
    </w:p>
    <w:p w14:paraId="5C2085F8" w14:textId="776E32AF" w:rsidR="00C54CAB" w:rsidRPr="00941468" w:rsidRDefault="00C54CAB" w:rsidP="00C54CAB">
      <w:pPr>
        <w:spacing w:after="0"/>
        <w:outlineLvl w:val="3"/>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ABSTRACT</w:t>
      </w:r>
    </w:p>
    <w:p w14:paraId="66C056E1" w14:textId="77777777" w:rsidR="00E127BF" w:rsidRPr="00941468" w:rsidRDefault="00E127BF" w:rsidP="00E127BF">
      <w:pPr>
        <w:spacing w:after="0"/>
        <w:jc w:val="both"/>
        <w:outlineLvl w:val="3"/>
        <w:rPr>
          <w:rFonts w:ascii="Times New Roman" w:hAnsi="Times New Roman" w:cs="Times New Roman"/>
          <w:sz w:val="24"/>
          <w:szCs w:val="24"/>
        </w:rPr>
      </w:pPr>
      <w:r w:rsidRPr="00941468">
        <w:rPr>
          <w:rFonts w:ascii="Times New Roman" w:hAnsi="Times New Roman" w:cs="Times New Roman"/>
          <w:sz w:val="24"/>
          <w:szCs w:val="24"/>
        </w:rPr>
        <w:t xml:space="preserve">This study investigated the effect of </w:t>
      </w:r>
      <w:r w:rsidR="00A66040" w:rsidRPr="00941468">
        <w:rPr>
          <w:rFonts w:ascii="Times New Roman" w:hAnsi="Times New Roman" w:cs="Times New Roman"/>
          <w:sz w:val="24"/>
          <w:szCs w:val="24"/>
        </w:rPr>
        <w:t xml:space="preserve">CPPU </w:t>
      </w:r>
      <w:r w:rsidRPr="00941468">
        <w:rPr>
          <w:rFonts w:ascii="Times New Roman" w:hAnsi="Times New Roman" w:cs="Times New Roman"/>
          <w:sz w:val="24"/>
          <w:szCs w:val="24"/>
        </w:rPr>
        <w:t xml:space="preserve">and seaweed extract on the growth, rooting, and acclimatization potential of </w:t>
      </w:r>
      <w:r w:rsidRPr="00941468">
        <w:rPr>
          <w:rStyle w:val="Emphasis"/>
          <w:rFonts w:ascii="Times New Roman" w:hAnsi="Times New Roman" w:cs="Times New Roman"/>
          <w:sz w:val="24"/>
          <w:szCs w:val="24"/>
        </w:rPr>
        <w:t>Syngonium podophyllum</w:t>
      </w:r>
      <w:r w:rsidRPr="00941468">
        <w:rPr>
          <w:rFonts w:ascii="Times New Roman" w:hAnsi="Times New Roman" w:cs="Times New Roman"/>
          <w:sz w:val="24"/>
          <w:szCs w:val="24"/>
        </w:rPr>
        <w:t xml:space="preserve"> under micro-climate conditions. Seven treatments, including control, CPPU at 1 and 2 ppm, seaweed extract at 5 and 10 ml/L, and their combinations, were evaluated in a completely randomized block design with three replications. Results showed that the combined treatment of CPPU 2 ppm and seaweed extract 10 ml/L (T</w:t>
      </w:r>
      <w:r w:rsidRPr="00941468">
        <w:rPr>
          <w:rFonts w:ascii="Times New Roman" w:hAnsi="Times New Roman" w:cs="Times New Roman"/>
          <w:sz w:val="24"/>
          <w:szCs w:val="24"/>
          <w:vertAlign w:val="subscript"/>
        </w:rPr>
        <w:t>6</w:t>
      </w:r>
      <w:r w:rsidRPr="00941468">
        <w:rPr>
          <w:rFonts w:ascii="Times New Roman" w:hAnsi="Times New Roman" w:cs="Times New Roman"/>
          <w:sz w:val="24"/>
          <w:szCs w:val="24"/>
        </w:rPr>
        <w:t xml:space="preserve">) significantly enhanced all growth parameters, including plant height (28.67 cm), number of leaves (11.07), leaf size, and foliage biomass, compared to control. Rooting parameters such as root length (9.07 cm), number of roots per cutting (16.43), root fresh and dry weights, and survival rate (91.21%) were also highest under </w:t>
      </w:r>
      <w:r w:rsidRPr="00941468">
        <w:rPr>
          <w:rStyle w:val="Strong"/>
          <w:rFonts w:ascii="Times New Roman" w:hAnsi="Times New Roman" w:cs="Times New Roman"/>
          <w:b w:val="0"/>
          <w:sz w:val="24"/>
          <w:szCs w:val="24"/>
        </w:rPr>
        <w:t>T</w:t>
      </w:r>
      <w:r w:rsidRPr="00941468">
        <w:rPr>
          <w:rStyle w:val="Strong"/>
          <w:rFonts w:ascii="Times New Roman" w:hAnsi="Times New Roman" w:cs="Times New Roman"/>
          <w:b w:val="0"/>
          <w:sz w:val="24"/>
          <w:szCs w:val="24"/>
          <w:vertAlign w:val="subscript"/>
        </w:rPr>
        <w:t>6</w:t>
      </w:r>
      <w:r w:rsidRPr="00941468">
        <w:rPr>
          <w:rStyle w:val="Strong"/>
          <w:rFonts w:ascii="Times New Roman" w:hAnsi="Times New Roman" w:cs="Times New Roman"/>
          <w:b w:val="0"/>
          <w:sz w:val="24"/>
          <w:szCs w:val="24"/>
        </w:rPr>
        <w:t>:</w:t>
      </w:r>
      <w:r w:rsidRPr="00941468">
        <w:rPr>
          <w:rFonts w:ascii="Times New Roman" w:hAnsi="Times New Roman" w:cs="Times New Roman"/>
          <w:sz w:val="24"/>
          <w:szCs w:val="24"/>
        </w:rPr>
        <w:t xml:space="preserve"> CPPU 2 ppm + Seaweed Extract 10 ml/L. Treatments </w:t>
      </w:r>
      <w:r w:rsidRPr="00941468">
        <w:rPr>
          <w:rStyle w:val="Strong"/>
          <w:rFonts w:ascii="Times New Roman" w:hAnsi="Times New Roman" w:cs="Times New Roman"/>
          <w:b w:val="0"/>
          <w:sz w:val="24"/>
          <w:szCs w:val="24"/>
        </w:rPr>
        <w:t>T</w:t>
      </w:r>
      <w:r w:rsidRPr="00941468">
        <w:rPr>
          <w:rStyle w:val="Strong"/>
          <w:rFonts w:ascii="Times New Roman" w:hAnsi="Times New Roman" w:cs="Times New Roman"/>
          <w:b w:val="0"/>
          <w:sz w:val="24"/>
          <w:szCs w:val="24"/>
          <w:vertAlign w:val="subscript"/>
        </w:rPr>
        <w:t>5</w:t>
      </w:r>
      <w:r w:rsidRPr="00941468">
        <w:rPr>
          <w:rStyle w:val="Strong"/>
          <w:rFonts w:ascii="Times New Roman" w:hAnsi="Times New Roman" w:cs="Times New Roman"/>
          <w:b w:val="0"/>
          <w:sz w:val="24"/>
          <w:szCs w:val="24"/>
        </w:rPr>
        <w:t>:</w:t>
      </w:r>
      <w:r w:rsidRPr="00941468">
        <w:rPr>
          <w:rFonts w:ascii="Times New Roman" w:hAnsi="Times New Roman" w:cs="Times New Roman"/>
          <w:sz w:val="24"/>
          <w:szCs w:val="24"/>
        </w:rPr>
        <w:t xml:space="preserve"> CPPU 1 ppm + Seaweed Extract 5 ml/L and </w:t>
      </w:r>
      <w:r w:rsidRPr="00941468">
        <w:rPr>
          <w:rStyle w:val="Strong"/>
          <w:rFonts w:ascii="Times New Roman" w:hAnsi="Times New Roman" w:cs="Times New Roman"/>
          <w:b w:val="0"/>
          <w:sz w:val="24"/>
          <w:szCs w:val="24"/>
        </w:rPr>
        <w:t>T</w:t>
      </w:r>
      <w:r w:rsidRPr="00941468">
        <w:rPr>
          <w:rStyle w:val="Strong"/>
          <w:rFonts w:ascii="Times New Roman" w:hAnsi="Times New Roman" w:cs="Times New Roman"/>
          <w:b w:val="0"/>
          <w:sz w:val="24"/>
          <w:szCs w:val="24"/>
          <w:vertAlign w:val="subscript"/>
        </w:rPr>
        <w:t>4</w:t>
      </w:r>
      <w:r w:rsidRPr="00941468">
        <w:rPr>
          <w:rStyle w:val="Strong"/>
          <w:rFonts w:ascii="Times New Roman" w:hAnsi="Times New Roman" w:cs="Times New Roman"/>
          <w:b w:val="0"/>
          <w:sz w:val="24"/>
          <w:szCs w:val="24"/>
        </w:rPr>
        <w:t>:</w:t>
      </w:r>
      <w:r w:rsidRPr="00941468">
        <w:rPr>
          <w:rFonts w:ascii="Times New Roman" w:hAnsi="Times New Roman" w:cs="Times New Roman"/>
          <w:sz w:val="24"/>
          <w:szCs w:val="24"/>
        </w:rPr>
        <w:t xml:space="preserve"> Seaweed Extract 10 ml/L followed in efficacy, while the control consistently showed the lowest values across parameters. The findings indicate that the synergistic application of CPPU and seaweed extract effectively promotes shooting, rooting, and survival of </w:t>
      </w:r>
      <w:r w:rsidRPr="00941468">
        <w:rPr>
          <w:rStyle w:val="Emphasis"/>
          <w:rFonts w:ascii="Times New Roman" w:hAnsi="Times New Roman" w:cs="Times New Roman"/>
          <w:sz w:val="24"/>
          <w:szCs w:val="24"/>
        </w:rPr>
        <w:t>Syngonium</w:t>
      </w:r>
      <w:r w:rsidRPr="00941468">
        <w:rPr>
          <w:rFonts w:ascii="Times New Roman" w:hAnsi="Times New Roman" w:cs="Times New Roman"/>
          <w:sz w:val="24"/>
          <w:szCs w:val="24"/>
        </w:rPr>
        <w:t xml:space="preserve"> cuttings, improving their acclimatization potential under controlled micro-climate conditions. This approach offers a promising technique for enhanced propagation and commercial cultivation of </w:t>
      </w:r>
      <w:r w:rsidRPr="00941468">
        <w:rPr>
          <w:rStyle w:val="Emphasis"/>
          <w:rFonts w:ascii="Times New Roman" w:hAnsi="Times New Roman" w:cs="Times New Roman"/>
          <w:sz w:val="24"/>
          <w:szCs w:val="24"/>
        </w:rPr>
        <w:t>Syngonium podophyllum</w:t>
      </w:r>
      <w:r w:rsidRPr="00941468">
        <w:rPr>
          <w:rFonts w:ascii="Times New Roman" w:hAnsi="Times New Roman" w:cs="Times New Roman"/>
          <w:sz w:val="24"/>
          <w:szCs w:val="24"/>
        </w:rPr>
        <w:t>.</w:t>
      </w:r>
    </w:p>
    <w:p w14:paraId="7BD1E321" w14:textId="77777777" w:rsidR="0023116E" w:rsidRPr="00941468" w:rsidRDefault="0023116E" w:rsidP="0023116E">
      <w:pPr>
        <w:spacing w:after="0"/>
        <w:jc w:val="both"/>
        <w:rPr>
          <w:rFonts w:ascii="Times New Roman" w:hAnsi="Times New Roman" w:cs="Times New Roman"/>
          <w:sz w:val="24"/>
          <w:szCs w:val="24"/>
        </w:rPr>
      </w:pPr>
      <w:r w:rsidRPr="00941468">
        <w:rPr>
          <w:rFonts w:ascii="Times New Roman" w:hAnsi="Times New Roman" w:cs="Times New Roman"/>
          <w:sz w:val="24"/>
          <w:szCs w:val="24"/>
        </w:rPr>
        <w:t xml:space="preserve">Keywords: </w:t>
      </w:r>
      <w:r w:rsidR="00EF3657" w:rsidRPr="00941468">
        <w:rPr>
          <w:rFonts w:ascii="Times New Roman" w:hAnsi="Times New Roman" w:cs="Times New Roman"/>
          <w:sz w:val="24"/>
          <w:szCs w:val="24"/>
        </w:rPr>
        <w:t>Arrowhead plant</w:t>
      </w:r>
      <w:r w:rsidRPr="00941468">
        <w:rPr>
          <w:rFonts w:ascii="Times New Roman" w:eastAsia="Times New Roman" w:hAnsi="Times New Roman" w:cs="Times New Roman"/>
          <w:sz w:val="24"/>
          <w:szCs w:val="24"/>
        </w:rPr>
        <w:t xml:space="preserve">, </w:t>
      </w:r>
      <w:proofErr w:type="spellStart"/>
      <w:r w:rsidR="00EF3657" w:rsidRPr="00941468">
        <w:rPr>
          <w:rStyle w:val="Strong"/>
          <w:rFonts w:ascii="Times New Roman" w:hAnsi="Times New Roman" w:cs="Times New Roman"/>
          <w:b w:val="0"/>
          <w:sz w:val="24"/>
          <w:szCs w:val="24"/>
        </w:rPr>
        <w:t>Araceae</w:t>
      </w:r>
      <w:proofErr w:type="spellEnd"/>
      <w:r w:rsidRPr="00941468">
        <w:rPr>
          <w:rFonts w:ascii="Times New Roman" w:eastAsia="Times New Roman" w:hAnsi="Times New Roman" w:cs="Times New Roman"/>
          <w:sz w:val="24"/>
          <w:szCs w:val="24"/>
        </w:rPr>
        <w:t xml:space="preserve">, </w:t>
      </w:r>
      <w:r w:rsidR="00EF3657" w:rsidRPr="00941468">
        <w:rPr>
          <w:rStyle w:val="Emphasis"/>
          <w:rFonts w:ascii="Times New Roman" w:hAnsi="Times New Roman" w:cs="Times New Roman"/>
          <w:sz w:val="24"/>
          <w:szCs w:val="24"/>
        </w:rPr>
        <w:t>Syngonium</w:t>
      </w:r>
      <w:r w:rsidR="00EF3657" w:rsidRPr="00941468">
        <w:rPr>
          <w:rFonts w:ascii="Times New Roman" w:hAnsi="Times New Roman" w:cs="Times New Roman"/>
          <w:sz w:val="24"/>
          <w:szCs w:val="24"/>
        </w:rPr>
        <w:t xml:space="preserve"> and Seaweed Extract</w:t>
      </w:r>
      <w:r w:rsidRPr="00941468">
        <w:rPr>
          <w:rFonts w:ascii="Times New Roman" w:eastAsia="Times New Roman" w:hAnsi="Times New Roman" w:cs="Times New Roman"/>
          <w:sz w:val="24"/>
          <w:szCs w:val="24"/>
        </w:rPr>
        <w:t>.</w:t>
      </w:r>
    </w:p>
    <w:p w14:paraId="3E0370AF" w14:textId="77777777" w:rsidR="0023116E" w:rsidRPr="00941468" w:rsidRDefault="0023116E" w:rsidP="00E127BF">
      <w:pPr>
        <w:spacing w:after="0"/>
        <w:jc w:val="both"/>
        <w:outlineLvl w:val="3"/>
        <w:rPr>
          <w:rFonts w:ascii="Times New Roman" w:eastAsia="Times New Roman" w:hAnsi="Times New Roman" w:cs="Times New Roman"/>
          <w:b/>
          <w:bCs/>
          <w:sz w:val="24"/>
          <w:szCs w:val="24"/>
        </w:rPr>
      </w:pPr>
    </w:p>
    <w:p w14:paraId="2506C19E" w14:textId="77777777" w:rsidR="0023116E" w:rsidRPr="00941468" w:rsidRDefault="0023116E" w:rsidP="00E127BF">
      <w:pPr>
        <w:spacing w:after="0"/>
        <w:jc w:val="both"/>
        <w:outlineLvl w:val="3"/>
        <w:rPr>
          <w:rFonts w:ascii="Times New Roman" w:eastAsia="Times New Roman" w:hAnsi="Times New Roman" w:cs="Times New Roman"/>
          <w:b/>
          <w:bCs/>
          <w:sz w:val="24"/>
          <w:szCs w:val="24"/>
        </w:rPr>
      </w:pPr>
    </w:p>
    <w:p w14:paraId="0F3E8E49" w14:textId="77777777" w:rsidR="008C1A7C" w:rsidRPr="00941468" w:rsidRDefault="008C1A7C" w:rsidP="00C54CAB">
      <w:pPr>
        <w:spacing w:after="0"/>
        <w:outlineLvl w:val="3"/>
        <w:rPr>
          <w:rFonts w:ascii="Times New Roman" w:eastAsia="Times New Roman" w:hAnsi="Times New Roman" w:cs="Times New Roman"/>
          <w:b/>
          <w:bCs/>
          <w:sz w:val="24"/>
          <w:szCs w:val="24"/>
        </w:rPr>
      </w:pPr>
    </w:p>
    <w:p w14:paraId="6DE54FB9" w14:textId="77777777" w:rsidR="00C54CAB" w:rsidRPr="00941468" w:rsidRDefault="00C54CAB" w:rsidP="001463C3">
      <w:pPr>
        <w:spacing w:after="0"/>
        <w:jc w:val="both"/>
        <w:rPr>
          <w:rFonts w:ascii="Times New Roman" w:hAnsi="Times New Roman" w:cs="Times New Roman"/>
          <w:b/>
          <w:sz w:val="24"/>
          <w:szCs w:val="24"/>
        </w:rPr>
      </w:pPr>
      <w:r w:rsidRPr="00941468">
        <w:rPr>
          <w:rFonts w:ascii="Times New Roman" w:hAnsi="Times New Roman" w:cs="Times New Roman"/>
          <w:b/>
          <w:sz w:val="24"/>
          <w:szCs w:val="24"/>
        </w:rPr>
        <w:t>INTRODUCTION</w:t>
      </w:r>
    </w:p>
    <w:p w14:paraId="113057CF" w14:textId="77777777" w:rsidR="008C1A7C" w:rsidRPr="00941468" w:rsidRDefault="008C1A7C" w:rsidP="001463C3">
      <w:pPr>
        <w:pStyle w:val="NormalWeb"/>
        <w:spacing w:before="0" w:beforeAutospacing="0" w:after="0" w:afterAutospacing="0"/>
        <w:jc w:val="both"/>
      </w:pPr>
      <w:r w:rsidRPr="00941468">
        <w:rPr>
          <w:rStyle w:val="Emphasis"/>
          <w:rFonts w:eastAsiaTheme="majorEastAsia"/>
        </w:rPr>
        <w:t>Syngonium podophyllum</w:t>
      </w:r>
      <w:r w:rsidR="0023116E" w:rsidRPr="00941468">
        <w:t xml:space="preserve"> Schott</w:t>
      </w:r>
      <w:r w:rsidRPr="00941468">
        <w:t xml:space="preserve">, </w:t>
      </w:r>
      <w:r w:rsidR="00E93BE2" w:rsidRPr="00941468">
        <w:t xml:space="preserve">belongs to family </w:t>
      </w:r>
      <w:proofErr w:type="spellStart"/>
      <w:r w:rsidR="00E93BE2" w:rsidRPr="00941468">
        <w:rPr>
          <w:rStyle w:val="Strong"/>
          <w:b w:val="0"/>
        </w:rPr>
        <w:t>Araceae</w:t>
      </w:r>
      <w:proofErr w:type="spellEnd"/>
      <w:r w:rsidR="00E93BE2" w:rsidRPr="00941468">
        <w:rPr>
          <w:rStyle w:val="Strong"/>
          <w:b w:val="0"/>
        </w:rPr>
        <w:t>,</w:t>
      </w:r>
      <w:r w:rsidR="00E93BE2" w:rsidRPr="00941468">
        <w:rPr>
          <w:rStyle w:val="Strong"/>
        </w:rPr>
        <w:t xml:space="preserve"> </w:t>
      </w:r>
      <w:r w:rsidR="00E93BE2" w:rsidRPr="00941468">
        <w:rPr>
          <w:rStyle w:val="Strong"/>
          <w:b w:val="0"/>
        </w:rPr>
        <w:t xml:space="preserve">with </w:t>
      </w:r>
      <w:r w:rsidR="00E93BE2" w:rsidRPr="00941468">
        <w:t xml:space="preserve">chromosome number </w:t>
      </w:r>
      <w:r w:rsidR="001311AA" w:rsidRPr="00941468">
        <w:rPr>
          <w:rStyle w:val="Strong"/>
          <w:rFonts w:eastAsiaTheme="majorEastAsia"/>
          <w:b w:val="0"/>
        </w:rPr>
        <w:t>2n =</w:t>
      </w:r>
      <w:r w:rsidR="00E93BE2" w:rsidRPr="00941468">
        <w:rPr>
          <w:rStyle w:val="Strong"/>
          <w:rFonts w:eastAsiaTheme="majorEastAsia"/>
          <w:b w:val="0"/>
        </w:rPr>
        <w:t xml:space="preserve"> 30</w:t>
      </w:r>
      <w:r w:rsidR="001311AA" w:rsidRPr="00941468">
        <w:t xml:space="preserve">; </w:t>
      </w:r>
      <w:r w:rsidRPr="00941468">
        <w:t>commonly known as arrowhead plant or goosefoot vine, is an ornamental foliage species highly valued for its aesthetic appeal, shade tolerance, and adaptability as a houseplant</w:t>
      </w:r>
      <w:r w:rsidR="00C527C9" w:rsidRPr="00941468">
        <w:t xml:space="preserve"> </w:t>
      </w:r>
      <w:r w:rsidR="00C527C9" w:rsidRPr="00941468">
        <w:rPr>
          <w:vertAlign w:val="superscript"/>
        </w:rPr>
        <w:t>[3]</w:t>
      </w:r>
      <w:r w:rsidRPr="00941468">
        <w:t xml:space="preserve">. Commercial propagation of </w:t>
      </w:r>
      <w:r w:rsidRPr="00941468">
        <w:rPr>
          <w:rStyle w:val="Emphasis"/>
          <w:rFonts w:eastAsiaTheme="majorEastAsia"/>
        </w:rPr>
        <w:t>Syngonium</w:t>
      </w:r>
      <w:r w:rsidRPr="00941468">
        <w:t xml:space="preserve"> is predominantly achieved through s</w:t>
      </w:r>
      <w:r w:rsidR="00D91C2C" w:rsidRPr="00941468">
        <w:t xml:space="preserve">tem cuttings and tissue culture </w:t>
      </w:r>
      <w:r w:rsidR="00D91C2C" w:rsidRPr="00941468">
        <w:rPr>
          <w:vertAlign w:val="superscript"/>
        </w:rPr>
        <w:t>[4,6]</w:t>
      </w:r>
      <w:r w:rsidR="00D91C2C" w:rsidRPr="00941468">
        <w:t xml:space="preserve">. </w:t>
      </w:r>
      <w:r w:rsidRPr="00941468">
        <w:t xml:space="preserve">However, a major bottleneck in large-scale production lies in the acclimatization phase, where </w:t>
      </w:r>
      <w:r w:rsidRPr="00941468">
        <w:rPr>
          <w:i/>
        </w:rPr>
        <w:t>in vitro</w:t>
      </w:r>
      <w:r w:rsidRPr="00941468">
        <w:t xml:space="preserve"> or semi-hardwood cuttings often exhibit poor survival rates due to transplant shock, insufficient root development, and vulnerability to micro-environmental fluctuations</w:t>
      </w:r>
      <w:r w:rsidR="00C527C9" w:rsidRPr="00941468">
        <w:t xml:space="preserve"> </w:t>
      </w:r>
      <w:r w:rsidR="00C527C9" w:rsidRPr="00941468">
        <w:rPr>
          <w:vertAlign w:val="superscript"/>
        </w:rPr>
        <w:t>[</w:t>
      </w:r>
      <w:r w:rsidR="00D91C2C" w:rsidRPr="00941468">
        <w:rPr>
          <w:vertAlign w:val="superscript"/>
        </w:rPr>
        <w:t>7,9</w:t>
      </w:r>
      <w:r w:rsidR="00C527C9" w:rsidRPr="00941468">
        <w:rPr>
          <w:vertAlign w:val="superscript"/>
        </w:rPr>
        <w:t>]</w:t>
      </w:r>
      <w:r w:rsidRPr="00941468">
        <w:t>.</w:t>
      </w:r>
    </w:p>
    <w:p w14:paraId="06A54D63" w14:textId="77777777" w:rsidR="008C1A7C" w:rsidRPr="00941468" w:rsidRDefault="008C1A7C" w:rsidP="00932167">
      <w:pPr>
        <w:pStyle w:val="NormalWeb"/>
        <w:spacing w:before="0" w:beforeAutospacing="0" w:after="0" w:afterAutospacing="0"/>
        <w:ind w:firstLine="720"/>
        <w:jc w:val="both"/>
      </w:pPr>
      <w:r w:rsidRPr="00941468">
        <w:t>Acclimatization is a critical transitional stage where plantlets must adjust from controlled propagation environments to ambient conditions</w:t>
      </w:r>
      <w:r w:rsidR="00C527C9" w:rsidRPr="00941468">
        <w:t xml:space="preserve"> </w:t>
      </w:r>
      <w:r w:rsidR="00C527C9" w:rsidRPr="00941468">
        <w:rPr>
          <w:vertAlign w:val="superscript"/>
        </w:rPr>
        <w:t>[</w:t>
      </w:r>
      <w:r w:rsidR="00D91C2C" w:rsidRPr="00941468">
        <w:rPr>
          <w:vertAlign w:val="superscript"/>
        </w:rPr>
        <w:t>8</w:t>
      </w:r>
      <w:r w:rsidR="00C527C9" w:rsidRPr="00941468">
        <w:rPr>
          <w:vertAlign w:val="superscript"/>
        </w:rPr>
        <w:t>]</w:t>
      </w:r>
      <w:r w:rsidRPr="00941468">
        <w:t>. Enhancing rooting and shooting during this stage can significantly improve plant establis</w:t>
      </w:r>
      <w:r w:rsidR="00C527C9" w:rsidRPr="00941468">
        <w:t xml:space="preserve">hment and overall survivability </w:t>
      </w:r>
      <w:r w:rsidR="00C527C9" w:rsidRPr="00941468">
        <w:rPr>
          <w:vertAlign w:val="superscript"/>
        </w:rPr>
        <w:t>[3]</w:t>
      </w:r>
      <w:r w:rsidR="00C527C9" w:rsidRPr="00941468">
        <w:t xml:space="preserve">. </w:t>
      </w:r>
      <w:r w:rsidRPr="00941468">
        <w:t xml:space="preserve"> The application of plant growth-promoting substances such as </w:t>
      </w:r>
      <w:r w:rsidR="00F42355" w:rsidRPr="00941468">
        <w:rPr>
          <w:rStyle w:val="Strong"/>
          <w:b w:val="0"/>
        </w:rPr>
        <w:t>CPPU</w:t>
      </w:r>
      <w:r w:rsidR="00F42355" w:rsidRPr="00941468">
        <w:rPr>
          <w:b/>
        </w:rPr>
        <w:t xml:space="preserve"> </w:t>
      </w:r>
      <w:r w:rsidR="00F42355" w:rsidRPr="00941468">
        <w:t xml:space="preserve">is </w:t>
      </w:r>
      <w:proofErr w:type="spellStart"/>
      <w:r w:rsidR="00F42355" w:rsidRPr="00941468">
        <w:rPr>
          <w:rStyle w:val="Strong"/>
          <w:b w:val="0"/>
        </w:rPr>
        <w:t>Forchlorfenuron</w:t>
      </w:r>
      <w:proofErr w:type="spellEnd"/>
      <w:r w:rsidR="00F42355" w:rsidRPr="00941468">
        <w:t>, which is a synthetic plant growth regulator (PGR) b</w:t>
      </w:r>
      <w:r w:rsidR="00A66040" w:rsidRPr="00941468">
        <w:t>elonging to the cytokinin class</w:t>
      </w:r>
      <w:r w:rsidR="00F42355" w:rsidRPr="00941468">
        <w:t xml:space="preserve"> </w:t>
      </w:r>
      <w:r w:rsidRPr="00941468">
        <w:t xml:space="preserve">and </w:t>
      </w:r>
      <w:r w:rsidRPr="00941468">
        <w:rPr>
          <w:rStyle w:val="Strong"/>
          <w:b w:val="0"/>
        </w:rPr>
        <w:t>seaweed extracts</w:t>
      </w:r>
      <w:r w:rsidRPr="00941468">
        <w:t xml:space="preserve"> has emerged as a promising strategy to overcome physiological stress and promote vigorou</w:t>
      </w:r>
      <w:r w:rsidR="00C527C9" w:rsidRPr="00941468">
        <w:t>s growth</w:t>
      </w:r>
      <w:r w:rsidR="00C527C9" w:rsidRPr="00941468">
        <w:rPr>
          <w:vertAlign w:val="superscript"/>
        </w:rPr>
        <w:t>[</w:t>
      </w:r>
      <w:r w:rsidR="00D91C2C" w:rsidRPr="00941468">
        <w:rPr>
          <w:vertAlign w:val="superscript"/>
        </w:rPr>
        <w:t>5</w:t>
      </w:r>
      <w:r w:rsidR="00C527C9" w:rsidRPr="00941468">
        <w:rPr>
          <w:vertAlign w:val="superscript"/>
        </w:rPr>
        <w:t>]</w:t>
      </w:r>
      <w:r w:rsidR="00C527C9" w:rsidRPr="00941468">
        <w:t>.</w:t>
      </w:r>
      <w:r w:rsidRPr="00941468">
        <w:t xml:space="preserve"> </w:t>
      </w:r>
      <w:r w:rsidR="00A66040" w:rsidRPr="00941468">
        <w:t>CPPU (</w:t>
      </w:r>
      <w:proofErr w:type="spellStart"/>
      <w:r w:rsidR="00A66040" w:rsidRPr="00941468">
        <w:t>Forchlorfenuron</w:t>
      </w:r>
      <w:proofErr w:type="spellEnd"/>
      <w:r w:rsidR="00A66040" w:rsidRPr="00941468">
        <w:t xml:space="preserve">) </w:t>
      </w:r>
      <w:r w:rsidRPr="00941468">
        <w:t xml:space="preserve">, often associated with the regulation of flowering and developmental transitions, has shown potential in stimulating shoot proliferation, while seaweed extracts—rich in micronutrients, </w:t>
      </w:r>
      <w:proofErr w:type="spellStart"/>
      <w:r w:rsidRPr="00941468">
        <w:t>cytokinins</w:t>
      </w:r>
      <w:proofErr w:type="spellEnd"/>
      <w:r w:rsidRPr="00941468">
        <w:t>, auxins, and amino acids—have been widely recognized for enhancing root</w:t>
      </w:r>
      <w:r w:rsidR="00C527C9" w:rsidRPr="00941468">
        <w:t xml:space="preserve"> induction and stress tolerance</w:t>
      </w:r>
      <w:r w:rsidR="00D91C2C" w:rsidRPr="00941468">
        <w:t xml:space="preserve"> </w:t>
      </w:r>
      <w:r w:rsidR="00C527C9" w:rsidRPr="00941468">
        <w:rPr>
          <w:vertAlign w:val="superscript"/>
        </w:rPr>
        <w:t>[</w:t>
      </w:r>
      <w:r w:rsidR="00D91C2C" w:rsidRPr="00941468">
        <w:rPr>
          <w:vertAlign w:val="superscript"/>
        </w:rPr>
        <w:t>7</w:t>
      </w:r>
      <w:r w:rsidR="00C527C9" w:rsidRPr="00941468">
        <w:rPr>
          <w:vertAlign w:val="superscript"/>
        </w:rPr>
        <w:t>]</w:t>
      </w:r>
      <w:r w:rsidR="00C527C9" w:rsidRPr="00941468">
        <w:t>.</w:t>
      </w:r>
    </w:p>
    <w:p w14:paraId="0E967063" w14:textId="77777777" w:rsidR="00932167" w:rsidRPr="00941468" w:rsidRDefault="008C1A7C" w:rsidP="00C527C9">
      <w:pPr>
        <w:pStyle w:val="NormalWeb"/>
        <w:spacing w:before="0" w:beforeAutospacing="0" w:after="0" w:afterAutospacing="0"/>
        <w:ind w:firstLine="720"/>
        <w:jc w:val="both"/>
      </w:pPr>
      <w:r w:rsidRPr="00941468">
        <w:lastRenderedPageBreak/>
        <w:t>Micro-climate regulation through shade nets, humidity chambers, and misting systems creates favorable environmental conditions for optimal physiological performance during acclimatization</w:t>
      </w:r>
      <w:r w:rsidR="00C527C9" w:rsidRPr="00941468">
        <w:t xml:space="preserve"> </w:t>
      </w:r>
      <w:r w:rsidR="00C527C9" w:rsidRPr="00941468">
        <w:rPr>
          <w:vertAlign w:val="superscript"/>
        </w:rPr>
        <w:t>[</w:t>
      </w:r>
      <w:r w:rsidR="00D91C2C" w:rsidRPr="00941468">
        <w:rPr>
          <w:vertAlign w:val="superscript"/>
        </w:rPr>
        <w:t>9</w:t>
      </w:r>
      <w:r w:rsidR="00C527C9" w:rsidRPr="00941468">
        <w:rPr>
          <w:vertAlign w:val="superscript"/>
        </w:rPr>
        <w:t>]</w:t>
      </w:r>
      <w:r w:rsidRPr="00941468">
        <w:t xml:space="preserve">. However, scientific data on the synergistic effects of growth regulators and controlled micro-climate conditions in </w:t>
      </w:r>
      <w:r w:rsidRPr="00941468">
        <w:rPr>
          <w:rStyle w:val="Emphasis"/>
          <w:rFonts w:eastAsiaTheme="majorEastAsia"/>
        </w:rPr>
        <w:t>Syngonium</w:t>
      </w:r>
      <w:r w:rsidRPr="00941468">
        <w:t xml:space="preserve"> remains scarce</w:t>
      </w:r>
      <w:r w:rsidR="001311AA" w:rsidRPr="00941468">
        <w:t xml:space="preserve"> </w:t>
      </w:r>
      <w:r w:rsidR="001311AA" w:rsidRPr="00941468">
        <w:rPr>
          <w:vertAlign w:val="superscript"/>
        </w:rPr>
        <w:t>[10]</w:t>
      </w:r>
      <w:r w:rsidRPr="00941468">
        <w:t>.</w:t>
      </w:r>
    </w:p>
    <w:p w14:paraId="3C6239E4" w14:textId="77777777" w:rsidR="00C85B44" w:rsidRPr="00941468" w:rsidRDefault="00EC6673" w:rsidP="00932167">
      <w:pPr>
        <w:pStyle w:val="NormalWeb"/>
        <w:spacing w:before="0" w:beforeAutospacing="0" w:after="0" w:afterAutospacing="0"/>
        <w:ind w:firstLine="720"/>
        <w:jc w:val="both"/>
      </w:pPr>
      <w:r w:rsidRPr="00941468">
        <w:t xml:space="preserve">The application of </w:t>
      </w:r>
      <w:r w:rsidR="00A66040" w:rsidRPr="00941468">
        <w:t>CPPU (</w:t>
      </w:r>
      <w:proofErr w:type="spellStart"/>
      <w:r w:rsidR="00A66040" w:rsidRPr="00941468">
        <w:t>Forchlorfenuron</w:t>
      </w:r>
      <w:proofErr w:type="spellEnd"/>
      <w:proofErr w:type="gramStart"/>
      <w:r w:rsidR="00A66040" w:rsidRPr="00941468">
        <w:t xml:space="preserve">) </w:t>
      </w:r>
      <w:r w:rsidRPr="00941468">
        <w:t>,</w:t>
      </w:r>
      <w:proofErr w:type="gramEnd"/>
      <w:r w:rsidRPr="00941468">
        <w:t xml:space="preserve"> a cytokinin- plant growth regulator, stimulates cell division and elongation, thereby promoting vigorous shoot developmen</w:t>
      </w:r>
      <w:r w:rsidR="00C527C9" w:rsidRPr="00941468">
        <w:t xml:space="preserve">t and enhancing root initiation </w:t>
      </w:r>
      <w:r w:rsidR="00C527C9" w:rsidRPr="00941468">
        <w:rPr>
          <w:vertAlign w:val="superscript"/>
        </w:rPr>
        <w:t>[</w:t>
      </w:r>
      <w:r w:rsidR="00D91C2C" w:rsidRPr="00941468">
        <w:rPr>
          <w:vertAlign w:val="superscript"/>
        </w:rPr>
        <w:t>11</w:t>
      </w:r>
      <w:r w:rsidR="00C527C9" w:rsidRPr="00941468">
        <w:rPr>
          <w:vertAlign w:val="superscript"/>
        </w:rPr>
        <w:t>]</w:t>
      </w:r>
      <w:r w:rsidR="00C527C9" w:rsidRPr="00941468">
        <w:t xml:space="preserve">. </w:t>
      </w:r>
      <w:r w:rsidRPr="00941468">
        <w:t xml:space="preserve"> Concurrently, seaweed extracts, rich in natural growth hormones, minerals, and bioactive compounds, improve nutrient uptake and stress tolerance, which further suppor</w:t>
      </w:r>
      <w:r w:rsidR="00C527C9" w:rsidRPr="00941468">
        <w:t xml:space="preserve">ts robust root and shoot growth </w:t>
      </w:r>
      <w:r w:rsidR="00C527C9" w:rsidRPr="00941468">
        <w:rPr>
          <w:vertAlign w:val="superscript"/>
        </w:rPr>
        <w:t>[</w:t>
      </w:r>
      <w:r w:rsidR="00D91C2C" w:rsidRPr="00941468">
        <w:rPr>
          <w:vertAlign w:val="superscript"/>
        </w:rPr>
        <w:t>5</w:t>
      </w:r>
      <w:r w:rsidR="00C527C9" w:rsidRPr="00941468">
        <w:rPr>
          <w:vertAlign w:val="superscript"/>
        </w:rPr>
        <w:t>]</w:t>
      </w:r>
      <w:r w:rsidR="00C527C9" w:rsidRPr="00941468">
        <w:t xml:space="preserve">. </w:t>
      </w:r>
      <w:r w:rsidRPr="00941468">
        <w:t xml:space="preserve"> Under controlled micro-climate conditions, where temperature, humidity, and light intensity can be optimized, these treatments synergistically improve the rooting percentage, root length, number of roots, and survival rate of </w:t>
      </w:r>
      <w:r w:rsidRPr="00941468">
        <w:rPr>
          <w:rStyle w:val="Emphasis"/>
        </w:rPr>
        <w:t>Syngonium</w:t>
      </w:r>
      <w:r w:rsidRPr="00941468">
        <w:t xml:space="preserve"> </w:t>
      </w:r>
      <w:r w:rsidR="00C527C9" w:rsidRPr="00941468">
        <w:t xml:space="preserve">cuttings during acclimatization </w:t>
      </w:r>
      <w:r w:rsidR="00C527C9" w:rsidRPr="00941468">
        <w:rPr>
          <w:vertAlign w:val="superscript"/>
        </w:rPr>
        <w:t>[</w:t>
      </w:r>
      <w:r w:rsidR="00D91C2C" w:rsidRPr="00941468">
        <w:rPr>
          <w:vertAlign w:val="superscript"/>
        </w:rPr>
        <w:t>1</w:t>
      </w:r>
      <w:r w:rsidR="00C527C9" w:rsidRPr="00941468">
        <w:rPr>
          <w:vertAlign w:val="superscript"/>
        </w:rPr>
        <w:t>]</w:t>
      </w:r>
      <w:r w:rsidR="00C527C9" w:rsidRPr="00941468">
        <w:t xml:space="preserve">. </w:t>
      </w:r>
      <w:r w:rsidRPr="00941468">
        <w:t xml:space="preserve"> This combined approach results in stronger plantlets with better morphological traits, increased biomass, and higher adaptability to ex-vitro conditions, ultimately leading to improved survival and growth performance in nursery or field conditions</w:t>
      </w:r>
      <w:r w:rsidR="00D91C2C" w:rsidRPr="00941468">
        <w:t xml:space="preserve"> </w:t>
      </w:r>
      <w:r w:rsidR="00D91C2C" w:rsidRPr="00941468">
        <w:rPr>
          <w:vertAlign w:val="superscript"/>
        </w:rPr>
        <w:t>[3]</w:t>
      </w:r>
      <w:r w:rsidRPr="00941468">
        <w:t xml:space="preserve">. Therefore, integrating </w:t>
      </w:r>
      <w:r w:rsidR="00A66040" w:rsidRPr="00941468">
        <w:t>CPPU (</w:t>
      </w:r>
      <w:proofErr w:type="spellStart"/>
      <w:proofErr w:type="gramStart"/>
      <w:r w:rsidR="00A66040" w:rsidRPr="00941468">
        <w:t>Forchlorfenuron</w:t>
      </w:r>
      <w:proofErr w:type="spellEnd"/>
      <w:r w:rsidR="00A66040" w:rsidRPr="00941468">
        <w:t xml:space="preserve">) </w:t>
      </w:r>
      <w:r w:rsidRPr="00941468">
        <w:t xml:space="preserve"> and</w:t>
      </w:r>
      <w:proofErr w:type="gramEnd"/>
      <w:r w:rsidRPr="00941468">
        <w:t xml:space="preserve"> seaweed extract treatments provides an effective strategy to enhance the propagation efficiency and acclimatization success of </w:t>
      </w:r>
      <w:r w:rsidRPr="00941468">
        <w:rPr>
          <w:rStyle w:val="Emphasis"/>
        </w:rPr>
        <w:t>Syngonium podophyllum</w:t>
      </w:r>
      <w:r w:rsidRPr="00941468">
        <w:t xml:space="preserve"> u</w:t>
      </w:r>
      <w:r w:rsidR="00C527C9" w:rsidRPr="00941468">
        <w:t xml:space="preserve">nder micro-climate environments </w:t>
      </w:r>
      <w:r w:rsidR="00C527C9" w:rsidRPr="00941468">
        <w:rPr>
          <w:vertAlign w:val="superscript"/>
        </w:rPr>
        <w:t>[</w:t>
      </w:r>
      <w:r w:rsidR="00D91C2C" w:rsidRPr="00941468">
        <w:rPr>
          <w:vertAlign w:val="superscript"/>
        </w:rPr>
        <w:t>2</w:t>
      </w:r>
      <w:r w:rsidR="00C527C9" w:rsidRPr="00941468">
        <w:rPr>
          <w:vertAlign w:val="superscript"/>
        </w:rPr>
        <w:t>]</w:t>
      </w:r>
      <w:r w:rsidR="00C527C9" w:rsidRPr="00941468">
        <w:t>.</w:t>
      </w:r>
    </w:p>
    <w:p w14:paraId="1F53B4F3" w14:textId="77777777" w:rsidR="008C1A7C" w:rsidRPr="00941468" w:rsidRDefault="008C1A7C" w:rsidP="00BD4909">
      <w:pPr>
        <w:pStyle w:val="NormalWeb"/>
        <w:spacing w:before="0" w:beforeAutospacing="0" w:after="0" w:afterAutospacing="0"/>
        <w:ind w:firstLine="720"/>
        <w:jc w:val="both"/>
      </w:pPr>
      <w:r w:rsidRPr="00941468">
        <w:t xml:space="preserve">This study aims to evaluate the influence of </w:t>
      </w:r>
      <w:r w:rsidR="00A66040" w:rsidRPr="00941468">
        <w:t>CPPU (</w:t>
      </w:r>
      <w:proofErr w:type="spellStart"/>
      <w:proofErr w:type="gramStart"/>
      <w:r w:rsidR="00A66040" w:rsidRPr="00941468">
        <w:t>Forchlorfenuron</w:t>
      </w:r>
      <w:proofErr w:type="spellEnd"/>
      <w:r w:rsidR="00A66040" w:rsidRPr="00941468">
        <w:t xml:space="preserve">) </w:t>
      </w:r>
      <w:r w:rsidRPr="00941468">
        <w:t xml:space="preserve"> and</w:t>
      </w:r>
      <w:proofErr w:type="gramEnd"/>
      <w:r w:rsidRPr="00941468">
        <w:t xml:space="preserve"> seaweed extract treatments on the rooting, shooting, and overall acclimatization potential of </w:t>
      </w:r>
      <w:r w:rsidRPr="00941468">
        <w:rPr>
          <w:rStyle w:val="Emphasis"/>
          <w:rFonts w:eastAsiaTheme="majorEastAsia"/>
        </w:rPr>
        <w:t>Syngonium podophyllum</w:t>
      </w:r>
      <w:r w:rsidRPr="00941468">
        <w:t xml:space="preserve"> under micro-climate conditions. The results are expected to inform standardized nursery practices for high-quality plant production with improved survival and growth performance.</w:t>
      </w:r>
    </w:p>
    <w:p w14:paraId="69518EF0" w14:textId="77777777" w:rsidR="00C54CAB" w:rsidRPr="00941468" w:rsidRDefault="00C54CAB" w:rsidP="001463C3">
      <w:pPr>
        <w:spacing w:after="0"/>
        <w:jc w:val="both"/>
        <w:outlineLvl w:val="3"/>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MATERIALS AND METHODS</w:t>
      </w:r>
    </w:p>
    <w:p w14:paraId="78E58405" w14:textId="77777777" w:rsidR="00C54CAB" w:rsidRPr="00941468" w:rsidRDefault="00C54CAB" w:rsidP="001463C3">
      <w:pPr>
        <w:autoSpaceDE w:val="0"/>
        <w:autoSpaceDN w:val="0"/>
        <w:adjustRightInd w:val="0"/>
        <w:spacing w:after="0"/>
        <w:jc w:val="both"/>
        <w:rPr>
          <w:rFonts w:ascii="Times New Roman" w:hAnsi="Times New Roman" w:cs="Times New Roman"/>
          <w:sz w:val="24"/>
          <w:szCs w:val="24"/>
        </w:rPr>
      </w:pPr>
      <w:r w:rsidRPr="00941468">
        <w:rPr>
          <w:rFonts w:ascii="Times New Roman" w:hAnsi="Times New Roman" w:cs="Times New Roman"/>
          <w:sz w:val="24"/>
          <w:szCs w:val="24"/>
        </w:rPr>
        <w:t xml:space="preserve">The experiment was carried out during </w:t>
      </w:r>
      <w:r w:rsidRPr="00941468">
        <w:rPr>
          <w:rFonts w:ascii="Times New Roman" w:hAnsi="Times New Roman" w:cs="Times New Roman"/>
          <w:i/>
          <w:sz w:val="24"/>
          <w:szCs w:val="24"/>
        </w:rPr>
        <w:t xml:space="preserve">Rabi </w:t>
      </w:r>
      <w:r w:rsidR="00D91C2C" w:rsidRPr="00941468">
        <w:rPr>
          <w:rFonts w:ascii="Times New Roman" w:hAnsi="Times New Roman" w:cs="Times New Roman"/>
          <w:sz w:val="24"/>
          <w:szCs w:val="24"/>
        </w:rPr>
        <w:t>2024-2025</w:t>
      </w:r>
      <w:r w:rsidRPr="00941468">
        <w:rPr>
          <w:rFonts w:ascii="Times New Roman" w:hAnsi="Times New Roman" w:cs="Times New Roman"/>
          <w:sz w:val="24"/>
          <w:szCs w:val="24"/>
        </w:rPr>
        <w:t xml:space="preserve"> </w:t>
      </w:r>
      <w:r w:rsidRPr="00941468">
        <w:rPr>
          <w:rFonts w:ascii="Times New Roman" w:hAnsi="Times New Roman" w:cs="Times New Roman"/>
          <w:iCs/>
          <w:sz w:val="24"/>
          <w:szCs w:val="24"/>
        </w:rPr>
        <w:t xml:space="preserve">was carried </w:t>
      </w:r>
      <w:r w:rsidRPr="00941468">
        <w:rPr>
          <w:rFonts w:ascii="Times New Roman" w:hAnsi="Times New Roman" w:cs="Times New Roman"/>
          <w:sz w:val="24"/>
          <w:szCs w:val="24"/>
        </w:rPr>
        <w:t xml:space="preserve">at the protected structure located at Medi-Caps, University, (Madhya Pradesh). </w:t>
      </w:r>
    </w:p>
    <w:p w14:paraId="1806B72B" w14:textId="77777777" w:rsidR="00C54CAB" w:rsidRPr="00941468" w:rsidRDefault="00C54CAB" w:rsidP="001463C3">
      <w:pPr>
        <w:autoSpaceDE w:val="0"/>
        <w:autoSpaceDN w:val="0"/>
        <w:adjustRightInd w:val="0"/>
        <w:spacing w:after="0"/>
        <w:jc w:val="both"/>
        <w:rPr>
          <w:rFonts w:ascii="Times New Roman" w:hAnsi="Times New Roman" w:cs="Times New Roman"/>
          <w:b/>
          <w:sz w:val="24"/>
          <w:szCs w:val="24"/>
        </w:rPr>
      </w:pPr>
      <w:r w:rsidRPr="00941468">
        <w:rPr>
          <w:rFonts w:ascii="Times New Roman" w:hAnsi="Times New Roman" w:cs="Times New Roman"/>
          <w:b/>
          <w:sz w:val="24"/>
          <w:szCs w:val="24"/>
        </w:rPr>
        <w:t xml:space="preserve">Protected structure </w:t>
      </w:r>
    </w:p>
    <w:p w14:paraId="54ADB021" w14:textId="77777777" w:rsidR="00C54CAB" w:rsidRPr="00941468" w:rsidRDefault="00C54CAB" w:rsidP="001463C3">
      <w:pPr>
        <w:autoSpaceDE w:val="0"/>
        <w:autoSpaceDN w:val="0"/>
        <w:adjustRightInd w:val="0"/>
        <w:spacing w:after="0"/>
        <w:jc w:val="both"/>
        <w:rPr>
          <w:rFonts w:ascii="Times New Roman" w:hAnsi="Times New Roman" w:cs="Times New Roman"/>
          <w:sz w:val="24"/>
          <w:szCs w:val="24"/>
        </w:rPr>
      </w:pPr>
      <w:r w:rsidRPr="00941468">
        <w:rPr>
          <w:rFonts w:ascii="Times New Roman" w:hAnsi="Times New Roman" w:cs="Times New Roman"/>
          <w:sz w:val="24"/>
          <w:szCs w:val="24"/>
        </w:rPr>
        <w:t>Green house configuration:</w:t>
      </w:r>
    </w:p>
    <w:p w14:paraId="264AD514" w14:textId="77777777" w:rsidR="00C54CAB" w:rsidRPr="00941468" w:rsidRDefault="00C54CAB" w:rsidP="001463C3">
      <w:pPr>
        <w:autoSpaceDE w:val="0"/>
        <w:autoSpaceDN w:val="0"/>
        <w:adjustRightInd w:val="0"/>
        <w:spacing w:after="0"/>
        <w:jc w:val="both"/>
        <w:rPr>
          <w:rFonts w:ascii="Times New Roman" w:hAnsi="Times New Roman" w:cs="Times New Roman"/>
          <w:sz w:val="24"/>
          <w:szCs w:val="24"/>
        </w:rPr>
      </w:pPr>
      <w:r w:rsidRPr="00941468">
        <w:rPr>
          <w:rFonts w:ascii="Times New Roman" w:hAnsi="Times New Roman" w:cs="Times New Roman"/>
          <w:sz w:val="24"/>
          <w:szCs w:val="24"/>
        </w:rPr>
        <w:t xml:space="preserve">The greenhouse </w:t>
      </w:r>
      <w:r w:rsidR="009158E3" w:rsidRPr="00941468">
        <w:rPr>
          <w:rFonts w:ascii="Times New Roman" w:hAnsi="Times New Roman" w:cs="Times New Roman"/>
          <w:sz w:val="24"/>
          <w:szCs w:val="24"/>
        </w:rPr>
        <w:t xml:space="preserve">located at Medi-Caps, University, (Madhya Pradesh) </w:t>
      </w:r>
      <w:r w:rsidRPr="00941468">
        <w:rPr>
          <w:rFonts w:ascii="Times New Roman" w:hAnsi="Times New Roman" w:cs="Times New Roman"/>
          <w:sz w:val="24"/>
          <w:szCs w:val="24"/>
        </w:rPr>
        <w:t xml:space="preserve">was covered with a single layer of </w:t>
      </w:r>
      <w:proofErr w:type="gramStart"/>
      <w:r w:rsidRPr="00941468">
        <w:rPr>
          <w:rFonts w:ascii="Times New Roman" w:hAnsi="Times New Roman" w:cs="Times New Roman"/>
          <w:sz w:val="24"/>
          <w:szCs w:val="24"/>
        </w:rPr>
        <w:t>200 micron</w:t>
      </w:r>
      <w:proofErr w:type="gramEnd"/>
      <w:r w:rsidRPr="00941468">
        <w:rPr>
          <w:rFonts w:ascii="Times New Roman" w:hAnsi="Times New Roman" w:cs="Times New Roman"/>
          <w:sz w:val="24"/>
          <w:szCs w:val="24"/>
        </w:rPr>
        <w:t xml:space="preserve"> (800 gauge) UV-stabilized low-density polyethylene film (LDPE) for natural ventilation and pest protection. Both sides were clad with white, insect-proof high-density polyethylene (HDPE) fabric with a 40 x 40 mesh, leaving a 1-meter LDPE-covered space from the ground. Each span included a 1-meter wide 40 mesh net on the roof for thermal buoyancy ventilation. The total naturally ventilated area was 120 m², or 33.3% of the total floor area. Additionally, rollable flaps of 200-micron thick LDPE were fitted outside to regulate temperature, humidity, and protect from rain. </w:t>
      </w:r>
    </w:p>
    <w:p w14:paraId="1FDD3A1B" w14:textId="77777777" w:rsidR="00C54CAB" w:rsidRPr="00941468" w:rsidRDefault="00C54CAB" w:rsidP="001463C3">
      <w:pPr>
        <w:pStyle w:val="Heading3"/>
        <w:spacing w:before="0"/>
        <w:jc w:val="both"/>
        <w:rPr>
          <w:rFonts w:ascii="Times New Roman" w:hAnsi="Times New Roman" w:cs="Times New Roman"/>
          <w:b w:val="0"/>
          <w:color w:val="auto"/>
          <w:sz w:val="24"/>
          <w:szCs w:val="24"/>
        </w:rPr>
      </w:pPr>
      <w:r w:rsidRPr="00941468">
        <w:rPr>
          <w:rStyle w:val="Strong"/>
          <w:rFonts w:ascii="Times New Roman" w:hAnsi="Times New Roman" w:cs="Times New Roman"/>
          <w:bCs/>
          <w:color w:val="auto"/>
          <w:sz w:val="24"/>
          <w:szCs w:val="24"/>
        </w:rPr>
        <w:t>Greenhouse dimensions:</w:t>
      </w:r>
    </w:p>
    <w:p w14:paraId="050AEF7C" w14:textId="77777777" w:rsidR="00C54CAB" w:rsidRPr="00941468" w:rsidRDefault="00C54CAB" w:rsidP="001463C3">
      <w:pPr>
        <w:numPr>
          <w:ilvl w:val="0"/>
          <w:numId w:val="1"/>
        </w:numPr>
        <w:spacing w:after="100" w:afterAutospacing="1" w:line="240" w:lineRule="auto"/>
        <w:jc w:val="both"/>
        <w:rPr>
          <w:rFonts w:ascii="Times New Roman" w:hAnsi="Times New Roman" w:cs="Times New Roman"/>
          <w:sz w:val="24"/>
          <w:szCs w:val="24"/>
        </w:rPr>
      </w:pPr>
      <w:r w:rsidRPr="00941468">
        <w:rPr>
          <w:rStyle w:val="Strong"/>
          <w:rFonts w:ascii="Times New Roman" w:hAnsi="Times New Roman" w:cs="Times New Roman"/>
          <w:b w:val="0"/>
          <w:sz w:val="24"/>
          <w:szCs w:val="24"/>
        </w:rPr>
        <w:t>Width:</w:t>
      </w:r>
      <w:r w:rsidRPr="00941468">
        <w:rPr>
          <w:rFonts w:ascii="Times New Roman" w:hAnsi="Times New Roman" w:cs="Times New Roman"/>
          <w:sz w:val="24"/>
          <w:szCs w:val="24"/>
        </w:rPr>
        <w:t xml:space="preserve"> 9 meters (29.52 feet)</w:t>
      </w:r>
    </w:p>
    <w:p w14:paraId="0F921B14" w14:textId="77777777" w:rsidR="00C54CAB" w:rsidRPr="00941468" w:rsidRDefault="00C54CAB" w:rsidP="001463C3">
      <w:pPr>
        <w:numPr>
          <w:ilvl w:val="0"/>
          <w:numId w:val="1"/>
        </w:numPr>
        <w:spacing w:before="100" w:beforeAutospacing="1" w:after="100" w:afterAutospacing="1" w:line="240" w:lineRule="auto"/>
        <w:jc w:val="both"/>
        <w:rPr>
          <w:rFonts w:ascii="Times New Roman" w:hAnsi="Times New Roman" w:cs="Times New Roman"/>
          <w:sz w:val="24"/>
          <w:szCs w:val="24"/>
        </w:rPr>
      </w:pPr>
      <w:r w:rsidRPr="00941468">
        <w:rPr>
          <w:rStyle w:val="Strong"/>
          <w:rFonts w:ascii="Times New Roman" w:hAnsi="Times New Roman" w:cs="Times New Roman"/>
          <w:b w:val="0"/>
          <w:sz w:val="24"/>
          <w:szCs w:val="24"/>
        </w:rPr>
        <w:t>Length:</w:t>
      </w:r>
      <w:r w:rsidRPr="00941468">
        <w:rPr>
          <w:rFonts w:ascii="Times New Roman" w:hAnsi="Times New Roman" w:cs="Times New Roman"/>
          <w:sz w:val="24"/>
          <w:szCs w:val="24"/>
        </w:rPr>
        <w:t xml:space="preserve"> 24 meters (78.74 feet)</w:t>
      </w:r>
    </w:p>
    <w:p w14:paraId="73257620" w14:textId="77777777" w:rsidR="00C54CAB" w:rsidRPr="00941468" w:rsidRDefault="00C54CAB" w:rsidP="001463C3">
      <w:pPr>
        <w:numPr>
          <w:ilvl w:val="0"/>
          <w:numId w:val="1"/>
        </w:numPr>
        <w:spacing w:before="100" w:beforeAutospacing="1" w:after="100" w:afterAutospacing="1" w:line="240" w:lineRule="auto"/>
        <w:jc w:val="both"/>
        <w:rPr>
          <w:rFonts w:ascii="Times New Roman" w:hAnsi="Times New Roman" w:cs="Times New Roman"/>
          <w:sz w:val="24"/>
          <w:szCs w:val="24"/>
        </w:rPr>
      </w:pPr>
      <w:r w:rsidRPr="00941468">
        <w:rPr>
          <w:rStyle w:val="Strong"/>
          <w:rFonts w:ascii="Times New Roman" w:hAnsi="Times New Roman" w:cs="Times New Roman"/>
          <w:b w:val="0"/>
          <w:sz w:val="24"/>
          <w:szCs w:val="24"/>
        </w:rPr>
        <w:t>Ridge Height:</w:t>
      </w:r>
      <w:r w:rsidRPr="00941468">
        <w:rPr>
          <w:rFonts w:ascii="Times New Roman" w:hAnsi="Times New Roman" w:cs="Times New Roman"/>
          <w:sz w:val="24"/>
          <w:szCs w:val="24"/>
        </w:rPr>
        <w:t xml:space="preserve"> 5 meters (16.40 feet)</w:t>
      </w:r>
    </w:p>
    <w:p w14:paraId="7F319BBD" w14:textId="77777777" w:rsidR="00C54CAB" w:rsidRPr="00941468" w:rsidRDefault="00C54CAB" w:rsidP="001463C3">
      <w:pPr>
        <w:numPr>
          <w:ilvl w:val="0"/>
          <w:numId w:val="1"/>
        </w:numPr>
        <w:spacing w:before="100" w:beforeAutospacing="1" w:after="100" w:afterAutospacing="1" w:line="240" w:lineRule="auto"/>
        <w:jc w:val="both"/>
        <w:rPr>
          <w:rFonts w:ascii="Times New Roman" w:hAnsi="Times New Roman" w:cs="Times New Roman"/>
          <w:sz w:val="24"/>
          <w:szCs w:val="24"/>
        </w:rPr>
      </w:pPr>
      <w:r w:rsidRPr="00941468">
        <w:rPr>
          <w:rStyle w:val="Strong"/>
          <w:rFonts w:ascii="Times New Roman" w:hAnsi="Times New Roman" w:cs="Times New Roman"/>
          <w:b w:val="0"/>
          <w:sz w:val="24"/>
          <w:szCs w:val="24"/>
        </w:rPr>
        <w:t>Eave Height:</w:t>
      </w:r>
      <w:r w:rsidRPr="00941468">
        <w:rPr>
          <w:rFonts w:ascii="Times New Roman" w:hAnsi="Times New Roman" w:cs="Times New Roman"/>
          <w:sz w:val="24"/>
          <w:szCs w:val="24"/>
        </w:rPr>
        <w:t xml:space="preserve"> 3.5 meters (11.48 feet)</w:t>
      </w:r>
    </w:p>
    <w:p w14:paraId="2D309414" w14:textId="77777777" w:rsidR="00C54CAB" w:rsidRPr="00941468" w:rsidRDefault="00C54CAB" w:rsidP="001463C3">
      <w:pPr>
        <w:numPr>
          <w:ilvl w:val="0"/>
          <w:numId w:val="1"/>
        </w:numPr>
        <w:spacing w:after="0" w:line="240" w:lineRule="auto"/>
        <w:jc w:val="both"/>
        <w:rPr>
          <w:rFonts w:ascii="Times New Roman" w:hAnsi="Times New Roman" w:cs="Times New Roman"/>
          <w:sz w:val="24"/>
          <w:szCs w:val="24"/>
        </w:rPr>
      </w:pPr>
      <w:r w:rsidRPr="00941468">
        <w:rPr>
          <w:rStyle w:val="Strong"/>
          <w:rFonts w:ascii="Times New Roman" w:hAnsi="Times New Roman" w:cs="Times New Roman"/>
          <w:b w:val="0"/>
          <w:sz w:val="24"/>
          <w:szCs w:val="24"/>
        </w:rPr>
        <w:t>Gutter Height:</w:t>
      </w:r>
      <w:r w:rsidRPr="00941468">
        <w:rPr>
          <w:rFonts w:ascii="Times New Roman" w:hAnsi="Times New Roman" w:cs="Times New Roman"/>
          <w:sz w:val="24"/>
          <w:szCs w:val="24"/>
        </w:rPr>
        <w:t xml:space="preserve"> 3 meters (9.84 feet)</w:t>
      </w:r>
    </w:p>
    <w:p w14:paraId="3BAD84D4" w14:textId="77777777" w:rsidR="00F15C2F" w:rsidRPr="00941468" w:rsidRDefault="00F15C2F" w:rsidP="00530AD3">
      <w:pPr>
        <w:pStyle w:val="NormalWeb"/>
        <w:spacing w:before="0" w:beforeAutospacing="0" w:after="0" w:afterAutospacing="0"/>
        <w:ind w:left="360" w:hanging="360"/>
        <w:jc w:val="both"/>
        <w:rPr>
          <w:rStyle w:val="Strong"/>
          <w:rFonts w:eastAsiaTheme="majorEastAsia"/>
        </w:rPr>
      </w:pPr>
      <w:r w:rsidRPr="00941468">
        <w:rPr>
          <w:rStyle w:val="Strong"/>
          <w:rFonts w:eastAsiaTheme="majorEastAsia"/>
        </w:rPr>
        <w:t>Preparation of Solutions:</w:t>
      </w:r>
    </w:p>
    <w:p w14:paraId="0ACD9063" w14:textId="77777777" w:rsidR="00F15C2F" w:rsidRPr="00941468" w:rsidRDefault="00F15C2F" w:rsidP="00F15C2F">
      <w:pPr>
        <w:pStyle w:val="NormalWeb"/>
        <w:spacing w:before="0" w:beforeAutospacing="0" w:after="0" w:afterAutospacing="0"/>
        <w:ind w:left="360"/>
        <w:jc w:val="both"/>
      </w:pPr>
      <w:proofErr w:type="spellStart"/>
      <w:r w:rsidRPr="00941468">
        <w:t>Forchlorfenuron</w:t>
      </w:r>
      <w:proofErr w:type="spellEnd"/>
      <w:r w:rsidRPr="00941468">
        <w:t xml:space="preserve"> (CPPU) stock solution was prepared by accurately weighing the required quantity of pure CPPU powder and dissolving it in distilled water to obtain stock </w:t>
      </w:r>
      <w:r w:rsidRPr="00941468">
        <w:lastRenderedPageBreak/>
        <w:t>concentrations. Subsequent dilutions were made to achieve the working concentrations of 1 ppm and 2 ppm. Seaweed extract solutions were freshly prepared by diluting commercially procured seaweed extract with distilled water to final concentrations of 5 ml L⁻¹ and 10 ml L⁻¹.</w:t>
      </w:r>
    </w:p>
    <w:p w14:paraId="0B28D180" w14:textId="77777777" w:rsidR="00F15C2F" w:rsidRPr="00941468" w:rsidRDefault="00F15C2F" w:rsidP="00530AD3">
      <w:pPr>
        <w:pStyle w:val="NormalWeb"/>
        <w:spacing w:before="0" w:beforeAutospacing="0" w:after="0" w:afterAutospacing="0"/>
        <w:ind w:left="360" w:hanging="360"/>
        <w:jc w:val="both"/>
        <w:rPr>
          <w:rStyle w:val="Strong"/>
          <w:rFonts w:eastAsiaTheme="majorEastAsia"/>
        </w:rPr>
      </w:pPr>
      <w:r w:rsidRPr="00941468">
        <w:rPr>
          <w:rStyle w:val="Strong"/>
          <w:rFonts w:eastAsiaTheme="majorEastAsia"/>
        </w:rPr>
        <w:t>Application Procedure:</w:t>
      </w:r>
    </w:p>
    <w:p w14:paraId="37F9E36F" w14:textId="77777777" w:rsidR="00F15C2F" w:rsidRPr="00941468" w:rsidRDefault="00F15C2F" w:rsidP="00F15C2F">
      <w:pPr>
        <w:pStyle w:val="NormalWeb"/>
        <w:spacing w:before="0" w:beforeAutospacing="0" w:after="0" w:afterAutospacing="0"/>
        <w:ind w:left="360"/>
        <w:jc w:val="both"/>
      </w:pPr>
      <w:r w:rsidRPr="00941468">
        <w:t>Foliar treatments were applied using a calibrated hand-held atomizer to ensure uniform coverage of the foliage until runoff. Spraying was performed during the early morning hours (between 7:00 and 9:00 AM) to minimize evapotranspiration losses and enhance absorption efficiency. Control plants were sprayed with distilled water following the same procedure. Treatments were administered at regular intervals of 15 days, commencing at days after planting, continuing for a total at hardening applications as per the experimental design. All equipment was thoroughly cleaned between treatments to avoid cross-contamination. The volume of spray applied per plant was standardized to maintain consistency across treatments.</w:t>
      </w:r>
    </w:p>
    <w:p w14:paraId="0896DB31" w14:textId="77777777" w:rsidR="00C54CAB" w:rsidRPr="00941468" w:rsidRDefault="00932167" w:rsidP="001463C3">
      <w:pPr>
        <w:spacing w:after="0"/>
        <w:jc w:val="both"/>
        <w:rPr>
          <w:rFonts w:ascii="Times New Roman" w:eastAsia="Times New Roman" w:hAnsi="Times New Roman" w:cs="Times New Roman"/>
          <w:b/>
          <w:sz w:val="24"/>
          <w:szCs w:val="24"/>
        </w:rPr>
      </w:pPr>
      <w:r w:rsidRPr="00941468">
        <w:rPr>
          <w:rFonts w:ascii="Times New Roman" w:hAnsi="Times New Roman" w:cs="Times New Roman"/>
          <w:b/>
          <w:sz w:val="24"/>
          <w:szCs w:val="24"/>
        </w:rPr>
        <w:t>Treatments and</w:t>
      </w:r>
      <w:r w:rsidRPr="00941468">
        <w:rPr>
          <w:rFonts w:ascii="Times New Roman" w:hAnsi="Times New Roman" w:cs="Times New Roman"/>
          <w:sz w:val="24"/>
          <w:szCs w:val="24"/>
        </w:rPr>
        <w:t xml:space="preserve"> </w:t>
      </w:r>
      <w:r w:rsidR="008C1A7C" w:rsidRPr="00941468">
        <w:rPr>
          <w:rFonts w:ascii="Times New Roman" w:eastAsia="Times New Roman" w:hAnsi="Times New Roman" w:cs="Times New Roman"/>
          <w:b/>
          <w:bCs/>
          <w:sz w:val="24"/>
          <w:szCs w:val="24"/>
        </w:rPr>
        <w:t>Plant growth regulators</w:t>
      </w:r>
      <w:r w:rsidR="00C54CAB" w:rsidRPr="00941468">
        <w:rPr>
          <w:rFonts w:ascii="Times New Roman" w:eastAsia="Times New Roman" w:hAnsi="Times New Roman" w:cs="Times New Roman"/>
          <w:b/>
          <w:bCs/>
          <w:sz w:val="24"/>
          <w:szCs w:val="24"/>
        </w:rPr>
        <w:t xml:space="preserve"> </w:t>
      </w:r>
      <w:r w:rsidR="008C1A7C" w:rsidRPr="00941468">
        <w:rPr>
          <w:rFonts w:ascii="Times New Roman" w:eastAsia="Times New Roman" w:hAnsi="Times New Roman" w:cs="Times New Roman"/>
          <w:b/>
          <w:bCs/>
          <w:sz w:val="24"/>
          <w:szCs w:val="24"/>
        </w:rPr>
        <w:t xml:space="preserve">and their </w:t>
      </w:r>
      <w:r w:rsidR="00C54CAB" w:rsidRPr="00941468">
        <w:rPr>
          <w:rFonts w:ascii="Times New Roman" w:eastAsia="Times New Roman" w:hAnsi="Times New Roman" w:cs="Times New Roman"/>
          <w:b/>
          <w:bCs/>
          <w:sz w:val="24"/>
          <w:szCs w:val="24"/>
        </w:rPr>
        <w:t>application</w:t>
      </w:r>
      <w:r w:rsidR="00C54CAB" w:rsidRPr="00941468">
        <w:rPr>
          <w:rFonts w:ascii="Times New Roman" w:eastAsia="Times New Roman" w:hAnsi="Times New Roman" w:cs="Times New Roman"/>
          <w:b/>
          <w:sz w:val="24"/>
          <w:szCs w:val="24"/>
        </w:rPr>
        <w:t xml:space="preserve">: </w:t>
      </w:r>
    </w:p>
    <w:p w14:paraId="1E638D51" w14:textId="77777777" w:rsidR="008C1A7C" w:rsidRPr="00941468" w:rsidRDefault="008C1A7C" w:rsidP="00180C68">
      <w:pPr>
        <w:autoSpaceDE w:val="0"/>
        <w:autoSpaceDN w:val="0"/>
        <w:adjustRightInd w:val="0"/>
        <w:spacing w:after="0"/>
        <w:jc w:val="both"/>
        <w:rPr>
          <w:rFonts w:ascii="Times New Roman" w:hAnsi="Times New Roman" w:cs="Times New Roman"/>
          <w:sz w:val="24"/>
          <w:szCs w:val="24"/>
        </w:rPr>
      </w:pPr>
      <w:r w:rsidRPr="00941468">
        <w:rPr>
          <w:rFonts w:ascii="Times New Roman" w:hAnsi="Times New Roman" w:cs="Times New Roman"/>
          <w:sz w:val="24"/>
          <w:szCs w:val="24"/>
        </w:rPr>
        <w:t xml:space="preserve">In this study, a total of seven treatments were applied to evaluate the individual and combined effects of CPPU (a synthetic </w:t>
      </w:r>
      <w:r w:rsidR="00A66040" w:rsidRPr="00941468">
        <w:rPr>
          <w:rFonts w:ascii="Times New Roman" w:hAnsi="Times New Roman" w:cs="Times New Roman"/>
          <w:sz w:val="24"/>
          <w:szCs w:val="24"/>
        </w:rPr>
        <w:t>CPPU (</w:t>
      </w:r>
      <w:proofErr w:type="spellStart"/>
      <w:r w:rsidR="00A66040" w:rsidRPr="00941468">
        <w:rPr>
          <w:rFonts w:ascii="Times New Roman" w:hAnsi="Times New Roman" w:cs="Times New Roman"/>
          <w:sz w:val="24"/>
          <w:szCs w:val="24"/>
        </w:rPr>
        <w:t>Forchlorfenuron</w:t>
      </w:r>
      <w:proofErr w:type="spellEnd"/>
      <w:proofErr w:type="gramStart"/>
      <w:r w:rsidR="00A66040" w:rsidRPr="00941468">
        <w:rPr>
          <w:rFonts w:ascii="Times New Roman" w:hAnsi="Times New Roman" w:cs="Times New Roman"/>
          <w:sz w:val="24"/>
          <w:szCs w:val="24"/>
        </w:rPr>
        <w:t xml:space="preserve">) </w:t>
      </w:r>
      <w:r w:rsidRPr="00941468">
        <w:rPr>
          <w:rFonts w:ascii="Times New Roman" w:hAnsi="Times New Roman" w:cs="Times New Roman"/>
          <w:sz w:val="24"/>
          <w:szCs w:val="24"/>
        </w:rPr>
        <w:t>)</w:t>
      </w:r>
      <w:proofErr w:type="gramEnd"/>
      <w:r w:rsidRPr="00941468">
        <w:rPr>
          <w:rFonts w:ascii="Times New Roman" w:hAnsi="Times New Roman" w:cs="Times New Roman"/>
          <w:sz w:val="24"/>
          <w:szCs w:val="24"/>
        </w:rPr>
        <w:t xml:space="preserve"> and seaweed extract on the shooting and rooting performance of </w:t>
      </w:r>
      <w:r w:rsidRPr="00941468">
        <w:rPr>
          <w:rStyle w:val="Emphasis"/>
          <w:rFonts w:ascii="Times New Roman" w:hAnsi="Times New Roman" w:cs="Times New Roman"/>
          <w:sz w:val="24"/>
          <w:szCs w:val="24"/>
        </w:rPr>
        <w:t>Syngonium podophyllum</w:t>
      </w:r>
      <w:r w:rsidRPr="00941468">
        <w:rPr>
          <w:rFonts w:ascii="Times New Roman" w:hAnsi="Times New Roman" w:cs="Times New Roman"/>
          <w:sz w:val="24"/>
          <w:szCs w:val="24"/>
        </w:rPr>
        <w:t xml:space="preserve"> under controlled micro-climate conditions. The treatments included: T₀ – Control (no application), T₁ – CPPU at 1 ppm, T₂ – CPPU at 2 ppm, T₃ – seaweed extract at 5 ml/L, T₄ – seaweed extract at 10 ml/L, T₅ – a combination of CPPU at 1 ppm and seaweed extract at 5 ml/L, and T₆ – a combination of CPPU at 2 ppm and seaweed extract at 10 ml/L. These treatments were applied as foliar sprays or stem dips, depending on the propagation stage, with the objective of enhancing early shoot emergence, root formation, and overall acclimatization success in a controlled micro-environment.</w:t>
      </w:r>
      <w:r w:rsidR="005D065C" w:rsidRPr="00941468">
        <w:rPr>
          <w:rFonts w:ascii="Times New Roman" w:hAnsi="Times New Roman" w:cs="Times New Roman"/>
          <w:sz w:val="24"/>
          <w:szCs w:val="24"/>
        </w:rPr>
        <w:t xml:space="preserve"> </w:t>
      </w:r>
      <w:r w:rsidR="00C54CAB" w:rsidRPr="00941468">
        <w:rPr>
          <w:rFonts w:ascii="Times New Roman" w:hAnsi="Times New Roman" w:cs="Times New Roman"/>
          <w:sz w:val="24"/>
          <w:szCs w:val="24"/>
        </w:rPr>
        <w:t xml:space="preserve">The present experiment was conducted in a </w:t>
      </w:r>
      <w:r w:rsidR="00D91C2C" w:rsidRPr="00941468">
        <w:rPr>
          <w:rFonts w:ascii="Times New Roman" w:hAnsi="Times New Roman" w:cs="Times New Roman"/>
          <w:sz w:val="24"/>
          <w:szCs w:val="24"/>
        </w:rPr>
        <w:t xml:space="preserve">statistically analyzed under </w:t>
      </w:r>
      <w:r w:rsidR="00C54CAB" w:rsidRPr="00941468">
        <w:rPr>
          <w:rFonts w:ascii="Times New Roman" w:hAnsi="Times New Roman" w:cs="Times New Roman"/>
          <w:sz w:val="24"/>
          <w:szCs w:val="24"/>
        </w:rPr>
        <w:t xml:space="preserve">completely randomized design (CRD) design at 0.05% with three </w:t>
      </w:r>
      <w:proofErr w:type="gramStart"/>
      <w:r w:rsidR="00C54CAB" w:rsidRPr="00941468">
        <w:rPr>
          <w:rFonts w:ascii="Times New Roman" w:hAnsi="Times New Roman" w:cs="Times New Roman"/>
          <w:sz w:val="24"/>
          <w:szCs w:val="24"/>
        </w:rPr>
        <w:t>replication</w:t>
      </w:r>
      <w:proofErr w:type="gramEnd"/>
      <w:r w:rsidR="00C54CAB" w:rsidRPr="00941468">
        <w:rPr>
          <w:rFonts w:ascii="Times New Roman" w:hAnsi="Times New Roman" w:cs="Times New Roman"/>
          <w:sz w:val="24"/>
          <w:szCs w:val="24"/>
        </w:rPr>
        <w:t xml:space="preserve"> to appraise the performance of </w:t>
      </w:r>
      <w:r w:rsidRPr="00941468">
        <w:rPr>
          <w:rFonts w:ascii="Times New Roman" w:hAnsi="Times New Roman" w:cs="Times New Roman"/>
          <w:sz w:val="24"/>
          <w:szCs w:val="24"/>
        </w:rPr>
        <w:t>Syngonium</w:t>
      </w:r>
      <w:r w:rsidR="00C54CAB" w:rsidRPr="00941468">
        <w:rPr>
          <w:rFonts w:ascii="Times New Roman" w:hAnsi="Times New Roman" w:cs="Times New Roman"/>
          <w:sz w:val="24"/>
          <w:szCs w:val="24"/>
        </w:rPr>
        <w:t xml:space="preserve"> which was selected based upon their performance for various traits. </w:t>
      </w:r>
      <w:r w:rsidR="005D065C" w:rsidRPr="00941468">
        <w:rPr>
          <w:rStyle w:val="Emphasis"/>
          <w:rFonts w:ascii="Times New Roman" w:hAnsi="Times New Roman" w:cs="Times New Roman"/>
          <w:sz w:val="24"/>
          <w:szCs w:val="24"/>
        </w:rPr>
        <w:t>Syngonium</w:t>
      </w:r>
      <w:r w:rsidR="005D065C" w:rsidRPr="00941468">
        <w:rPr>
          <w:rFonts w:ascii="Times New Roman" w:hAnsi="Times New Roman" w:cs="Times New Roman"/>
          <w:sz w:val="24"/>
          <w:szCs w:val="24"/>
        </w:rPr>
        <w:t xml:space="preserve"> plantlets were transplanted into individual polybags and maintained inside a micro-climate structure (shade house) to provide regulated temperature, humidity, and light intensity conducive for acclimatization. Each treatment plot contained six polybag-grown plants. Standard nursery practices were followed for irrigation, sanitation, and maintenance throughout the experiment. Observations were recorded on key parameters related to shoot initiation, root development, survival percentage, and early growth performance to assess the efficacy of the treatments under controlled environmental conditions.</w:t>
      </w:r>
    </w:p>
    <w:p w14:paraId="6C311DD6" w14:textId="77777777" w:rsidR="001242EC" w:rsidRDefault="00C54CAB" w:rsidP="001463C3">
      <w:pPr>
        <w:spacing w:after="0"/>
        <w:jc w:val="both"/>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RESULTS</w:t>
      </w:r>
    </w:p>
    <w:p w14:paraId="33528A89" w14:textId="77777777" w:rsidR="00941468" w:rsidRPr="00941468" w:rsidRDefault="00941468" w:rsidP="001463C3">
      <w:pPr>
        <w:spacing w:after="0"/>
        <w:jc w:val="both"/>
        <w:rPr>
          <w:rFonts w:ascii="Times New Roman" w:eastAsia="Times New Roman" w:hAnsi="Times New Roman" w:cs="Times New Roman"/>
          <w:b/>
          <w:bCs/>
          <w:sz w:val="24"/>
          <w:szCs w:val="24"/>
          <w:u w:val="single"/>
        </w:rPr>
      </w:pPr>
      <w:r w:rsidRPr="00941468">
        <w:rPr>
          <w:rFonts w:ascii="Times New Roman" w:eastAsia="Times New Roman" w:hAnsi="Times New Roman" w:cs="Times New Roman"/>
          <w:b/>
          <w:bCs/>
          <w:sz w:val="24"/>
          <w:szCs w:val="24"/>
          <w:u w:val="single"/>
        </w:rPr>
        <w:t>Morphological characters</w:t>
      </w:r>
    </w:p>
    <w:p w14:paraId="009983EA" w14:textId="77777777" w:rsidR="001463C3" w:rsidRPr="00941468" w:rsidRDefault="001242EC" w:rsidP="001463C3">
      <w:pPr>
        <w:spacing w:after="0"/>
        <w:jc w:val="both"/>
        <w:rPr>
          <w:rStyle w:val="Strong"/>
          <w:rFonts w:ascii="Times New Roman" w:hAnsi="Times New Roman" w:cs="Times New Roman"/>
          <w:bCs w:val="0"/>
          <w:sz w:val="24"/>
          <w:szCs w:val="24"/>
        </w:rPr>
      </w:pPr>
      <w:r w:rsidRPr="00941468">
        <w:rPr>
          <w:rStyle w:val="Strong"/>
          <w:rFonts w:ascii="Times New Roman" w:hAnsi="Times New Roman" w:cs="Times New Roman"/>
          <w:bCs w:val="0"/>
          <w:sz w:val="24"/>
          <w:szCs w:val="24"/>
        </w:rPr>
        <w:t>1.</w:t>
      </w:r>
      <w:r w:rsidR="00B91857" w:rsidRPr="00941468">
        <w:rPr>
          <w:rStyle w:val="Strong"/>
          <w:rFonts w:ascii="Times New Roman" w:hAnsi="Times New Roman" w:cs="Times New Roman"/>
          <w:bCs w:val="0"/>
          <w:sz w:val="24"/>
          <w:szCs w:val="24"/>
        </w:rPr>
        <w:t>Plant h</w:t>
      </w:r>
      <w:r w:rsidRPr="00941468">
        <w:rPr>
          <w:rStyle w:val="Strong"/>
          <w:rFonts w:ascii="Times New Roman" w:hAnsi="Times New Roman" w:cs="Times New Roman"/>
          <w:bCs w:val="0"/>
          <w:sz w:val="24"/>
          <w:szCs w:val="24"/>
        </w:rPr>
        <w:t>eight (cm)</w:t>
      </w:r>
    </w:p>
    <w:p w14:paraId="1C6648D4" w14:textId="77777777" w:rsidR="001463C3" w:rsidRPr="00941468" w:rsidRDefault="001242EC" w:rsidP="001463C3">
      <w:pPr>
        <w:spacing w:after="0"/>
        <w:jc w:val="both"/>
        <w:rPr>
          <w:rFonts w:ascii="Times New Roman" w:hAnsi="Times New Roman" w:cs="Times New Roman"/>
          <w:sz w:val="24"/>
          <w:szCs w:val="24"/>
        </w:rPr>
      </w:pPr>
      <w:r w:rsidRPr="00941468">
        <w:rPr>
          <w:rFonts w:ascii="Times New Roman" w:hAnsi="Times New Roman" w:cs="Times New Roman"/>
          <w:sz w:val="24"/>
          <w:szCs w:val="24"/>
        </w:rPr>
        <w:t xml:space="preserve">The plant height of </w:t>
      </w:r>
      <w:r w:rsidRPr="00941468">
        <w:rPr>
          <w:rStyle w:val="Emphasis"/>
          <w:rFonts w:ascii="Times New Roman" w:hAnsi="Times New Roman" w:cs="Times New Roman"/>
          <w:sz w:val="24"/>
          <w:szCs w:val="24"/>
        </w:rPr>
        <w:t>Syngonium podophyllum</w:t>
      </w:r>
      <w:r w:rsidRPr="00941468">
        <w:rPr>
          <w:rFonts w:ascii="Times New Roman" w:hAnsi="Times New Roman" w:cs="Times New Roman"/>
          <w:sz w:val="24"/>
          <w:szCs w:val="24"/>
        </w:rPr>
        <w:t xml:space="preserve"> was significantly influenced by different treatments. The maximum plant hei</w:t>
      </w:r>
      <w:r w:rsidR="002601AA" w:rsidRPr="00941468">
        <w:rPr>
          <w:rFonts w:ascii="Times New Roman" w:hAnsi="Times New Roman" w:cs="Times New Roman"/>
          <w:sz w:val="24"/>
          <w:szCs w:val="24"/>
        </w:rPr>
        <w:t>ght (28.6</w:t>
      </w:r>
      <w:r w:rsidR="000F7DD3" w:rsidRPr="00941468">
        <w:rPr>
          <w:rFonts w:ascii="Times New Roman" w:hAnsi="Times New Roman" w:cs="Times New Roman"/>
          <w:sz w:val="24"/>
          <w:szCs w:val="24"/>
        </w:rPr>
        <w:t>7</w:t>
      </w:r>
      <w:r w:rsidR="002601AA" w:rsidRPr="00941468">
        <w:rPr>
          <w:rFonts w:ascii="Times New Roman" w:hAnsi="Times New Roman" w:cs="Times New Roman"/>
          <w:sz w:val="24"/>
          <w:szCs w:val="24"/>
        </w:rPr>
        <w:t xml:space="preserve"> cm) was recorded in T</w:t>
      </w:r>
      <w:r w:rsidR="002601AA" w:rsidRPr="00941468">
        <w:rPr>
          <w:rFonts w:ascii="Times New Roman" w:hAnsi="Times New Roman" w:cs="Times New Roman"/>
          <w:sz w:val="24"/>
          <w:szCs w:val="24"/>
          <w:vertAlign w:val="subscript"/>
        </w:rPr>
        <w:t>6</w:t>
      </w:r>
      <w:r w:rsidRPr="00941468">
        <w:rPr>
          <w:rFonts w:ascii="Times New Roman" w:hAnsi="Times New Roman" w:cs="Times New Roman"/>
          <w:sz w:val="24"/>
          <w:szCs w:val="24"/>
        </w:rPr>
        <w:t xml:space="preserve"> (CPPU 2 ppm + Seaweed Extract 10 ml/L), followed by T₅ (CPPU 1 ppm + Seaweed Extract 5 ml/L) with 26.3</w:t>
      </w:r>
      <w:r w:rsidR="00C57CAF" w:rsidRPr="00941468">
        <w:rPr>
          <w:rFonts w:ascii="Times New Roman" w:hAnsi="Times New Roman" w:cs="Times New Roman"/>
          <w:sz w:val="24"/>
          <w:szCs w:val="24"/>
        </w:rPr>
        <w:t>2</w:t>
      </w:r>
      <w:r w:rsidRPr="00941468">
        <w:rPr>
          <w:rFonts w:ascii="Times New Roman" w:hAnsi="Times New Roman" w:cs="Times New Roman"/>
          <w:sz w:val="24"/>
          <w:szCs w:val="24"/>
        </w:rPr>
        <w:t xml:space="preserve"> cm, and T₄ (Seaweed Extract 10 ml/L) with 25.2</w:t>
      </w:r>
      <w:r w:rsidR="00C57CAF" w:rsidRPr="00941468">
        <w:rPr>
          <w:rFonts w:ascii="Times New Roman" w:hAnsi="Times New Roman" w:cs="Times New Roman"/>
          <w:sz w:val="24"/>
          <w:szCs w:val="24"/>
        </w:rPr>
        <w:t>3</w:t>
      </w:r>
      <w:r w:rsidRPr="00941468">
        <w:rPr>
          <w:rFonts w:ascii="Times New Roman" w:hAnsi="Times New Roman" w:cs="Times New Roman"/>
          <w:sz w:val="24"/>
          <w:szCs w:val="24"/>
        </w:rPr>
        <w:t xml:space="preserve"> cm. The minimum plant height (18.2</w:t>
      </w:r>
      <w:r w:rsidR="00C57CAF" w:rsidRPr="00941468">
        <w:rPr>
          <w:rFonts w:ascii="Times New Roman" w:hAnsi="Times New Roman" w:cs="Times New Roman"/>
          <w:sz w:val="24"/>
          <w:szCs w:val="24"/>
        </w:rPr>
        <w:t>0</w:t>
      </w:r>
      <w:r w:rsidRPr="00941468">
        <w:rPr>
          <w:rFonts w:ascii="Times New Roman" w:hAnsi="Times New Roman" w:cs="Times New Roman"/>
          <w:sz w:val="24"/>
          <w:szCs w:val="24"/>
        </w:rPr>
        <w:t xml:space="preserve"> cm) was observed in the control (T₀), which</w:t>
      </w:r>
      <w:r w:rsidR="000F7DD3" w:rsidRPr="00941468">
        <w:rPr>
          <w:rFonts w:ascii="Times New Roman" w:hAnsi="Times New Roman" w:cs="Times New Roman"/>
          <w:sz w:val="24"/>
          <w:szCs w:val="24"/>
        </w:rPr>
        <w:t xml:space="preserve"> received </w:t>
      </w:r>
      <w:r w:rsidR="002601AA" w:rsidRPr="00941468">
        <w:rPr>
          <w:rFonts w:ascii="Times New Roman" w:hAnsi="Times New Roman" w:cs="Times New Roman"/>
          <w:sz w:val="24"/>
          <w:szCs w:val="24"/>
        </w:rPr>
        <w:t>water spray</w:t>
      </w:r>
      <w:r w:rsidRPr="00941468">
        <w:rPr>
          <w:rFonts w:ascii="Times New Roman" w:hAnsi="Times New Roman" w:cs="Times New Roman"/>
          <w:sz w:val="24"/>
          <w:szCs w:val="24"/>
        </w:rPr>
        <w:t>.</w:t>
      </w:r>
      <w:r w:rsidR="001101C5" w:rsidRPr="00941468">
        <w:rPr>
          <w:rFonts w:ascii="Times New Roman" w:hAnsi="Times New Roman" w:cs="Times New Roman"/>
          <w:sz w:val="24"/>
          <w:szCs w:val="24"/>
        </w:rPr>
        <w:t xml:space="preserve"> Similar observation </w:t>
      </w:r>
      <w:proofErr w:type="gramStart"/>
      <w:r w:rsidR="001101C5" w:rsidRPr="00941468">
        <w:rPr>
          <w:rFonts w:ascii="Times New Roman" w:hAnsi="Times New Roman" w:cs="Times New Roman"/>
          <w:sz w:val="24"/>
          <w:szCs w:val="24"/>
        </w:rPr>
        <w:t>were</w:t>
      </w:r>
      <w:proofErr w:type="gramEnd"/>
      <w:r w:rsidR="001101C5" w:rsidRPr="00941468">
        <w:rPr>
          <w:rFonts w:ascii="Times New Roman" w:hAnsi="Times New Roman" w:cs="Times New Roman"/>
          <w:sz w:val="24"/>
          <w:szCs w:val="24"/>
        </w:rPr>
        <w:t xml:space="preserve"> reported by </w:t>
      </w:r>
      <w:r w:rsidR="001101C5" w:rsidRPr="00941468">
        <w:rPr>
          <w:vertAlign w:val="superscript"/>
        </w:rPr>
        <w:t>[12,13]</w:t>
      </w:r>
      <w:r w:rsidR="001101C5" w:rsidRPr="00941468">
        <w:rPr>
          <w:rFonts w:ascii="Times New Roman" w:hAnsi="Times New Roman" w:cs="Times New Roman"/>
          <w:sz w:val="24"/>
          <w:szCs w:val="24"/>
        </w:rPr>
        <w:t>.</w:t>
      </w:r>
    </w:p>
    <w:p w14:paraId="1B04B5ED" w14:textId="77777777" w:rsidR="001463C3" w:rsidRPr="00941468" w:rsidRDefault="001242EC" w:rsidP="001463C3">
      <w:pPr>
        <w:spacing w:after="0"/>
        <w:jc w:val="both"/>
        <w:rPr>
          <w:rStyle w:val="Strong"/>
          <w:rFonts w:ascii="Times New Roman" w:hAnsi="Times New Roman" w:cs="Times New Roman"/>
          <w:bCs w:val="0"/>
          <w:sz w:val="24"/>
          <w:szCs w:val="24"/>
        </w:rPr>
      </w:pPr>
      <w:r w:rsidRPr="00941468">
        <w:rPr>
          <w:rStyle w:val="Strong"/>
          <w:rFonts w:ascii="Times New Roman" w:hAnsi="Times New Roman" w:cs="Times New Roman"/>
          <w:bCs w:val="0"/>
          <w:sz w:val="24"/>
          <w:szCs w:val="24"/>
        </w:rPr>
        <w:lastRenderedPageBreak/>
        <w:t>2. Number of Leaves per Plant</w:t>
      </w:r>
    </w:p>
    <w:p w14:paraId="1EC3F9F6" w14:textId="77777777" w:rsidR="001463C3" w:rsidRPr="00941468" w:rsidRDefault="001242EC" w:rsidP="001463C3">
      <w:pPr>
        <w:spacing w:after="0"/>
        <w:jc w:val="both"/>
        <w:rPr>
          <w:rFonts w:ascii="Times New Roman" w:hAnsi="Times New Roman" w:cs="Times New Roman"/>
          <w:sz w:val="24"/>
          <w:szCs w:val="24"/>
        </w:rPr>
      </w:pPr>
      <w:r w:rsidRPr="00941468">
        <w:rPr>
          <w:rFonts w:ascii="Times New Roman" w:hAnsi="Times New Roman" w:cs="Times New Roman"/>
          <w:sz w:val="24"/>
          <w:szCs w:val="24"/>
        </w:rPr>
        <w:t>The number of leaves per plant showed considerable variation among the treatments. The highest number of leaves (11</w:t>
      </w:r>
      <w:r w:rsidR="0069279B" w:rsidRPr="00941468">
        <w:rPr>
          <w:rFonts w:ascii="Times New Roman" w:hAnsi="Times New Roman" w:cs="Times New Roman"/>
          <w:sz w:val="24"/>
          <w:szCs w:val="24"/>
        </w:rPr>
        <w:t>.07</w:t>
      </w:r>
      <w:r w:rsidRPr="00941468">
        <w:rPr>
          <w:rFonts w:ascii="Times New Roman" w:hAnsi="Times New Roman" w:cs="Times New Roman"/>
          <w:sz w:val="24"/>
          <w:szCs w:val="24"/>
        </w:rPr>
        <w:t>) was recorded under T₆, followed by T₅ (10</w:t>
      </w:r>
      <w:r w:rsidR="0069279B" w:rsidRPr="00941468">
        <w:rPr>
          <w:rFonts w:ascii="Times New Roman" w:hAnsi="Times New Roman" w:cs="Times New Roman"/>
          <w:sz w:val="24"/>
          <w:szCs w:val="24"/>
        </w:rPr>
        <w:t>.11</w:t>
      </w:r>
      <w:r w:rsidRPr="00941468">
        <w:rPr>
          <w:rFonts w:ascii="Times New Roman" w:hAnsi="Times New Roman" w:cs="Times New Roman"/>
          <w:sz w:val="24"/>
          <w:szCs w:val="24"/>
        </w:rPr>
        <w:t>), and T₄ (9</w:t>
      </w:r>
      <w:r w:rsidR="0069279B" w:rsidRPr="00941468">
        <w:rPr>
          <w:rFonts w:ascii="Times New Roman" w:hAnsi="Times New Roman" w:cs="Times New Roman"/>
          <w:sz w:val="24"/>
          <w:szCs w:val="24"/>
        </w:rPr>
        <w:t>.01</w:t>
      </w:r>
      <w:r w:rsidRPr="00941468">
        <w:rPr>
          <w:rFonts w:ascii="Times New Roman" w:hAnsi="Times New Roman" w:cs="Times New Roman"/>
          <w:sz w:val="24"/>
          <w:szCs w:val="24"/>
        </w:rPr>
        <w:t>). The lowest number of leaves (6</w:t>
      </w:r>
      <w:r w:rsidR="00CB716D" w:rsidRPr="00941468">
        <w:rPr>
          <w:rFonts w:ascii="Times New Roman" w:hAnsi="Times New Roman" w:cs="Times New Roman"/>
          <w:sz w:val="24"/>
          <w:szCs w:val="24"/>
        </w:rPr>
        <w:t>.15</w:t>
      </w:r>
      <w:r w:rsidRPr="00941468">
        <w:rPr>
          <w:rFonts w:ascii="Times New Roman" w:hAnsi="Times New Roman" w:cs="Times New Roman"/>
          <w:sz w:val="24"/>
          <w:szCs w:val="24"/>
        </w:rPr>
        <w:t>) was</w:t>
      </w:r>
      <w:r w:rsidR="00A64662" w:rsidRPr="00941468">
        <w:rPr>
          <w:rFonts w:ascii="Times New Roman" w:hAnsi="Times New Roman" w:cs="Times New Roman"/>
          <w:sz w:val="24"/>
          <w:szCs w:val="24"/>
        </w:rPr>
        <w:t xml:space="preserve"> observed in the untreated </w:t>
      </w:r>
      <w:proofErr w:type="spellStart"/>
      <w:r w:rsidR="00A64662" w:rsidRPr="00941468">
        <w:rPr>
          <w:rFonts w:ascii="Times New Roman" w:hAnsi="Times New Roman" w:cs="Times New Roman"/>
          <w:sz w:val="24"/>
          <w:szCs w:val="24"/>
        </w:rPr>
        <w:t>con</w:t>
      </w:r>
      <w:r w:rsidRPr="00941468">
        <w:rPr>
          <w:rFonts w:ascii="Times New Roman" w:hAnsi="Times New Roman" w:cs="Times New Roman"/>
          <w:sz w:val="24"/>
          <w:szCs w:val="24"/>
        </w:rPr>
        <w:t>ol</w:t>
      </w:r>
      <w:proofErr w:type="spellEnd"/>
      <w:r w:rsidRPr="00941468">
        <w:rPr>
          <w:rFonts w:ascii="Times New Roman" w:hAnsi="Times New Roman" w:cs="Times New Roman"/>
          <w:sz w:val="24"/>
          <w:szCs w:val="24"/>
        </w:rPr>
        <w:t xml:space="preserve"> (T₀).</w:t>
      </w:r>
      <w:r w:rsidR="001101C5" w:rsidRPr="00941468">
        <w:rPr>
          <w:rStyle w:val="Hyperlink"/>
          <w:color w:val="auto"/>
          <w:u w:val="none"/>
        </w:rPr>
        <w:t xml:space="preserve"> </w:t>
      </w:r>
      <w:r w:rsidR="001101C5" w:rsidRPr="00941468">
        <w:rPr>
          <w:rStyle w:val="Hyperlink"/>
          <w:b/>
          <w:color w:val="auto"/>
          <w:u w:val="none"/>
        </w:rPr>
        <w:t>S</w:t>
      </w:r>
      <w:r w:rsidR="001101C5" w:rsidRPr="00941468">
        <w:rPr>
          <w:rStyle w:val="Strong"/>
          <w:b w:val="0"/>
        </w:rPr>
        <w:t>imilar observation was reported by</w:t>
      </w:r>
      <w:r w:rsidR="001101C5" w:rsidRPr="00941468">
        <w:t xml:space="preserve"> </w:t>
      </w:r>
      <w:r w:rsidR="001101C5" w:rsidRPr="00941468">
        <w:rPr>
          <w:vertAlign w:val="superscript"/>
        </w:rPr>
        <w:t>[10,11,14]</w:t>
      </w:r>
      <w:r w:rsidR="001101C5" w:rsidRPr="00941468">
        <w:t xml:space="preserve"> validating the present findings on leaf area enhancement.</w:t>
      </w:r>
    </w:p>
    <w:p w14:paraId="5F591EAE" w14:textId="77777777" w:rsidR="001463C3" w:rsidRPr="00941468" w:rsidRDefault="001242EC" w:rsidP="001463C3">
      <w:pPr>
        <w:spacing w:after="0"/>
        <w:jc w:val="both"/>
        <w:rPr>
          <w:rStyle w:val="Strong"/>
          <w:rFonts w:ascii="Times New Roman" w:hAnsi="Times New Roman" w:cs="Times New Roman"/>
          <w:bCs w:val="0"/>
          <w:sz w:val="24"/>
          <w:szCs w:val="24"/>
        </w:rPr>
      </w:pPr>
      <w:r w:rsidRPr="00941468">
        <w:rPr>
          <w:rStyle w:val="Strong"/>
          <w:rFonts w:ascii="Times New Roman" w:hAnsi="Times New Roman" w:cs="Times New Roman"/>
          <w:bCs w:val="0"/>
          <w:sz w:val="24"/>
          <w:szCs w:val="24"/>
        </w:rPr>
        <w:t>3. Leaf Length (cm)</w:t>
      </w:r>
    </w:p>
    <w:p w14:paraId="78FAE644" w14:textId="77777777" w:rsidR="001463C3" w:rsidRPr="00941468" w:rsidRDefault="001242EC" w:rsidP="001463C3">
      <w:pPr>
        <w:spacing w:after="0"/>
        <w:jc w:val="both"/>
        <w:rPr>
          <w:rFonts w:ascii="Times New Roman" w:hAnsi="Times New Roman" w:cs="Times New Roman"/>
          <w:sz w:val="24"/>
          <w:szCs w:val="24"/>
        </w:rPr>
      </w:pPr>
      <w:r w:rsidRPr="00941468">
        <w:rPr>
          <w:rFonts w:ascii="Times New Roman" w:hAnsi="Times New Roman" w:cs="Times New Roman"/>
          <w:sz w:val="24"/>
          <w:szCs w:val="24"/>
        </w:rPr>
        <w:t>Leaf length was significantly enhanced by the application of CPPU and seaweed extract. The longest leaves (10.5</w:t>
      </w:r>
      <w:r w:rsidR="00A64662" w:rsidRPr="00941468">
        <w:rPr>
          <w:rFonts w:ascii="Times New Roman" w:hAnsi="Times New Roman" w:cs="Times New Roman"/>
          <w:sz w:val="24"/>
          <w:szCs w:val="24"/>
        </w:rPr>
        <w:t>7</w:t>
      </w:r>
      <w:r w:rsidRPr="00941468">
        <w:rPr>
          <w:rFonts w:ascii="Times New Roman" w:hAnsi="Times New Roman" w:cs="Times New Roman"/>
          <w:sz w:val="24"/>
          <w:szCs w:val="24"/>
        </w:rPr>
        <w:t xml:space="preserve"> cm) were observed in T₆, followed by T₅ (10.0</w:t>
      </w:r>
      <w:r w:rsidR="00A64662" w:rsidRPr="00941468">
        <w:rPr>
          <w:rFonts w:ascii="Times New Roman" w:hAnsi="Times New Roman" w:cs="Times New Roman"/>
          <w:sz w:val="24"/>
          <w:szCs w:val="24"/>
        </w:rPr>
        <w:t>4 cm) and T₄ (9.52</w:t>
      </w:r>
      <w:r w:rsidRPr="00941468">
        <w:rPr>
          <w:rFonts w:ascii="Times New Roman" w:hAnsi="Times New Roman" w:cs="Times New Roman"/>
          <w:sz w:val="24"/>
          <w:szCs w:val="24"/>
        </w:rPr>
        <w:t xml:space="preserve"> cm). The shortest leaves (7.8</w:t>
      </w:r>
      <w:r w:rsidR="00A64662" w:rsidRPr="00941468">
        <w:rPr>
          <w:rFonts w:ascii="Times New Roman" w:hAnsi="Times New Roman" w:cs="Times New Roman"/>
          <w:sz w:val="24"/>
          <w:szCs w:val="24"/>
        </w:rPr>
        <w:t>1</w:t>
      </w:r>
      <w:r w:rsidRPr="00941468">
        <w:rPr>
          <w:rFonts w:ascii="Times New Roman" w:hAnsi="Times New Roman" w:cs="Times New Roman"/>
          <w:sz w:val="24"/>
          <w:szCs w:val="24"/>
        </w:rPr>
        <w:t xml:space="preserve"> cm) were recorded in the control treatment (T₀).</w:t>
      </w:r>
      <w:r w:rsidR="00F22216" w:rsidRPr="00941468">
        <w:rPr>
          <w:rFonts w:ascii="Times New Roman" w:hAnsi="Times New Roman" w:cs="Times New Roman"/>
          <w:sz w:val="24"/>
          <w:szCs w:val="24"/>
        </w:rPr>
        <w:t xml:space="preserve"> </w:t>
      </w:r>
      <w:r w:rsidR="00F22216" w:rsidRPr="00941468">
        <w:t>These results are in agreement with the findings of</w:t>
      </w:r>
      <w:r w:rsidR="005C0AE9" w:rsidRPr="00941468">
        <w:t xml:space="preserve"> </w:t>
      </w:r>
      <w:r w:rsidR="00F22216" w:rsidRPr="00941468">
        <w:rPr>
          <w:vertAlign w:val="superscript"/>
        </w:rPr>
        <w:t xml:space="preserve">[13,14,15] </w:t>
      </w:r>
      <w:r w:rsidR="00F22216" w:rsidRPr="00941468">
        <w:t>who also recorded improved leaf length under similar treatments.</w:t>
      </w:r>
    </w:p>
    <w:p w14:paraId="4C60BA2F" w14:textId="77777777" w:rsidR="001463C3" w:rsidRPr="00941468" w:rsidRDefault="001242EC" w:rsidP="001463C3">
      <w:pPr>
        <w:spacing w:after="0"/>
        <w:jc w:val="both"/>
        <w:rPr>
          <w:rStyle w:val="Strong"/>
          <w:rFonts w:ascii="Times New Roman" w:hAnsi="Times New Roman" w:cs="Times New Roman"/>
          <w:bCs w:val="0"/>
          <w:sz w:val="24"/>
          <w:szCs w:val="24"/>
        </w:rPr>
      </w:pPr>
      <w:r w:rsidRPr="00941468">
        <w:rPr>
          <w:rStyle w:val="Strong"/>
          <w:rFonts w:ascii="Times New Roman" w:hAnsi="Times New Roman" w:cs="Times New Roman"/>
          <w:bCs w:val="0"/>
          <w:sz w:val="24"/>
          <w:szCs w:val="24"/>
        </w:rPr>
        <w:t>4. Leaf Breadth (cm)</w:t>
      </w:r>
    </w:p>
    <w:p w14:paraId="35D3841A" w14:textId="77777777" w:rsidR="001463C3" w:rsidRPr="00941468" w:rsidRDefault="001242EC" w:rsidP="001463C3">
      <w:pPr>
        <w:spacing w:after="0"/>
        <w:jc w:val="both"/>
        <w:rPr>
          <w:rFonts w:ascii="Times New Roman" w:hAnsi="Times New Roman" w:cs="Times New Roman"/>
          <w:sz w:val="24"/>
          <w:szCs w:val="24"/>
        </w:rPr>
      </w:pPr>
      <w:r w:rsidRPr="00941468">
        <w:rPr>
          <w:rFonts w:ascii="Times New Roman" w:hAnsi="Times New Roman" w:cs="Times New Roman"/>
          <w:sz w:val="24"/>
          <w:szCs w:val="24"/>
        </w:rPr>
        <w:t>The leaf breadth was found to be maximum in T₆ (5.6</w:t>
      </w:r>
      <w:r w:rsidR="009F1532" w:rsidRPr="00941468">
        <w:rPr>
          <w:rFonts w:ascii="Times New Roman" w:hAnsi="Times New Roman" w:cs="Times New Roman"/>
          <w:sz w:val="24"/>
          <w:szCs w:val="24"/>
        </w:rPr>
        <w:t>1</w:t>
      </w:r>
      <w:r w:rsidRPr="00941468">
        <w:rPr>
          <w:rFonts w:ascii="Times New Roman" w:hAnsi="Times New Roman" w:cs="Times New Roman"/>
          <w:sz w:val="24"/>
          <w:szCs w:val="24"/>
        </w:rPr>
        <w:t xml:space="preserve"> cm), followed by T₅ (5.4</w:t>
      </w:r>
      <w:r w:rsidR="009F1532" w:rsidRPr="00941468">
        <w:rPr>
          <w:rFonts w:ascii="Times New Roman" w:hAnsi="Times New Roman" w:cs="Times New Roman"/>
          <w:sz w:val="24"/>
          <w:szCs w:val="24"/>
        </w:rPr>
        <w:t>5</w:t>
      </w:r>
      <w:r w:rsidRPr="00941468">
        <w:rPr>
          <w:rFonts w:ascii="Times New Roman" w:hAnsi="Times New Roman" w:cs="Times New Roman"/>
          <w:sz w:val="24"/>
          <w:szCs w:val="24"/>
        </w:rPr>
        <w:t xml:space="preserve"> cm) and T₄ (5.3</w:t>
      </w:r>
      <w:r w:rsidR="009F1532" w:rsidRPr="00941468">
        <w:rPr>
          <w:rFonts w:ascii="Times New Roman" w:hAnsi="Times New Roman" w:cs="Times New Roman"/>
          <w:sz w:val="24"/>
          <w:szCs w:val="24"/>
        </w:rPr>
        <w:t>2</w:t>
      </w:r>
      <w:r w:rsidRPr="00941468">
        <w:rPr>
          <w:rFonts w:ascii="Times New Roman" w:hAnsi="Times New Roman" w:cs="Times New Roman"/>
          <w:sz w:val="24"/>
          <w:szCs w:val="24"/>
        </w:rPr>
        <w:t xml:space="preserve"> cm). The minimum leaf breadth (4.2</w:t>
      </w:r>
      <w:r w:rsidR="009F1532" w:rsidRPr="00941468">
        <w:rPr>
          <w:rFonts w:ascii="Times New Roman" w:hAnsi="Times New Roman" w:cs="Times New Roman"/>
          <w:sz w:val="24"/>
          <w:szCs w:val="24"/>
        </w:rPr>
        <w:t>0</w:t>
      </w:r>
      <w:r w:rsidRPr="00941468">
        <w:rPr>
          <w:rFonts w:ascii="Times New Roman" w:hAnsi="Times New Roman" w:cs="Times New Roman"/>
          <w:sz w:val="24"/>
          <w:szCs w:val="24"/>
        </w:rPr>
        <w:t xml:space="preserve"> cm) was observed in the control treatment (T₀), indicating the least performance without any growth stimulant.</w:t>
      </w:r>
      <w:r w:rsidR="00CD53CE" w:rsidRPr="00941468">
        <w:t xml:space="preserve"> These results are in agreement with the findings </w:t>
      </w:r>
      <w:proofErr w:type="gramStart"/>
      <w:r w:rsidR="00CD53CE" w:rsidRPr="00941468">
        <w:t xml:space="preserve">of  </w:t>
      </w:r>
      <w:r w:rsidR="00CD53CE" w:rsidRPr="00941468">
        <w:rPr>
          <w:vertAlign w:val="superscript"/>
        </w:rPr>
        <w:t>[</w:t>
      </w:r>
      <w:proofErr w:type="gramEnd"/>
      <w:r w:rsidR="00CD53CE" w:rsidRPr="00941468">
        <w:rPr>
          <w:vertAlign w:val="superscript"/>
        </w:rPr>
        <w:t xml:space="preserve">11,14,15] </w:t>
      </w:r>
      <w:r w:rsidR="00CD53CE" w:rsidRPr="00941468">
        <w:t>who also recorded improved leaf length under similar treatments.</w:t>
      </w:r>
    </w:p>
    <w:p w14:paraId="0E7FA9EC" w14:textId="77777777" w:rsidR="001463C3" w:rsidRPr="00941468" w:rsidRDefault="001242EC" w:rsidP="001463C3">
      <w:pPr>
        <w:spacing w:after="0"/>
        <w:jc w:val="both"/>
        <w:rPr>
          <w:rStyle w:val="Strong"/>
          <w:rFonts w:ascii="Times New Roman" w:hAnsi="Times New Roman" w:cs="Times New Roman"/>
          <w:bCs w:val="0"/>
          <w:sz w:val="24"/>
          <w:szCs w:val="24"/>
        </w:rPr>
      </w:pPr>
      <w:r w:rsidRPr="00941468">
        <w:rPr>
          <w:rStyle w:val="Strong"/>
          <w:rFonts w:ascii="Times New Roman" w:hAnsi="Times New Roman" w:cs="Times New Roman"/>
          <w:bCs w:val="0"/>
          <w:sz w:val="24"/>
          <w:szCs w:val="24"/>
        </w:rPr>
        <w:t>5. Leaf Area (cm²)</w:t>
      </w:r>
    </w:p>
    <w:p w14:paraId="52A6795B" w14:textId="77777777" w:rsidR="001463C3" w:rsidRPr="00941468" w:rsidRDefault="001242EC" w:rsidP="001463C3">
      <w:pPr>
        <w:spacing w:after="0"/>
        <w:jc w:val="both"/>
        <w:rPr>
          <w:rFonts w:ascii="Times New Roman" w:hAnsi="Times New Roman" w:cs="Times New Roman"/>
          <w:sz w:val="24"/>
          <w:szCs w:val="24"/>
        </w:rPr>
      </w:pPr>
      <w:r w:rsidRPr="00941468">
        <w:rPr>
          <w:rFonts w:ascii="Times New Roman" w:hAnsi="Times New Roman" w:cs="Times New Roman"/>
          <w:sz w:val="24"/>
          <w:szCs w:val="24"/>
        </w:rPr>
        <w:t>The combined application of CPPU and seaweed extract significantly increased the leaf a</w:t>
      </w:r>
      <w:r w:rsidR="003813F6" w:rsidRPr="00941468">
        <w:rPr>
          <w:rFonts w:ascii="Times New Roman" w:hAnsi="Times New Roman" w:cs="Times New Roman"/>
          <w:sz w:val="24"/>
          <w:szCs w:val="24"/>
        </w:rPr>
        <w:t>rea. The largest leaf area (59.29</w:t>
      </w:r>
      <w:r w:rsidRPr="00941468">
        <w:rPr>
          <w:rFonts w:ascii="Times New Roman" w:hAnsi="Times New Roman" w:cs="Times New Roman"/>
          <w:sz w:val="24"/>
          <w:szCs w:val="24"/>
        </w:rPr>
        <w:t xml:space="preserve"> cm²) was ob</w:t>
      </w:r>
      <w:r w:rsidR="003813F6" w:rsidRPr="00941468">
        <w:rPr>
          <w:rFonts w:ascii="Times New Roman" w:hAnsi="Times New Roman" w:cs="Times New Roman"/>
          <w:sz w:val="24"/>
          <w:szCs w:val="24"/>
        </w:rPr>
        <w:t>served in T₆, followed by T₅ (54.71 cm²) and T₄ (</w:t>
      </w:r>
      <w:r w:rsidRPr="00941468">
        <w:rPr>
          <w:rFonts w:ascii="Times New Roman" w:hAnsi="Times New Roman" w:cs="Times New Roman"/>
          <w:sz w:val="24"/>
          <w:szCs w:val="24"/>
        </w:rPr>
        <w:t>5</w:t>
      </w:r>
      <w:r w:rsidR="003813F6" w:rsidRPr="00941468">
        <w:rPr>
          <w:rFonts w:ascii="Times New Roman" w:hAnsi="Times New Roman" w:cs="Times New Roman"/>
          <w:sz w:val="24"/>
          <w:szCs w:val="24"/>
        </w:rPr>
        <w:t>0.64</w:t>
      </w:r>
      <w:r w:rsidRPr="00941468">
        <w:rPr>
          <w:rFonts w:ascii="Times New Roman" w:hAnsi="Times New Roman" w:cs="Times New Roman"/>
          <w:sz w:val="24"/>
          <w:szCs w:val="24"/>
        </w:rPr>
        <w:t xml:space="preserve"> </w:t>
      </w:r>
      <w:r w:rsidR="003813F6" w:rsidRPr="00941468">
        <w:rPr>
          <w:rFonts w:ascii="Times New Roman" w:hAnsi="Times New Roman" w:cs="Times New Roman"/>
          <w:sz w:val="24"/>
          <w:szCs w:val="24"/>
        </w:rPr>
        <w:t>cm²). The smallest leaf area (32.80</w:t>
      </w:r>
      <w:r w:rsidRPr="00941468">
        <w:rPr>
          <w:rFonts w:ascii="Times New Roman" w:hAnsi="Times New Roman" w:cs="Times New Roman"/>
          <w:sz w:val="24"/>
          <w:szCs w:val="24"/>
        </w:rPr>
        <w:t xml:space="preserve"> cm²) was recorded in the control treatment (T₀).</w:t>
      </w:r>
      <w:r w:rsidR="00CD53CE" w:rsidRPr="00941468">
        <w:rPr>
          <w:rStyle w:val="Hyperlink"/>
          <w:color w:val="auto"/>
          <w:u w:val="none"/>
        </w:rPr>
        <w:t xml:space="preserve"> </w:t>
      </w:r>
      <w:r w:rsidR="00CD53CE" w:rsidRPr="00941468">
        <w:rPr>
          <w:rStyle w:val="Strong"/>
          <w:b w:val="0"/>
        </w:rPr>
        <w:t>Comparable findings were observed by</w:t>
      </w:r>
      <w:r w:rsidR="00CD53CE" w:rsidRPr="00941468">
        <w:t xml:space="preserve"> </w:t>
      </w:r>
      <w:r w:rsidR="00CD53CE" w:rsidRPr="00941468">
        <w:rPr>
          <w:vertAlign w:val="superscript"/>
        </w:rPr>
        <w:t xml:space="preserve">[8,10,11], </w:t>
      </w:r>
      <w:r w:rsidR="00CD53CE" w:rsidRPr="00941468">
        <w:t>supporting the current study’s outcomes on leaf area for Syngonium.</w:t>
      </w:r>
    </w:p>
    <w:p w14:paraId="578A81DB" w14:textId="77777777" w:rsidR="001242EC" w:rsidRPr="00941468" w:rsidRDefault="001242EC" w:rsidP="001463C3">
      <w:pPr>
        <w:spacing w:after="0"/>
        <w:jc w:val="both"/>
        <w:rPr>
          <w:rFonts w:ascii="Times New Roman" w:eastAsia="Times New Roman" w:hAnsi="Times New Roman" w:cs="Times New Roman"/>
          <w:bCs/>
          <w:sz w:val="24"/>
          <w:szCs w:val="24"/>
        </w:rPr>
      </w:pPr>
      <w:r w:rsidRPr="00941468">
        <w:rPr>
          <w:rStyle w:val="Strong"/>
          <w:rFonts w:ascii="Times New Roman" w:hAnsi="Times New Roman" w:cs="Times New Roman"/>
          <w:bCs w:val="0"/>
          <w:sz w:val="24"/>
          <w:szCs w:val="24"/>
        </w:rPr>
        <w:t>6. Foliage Fresh Weight (g)</w:t>
      </w:r>
    </w:p>
    <w:p w14:paraId="77A49AAD" w14:textId="77777777" w:rsidR="00D53C66" w:rsidRPr="00941468" w:rsidRDefault="001242EC" w:rsidP="00C809AE">
      <w:pPr>
        <w:pStyle w:val="NormalWeb"/>
        <w:spacing w:before="0" w:beforeAutospacing="0" w:after="0" w:afterAutospacing="0"/>
        <w:jc w:val="both"/>
      </w:pPr>
      <w:r w:rsidRPr="00941468">
        <w:t>Foliage fresh weight was significantly influenced by the treatments. The highest fresh weight (36.4</w:t>
      </w:r>
      <w:r w:rsidR="00493263" w:rsidRPr="00941468">
        <w:t>2</w:t>
      </w:r>
      <w:r w:rsidRPr="00941468">
        <w:t xml:space="preserve"> g) was recorded in T₆, followed by T₅ (33.5</w:t>
      </w:r>
      <w:r w:rsidR="00493263" w:rsidRPr="00941468">
        <w:t>4</w:t>
      </w:r>
      <w:r w:rsidRPr="00941468">
        <w:t xml:space="preserve"> g) and T₄ (31.0</w:t>
      </w:r>
      <w:r w:rsidR="00493263" w:rsidRPr="00941468">
        <w:t>7</w:t>
      </w:r>
      <w:r w:rsidRPr="00941468">
        <w:t xml:space="preserve"> g). The lowest fresh weight (23.5</w:t>
      </w:r>
      <w:r w:rsidR="00493263" w:rsidRPr="00941468">
        <w:t>2</w:t>
      </w:r>
      <w:r w:rsidRPr="00941468">
        <w:t xml:space="preserve"> g) was recorded in the control treatment (T₀).</w:t>
      </w:r>
      <w:r w:rsidR="00D53C66" w:rsidRPr="00941468">
        <w:t xml:space="preserve"> Similar observations were reported by </w:t>
      </w:r>
      <w:r w:rsidR="00D53C66" w:rsidRPr="00941468">
        <w:rPr>
          <w:vertAlign w:val="superscript"/>
        </w:rPr>
        <w:t>[6,9,10],</w:t>
      </w:r>
      <w:r w:rsidR="00D53C66" w:rsidRPr="00941468">
        <w:t xml:space="preserve"> who found a significant increase in foliage fresh weight under foliar application of growth regulators.</w:t>
      </w:r>
    </w:p>
    <w:p w14:paraId="00CEE32D" w14:textId="77777777" w:rsidR="001463C3" w:rsidRPr="00941468" w:rsidRDefault="001242EC" w:rsidP="00C809AE">
      <w:pPr>
        <w:pStyle w:val="NormalWeb"/>
        <w:spacing w:before="0" w:beforeAutospacing="0" w:after="0" w:afterAutospacing="0"/>
        <w:jc w:val="both"/>
      </w:pPr>
      <w:r w:rsidRPr="00941468">
        <w:rPr>
          <w:rStyle w:val="Strong"/>
          <w:rFonts w:eastAsiaTheme="majorEastAsia"/>
          <w:bCs w:val="0"/>
        </w:rPr>
        <w:t>7. Foliage Dry Weight (g)</w:t>
      </w:r>
    </w:p>
    <w:p w14:paraId="1BEDE06F" w14:textId="77777777" w:rsidR="00D53C66" w:rsidRDefault="001242EC" w:rsidP="00C809AE">
      <w:pPr>
        <w:pStyle w:val="NormalWeb"/>
        <w:spacing w:before="0" w:beforeAutospacing="0" w:after="0" w:afterAutospacing="0"/>
        <w:jc w:val="both"/>
      </w:pPr>
      <w:r w:rsidRPr="00941468">
        <w:t>The maximum dry weight of foliage (8.5</w:t>
      </w:r>
      <w:r w:rsidR="0026225E" w:rsidRPr="00941468">
        <w:t>1</w:t>
      </w:r>
      <w:r w:rsidRPr="00941468">
        <w:t xml:space="preserve"> g) was obtained under T₆, followed by T₅ (7.9</w:t>
      </w:r>
      <w:r w:rsidR="0026225E" w:rsidRPr="00941468">
        <w:t>3</w:t>
      </w:r>
      <w:r w:rsidRPr="00941468">
        <w:t xml:space="preserve"> g) and T₄ (7.2</w:t>
      </w:r>
      <w:r w:rsidR="0026225E" w:rsidRPr="00941468">
        <w:t>6</w:t>
      </w:r>
      <w:r w:rsidRPr="00941468">
        <w:t xml:space="preserve"> g). The control treatment (T₀) showed the lowest dry weight of </w:t>
      </w:r>
      <w:r w:rsidR="0026225E" w:rsidRPr="00941468">
        <w:t>(</w:t>
      </w:r>
      <w:r w:rsidRPr="00941468">
        <w:t>5.1</w:t>
      </w:r>
      <w:r w:rsidR="0026225E" w:rsidRPr="00941468">
        <w:t>0</w:t>
      </w:r>
      <w:r w:rsidRPr="00941468">
        <w:t xml:space="preserve"> g</w:t>
      </w:r>
      <w:r w:rsidR="0026225E" w:rsidRPr="00941468">
        <w:t>)</w:t>
      </w:r>
      <w:r w:rsidRPr="00941468">
        <w:t>, indicating significantly lower biomass accumulation in the absence of treatment.</w:t>
      </w:r>
      <w:r w:rsidR="00681BF6" w:rsidRPr="00941468">
        <w:t xml:space="preserve"> </w:t>
      </w:r>
      <w:r w:rsidR="00D53C66" w:rsidRPr="00941468">
        <w:t xml:space="preserve">Comparable results were documented by </w:t>
      </w:r>
      <w:r w:rsidR="00D53C66" w:rsidRPr="00941468">
        <w:rPr>
          <w:vertAlign w:val="superscript"/>
        </w:rPr>
        <w:t>[11,12],</w:t>
      </w:r>
      <w:r w:rsidR="00D53C66" w:rsidRPr="00941468">
        <w:t xml:space="preserve"> indicating enhanced foliage dry weight with nutrient supplementation.</w:t>
      </w:r>
    </w:p>
    <w:p w14:paraId="0FC7C6D0" w14:textId="77777777" w:rsidR="00941468" w:rsidRPr="00941468" w:rsidRDefault="00941468" w:rsidP="00941468">
      <w:pPr>
        <w:spacing w:after="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Rooting</w:t>
      </w:r>
      <w:r w:rsidRPr="00941468">
        <w:rPr>
          <w:rFonts w:ascii="Times New Roman" w:eastAsia="Times New Roman" w:hAnsi="Times New Roman" w:cs="Times New Roman"/>
          <w:b/>
          <w:bCs/>
          <w:sz w:val="24"/>
          <w:szCs w:val="24"/>
          <w:u w:val="single"/>
        </w:rPr>
        <w:t xml:space="preserve"> characters</w:t>
      </w:r>
    </w:p>
    <w:p w14:paraId="7E22D949" w14:textId="77777777" w:rsidR="001463C3" w:rsidRPr="00941468" w:rsidRDefault="001463C3" w:rsidP="00C809AE">
      <w:pPr>
        <w:pStyle w:val="NormalWeb"/>
        <w:spacing w:before="0" w:beforeAutospacing="0" w:after="0" w:afterAutospacing="0"/>
        <w:jc w:val="both"/>
      </w:pPr>
      <w:r w:rsidRPr="00941468">
        <w:rPr>
          <w:rStyle w:val="Strong"/>
          <w:bCs w:val="0"/>
        </w:rPr>
        <w:t xml:space="preserve">8. </w:t>
      </w:r>
      <w:r w:rsidR="00A23DF9" w:rsidRPr="00941468">
        <w:rPr>
          <w:rStyle w:val="Strong"/>
          <w:rFonts w:eastAsiaTheme="majorEastAsia"/>
          <w:bCs w:val="0"/>
        </w:rPr>
        <w:t xml:space="preserve"> Root Length (cm)</w:t>
      </w:r>
    </w:p>
    <w:p w14:paraId="19F6C52A" w14:textId="77777777" w:rsidR="00681BF6" w:rsidRPr="00941468" w:rsidRDefault="00A23DF9" w:rsidP="00C809AE">
      <w:pPr>
        <w:pStyle w:val="NormalWeb"/>
        <w:spacing w:before="0" w:beforeAutospacing="0" w:after="0" w:afterAutospacing="0"/>
        <w:jc w:val="both"/>
        <w:rPr>
          <w:b/>
        </w:rPr>
      </w:pPr>
      <w:r w:rsidRPr="00941468">
        <w:t>The longest root length (9.0</w:t>
      </w:r>
      <w:r w:rsidR="004E1FAA" w:rsidRPr="00941468">
        <w:t>7</w:t>
      </w:r>
      <w:r w:rsidRPr="00941468">
        <w:t xml:space="preserve"> cm) was observed in </w:t>
      </w:r>
      <w:r w:rsidRPr="00941468">
        <w:rPr>
          <w:rStyle w:val="Strong"/>
          <w:rFonts w:eastAsiaTheme="majorEastAsia"/>
          <w:b w:val="0"/>
        </w:rPr>
        <w:t>T</w:t>
      </w:r>
      <w:r w:rsidRPr="00941468">
        <w:rPr>
          <w:rStyle w:val="Strong"/>
          <w:rFonts w:eastAsiaTheme="majorEastAsia"/>
          <w:b w:val="0"/>
          <w:vertAlign w:val="subscript"/>
        </w:rPr>
        <w:t>6</w:t>
      </w:r>
      <w:r w:rsidRPr="00941468">
        <w:rPr>
          <w:rStyle w:val="Strong"/>
          <w:rFonts w:eastAsiaTheme="majorEastAsia"/>
          <w:b w:val="0"/>
        </w:rPr>
        <w:t xml:space="preserve"> (CPPU 2 ppm + Seaweed Extract 10 ml/L)</w:t>
      </w:r>
      <w:r w:rsidRPr="00941468">
        <w:rPr>
          <w:b/>
        </w:rPr>
        <w:t xml:space="preserve">, </w:t>
      </w:r>
      <w:r w:rsidRPr="00941468">
        <w:t>followed by</w:t>
      </w:r>
      <w:r w:rsidRPr="00941468">
        <w:rPr>
          <w:b/>
        </w:rPr>
        <w:t xml:space="preserve"> </w:t>
      </w:r>
      <w:r w:rsidRPr="00941468">
        <w:rPr>
          <w:rStyle w:val="Strong"/>
          <w:rFonts w:eastAsiaTheme="majorEastAsia"/>
          <w:b w:val="0"/>
        </w:rPr>
        <w:t>T</w:t>
      </w:r>
      <w:r w:rsidRPr="00941468">
        <w:rPr>
          <w:rStyle w:val="Strong"/>
          <w:rFonts w:eastAsiaTheme="majorEastAsia"/>
          <w:b w:val="0"/>
          <w:vertAlign w:val="subscript"/>
        </w:rPr>
        <w:t>5</w:t>
      </w:r>
      <w:r w:rsidRPr="00941468">
        <w:rPr>
          <w:rStyle w:val="Strong"/>
          <w:rFonts w:eastAsiaTheme="majorEastAsia"/>
          <w:b w:val="0"/>
        </w:rPr>
        <w:t xml:space="preserve"> (CPPU 1 ppm + Seaweed Extract 5 ml/L)</w:t>
      </w:r>
      <w:r w:rsidRPr="00941468">
        <w:rPr>
          <w:b/>
        </w:rPr>
        <w:t xml:space="preserve"> </w:t>
      </w:r>
      <w:r w:rsidRPr="00941468">
        <w:t>with 8.1</w:t>
      </w:r>
      <w:r w:rsidR="004E1FAA" w:rsidRPr="00941468">
        <w:t>7</w:t>
      </w:r>
      <w:r w:rsidRPr="00941468">
        <w:t xml:space="preserve"> cm, and</w:t>
      </w:r>
      <w:r w:rsidRPr="00941468">
        <w:rPr>
          <w:b/>
        </w:rPr>
        <w:t xml:space="preserve"> </w:t>
      </w:r>
      <w:r w:rsidRPr="00941468">
        <w:rPr>
          <w:rStyle w:val="Strong"/>
          <w:rFonts w:eastAsiaTheme="majorEastAsia"/>
          <w:b w:val="0"/>
        </w:rPr>
        <w:t>T</w:t>
      </w:r>
      <w:r w:rsidRPr="00941468">
        <w:rPr>
          <w:rStyle w:val="Strong"/>
          <w:rFonts w:eastAsiaTheme="majorEastAsia"/>
          <w:b w:val="0"/>
          <w:vertAlign w:val="subscript"/>
        </w:rPr>
        <w:t>4</w:t>
      </w:r>
      <w:r w:rsidRPr="00941468">
        <w:rPr>
          <w:rStyle w:val="Strong"/>
          <w:rFonts w:eastAsiaTheme="majorEastAsia"/>
          <w:b w:val="0"/>
        </w:rPr>
        <w:t xml:space="preserve"> (Seaweed Extract 10 ml/L)</w:t>
      </w:r>
      <w:r w:rsidRPr="00941468">
        <w:t xml:space="preserve"> with 7.3</w:t>
      </w:r>
      <w:r w:rsidR="004E1FAA" w:rsidRPr="00941468">
        <w:t>3</w:t>
      </w:r>
      <w:r w:rsidRPr="00941468">
        <w:t xml:space="preserve"> cm. The shortest </w:t>
      </w:r>
      <w:proofErr w:type="spellStart"/>
      <w:r w:rsidRPr="00941468">
        <w:t>root</w:t>
      </w:r>
      <w:proofErr w:type="spellEnd"/>
      <w:r w:rsidRPr="00941468">
        <w:t xml:space="preserve"> length (5.2</w:t>
      </w:r>
      <w:r w:rsidR="004E1FAA" w:rsidRPr="00941468">
        <w:t>1</w:t>
      </w:r>
      <w:r w:rsidRPr="00941468">
        <w:t xml:space="preserve"> cm) was recorded in </w:t>
      </w:r>
      <w:r w:rsidRPr="00941468">
        <w:rPr>
          <w:rStyle w:val="Strong"/>
          <w:rFonts w:eastAsiaTheme="majorEastAsia"/>
          <w:b w:val="0"/>
        </w:rPr>
        <w:t>T</w:t>
      </w:r>
      <w:r w:rsidRPr="00941468">
        <w:rPr>
          <w:rStyle w:val="Strong"/>
          <w:rFonts w:eastAsiaTheme="majorEastAsia"/>
          <w:b w:val="0"/>
          <w:vertAlign w:val="subscript"/>
        </w:rPr>
        <w:t>0</w:t>
      </w:r>
      <w:r w:rsidRPr="00941468">
        <w:rPr>
          <w:rStyle w:val="Strong"/>
          <w:rFonts w:eastAsiaTheme="majorEastAsia"/>
          <w:b w:val="0"/>
        </w:rPr>
        <w:t xml:space="preserve"> (Control)</w:t>
      </w:r>
      <w:r w:rsidRPr="00941468">
        <w:t>.</w:t>
      </w:r>
      <w:r w:rsidR="00681BF6" w:rsidRPr="00941468">
        <w:rPr>
          <w:b/>
        </w:rPr>
        <w:t xml:space="preserve"> </w:t>
      </w:r>
      <w:r w:rsidR="00681BF6" w:rsidRPr="00941468">
        <w:t xml:space="preserve">These findings align with the observations of </w:t>
      </w:r>
      <w:r w:rsidR="007554E7" w:rsidRPr="00941468">
        <w:rPr>
          <w:vertAlign w:val="superscript"/>
        </w:rPr>
        <w:t>[12,14]</w:t>
      </w:r>
      <w:r w:rsidR="00681BF6" w:rsidRPr="00941468">
        <w:rPr>
          <w:vertAlign w:val="superscript"/>
        </w:rPr>
        <w:t>,</w:t>
      </w:r>
      <w:r w:rsidR="00681BF6" w:rsidRPr="00941468">
        <w:t xml:space="preserve"> where increased root length was recorded following hormone treatment.</w:t>
      </w:r>
    </w:p>
    <w:p w14:paraId="2AF68CE3" w14:textId="77777777" w:rsidR="001463C3" w:rsidRPr="00941468" w:rsidRDefault="001463C3" w:rsidP="00C809AE">
      <w:pPr>
        <w:pStyle w:val="NormalWeb"/>
        <w:spacing w:before="0" w:beforeAutospacing="0" w:after="0" w:afterAutospacing="0"/>
        <w:jc w:val="both"/>
        <w:rPr>
          <w:b/>
        </w:rPr>
      </w:pPr>
      <w:r w:rsidRPr="00941468">
        <w:rPr>
          <w:b/>
        </w:rPr>
        <w:t xml:space="preserve">9. </w:t>
      </w:r>
      <w:r w:rsidR="00A23DF9" w:rsidRPr="00941468">
        <w:rPr>
          <w:rStyle w:val="Strong"/>
          <w:rFonts w:eastAsiaTheme="majorEastAsia"/>
          <w:b w:val="0"/>
          <w:bCs w:val="0"/>
        </w:rPr>
        <w:t xml:space="preserve"> </w:t>
      </w:r>
      <w:r w:rsidR="00DA3F6F" w:rsidRPr="00941468">
        <w:rPr>
          <w:rStyle w:val="Strong"/>
          <w:rFonts w:eastAsiaTheme="majorEastAsia"/>
          <w:bCs w:val="0"/>
        </w:rPr>
        <w:t>Number of roots per c</w:t>
      </w:r>
      <w:r w:rsidR="00A23DF9" w:rsidRPr="00941468">
        <w:rPr>
          <w:rStyle w:val="Strong"/>
          <w:rFonts w:eastAsiaTheme="majorEastAsia"/>
          <w:bCs w:val="0"/>
        </w:rPr>
        <w:t>utting</w:t>
      </w:r>
    </w:p>
    <w:p w14:paraId="4F87B5E2" w14:textId="77777777" w:rsidR="001463C3" w:rsidRPr="00941468" w:rsidRDefault="00A23DF9" w:rsidP="00C809AE">
      <w:pPr>
        <w:pStyle w:val="NormalWeb"/>
        <w:spacing w:before="0" w:beforeAutospacing="0" w:after="0" w:afterAutospacing="0"/>
        <w:jc w:val="both"/>
        <w:rPr>
          <w:b/>
        </w:rPr>
      </w:pPr>
      <w:r w:rsidRPr="00941468">
        <w:t>The maximum number of roots per cutting (16</w:t>
      </w:r>
      <w:r w:rsidR="002D6D22" w:rsidRPr="00941468">
        <w:t>.43</w:t>
      </w:r>
      <w:r w:rsidRPr="00941468">
        <w:t xml:space="preserve">) was recorded in </w:t>
      </w:r>
      <w:r w:rsidRPr="00941468">
        <w:rPr>
          <w:rStyle w:val="Strong"/>
          <w:rFonts w:eastAsiaTheme="majorEastAsia"/>
          <w:b w:val="0"/>
        </w:rPr>
        <w:t>T</w:t>
      </w:r>
      <w:r w:rsidRPr="00941468">
        <w:rPr>
          <w:rStyle w:val="Strong"/>
          <w:rFonts w:eastAsiaTheme="majorEastAsia"/>
          <w:b w:val="0"/>
          <w:vertAlign w:val="subscript"/>
        </w:rPr>
        <w:t>6</w:t>
      </w:r>
      <w:r w:rsidRPr="00941468">
        <w:rPr>
          <w:rStyle w:val="Strong"/>
          <w:rFonts w:eastAsiaTheme="majorEastAsia"/>
          <w:b w:val="0"/>
        </w:rPr>
        <w:t xml:space="preserve"> (CPPU 2 ppm + Seaweed Extract 10 ml/L)</w:t>
      </w:r>
      <w:r w:rsidRPr="00941468">
        <w:rPr>
          <w:b/>
        </w:rPr>
        <w:t>,</w:t>
      </w:r>
      <w:r w:rsidRPr="00941468">
        <w:t xml:space="preserve"> followed by </w:t>
      </w:r>
      <w:r w:rsidRPr="00941468">
        <w:rPr>
          <w:rStyle w:val="Strong"/>
          <w:rFonts w:eastAsiaTheme="majorEastAsia"/>
          <w:b w:val="0"/>
        </w:rPr>
        <w:t>T</w:t>
      </w:r>
      <w:r w:rsidRPr="00941468">
        <w:rPr>
          <w:rStyle w:val="Strong"/>
          <w:rFonts w:eastAsiaTheme="majorEastAsia"/>
          <w:b w:val="0"/>
          <w:vertAlign w:val="subscript"/>
        </w:rPr>
        <w:t>5</w:t>
      </w:r>
      <w:r w:rsidRPr="00941468">
        <w:rPr>
          <w:rStyle w:val="Strong"/>
          <w:rFonts w:eastAsiaTheme="majorEastAsia"/>
          <w:b w:val="0"/>
        </w:rPr>
        <w:t xml:space="preserve"> (CPPU 1 ppm + Seaweed Extract 5 ml/L)</w:t>
      </w:r>
      <w:r w:rsidRPr="00941468">
        <w:t xml:space="preserve"> with </w:t>
      </w:r>
      <w:r w:rsidR="002D6D22" w:rsidRPr="00941468">
        <w:t>(</w:t>
      </w:r>
      <w:r w:rsidRPr="00941468">
        <w:t>14</w:t>
      </w:r>
      <w:r w:rsidR="002D6D22" w:rsidRPr="00941468">
        <w:t>.31)</w:t>
      </w:r>
      <w:r w:rsidRPr="00941468">
        <w:t xml:space="preserve"> roots, and </w:t>
      </w:r>
      <w:r w:rsidRPr="00941468">
        <w:rPr>
          <w:rStyle w:val="Strong"/>
          <w:rFonts w:eastAsiaTheme="majorEastAsia"/>
          <w:b w:val="0"/>
        </w:rPr>
        <w:t>T</w:t>
      </w:r>
      <w:r w:rsidRPr="00941468">
        <w:rPr>
          <w:rStyle w:val="Strong"/>
          <w:rFonts w:eastAsiaTheme="majorEastAsia"/>
          <w:b w:val="0"/>
          <w:vertAlign w:val="subscript"/>
        </w:rPr>
        <w:t xml:space="preserve">4 </w:t>
      </w:r>
      <w:r w:rsidRPr="00941468">
        <w:rPr>
          <w:rStyle w:val="Strong"/>
          <w:rFonts w:eastAsiaTheme="majorEastAsia"/>
          <w:b w:val="0"/>
        </w:rPr>
        <w:t>(Seaweed Extract 10 ml/L)</w:t>
      </w:r>
      <w:r w:rsidRPr="00941468">
        <w:t xml:space="preserve"> with </w:t>
      </w:r>
      <w:r w:rsidR="002D6D22" w:rsidRPr="00941468">
        <w:t>(</w:t>
      </w:r>
      <w:r w:rsidRPr="00941468">
        <w:t>13</w:t>
      </w:r>
      <w:r w:rsidR="002D6D22" w:rsidRPr="00941468">
        <w:t>.14)</w:t>
      </w:r>
      <w:r w:rsidRPr="00941468">
        <w:t xml:space="preserve"> roots. The minimum number of roots (8</w:t>
      </w:r>
      <w:r w:rsidR="002D6D22" w:rsidRPr="00941468">
        <w:t>.05</w:t>
      </w:r>
      <w:r w:rsidRPr="00941468">
        <w:t xml:space="preserve">) was </w:t>
      </w:r>
      <w:r w:rsidRPr="00941468">
        <w:lastRenderedPageBreak/>
        <w:t xml:space="preserve">observed in </w:t>
      </w:r>
      <w:r w:rsidRPr="00941468">
        <w:rPr>
          <w:rStyle w:val="Strong"/>
          <w:rFonts w:eastAsiaTheme="majorEastAsia"/>
          <w:b w:val="0"/>
        </w:rPr>
        <w:t>T</w:t>
      </w:r>
      <w:r w:rsidRPr="00941468">
        <w:rPr>
          <w:rStyle w:val="Strong"/>
          <w:rFonts w:eastAsiaTheme="majorEastAsia"/>
          <w:b w:val="0"/>
          <w:vertAlign w:val="subscript"/>
        </w:rPr>
        <w:t xml:space="preserve">0 </w:t>
      </w:r>
      <w:r w:rsidRPr="00941468">
        <w:rPr>
          <w:rStyle w:val="Strong"/>
          <w:rFonts w:eastAsiaTheme="majorEastAsia"/>
          <w:b w:val="0"/>
        </w:rPr>
        <w:t>(Control)</w:t>
      </w:r>
      <w:r w:rsidRPr="00941468">
        <w:t>.</w:t>
      </w:r>
      <w:r w:rsidR="007554E7" w:rsidRPr="00941468">
        <w:t xml:space="preserve"> Similar trends were observed by </w:t>
      </w:r>
      <w:r w:rsidR="007554E7" w:rsidRPr="00941468">
        <w:rPr>
          <w:vertAlign w:val="superscript"/>
        </w:rPr>
        <w:t>[12,14],</w:t>
      </w:r>
      <w:r w:rsidR="007554E7" w:rsidRPr="00941468">
        <w:t xml:space="preserve"> who reported an increased number of roots per cutting in response to seaweed extract.</w:t>
      </w:r>
    </w:p>
    <w:p w14:paraId="24597BA4" w14:textId="77777777" w:rsidR="001463C3" w:rsidRPr="00941468" w:rsidRDefault="001463C3" w:rsidP="00C809AE">
      <w:pPr>
        <w:pStyle w:val="NormalWeb"/>
        <w:spacing w:before="0" w:beforeAutospacing="0" w:after="0" w:afterAutospacing="0"/>
        <w:jc w:val="both"/>
      </w:pPr>
      <w:r w:rsidRPr="00941468">
        <w:rPr>
          <w:rStyle w:val="Strong"/>
          <w:bCs w:val="0"/>
        </w:rPr>
        <w:t>10.</w:t>
      </w:r>
      <w:r w:rsidR="00A23DF9" w:rsidRPr="00941468">
        <w:rPr>
          <w:rStyle w:val="Strong"/>
          <w:rFonts w:eastAsiaTheme="majorEastAsia"/>
          <w:bCs w:val="0"/>
        </w:rPr>
        <w:t xml:space="preserve"> Root Fresh Weight (g)</w:t>
      </w:r>
    </w:p>
    <w:p w14:paraId="17E90292" w14:textId="77777777" w:rsidR="00E51265" w:rsidRPr="00941468" w:rsidRDefault="00A23DF9" w:rsidP="00C809AE">
      <w:pPr>
        <w:pStyle w:val="NormalWeb"/>
        <w:spacing w:before="0" w:beforeAutospacing="0" w:after="0" w:afterAutospacing="0"/>
        <w:jc w:val="both"/>
        <w:rPr>
          <w:b/>
        </w:rPr>
      </w:pPr>
      <w:r w:rsidRPr="00941468">
        <w:t>The highest root fresh weight (4.2</w:t>
      </w:r>
      <w:r w:rsidR="002D6D22" w:rsidRPr="00941468">
        <w:t>6</w:t>
      </w:r>
      <w:r w:rsidRPr="00941468">
        <w:t xml:space="preserve"> g) was recorded under </w:t>
      </w:r>
      <w:r w:rsidRPr="00941468">
        <w:rPr>
          <w:rStyle w:val="Strong"/>
          <w:rFonts w:eastAsiaTheme="majorEastAsia"/>
          <w:b w:val="0"/>
        </w:rPr>
        <w:t>T</w:t>
      </w:r>
      <w:r w:rsidRPr="00941468">
        <w:rPr>
          <w:rStyle w:val="Strong"/>
          <w:rFonts w:eastAsiaTheme="majorEastAsia"/>
          <w:b w:val="0"/>
          <w:vertAlign w:val="subscript"/>
        </w:rPr>
        <w:t xml:space="preserve">6 </w:t>
      </w:r>
      <w:r w:rsidRPr="00941468">
        <w:rPr>
          <w:rStyle w:val="Strong"/>
          <w:rFonts w:eastAsiaTheme="majorEastAsia"/>
          <w:b w:val="0"/>
        </w:rPr>
        <w:t>(CPPU 2 ppm + Seaweed Extract 10 ml/L)</w:t>
      </w:r>
      <w:r w:rsidRPr="00941468">
        <w:rPr>
          <w:b/>
        </w:rPr>
        <w:t>,</w:t>
      </w:r>
      <w:r w:rsidRPr="00941468">
        <w:t xml:space="preserve"> followed by </w:t>
      </w:r>
      <w:r w:rsidRPr="00941468">
        <w:rPr>
          <w:rStyle w:val="Strong"/>
          <w:rFonts w:eastAsiaTheme="majorEastAsia"/>
          <w:b w:val="0"/>
        </w:rPr>
        <w:t>T</w:t>
      </w:r>
      <w:r w:rsidRPr="00941468">
        <w:rPr>
          <w:rStyle w:val="Strong"/>
          <w:rFonts w:eastAsiaTheme="majorEastAsia"/>
          <w:b w:val="0"/>
          <w:vertAlign w:val="subscript"/>
        </w:rPr>
        <w:t xml:space="preserve">5 </w:t>
      </w:r>
      <w:r w:rsidRPr="00941468">
        <w:rPr>
          <w:rStyle w:val="Strong"/>
          <w:rFonts w:eastAsiaTheme="majorEastAsia"/>
          <w:b w:val="0"/>
        </w:rPr>
        <w:t>(CPPU 1 ppm + Seaweed Extract 5 ml/L)</w:t>
      </w:r>
      <w:r w:rsidRPr="00941468">
        <w:t xml:space="preserve"> with </w:t>
      </w:r>
      <w:r w:rsidR="002D6D22" w:rsidRPr="00941468">
        <w:t>(</w:t>
      </w:r>
      <w:r w:rsidRPr="00941468">
        <w:t>3.8</w:t>
      </w:r>
      <w:r w:rsidR="002D6D22" w:rsidRPr="00941468">
        <w:t>1</w:t>
      </w:r>
      <w:r w:rsidRPr="00941468">
        <w:t xml:space="preserve"> g</w:t>
      </w:r>
      <w:r w:rsidR="002D6D22" w:rsidRPr="00941468">
        <w:t>)</w:t>
      </w:r>
      <w:r w:rsidRPr="00941468">
        <w:t xml:space="preserve"> and </w:t>
      </w:r>
      <w:r w:rsidRPr="00941468">
        <w:rPr>
          <w:rStyle w:val="Strong"/>
          <w:rFonts w:eastAsiaTheme="majorEastAsia"/>
          <w:b w:val="0"/>
        </w:rPr>
        <w:t>T</w:t>
      </w:r>
      <w:r w:rsidRPr="00941468">
        <w:rPr>
          <w:rStyle w:val="Strong"/>
          <w:rFonts w:eastAsiaTheme="majorEastAsia"/>
          <w:b w:val="0"/>
          <w:vertAlign w:val="subscript"/>
        </w:rPr>
        <w:t>4</w:t>
      </w:r>
      <w:r w:rsidRPr="00941468">
        <w:rPr>
          <w:rStyle w:val="Strong"/>
          <w:rFonts w:eastAsiaTheme="majorEastAsia"/>
          <w:b w:val="0"/>
        </w:rPr>
        <w:t xml:space="preserve"> (Seaweed Extract 10 ml/L)</w:t>
      </w:r>
      <w:r w:rsidRPr="00941468">
        <w:t xml:space="preserve"> with </w:t>
      </w:r>
      <w:r w:rsidR="002D6D22" w:rsidRPr="00941468">
        <w:t>(</w:t>
      </w:r>
      <w:r w:rsidRPr="00941468">
        <w:t>3.5</w:t>
      </w:r>
      <w:r w:rsidR="002D6D22" w:rsidRPr="00941468">
        <w:t>2</w:t>
      </w:r>
      <w:r w:rsidRPr="00941468">
        <w:t xml:space="preserve"> g</w:t>
      </w:r>
      <w:r w:rsidR="002D6D22" w:rsidRPr="00941468">
        <w:t>). The minimum</w:t>
      </w:r>
      <w:r w:rsidRPr="00941468">
        <w:t xml:space="preserve"> fresh weight (2.4</w:t>
      </w:r>
      <w:r w:rsidR="002D6D22" w:rsidRPr="00941468">
        <w:t>1</w:t>
      </w:r>
      <w:r w:rsidRPr="00941468">
        <w:t xml:space="preserve"> g) was in </w:t>
      </w:r>
      <w:r w:rsidRPr="00941468">
        <w:rPr>
          <w:rStyle w:val="Strong"/>
          <w:rFonts w:eastAsiaTheme="majorEastAsia"/>
          <w:b w:val="0"/>
        </w:rPr>
        <w:t>T</w:t>
      </w:r>
      <w:r w:rsidRPr="00941468">
        <w:rPr>
          <w:rStyle w:val="Strong"/>
          <w:rFonts w:eastAsiaTheme="majorEastAsia"/>
          <w:b w:val="0"/>
          <w:vertAlign w:val="subscript"/>
        </w:rPr>
        <w:t>0</w:t>
      </w:r>
      <w:r w:rsidRPr="00941468">
        <w:rPr>
          <w:rStyle w:val="Strong"/>
          <w:rFonts w:eastAsiaTheme="majorEastAsia"/>
          <w:b w:val="0"/>
        </w:rPr>
        <w:t xml:space="preserve"> (Control)</w:t>
      </w:r>
      <w:r w:rsidRPr="00941468">
        <w:t>.</w:t>
      </w:r>
      <w:r w:rsidR="00E51265" w:rsidRPr="00941468">
        <w:rPr>
          <w:b/>
        </w:rPr>
        <w:t xml:space="preserve"> </w:t>
      </w:r>
      <w:r w:rsidR="00E51265" w:rsidRPr="00941468">
        <w:t xml:space="preserve">These results concur with those of </w:t>
      </w:r>
      <w:r w:rsidR="00E51265" w:rsidRPr="00941468">
        <w:rPr>
          <w:vertAlign w:val="superscript"/>
        </w:rPr>
        <w:t>[6,9,10],</w:t>
      </w:r>
      <w:r w:rsidR="00E51265" w:rsidRPr="00941468">
        <w:t xml:space="preserve"> who noted higher root fresh weight in treated plants compared to controls.</w:t>
      </w:r>
    </w:p>
    <w:p w14:paraId="61145329" w14:textId="77777777" w:rsidR="00A23DF9" w:rsidRPr="00941468" w:rsidRDefault="001463C3" w:rsidP="00C809AE">
      <w:pPr>
        <w:pStyle w:val="NormalWeb"/>
        <w:spacing w:before="0" w:beforeAutospacing="0" w:after="0" w:afterAutospacing="0"/>
        <w:jc w:val="both"/>
      </w:pPr>
      <w:r w:rsidRPr="00941468">
        <w:rPr>
          <w:rStyle w:val="Strong"/>
          <w:rFonts w:eastAsiaTheme="majorEastAsia"/>
          <w:bCs w:val="0"/>
        </w:rPr>
        <w:t>11</w:t>
      </w:r>
      <w:r w:rsidR="00A23DF9" w:rsidRPr="00941468">
        <w:rPr>
          <w:rStyle w:val="Strong"/>
          <w:rFonts w:eastAsiaTheme="majorEastAsia"/>
          <w:bCs w:val="0"/>
        </w:rPr>
        <w:t>. Root Dry Weight (g)</w:t>
      </w:r>
    </w:p>
    <w:p w14:paraId="63C7279B" w14:textId="77777777" w:rsidR="00C809AE" w:rsidRPr="00941468" w:rsidRDefault="00A23DF9" w:rsidP="00C809AE">
      <w:pPr>
        <w:pStyle w:val="NormalWeb"/>
        <w:spacing w:before="0" w:beforeAutospacing="0" w:after="0" w:afterAutospacing="0"/>
        <w:jc w:val="both"/>
        <w:rPr>
          <w:b/>
        </w:rPr>
      </w:pPr>
      <w:r w:rsidRPr="00941468">
        <w:t xml:space="preserve">Root dry weight was highest in </w:t>
      </w:r>
      <w:r w:rsidRPr="00941468">
        <w:rPr>
          <w:rStyle w:val="Strong"/>
          <w:rFonts w:eastAsiaTheme="majorEastAsia"/>
          <w:b w:val="0"/>
        </w:rPr>
        <w:t>T</w:t>
      </w:r>
      <w:r w:rsidRPr="00941468">
        <w:rPr>
          <w:rStyle w:val="Strong"/>
          <w:rFonts w:eastAsiaTheme="majorEastAsia"/>
          <w:b w:val="0"/>
          <w:vertAlign w:val="subscript"/>
        </w:rPr>
        <w:t xml:space="preserve">6 </w:t>
      </w:r>
      <w:r w:rsidRPr="00941468">
        <w:rPr>
          <w:rStyle w:val="Strong"/>
          <w:rFonts w:eastAsiaTheme="majorEastAsia"/>
          <w:b w:val="0"/>
        </w:rPr>
        <w:t>(CPPU 2 ppm + Seaweed Extract 10 ml/L)</w:t>
      </w:r>
      <w:r w:rsidRPr="00941468">
        <w:t xml:space="preserve"> at </w:t>
      </w:r>
      <w:r w:rsidR="00BA2B56" w:rsidRPr="00941468">
        <w:t>(</w:t>
      </w:r>
      <w:r w:rsidRPr="00941468">
        <w:t>1.6</w:t>
      </w:r>
      <w:r w:rsidR="00BA2B56" w:rsidRPr="00941468">
        <w:t>1</w:t>
      </w:r>
      <w:r w:rsidRPr="00941468">
        <w:t xml:space="preserve"> g</w:t>
      </w:r>
      <w:r w:rsidR="00BA2B56" w:rsidRPr="00941468">
        <w:t>)</w:t>
      </w:r>
      <w:r w:rsidRPr="00941468">
        <w:t xml:space="preserve">, followed by </w:t>
      </w:r>
      <w:r w:rsidRPr="00941468">
        <w:rPr>
          <w:rStyle w:val="Strong"/>
          <w:rFonts w:eastAsiaTheme="majorEastAsia"/>
          <w:b w:val="0"/>
        </w:rPr>
        <w:t>T</w:t>
      </w:r>
      <w:r w:rsidRPr="00941468">
        <w:rPr>
          <w:rStyle w:val="Strong"/>
          <w:rFonts w:eastAsiaTheme="majorEastAsia"/>
          <w:b w:val="0"/>
          <w:vertAlign w:val="subscript"/>
        </w:rPr>
        <w:t>5</w:t>
      </w:r>
      <w:r w:rsidRPr="00941468">
        <w:rPr>
          <w:rStyle w:val="Strong"/>
          <w:rFonts w:eastAsiaTheme="majorEastAsia"/>
          <w:b w:val="0"/>
        </w:rPr>
        <w:t xml:space="preserve"> (CPPU 1 ppm + Seaweed Extract 5 ml/L)</w:t>
      </w:r>
      <w:r w:rsidRPr="00941468">
        <w:t xml:space="preserve"> with </w:t>
      </w:r>
      <w:r w:rsidR="00BA2B56" w:rsidRPr="00941468">
        <w:t>(</w:t>
      </w:r>
      <w:r w:rsidRPr="00941468">
        <w:t>1.4</w:t>
      </w:r>
      <w:r w:rsidR="00BA2B56" w:rsidRPr="00941468">
        <w:t>1</w:t>
      </w:r>
      <w:r w:rsidRPr="00941468">
        <w:t xml:space="preserve"> g</w:t>
      </w:r>
      <w:r w:rsidR="00BA2B56" w:rsidRPr="00941468">
        <w:t>)</w:t>
      </w:r>
      <w:r w:rsidRPr="00941468">
        <w:t xml:space="preserve"> and </w:t>
      </w:r>
      <w:r w:rsidRPr="00941468">
        <w:rPr>
          <w:rStyle w:val="Strong"/>
          <w:rFonts w:eastAsiaTheme="majorEastAsia"/>
          <w:b w:val="0"/>
        </w:rPr>
        <w:t>T</w:t>
      </w:r>
      <w:r w:rsidRPr="00941468">
        <w:rPr>
          <w:rStyle w:val="Strong"/>
          <w:rFonts w:eastAsiaTheme="majorEastAsia"/>
          <w:b w:val="0"/>
          <w:vertAlign w:val="subscript"/>
        </w:rPr>
        <w:t>4</w:t>
      </w:r>
      <w:r w:rsidRPr="00941468">
        <w:rPr>
          <w:rStyle w:val="Strong"/>
          <w:rFonts w:eastAsiaTheme="majorEastAsia"/>
          <w:b w:val="0"/>
        </w:rPr>
        <w:t xml:space="preserve"> (Seaweed Extract 10 ml/L)</w:t>
      </w:r>
      <w:r w:rsidRPr="00941468">
        <w:t xml:space="preserve"> with </w:t>
      </w:r>
      <w:r w:rsidR="00BA2B56" w:rsidRPr="00941468">
        <w:t>(</w:t>
      </w:r>
      <w:r w:rsidRPr="00941468">
        <w:t>1.3</w:t>
      </w:r>
      <w:r w:rsidR="00BA2B56" w:rsidRPr="00941468">
        <w:t>2</w:t>
      </w:r>
      <w:r w:rsidRPr="00941468">
        <w:t xml:space="preserve"> g</w:t>
      </w:r>
      <w:r w:rsidR="00BA2B56" w:rsidRPr="00941468">
        <w:t>)</w:t>
      </w:r>
      <w:r w:rsidRPr="00941468">
        <w:t>. The minimum dry weight (0.8</w:t>
      </w:r>
      <w:r w:rsidR="00BA2B56" w:rsidRPr="00941468">
        <w:t>2</w:t>
      </w:r>
      <w:r w:rsidRPr="00941468">
        <w:t xml:space="preserve"> g) was observed in </w:t>
      </w:r>
      <w:r w:rsidRPr="00941468">
        <w:rPr>
          <w:rStyle w:val="Strong"/>
          <w:rFonts w:eastAsiaTheme="majorEastAsia"/>
          <w:b w:val="0"/>
        </w:rPr>
        <w:t>T</w:t>
      </w:r>
      <w:r w:rsidRPr="00941468">
        <w:rPr>
          <w:rStyle w:val="Strong"/>
          <w:rFonts w:eastAsiaTheme="majorEastAsia"/>
          <w:b w:val="0"/>
          <w:vertAlign w:val="subscript"/>
        </w:rPr>
        <w:t>0</w:t>
      </w:r>
      <w:r w:rsidRPr="00941468">
        <w:rPr>
          <w:rStyle w:val="Strong"/>
          <w:rFonts w:eastAsiaTheme="majorEastAsia"/>
          <w:b w:val="0"/>
        </w:rPr>
        <w:t xml:space="preserve"> (Control)</w:t>
      </w:r>
      <w:r w:rsidRPr="00941468">
        <w:t>.</w:t>
      </w:r>
      <w:r w:rsidR="00A67BA7" w:rsidRPr="00941468">
        <w:t xml:space="preserve"> A similar increase in root dry weight was reported by Das and Roy (2022) under optimal propagation conditions.</w:t>
      </w:r>
    </w:p>
    <w:p w14:paraId="6A474BBC" w14:textId="77777777" w:rsidR="00A67BA7" w:rsidRPr="00941468" w:rsidRDefault="001463C3" w:rsidP="00A67BA7">
      <w:pPr>
        <w:pStyle w:val="NormalWeb"/>
        <w:spacing w:before="0" w:beforeAutospacing="0" w:after="0" w:afterAutospacing="0"/>
        <w:jc w:val="both"/>
      </w:pPr>
      <w:r w:rsidRPr="00941468">
        <w:rPr>
          <w:rStyle w:val="Strong"/>
          <w:bCs w:val="0"/>
        </w:rPr>
        <w:t>12.</w:t>
      </w:r>
      <w:r w:rsidR="00A23DF9" w:rsidRPr="00941468">
        <w:rPr>
          <w:rStyle w:val="Strong"/>
          <w:rFonts w:eastAsiaTheme="majorEastAsia"/>
          <w:bCs w:val="0"/>
        </w:rPr>
        <w:t xml:space="preserve"> Survival Rate (%)</w:t>
      </w:r>
      <w:r w:rsidR="00A67BA7" w:rsidRPr="00941468">
        <w:t xml:space="preserve"> </w:t>
      </w:r>
    </w:p>
    <w:p w14:paraId="4C3150C0" w14:textId="77777777" w:rsidR="00CA4015" w:rsidRPr="00941468" w:rsidRDefault="00A23DF9" w:rsidP="00CA4015">
      <w:pPr>
        <w:pStyle w:val="NormalWeb"/>
        <w:spacing w:before="0" w:beforeAutospacing="0" w:after="0" w:afterAutospacing="0"/>
        <w:jc w:val="both"/>
      </w:pPr>
      <w:r w:rsidRPr="00941468">
        <w:t xml:space="preserve">The survival rate was maximum in </w:t>
      </w:r>
      <w:r w:rsidRPr="00941468">
        <w:rPr>
          <w:rStyle w:val="Strong"/>
          <w:rFonts w:eastAsiaTheme="majorEastAsia"/>
          <w:b w:val="0"/>
        </w:rPr>
        <w:t>T</w:t>
      </w:r>
      <w:r w:rsidRPr="00941468">
        <w:rPr>
          <w:rStyle w:val="Strong"/>
          <w:rFonts w:eastAsiaTheme="majorEastAsia"/>
          <w:b w:val="0"/>
          <w:vertAlign w:val="subscript"/>
        </w:rPr>
        <w:t>6</w:t>
      </w:r>
      <w:r w:rsidRPr="00941468">
        <w:rPr>
          <w:rStyle w:val="Strong"/>
          <w:rFonts w:eastAsiaTheme="majorEastAsia"/>
          <w:b w:val="0"/>
        </w:rPr>
        <w:t xml:space="preserve"> (CPPU 2 ppm + Seaweed Extract 10 ml/L)</w:t>
      </w:r>
      <w:r w:rsidRPr="00941468">
        <w:t xml:space="preserve"> at </w:t>
      </w:r>
      <w:r w:rsidR="00D64478" w:rsidRPr="00941468">
        <w:t>(</w:t>
      </w:r>
      <w:r w:rsidRPr="00941468">
        <w:t>91.21%</w:t>
      </w:r>
      <w:r w:rsidR="00D64478" w:rsidRPr="00941468">
        <w:t>)</w:t>
      </w:r>
      <w:r w:rsidRPr="00941468">
        <w:t xml:space="preserve">, followed by </w:t>
      </w:r>
      <w:r w:rsidRPr="00941468">
        <w:rPr>
          <w:rStyle w:val="Strong"/>
          <w:rFonts w:eastAsiaTheme="majorEastAsia"/>
          <w:b w:val="0"/>
        </w:rPr>
        <w:t>T</w:t>
      </w:r>
      <w:r w:rsidRPr="00941468">
        <w:rPr>
          <w:rStyle w:val="Strong"/>
          <w:rFonts w:eastAsiaTheme="majorEastAsia"/>
          <w:b w:val="0"/>
          <w:vertAlign w:val="subscript"/>
        </w:rPr>
        <w:t>5</w:t>
      </w:r>
      <w:r w:rsidRPr="00941468">
        <w:rPr>
          <w:rStyle w:val="Strong"/>
          <w:rFonts w:eastAsiaTheme="majorEastAsia"/>
          <w:b w:val="0"/>
        </w:rPr>
        <w:t xml:space="preserve"> (CPPU 1 ppm + Seaweed Extract 5 ml/L)</w:t>
      </w:r>
      <w:r w:rsidRPr="00941468">
        <w:t xml:space="preserve"> at </w:t>
      </w:r>
      <w:r w:rsidR="00D64478" w:rsidRPr="00941468">
        <w:t>(</w:t>
      </w:r>
      <w:r w:rsidRPr="00941468">
        <w:t>88.23%</w:t>
      </w:r>
      <w:r w:rsidR="00D64478" w:rsidRPr="00941468">
        <w:t>)</w:t>
      </w:r>
      <w:r w:rsidRPr="00941468">
        <w:t xml:space="preserve">, and </w:t>
      </w:r>
      <w:r w:rsidRPr="00941468">
        <w:rPr>
          <w:rStyle w:val="Strong"/>
          <w:rFonts w:eastAsiaTheme="majorEastAsia"/>
          <w:b w:val="0"/>
        </w:rPr>
        <w:t>T</w:t>
      </w:r>
      <w:r w:rsidRPr="00941468">
        <w:rPr>
          <w:rStyle w:val="Strong"/>
          <w:rFonts w:eastAsiaTheme="majorEastAsia"/>
          <w:b w:val="0"/>
          <w:vertAlign w:val="subscript"/>
        </w:rPr>
        <w:t>4</w:t>
      </w:r>
      <w:r w:rsidRPr="00941468">
        <w:rPr>
          <w:rStyle w:val="Strong"/>
          <w:rFonts w:eastAsiaTheme="majorEastAsia"/>
          <w:b w:val="0"/>
        </w:rPr>
        <w:t xml:space="preserve"> (Seaweed Extract 10 ml/L)</w:t>
      </w:r>
      <w:r w:rsidRPr="00941468">
        <w:t xml:space="preserve"> at </w:t>
      </w:r>
      <w:r w:rsidR="00D64478" w:rsidRPr="00941468">
        <w:t>(</w:t>
      </w:r>
      <w:r w:rsidRPr="00941468">
        <w:t>85.23%</w:t>
      </w:r>
      <w:r w:rsidR="00D64478" w:rsidRPr="00941468">
        <w:t>). The lowest survival rate (49</w:t>
      </w:r>
      <w:r w:rsidRPr="00941468">
        <w:t xml:space="preserve">.11%) was recorded in </w:t>
      </w:r>
      <w:r w:rsidRPr="00941468">
        <w:rPr>
          <w:rStyle w:val="Strong"/>
          <w:rFonts w:eastAsiaTheme="majorEastAsia"/>
          <w:b w:val="0"/>
        </w:rPr>
        <w:t>T</w:t>
      </w:r>
      <w:r w:rsidRPr="00941468">
        <w:rPr>
          <w:rStyle w:val="Strong"/>
          <w:rFonts w:eastAsiaTheme="majorEastAsia"/>
          <w:b w:val="0"/>
          <w:vertAlign w:val="subscript"/>
        </w:rPr>
        <w:t>0</w:t>
      </w:r>
      <w:r w:rsidRPr="00941468">
        <w:rPr>
          <w:rStyle w:val="Strong"/>
          <w:rFonts w:eastAsiaTheme="majorEastAsia"/>
          <w:b w:val="0"/>
        </w:rPr>
        <w:t xml:space="preserve"> (Control)</w:t>
      </w:r>
      <w:r w:rsidRPr="00941468">
        <w:rPr>
          <w:b/>
        </w:rPr>
        <w:t>.</w:t>
      </w:r>
      <w:r w:rsidR="00A67BA7" w:rsidRPr="00941468">
        <w:t xml:space="preserve"> Comparable survival rates were recorded by </w:t>
      </w:r>
      <w:r w:rsidR="001037E5" w:rsidRPr="00941468">
        <w:rPr>
          <w:vertAlign w:val="superscript"/>
        </w:rPr>
        <w:t>[14,15]</w:t>
      </w:r>
      <w:r w:rsidR="00A67BA7" w:rsidRPr="00941468">
        <w:t>, supporting the effectiveness of the applied treatments.</w:t>
      </w:r>
    </w:p>
    <w:p w14:paraId="1AF3AD58" w14:textId="77777777" w:rsidR="00CE0D81" w:rsidRPr="00941468" w:rsidRDefault="00C54CAB" w:rsidP="00CE0D81">
      <w:pPr>
        <w:pStyle w:val="NormalWeb"/>
        <w:spacing w:before="0" w:beforeAutospacing="0" w:after="0" w:afterAutospacing="0"/>
        <w:jc w:val="both"/>
        <w:rPr>
          <w:b/>
        </w:rPr>
      </w:pPr>
      <w:r w:rsidRPr="00941468">
        <w:rPr>
          <w:b/>
        </w:rPr>
        <w:t>CONCLUSION</w:t>
      </w:r>
    </w:p>
    <w:p w14:paraId="114DC969" w14:textId="77777777" w:rsidR="00CE0D81" w:rsidRPr="00941468" w:rsidRDefault="00CE0D81" w:rsidP="00C142DB">
      <w:pPr>
        <w:pStyle w:val="NormalWeb"/>
        <w:spacing w:before="0" w:beforeAutospacing="0" w:after="0" w:afterAutospacing="0"/>
        <w:jc w:val="both"/>
        <w:rPr>
          <w:b/>
        </w:rPr>
      </w:pPr>
      <w:r w:rsidRPr="00941468">
        <w:t>The present study clearly demonstrated that the combined application of CPPU (</w:t>
      </w:r>
      <w:r w:rsidR="00A66040" w:rsidRPr="00941468">
        <w:t>CPPU (</w:t>
      </w:r>
      <w:proofErr w:type="spellStart"/>
      <w:r w:rsidR="00A66040" w:rsidRPr="00941468">
        <w:t>Forchlorfenuron</w:t>
      </w:r>
      <w:proofErr w:type="spellEnd"/>
      <w:proofErr w:type="gramStart"/>
      <w:r w:rsidR="00A66040" w:rsidRPr="00941468">
        <w:t xml:space="preserve">) </w:t>
      </w:r>
      <w:r w:rsidRPr="00941468">
        <w:t>)</w:t>
      </w:r>
      <w:proofErr w:type="gramEnd"/>
      <w:r w:rsidRPr="00941468">
        <w:t xml:space="preserve"> and seaweed extract significantly improved the growth, rooting, and survival of </w:t>
      </w:r>
      <w:r w:rsidRPr="00941468">
        <w:rPr>
          <w:rStyle w:val="Emphasis"/>
          <w:rFonts w:eastAsiaTheme="majorEastAsia"/>
        </w:rPr>
        <w:t>Syngonium podophyllum</w:t>
      </w:r>
      <w:r w:rsidRPr="00941468">
        <w:t xml:space="preserve"> under micro-climate conditions. Among all treatments, </w:t>
      </w:r>
      <w:r w:rsidRPr="00941468">
        <w:rPr>
          <w:rStyle w:val="Strong"/>
          <w:b w:val="0"/>
        </w:rPr>
        <w:t>T</w:t>
      </w:r>
      <w:r w:rsidRPr="00941468">
        <w:rPr>
          <w:rStyle w:val="Strong"/>
          <w:b w:val="0"/>
          <w:vertAlign w:val="subscript"/>
        </w:rPr>
        <w:t>6</w:t>
      </w:r>
      <w:r w:rsidRPr="00941468">
        <w:rPr>
          <w:rStyle w:val="Strong"/>
          <w:b w:val="0"/>
        </w:rPr>
        <w:t xml:space="preserve"> (CPPU 2 ppm + Seaweed Extract 10 ml/L)</w:t>
      </w:r>
      <w:r w:rsidRPr="00941468">
        <w:rPr>
          <w:b/>
        </w:rPr>
        <w:t xml:space="preserve"> </w:t>
      </w:r>
      <w:r w:rsidRPr="00941468">
        <w:t xml:space="preserve">consistently showed the best performance across all growth and rooting parameters, including plant height, number of leaves, leaf dimensions, foliage biomass, root length, root number, root biomass, and survival rate. This was closely followed by </w:t>
      </w:r>
      <w:r w:rsidRPr="00941468">
        <w:rPr>
          <w:rStyle w:val="Strong"/>
          <w:b w:val="0"/>
        </w:rPr>
        <w:t>T</w:t>
      </w:r>
      <w:r w:rsidRPr="00941468">
        <w:rPr>
          <w:rStyle w:val="Strong"/>
          <w:b w:val="0"/>
          <w:vertAlign w:val="subscript"/>
        </w:rPr>
        <w:t>5</w:t>
      </w:r>
      <w:r w:rsidRPr="00941468">
        <w:rPr>
          <w:rStyle w:val="Strong"/>
          <w:b w:val="0"/>
        </w:rPr>
        <w:t xml:space="preserve"> (CPPU 1 ppm + Seaweed Extract 5 ml/L)</w:t>
      </w:r>
      <w:r w:rsidRPr="00941468">
        <w:rPr>
          <w:b/>
        </w:rPr>
        <w:t xml:space="preserve"> </w:t>
      </w:r>
      <w:r w:rsidRPr="00941468">
        <w:t>and</w:t>
      </w:r>
      <w:r w:rsidRPr="00941468">
        <w:rPr>
          <w:b/>
        </w:rPr>
        <w:t xml:space="preserve"> </w:t>
      </w:r>
      <w:r w:rsidRPr="00941468">
        <w:rPr>
          <w:rStyle w:val="Strong"/>
          <w:b w:val="0"/>
        </w:rPr>
        <w:t>T</w:t>
      </w:r>
      <w:r w:rsidRPr="00941468">
        <w:rPr>
          <w:rStyle w:val="Strong"/>
          <w:b w:val="0"/>
          <w:vertAlign w:val="subscript"/>
        </w:rPr>
        <w:t xml:space="preserve">4 </w:t>
      </w:r>
      <w:r w:rsidRPr="00941468">
        <w:rPr>
          <w:rStyle w:val="Strong"/>
          <w:b w:val="0"/>
        </w:rPr>
        <w:t>(Seaweed Extract 10 ml/L)</w:t>
      </w:r>
      <w:r w:rsidRPr="00941468">
        <w:t>, which also demonstrated substantial improvements compared to the control.</w:t>
      </w:r>
      <w:r w:rsidR="008575DF" w:rsidRPr="00941468">
        <w:rPr>
          <w:b/>
        </w:rPr>
        <w:t xml:space="preserve"> </w:t>
      </w:r>
      <w:r w:rsidRPr="00941468">
        <w:t>The control treatment (T</w:t>
      </w:r>
      <w:r w:rsidRPr="00941468">
        <w:rPr>
          <w:vertAlign w:val="subscript"/>
        </w:rPr>
        <w:t>0</w:t>
      </w:r>
      <w:r w:rsidRPr="00941468">
        <w:t xml:space="preserve">) exhibited the poorest performance in all measured parameters, highlighting the critical role of growth regulators and </w:t>
      </w:r>
      <w:proofErr w:type="spellStart"/>
      <w:r w:rsidRPr="00941468">
        <w:t>biostimulants</w:t>
      </w:r>
      <w:proofErr w:type="spellEnd"/>
      <w:r w:rsidRPr="00941468">
        <w:t xml:space="preserve"> in enhancing acclimatization potential. The results suggest that the synergistic effect of CPPU and seaweed extract effectively promotes both shooting and rooting processes, leading to stronger and more vigorous plantlets with better adaptability to ex-vitro conditions.</w:t>
      </w:r>
      <w:r w:rsidR="00C142DB" w:rsidRPr="00941468">
        <w:rPr>
          <w:b/>
        </w:rPr>
        <w:t xml:space="preserve"> </w:t>
      </w:r>
      <w:r w:rsidRPr="00941468">
        <w:t xml:space="preserve">Therefore, the integrated use of CPPU and seaweed extract is recommended as a practical and efficient strategy to improve propagation success and plant establishment of </w:t>
      </w:r>
      <w:r w:rsidRPr="00941468">
        <w:rPr>
          <w:rStyle w:val="Emphasis"/>
          <w:rFonts w:eastAsiaTheme="majorEastAsia"/>
        </w:rPr>
        <w:t>Syngonium podophyllum</w:t>
      </w:r>
      <w:r w:rsidRPr="00941468">
        <w:t xml:space="preserve"> under micro-climate environments, ultimately contributing to better nursery management and commercial production.</w:t>
      </w:r>
    </w:p>
    <w:p w14:paraId="70347CB6" w14:textId="77777777" w:rsidR="00C54CAB" w:rsidRPr="00941468" w:rsidRDefault="00C54CAB" w:rsidP="00CA4015">
      <w:pPr>
        <w:pStyle w:val="NormalWeb"/>
        <w:spacing w:before="0" w:beforeAutospacing="0" w:after="0" w:afterAutospacing="0"/>
        <w:jc w:val="both"/>
      </w:pPr>
      <w:r w:rsidRPr="00941468">
        <w:rPr>
          <w:b/>
        </w:rPr>
        <w:t>ETHICAL APPROVAL</w:t>
      </w:r>
    </w:p>
    <w:p w14:paraId="28A13B78" w14:textId="77777777" w:rsidR="00C54CAB" w:rsidRPr="00941468" w:rsidRDefault="00C54CAB" w:rsidP="00CA4015">
      <w:pPr>
        <w:spacing w:after="0" w:line="360" w:lineRule="auto"/>
        <w:jc w:val="both"/>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It is not applicable</w:t>
      </w:r>
    </w:p>
    <w:p w14:paraId="5D62D8DE" w14:textId="77777777" w:rsidR="00D90128" w:rsidRDefault="00D90128" w:rsidP="00CA4015">
      <w:pPr>
        <w:spacing w:after="0" w:line="360" w:lineRule="auto"/>
        <w:ind w:left="-180" w:firstLine="180"/>
        <w:jc w:val="both"/>
        <w:rPr>
          <w:rFonts w:ascii="Times New Roman" w:eastAsia="Times New Roman" w:hAnsi="Times New Roman" w:cs="Times New Roman"/>
          <w:b/>
          <w:sz w:val="24"/>
          <w:szCs w:val="24"/>
        </w:rPr>
      </w:pPr>
    </w:p>
    <w:p w14:paraId="49DB2D24" w14:textId="39F093CC" w:rsidR="00C54CAB" w:rsidRPr="00941468" w:rsidRDefault="00C54CAB" w:rsidP="00CA4015">
      <w:pPr>
        <w:spacing w:after="0" w:line="360" w:lineRule="auto"/>
        <w:ind w:left="-180" w:firstLine="180"/>
        <w:jc w:val="both"/>
        <w:rPr>
          <w:rFonts w:ascii="Times New Roman" w:eastAsia="Times New Roman" w:hAnsi="Times New Roman" w:cs="Times New Roman"/>
          <w:sz w:val="24"/>
          <w:szCs w:val="24"/>
        </w:rPr>
      </w:pPr>
      <w:r w:rsidRPr="00941468">
        <w:rPr>
          <w:rFonts w:ascii="Times New Roman" w:eastAsia="Times New Roman" w:hAnsi="Times New Roman" w:cs="Times New Roman"/>
          <w:b/>
          <w:sz w:val="24"/>
          <w:szCs w:val="24"/>
        </w:rPr>
        <w:t>DISCLAIMER (ARTIFICIAL INTELLIGENCE)</w:t>
      </w:r>
    </w:p>
    <w:p w14:paraId="785F8A94" w14:textId="77777777" w:rsidR="00C54CAB" w:rsidRDefault="00C54CAB" w:rsidP="00CA4015">
      <w:pPr>
        <w:spacing w:after="0" w:line="360" w:lineRule="auto"/>
        <w:jc w:val="both"/>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 xml:space="preserve">Authors declare Author(s) hereby declare that NO generative AI technologies such as Large Language Models (ChatGPT, COPILOT, </w:t>
      </w:r>
      <w:proofErr w:type="spellStart"/>
      <w:r w:rsidRPr="00941468">
        <w:rPr>
          <w:rFonts w:ascii="Times New Roman" w:eastAsia="Times New Roman" w:hAnsi="Times New Roman" w:cs="Times New Roman"/>
          <w:sz w:val="24"/>
          <w:szCs w:val="24"/>
        </w:rPr>
        <w:t>etc</w:t>
      </w:r>
      <w:proofErr w:type="spellEnd"/>
      <w:r w:rsidRPr="00941468">
        <w:rPr>
          <w:rFonts w:ascii="Times New Roman" w:eastAsia="Times New Roman" w:hAnsi="Times New Roman" w:cs="Times New Roman"/>
          <w:sz w:val="24"/>
          <w:szCs w:val="24"/>
        </w:rPr>
        <w:t>) and text-to-image generators have been used during writing or editing of manuscripts.</w:t>
      </w:r>
    </w:p>
    <w:p w14:paraId="05672398" w14:textId="77777777" w:rsidR="00B00E98" w:rsidRPr="003A29C6" w:rsidRDefault="00B00E98" w:rsidP="00B00E98">
      <w:pPr>
        <w:jc w:val="both"/>
        <w:outlineLvl w:val="0"/>
        <w:rPr>
          <w:rFonts w:ascii="Arial" w:hAnsi="Arial" w:cs="Arial"/>
        </w:rPr>
      </w:pPr>
      <w:r w:rsidRPr="003A29C6">
        <w:rPr>
          <w:rFonts w:ascii="Arial" w:hAnsi="Arial" w:cs="Arial"/>
          <w:b/>
          <w:bCs/>
        </w:rPr>
        <w:lastRenderedPageBreak/>
        <w:t>COMPETING INTERESTS DISCLAIMER:</w:t>
      </w:r>
    </w:p>
    <w:p w14:paraId="60CD2ED8" w14:textId="77777777" w:rsidR="00B00E98" w:rsidRDefault="00B00E98" w:rsidP="00B00E98">
      <w:r w:rsidRPr="00A10EDE">
        <w:t>Authors have declared that they have no known competing financial interests OR non-financial interests OR personal relationships that could have appeared to influence the work reported in this paper.</w:t>
      </w:r>
    </w:p>
    <w:p w14:paraId="49002C47" w14:textId="77777777" w:rsidR="00B00E98" w:rsidRPr="00941468" w:rsidRDefault="00B00E98" w:rsidP="00CA4015">
      <w:pPr>
        <w:spacing w:after="0" w:line="360" w:lineRule="auto"/>
        <w:jc w:val="both"/>
        <w:rPr>
          <w:rFonts w:ascii="Times New Roman" w:eastAsia="Times New Roman" w:hAnsi="Times New Roman" w:cs="Times New Roman"/>
          <w:sz w:val="24"/>
          <w:szCs w:val="24"/>
        </w:rPr>
      </w:pPr>
    </w:p>
    <w:p w14:paraId="04543B11" w14:textId="77777777" w:rsidR="00C54CAB" w:rsidRPr="00941468" w:rsidRDefault="00C54CAB" w:rsidP="001463C3">
      <w:pPr>
        <w:jc w:val="both"/>
        <w:rPr>
          <w:rFonts w:ascii="Times New Roman" w:hAnsi="Times New Roman" w:cs="Times New Roman"/>
          <w:b/>
          <w:sz w:val="24"/>
          <w:szCs w:val="24"/>
        </w:rPr>
      </w:pPr>
      <w:r w:rsidRPr="00941468">
        <w:rPr>
          <w:rFonts w:ascii="Times New Roman" w:hAnsi="Times New Roman" w:cs="Times New Roman"/>
          <w:b/>
          <w:sz w:val="24"/>
          <w:szCs w:val="24"/>
        </w:rPr>
        <w:t>REFERENCES</w:t>
      </w:r>
    </w:p>
    <w:p w14:paraId="2E6AB2D9"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Ali, T. J. M., &amp; Al-Araji, F. F. N. (2020). Effect of seaweed extract and cytokinin (CPPU) spraying on growth of lemon (</w:t>
      </w:r>
      <w:r w:rsidRPr="00941468">
        <w:rPr>
          <w:i/>
          <w:sz w:val="24"/>
          <w:szCs w:val="24"/>
          <w:shd w:val="clear" w:color="auto" w:fill="FFFFFF"/>
        </w:rPr>
        <w:t>Citrus limon</w:t>
      </w:r>
      <w:r w:rsidRPr="00941468">
        <w:rPr>
          <w:sz w:val="24"/>
          <w:szCs w:val="24"/>
          <w:shd w:val="clear" w:color="auto" w:fill="FFFFFF"/>
        </w:rPr>
        <w:t xml:space="preserve"> L.) seedling budded on sour orange. </w:t>
      </w:r>
      <w:r w:rsidRPr="00941468">
        <w:rPr>
          <w:i/>
          <w:iCs/>
          <w:sz w:val="24"/>
          <w:szCs w:val="24"/>
          <w:shd w:val="clear" w:color="auto" w:fill="FFFFFF"/>
        </w:rPr>
        <w:t>Plant Archives (09725210)</w:t>
      </w:r>
      <w:r w:rsidRPr="00941468">
        <w:rPr>
          <w:sz w:val="24"/>
          <w:szCs w:val="24"/>
          <w:shd w:val="clear" w:color="auto" w:fill="FFFFFF"/>
        </w:rPr>
        <w:t>, </w:t>
      </w:r>
      <w:r w:rsidRPr="00941468">
        <w:rPr>
          <w:i/>
          <w:iCs/>
          <w:sz w:val="24"/>
          <w:szCs w:val="24"/>
          <w:shd w:val="clear" w:color="auto" w:fill="FFFFFF"/>
        </w:rPr>
        <w:t>20</w:t>
      </w:r>
      <w:r w:rsidRPr="00941468">
        <w:rPr>
          <w:sz w:val="24"/>
          <w:szCs w:val="24"/>
          <w:shd w:val="clear" w:color="auto" w:fill="FFFFFF"/>
        </w:rPr>
        <w:t>(2).</w:t>
      </w:r>
    </w:p>
    <w:p w14:paraId="4E5C0719"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Alkharpotly</w:t>
      </w:r>
      <w:proofErr w:type="spellEnd"/>
      <w:r w:rsidRPr="00941468">
        <w:rPr>
          <w:sz w:val="24"/>
          <w:szCs w:val="24"/>
          <w:shd w:val="clear" w:color="auto" w:fill="FFFFFF"/>
        </w:rPr>
        <w:t xml:space="preserve">, A. A., </w:t>
      </w:r>
      <w:proofErr w:type="spellStart"/>
      <w:r w:rsidRPr="00941468">
        <w:rPr>
          <w:sz w:val="24"/>
          <w:szCs w:val="24"/>
          <w:shd w:val="clear" w:color="auto" w:fill="FFFFFF"/>
        </w:rPr>
        <w:t>Abdelrasheed</w:t>
      </w:r>
      <w:proofErr w:type="spellEnd"/>
      <w:r w:rsidRPr="00941468">
        <w:rPr>
          <w:sz w:val="24"/>
          <w:szCs w:val="24"/>
          <w:shd w:val="clear" w:color="auto" w:fill="FFFFFF"/>
        </w:rPr>
        <w:t>, K. G., &amp; Shehata, M. N. (2024). Evaluating Seaweed Extract Foliar Spray as a Substitute for Synthetic Cytokinin to Improve the Performance of Squash Plant. </w:t>
      </w:r>
      <w:r w:rsidRPr="00941468">
        <w:rPr>
          <w:i/>
          <w:iCs/>
          <w:sz w:val="24"/>
          <w:szCs w:val="24"/>
          <w:shd w:val="clear" w:color="auto" w:fill="FFFFFF"/>
        </w:rPr>
        <w:t>Journal of Plant Production</w:t>
      </w:r>
      <w:r w:rsidRPr="00941468">
        <w:rPr>
          <w:sz w:val="24"/>
          <w:szCs w:val="24"/>
          <w:shd w:val="clear" w:color="auto" w:fill="FFFFFF"/>
        </w:rPr>
        <w:t>, </w:t>
      </w:r>
      <w:r w:rsidRPr="00941468">
        <w:rPr>
          <w:i/>
          <w:iCs/>
          <w:sz w:val="24"/>
          <w:szCs w:val="24"/>
          <w:shd w:val="clear" w:color="auto" w:fill="FFFFFF"/>
        </w:rPr>
        <w:t>15</w:t>
      </w:r>
      <w:r w:rsidRPr="00941468">
        <w:rPr>
          <w:sz w:val="24"/>
          <w:szCs w:val="24"/>
          <w:shd w:val="clear" w:color="auto" w:fill="FFFFFF"/>
        </w:rPr>
        <w:t>(2), 29-36.</w:t>
      </w:r>
    </w:p>
    <w:p w14:paraId="3B8922DF"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Al-</w:t>
      </w:r>
      <w:proofErr w:type="spellStart"/>
      <w:r w:rsidRPr="00941468">
        <w:rPr>
          <w:sz w:val="24"/>
          <w:szCs w:val="24"/>
          <w:shd w:val="clear" w:color="auto" w:fill="FFFFFF"/>
        </w:rPr>
        <w:t>Khuzaey</w:t>
      </w:r>
      <w:proofErr w:type="spellEnd"/>
      <w:r w:rsidRPr="00941468">
        <w:rPr>
          <w:sz w:val="24"/>
          <w:szCs w:val="24"/>
          <w:shd w:val="clear" w:color="auto" w:fill="FFFFFF"/>
        </w:rPr>
        <w:t>, A. H., &amp; Al-Asadi, F. A. (2019). Effect of seaweed extract spray on vegetative and flowering growth of two narcissus species. </w:t>
      </w:r>
      <w:r w:rsidRPr="00941468">
        <w:rPr>
          <w:i/>
          <w:iCs/>
          <w:sz w:val="24"/>
          <w:szCs w:val="24"/>
          <w:shd w:val="clear" w:color="auto" w:fill="FFFFFF"/>
        </w:rPr>
        <w:t>Basrah Journal of Agricultural Sciences</w:t>
      </w:r>
      <w:r w:rsidRPr="00941468">
        <w:rPr>
          <w:sz w:val="24"/>
          <w:szCs w:val="24"/>
          <w:shd w:val="clear" w:color="auto" w:fill="FFFFFF"/>
        </w:rPr>
        <w:t>, </w:t>
      </w:r>
      <w:r w:rsidRPr="00941468">
        <w:rPr>
          <w:i/>
          <w:iCs/>
          <w:sz w:val="24"/>
          <w:szCs w:val="24"/>
          <w:shd w:val="clear" w:color="auto" w:fill="FFFFFF"/>
        </w:rPr>
        <w:t>32</w:t>
      </w:r>
      <w:r w:rsidRPr="00941468">
        <w:rPr>
          <w:sz w:val="24"/>
          <w:szCs w:val="24"/>
          <w:shd w:val="clear" w:color="auto" w:fill="FFFFFF"/>
        </w:rPr>
        <w:t>, 134-139.</w:t>
      </w:r>
    </w:p>
    <w:p w14:paraId="170BA838"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 xml:space="preserve">Cardoso, J. C., Rossi, M. L., </w:t>
      </w:r>
      <w:proofErr w:type="spellStart"/>
      <w:r w:rsidRPr="00941468">
        <w:rPr>
          <w:sz w:val="24"/>
          <w:szCs w:val="24"/>
          <w:shd w:val="clear" w:color="auto" w:fill="FFFFFF"/>
        </w:rPr>
        <w:t>Rosalem</w:t>
      </w:r>
      <w:proofErr w:type="spellEnd"/>
      <w:r w:rsidRPr="00941468">
        <w:rPr>
          <w:sz w:val="24"/>
          <w:szCs w:val="24"/>
          <w:shd w:val="clear" w:color="auto" w:fill="FFFFFF"/>
        </w:rPr>
        <w:t>, I. B., &amp; da Silva, J. A. T. (2013). Pre-acclimatization in the greenhouse: An alternative to optimizing the micropropagation of gerbera. </w:t>
      </w:r>
      <w:r w:rsidRPr="00941468">
        <w:rPr>
          <w:i/>
          <w:iCs/>
          <w:sz w:val="24"/>
          <w:szCs w:val="24"/>
          <w:shd w:val="clear" w:color="auto" w:fill="FFFFFF"/>
        </w:rPr>
        <w:t xml:space="preserve">Scientia </w:t>
      </w:r>
      <w:proofErr w:type="spellStart"/>
      <w:r w:rsidRPr="00941468">
        <w:rPr>
          <w:i/>
          <w:iCs/>
          <w:sz w:val="24"/>
          <w:szCs w:val="24"/>
          <w:shd w:val="clear" w:color="auto" w:fill="FFFFFF"/>
        </w:rPr>
        <w:t>Horticulturae</w:t>
      </w:r>
      <w:proofErr w:type="spellEnd"/>
      <w:r w:rsidRPr="00941468">
        <w:rPr>
          <w:sz w:val="24"/>
          <w:szCs w:val="24"/>
          <w:shd w:val="clear" w:color="auto" w:fill="FFFFFF"/>
        </w:rPr>
        <w:t>, </w:t>
      </w:r>
      <w:r w:rsidRPr="00941468">
        <w:rPr>
          <w:i/>
          <w:iCs/>
          <w:sz w:val="24"/>
          <w:szCs w:val="24"/>
          <w:shd w:val="clear" w:color="auto" w:fill="FFFFFF"/>
        </w:rPr>
        <w:t>164</w:t>
      </w:r>
      <w:r w:rsidRPr="00941468">
        <w:rPr>
          <w:sz w:val="24"/>
          <w:szCs w:val="24"/>
          <w:shd w:val="clear" w:color="auto" w:fill="FFFFFF"/>
        </w:rPr>
        <w:t>, 616-624.</w:t>
      </w:r>
    </w:p>
    <w:p w14:paraId="354132B4"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Dookie, M., Ali, O., Ramsubhag, A., &amp; Jayaraman, J. (2021). Flowering gene regulation in tomato plants treated with brown seaweed extracts. </w:t>
      </w:r>
      <w:r w:rsidRPr="00941468">
        <w:rPr>
          <w:i/>
          <w:iCs/>
          <w:sz w:val="24"/>
          <w:szCs w:val="24"/>
          <w:shd w:val="clear" w:color="auto" w:fill="FFFFFF"/>
        </w:rPr>
        <w:t xml:space="preserve">Scientia </w:t>
      </w:r>
      <w:proofErr w:type="spellStart"/>
      <w:r w:rsidRPr="00941468">
        <w:rPr>
          <w:i/>
          <w:iCs/>
          <w:sz w:val="24"/>
          <w:szCs w:val="24"/>
          <w:shd w:val="clear" w:color="auto" w:fill="FFFFFF"/>
        </w:rPr>
        <w:t>Horticulturae</w:t>
      </w:r>
      <w:proofErr w:type="spellEnd"/>
      <w:r w:rsidRPr="00941468">
        <w:rPr>
          <w:sz w:val="24"/>
          <w:szCs w:val="24"/>
          <w:shd w:val="clear" w:color="auto" w:fill="FFFFFF"/>
        </w:rPr>
        <w:t>, </w:t>
      </w:r>
      <w:r w:rsidRPr="00941468">
        <w:rPr>
          <w:i/>
          <w:iCs/>
          <w:sz w:val="24"/>
          <w:szCs w:val="24"/>
          <w:shd w:val="clear" w:color="auto" w:fill="FFFFFF"/>
        </w:rPr>
        <w:t>276</w:t>
      </w:r>
      <w:r w:rsidRPr="00941468">
        <w:rPr>
          <w:sz w:val="24"/>
          <w:szCs w:val="24"/>
          <w:shd w:val="clear" w:color="auto" w:fill="FFFFFF"/>
        </w:rPr>
        <w:t>, 109715.</w:t>
      </w:r>
    </w:p>
    <w:p w14:paraId="2142EC5F"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 xml:space="preserve">Gupta, S., Doležal, K., Novák, O., </w:t>
      </w:r>
      <w:proofErr w:type="spellStart"/>
      <w:r w:rsidRPr="00941468">
        <w:rPr>
          <w:sz w:val="24"/>
          <w:szCs w:val="24"/>
          <w:shd w:val="clear" w:color="auto" w:fill="FFFFFF"/>
        </w:rPr>
        <w:t>Doležalova</w:t>
      </w:r>
      <w:proofErr w:type="spellEnd"/>
      <w:r w:rsidRPr="00941468">
        <w:rPr>
          <w:sz w:val="24"/>
          <w:szCs w:val="24"/>
          <w:shd w:val="clear" w:color="auto" w:fill="FFFFFF"/>
        </w:rPr>
        <w:t xml:space="preserve">, I., Hrdlička, J., Kulkarni, M. G., ... &amp; Van Staden, J. (2025). Role of </w:t>
      </w:r>
      <w:proofErr w:type="spellStart"/>
      <w:r w:rsidRPr="00941468">
        <w:rPr>
          <w:sz w:val="24"/>
          <w:szCs w:val="24"/>
          <w:shd w:val="clear" w:color="auto" w:fill="FFFFFF"/>
        </w:rPr>
        <w:t>biostimulants</w:t>
      </w:r>
      <w:proofErr w:type="spellEnd"/>
      <w:r w:rsidRPr="00941468">
        <w:rPr>
          <w:sz w:val="24"/>
          <w:szCs w:val="24"/>
          <w:shd w:val="clear" w:color="auto" w:fill="FFFFFF"/>
        </w:rPr>
        <w:t xml:space="preserve"> in flowering. In </w:t>
      </w:r>
      <w:proofErr w:type="spellStart"/>
      <w:r w:rsidRPr="00941468">
        <w:rPr>
          <w:i/>
          <w:iCs/>
          <w:sz w:val="24"/>
          <w:szCs w:val="24"/>
          <w:shd w:val="clear" w:color="auto" w:fill="FFFFFF"/>
        </w:rPr>
        <w:t>Biostimulants</w:t>
      </w:r>
      <w:proofErr w:type="spellEnd"/>
      <w:r w:rsidRPr="00941468">
        <w:rPr>
          <w:i/>
          <w:iCs/>
          <w:sz w:val="24"/>
          <w:szCs w:val="24"/>
          <w:shd w:val="clear" w:color="auto" w:fill="FFFFFF"/>
        </w:rPr>
        <w:t xml:space="preserve"> for Improving Reproductive Growth and Crop Yield</w:t>
      </w:r>
      <w:r w:rsidRPr="00941468">
        <w:rPr>
          <w:sz w:val="24"/>
          <w:szCs w:val="24"/>
          <w:shd w:val="clear" w:color="auto" w:fill="FFFFFF"/>
        </w:rPr>
        <w:t> (pp. 87-112). Academic Press.</w:t>
      </w:r>
    </w:p>
    <w:p w14:paraId="1F72CF35"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Harhash</w:t>
      </w:r>
      <w:proofErr w:type="spellEnd"/>
      <w:r w:rsidRPr="00941468">
        <w:rPr>
          <w:sz w:val="24"/>
          <w:szCs w:val="24"/>
          <w:shd w:val="clear" w:color="auto" w:fill="FFFFFF"/>
        </w:rPr>
        <w:t xml:space="preserve">, M. M. M., </w:t>
      </w:r>
      <w:proofErr w:type="spellStart"/>
      <w:r w:rsidRPr="00941468">
        <w:rPr>
          <w:sz w:val="24"/>
          <w:szCs w:val="24"/>
          <w:shd w:val="clear" w:color="auto" w:fill="FFFFFF"/>
        </w:rPr>
        <w:t>Weheda</w:t>
      </w:r>
      <w:proofErr w:type="spellEnd"/>
      <w:r w:rsidRPr="00941468">
        <w:rPr>
          <w:sz w:val="24"/>
          <w:szCs w:val="24"/>
          <w:shd w:val="clear" w:color="auto" w:fill="FFFFFF"/>
        </w:rPr>
        <w:t xml:space="preserve">, B., Gaber, M. K., &amp; </w:t>
      </w:r>
      <w:proofErr w:type="spellStart"/>
      <w:r w:rsidRPr="00941468">
        <w:rPr>
          <w:sz w:val="24"/>
          <w:szCs w:val="24"/>
          <w:shd w:val="clear" w:color="auto" w:fill="FFFFFF"/>
        </w:rPr>
        <w:t>Eldeb</w:t>
      </w:r>
      <w:proofErr w:type="spellEnd"/>
      <w:r w:rsidRPr="00941468">
        <w:rPr>
          <w:sz w:val="24"/>
          <w:szCs w:val="24"/>
          <w:shd w:val="clear" w:color="auto" w:fill="FFFFFF"/>
        </w:rPr>
        <w:t>, H. F. (2023). Effect of foliar application of seaweed extract and some plant growth regulators on the productivity and quality of dahlia (</w:t>
      </w:r>
      <w:r w:rsidRPr="00941468">
        <w:rPr>
          <w:i/>
          <w:sz w:val="24"/>
          <w:szCs w:val="24"/>
          <w:shd w:val="clear" w:color="auto" w:fill="FFFFFF"/>
        </w:rPr>
        <w:t>Dahlia variabilis</w:t>
      </w:r>
      <w:r w:rsidRPr="00941468">
        <w:rPr>
          <w:sz w:val="24"/>
          <w:szCs w:val="24"/>
          <w:shd w:val="clear" w:color="auto" w:fill="FFFFFF"/>
        </w:rPr>
        <w:t xml:space="preserve"> L.) plants. </w:t>
      </w:r>
      <w:r w:rsidRPr="00941468">
        <w:rPr>
          <w:i/>
          <w:iCs/>
          <w:sz w:val="24"/>
          <w:szCs w:val="24"/>
          <w:shd w:val="clear" w:color="auto" w:fill="FFFFFF"/>
        </w:rPr>
        <w:t>Scientific Journal of Flowers and Ornamental Plants</w:t>
      </w:r>
      <w:r w:rsidRPr="00941468">
        <w:rPr>
          <w:sz w:val="24"/>
          <w:szCs w:val="24"/>
          <w:shd w:val="clear" w:color="auto" w:fill="FFFFFF"/>
        </w:rPr>
        <w:t>, </w:t>
      </w:r>
      <w:r w:rsidRPr="00941468">
        <w:rPr>
          <w:i/>
          <w:iCs/>
          <w:sz w:val="24"/>
          <w:szCs w:val="24"/>
          <w:shd w:val="clear" w:color="auto" w:fill="FFFFFF"/>
        </w:rPr>
        <w:t>10</w:t>
      </w:r>
      <w:r w:rsidRPr="00941468">
        <w:rPr>
          <w:sz w:val="24"/>
          <w:szCs w:val="24"/>
          <w:shd w:val="clear" w:color="auto" w:fill="FFFFFF"/>
        </w:rPr>
        <w:t>(2), 137-149.</w:t>
      </w:r>
    </w:p>
    <w:p w14:paraId="1283DDCD"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 xml:space="preserve">Hashemi, R. H., Nikbakht, A., &amp; </w:t>
      </w:r>
      <w:proofErr w:type="spellStart"/>
      <w:r w:rsidRPr="00941468">
        <w:rPr>
          <w:sz w:val="24"/>
          <w:szCs w:val="24"/>
          <w:shd w:val="clear" w:color="auto" w:fill="FFFFFF"/>
        </w:rPr>
        <w:t>Aalipour</w:t>
      </w:r>
      <w:proofErr w:type="spellEnd"/>
      <w:r w:rsidRPr="00941468">
        <w:rPr>
          <w:sz w:val="24"/>
          <w:szCs w:val="24"/>
          <w:shd w:val="clear" w:color="auto" w:fill="FFFFFF"/>
        </w:rPr>
        <w:t>, H. (2024). Synergistic effects of oxygen nanobubble, nano-silicon and seaweed extract on promoting quality and postharvest performance of two cut rose flowers. </w:t>
      </w:r>
      <w:r w:rsidRPr="00941468">
        <w:rPr>
          <w:i/>
          <w:iCs/>
          <w:sz w:val="24"/>
          <w:szCs w:val="24"/>
          <w:shd w:val="clear" w:color="auto" w:fill="FFFFFF"/>
        </w:rPr>
        <w:t xml:space="preserve">Scientia </w:t>
      </w:r>
      <w:proofErr w:type="spellStart"/>
      <w:r w:rsidRPr="00941468">
        <w:rPr>
          <w:i/>
          <w:iCs/>
          <w:sz w:val="24"/>
          <w:szCs w:val="24"/>
          <w:shd w:val="clear" w:color="auto" w:fill="FFFFFF"/>
        </w:rPr>
        <w:t>Horticulturae</w:t>
      </w:r>
      <w:proofErr w:type="spellEnd"/>
      <w:r w:rsidRPr="00941468">
        <w:rPr>
          <w:sz w:val="24"/>
          <w:szCs w:val="24"/>
          <w:shd w:val="clear" w:color="auto" w:fill="FFFFFF"/>
        </w:rPr>
        <w:t>, </w:t>
      </w:r>
      <w:r w:rsidRPr="00941468">
        <w:rPr>
          <w:i/>
          <w:iCs/>
          <w:sz w:val="24"/>
          <w:szCs w:val="24"/>
          <w:shd w:val="clear" w:color="auto" w:fill="FFFFFF"/>
        </w:rPr>
        <w:t>338</w:t>
      </w:r>
      <w:r w:rsidRPr="00941468">
        <w:rPr>
          <w:sz w:val="24"/>
          <w:szCs w:val="24"/>
          <w:shd w:val="clear" w:color="auto" w:fill="FFFFFF"/>
        </w:rPr>
        <w:t>, 113637.</w:t>
      </w:r>
    </w:p>
    <w:p w14:paraId="67E0C821"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Hazarika, B. N., Teixeira da Silva, J. A., &amp; Talukdar, A. (2006). Effective acclimatization of in vitro cultured plants: methods, physiology and genetics. </w:t>
      </w:r>
      <w:r w:rsidRPr="00941468">
        <w:rPr>
          <w:i/>
          <w:iCs/>
          <w:sz w:val="24"/>
          <w:szCs w:val="24"/>
          <w:shd w:val="clear" w:color="auto" w:fill="FFFFFF"/>
        </w:rPr>
        <w:t>Floriculture, ornamental and plant biotechnology</w:t>
      </w:r>
      <w:r w:rsidRPr="00941468">
        <w:rPr>
          <w:sz w:val="24"/>
          <w:szCs w:val="24"/>
          <w:shd w:val="clear" w:color="auto" w:fill="FFFFFF"/>
        </w:rPr>
        <w:t>, </w:t>
      </w:r>
      <w:r w:rsidRPr="00941468">
        <w:rPr>
          <w:i/>
          <w:iCs/>
          <w:sz w:val="24"/>
          <w:szCs w:val="24"/>
          <w:shd w:val="clear" w:color="auto" w:fill="FFFFFF"/>
        </w:rPr>
        <w:t>2</w:t>
      </w:r>
      <w:r w:rsidRPr="00941468">
        <w:rPr>
          <w:sz w:val="24"/>
          <w:szCs w:val="24"/>
          <w:shd w:val="clear" w:color="auto" w:fill="FFFFFF"/>
        </w:rPr>
        <w:t>, 427-438.</w:t>
      </w:r>
    </w:p>
    <w:p w14:paraId="356A7ED8"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Khandel</w:t>
      </w:r>
      <w:proofErr w:type="spellEnd"/>
      <w:r w:rsidRPr="00941468">
        <w:rPr>
          <w:sz w:val="24"/>
          <w:szCs w:val="24"/>
          <w:shd w:val="clear" w:color="auto" w:fill="FFFFFF"/>
        </w:rPr>
        <w:t xml:space="preserve">, A. K., </w:t>
      </w:r>
      <w:proofErr w:type="spellStart"/>
      <w:r w:rsidRPr="00941468">
        <w:rPr>
          <w:sz w:val="24"/>
          <w:szCs w:val="24"/>
          <w:shd w:val="clear" w:color="auto" w:fill="FFFFFF"/>
        </w:rPr>
        <w:t>Gantait</w:t>
      </w:r>
      <w:proofErr w:type="spellEnd"/>
      <w:r w:rsidRPr="00941468">
        <w:rPr>
          <w:sz w:val="24"/>
          <w:szCs w:val="24"/>
          <w:shd w:val="clear" w:color="auto" w:fill="FFFFFF"/>
        </w:rPr>
        <w:t>, S., &amp; Verma, S. K. (2022). Optimization of growing conditions, substrate-types and their concentrations for acclimatization and post-acclimatization growth of in vitro-raised flame lily (</w:t>
      </w:r>
      <w:r w:rsidRPr="00941468">
        <w:rPr>
          <w:i/>
          <w:sz w:val="24"/>
          <w:szCs w:val="24"/>
          <w:shd w:val="clear" w:color="auto" w:fill="FFFFFF"/>
        </w:rPr>
        <w:t>Gloriosa superba</w:t>
      </w:r>
      <w:r w:rsidRPr="00941468">
        <w:rPr>
          <w:sz w:val="24"/>
          <w:szCs w:val="24"/>
          <w:shd w:val="clear" w:color="auto" w:fill="FFFFFF"/>
        </w:rPr>
        <w:t xml:space="preserve"> L.) plantlets. </w:t>
      </w:r>
      <w:proofErr w:type="spellStart"/>
      <w:r w:rsidRPr="00941468">
        <w:rPr>
          <w:i/>
          <w:iCs/>
          <w:sz w:val="24"/>
          <w:szCs w:val="24"/>
          <w:shd w:val="clear" w:color="auto" w:fill="FFFFFF"/>
        </w:rPr>
        <w:t>Vegetos</w:t>
      </w:r>
      <w:proofErr w:type="spellEnd"/>
      <w:r w:rsidRPr="00941468">
        <w:rPr>
          <w:sz w:val="24"/>
          <w:szCs w:val="24"/>
          <w:shd w:val="clear" w:color="auto" w:fill="FFFFFF"/>
        </w:rPr>
        <w:t>, </w:t>
      </w:r>
      <w:r w:rsidRPr="00941468">
        <w:rPr>
          <w:i/>
          <w:iCs/>
          <w:sz w:val="24"/>
          <w:szCs w:val="24"/>
          <w:shd w:val="clear" w:color="auto" w:fill="FFFFFF"/>
        </w:rPr>
        <w:t>35</w:t>
      </w:r>
      <w:r w:rsidRPr="00941468">
        <w:rPr>
          <w:sz w:val="24"/>
          <w:szCs w:val="24"/>
          <w:shd w:val="clear" w:color="auto" w:fill="FFFFFF"/>
        </w:rPr>
        <w:t>(1), 228-236.</w:t>
      </w:r>
    </w:p>
    <w:p w14:paraId="5190EAAD"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Kularathne</w:t>
      </w:r>
      <w:proofErr w:type="spellEnd"/>
      <w:r w:rsidRPr="00941468">
        <w:rPr>
          <w:sz w:val="24"/>
          <w:szCs w:val="24"/>
          <w:shd w:val="clear" w:color="auto" w:fill="FFFFFF"/>
        </w:rPr>
        <w:t xml:space="preserve">, M. A. M. N., </w:t>
      </w:r>
      <w:proofErr w:type="spellStart"/>
      <w:r w:rsidRPr="00941468">
        <w:rPr>
          <w:sz w:val="24"/>
          <w:szCs w:val="24"/>
          <w:shd w:val="clear" w:color="auto" w:fill="FFFFFF"/>
        </w:rPr>
        <w:t>Srikrishnah</w:t>
      </w:r>
      <w:proofErr w:type="spellEnd"/>
      <w:r w:rsidRPr="00941468">
        <w:rPr>
          <w:sz w:val="24"/>
          <w:szCs w:val="24"/>
          <w:shd w:val="clear" w:color="auto" w:fill="FFFFFF"/>
        </w:rPr>
        <w:t>, S., &amp; Sutharsan, S. (2021). Influence of seaweed (</w:t>
      </w:r>
      <w:r w:rsidRPr="00941468">
        <w:rPr>
          <w:i/>
          <w:sz w:val="24"/>
          <w:szCs w:val="24"/>
          <w:shd w:val="clear" w:color="auto" w:fill="FFFFFF"/>
        </w:rPr>
        <w:t xml:space="preserve">Padina </w:t>
      </w:r>
      <w:proofErr w:type="spellStart"/>
      <w:r w:rsidRPr="00941468">
        <w:rPr>
          <w:i/>
          <w:sz w:val="24"/>
          <w:szCs w:val="24"/>
          <w:shd w:val="clear" w:color="auto" w:fill="FFFFFF"/>
        </w:rPr>
        <w:t>antrillarum</w:t>
      </w:r>
      <w:proofErr w:type="spellEnd"/>
      <w:r w:rsidRPr="00941468">
        <w:rPr>
          <w:sz w:val="24"/>
          <w:szCs w:val="24"/>
          <w:shd w:val="clear" w:color="auto" w:fill="FFFFFF"/>
        </w:rPr>
        <w:t>) extract foliar application on growth and flowering of roses variety ‘Local’. </w:t>
      </w:r>
      <w:r w:rsidRPr="00941468">
        <w:rPr>
          <w:i/>
          <w:iCs/>
          <w:sz w:val="24"/>
          <w:szCs w:val="24"/>
          <w:shd w:val="clear" w:color="auto" w:fill="FFFFFF"/>
        </w:rPr>
        <w:t>International Journal of Applied Sciences and Biotechnology</w:t>
      </w:r>
      <w:r w:rsidRPr="00941468">
        <w:rPr>
          <w:sz w:val="24"/>
          <w:szCs w:val="24"/>
          <w:shd w:val="clear" w:color="auto" w:fill="FFFFFF"/>
        </w:rPr>
        <w:t>, </w:t>
      </w:r>
      <w:r w:rsidRPr="00941468">
        <w:rPr>
          <w:i/>
          <w:iCs/>
          <w:sz w:val="24"/>
          <w:szCs w:val="24"/>
          <w:shd w:val="clear" w:color="auto" w:fill="FFFFFF"/>
        </w:rPr>
        <w:t>9</w:t>
      </w:r>
      <w:r w:rsidRPr="00941468">
        <w:rPr>
          <w:sz w:val="24"/>
          <w:szCs w:val="24"/>
          <w:shd w:val="clear" w:color="auto" w:fill="FFFFFF"/>
        </w:rPr>
        <w:t>(4), 235-241.</w:t>
      </w:r>
    </w:p>
    <w:p w14:paraId="3F87D041"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Kularathne</w:t>
      </w:r>
      <w:proofErr w:type="spellEnd"/>
      <w:r w:rsidRPr="00941468">
        <w:rPr>
          <w:sz w:val="24"/>
          <w:szCs w:val="24"/>
          <w:shd w:val="clear" w:color="auto" w:fill="FFFFFF"/>
        </w:rPr>
        <w:t xml:space="preserve">, M. N., </w:t>
      </w:r>
      <w:proofErr w:type="spellStart"/>
      <w:r w:rsidRPr="00941468">
        <w:rPr>
          <w:sz w:val="24"/>
          <w:szCs w:val="24"/>
          <w:shd w:val="clear" w:color="auto" w:fill="FFFFFF"/>
        </w:rPr>
        <w:t>Srikrishnah</w:t>
      </w:r>
      <w:proofErr w:type="spellEnd"/>
      <w:r w:rsidRPr="00941468">
        <w:rPr>
          <w:sz w:val="24"/>
          <w:szCs w:val="24"/>
          <w:shd w:val="clear" w:color="auto" w:fill="FFFFFF"/>
        </w:rPr>
        <w:t>, S., &amp; Sutharsan, S. (2021). Effect of seaweed extracts on ornamental plants: Article review. </w:t>
      </w:r>
      <w:r w:rsidRPr="00941468">
        <w:rPr>
          <w:i/>
          <w:iCs/>
          <w:sz w:val="24"/>
          <w:szCs w:val="24"/>
          <w:shd w:val="clear" w:color="auto" w:fill="FFFFFF"/>
        </w:rPr>
        <w:t>Current Agriculture Research Journal</w:t>
      </w:r>
      <w:r w:rsidRPr="00941468">
        <w:rPr>
          <w:sz w:val="24"/>
          <w:szCs w:val="24"/>
          <w:shd w:val="clear" w:color="auto" w:fill="FFFFFF"/>
        </w:rPr>
        <w:t>, </w:t>
      </w:r>
      <w:r w:rsidRPr="00941468">
        <w:rPr>
          <w:i/>
          <w:iCs/>
          <w:sz w:val="24"/>
          <w:szCs w:val="24"/>
          <w:shd w:val="clear" w:color="auto" w:fill="FFFFFF"/>
        </w:rPr>
        <w:t>9</w:t>
      </w:r>
      <w:r w:rsidRPr="00941468">
        <w:rPr>
          <w:sz w:val="24"/>
          <w:szCs w:val="24"/>
          <w:shd w:val="clear" w:color="auto" w:fill="FFFFFF"/>
        </w:rPr>
        <w:t>(3).</w:t>
      </w:r>
    </w:p>
    <w:p w14:paraId="584D2C8C"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Muraleedharan</w:t>
      </w:r>
      <w:proofErr w:type="spellEnd"/>
      <w:r w:rsidRPr="00941468">
        <w:rPr>
          <w:sz w:val="24"/>
          <w:szCs w:val="24"/>
          <w:shd w:val="clear" w:color="auto" w:fill="FFFFFF"/>
        </w:rPr>
        <w:t xml:space="preserve">, A., Sha, K., Kumar, S., Sujin, G. S., Joshi, J. L., &amp; Kumar, C. P. (2020). </w:t>
      </w:r>
      <w:r w:rsidRPr="00941468">
        <w:rPr>
          <w:sz w:val="24"/>
          <w:szCs w:val="24"/>
          <w:shd w:val="clear" w:color="auto" w:fill="FFFFFF"/>
        </w:rPr>
        <w:lastRenderedPageBreak/>
        <w:t>Influence of sea weed extract along with growth regulators on the growth, flowering and yield of Anthurium plants. </w:t>
      </w:r>
      <w:r w:rsidRPr="00941468">
        <w:rPr>
          <w:i/>
          <w:iCs/>
          <w:sz w:val="24"/>
          <w:szCs w:val="24"/>
          <w:shd w:val="clear" w:color="auto" w:fill="FFFFFF"/>
        </w:rPr>
        <w:t>Plant Archives</w:t>
      </w:r>
      <w:r w:rsidRPr="00941468">
        <w:rPr>
          <w:sz w:val="24"/>
          <w:szCs w:val="24"/>
          <w:shd w:val="clear" w:color="auto" w:fill="FFFFFF"/>
        </w:rPr>
        <w:t>, </w:t>
      </w:r>
      <w:r w:rsidRPr="00941468">
        <w:rPr>
          <w:i/>
          <w:iCs/>
          <w:sz w:val="24"/>
          <w:szCs w:val="24"/>
          <w:shd w:val="clear" w:color="auto" w:fill="FFFFFF"/>
        </w:rPr>
        <w:t>20</w:t>
      </w:r>
      <w:r w:rsidRPr="00941468">
        <w:rPr>
          <w:sz w:val="24"/>
          <w:szCs w:val="24"/>
          <w:shd w:val="clear" w:color="auto" w:fill="FFFFFF"/>
        </w:rPr>
        <w:t>(2), 1196-1199.</w:t>
      </w:r>
    </w:p>
    <w:p w14:paraId="23B2D605" w14:textId="77777777" w:rsidR="00DC0C63" w:rsidRPr="00941468" w:rsidRDefault="00DC0C63" w:rsidP="00105B69">
      <w:pPr>
        <w:pStyle w:val="ListParagraph"/>
        <w:numPr>
          <w:ilvl w:val="0"/>
          <w:numId w:val="3"/>
        </w:numPr>
        <w:rPr>
          <w:sz w:val="24"/>
          <w:szCs w:val="24"/>
        </w:rPr>
      </w:pPr>
      <w:proofErr w:type="spellStart"/>
      <w:r w:rsidRPr="00941468">
        <w:rPr>
          <w:sz w:val="24"/>
          <w:szCs w:val="24"/>
          <w:shd w:val="clear" w:color="auto" w:fill="FFFFFF"/>
        </w:rPr>
        <w:t>Pavão</w:t>
      </w:r>
      <w:proofErr w:type="spellEnd"/>
      <w:r w:rsidRPr="00941468">
        <w:rPr>
          <w:sz w:val="24"/>
          <w:szCs w:val="24"/>
          <w:shd w:val="clear" w:color="auto" w:fill="FFFFFF"/>
        </w:rPr>
        <w:t xml:space="preserve">, J. M. D. S. J., de Castro, E. M., Sant'Anna, S. A. C., de Pontes Bomfim, T. R., dos Santos, A. F., da Costa, J. G., ... &amp; Rocha, T. J. M. (2019). Anatomical aspects of the ginger flower </w:t>
      </w:r>
      <w:proofErr w:type="spellStart"/>
      <w:r w:rsidRPr="00941468">
        <w:rPr>
          <w:sz w:val="24"/>
          <w:szCs w:val="24"/>
          <w:shd w:val="clear" w:color="auto" w:fill="FFFFFF"/>
        </w:rPr>
        <w:t>Etlingera</w:t>
      </w:r>
      <w:proofErr w:type="spellEnd"/>
      <w:r w:rsidRPr="00941468">
        <w:rPr>
          <w:sz w:val="24"/>
          <w:szCs w:val="24"/>
          <w:shd w:val="clear" w:color="auto" w:fill="FFFFFF"/>
        </w:rPr>
        <w:t xml:space="preserve"> elatior (Jack.) RM Smith, acclimatization with the usage of different nutritive solutions. </w:t>
      </w:r>
      <w:r w:rsidRPr="00941468">
        <w:rPr>
          <w:i/>
          <w:iCs/>
          <w:sz w:val="24"/>
          <w:szCs w:val="24"/>
          <w:shd w:val="clear" w:color="auto" w:fill="FFFFFF"/>
        </w:rPr>
        <w:t>Emirates Journal of Food and Agriculture</w:t>
      </w:r>
      <w:r w:rsidRPr="00941468">
        <w:rPr>
          <w:sz w:val="24"/>
          <w:szCs w:val="24"/>
          <w:shd w:val="clear" w:color="auto" w:fill="FFFFFF"/>
        </w:rPr>
        <w:t>, </w:t>
      </w:r>
      <w:r w:rsidRPr="00941468">
        <w:rPr>
          <w:i/>
          <w:iCs/>
          <w:sz w:val="24"/>
          <w:szCs w:val="24"/>
          <w:shd w:val="clear" w:color="auto" w:fill="FFFFFF"/>
        </w:rPr>
        <w:t>31</w:t>
      </w:r>
      <w:r w:rsidRPr="00941468">
        <w:rPr>
          <w:sz w:val="24"/>
          <w:szCs w:val="24"/>
          <w:shd w:val="clear" w:color="auto" w:fill="FFFFFF"/>
        </w:rPr>
        <w:t>(9), 708-717.</w:t>
      </w:r>
    </w:p>
    <w:p w14:paraId="1EC94B85" w14:textId="77777777" w:rsidR="00DC0C63" w:rsidRPr="00941468" w:rsidRDefault="00DC0C63" w:rsidP="00105B69">
      <w:pPr>
        <w:pStyle w:val="ListParagraph"/>
        <w:numPr>
          <w:ilvl w:val="0"/>
          <w:numId w:val="3"/>
        </w:numPr>
        <w:rPr>
          <w:sz w:val="24"/>
          <w:szCs w:val="24"/>
        </w:rPr>
      </w:pPr>
      <w:r w:rsidRPr="00941468">
        <w:rPr>
          <w:sz w:val="24"/>
          <w:szCs w:val="24"/>
          <w:shd w:val="clear" w:color="auto" w:fill="FFFFFF"/>
        </w:rPr>
        <w:t xml:space="preserve">Velasco-Ramírez, A., Velasco-Ramírez, A. P., Hernández-Herrera, R. M., García-Contreras, F. M., &amp; Maldonado-Villegas, M. M. (2020). Effect of liquid seaweed extract on potted growth of </w:t>
      </w:r>
      <w:r w:rsidRPr="00941468">
        <w:rPr>
          <w:i/>
          <w:sz w:val="24"/>
          <w:szCs w:val="24"/>
          <w:shd w:val="clear" w:color="auto" w:fill="FFFFFF"/>
        </w:rPr>
        <w:t>Eustoma grandiflorum</w:t>
      </w:r>
      <w:r w:rsidRPr="00941468">
        <w:rPr>
          <w:sz w:val="24"/>
          <w:szCs w:val="24"/>
          <w:shd w:val="clear" w:color="auto" w:fill="FFFFFF"/>
        </w:rPr>
        <w:t xml:space="preserve"> (Raf.) Shinners. </w:t>
      </w:r>
      <w:r w:rsidRPr="00941468">
        <w:rPr>
          <w:i/>
          <w:iCs/>
          <w:sz w:val="24"/>
          <w:szCs w:val="24"/>
          <w:shd w:val="clear" w:color="auto" w:fill="FFFFFF"/>
        </w:rPr>
        <w:t>Tropical and Subtropical Agroecosystems</w:t>
      </w:r>
      <w:r w:rsidRPr="00941468">
        <w:rPr>
          <w:sz w:val="24"/>
          <w:szCs w:val="24"/>
          <w:shd w:val="clear" w:color="auto" w:fill="FFFFFF"/>
        </w:rPr>
        <w:t>, </w:t>
      </w:r>
      <w:r w:rsidRPr="00941468">
        <w:rPr>
          <w:i/>
          <w:iCs/>
          <w:sz w:val="24"/>
          <w:szCs w:val="24"/>
          <w:shd w:val="clear" w:color="auto" w:fill="FFFFFF"/>
        </w:rPr>
        <w:t>23</w:t>
      </w:r>
      <w:r w:rsidRPr="00941468">
        <w:rPr>
          <w:sz w:val="24"/>
          <w:szCs w:val="24"/>
          <w:shd w:val="clear" w:color="auto" w:fill="FFFFFF"/>
        </w:rPr>
        <w:t>(2).</w:t>
      </w:r>
    </w:p>
    <w:p w14:paraId="2B62EEA8" w14:textId="77777777" w:rsidR="005C0AE9" w:rsidRPr="00941468" w:rsidRDefault="005C0AE9" w:rsidP="005C0AE9">
      <w:pPr>
        <w:rPr>
          <w:sz w:val="24"/>
          <w:szCs w:val="24"/>
        </w:rPr>
      </w:pPr>
    </w:p>
    <w:p w14:paraId="0D6A657F" w14:textId="77777777" w:rsidR="005C0AE9" w:rsidRPr="00941468" w:rsidRDefault="005C0AE9" w:rsidP="005C0AE9">
      <w:pPr>
        <w:rPr>
          <w:sz w:val="24"/>
          <w:szCs w:val="24"/>
        </w:rPr>
      </w:pPr>
    </w:p>
    <w:p w14:paraId="45C47108" w14:textId="77777777" w:rsidR="005C0AE9" w:rsidRPr="00941468" w:rsidRDefault="005C0AE9" w:rsidP="005C0AE9">
      <w:pPr>
        <w:rPr>
          <w:sz w:val="24"/>
          <w:szCs w:val="24"/>
        </w:rPr>
      </w:pPr>
    </w:p>
    <w:p w14:paraId="1C312D14" w14:textId="77777777" w:rsidR="005C0AE9" w:rsidRPr="00941468" w:rsidRDefault="005C0AE9" w:rsidP="005C0AE9">
      <w:pPr>
        <w:rPr>
          <w:sz w:val="24"/>
          <w:szCs w:val="24"/>
        </w:rPr>
      </w:pPr>
    </w:p>
    <w:p w14:paraId="259B24B2" w14:textId="77777777" w:rsidR="005C0AE9" w:rsidRPr="00941468" w:rsidRDefault="005C0AE9" w:rsidP="005C0AE9">
      <w:pPr>
        <w:rPr>
          <w:sz w:val="24"/>
          <w:szCs w:val="24"/>
        </w:rPr>
      </w:pPr>
    </w:p>
    <w:p w14:paraId="4BDB7EA1" w14:textId="77777777" w:rsidR="00197CC6" w:rsidRPr="00941468" w:rsidRDefault="00197CC6" w:rsidP="005C0AE9">
      <w:pPr>
        <w:rPr>
          <w:sz w:val="24"/>
          <w:szCs w:val="24"/>
        </w:rPr>
      </w:pPr>
    </w:p>
    <w:p w14:paraId="3E95C8A5" w14:textId="77777777" w:rsidR="00197CC6" w:rsidRPr="00941468" w:rsidRDefault="00197CC6" w:rsidP="005C0AE9">
      <w:pPr>
        <w:rPr>
          <w:sz w:val="24"/>
          <w:szCs w:val="24"/>
        </w:rPr>
      </w:pPr>
    </w:p>
    <w:p w14:paraId="133F39D6" w14:textId="77777777" w:rsidR="00197CC6" w:rsidRPr="00941468" w:rsidRDefault="00197CC6" w:rsidP="005C0AE9">
      <w:pPr>
        <w:rPr>
          <w:sz w:val="24"/>
          <w:szCs w:val="24"/>
        </w:rPr>
      </w:pPr>
    </w:p>
    <w:p w14:paraId="7B9A7CB0" w14:textId="77777777" w:rsidR="00197CC6" w:rsidRPr="00941468" w:rsidRDefault="00197CC6" w:rsidP="005C0AE9">
      <w:pPr>
        <w:rPr>
          <w:sz w:val="24"/>
          <w:szCs w:val="24"/>
        </w:rPr>
      </w:pPr>
    </w:p>
    <w:p w14:paraId="70AE63BF" w14:textId="77777777" w:rsidR="00197CC6" w:rsidRPr="00941468" w:rsidRDefault="00197CC6" w:rsidP="005C0AE9">
      <w:pPr>
        <w:rPr>
          <w:sz w:val="24"/>
          <w:szCs w:val="24"/>
        </w:rPr>
      </w:pPr>
    </w:p>
    <w:p w14:paraId="6D35814F" w14:textId="77777777" w:rsidR="00197CC6" w:rsidRPr="00941468" w:rsidRDefault="00197CC6" w:rsidP="005C0AE9">
      <w:pPr>
        <w:rPr>
          <w:sz w:val="24"/>
          <w:szCs w:val="24"/>
        </w:rPr>
      </w:pPr>
    </w:p>
    <w:p w14:paraId="38AE9555" w14:textId="77777777" w:rsidR="00197CC6" w:rsidRPr="00941468" w:rsidRDefault="00197CC6" w:rsidP="005C0AE9">
      <w:pPr>
        <w:rPr>
          <w:sz w:val="24"/>
          <w:szCs w:val="24"/>
        </w:rPr>
      </w:pPr>
    </w:p>
    <w:p w14:paraId="1CA3AB6F" w14:textId="77777777" w:rsidR="00197CC6" w:rsidRPr="00941468" w:rsidRDefault="00197CC6" w:rsidP="005C0AE9">
      <w:pPr>
        <w:rPr>
          <w:sz w:val="24"/>
          <w:szCs w:val="24"/>
        </w:rPr>
      </w:pPr>
    </w:p>
    <w:p w14:paraId="4DF474B9" w14:textId="77777777" w:rsidR="00197CC6" w:rsidRPr="00941468" w:rsidRDefault="00197CC6" w:rsidP="005C0AE9">
      <w:pPr>
        <w:rPr>
          <w:sz w:val="24"/>
          <w:szCs w:val="24"/>
        </w:rPr>
      </w:pPr>
    </w:p>
    <w:p w14:paraId="362ECE46" w14:textId="77777777" w:rsidR="00197CC6" w:rsidRPr="00941468" w:rsidRDefault="00197CC6" w:rsidP="005C0AE9">
      <w:pPr>
        <w:rPr>
          <w:sz w:val="24"/>
          <w:szCs w:val="24"/>
        </w:rPr>
        <w:sectPr w:rsidR="00197CC6" w:rsidRPr="009414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CAC30F1" w14:textId="77777777" w:rsidR="00197CC6" w:rsidRPr="00941468" w:rsidRDefault="00197CC6" w:rsidP="00197CC6">
      <w:pPr>
        <w:spacing w:before="100" w:beforeAutospacing="1" w:after="100" w:afterAutospacing="1" w:line="240" w:lineRule="auto"/>
        <w:outlineLvl w:val="3"/>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lastRenderedPageBreak/>
        <w:t>Table 1: Effect of CPPU and Seaweed Extract on morphological characters of Syngonium</w:t>
      </w:r>
    </w:p>
    <w:tbl>
      <w:tblPr>
        <w:tblStyle w:val="TableGrid"/>
        <w:tblW w:w="14400" w:type="dxa"/>
        <w:tblInd w:w="-792" w:type="dxa"/>
        <w:tblLayout w:type="fixed"/>
        <w:tblLook w:val="04A0" w:firstRow="1" w:lastRow="0" w:firstColumn="1" w:lastColumn="0" w:noHBand="0" w:noVBand="1"/>
      </w:tblPr>
      <w:tblGrid>
        <w:gridCol w:w="1350"/>
        <w:gridCol w:w="3510"/>
        <w:gridCol w:w="1350"/>
        <w:gridCol w:w="1080"/>
        <w:gridCol w:w="1260"/>
        <w:gridCol w:w="1104"/>
        <w:gridCol w:w="1506"/>
        <w:gridCol w:w="1620"/>
        <w:gridCol w:w="1620"/>
      </w:tblGrid>
      <w:tr w:rsidR="00197CC6" w:rsidRPr="00941468" w14:paraId="69A73BCE" w14:textId="77777777" w:rsidTr="00E63225">
        <w:trPr>
          <w:trHeight w:val="701"/>
        </w:trPr>
        <w:tc>
          <w:tcPr>
            <w:tcW w:w="1350" w:type="dxa"/>
            <w:hideMark/>
          </w:tcPr>
          <w:p w14:paraId="34DE5B67" w14:textId="77777777" w:rsidR="00197CC6" w:rsidRPr="00941468" w:rsidRDefault="00197CC6" w:rsidP="00E63225">
            <w:pPr>
              <w:jc w:val="center"/>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Treatment Code</w:t>
            </w:r>
          </w:p>
        </w:tc>
        <w:tc>
          <w:tcPr>
            <w:tcW w:w="3510" w:type="dxa"/>
            <w:hideMark/>
          </w:tcPr>
          <w:p w14:paraId="51654DB1" w14:textId="77777777" w:rsidR="00197CC6" w:rsidRPr="00941468" w:rsidRDefault="00197CC6" w:rsidP="00E63225">
            <w:pPr>
              <w:jc w:val="center"/>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Treatment Details</w:t>
            </w:r>
          </w:p>
        </w:tc>
        <w:tc>
          <w:tcPr>
            <w:tcW w:w="1350" w:type="dxa"/>
            <w:hideMark/>
          </w:tcPr>
          <w:p w14:paraId="36625FE2" w14:textId="77777777" w:rsidR="00197CC6" w:rsidRPr="00941468" w:rsidRDefault="00197CC6" w:rsidP="00E63225">
            <w:pPr>
              <w:pStyle w:val="NormalWeb"/>
              <w:spacing w:before="0" w:beforeAutospacing="0" w:after="0" w:afterAutospacing="0" w:line="276" w:lineRule="auto"/>
              <w:jc w:val="center"/>
            </w:pPr>
            <w:r w:rsidRPr="00941468">
              <w:rPr>
                <w:b/>
                <w:bCs/>
                <w:kern w:val="24"/>
              </w:rPr>
              <w:t>Plant height (cm)</w:t>
            </w:r>
            <w:r w:rsidRPr="00941468">
              <w:rPr>
                <w:kern w:val="24"/>
              </w:rPr>
              <w:t xml:space="preserve"> </w:t>
            </w:r>
          </w:p>
        </w:tc>
        <w:tc>
          <w:tcPr>
            <w:tcW w:w="1080" w:type="dxa"/>
            <w:hideMark/>
          </w:tcPr>
          <w:p w14:paraId="7705401C" w14:textId="77777777" w:rsidR="00197CC6" w:rsidRPr="00941468" w:rsidRDefault="00197CC6" w:rsidP="00E63225">
            <w:pPr>
              <w:pStyle w:val="NormalWeb"/>
              <w:spacing w:before="0" w:beforeAutospacing="0" w:after="0" w:afterAutospacing="0" w:line="276" w:lineRule="auto"/>
              <w:jc w:val="center"/>
            </w:pPr>
            <w:r w:rsidRPr="00941468">
              <w:rPr>
                <w:b/>
                <w:bCs/>
                <w:kern w:val="24"/>
              </w:rPr>
              <w:t>No. of Leaves</w:t>
            </w:r>
            <w:r w:rsidRPr="00941468">
              <w:rPr>
                <w:kern w:val="24"/>
              </w:rPr>
              <w:t xml:space="preserve"> </w:t>
            </w:r>
          </w:p>
        </w:tc>
        <w:tc>
          <w:tcPr>
            <w:tcW w:w="1260" w:type="dxa"/>
            <w:hideMark/>
          </w:tcPr>
          <w:p w14:paraId="1F79584D" w14:textId="77777777" w:rsidR="00197CC6" w:rsidRPr="00941468" w:rsidRDefault="00197CC6" w:rsidP="00E63225">
            <w:pPr>
              <w:pStyle w:val="NormalWeb"/>
              <w:spacing w:before="0" w:beforeAutospacing="0" w:after="0" w:afterAutospacing="0" w:line="276" w:lineRule="auto"/>
              <w:jc w:val="center"/>
            </w:pPr>
            <w:r w:rsidRPr="00941468">
              <w:rPr>
                <w:b/>
                <w:bCs/>
                <w:kern w:val="24"/>
              </w:rPr>
              <w:t>Leaf Length (cm)</w:t>
            </w:r>
            <w:r w:rsidRPr="00941468">
              <w:rPr>
                <w:kern w:val="24"/>
              </w:rPr>
              <w:t xml:space="preserve"> </w:t>
            </w:r>
          </w:p>
        </w:tc>
        <w:tc>
          <w:tcPr>
            <w:tcW w:w="1104" w:type="dxa"/>
            <w:hideMark/>
          </w:tcPr>
          <w:p w14:paraId="0D3D4BA1" w14:textId="77777777" w:rsidR="00197CC6" w:rsidRPr="00941468" w:rsidRDefault="00197CC6" w:rsidP="00E63225">
            <w:pPr>
              <w:pStyle w:val="NormalWeb"/>
              <w:spacing w:before="0" w:beforeAutospacing="0" w:after="0" w:afterAutospacing="0" w:line="276" w:lineRule="auto"/>
              <w:jc w:val="center"/>
            </w:pPr>
            <w:r w:rsidRPr="00941468">
              <w:rPr>
                <w:b/>
                <w:bCs/>
                <w:kern w:val="24"/>
              </w:rPr>
              <w:t>Leaf Breadth (cm)</w:t>
            </w:r>
            <w:r w:rsidRPr="00941468">
              <w:rPr>
                <w:kern w:val="24"/>
              </w:rPr>
              <w:t xml:space="preserve"> </w:t>
            </w:r>
          </w:p>
        </w:tc>
        <w:tc>
          <w:tcPr>
            <w:tcW w:w="1506" w:type="dxa"/>
            <w:hideMark/>
          </w:tcPr>
          <w:p w14:paraId="038B282C" w14:textId="77777777" w:rsidR="00197CC6" w:rsidRPr="00941468" w:rsidRDefault="00197CC6" w:rsidP="00E63225">
            <w:pPr>
              <w:pStyle w:val="NormalWeb"/>
              <w:spacing w:before="0" w:beforeAutospacing="0" w:after="0" w:afterAutospacing="0" w:line="276" w:lineRule="auto"/>
              <w:jc w:val="center"/>
            </w:pPr>
            <w:r w:rsidRPr="00941468">
              <w:rPr>
                <w:b/>
                <w:bCs/>
                <w:kern w:val="24"/>
              </w:rPr>
              <w:t>Leaf Area (cm²)</w:t>
            </w:r>
            <w:r w:rsidRPr="00941468">
              <w:rPr>
                <w:kern w:val="24"/>
              </w:rPr>
              <w:t xml:space="preserve"> </w:t>
            </w:r>
          </w:p>
        </w:tc>
        <w:tc>
          <w:tcPr>
            <w:tcW w:w="1620" w:type="dxa"/>
            <w:hideMark/>
          </w:tcPr>
          <w:p w14:paraId="0C90DACE" w14:textId="77777777" w:rsidR="00197CC6" w:rsidRPr="00941468" w:rsidRDefault="00197CC6" w:rsidP="00E63225">
            <w:pPr>
              <w:pStyle w:val="NormalWeb"/>
              <w:spacing w:before="0" w:beforeAutospacing="0" w:after="0" w:afterAutospacing="0" w:line="276" w:lineRule="auto"/>
              <w:jc w:val="center"/>
            </w:pPr>
            <w:r w:rsidRPr="00941468">
              <w:rPr>
                <w:b/>
                <w:bCs/>
                <w:kern w:val="24"/>
              </w:rPr>
              <w:t>Foliage Fresh Weight (g)</w:t>
            </w:r>
            <w:r w:rsidRPr="00941468">
              <w:rPr>
                <w:kern w:val="24"/>
              </w:rPr>
              <w:t xml:space="preserve"> </w:t>
            </w:r>
          </w:p>
        </w:tc>
        <w:tc>
          <w:tcPr>
            <w:tcW w:w="1620" w:type="dxa"/>
            <w:hideMark/>
          </w:tcPr>
          <w:p w14:paraId="2C26DADE" w14:textId="77777777" w:rsidR="00197CC6" w:rsidRPr="00941468" w:rsidRDefault="00197CC6" w:rsidP="00E63225">
            <w:pPr>
              <w:pStyle w:val="NormalWeb"/>
              <w:spacing w:before="0" w:beforeAutospacing="0" w:after="0" w:afterAutospacing="0" w:line="276" w:lineRule="auto"/>
              <w:jc w:val="center"/>
            </w:pPr>
            <w:r w:rsidRPr="00941468">
              <w:rPr>
                <w:b/>
                <w:bCs/>
                <w:kern w:val="24"/>
              </w:rPr>
              <w:t>Foliage Dry Weight (g)</w:t>
            </w:r>
            <w:r w:rsidRPr="00941468">
              <w:rPr>
                <w:kern w:val="24"/>
              </w:rPr>
              <w:t xml:space="preserve"> </w:t>
            </w:r>
          </w:p>
        </w:tc>
      </w:tr>
      <w:tr w:rsidR="00197CC6" w:rsidRPr="00941468" w14:paraId="68D24F9D" w14:textId="77777777" w:rsidTr="00E63225">
        <w:tc>
          <w:tcPr>
            <w:tcW w:w="1350" w:type="dxa"/>
            <w:hideMark/>
          </w:tcPr>
          <w:p w14:paraId="4FAE40C6"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0</w:t>
            </w:r>
          </w:p>
        </w:tc>
        <w:tc>
          <w:tcPr>
            <w:tcW w:w="3510" w:type="dxa"/>
            <w:hideMark/>
          </w:tcPr>
          <w:p w14:paraId="6AF7DE31"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Control (water spray)</w:t>
            </w:r>
          </w:p>
        </w:tc>
        <w:tc>
          <w:tcPr>
            <w:tcW w:w="1350" w:type="dxa"/>
            <w:hideMark/>
          </w:tcPr>
          <w:p w14:paraId="4213FE14"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18.20 </w:t>
            </w:r>
          </w:p>
        </w:tc>
        <w:tc>
          <w:tcPr>
            <w:tcW w:w="1080" w:type="dxa"/>
            <w:hideMark/>
          </w:tcPr>
          <w:p w14:paraId="14071DE9"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6.15 </w:t>
            </w:r>
          </w:p>
        </w:tc>
        <w:tc>
          <w:tcPr>
            <w:tcW w:w="1260" w:type="dxa"/>
            <w:hideMark/>
          </w:tcPr>
          <w:p w14:paraId="7013228C"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7.81 </w:t>
            </w:r>
          </w:p>
        </w:tc>
        <w:tc>
          <w:tcPr>
            <w:tcW w:w="1104" w:type="dxa"/>
            <w:hideMark/>
          </w:tcPr>
          <w:p w14:paraId="292149D3"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4.20 </w:t>
            </w:r>
          </w:p>
        </w:tc>
        <w:tc>
          <w:tcPr>
            <w:tcW w:w="1506" w:type="dxa"/>
            <w:hideMark/>
          </w:tcPr>
          <w:p w14:paraId="7D19EBF4"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32.80 </w:t>
            </w:r>
          </w:p>
        </w:tc>
        <w:tc>
          <w:tcPr>
            <w:tcW w:w="1620" w:type="dxa"/>
            <w:hideMark/>
          </w:tcPr>
          <w:p w14:paraId="667DFAB5"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23.52 </w:t>
            </w:r>
          </w:p>
        </w:tc>
        <w:tc>
          <w:tcPr>
            <w:tcW w:w="1620" w:type="dxa"/>
            <w:hideMark/>
          </w:tcPr>
          <w:p w14:paraId="0A07D064"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5.10 </w:t>
            </w:r>
          </w:p>
        </w:tc>
      </w:tr>
      <w:tr w:rsidR="00197CC6" w:rsidRPr="00941468" w14:paraId="67B333FE" w14:textId="77777777" w:rsidTr="00E63225">
        <w:tc>
          <w:tcPr>
            <w:tcW w:w="1350" w:type="dxa"/>
            <w:hideMark/>
          </w:tcPr>
          <w:p w14:paraId="67451838"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1</w:t>
            </w:r>
          </w:p>
        </w:tc>
        <w:tc>
          <w:tcPr>
            <w:tcW w:w="3510" w:type="dxa"/>
            <w:hideMark/>
          </w:tcPr>
          <w:p w14:paraId="60BF028B"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1 ppm</w:t>
            </w:r>
          </w:p>
        </w:tc>
        <w:tc>
          <w:tcPr>
            <w:tcW w:w="1350" w:type="dxa"/>
            <w:hideMark/>
          </w:tcPr>
          <w:p w14:paraId="1AD18569" w14:textId="77777777" w:rsidR="00197CC6" w:rsidRPr="00941468" w:rsidRDefault="00197CC6" w:rsidP="00E63225">
            <w:pPr>
              <w:pStyle w:val="NormalWeb"/>
              <w:spacing w:before="0" w:beforeAutospacing="0" w:after="0" w:afterAutospacing="0" w:line="276" w:lineRule="auto"/>
              <w:jc w:val="center"/>
            </w:pPr>
            <w:r w:rsidRPr="00941468">
              <w:rPr>
                <w:kern w:val="24"/>
              </w:rPr>
              <w:t>21.4</w:t>
            </w:r>
          </w:p>
        </w:tc>
        <w:tc>
          <w:tcPr>
            <w:tcW w:w="1080" w:type="dxa"/>
            <w:hideMark/>
          </w:tcPr>
          <w:p w14:paraId="72F7CABC"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7.24 </w:t>
            </w:r>
          </w:p>
        </w:tc>
        <w:tc>
          <w:tcPr>
            <w:tcW w:w="1260" w:type="dxa"/>
            <w:hideMark/>
          </w:tcPr>
          <w:p w14:paraId="272973FA"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8.46 </w:t>
            </w:r>
          </w:p>
        </w:tc>
        <w:tc>
          <w:tcPr>
            <w:tcW w:w="1104" w:type="dxa"/>
            <w:hideMark/>
          </w:tcPr>
          <w:p w14:paraId="7C530406"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4.51 </w:t>
            </w:r>
          </w:p>
        </w:tc>
        <w:tc>
          <w:tcPr>
            <w:tcW w:w="1506" w:type="dxa"/>
            <w:hideMark/>
          </w:tcPr>
          <w:p w14:paraId="17CE61F4"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38.15 </w:t>
            </w:r>
          </w:p>
        </w:tc>
        <w:tc>
          <w:tcPr>
            <w:tcW w:w="1620" w:type="dxa"/>
            <w:hideMark/>
          </w:tcPr>
          <w:p w14:paraId="63908636"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26.23 </w:t>
            </w:r>
          </w:p>
        </w:tc>
        <w:tc>
          <w:tcPr>
            <w:tcW w:w="1620" w:type="dxa"/>
            <w:hideMark/>
          </w:tcPr>
          <w:p w14:paraId="3A79A4C7"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6.01 </w:t>
            </w:r>
          </w:p>
        </w:tc>
      </w:tr>
      <w:tr w:rsidR="00197CC6" w:rsidRPr="00941468" w14:paraId="7B475F91" w14:textId="77777777" w:rsidTr="00E63225">
        <w:tc>
          <w:tcPr>
            <w:tcW w:w="1350" w:type="dxa"/>
            <w:hideMark/>
          </w:tcPr>
          <w:p w14:paraId="60DE7EF9"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2</w:t>
            </w:r>
          </w:p>
        </w:tc>
        <w:tc>
          <w:tcPr>
            <w:tcW w:w="3510" w:type="dxa"/>
            <w:hideMark/>
          </w:tcPr>
          <w:p w14:paraId="52B9FF48"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2 ppm</w:t>
            </w:r>
          </w:p>
        </w:tc>
        <w:tc>
          <w:tcPr>
            <w:tcW w:w="1350" w:type="dxa"/>
            <w:hideMark/>
          </w:tcPr>
          <w:p w14:paraId="44834B6B" w14:textId="77777777" w:rsidR="00197CC6" w:rsidRPr="00941468" w:rsidRDefault="00197CC6" w:rsidP="00E63225">
            <w:pPr>
              <w:pStyle w:val="NormalWeb"/>
              <w:spacing w:before="0" w:beforeAutospacing="0" w:after="0" w:afterAutospacing="0" w:line="276" w:lineRule="auto"/>
              <w:jc w:val="center"/>
            </w:pPr>
            <w:r w:rsidRPr="00941468">
              <w:rPr>
                <w:kern w:val="24"/>
              </w:rPr>
              <w:t>24.7</w:t>
            </w:r>
          </w:p>
        </w:tc>
        <w:tc>
          <w:tcPr>
            <w:tcW w:w="1080" w:type="dxa"/>
            <w:hideMark/>
          </w:tcPr>
          <w:p w14:paraId="7BF10EAD"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8.32 </w:t>
            </w:r>
          </w:p>
        </w:tc>
        <w:tc>
          <w:tcPr>
            <w:tcW w:w="1260" w:type="dxa"/>
            <w:hideMark/>
          </w:tcPr>
          <w:p w14:paraId="69CCF5A3"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9.12 </w:t>
            </w:r>
          </w:p>
        </w:tc>
        <w:tc>
          <w:tcPr>
            <w:tcW w:w="1104" w:type="dxa"/>
            <w:hideMark/>
          </w:tcPr>
          <w:p w14:paraId="76F8528A"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5.07 </w:t>
            </w:r>
          </w:p>
        </w:tc>
        <w:tc>
          <w:tcPr>
            <w:tcW w:w="1506" w:type="dxa"/>
            <w:hideMark/>
          </w:tcPr>
          <w:p w14:paraId="2F8380A7"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46.23 </w:t>
            </w:r>
          </w:p>
        </w:tc>
        <w:tc>
          <w:tcPr>
            <w:tcW w:w="1620" w:type="dxa"/>
            <w:hideMark/>
          </w:tcPr>
          <w:p w14:paraId="62EB5EB5"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29.61 </w:t>
            </w:r>
          </w:p>
        </w:tc>
        <w:tc>
          <w:tcPr>
            <w:tcW w:w="1620" w:type="dxa"/>
            <w:hideMark/>
          </w:tcPr>
          <w:p w14:paraId="7A9D3000"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6.92 </w:t>
            </w:r>
          </w:p>
        </w:tc>
      </w:tr>
      <w:tr w:rsidR="00197CC6" w:rsidRPr="00941468" w14:paraId="0CE0D857" w14:textId="77777777" w:rsidTr="00E63225">
        <w:tc>
          <w:tcPr>
            <w:tcW w:w="1350" w:type="dxa"/>
            <w:hideMark/>
          </w:tcPr>
          <w:p w14:paraId="7C2A2958"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3</w:t>
            </w:r>
          </w:p>
        </w:tc>
        <w:tc>
          <w:tcPr>
            <w:tcW w:w="3510" w:type="dxa"/>
            <w:hideMark/>
          </w:tcPr>
          <w:p w14:paraId="788115EB"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Seaweed Extract 5 ml/L</w:t>
            </w:r>
          </w:p>
        </w:tc>
        <w:tc>
          <w:tcPr>
            <w:tcW w:w="1350" w:type="dxa"/>
            <w:hideMark/>
          </w:tcPr>
          <w:p w14:paraId="0B32C971" w14:textId="77777777" w:rsidR="00197CC6" w:rsidRPr="00941468" w:rsidRDefault="00197CC6" w:rsidP="00E63225">
            <w:pPr>
              <w:pStyle w:val="NormalWeb"/>
              <w:spacing w:before="0" w:beforeAutospacing="0" w:after="0" w:afterAutospacing="0" w:line="276" w:lineRule="auto"/>
              <w:jc w:val="center"/>
            </w:pPr>
            <w:r w:rsidRPr="00941468">
              <w:rPr>
                <w:kern w:val="24"/>
              </w:rPr>
              <w:t>22.8</w:t>
            </w:r>
          </w:p>
        </w:tc>
        <w:tc>
          <w:tcPr>
            <w:tcW w:w="1080" w:type="dxa"/>
            <w:hideMark/>
          </w:tcPr>
          <w:p w14:paraId="3666AB46"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7.11 </w:t>
            </w:r>
          </w:p>
        </w:tc>
        <w:tc>
          <w:tcPr>
            <w:tcW w:w="1260" w:type="dxa"/>
            <w:hideMark/>
          </w:tcPr>
          <w:p w14:paraId="1BC57140"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8.66 </w:t>
            </w:r>
          </w:p>
        </w:tc>
        <w:tc>
          <w:tcPr>
            <w:tcW w:w="1104" w:type="dxa"/>
            <w:hideMark/>
          </w:tcPr>
          <w:p w14:paraId="00966F68"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4.84 </w:t>
            </w:r>
          </w:p>
        </w:tc>
        <w:tc>
          <w:tcPr>
            <w:tcW w:w="1506" w:type="dxa"/>
            <w:hideMark/>
          </w:tcPr>
          <w:p w14:paraId="263CA361"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41.91 </w:t>
            </w:r>
          </w:p>
        </w:tc>
        <w:tc>
          <w:tcPr>
            <w:tcW w:w="1620" w:type="dxa"/>
            <w:hideMark/>
          </w:tcPr>
          <w:p w14:paraId="7F54755C"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27.84 </w:t>
            </w:r>
          </w:p>
        </w:tc>
        <w:tc>
          <w:tcPr>
            <w:tcW w:w="1620" w:type="dxa"/>
            <w:hideMark/>
          </w:tcPr>
          <w:p w14:paraId="66274DCE"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6.41 </w:t>
            </w:r>
          </w:p>
        </w:tc>
      </w:tr>
      <w:tr w:rsidR="00197CC6" w:rsidRPr="00941468" w14:paraId="1AAAC91D" w14:textId="77777777" w:rsidTr="00E63225">
        <w:tc>
          <w:tcPr>
            <w:tcW w:w="1350" w:type="dxa"/>
            <w:hideMark/>
          </w:tcPr>
          <w:p w14:paraId="28D848CA"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4</w:t>
            </w:r>
          </w:p>
        </w:tc>
        <w:tc>
          <w:tcPr>
            <w:tcW w:w="3510" w:type="dxa"/>
            <w:hideMark/>
          </w:tcPr>
          <w:p w14:paraId="0C6D364B"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Seaweed Extract 10 ml/L</w:t>
            </w:r>
          </w:p>
        </w:tc>
        <w:tc>
          <w:tcPr>
            <w:tcW w:w="1350" w:type="dxa"/>
            <w:hideMark/>
          </w:tcPr>
          <w:p w14:paraId="54C8849B"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25.23 </w:t>
            </w:r>
          </w:p>
        </w:tc>
        <w:tc>
          <w:tcPr>
            <w:tcW w:w="1080" w:type="dxa"/>
            <w:hideMark/>
          </w:tcPr>
          <w:p w14:paraId="2B941257"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9.01 </w:t>
            </w:r>
          </w:p>
        </w:tc>
        <w:tc>
          <w:tcPr>
            <w:tcW w:w="1260" w:type="dxa"/>
            <w:hideMark/>
          </w:tcPr>
          <w:p w14:paraId="6A9059E3"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9.52 </w:t>
            </w:r>
          </w:p>
        </w:tc>
        <w:tc>
          <w:tcPr>
            <w:tcW w:w="1104" w:type="dxa"/>
            <w:hideMark/>
          </w:tcPr>
          <w:p w14:paraId="3ED541D7"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5.32 </w:t>
            </w:r>
          </w:p>
        </w:tc>
        <w:tc>
          <w:tcPr>
            <w:tcW w:w="1506" w:type="dxa"/>
            <w:hideMark/>
          </w:tcPr>
          <w:p w14:paraId="164BAFEC"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50.64 </w:t>
            </w:r>
          </w:p>
        </w:tc>
        <w:tc>
          <w:tcPr>
            <w:tcW w:w="1620" w:type="dxa"/>
            <w:hideMark/>
          </w:tcPr>
          <w:p w14:paraId="70A8A9E7"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31.07 </w:t>
            </w:r>
          </w:p>
        </w:tc>
        <w:tc>
          <w:tcPr>
            <w:tcW w:w="1620" w:type="dxa"/>
            <w:hideMark/>
          </w:tcPr>
          <w:p w14:paraId="118AF377"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7.26 </w:t>
            </w:r>
          </w:p>
        </w:tc>
      </w:tr>
      <w:tr w:rsidR="00197CC6" w:rsidRPr="00941468" w14:paraId="2CACB289" w14:textId="77777777" w:rsidTr="00E63225">
        <w:tc>
          <w:tcPr>
            <w:tcW w:w="1350" w:type="dxa"/>
            <w:hideMark/>
          </w:tcPr>
          <w:p w14:paraId="24F22FCF"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5</w:t>
            </w:r>
          </w:p>
        </w:tc>
        <w:tc>
          <w:tcPr>
            <w:tcW w:w="3510" w:type="dxa"/>
            <w:hideMark/>
          </w:tcPr>
          <w:p w14:paraId="7A20DC9B"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1 ppm + Seaweed 5 ml/L</w:t>
            </w:r>
          </w:p>
        </w:tc>
        <w:tc>
          <w:tcPr>
            <w:tcW w:w="1350" w:type="dxa"/>
            <w:hideMark/>
          </w:tcPr>
          <w:p w14:paraId="59BC204A"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26.32 </w:t>
            </w:r>
          </w:p>
        </w:tc>
        <w:tc>
          <w:tcPr>
            <w:tcW w:w="1080" w:type="dxa"/>
            <w:hideMark/>
          </w:tcPr>
          <w:p w14:paraId="212FABFF"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10.11 </w:t>
            </w:r>
          </w:p>
        </w:tc>
        <w:tc>
          <w:tcPr>
            <w:tcW w:w="1260" w:type="dxa"/>
            <w:hideMark/>
          </w:tcPr>
          <w:p w14:paraId="3CE62BCE"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10.04 </w:t>
            </w:r>
          </w:p>
        </w:tc>
        <w:tc>
          <w:tcPr>
            <w:tcW w:w="1104" w:type="dxa"/>
            <w:hideMark/>
          </w:tcPr>
          <w:p w14:paraId="652B5354"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5.45 </w:t>
            </w:r>
          </w:p>
        </w:tc>
        <w:tc>
          <w:tcPr>
            <w:tcW w:w="1506" w:type="dxa"/>
            <w:hideMark/>
          </w:tcPr>
          <w:p w14:paraId="4A28A105"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54.71 </w:t>
            </w:r>
          </w:p>
        </w:tc>
        <w:tc>
          <w:tcPr>
            <w:tcW w:w="1620" w:type="dxa"/>
            <w:hideMark/>
          </w:tcPr>
          <w:p w14:paraId="13B61F0D"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33.54 </w:t>
            </w:r>
          </w:p>
        </w:tc>
        <w:tc>
          <w:tcPr>
            <w:tcW w:w="1620" w:type="dxa"/>
            <w:hideMark/>
          </w:tcPr>
          <w:p w14:paraId="4CD1EE38"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7.93 </w:t>
            </w:r>
          </w:p>
        </w:tc>
      </w:tr>
      <w:tr w:rsidR="00197CC6" w:rsidRPr="00941468" w14:paraId="200FE15E" w14:textId="77777777" w:rsidTr="00E63225">
        <w:trPr>
          <w:trHeight w:val="386"/>
        </w:trPr>
        <w:tc>
          <w:tcPr>
            <w:tcW w:w="1350" w:type="dxa"/>
            <w:hideMark/>
          </w:tcPr>
          <w:p w14:paraId="784A0397" w14:textId="77777777" w:rsidR="00197CC6" w:rsidRPr="00941468" w:rsidRDefault="00197CC6" w:rsidP="00E63225">
            <w:pPr>
              <w:jc w:val="cente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6</w:t>
            </w:r>
          </w:p>
        </w:tc>
        <w:tc>
          <w:tcPr>
            <w:tcW w:w="3510" w:type="dxa"/>
            <w:hideMark/>
          </w:tcPr>
          <w:p w14:paraId="4A789F2E" w14:textId="77777777" w:rsidR="00197CC6" w:rsidRPr="00941468" w:rsidRDefault="00197CC6" w:rsidP="00E63225">
            <w:pPr>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2 ppm + Seaweed 10 ml/L</w:t>
            </w:r>
          </w:p>
        </w:tc>
        <w:tc>
          <w:tcPr>
            <w:tcW w:w="1350" w:type="dxa"/>
            <w:hideMark/>
          </w:tcPr>
          <w:p w14:paraId="107F9423"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28.67 </w:t>
            </w:r>
          </w:p>
        </w:tc>
        <w:tc>
          <w:tcPr>
            <w:tcW w:w="1080" w:type="dxa"/>
            <w:hideMark/>
          </w:tcPr>
          <w:p w14:paraId="0962AFD3"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11.07 </w:t>
            </w:r>
          </w:p>
        </w:tc>
        <w:tc>
          <w:tcPr>
            <w:tcW w:w="1260" w:type="dxa"/>
            <w:hideMark/>
          </w:tcPr>
          <w:p w14:paraId="29FFF278"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10.57 </w:t>
            </w:r>
          </w:p>
        </w:tc>
        <w:tc>
          <w:tcPr>
            <w:tcW w:w="1104" w:type="dxa"/>
            <w:hideMark/>
          </w:tcPr>
          <w:p w14:paraId="5B059DA4"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5.61 </w:t>
            </w:r>
          </w:p>
        </w:tc>
        <w:tc>
          <w:tcPr>
            <w:tcW w:w="1506" w:type="dxa"/>
            <w:hideMark/>
          </w:tcPr>
          <w:p w14:paraId="017D7153"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59.29 </w:t>
            </w:r>
          </w:p>
        </w:tc>
        <w:tc>
          <w:tcPr>
            <w:tcW w:w="1620" w:type="dxa"/>
            <w:hideMark/>
          </w:tcPr>
          <w:p w14:paraId="44714156"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36.42 </w:t>
            </w:r>
          </w:p>
        </w:tc>
        <w:tc>
          <w:tcPr>
            <w:tcW w:w="1620" w:type="dxa"/>
            <w:hideMark/>
          </w:tcPr>
          <w:p w14:paraId="47E46552"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8.51 </w:t>
            </w:r>
          </w:p>
        </w:tc>
      </w:tr>
      <w:tr w:rsidR="00197CC6" w:rsidRPr="00941468" w14:paraId="68A76EEA" w14:textId="77777777" w:rsidTr="00E63225">
        <w:trPr>
          <w:trHeight w:val="386"/>
        </w:trPr>
        <w:tc>
          <w:tcPr>
            <w:tcW w:w="1350" w:type="dxa"/>
            <w:hideMark/>
          </w:tcPr>
          <w:p w14:paraId="1C45A02D" w14:textId="77777777" w:rsidR="00197CC6" w:rsidRPr="00941468" w:rsidRDefault="00197CC6" w:rsidP="00E63225">
            <w:pPr>
              <w:jc w:val="center"/>
              <w:rPr>
                <w:rFonts w:ascii="Times New Roman" w:eastAsia="Times New Roman" w:hAnsi="Times New Roman" w:cs="Times New Roman"/>
                <w:sz w:val="24"/>
                <w:szCs w:val="24"/>
              </w:rPr>
            </w:pPr>
          </w:p>
        </w:tc>
        <w:tc>
          <w:tcPr>
            <w:tcW w:w="3510" w:type="dxa"/>
            <w:vAlign w:val="center"/>
            <w:hideMark/>
          </w:tcPr>
          <w:p w14:paraId="361EADB3" w14:textId="77777777" w:rsidR="00197CC6" w:rsidRPr="00941468" w:rsidRDefault="00197CC6" w:rsidP="00E63225">
            <w:pPr>
              <w:spacing w:line="360" w:lineRule="auto"/>
              <w:jc w:val="center"/>
              <w:rPr>
                <w:rFonts w:ascii="Times New Roman" w:eastAsia="Times New Roman" w:hAnsi="Times New Roman" w:cs="Times New Roman"/>
                <w:b/>
                <w:sz w:val="24"/>
                <w:szCs w:val="24"/>
              </w:rPr>
            </w:pPr>
            <w:r w:rsidRPr="00941468">
              <w:rPr>
                <w:rFonts w:ascii="Times New Roman" w:eastAsia="Times New Roman" w:hAnsi="Times New Roman" w:cs="Times New Roman"/>
                <w:b/>
                <w:sz w:val="24"/>
                <w:szCs w:val="24"/>
              </w:rPr>
              <w:t>SE (m) ±</w:t>
            </w:r>
          </w:p>
        </w:tc>
        <w:tc>
          <w:tcPr>
            <w:tcW w:w="1350" w:type="dxa"/>
            <w:hideMark/>
          </w:tcPr>
          <w:p w14:paraId="51FA6D37" w14:textId="77777777" w:rsidR="00197CC6" w:rsidRPr="00941468" w:rsidRDefault="00197CC6" w:rsidP="00E63225">
            <w:pPr>
              <w:pStyle w:val="NormalWeb"/>
              <w:spacing w:before="0" w:beforeAutospacing="0" w:after="0" w:afterAutospacing="0" w:line="276" w:lineRule="auto"/>
              <w:jc w:val="center"/>
            </w:pPr>
            <w:r w:rsidRPr="00941468">
              <w:rPr>
                <w:kern w:val="24"/>
              </w:rPr>
              <w:t>0.45</w:t>
            </w:r>
          </w:p>
        </w:tc>
        <w:tc>
          <w:tcPr>
            <w:tcW w:w="1080" w:type="dxa"/>
            <w:hideMark/>
          </w:tcPr>
          <w:p w14:paraId="0F3CB1DF" w14:textId="77777777" w:rsidR="00197CC6" w:rsidRPr="00941468" w:rsidRDefault="00197CC6" w:rsidP="00E63225">
            <w:pPr>
              <w:pStyle w:val="NormalWeb"/>
              <w:spacing w:before="0" w:beforeAutospacing="0" w:after="0" w:afterAutospacing="0" w:line="276" w:lineRule="auto"/>
              <w:jc w:val="center"/>
            </w:pPr>
            <w:r w:rsidRPr="00941468">
              <w:rPr>
                <w:kern w:val="24"/>
              </w:rPr>
              <w:t>0.68</w:t>
            </w:r>
          </w:p>
        </w:tc>
        <w:tc>
          <w:tcPr>
            <w:tcW w:w="1260" w:type="dxa"/>
            <w:hideMark/>
          </w:tcPr>
          <w:p w14:paraId="26807827" w14:textId="77777777" w:rsidR="00197CC6" w:rsidRPr="00941468" w:rsidRDefault="00197CC6" w:rsidP="00E63225">
            <w:pPr>
              <w:pStyle w:val="NormalWeb"/>
              <w:spacing w:before="0" w:beforeAutospacing="0" w:after="0" w:afterAutospacing="0" w:line="276" w:lineRule="auto"/>
              <w:jc w:val="center"/>
            </w:pPr>
            <w:r w:rsidRPr="00941468">
              <w:rPr>
                <w:kern w:val="24"/>
              </w:rPr>
              <w:t>0.49</w:t>
            </w:r>
          </w:p>
        </w:tc>
        <w:tc>
          <w:tcPr>
            <w:tcW w:w="1104" w:type="dxa"/>
            <w:hideMark/>
          </w:tcPr>
          <w:p w14:paraId="298E363A" w14:textId="77777777" w:rsidR="00197CC6" w:rsidRPr="00941468" w:rsidRDefault="00197CC6" w:rsidP="00E63225">
            <w:pPr>
              <w:pStyle w:val="NormalWeb"/>
              <w:spacing w:before="0" w:beforeAutospacing="0" w:after="0" w:afterAutospacing="0" w:line="276" w:lineRule="auto"/>
              <w:jc w:val="center"/>
            </w:pPr>
            <w:r w:rsidRPr="00941468">
              <w:rPr>
                <w:kern w:val="24"/>
              </w:rPr>
              <w:t xml:space="preserve">0.28 </w:t>
            </w:r>
          </w:p>
        </w:tc>
        <w:tc>
          <w:tcPr>
            <w:tcW w:w="1506" w:type="dxa"/>
            <w:hideMark/>
          </w:tcPr>
          <w:p w14:paraId="4FC3228A" w14:textId="77777777" w:rsidR="00197CC6" w:rsidRPr="00941468" w:rsidRDefault="00197CC6" w:rsidP="00E63225">
            <w:pPr>
              <w:pStyle w:val="NormalWeb"/>
              <w:spacing w:before="0" w:beforeAutospacing="0" w:after="0" w:afterAutospacing="0" w:line="276" w:lineRule="auto"/>
              <w:jc w:val="center"/>
            </w:pPr>
            <w:r w:rsidRPr="00941468">
              <w:rPr>
                <w:kern w:val="24"/>
              </w:rPr>
              <w:t>0.66</w:t>
            </w:r>
          </w:p>
        </w:tc>
        <w:tc>
          <w:tcPr>
            <w:tcW w:w="1620" w:type="dxa"/>
            <w:hideMark/>
          </w:tcPr>
          <w:p w14:paraId="0C10EF50" w14:textId="77777777" w:rsidR="00197CC6" w:rsidRPr="00941468" w:rsidRDefault="00197CC6" w:rsidP="00E63225">
            <w:pPr>
              <w:pStyle w:val="NormalWeb"/>
              <w:spacing w:before="0" w:beforeAutospacing="0" w:after="0" w:afterAutospacing="0" w:line="276" w:lineRule="auto"/>
              <w:jc w:val="center"/>
            </w:pPr>
            <w:r w:rsidRPr="00941468">
              <w:rPr>
                <w:kern w:val="24"/>
              </w:rPr>
              <w:t>0.98</w:t>
            </w:r>
          </w:p>
        </w:tc>
        <w:tc>
          <w:tcPr>
            <w:tcW w:w="1620" w:type="dxa"/>
            <w:hideMark/>
          </w:tcPr>
          <w:p w14:paraId="00B9881D" w14:textId="77777777" w:rsidR="00197CC6" w:rsidRPr="00941468" w:rsidRDefault="00197CC6" w:rsidP="00E63225">
            <w:pPr>
              <w:pStyle w:val="NormalWeb"/>
              <w:spacing w:before="0" w:beforeAutospacing="0" w:after="0" w:afterAutospacing="0" w:line="276" w:lineRule="auto"/>
              <w:jc w:val="center"/>
            </w:pPr>
            <w:r w:rsidRPr="00941468">
              <w:rPr>
                <w:kern w:val="24"/>
              </w:rPr>
              <w:t>0.78</w:t>
            </w:r>
          </w:p>
        </w:tc>
      </w:tr>
      <w:tr w:rsidR="00197CC6" w:rsidRPr="00941468" w14:paraId="7D9AD5EB" w14:textId="77777777" w:rsidTr="00E63225">
        <w:trPr>
          <w:trHeight w:val="386"/>
        </w:trPr>
        <w:tc>
          <w:tcPr>
            <w:tcW w:w="1350" w:type="dxa"/>
            <w:hideMark/>
          </w:tcPr>
          <w:p w14:paraId="7A56F18E" w14:textId="77777777" w:rsidR="00197CC6" w:rsidRPr="00941468" w:rsidRDefault="00197CC6" w:rsidP="00E63225">
            <w:pPr>
              <w:jc w:val="center"/>
              <w:rPr>
                <w:rFonts w:ascii="Times New Roman" w:eastAsia="Times New Roman" w:hAnsi="Times New Roman" w:cs="Times New Roman"/>
                <w:sz w:val="24"/>
                <w:szCs w:val="24"/>
              </w:rPr>
            </w:pPr>
          </w:p>
        </w:tc>
        <w:tc>
          <w:tcPr>
            <w:tcW w:w="3510" w:type="dxa"/>
            <w:vAlign w:val="center"/>
            <w:hideMark/>
          </w:tcPr>
          <w:p w14:paraId="747DC520" w14:textId="77777777" w:rsidR="00197CC6" w:rsidRPr="00941468" w:rsidRDefault="00197CC6" w:rsidP="00E63225">
            <w:pPr>
              <w:spacing w:line="360" w:lineRule="auto"/>
              <w:jc w:val="center"/>
              <w:rPr>
                <w:rFonts w:ascii="Times New Roman" w:eastAsia="Times New Roman" w:hAnsi="Times New Roman" w:cs="Times New Roman"/>
                <w:b/>
                <w:sz w:val="24"/>
                <w:szCs w:val="24"/>
              </w:rPr>
            </w:pPr>
            <w:r w:rsidRPr="00941468">
              <w:rPr>
                <w:rFonts w:ascii="Times New Roman" w:eastAsia="Times New Roman" w:hAnsi="Times New Roman" w:cs="Times New Roman"/>
                <w:b/>
                <w:sz w:val="24"/>
                <w:szCs w:val="24"/>
              </w:rPr>
              <w:t>C.D. at 5%</w:t>
            </w:r>
          </w:p>
        </w:tc>
        <w:tc>
          <w:tcPr>
            <w:tcW w:w="1350" w:type="dxa"/>
            <w:hideMark/>
          </w:tcPr>
          <w:p w14:paraId="1800563D" w14:textId="77777777" w:rsidR="00197CC6" w:rsidRPr="00941468" w:rsidRDefault="00197CC6" w:rsidP="00E63225">
            <w:pPr>
              <w:pStyle w:val="NormalWeb"/>
              <w:spacing w:before="0" w:beforeAutospacing="0" w:after="0" w:afterAutospacing="0" w:line="276" w:lineRule="auto"/>
              <w:jc w:val="center"/>
            </w:pPr>
            <w:r w:rsidRPr="00941468">
              <w:rPr>
                <w:kern w:val="24"/>
              </w:rPr>
              <w:t>1.30</w:t>
            </w:r>
          </w:p>
        </w:tc>
        <w:tc>
          <w:tcPr>
            <w:tcW w:w="1080" w:type="dxa"/>
            <w:hideMark/>
          </w:tcPr>
          <w:p w14:paraId="5FF90E24" w14:textId="77777777" w:rsidR="00197CC6" w:rsidRPr="00941468" w:rsidRDefault="00197CC6" w:rsidP="00E63225">
            <w:pPr>
              <w:pStyle w:val="NormalWeb"/>
              <w:spacing w:before="0" w:beforeAutospacing="0" w:after="0" w:afterAutospacing="0" w:line="276" w:lineRule="auto"/>
              <w:jc w:val="center"/>
            </w:pPr>
            <w:r w:rsidRPr="00941468">
              <w:rPr>
                <w:kern w:val="24"/>
              </w:rPr>
              <w:t>2.26</w:t>
            </w:r>
          </w:p>
        </w:tc>
        <w:tc>
          <w:tcPr>
            <w:tcW w:w="1260" w:type="dxa"/>
            <w:hideMark/>
          </w:tcPr>
          <w:p w14:paraId="70A06CD1" w14:textId="77777777" w:rsidR="00197CC6" w:rsidRPr="00941468" w:rsidRDefault="00197CC6" w:rsidP="00E63225">
            <w:pPr>
              <w:pStyle w:val="NormalWeb"/>
              <w:spacing w:before="0" w:beforeAutospacing="0" w:after="0" w:afterAutospacing="0" w:line="276" w:lineRule="auto"/>
              <w:jc w:val="center"/>
            </w:pPr>
            <w:r w:rsidRPr="00941468">
              <w:rPr>
                <w:kern w:val="24"/>
              </w:rPr>
              <w:t>1.19</w:t>
            </w:r>
          </w:p>
        </w:tc>
        <w:tc>
          <w:tcPr>
            <w:tcW w:w="1104" w:type="dxa"/>
            <w:hideMark/>
          </w:tcPr>
          <w:p w14:paraId="557B83C9" w14:textId="77777777" w:rsidR="00197CC6" w:rsidRPr="00941468" w:rsidRDefault="00197CC6" w:rsidP="00E63225">
            <w:pPr>
              <w:pStyle w:val="NormalWeb"/>
              <w:spacing w:before="0" w:beforeAutospacing="0" w:after="0" w:afterAutospacing="0" w:line="276" w:lineRule="auto"/>
              <w:jc w:val="center"/>
            </w:pPr>
            <w:r w:rsidRPr="00941468">
              <w:rPr>
                <w:kern w:val="24"/>
              </w:rPr>
              <w:t>0.64</w:t>
            </w:r>
          </w:p>
        </w:tc>
        <w:tc>
          <w:tcPr>
            <w:tcW w:w="1506" w:type="dxa"/>
            <w:hideMark/>
          </w:tcPr>
          <w:p w14:paraId="7E7BAB94" w14:textId="77777777" w:rsidR="00197CC6" w:rsidRPr="00941468" w:rsidRDefault="00197CC6" w:rsidP="00E63225">
            <w:pPr>
              <w:pStyle w:val="NormalWeb"/>
              <w:spacing w:before="0" w:beforeAutospacing="0" w:after="0" w:afterAutospacing="0" w:line="276" w:lineRule="auto"/>
              <w:jc w:val="center"/>
            </w:pPr>
            <w:r w:rsidRPr="00941468">
              <w:rPr>
                <w:kern w:val="24"/>
              </w:rPr>
              <w:t>1.46</w:t>
            </w:r>
          </w:p>
        </w:tc>
        <w:tc>
          <w:tcPr>
            <w:tcW w:w="1620" w:type="dxa"/>
            <w:hideMark/>
          </w:tcPr>
          <w:p w14:paraId="69724CBE" w14:textId="77777777" w:rsidR="00197CC6" w:rsidRPr="00941468" w:rsidRDefault="00197CC6" w:rsidP="00E63225">
            <w:pPr>
              <w:pStyle w:val="NormalWeb"/>
              <w:spacing w:before="0" w:beforeAutospacing="0" w:after="0" w:afterAutospacing="0" w:line="276" w:lineRule="auto"/>
              <w:jc w:val="center"/>
            </w:pPr>
            <w:r w:rsidRPr="00941468">
              <w:rPr>
                <w:kern w:val="24"/>
              </w:rPr>
              <w:t>2.22</w:t>
            </w:r>
          </w:p>
        </w:tc>
        <w:tc>
          <w:tcPr>
            <w:tcW w:w="1620" w:type="dxa"/>
            <w:hideMark/>
          </w:tcPr>
          <w:p w14:paraId="60F6F827" w14:textId="77777777" w:rsidR="00197CC6" w:rsidRPr="00941468" w:rsidRDefault="00197CC6" w:rsidP="00E63225">
            <w:pPr>
              <w:pStyle w:val="NormalWeb"/>
              <w:spacing w:before="0" w:beforeAutospacing="0" w:after="0" w:afterAutospacing="0" w:line="276" w:lineRule="auto"/>
              <w:jc w:val="center"/>
            </w:pPr>
            <w:r w:rsidRPr="00941468">
              <w:rPr>
                <w:kern w:val="24"/>
              </w:rPr>
              <w:t>1.45</w:t>
            </w:r>
          </w:p>
        </w:tc>
      </w:tr>
    </w:tbl>
    <w:p w14:paraId="380D8BD6" w14:textId="77777777" w:rsidR="00197CC6" w:rsidRPr="00941468" w:rsidRDefault="00197CC6" w:rsidP="00197CC6">
      <w:pPr>
        <w:rPr>
          <w:rFonts w:ascii="Times New Roman" w:hAnsi="Times New Roman" w:cs="Times New Roman"/>
          <w:sz w:val="24"/>
          <w:szCs w:val="24"/>
        </w:rPr>
      </w:pPr>
    </w:p>
    <w:p w14:paraId="7ABA6722" w14:textId="77777777" w:rsidR="00197CC6" w:rsidRPr="00941468" w:rsidRDefault="00197CC6" w:rsidP="00197CC6">
      <w:pPr>
        <w:rPr>
          <w:rFonts w:ascii="Times New Roman" w:hAnsi="Times New Roman" w:cs="Times New Roman"/>
          <w:sz w:val="24"/>
          <w:szCs w:val="24"/>
        </w:rPr>
      </w:pPr>
      <w:r w:rsidRPr="00941468">
        <w:rPr>
          <w:rFonts w:ascii="Times New Roman" w:hAnsi="Times New Roman" w:cs="Times New Roman"/>
          <w:sz w:val="24"/>
          <w:szCs w:val="24"/>
        </w:rPr>
        <w:br w:type="page"/>
      </w:r>
    </w:p>
    <w:tbl>
      <w:tblPr>
        <w:tblStyle w:val="TableGrid"/>
        <w:tblpPr w:leftFromText="180" w:rightFromText="180" w:vertAnchor="page" w:horzAnchor="margin" w:tblpY="2081"/>
        <w:tblW w:w="14056" w:type="dxa"/>
        <w:tblLayout w:type="fixed"/>
        <w:tblLook w:val="04A0" w:firstRow="1" w:lastRow="0" w:firstColumn="1" w:lastColumn="0" w:noHBand="0" w:noVBand="1"/>
      </w:tblPr>
      <w:tblGrid>
        <w:gridCol w:w="738"/>
        <w:gridCol w:w="3852"/>
        <w:gridCol w:w="1800"/>
        <w:gridCol w:w="1710"/>
        <w:gridCol w:w="2070"/>
        <w:gridCol w:w="1779"/>
        <w:gridCol w:w="2107"/>
      </w:tblGrid>
      <w:tr w:rsidR="00197CC6" w:rsidRPr="00941468" w14:paraId="2C92E82C" w14:textId="77777777" w:rsidTr="00197CC6">
        <w:trPr>
          <w:trHeight w:val="947"/>
        </w:trPr>
        <w:tc>
          <w:tcPr>
            <w:tcW w:w="738" w:type="dxa"/>
          </w:tcPr>
          <w:p w14:paraId="5C136DC0" w14:textId="77777777" w:rsidR="00197CC6" w:rsidRPr="00941468" w:rsidRDefault="00197CC6" w:rsidP="00197CC6">
            <w:pPr>
              <w:jc w:val="center"/>
              <w:rPr>
                <w:rFonts w:ascii="Times New Roman" w:eastAsia="Times New Roman" w:hAnsi="Times New Roman" w:cs="Times New Roman"/>
                <w:b/>
                <w:bCs/>
                <w:sz w:val="24"/>
                <w:szCs w:val="24"/>
              </w:rPr>
            </w:pPr>
          </w:p>
        </w:tc>
        <w:tc>
          <w:tcPr>
            <w:tcW w:w="3852" w:type="dxa"/>
            <w:hideMark/>
          </w:tcPr>
          <w:p w14:paraId="706635E4" w14:textId="77777777" w:rsidR="00197CC6" w:rsidRPr="00941468" w:rsidRDefault="00197CC6" w:rsidP="00197CC6">
            <w:pPr>
              <w:spacing w:before="360"/>
              <w:jc w:val="center"/>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Treatments</w:t>
            </w:r>
          </w:p>
        </w:tc>
        <w:tc>
          <w:tcPr>
            <w:tcW w:w="1800" w:type="dxa"/>
            <w:hideMark/>
          </w:tcPr>
          <w:p w14:paraId="1C2E4F30" w14:textId="77777777" w:rsidR="00197CC6" w:rsidRPr="00941468" w:rsidRDefault="00197CC6" w:rsidP="00197CC6">
            <w:pPr>
              <w:pStyle w:val="NormalWeb"/>
              <w:spacing w:before="0" w:beforeAutospacing="0" w:after="0" w:afterAutospacing="0" w:line="276" w:lineRule="auto"/>
              <w:jc w:val="center"/>
            </w:pPr>
            <w:r w:rsidRPr="00941468">
              <w:rPr>
                <w:b/>
                <w:bCs/>
                <w:kern w:val="24"/>
              </w:rPr>
              <w:t>Root Length (cm)</w:t>
            </w:r>
            <w:r w:rsidRPr="00941468">
              <w:rPr>
                <w:kern w:val="24"/>
              </w:rPr>
              <w:t xml:space="preserve"> </w:t>
            </w:r>
          </w:p>
        </w:tc>
        <w:tc>
          <w:tcPr>
            <w:tcW w:w="1710" w:type="dxa"/>
            <w:hideMark/>
          </w:tcPr>
          <w:p w14:paraId="37A09285" w14:textId="77777777" w:rsidR="00197CC6" w:rsidRPr="00941468" w:rsidRDefault="00197CC6" w:rsidP="00197CC6">
            <w:pPr>
              <w:pStyle w:val="NormalWeb"/>
              <w:spacing w:before="0" w:beforeAutospacing="0" w:after="0" w:afterAutospacing="0" w:line="276" w:lineRule="auto"/>
              <w:jc w:val="center"/>
            </w:pPr>
            <w:r w:rsidRPr="00941468">
              <w:rPr>
                <w:b/>
                <w:bCs/>
                <w:kern w:val="24"/>
              </w:rPr>
              <w:t>Roots/ Cutting</w:t>
            </w:r>
            <w:r w:rsidRPr="00941468">
              <w:rPr>
                <w:kern w:val="24"/>
              </w:rPr>
              <w:t xml:space="preserve"> </w:t>
            </w:r>
          </w:p>
        </w:tc>
        <w:tc>
          <w:tcPr>
            <w:tcW w:w="2070" w:type="dxa"/>
            <w:hideMark/>
          </w:tcPr>
          <w:p w14:paraId="2621C6FE" w14:textId="77777777" w:rsidR="00197CC6" w:rsidRPr="00941468" w:rsidRDefault="00197CC6" w:rsidP="00197CC6">
            <w:pPr>
              <w:pStyle w:val="NormalWeb"/>
              <w:spacing w:before="0" w:beforeAutospacing="0" w:after="0" w:afterAutospacing="0" w:line="276" w:lineRule="auto"/>
              <w:jc w:val="center"/>
            </w:pPr>
            <w:r w:rsidRPr="00941468">
              <w:rPr>
                <w:b/>
                <w:bCs/>
                <w:kern w:val="24"/>
              </w:rPr>
              <w:t>Root Fresh Wt (g)</w:t>
            </w:r>
            <w:r w:rsidRPr="00941468">
              <w:rPr>
                <w:kern w:val="24"/>
              </w:rPr>
              <w:t xml:space="preserve"> </w:t>
            </w:r>
          </w:p>
        </w:tc>
        <w:tc>
          <w:tcPr>
            <w:tcW w:w="1779" w:type="dxa"/>
            <w:hideMark/>
          </w:tcPr>
          <w:p w14:paraId="78DBCD78" w14:textId="77777777" w:rsidR="00197CC6" w:rsidRPr="00941468" w:rsidRDefault="00197CC6" w:rsidP="00197CC6">
            <w:pPr>
              <w:pStyle w:val="NormalWeb"/>
              <w:spacing w:before="0" w:beforeAutospacing="0" w:after="0" w:afterAutospacing="0" w:line="276" w:lineRule="auto"/>
              <w:jc w:val="center"/>
            </w:pPr>
            <w:r w:rsidRPr="00941468">
              <w:rPr>
                <w:b/>
                <w:bCs/>
                <w:kern w:val="24"/>
              </w:rPr>
              <w:t>Root Dry Wt (g)</w:t>
            </w:r>
            <w:r w:rsidRPr="00941468">
              <w:rPr>
                <w:kern w:val="24"/>
              </w:rPr>
              <w:t xml:space="preserve"> </w:t>
            </w:r>
          </w:p>
        </w:tc>
        <w:tc>
          <w:tcPr>
            <w:tcW w:w="2107" w:type="dxa"/>
            <w:hideMark/>
          </w:tcPr>
          <w:p w14:paraId="23667493" w14:textId="77777777" w:rsidR="00197CC6" w:rsidRPr="00941468" w:rsidRDefault="00197CC6" w:rsidP="00197CC6">
            <w:pPr>
              <w:pStyle w:val="NormalWeb"/>
              <w:spacing w:before="0" w:beforeAutospacing="0" w:after="0" w:afterAutospacing="0" w:line="276" w:lineRule="auto"/>
              <w:jc w:val="center"/>
            </w:pPr>
            <w:r w:rsidRPr="00941468">
              <w:rPr>
                <w:b/>
                <w:bCs/>
                <w:kern w:val="24"/>
              </w:rPr>
              <w:t>Survival Rate (%)</w:t>
            </w:r>
            <w:r w:rsidRPr="00941468">
              <w:rPr>
                <w:kern w:val="24"/>
              </w:rPr>
              <w:t xml:space="preserve"> </w:t>
            </w:r>
          </w:p>
        </w:tc>
      </w:tr>
      <w:tr w:rsidR="00197CC6" w:rsidRPr="00941468" w14:paraId="6AAF16DB" w14:textId="77777777" w:rsidTr="00197CC6">
        <w:trPr>
          <w:trHeight w:val="617"/>
        </w:trPr>
        <w:tc>
          <w:tcPr>
            <w:tcW w:w="738" w:type="dxa"/>
          </w:tcPr>
          <w:p w14:paraId="1AE19F60"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0</w:t>
            </w:r>
          </w:p>
        </w:tc>
        <w:tc>
          <w:tcPr>
            <w:tcW w:w="3852" w:type="dxa"/>
            <w:hideMark/>
          </w:tcPr>
          <w:p w14:paraId="5CABF2FA"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 xml:space="preserve">  Control (water spray)</w:t>
            </w:r>
          </w:p>
        </w:tc>
        <w:tc>
          <w:tcPr>
            <w:tcW w:w="1800" w:type="dxa"/>
            <w:hideMark/>
          </w:tcPr>
          <w:p w14:paraId="4B953723"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5.21 </w:t>
            </w:r>
          </w:p>
        </w:tc>
        <w:tc>
          <w:tcPr>
            <w:tcW w:w="1710" w:type="dxa"/>
            <w:hideMark/>
          </w:tcPr>
          <w:p w14:paraId="36711D25"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8.05 </w:t>
            </w:r>
          </w:p>
        </w:tc>
        <w:tc>
          <w:tcPr>
            <w:tcW w:w="2070" w:type="dxa"/>
            <w:hideMark/>
          </w:tcPr>
          <w:p w14:paraId="2C77EFB5"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2.41 </w:t>
            </w:r>
          </w:p>
        </w:tc>
        <w:tc>
          <w:tcPr>
            <w:tcW w:w="1779" w:type="dxa"/>
            <w:hideMark/>
          </w:tcPr>
          <w:p w14:paraId="1033AF60"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0.82 </w:t>
            </w:r>
          </w:p>
        </w:tc>
        <w:tc>
          <w:tcPr>
            <w:tcW w:w="2107" w:type="dxa"/>
            <w:hideMark/>
          </w:tcPr>
          <w:p w14:paraId="29DBA754"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49.11 </w:t>
            </w:r>
          </w:p>
        </w:tc>
      </w:tr>
      <w:tr w:rsidR="00197CC6" w:rsidRPr="00941468" w14:paraId="171FC4A9" w14:textId="77777777" w:rsidTr="00197CC6">
        <w:trPr>
          <w:trHeight w:val="617"/>
        </w:trPr>
        <w:tc>
          <w:tcPr>
            <w:tcW w:w="738" w:type="dxa"/>
          </w:tcPr>
          <w:p w14:paraId="5A0CCB7D"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1</w:t>
            </w:r>
          </w:p>
        </w:tc>
        <w:tc>
          <w:tcPr>
            <w:tcW w:w="3852" w:type="dxa"/>
            <w:hideMark/>
          </w:tcPr>
          <w:p w14:paraId="37E764E2"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1 ppm)</w:t>
            </w:r>
          </w:p>
        </w:tc>
        <w:tc>
          <w:tcPr>
            <w:tcW w:w="1800" w:type="dxa"/>
            <w:hideMark/>
          </w:tcPr>
          <w:p w14:paraId="43161036"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6.12 </w:t>
            </w:r>
          </w:p>
        </w:tc>
        <w:tc>
          <w:tcPr>
            <w:tcW w:w="1710" w:type="dxa"/>
            <w:hideMark/>
          </w:tcPr>
          <w:p w14:paraId="4078C6DA"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10.17 </w:t>
            </w:r>
          </w:p>
        </w:tc>
        <w:tc>
          <w:tcPr>
            <w:tcW w:w="2070" w:type="dxa"/>
            <w:hideMark/>
          </w:tcPr>
          <w:p w14:paraId="74716DDD"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2.92 </w:t>
            </w:r>
          </w:p>
        </w:tc>
        <w:tc>
          <w:tcPr>
            <w:tcW w:w="1779" w:type="dxa"/>
            <w:hideMark/>
          </w:tcPr>
          <w:p w14:paraId="3E909ADE"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1.04 </w:t>
            </w:r>
          </w:p>
        </w:tc>
        <w:tc>
          <w:tcPr>
            <w:tcW w:w="2107" w:type="dxa"/>
            <w:hideMark/>
          </w:tcPr>
          <w:p w14:paraId="4C91F98F" w14:textId="77777777" w:rsidR="00197CC6" w:rsidRPr="00941468" w:rsidRDefault="00197CC6" w:rsidP="005E5ECB">
            <w:pPr>
              <w:pStyle w:val="NormalWeb"/>
              <w:spacing w:before="240" w:beforeAutospacing="0" w:after="0" w:afterAutospacing="0" w:line="276" w:lineRule="auto"/>
              <w:jc w:val="center"/>
            </w:pPr>
            <w:r w:rsidRPr="00941468">
              <w:rPr>
                <w:kern w:val="24"/>
              </w:rPr>
              <w:t>78.23</w:t>
            </w:r>
          </w:p>
        </w:tc>
      </w:tr>
      <w:tr w:rsidR="00197CC6" w:rsidRPr="00941468" w14:paraId="09F76DEF" w14:textId="77777777" w:rsidTr="00197CC6">
        <w:trPr>
          <w:trHeight w:val="617"/>
        </w:trPr>
        <w:tc>
          <w:tcPr>
            <w:tcW w:w="738" w:type="dxa"/>
          </w:tcPr>
          <w:p w14:paraId="38C8357A"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2</w:t>
            </w:r>
          </w:p>
        </w:tc>
        <w:tc>
          <w:tcPr>
            <w:tcW w:w="3852" w:type="dxa"/>
            <w:hideMark/>
          </w:tcPr>
          <w:p w14:paraId="73B857FE"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2 ppm)</w:t>
            </w:r>
          </w:p>
        </w:tc>
        <w:tc>
          <w:tcPr>
            <w:tcW w:w="1800" w:type="dxa"/>
            <w:hideMark/>
          </w:tcPr>
          <w:p w14:paraId="0214A0D7"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7.01 </w:t>
            </w:r>
          </w:p>
        </w:tc>
        <w:tc>
          <w:tcPr>
            <w:tcW w:w="1710" w:type="dxa"/>
            <w:hideMark/>
          </w:tcPr>
          <w:p w14:paraId="6C6B0B6E"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12.21 </w:t>
            </w:r>
          </w:p>
        </w:tc>
        <w:tc>
          <w:tcPr>
            <w:tcW w:w="2070" w:type="dxa"/>
            <w:hideMark/>
          </w:tcPr>
          <w:p w14:paraId="61A2650F"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3.34 </w:t>
            </w:r>
          </w:p>
        </w:tc>
        <w:tc>
          <w:tcPr>
            <w:tcW w:w="1779" w:type="dxa"/>
            <w:hideMark/>
          </w:tcPr>
          <w:p w14:paraId="2E0BE929"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1.27 </w:t>
            </w:r>
          </w:p>
        </w:tc>
        <w:tc>
          <w:tcPr>
            <w:tcW w:w="2107" w:type="dxa"/>
            <w:hideMark/>
          </w:tcPr>
          <w:p w14:paraId="19FC9546" w14:textId="77777777" w:rsidR="00197CC6" w:rsidRPr="00941468" w:rsidRDefault="00197CC6" w:rsidP="005E5ECB">
            <w:pPr>
              <w:pStyle w:val="NormalWeb"/>
              <w:spacing w:before="240" w:beforeAutospacing="0" w:after="0" w:afterAutospacing="0" w:line="276" w:lineRule="auto"/>
              <w:jc w:val="center"/>
            </w:pPr>
            <w:r w:rsidRPr="00941468">
              <w:rPr>
                <w:kern w:val="24"/>
              </w:rPr>
              <w:t>83.12</w:t>
            </w:r>
          </w:p>
        </w:tc>
      </w:tr>
      <w:tr w:rsidR="00197CC6" w:rsidRPr="00941468" w14:paraId="5B69E9F0" w14:textId="77777777" w:rsidTr="00197CC6">
        <w:trPr>
          <w:trHeight w:val="617"/>
        </w:trPr>
        <w:tc>
          <w:tcPr>
            <w:tcW w:w="738" w:type="dxa"/>
          </w:tcPr>
          <w:p w14:paraId="74411295"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3</w:t>
            </w:r>
          </w:p>
        </w:tc>
        <w:tc>
          <w:tcPr>
            <w:tcW w:w="3852" w:type="dxa"/>
            <w:hideMark/>
          </w:tcPr>
          <w:p w14:paraId="7F72D722"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(Seaweed 5 ml/L)</w:t>
            </w:r>
          </w:p>
        </w:tc>
        <w:tc>
          <w:tcPr>
            <w:tcW w:w="1800" w:type="dxa"/>
            <w:hideMark/>
          </w:tcPr>
          <w:p w14:paraId="73B4410A"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6.54 </w:t>
            </w:r>
          </w:p>
        </w:tc>
        <w:tc>
          <w:tcPr>
            <w:tcW w:w="1710" w:type="dxa"/>
            <w:hideMark/>
          </w:tcPr>
          <w:p w14:paraId="6530090D"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11.27 </w:t>
            </w:r>
          </w:p>
        </w:tc>
        <w:tc>
          <w:tcPr>
            <w:tcW w:w="2070" w:type="dxa"/>
            <w:hideMark/>
          </w:tcPr>
          <w:p w14:paraId="7ED831A1"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3.05 </w:t>
            </w:r>
          </w:p>
        </w:tc>
        <w:tc>
          <w:tcPr>
            <w:tcW w:w="1779" w:type="dxa"/>
            <w:hideMark/>
          </w:tcPr>
          <w:p w14:paraId="46F4DBA2"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1.16 </w:t>
            </w:r>
          </w:p>
        </w:tc>
        <w:tc>
          <w:tcPr>
            <w:tcW w:w="2107" w:type="dxa"/>
            <w:hideMark/>
          </w:tcPr>
          <w:p w14:paraId="3A9AB04A" w14:textId="77777777" w:rsidR="00197CC6" w:rsidRPr="00941468" w:rsidRDefault="00197CC6" w:rsidP="005E5ECB">
            <w:pPr>
              <w:pStyle w:val="NormalWeb"/>
              <w:spacing w:before="240" w:beforeAutospacing="0" w:after="0" w:afterAutospacing="0" w:line="276" w:lineRule="auto"/>
              <w:jc w:val="center"/>
            </w:pPr>
            <w:r w:rsidRPr="00941468">
              <w:rPr>
                <w:kern w:val="24"/>
              </w:rPr>
              <w:t>80.12</w:t>
            </w:r>
          </w:p>
        </w:tc>
      </w:tr>
      <w:tr w:rsidR="00197CC6" w:rsidRPr="00941468" w14:paraId="7D3099FA" w14:textId="77777777" w:rsidTr="00197CC6">
        <w:trPr>
          <w:trHeight w:val="657"/>
        </w:trPr>
        <w:tc>
          <w:tcPr>
            <w:tcW w:w="738" w:type="dxa"/>
          </w:tcPr>
          <w:p w14:paraId="09407AFA"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4</w:t>
            </w:r>
          </w:p>
        </w:tc>
        <w:tc>
          <w:tcPr>
            <w:tcW w:w="3852" w:type="dxa"/>
            <w:hideMark/>
          </w:tcPr>
          <w:p w14:paraId="09BA73AF"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(Seaweed 10 ml/L)</w:t>
            </w:r>
          </w:p>
        </w:tc>
        <w:tc>
          <w:tcPr>
            <w:tcW w:w="1800" w:type="dxa"/>
            <w:hideMark/>
          </w:tcPr>
          <w:p w14:paraId="50F4B027"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7.33 </w:t>
            </w:r>
          </w:p>
        </w:tc>
        <w:tc>
          <w:tcPr>
            <w:tcW w:w="1710" w:type="dxa"/>
            <w:hideMark/>
          </w:tcPr>
          <w:p w14:paraId="5616AF1E"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13.14 </w:t>
            </w:r>
          </w:p>
        </w:tc>
        <w:tc>
          <w:tcPr>
            <w:tcW w:w="2070" w:type="dxa"/>
            <w:hideMark/>
          </w:tcPr>
          <w:p w14:paraId="3F4901C4"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3.52 </w:t>
            </w:r>
          </w:p>
        </w:tc>
        <w:tc>
          <w:tcPr>
            <w:tcW w:w="1779" w:type="dxa"/>
            <w:hideMark/>
          </w:tcPr>
          <w:p w14:paraId="6ED59D4F"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1.32 </w:t>
            </w:r>
          </w:p>
        </w:tc>
        <w:tc>
          <w:tcPr>
            <w:tcW w:w="2107" w:type="dxa"/>
            <w:hideMark/>
          </w:tcPr>
          <w:p w14:paraId="1400C920" w14:textId="77777777" w:rsidR="00197CC6" w:rsidRPr="00941468" w:rsidRDefault="00197CC6" w:rsidP="005E5ECB">
            <w:pPr>
              <w:pStyle w:val="NormalWeb"/>
              <w:spacing w:before="240" w:beforeAutospacing="0" w:after="0" w:afterAutospacing="0" w:line="276" w:lineRule="auto"/>
              <w:jc w:val="center"/>
            </w:pPr>
            <w:r w:rsidRPr="00941468">
              <w:rPr>
                <w:kern w:val="24"/>
              </w:rPr>
              <w:t>85.23</w:t>
            </w:r>
          </w:p>
        </w:tc>
      </w:tr>
      <w:tr w:rsidR="00197CC6" w:rsidRPr="00941468" w14:paraId="6C2D660C" w14:textId="77777777" w:rsidTr="00197CC6">
        <w:trPr>
          <w:trHeight w:val="620"/>
        </w:trPr>
        <w:tc>
          <w:tcPr>
            <w:tcW w:w="738" w:type="dxa"/>
          </w:tcPr>
          <w:p w14:paraId="4C90055B"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5</w:t>
            </w:r>
          </w:p>
        </w:tc>
        <w:tc>
          <w:tcPr>
            <w:tcW w:w="3852" w:type="dxa"/>
            <w:hideMark/>
          </w:tcPr>
          <w:p w14:paraId="4C2A3F83"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1 ppm + Seaweed 5 ml/L)</w:t>
            </w:r>
          </w:p>
        </w:tc>
        <w:tc>
          <w:tcPr>
            <w:tcW w:w="1800" w:type="dxa"/>
            <w:hideMark/>
          </w:tcPr>
          <w:p w14:paraId="0BD35B10"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8.17 </w:t>
            </w:r>
          </w:p>
        </w:tc>
        <w:tc>
          <w:tcPr>
            <w:tcW w:w="1710" w:type="dxa"/>
            <w:hideMark/>
          </w:tcPr>
          <w:p w14:paraId="46591974"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14.31 </w:t>
            </w:r>
          </w:p>
        </w:tc>
        <w:tc>
          <w:tcPr>
            <w:tcW w:w="2070" w:type="dxa"/>
            <w:hideMark/>
          </w:tcPr>
          <w:p w14:paraId="63324A29"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3.81 </w:t>
            </w:r>
          </w:p>
        </w:tc>
        <w:tc>
          <w:tcPr>
            <w:tcW w:w="1779" w:type="dxa"/>
            <w:hideMark/>
          </w:tcPr>
          <w:p w14:paraId="1B53EAA0"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1.41 </w:t>
            </w:r>
          </w:p>
        </w:tc>
        <w:tc>
          <w:tcPr>
            <w:tcW w:w="2107" w:type="dxa"/>
            <w:hideMark/>
          </w:tcPr>
          <w:p w14:paraId="7D5CCCE5" w14:textId="77777777" w:rsidR="00197CC6" w:rsidRPr="00941468" w:rsidRDefault="00197CC6" w:rsidP="005E5ECB">
            <w:pPr>
              <w:pStyle w:val="NormalWeb"/>
              <w:spacing w:before="240" w:beforeAutospacing="0" w:after="0" w:afterAutospacing="0" w:line="276" w:lineRule="auto"/>
              <w:jc w:val="center"/>
            </w:pPr>
            <w:r w:rsidRPr="00941468">
              <w:rPr>
                <w:kern w:val="24"/>
              </w:rPr>
              <w:t>88.23</w:t>
            </w:r>
          </w:p>
        </w:tc>
      </w:tr>
      <w:tr w:rsidR="00197CC6" w:rsidRPr="00941468" w14:paraId="2D52A429" w14:textId="77777777" w:rsidTr="00197CC6">
        <w:trPr>
          <w:trHeight w:val="728"/>
        </w:trPr>
        <w:tc>
          <w:tcPr>
            <w:tcW w:w="738" w:type="dxa"/>
          </w:tcPr>
          <w:p w14:paraId="24B0DA1D"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T</w:t>
            </w:r>
            <w:r w:rsidRPr="00941468">
              <w:rPr>
                <w:rFonts w:ascii="Times New Roman" w:eastAsia="Times New Roman" w:hAnsi="Times New Roman" w:cs="Times New Roman"/>
                <w:sz w:val="24"/>
                <w:szCs w:val="24"/>
                <w:vertAlign w:val="subscript"/>
              </w:rPr>
              <w:t>6</w:t>
            </w:r>
          </w:p>
        </w:tc>
        <w:tc>
          <w:tcPr>
            <w:tcW w:w="3852" w:type="dxa"/>
            <w:hideMark/>
          </w:tcPr>
          <w:p w14:paraId="2FAC58D6" w14:textId="77777777" w:rsidR="00197CC6" w:rsidRPr="00941468" w:rsidRDefault="00197CC6" w:rsidP="005E5ECB">
            <w:pPr>
              <w:spacing w:before="240"/>
              <w:rPr>
                <w:rFonts w:ascii="Times New Roman" w:eastAsia="Times New Roman" w:hAnsi="Times New Roman" w:cs="Times New Roman"/>
                <w:sz w:val="24"/>
                <w:szCs w:val="24"/>
              </w:rPr>
            </w:pPr>
            <w:r w:rsidRPr="00941468">
              <w:rPr>
                <w:rFonts w:ascii="Times New Roman" w:eastAsia="Times New Roman" w:hAnsi="Times New Roman" w:cs="Times New Roman"/>
                <w:sz w:val="24"/>
                <w:szCs w:val="24"/>
              </w:rPr>
              <w:t>(CPPU 2 ppm + Seaweed 10 ml/L)</w:t>
            </w:r>
          </w:p>
        </w:tc>
        <w:tc>
          <w:tcPr>
            <w:tcW w:w="1800" w:type="dxa"/>
            <w:hideMark/>
          </w:tcPr>
          <w:p w14:paraId="01D8DC78"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9.07 </w:t>
            </w:r>
          </w:p>
        </w:tc>
        <w:tc>
          <w:tcPr>
            <w:tcW w:w="1710" w:type="dxa"/>
            <w:hideMark/>
          </w:tcPr>
          <w:p w14:paraId="778E8915"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16.43 </w:t>
            </w:r>
          </w:p>
        </w:tc>
        <w:tc>
          <w:tcPr>
            <w:tcW w:w="2070" w:type="dxa"/>
            <w:hideMark/>
          </w:tcPr>
          <w:p w14:paraId="322DF241"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4.26 </w:t>
            </w:r>
          </w:p>
        </w:tc>
        <w:tc>
          <w:tcPr>
            <w:tcW w:w="1779" w:type="dxa"/>
            <w:hideMark/>
          </w:tcPr>
          <w:p w14:paraId="27B36954" w14:textId="77777777" w:rsidR="00197CC6" w:rsidRPr="00941468" w:rsidRDefault="00197CC6" w:rsidP="005E5ECB">
            <w:pPr>
              <w:pStyle w:val="NormalWeb"/>
              <w:spacing w:before="240" w:beforeAutospacing="0" w:after="0" w:afterAutospacing="0" w:line="276" w:lineRule="auto"/>
              <w:jc w:val="center"/>
            </w:pPr>
            <w:r w:rsidRPr="00941468">
              <w:rPr>
                <w:kern w:val="24"/>
              </w:rPr>
              <w:t xml:space="preserve">1.61 </w:t>
            </w:r>
          </w:p>
        </w:tc>
        <w:tc>
          <w:tcPr>
            <w:tcW w:w="2107" w:type="dxa"/>
            <w:hideMark/>
          </w:tcPr>
          <w:p w14:paraId="28DC7A75" w14:textId="77777777" w:rsidR="00197CC6" w:rsidRPr="00941468" w:rsidRDefault="00197CC6" w:rsidP="005E5ECB">
            <w:pPr>
              <w:pStyle w:val="NormalWeb"/>
              <w:spacing w:before="240" w:beforeAutospacing="0" w:after="0" w:afterAutospacing="0" w:line="276" w:lineRule="auto"/>
              <w:jc w:val="center"/>
            </w:pPr>
            <w:r w:rsidRPr="00941468">
              <w:rPr>
                <w:kern w:val="24"/>
              </w:rPr>
              <w:t>91.21</w:t>
            </w:r>
          </w:p>
        </w:tc>
      </w:tr>
      <w:tr w:rsidR="00197CC6" w:rsidRPr="00941468" w14:paraId="036E8B71" w14:textId="77777777" w:rsidTr="00197CC6">
        <w:trPr>
          <w:trHeight w:val="728"/>
        </w:trPr>
        <w:tc>
          <w:tcPr>
            <w:tcW w:w="738" w:type="dxa"/>
          </w:tcPr>
          <w:p w14:paraId="56708193" w14:textId="77777777" w:rsidR="00197CC6" w:rsidRPr="00941468" w:rsidRDefault="00197CC6" w:rsidP="00197CC6">
            <w:pPr>
              <w:rPr>
                <w:rFonts w:ascii="Times New Roman" w:eastAsia="Times New Roman" w:hAnsi="Times New Roman" w:cs="Times New Roman"/>
                <w:sz w:val="24"/>
                <w:szCs w:val="24"/>
              </w:rPr>
            </w:pPr>
          </w:p>
        </w:tc>
        <w:tc>
          <w:tcPr>
            <w:tcW w:w="3852" w:type="dxa"/>
            <w:vAlign w:val="center"/>
            <w:hideMark/>
          </w:tcPr>
          <w:p w14:paraId="3527C596" w14:textId="77777777" w:rsidR="00197CC6" w:rsidRPr="00941468" w:rsidRDefault="00197CC6" w:rsidP="003D0CB9">
            <w:pPr>
              <w:spacing w:before="120" w:line="360" w:lineRule="auto"/>
              <w:jc w:val="center"/>
              <w:rPr>
                <w:rFonts w:ascii="Times New Roman" w:eastAsia="Times New Roman" w:hAnsi="Times New Roman" w:cs="Times New Roman"/>
                <w:b/>
                <w:sz w:val="24"/>
                <w:szCs w:val="24"/>
              </w:rPr>
            </w:pPr>
            <w:r w:rsidRPr="00941468">
              <w:rPr>
                <w:rFonts w:ascii="Times New Roman" w:eastAsia="Times New Roman" w:hAnsi="Times New Roman" w:cs="Times New Roman"/>
                <w:b/>
                <w:sz w:val="24"/>
                <w:szCs w:val="24"/>
              </w:rPr>
              <w:t>SE (m) ±</w:t>
            </w:r>
          </w:p>
        </w:tc>
        <w:tc>
          <w:tcPr>
            <w:tcW w:w="1800" w:type="dxa"/>
            <w:hideMark/>
          </w:tcPr>
          <w:p w14:paraId="51D3D585" w14:textId="77777777" w:rsidR="00197CC6" w:rsidRPr="00941468" w:rsidRDefault="00197CC6" w:rsidP="003D0CB9">
            <w:pPr>
              <w:pStyle w:val="NormalWeb"/>
              <w:spacing w:before="120" w:beforeAutospacing="0" w:after="0" w:afterAutospacing="0" w:line="276" w:lineRule="auto"/>
              <w:jc w:val="center"/>
            </w:pPr>
            <w:r w:rsidRPr="00941468">
              <w:rPr>
                <w:kern w:val="24"/>
              </w:rPr>
              <w:t>0.73</w:t>
            </w:r>
          </w:p>
        </w:tc>
        <w:tc>
          <w:tcPr>
            <w:tcW w:w="1710" w:type="dxa"/>
            <w:hideMark/>
          </w:tcPr>
          <w:p w14:paraId="46B33AD7" w14:textId="77777777" w:rsidR="00197CC6" w:rsidRPr="00941468" w:rsidRDefault="00197CC6" w:rsidP="003D0CB9">
            <w:pPr>
              <w:pStyle w:val="NormalWeb"/>
              <w:spacing w:before="120" w:beforeAutospacing="0" w:after="0" w:afterAutospacing="0" w:line="276" w:lineRule="auto"/>
              <w:jc w:val="center"/>
            </w:pPr>
            <w:r w:rsidRPr="00941468">
              <w:rPr>
                <w:kern w:val="24"/>
              </w:rPr>
              <w:t>1.53</w:t>
            </w:r>
          </w:p>
        </w:tc>
        <w:tc>
          <w:tcPr>
            <w:tcW w:w="2070" w:type="dxa"/>
            <w:hideMark/>
          </w:tcPr>
          <w:p w14:paraId="64E516AE" w14:textId="77777777" w:rsidR="00197CC6" w:rsidRPr="00941468" w:rsidRDefault="00197CC6" w:rsidP="003D0CB9">
            <w:pPr>
              <w:pStyle w:val="NormalWeb"/>
              <w:spacing w:before="120" w:beforeAutospacing="0" w:after="0" w:afterAutospacing="0" w:line="276" w:lineRule="auto"/>
              <w:jc w:val="center"/>
            </w:pPr>
            <w:r w:rsidRPr="00941468">
              <w:rPr>
                <w:kern w:val="24"/>
              </w:rPr>
              <w:t>0.35</w:t>
            </w:r>
          </w:p>
        </w:tc>
        <w:tc>
          <w:tcPr>
            <w:tcW w:w="1779" w:type="dxa"/>
            <w:hideMark/>
          </w:tcPr>
          <w:p w14:paraId="43A4037A" w14:textId="77777777" w:rsidR="00197CC6" w:rsidRPr="00941468" w:rsidRDefault="00197CC6" w:rsidP="003D0CB9">
            <w:pPr>
              <w:pStyle w:val="NormalWeb"/>
              <w:spacing w:before="120" w:beforeAutospacing="0" w:after="0" w:afterAutospacing="0" w:line="276" w:lineRule="auto"/>
              <w:jc w:val="center"/>
            </w:pPr>
            <w:r w:rsidRPr="00941468">
              <w:rPr>
                <w:kern w:val="24"/>
              </w:rPr>
              <w:t>0.15</w:t>
            </w:r>
          </w:p>
        </w:tc>
        <w:tc>
          <w:tcPr>
            <w:tcW w:w="2107" w:type="dxa"/>
            <w:hideMark/>
          </w:tcPr>
          <w:p w14:paraId="0626393D" w14:textId="77777777" w:rsidR="00197CC6" w:rsidRPr="00941468" w:rsidRDefault="00197CC6" w:rsidP="003D0CB9">
            <w:pPr>
              <w:pStyle w:val="NormalWeb"/>
              <w:spacing w:before="120" w:beforeAutospacing="0" w:after="0" w:afterAutospacing="0" w:line="276" w:lineRule="auto"/>
              <w:jc w:val="center"/>
            </w:pPr>
            <w:r w:rsidRPr="00941468">
              <w:rPr>
                <w:kern w:val="24"/>
              </w:rPr>
              <w:t>1.69</w:t>
            </w:r>
          </w:p>
        </w:tc>
      </w:tr>
      <w:tr w:rsidR="00197CC6" w:rsidRPr="00941468" w14:paraId="7917622B" w14:textId="77777777" w:rsidTr="00197CC6">
        <w:trPr>
          <w:trHeight w:val="728"/>
        </w:trPr>
        <w:tc>
          <w:tcPr>
            <w:tcW w:w="738" w:type="dxa"/>
          </w:tcPr>
          <w:p w14:paraId="42E81CF5" w14:textId="77777777" w:rsidR="00197CC6" w:rsidRPr="00941468" w:rsidRDefault="00197CC6" w:rsidP="00197CC6">
            <w:pPr>
              <w:rPr>
                <w:rFonts w:ascii="Times New Roman" w:eastAsia="Times New Roman" w:hAnsi="Times New Roman" w:cs="Times New Roman"/>
                <w:sz w:val="24"/>
                <w:szCs w:val="24"/>
              </w:rPr>
            </w:pPr>
          </w:p>
        </w:tc>
        <w:tc>
          <w:tcPr>
            <w:tcW w:w="3852" w:type="dxa"/>
            <w:vAlign w:val="center"/>
            <w:hideMark/>
          </w:tcPr>
          <w:p w14:paraId="5DABB19A" w14:textId="77777777" w:rsidR="00197CC6" w:rsidRPr="00941468" w:rsidRDefault="00197CC6" w:rsidP="003D0CB9">
            <w:pPr>
              <w:spacing w:before="120" w:line="360" w:lineRule="auto"/>
              <w:jc w:val="center"/>
              <w:rPr>
                <w:rFonts w:ascii="Times New Roman" w:eastAsia="Times New Roman" w:hAnsi="Times New Roman" w:cs="Times New Roman"/>
                <w:b/>
                <w:sz w:val="24"/>
                <w:szCs w:val="24"/>
              </w:rPr>
            </w:pPr>
            <w:r w:rsidRPr="00941468">
              <w:rPr>
                <w:rFonts w:ascii="Times New Roman" w:eastAsia="Times New Roman" w:hAnsi="Times New Roman" w:cs="Times New Roman"/>
                <w:b/>
                <w:sz w:val="24"/>
                <w:szCs w:val="24"/>
              </w:rPr>
              <w:t>C.D. at 5%</w:t>
            </w:r>
          </w:p>
        </w:tc>
        <w:tc>
          <w:tcPr>
            <w:tcW w:w="1800" w:type="dxa"/>
            <w:hideMark/>
          </w:tcPr>
          <w:p w14:paraId="1EC94F8B" w14:textId="77777777" w:rsidR="00197CC6" w:rsidRPr="00941468" w:rsidRDefault="00197CC6" w:rsidP="003D0CB9">
            <w:pPr>
              <w:pStyle w:val="NormalWeb"/>
              <w:spacing w:before="120" w:beforeAutospacing="0" w:after="0" w:afterAutospacing="0" w:line="276" w:lineRule="auto"/>
              <w:jc w:val="center"/>
            </w:pPr>
            <w:r w:rsidRPr="00941468">
              <w:rPr>
                <w:kern w:val="24"/>
              </w:rPr>
              <w:t>1.59</w:t>
            </w:r>
          </w:p>
        </w:tc>
        <w:tc>
          <w:tcPr>
            <w:tcW w:w="1710" w:type="dxa"/>
            <w:hideMark/>
          </w:tcPr>
          <w:p w14:paraId="2BFD3EDF" w14:textId="77777777" w:rsidR="00197CC6" w:rsidRPr="00941468" w:rsidRDefault="00197CC6" w:rsidP="003D0CB9">
            <w:pPr>
              <w:pStyle w:val="NormalWeb"/>
              <w:spacing w:before="120" w:beforeAutospacing="0" w:after="0" w:afterAutospacing="0" w:line="276" w:lineRule="auto"/>
              <w:jc w:val="center"/>
            </w:pPr>
            <w:r w:rsidRPr="00941468">
              <w:rPr>
                <w:kern w:val="24"/>
              </w:rPr>
              <w:t>3.33</w:t>
            </w:r>
          </w:p>
        </w:tc>
        <w:tc>
          <w:tcPr>
            <w:tcW w:w="2070" w:type="dxa"/>
            <w:hideMark/>
          </w:tcPr>
          <w:p w14:paraId="2D61AD68" w14:textId="77777777" w:rsidR="00197CC6" w:rsidRPr="00941468" w:rsidRDefault="00197CC6" w:rsidP="003D0CB9">
            <w:pPr>
              <w:pStyle w:val="NormalWeb"/>
              <w:spacing w:before="120" w:beforeAutospacing="0" w:after="0" w:afterAutospacing="0" w:line="276" w:lineRule="auto"/>
              <w:jc w:val="center"/>
            </w:pPr>
            <w:r w:rsidRPr="00941468">
              <w:rPr>
                <w:kern w:val="24"/>
              </w:rPr>
              <w:t>0.75</w:t>
            </w:r>
          </w:p>
        </w:tc>
        <w:tc>
          <w:tcPr>
            <w:tcW w:w="1779" w:type="dxa"/>
            <w:hideMark/>
          </w:tcPr>
          <w:p w14:paraId="174631B2" w14:textId="77777777" w:rsidR="00197CC6" w:rsidRPr="00941468" w:rsidRDefault="00197CC6" w:rsidP="003D0CB9">
            <w:pPr>
              <w:pStyle w:val="NormalWeb"/>
              <w:spacing w:before="120" w:beforeAutospacing="0" w:after="0" w:afterAutospacing="0" w:line="276" w:lineRule="auto"/>
              <w:jc w:val="center"/>
            </w:pPr>
            <w:r w:rsidRPr="00941468">
              <w:rPr>
                <w:kern w:val="24"/>
              </w:rPr>
              <w:t>0.33</w:t>
            </w:r>
          </w:p>
        </w:tc>
        <w:tc>
          <w:tcPr>
            <w:tcW w:w="2107" w:type="dxa"/>
            <w:hideMark/>
          </w:tcPr>
          <w:p w14:paraId="7AED3501" w14:textId="77777777" w:rsidR="00197CC6" w:rsidRPr="00941468" w:rsidRDefault="00197CC6" w:rsidP="003D0CB9">
            <w:pPr>
              <w:pStyle w:val="NormalWeb"/>
              <w:spacing w:before="120" w:beforeAutospacing="0" w:after="0" w:afterAutospacing="0" w:line="276" w:lineRule="auto"/>
              <w:jc w:val="center"/>
            </w:pPr>
            <w:r w:rsidRPr="00941468">
              <w:rPr>
                <w:kern w:val="24"/>
              </w:rPr>
              <w:t>2.05</w:t>
            </w:r>
          </w:p>
        </w:tc>
      </w:tr>
    </w:tbl>
    <w:p w14:paraId="111E00BD" w14:textId="77777777" w:rsidR="00197CC6" w:rsidRPr="00941468" w:rsidRDefault="00197CC6" w:rsidP="003D0CB9">
      <w:pPr>
        <w:spacing w:before="100" w:beforeAutospacing="1" w:after="100" w:afterAutospacing="1" w:line="240" w:lineRule="auto"/>
        <w:outlineLvl w:val="3"/>
        <w:rPr>
          <w:rFonts w:ascii="Times New Roman" w:eastAsia="Times New Roman" w:hAnsi="Times New Roman" w:cs="Times New Roman"/>
          <w:b/>
          <w:bCs/>
          <w:sz w:val="24"/>
          <w:szCs w:val="24"/>
        </w:rPr>
      </w:pPr>
      <w:r w:rsidRPr="00941468">
        <w:rPr>
          <w:rFonts w:ascii="Times New Roman" w:eastAsia="Times New Roman" w:hAnsi="Times New Roman" w:cs="Times New Roman"/>
          <w:b/>
          <w:bCs/>
          <w:sz w:val="24"/>
          <w:szCs w:val="24"/>
        </w:rPr>
        <w:t xml:space="preserve">Table 2: Effect of CPPU and Seaweed Extract on </w:t>
      </w:r>
      <w:r w:rsidRPr="00941468">
        <w:rPr>
          <w:rFonts w:ascii="Times New Roman" w:hAnsi="Times New Roman" w:cs="Times New Roman"/>
          <w:b/>
          <w:sz w:val="24"/>
          <w:szCs w:val="24"/>
        </w:rPr>
        <w:t xml:space="preserve">Rooting characters </w:t>
      </w:r>
      <w:r w:rsidRPr="00941468">
        <w:rPr>
          <w:rFonts w:ascii="Times New Roman" w:eastAsia="Times New Roman" w:hAnsi="Times New Roman" w:cs="Times New Roman"/>
          <w:b/>
          <w:bCs/>
          <w:sz w:val="24"/>
          <w:szCs w:val="24"/>
        </w:rPr>
        <w:t>of Syngonium</w:t>
      </w:r>
    </w:p>
    <w:sectPr w:rsidR="00197CC6" w:rsidRPr="00941468" w:rsidSect="00E3380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6E23" w14:textId="77777777" w:rsidR="00F7237B" w:rsidRDefault="00F7237B" w:rsidP="00D90128">
      <w:pPr>
        <w:spacing w:after="0" w:line="240" w:lineRule="auto"/>
      </w:pPr>
      <w:r>
        <w:separator/>
      </w:r>
    </w:p>
  </w:endnote>
  <w:endnote w:type="continuationSeparator" w:id="0">
    <w:p w14:paraId="64D69C1E" w14:textId="77777777" w:rsidR="00F7237B" w:rsidRDefault="00F7237B" w:rsidP="00D9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FE21" w14:textId="77777777" w:rsidR="00D90128" w:rsidRDefault="00D90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9E84" w14:textId="77777777" w:rsidR="00D90128" w:rsidRDefault="00D90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F659" w14:textId="77777777" w:rsidR="00D90128" w:rsidRDefault="00D9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1CBE" w14:textId="77777777" w:rsidR="00F7237B" w:rsidRDefault="00F7237B" w:rsidP="00D90128">
      <w:pPr>
        <w:spacing w:after="0" w:line="240" w:lineRule="auto"/>
      </w:pPr>
      <w:r>
        <w:separator/>
      </w:r>
    </w:p>
  </w:footnote>
  <w:footnote w:type="continuationSeparator" w:id="0">
    <w:p w14:paraId="12A5AB9D" w14:textId="77777777" w:rsidR="00F7237B" w:rsidRDefault="00F7237B" w:rsidP="00D90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F291" w14:textId="5DD14FC9" w:rsidR="00D90128" w:rsidRDefault="00D90128">
    <w:pPr>
      <w:pStyle w:val="Header"/>
    </w:pPr>
    <w:r>
      <w:rPr>
        <w:noProof/>
      </w:rPr>
      <w:pict w14:anchorId="42840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848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3F54" w14:textId="418546C8" w:rsidR="00D90128" w:rsidRDefault="00D90128">
    <w:pPr>
      <w:pStyle w:val="Header"/>
    </w:pPr>
    <w:r>
      <w:rPr>
        <w:noProof/>
      </w:rPr>
      <w:pict w14:anchorId="4E738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848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D92E" w14:textId="1C58F4EA" w:rsidR="00D90128" w:rsidRDefault="00D90128">
    <w:pPr>
      <w:pStyle w:val="Header"/>
    </w:pPr>
    <w:r>
      <w:rPr>
        <w:noProof/>
      </w:rPr>
      <w:pict w14:anchorId="19F9B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848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67B0D"/>
    <w:multiLevelType w:val="multilevel"/>
    <w:tmpl w:val="7C425488"/>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4710E"/>
    <w:multiLevelType w:val="hybridMultilevel"/>
    <w:tmpl w:val="011A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8272D"/>
    <w:multiLevelType w:val="hybridMultilevel"/>
    <w:tmpl w:val="D9C6F9EE"/>
    <w:lvl w:ilvl="0" w:tplc="CEF4F79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6786334">
    <w:abstractNumId w:val="0"/>
  </w:num>
  <w:num w:numId="2" w16cid:durableId="1137600613">
    <w:abstractNumId w:val="2"/>
  </w:num>
  <w:num w:numId="3" w16cid:durableId="146905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F1F"/>
    <w:rsid w:val="00010F37"/>
    <w:rsid w:val="000444F5"/>
    <w:rsid w:val="000D5C44"/>
    <w:rsid w:val="000F7DD3"/>
    <w:rsid w:val="001037E5"/>
    <w:rsid w:val="00105B69"/>
    <w:rsid w:val="001101C5"/>
    <w:rsid w:val="001242EC"/>
    <w:rsid w:val="001311AA"/>
    <w:rsid w:val="0013488E"/>
    <w:rsid w:val="001463C3"/>
    <w:rsid w:val="00174996"/>
    <w:rsid w:val="00180C68"/>
    <w:rsid w:val="00197CC6"/>
    <w:rsid w:val="0023116E"/>
    <w:rsid w:val="002601AA"/>
    <w:rsid w:val="0026225E"/>
    <w:rsid w:val="00284CAB"/>
    <w:rsid w:val="002D6D22"/>
    <w:rsid w:val="002F4BAF"/>
    <w:rsid w:val="003813F6"/>
    <w:rsid w:val="003D0CB9"/>
    <w:rsid w:val="00493263"/>
    <w:rsid w:val="004E1FAA"/>
    <w:rsid w:val="00530AD3"/>
    <w:rsid w:val="00552835"/>
    <w:rsid w:val="00552F1F"/>
    <w:rsid w:val="005C0AE9"/>
    <w:rsid w:val="005D065C"/>
    <w:rsid w:val="005E5ECB"/>
    <w:rsid w:val="0061792D"/>
    <w:rsid w:val="00681BF6"/>
    <w:rsid w:val="0069279B"/>
    <w:rsid w:val="006C70FF"/>
    <w:rsid w:val="006E3FB9"/>
    <w:rsid w:val="007554E7"/>
    <w:rsid w:val="007A4E2E"/>
    <w:rsid w:val="008575DF"/>
    <w:rsid w:val="008C1A7C"/>
    <w:rsid w:val="008F74DE"/>
    <w:rsid w:val="009158E3"/>
    <w:rsid w:val="00932167"/>
    <w:rsid w:val="00941468"/>
    <w:rsid w:val="00985784"/>
    <w:rsid w:val="009B3788"/>
    <w:rsid w:val="009F1532"/>
    <w:rsid w:val="00A23DF9"/>
    <w:rsid w:val="00A57C95"/>
    <w:rsid w:val="00A64662"/>
    <w:rsid w:val="00A66040"/>
    <w:rsid w:val="00A67BA7"/>
    <w:rsid w:val="00B00E98"/>
    <w:rsid w:val="00B82184"/>
    <w:rsid w:val="00B901FA"/>
    <w:rsid w:val="00B91857"/>
    <w:rsid w:val="00BA2B56"/>
    <w:rsid w:val="00BD4909"/>
    <w:rsid w:val="00BF3AAB"/>
    <w:rsid w:val="00C142DB"/>
    <w:rsid w:val="00C379C4"/>
    <w:rsid w:val="00C527C9"/>
    <w:rsid w:val="00C54CAB"/>
    <w:rsid w:val="00C57CAF"/>
    <w:rsid w:val="00C809AE"/>
    <w:rsid w:val="00C85B44"/>
    <w:rsid w:val="00CA4015"/>
    <w:rsid w:val="00CB716D"/>
    <w:rsid w:val="00CD53CE"/>
    <w:rsid w:val="00CE0D81"/>
    <w:rsid w:val="00CE327C"/>
    <w:rsid w:val="00D53C66"/>
    <w:rsid w:val="00D64478"/>
    <w:rsid w:val="00D820BB"/>
    <w:rsid w:val="00D90128"/>
    <w:rsid w:val="00D91C2C"/>
    <w:rsid w:val="00DA3F6F"/>
    <w:rsid w:val="00DA466A"/>
    <w:rsid w:val="00DC0C63"/>
    <w:rsid w:val="00E127BF"/>
    <w:rsid w:val="00E51265"/>
    <w:rsid w:val="00E93BE2"/>
    <w:rsid w:val="00EC6673"/>
    <w:rsid w:val="00EF3657"/>
    <w:rsid w:val="00F15C2F"/>
    <w:rsid w:val="00F22216"/>
    <w:rsid w:val="00F42355"/>
    <w:rsid w:val="00F7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5A9A"/>
  <w15:docId w15:val="{1F60984F-1BC0-424C-80D4-56DB5260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54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42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CAB"/>
    <w:rPr>
      <w:color w:val="0000FF" w:themeColor="hyperlink"/>
      <w:u w:val="single"/>
    </w:rPr>
  </w:style>
  <w:style w:type="character" w:customStyle="1" w:styleId="Heading3Char">
    <w:name w:val="Heading 3 Char"/>
    <w:basedOn w:val="DefaultParagraphFont"/>
    <w:link w:val="Heading3"/>
    <w:uiPriority w:val="9"/>
    <w:semiHidden/>
    <w:rsid w:val="00C54CA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54CAB"/>
    <w:rPr>
      <w:b/>
      <w:bCs/>
    </w:rPr>
  </w:style>
  <w:style w:type="paragraph" w:styleId="ListParagraph">
    <w:name w:val="List Paragraph"/>
    <w:basedOn w:val="Normal"/>
    <w:uiPriority w:val="1"/>
    <w:qFormat/>
    <w:rsid w:val="00C54CAB"/>
    <w:pPr>
      <w:widowControl w:val="0"/>
      <w:autoSpaceDE w:val="0"/>
      <w:autoSpaceDN w:val="0"/>
      <w:spacing w:after="0" w:line="240" w:lineRule="auto"/>
      <w:ind w:left="1295" w:hanging="540"/>
      <w:jc w:val="both"/>
    </w:pPr>
    <w:rPr>
      <w:rFonts w:ascii="Times New Roman" w:eastAsia="Times New Roman" w:hAnsi="Times New Roman" w:cs="Times New Roman"/>
    </w:rPr>
  </w:style>
  <w:style w:type="paragraph" w:styleId="NormalWeb">
    <w:name w:val="Normal (Web)"/>
    <w:basedOn w:val="Normal"/>
    <w:uiPriority w:val="99"/>
    <w:unhideWhenUsed/>
    <w:rsid w:val="00C54C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1A7C"/>
    <w:rPr>
      <w:i/>
      <w:iCs/>
    </w:rPr>
  </w:style>
  <w:style w:type="character" w:customStyle="1" w:styleId="Heading4Char">
    <w:name w:val="Heading 4 Char"/>
    <w:basedOn w:val="DefaultParagraphFont"/>
    <w:link w:val="Heading4"/>
    <w:uiPriority w:val="9"/>
    <w:semiHidden/>
    <w:rsid w:val="001242E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97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90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28"/>
  </w:style>
  <w:style w:type="paragraph" w:styleId="Footer">
    <w:name w:val="footer"/>
    <w:basedOn w:val="Normal"/>
    <w:link w:val="FooterChar"/>
    <w:uiPriority w:val="99"/>
    <w:unhideWhenUsed/>
    <w:rsid w:val="00D90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722">
      <w:bodyDiv w:val="1"/>
      <w:marLeft w:val="0"/>
      <w:marRight w:val="0"/>
      <w:marTop w:val="0"/>
      <w:marBottom w:val="0"/>
      <w:divBdr>
        <w:top w:val="none" w:sz="0" w:space="0" w:color="auto"/>
        <w:left w:val="none" w:sz="0" w:space="0" w:color="auto"/>
        <w:bottom w:val="none" w:sz="0" w:space="0" w:color="auto"/>
        <w:right w:val="none" w:sz="0" w:space="0" w:color="auto"/>
      </w:divBdr>
    </w:div>
    <w:div w:id="251205974">
      <w:bodyDiv w:val="1"/>
      <w:marLeft w:val="0"/>
      <w:marRight w:val="0"/>
      <w:marTop w:val="0"/>
      <w:marBottom w:val="0"/>
      <w:divBdr>
        <w:top w:val="none" w:sz="0" w:space="0" w:color="auto"/>
        <w:left w:val="none" w:sz="0" w:space="0" w:color="auto"/>
        <w:bottom w:val="none" w:sz="0" w:space="0" w:color="auto"/>
        <w:right w:val="none" w:sz="0" w:space="0" w:color="auto"/>
      </w:divBdr>
    </w:div>
    <w:div w:id="399132525">
      <w:bodyDiv w:val="1"/>
      <w:marLeft w:val="0"/>
      <w:marRight w:val="0"/>
      <w:marTop w:val="0"/>
      <w:marBottom w:val="0"/>
      <w:divBdr>
        <w:top w:val="none" w:sz="0" w:space="0" w:color="auto"/>
        <w:left w:val="none" w:sz="0" w:space="0" w:color="auto"/>
        <w:bottom w:val="none" w:sz="0" w:space="0" w:color="auto"/>
        <w:right w:val="none" w:sz="0" w:space="0" w:color="auto"/>
      </w:divBdr>
    </w:div>
    <w:div w:id="540019477">
      <w:bodyDiv w:val="1"/>
      <w:marLeft w:val="0"/>
      <w:marRight w:val="0"/>
      <w:marTop w:val="0"/>
      <w:marBottom w:val="0"/>
      <w:divBdr>
        <w:top w:val="none" w:sz="0" w:space="0" w:color="auto"/>
        <w:left w:val="none" w:sz="0" w:space="0" w:color="auto"/>
        <w:bottom w:val="none" w:sz="0" w:space="0" w:color="auto"/>
        <w:right w:val="none" w:sz="0" w:space="0" w:color="auto"/>
      </w:divBdr>
    </w:div>
    <w:div w:id="564412926">
      <w:bodyDiv w:val="1"/>
      <w:marLeft w:val="0"/>
      <w:marRight w:val="0"/>
      <w:marTop w:val="0"/>
      <w:marBottom w:val="0"/>
      <w:divBdr>
        <w:top w:val="none" w:sz="0" w:space="0" w:color="auto"/>
        <w:left w:val="none" w:sz="0" w:space="0" w:color="auto"/>
        <w:bottom w:val="none" w:sz="0" w:space="0" w:color="auto"/>
        <w:right w:val="none" w:sz="0" w:space="0" w:color="auto"/>
      </w:divBdr>
    </w:div>
    <w:div w:id="982544569">
      <w:bodyDiv w:val="1"/>
      <w:marLeft w:val="0"/>
      <w:marRight w:val="0"/>
      <w:marTop w:val="0"/>
      <w:marBottom w:val="0"/>
      <w:divBdr>
        <w:top w:val="none" w:sz="0" w:space="0" w:color="auto"/>
        <w:left w:val="none" w:sz="0" w:space="0" w:color="auto"/>
        <w:bottom w:val="none" w:sz="0" w:space="0" w:color="auto"/>
        <w:right w:val="none" w:sz="0" w:space="0" w:color="auto"/>
      </w:divBdr>
    </w:div>
    <w:div w:id="1324504289">
      <w:bodyDiv w:val="1"/>
      <w:marLeft w:val="0"/>
      <w:marRight w:val="0"/>
      <w:marTop w:val="0"/>
      <w:marBottom w:val="0"/>
      <w:divBdr>
        <w:top w:val="none" w:sz="0" w:space="0" w:color="auto"/>
        <w:left w:val="none" w:sz="0" w:space="0" w:color="auto"/>
        <w:bottom w:val="none" w:sz="0" w:space="0" w:color="auto"/>
        <w:right w:val="none" w:sz="0" w:space="0" w:color="auto"/>
      </w:divBdr>
    </w:div>
    <w:div w:id="1784298331">
      <w:bodyDiv w:val="1"/>
      <w:marLeft w:val="0"/>
      <w:marRight w:val="0"/>
      <w:marTop w:val="0"/>
      <w:marBottom w:val="0"/>
      <w:divBdr>
        <w:top w:val="none" w:sz="0" w:space="0" w:color="auto"/>
        <w:left w:val="none" w:sz="0" w:space="0" w:color="auto"/>
        <w:bottom w:val="none" w:sz="0" w:space="0" w:color="auto"/>
        <w:right w:val="none" w:sz="0" w:space="0" w:color="auto"/>
      </w:divBdr>
    </w:div>
    <w:div w:id="1897352747">
      <w:bodyDiv w:val="1"/>
      <w:marLeft w:val="0"/>
      <w:marRight w:val="0"/>
      <w:marTop w:val="0"/>
      <w:marBottom w:val="0"/>
      <w:divBdr>
        <w:top w:val="none" w:sz="0" w:space="0" w:color="auto"/>
        <w:left w:val="none" w:sz="0" w:space="0" w:color="auto"/>
        <w:bottom w:val="none" w:sz="0" w:space="0" w:color="auto"/>
        <w:right w:val="none" w:sz="0" w:space="0" w:color="auto"/>
      </w:divBdr>
    </w:div>
    <w:div w:id="19628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9</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79</cp:revision>
  <dcterms:created xsi:type="dcterms:W3CDTF">2025-06-05T13:38:00Z</dcterms:created>
  <dcterms:modified xsi:type="dcterms:W3CDTF">2025-06-06T10:31:00Z</dcterms:modified>
</cp:coreProperties>
</file>