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A8635" w14:textId="77777777" w:rsidR="00A174C6" w:rsidRPr="00FF5683" w:rsidRDefault="00A174C6" w:rsidP="00A174C6">
      <w:pPr>
        <w:rPr>
          <w:rFonts w:ascii="Arial" w:hAnsi="Arial" w:cs="Arial"/>
          <w:b/>
          <w:bCs/>
          <w:sz w:val="36"/>
          <w:szCs w:val="36"/>
        </w:rPr>
      </w:pPr>
      <w:r w:rsidRPr="00FF5683">
        <w:rPr>
          <w:rFonts w:ascii="Arial" w:hAnsi="Arial" w:cs="Arial"/>
          <w:b/>
          <w:bCs/>
          <w:sz w:val="36"/>
          <w:szCs w:val="36"/>
        </w:rPr>
        <w:t>INTEGRATED WATER RESOURCE MANAGEMENT IN ARID REGIONS: A TRANSFORMATIVE FRAMEWORK FOR ENHANCING WATER SECURITY UNDER CLIMATE UNCERTAINTY</w:t>
      </w:r>
    </w:p>
    <w:p w14:paraId="23B639E5" w14:textId="210002AC" w:rsidR="00A174C6" w:rsidRDefault="00A174C6" w:rsidP="00A174C6">
      <w:pPr>
        <w:pStyle w:val="AbstHead"/>
        <w:spacing w:after="0"/>
        <w:jc w:val="both"/>
        <w:rPr>
          <w:rFonts w:ascii="Arial" w:hAnsi="Arial" w:cs="Arial"/>
        </w:rPr>
      </w:pPr>
      <w:bookmarkStart w:id="0" w:name="_Hlk199160756"/>
      <w:r w:rsidRPr="00FB3A86">
        <w:rPr>
          <w:rFonts w:ascii="Arial" w:hAnsi="Arial" w:cs="Arial"/>
        </w:rPr>
        <w:t>ABSTRACT</w:t>
      </w:r>
      <w:r>
        <w:rPr>
          <w:rFonts w:ascii="Arial" w:hAnsi="Arial" w:cs="Arial"/>
        </w:rPr>
        <w:t xml:space="preserve"> </w:t>
      </w:r>
    </w:p>
    <w:p w14:paraId="20D7BA7E" w14:textId="77777777" w:rsidR="00A174C6" w:rsidRPr="00FB3A86" w:rsidRDefault="00A174C6" w:rsidP="00A174C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A174C6" w:rsidRPr="001E44FE" w14:paraId="6E7367FB" w14:textId="77777777" w:rsidTr="000E3092">
        <w:tc>
          <w:tcPr>
            <w:tcW w:w="9576" w:type="dxa"/>
            <w:shd w:val="clear" w:color="auto" w:fill="F2F2F2"/>
          </w:tcPr>
          <w:p w14:paraId="1366EBDE" w14:textId="31B2B5CF" w:rsidR="00A174C6" w:rsidRPr="00BF18A4" w:rsidRDefault="00452B65" w:rsidP="00BF18A4">
            <w:pPr>
              <w:jc w:val="both"/>
              <w:rPr>
                <w:rFonts w:ascii="Arial" w:hAnsi="Arial" w:cs="Arial"/>
                <w:sz w:val="20"/>
                <w:szCs w:val="20"/>
              </w:rPr>
            </w:pPr>
            <w:r w:rsidRPr="00452B65">
              <w:rPr>
                <w:rFonts w:ascii="Arial" w:hAnsi="Arial" w:cs="Arial"/>
                <w:sz w:val="20"/>
                <w:szCs w:val="20"/>
              </w:rPr>
              <w:t>Water insecurity threatens at least 2 billion people residing in arid and semi-arid parts of the world, with climate change and population growth exacerbating this human threat very fast. However, over decades of interventions, the traditional methods of water management are always failing in these unique environments. As a radical reboot of water governance as it happens in water-scarce places based on a novel methodological approach that combines innovative hydrogeological modeling, institutional analysis, and implementation science. Our mixed-methods appraisal, which involved a remote sensing analysis of 38 major arid basins, a 12-year longitudinal tracking of three diverse case systems, and multinational stakeholder engagement (n=247), reveals crucial tipping points, beyond which traditional frameworks break. Performance of conventional assessment models remains limited on arid landscapes, as they explain only 26% of outcomes variance (p&lt;0.001), while our Climate-Adaptive Water Security Index reliably predicts 78% of system failures under heightening climate stress (p&lt;0.001). The transformative framework for water governance that we propose repositions water governance in terms of adaptive resilience, instead of static sustainability, and creates a paradigm shift applicable to global water security challenges that are accelerating under climate change</w:t>
            </w:r>
            <w:r w:rsidR="00BF18A4">
              <w:rPr>
                <w:rFonts w:ascii="Arial" w:hAnsi="Arial" w:cs="Arial"/>
                <w:sz w:val="20"/>
                <w:szCs w:val="20"/>
              </w:rPr>
              <w:t>.</w:t>
            </w:r>
          </w:p>
        </w:tc>
      </w:tr>
      <w:bookmarkEnd w:id="0"/>
    </w:tbl>
    <w:p w14:paraId="7DAE67F7" w14:textId="77777777" w:rsidR="00B50E54" w:rsidRPr="002A2201" w:rsidRDefault="00B50E54" w:rsidP="00B50E54">
      <w:pPr>
        <w:spacing w:after="0"/>
        <w:jc w:val="both"/>
        <w:rPr>
          <w:rFonts w:ascii="Arial" w:hAnsi="Arial" w:cs="Arial"/>
          <w:i/>
          <w:iCs/>
          <w:sz w:val="22"/>
          <w:szCs w:val="22"/>
        </w:rPr>
      </w:pPr>
    </w:p>
    <w:p w14:paraId="6E85D612" w14:textId="77777777" w:rsidR="00DA5352" w:rsidRPr="002A2201" w:rsidRDefault="003B6F69" w:rsidP="00DA5352">
      <w:pPr>
        <w:spacing w:after="0"/>
        <w:jc w:val="both"/>
        <w:rPr>
          <w:rFonts w:ascii="Arial" w:hAnsi="Arial" w:cs="Arial"/>
          <w:i/>
          <w:iCs/>
          <w:sz w:val="22"/>
          <w:szCs w:val="22"/>
        </w:rPr>
      </w:pPr>
      <w:r w:rsidRPr="002A2201">
        <w:rPr>
          <w:rFonts w:ascii="Arial" w:hAnsi="Arial" w:cs="Arial"/>
          <w:i/>
          <w:iCs/>
          <w:sz w:val="22"/>
          <w:szCs w:val="22"/>
        </w:rPr>
        <w:t xml:space="preserve">Keywords: </w:t>
      </w:r>
      <w:r w:rsidR="00DA5352" w:rsidRPr="002A2201">
        <w:rPr>
          <w:rFonts w:ascii="Arial" w:hAnsi="Arial" w:cs="Arial"/>
          <w:i/>
          <w:iCs/>
          <w:sz w:val="22"/>
          <w:szCs w:val="22"/>
        </w:rPr>
        <w:t>Water Governance, Arid and Semi-Arid Regions, Resilience Framework, Integrated Water Resource Management, Climate Change Adaptation.</w:t>
      </w:r>
    </w:p>
    <w:p w14:paraId="54E7F772" w14:textId="1F726E45" w:rsidR="003B6F69" w:rsidRPr="00A174C6" w:rsidRDefault="003B6F69" w:rsidP="00B50E54">
      <w:pPr>
        <w:spacing w:after="0"/>
        <w:jc w:val="both"/>
        <w:rPr>
          <w:rFonts w:ascii="Arial" w:hAnsi="Arial" w:cs="Arial"/>
        </w:rPr>
      </w:pPr>
      <w:bookmarkStart w:id="1" w:name="_GoBack"/>
      <w:bookmarkEnd w:id="1"/>
    </w:p>
    <w:p w14:paraId="5374FC34" w14:textId="31427F5A" w:rsidR="007335FF" w:rsidRPr="00A174C6" w:rsidRDefault="00A174C6" w:rsidP="00A36618">
      <w:pPr>
        <w:pStyle w:val="Heading1"/>
        <w:spacing w:before="0" w:after="0" w:line="240" w:lineRule="auto"/>
        <w:rPr>
          <w:rFonts w:ascii="Arial" w:eastAsia="Times New Roman" w:hAnsi="Arial" w:cs="Arial"/>
          <w:b/>
          <w:bCs/>
          <w:color w:val="000000" w:themeColor="text1"/>
          <w:sz w:val="22"/>
          <w:szCs w:val="22"/>
        </w:rPr>
      </w:pPr>
      <w:r w:rsidRPr="00A174C6">
        <w:rPr>
          <w:rFonts w:ascii="Arial" w:eastAsia="Times New Roman" w:hAnsi="Arial" w:cs="Arial"/>
          <w:b/>
          <w:bCs/>
          <w:color w:val="000000" w:themeColor="text1"/>
          <w:sz w:val="22"/>
          <w:szCs w:val="22"/>
        </w:rPr>
        <w:t>1. INTRODUCTION</w:t>
      </w:r>
    </w:p>
    <w:p w14:paraId="49CFA85C" w14:textId="588BE2DD" w:rsidR="00B50E54" w:rsidRPr="00A174C6" w:rsidRDefault="00592A59" w:rsidP="00B50E54">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The global water crisis is at the critical inflexion points in the arid and semi-arid regions (ASARs) which make up 41 % of the area of the earth and accommodate more than 2 billion of people (Rodell et al., 2023). The areas have a perfect storm of challenges. innate scarcity of water resources, severe impacts of climate change – temperature increases of 1.5-2.3 ° C (global averages) and population growth rates that are 27% higher than the global average, lack of economic development model, which does not depend on water-intensive agriculture (Neumann et al., 2021; Trnka et al., 2023).</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Satellite measurements from the GRACE mission funded by NASA shows frightening depletion of groundwater in big arid basins with 21 out of 37 of the major aquifers in ASARs now below sustainable levels (Famiglietti, 2022). The decline of the groundwater resources is greater than 2 meters per year in such areas as North China Plain, North-West Sahara Aquifer System, and Arabian Peninsula. Recent climate projection implies that these challenges will increase exponentially. The newest CMIP6 models forecast that ASAR territory that currently has 35% will be subject to rainfall reductions of more than 30% (IPCC, 2022); potential evapotranspiration will be increased by 12-28% (IPCC, 2022). These will require fundamental changes in the system of governing water that will undermine deeply held assumptions on the availability of resources, approaches to management, as well as the institutional arrangements.</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Several decades of interventions on the control of water in ASARs have proven the ineffectiveness of the traditional approach. Our large-scale review of 147 large-scale water management projects carried out in 26 countries during 2000-2023 paints grim results: 68% did not achieve primary objectives, 73% had sustainability collapses seven years after implementation, and 82% hugely underestimated climate impacts on performance of system (Richter et al., 2023).</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 xml:space="preserve">Traditional IWRM (that is defined as “a process which promotes the coordinated development and management of water, land and related resources, in order to maximize the resultant economic and social </w:t>
      </w:r>
      <w:r w:rsidRPr="00A174C6">
        <w:rPr>
          <w:rFonts w:ascii="Arial" w:eastAsia="Times New Roman" w:hAnsi="Arial" w:cs="Arial"/>
          <w:kern w:val="0"/>
          <w:sz w:val="20"/>
          <w:szCs w:val="20"/>
          <w14:ligatures w14:val="none"/>
        </w:rPr>
        <w:lastRenderedPageBreak/>
        <w:t>welfare in an equitable manner without compromising the sustainability of vital ecosystems” (GWP 2021)) has for long been promoted as the cure for global water challenges</w:t>
      </w:r>
      <w:r w:rsidR="00B50E54" w:rsidRPr="00A174C6">
        <w:rPr>
          <w:rFonts w:ascii="Arial" w:eastAsia="Times New Roman" w:hAnsi="Arial" w:cs="Arial"/>
          <w:kern w:val="0"/>
          <w:sz w:val="20"/>
          <w:szCs w:val="20"/>
          <w14:ligatures w14:val="none"/>
        </w:rPr>
        <w:t>.</w:t>
      </w:r>
      <w:r w:rsidRPr="00A174C6">
        <w:rPr>
          <w:rFonts w:ascii="Arial" w:eastAsia="Times New Roman" w:hAnsi="Arial" w:cs="Arial"/>
          <w:kern w:val="0"/>
          <w:sz w:val="20"/>
          <w:szCs w:val="20"/>
          <w14:ligatures w14:val="none"/>
        </w:rPr>
        <w:t xml:space="preserve"> The application of the methodology in ASARs, however, shows the existence of fundamental limitations.</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According to Shah and Venot (2020), the assumption behind the conventional IWRM is informed by humid region experiences largely. a relatively plentiful supply of renewable water, an institutional capacity that is already in place, transparent governance and predictable hydrology. These assumptions crater disastrously in ASARs where non-renewable fossil aquifers typically serve as prime water sources, institutional fracture is the order of the day with the informal governing the practice and hydrological extremes instead of averages that define the outcome of the systems.</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Large scale water management interventions that have been practiced in ASARs over the decades have been consistent failures of the conventional methods. Our thorough record review of 147 significant water management projects, which have been carried out in 26 countries since 2000-2023, sheds uninviting results: 68% of them did not accomplish primary objectives, 73% suffered sustainability collapses within seven years of implementation, and 82% overly underestimated system performance in regards to climate (Richter et al., 2023).</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 xml:space="preserve">Conventional Integrated Water Resource Management (IWRM) that has been broadly advocated as an alternative for mitigating water challenges in the world, is defined as “a process which promotes the coordinated development and management of water, land and related resources, in order to maximize the resultant economic and social welfare in an equitable manner without compromising the sustainability of </w:t>
      </w:r>
      <w:r w:rsidR="00B50E54" w:rsidRPr="00A174C6">
        <w:rPr>
          <w:rFonts w:ascii="Arial" w:eastAsia="Times New Roman" w:hAnsi="Arial" w:cs="Arial"/>
          <w:kern w:val="0"/>
          <w:sz w:val="20"/>
          <w:szCs w:val="20"/>
          <w14:ligatures w14:val="none"/>
        </w:rPr>
        <w:t>but</w:t>
      </w:r>
      <w:r w:rsidRPr="00A174C6">
        <w:rPr>
          <w:rFonts w:ascii="Arial" w:eastAsia="Times New Roman" w:hAnsi="Arial" w:cs="Arial"/>
          <w:kern w:val="0"/>
          <w:sz w:val="20"/>
          <w:szCs w:val="20"/>
          <w14:ligatures w14:val="none"/>
        </w:rPr>
        <w:t xml:space="preserve"> on applying it to ASARs, it reflects basic limitations.</w:t>
      </w:r>
      <w:r w:rsidR="00614BE3" w:rsidRPr="00A174C6">
        <w:rPr>
          <w:rFonts w:ascii="Arial" w:hAnsi="Arial" w:cs="Arial"/>
          <w:sz w:val="20"/>
          <w:szCs w:val="20"/>
        </w:rPr>
        <w:t xml:space="preserve"> </w:t>
      </w:r>
      <w:r w:rsidR="00614BE3" w:rsidRPr="00A174C6">
        <w:rPr>
          <w:rFonts w:ascii="Arial" w:eastAsia="Times New Roman" w:hAnsi="Arial" w:cs="Arial"/>
          <w:kern w:val="0"/>
          <w:sz w:val="20"/>
          <w:szCs w:val="20"/>
          <w14:ligatures w14:val="none"/>
        </w:rPr>
        <w:t xml:space="preserve">Studies from specific ASARs demonstrate the critical nature of precise irrigation water requirement calculations for sustainable agriculture. For instance, research in Bangladesh's </w:t>
      </w:r>
      <w:proofErr w:type="spellStart"/>
      <w:r w:rsidR="00614BE3" w:rsidRPr="00A174C6">
        <w:rPr>
          <w:rFonts w:ascii="Arial" w:eastAsia="Times New Roman" w:hAnsi="Arial" w:cs="Arial"/>
          <w:kern w:val="0"/>
          <w:sz w:val="20"/>
          <w:szCs w:val="20"/>
          <w14:ligatures w14:val="none"/>
        </w:rPr>
        <w:t>Barind</w:t>
      </w:r>
      <w:proofErr w:type="spellEnd"/>
      <w:r w:rsidR="00614BE3" w:rsidRPr="00A174C6">
        <w:rPr>
          <w:rFonts w:ascii="Arial" w:eastAsia="Times New Roman" w:hAnsi="Arial" w:cs="Arial"/>
          <w:kern w:val="0"/>
          <w:sz w:val="20"/>
          <w:szCs w:val="20"/>
          <w14:ligatures w14:val="none"/>
        </w:rPr>
        <w:t xml:space="preserve"> area shows that wheat irrigation demands vary significantly throughout growing stages, with maximum requirements occurring during vegetative and mid-season periods (Abdullah et al., 2014).</w:t>
      </w:r>
      <w:r w:rsidR="00B50E54" w:rsidRPr="00A174C6">
        <w:rPr>
          <w:rFonts w:ascii="Arial" w:eastAsia="Times New Roman" w:hAnsi="Arial" w:cs="Arial"/>
          <w:kern w:val="0"/>
          <w:sz w:val="20"/>
          <w:szCs w:val="20"/>
          <w14:ligatures w14:val="none"/>
        </w:rPr>
        <w:t xml:space="preserve"> </w:t>
      </w:r>
      <w:r w:rsidRPr="00A174C6">
        <w:rPr>
          <w:rFonts w:ascii="Arial" w:eastAsia="Times New Roman" w:hAnsi="Arial" w:cs="Arial"/>
          <w:kern w:val="0"/>
          <w:sz w:val="20"/>
          <w:szCs w:val="20"/>
          <w14:ligatures w14:val="none"/>
        </w:rPr>
        <w:t xml:space="preserve">According to the argument of Shah and Venot (2020), traditional IWRM provides for the assumptions that have fashioned themselves from experiences of humid regions primarily. relatively plentiful renewable water resources, an institutional capacity that has been set up, the openness of the governance, hydrological </w:t>
      </w:r>
      <w:r w:rsidR="00B50E54" w:rsidRPr="00A174C6">
        <w:rPr>
          <w:rFonts w:ascii="Arial" w:eastAsia="Times New Roman" w:hAnsi="Arial" w:cs="Arial"/>
          <w:kern w:val="0"/>
          <w:sz w:val="20"/>
          <w:szCs w:val="20"/>
          <w14:ligatures w14:val="none"/>
        </w:rPr>
        <w:t>predictability;</w:t>
      </w:r>
      <w:r w:rsidRPr="00A174C6">
        <w:rPr>
          <w:rFonts w:ascii="Arial" w:eastAsia="Times New Roman" w:hAnsi="Arial" w:cs="Arial"/>
          <w:kern w:val="0"/>
          <w:sz w:val="20"/>
          <w:szCs w:val="20"/>
          <w14:ligatures w14:val="none"/>
        </w:rPr>
        <w:t xml:space="preserve"> These assumptions go disastrously wrong in ASARs where non-renewable fossil aquifers are commonly the main sources of water, institutional fragmentation is the order of the day, informal governance dominates the practice, and extremes in hydrology rather than averages set up systems’ outcomes.</w:t>
      </w:r>
    </w:p>
    <w:p w14:paraId="255B840E" w14:textId="30265676" w:rsidR="00592A59" w:rsidRPr="00A174C6" w:rsidRDefault="00592A59" w:rsidP="00B50E54">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This research fills the gaps at a scientific and a practical level on water governance in ASARs. Our objectives are to:</w:t>
      </w:r>
    </w:p>
    <w:p w14:paraId="1E847564" w14:textId="77777777" w:rsidR="00B50E54" w:rsidRPr="00A174C6" w:rsidRDefault="00B50E54" w:rsidP="00B50E54">
      <w:pPr>
        <w:spacing w:after="0" w:line="240" w:lineRule="auto"/>
        <w:jc w:val="both"/>
        <w:rPr>
          <w:rFonts w:ascii="Arial" w:eastAsia="Times New Roman" w:hAnsi="Arial" w:cs="Arial"/>
          <w:kern w:val="0"/>
          <w:sz w:val="20"/>
          <w:szCs w:val="20"/>
          <w14:ligatures w14:val="none"/>
        </w:rPr>
      </w:pPr>
    </w:p>
    <w:p w14:paraId="42E5CE59" w14:textId="7DC3E6A7" w:rsidR="00592A59" w:rsidRPr="00A174C6" w:rsidRDefault="00592A59" w:rsidP="006104BF">
      <w:pPr>
        <w:pStyle w:val="ListParagraph"/>
        <w:numPr>
          <w:ilvl w:val="0"/>
          <w:numId w:val="6"/>
        </w:numPr>
        <w:jc w:val="both"/>
        <w:rPr>
          <w:rFonts w:ascii="Arial" w:hAnsi="Arial" w:cs="Arial"/>
          <w:i/>
          <w:iCs/>
          <w:sz w:val="20"/>
          <w:szCs w:val="20"/>
        </w:rPr>
      </w:pPr>
      <w:r w:rsidRPr="00A174C6">
        <w:rPr>
          <w:rFonts w:ascii="Arial" w:hAnsi="Arial" w:cs="Arial"/>
          <w:i/>
          <w:iCs/>
          <w:sz w:val="20"/>
          <w:szCs w:val="20"/>
        </w:rPr>
        <w:t>Measure the exact failure modes of the traditional approaches to water management architectures when used in arid and semi-arid environments.</w:t>
      </w:r>
    </w:p>
    <w:p w14:paraId="052A0E31" w14:textId="5F2F8B57" w:rsidR="00592A59" w:rsidRPr="00A174C6" w:rsidRDefault="00592A59" w:rsidP="006104BF">
      <w:pPr>
        <w:pStyle w:val="ListParagraph"/>
        <w:numPr>
          <w:ilvl w:val="0"/>
          <w:numId w:val="6"/>
        </w:numPr>
        <w:jc w:val="both"/>
        <w:rPr>
          <w:rFonts w:ascii="Arial" w:hAnsi="Arial" w:cs="Arial"/>
          <w:i/>
          <w:iCs/>
          <w:sz w:val="20"/>
          <w:szCs w:val="20"/>
        </w:rPr>
      </w:pPr>
      <w:r w:rsidRPr="00A174C6">
        <w:rPr>
          <w:rFonts w:ascii="Arial" w:hAnsi="Arial" w:cs="Arial"/>
          <w:i/>
          <w:iCs/>
          <w:sz w:val="20"/>
          <w:szCs w:val="20"/>
        </w:rPr>
        <w:t>Determine the key hydrological, institutional, and implementation factors that make up the water governance outcomes in ASARs.</w:t>
      </w:r>
    </w:p>
    <w:p w14:paraId="396F29D2" w14:textId="7B914D70" w:rsidR="00592A59" w:rsidRPr="00A174C6" w:rsidRDefault="00592A59" w:rsidP="006104BF">
      <w:pPr>
        <w:pStyle w:val="ListParagraph"/>
        <w:numPr>
          <w:ilvl w:val="0"/>
          <w:numId w:val="6"/>
        </w:numPr>
        <w:jc w:val="both"/>
        <w:rPr>
          <w:rFonts w:ascii="Arial" w:hAnsi="Arial" w:cs="Arial"/>
          <w:i/>
          <w:iCs/>
          <w:sz w:val="20"/>
          <w:szCs w:val="20"/>
        </w:rPr>
      </w:pPr>
      <w:r w:rsidRPr="00A174C6">
        <w:rPr>
          <w:rFonts w:ascii="Arial" w:hAnsi="Arial" w:cs="Arial"/>
          <w:i/>
          <w:iCs/>
          <w:sz w:val="20"/>
          <w:szCs w:val="20"/>
        </w:rPr>
        <w:t>Build and also verify a transformative scheme for water management specifically calibrated to ASAR conditions.</w:t>
      </w:r>
    </w:p>
    <w:p w14:paraId="78A423B8" w14:textId="1BFBD57C" w:rsidR="00592A59" w:rsidRPr="00A174C6" w:rsidRDefault="00592A59" w:rsidP="006104BF">
      <w:pPr>
        <w:pStyle w:val="ListParagraph"/>
        <w:numPr>
          <w:ilvl w:val="0"/>
          <w:numId w:val="6"/>
        </w:numPr>
        <w:jc w:val="both"/>
        <w:rPr>
          <w:rFonts w:ascii="Arial" w:hAnsi="Arial" w:cs="Arial"/>
          <w:i/>
          <w:iCs/>
          <w:sz w:val="20"/>
          <w:szCs w:val="20"/>
        </w:rPr>
      </w:pPr>
      <w:r w:rsidRPr="00A174C6">
        <w:rPr>
          <w:rFonts w:ascii="Arial" w:hAnsi="Arial" w:cs="Arial"/>
          <w:i/>
          <w:iCs/>
          <w:sz w:val="20"/>
          <w:szCs w:val="20"/>
        </w:rPr>
        <w:t>Develop an implementation pathway that helps in coping with the peculiarities of resource-constrained, complex institution environments.</w:t>
      </w:r>
    </w:p>
    <w:p w14:paraId="66F1B226" w14:textId="77777777" w:rsidR="00592A59" w:rsidRPr="00A174C6" w:rsidRDefault="00592A59" w:rsidP="00B50E54">
      <w:pPr>
        <w:jc w:val="both"/>
        <w:rPr>
          <w:rFonts w:ascii="Arial" w:hAnsi="Arial" w:cs="Arial"/>
          <w:sz w:val="20"/>
          <w:szCs w:val="20"/>
        </w:rPr>
      </w:pPr>
      <w:r w:rsidRPr="00A174C6">
        <w:rPr>
          <w:rFonts w:ascii="Arial" w:hAnsi="Arial" w:cs="Arial"/>
          <w:sz w:val="20"/>
          <w:szCs w:val="20"/>
        </w:rPr>
        <w:t>The importance of this work goes far more than the academic understanding. As climate change becomes more and more abrupt, the former humid areas are starting to experience the conditions of ASAR; the situation in arid regions becomes a relevant experience in most parts of the world. In addition, the scarcity of resources, institutional complexity, and climate vulnerability that characterize ASARs are becoming more and more typical of the global water problems, which implies that the solutions be developed for ASARs’ context may apply to more general, not as radical conditions.</w:t>
      </w:r>
    </w:p>
    <w:p w14:paraId="5BD1DFF2" w14:textId="6C27D55C" w:rsidR="007335FF" w:rsidRPr="00A174C6" w:rsidRDefault="00A174C6" w:rsidP="002E146C">
      <w:pPr>
        <w:pStyle w:val="Heading1"/>
        <w:spacing w:before="0" w:after="0" w:line="240" w:lineRule="auto"/>
        <w:rPr>
          <w:rFonts w:ascii="Arial" w:eastAsia="Times New Roman" w:hAnsi="Arial" w:cs="Arial"/>
          <w:b/>
          <w:bCs/>
          <w:color w:val="000000" w:themeColor="text1"/>
          <w:sz w:val="20"/>
          <w:szCs w:val="20"/>
        </w:rPr>
      </w:pPr>
      <w:r w:rsidRPr="00452B65">
        <w:rPr>
          <w:rFonts w:ascii="Arial" w:eastAsia="Times New Roman" w:hAnsi="Arial" w:cs="Arial"/>
          <w:b/>
          <w:bCs/>
          <w:color w:val="000000" w:themeColor="text1"/>
          <w:sz w:val="22"/>
          <w:szCs w:val="22"/>
        </w:rPr>
        <w:t>2. THEORETICAL FRAMEWORK</w:t>
      </w:r>
    </w:p>
    <w:p w14:paraId="1D893536" w14:textId="77777777" w:rsidR="007335FF" w:rsidRPr="00A174C6" w:rsidRDefault="007335FF" w:rsidP="00A36618">
      <w:pPr>
        <w:pStyle w:val="Heading2"/>
        <w:rPr>
          <w:rFonts w:ascii="Arial" w:hAnsi="Arial" w:cs="Arial"/>
          <w:b/>
          <w:bCs/>
          <w:sz w:val="22"/>
          <w:szCs w:val="22"/>
        </w:rPr>
      </w:pPr>
      <w:r w:rsidRPr="00A174C6">
        <w:rPr>
          <w:rFonts w:ascii="Arial" w:hAnsi="Arial" w:cs="Arial"/>
          <w:b/>
          <w:bCs/>
          <w:color w:val="000000" w:themeColor="text1"/>
          <w:sz w:val="22"/>
          <w:szCs w:val="22"/>
        </w:rPr>
        <w:t>2.1 From Stability to Resilience: A Paradigm Shift</w:t>
      </w:r>
    </w:p>
    <w:p w14:paraId="0B2B1A76" w14:textId="4CECF282" w:rsidR="00592A59" w:rsidRPr="00A174C6" w:rsidRDefault="00592A59" w:rsidP="008F54D6">
      <w:pPr>
        <w:jc w:val="both"/>
        <w:rPr>
          <w:rFonts w:ascii="Arial" w:hAnsi="Arial" w:cs="Arial"/>
          <w:sz w:val="20"/>
          <w:szCs w:val="20"/>
        </w:rPr>
      </w:pPr>
      <w:r w:rsidRPr="00A174C6">
        <w:rPr>
          <w:rFonts w:ascii="Arial" w:hAnsi="Arial" w:cs="Arial"/>
          <w:sz w:val="20"/>
          <w:szCs w:val="20"/>
        </w:rPr>
        <w:t xml:space="preserve">This research is based on an emerging theoretical paradigm that radically shifts the gears of water governance toward resilience instead of stability as the primary organizing advocacy. Traditional ideas of water management instigate the preservation of a stable condition of resources, frequently reflected as </w:t>
      </w:r>
      <w:r w:rsidRPr="00A174C6">
        <w:rPr>
          <w:rFonts w:ascii="Arial" w:hAnsi="Arial" w:cs="Arial"/>
          <w:sz w:val="20"/>
          <w:szCs w:val="20"/>
        </w:rPr>
        <w:lastRenderedPageBreak/>
        <w:t>“sustainable yield”, or “safe operating space” (</w:t>
      </w:r>
      <w:proofErr w:type="spellStart"/>
      <w:r w:rsidRPr="00A174C6">
        <w:rPr>
          <w:rFonts w:ascii="Arial" w:hAnsi="Arial" w:cs="Arial"/>
          <w:sz w:val="20"/>
          <w:szCs w:val="20"/>
        </w:rPr>
        <w:t>Rockström</w:t>
      </w:r>
      <w:proofErr w:type="spellEnd"/>
      <w:r w:rsidRPr="00A174C6">
        <w:rPr>
          <w:rFonts w:ascii="Arial" w:hAnsi="Arial" w:cs="Arial"/>
          <w:sz w:val="20"/>
          <w:szCs w:val="20"/>
        </w:rPr>
        <w:t xml:space="preserve"> et al., 2022). Although it is appropriate for fairly stationary hydrological regimes, this stability paradigm cameo disastrously in extremally variable and non-stationary environments, i.e., those that define ASARs under climate change.</w:t>
      </w:r>
      <w:r w:rsidR="008F54D6" w:rsidRPr="00A174C6">
        <w:rPr>
          <w:rFonts w:ascii="Arial" w:hAnsi="Arial" w:cs="Arial"/>
          <w:sz w:val="20"/>
          <w:szCs w:val="20"/>
        </w:rPr>
        <w:t xml:space="preserve"> </w:t>
      </w:r>
      <w:r w:rsidRPr="00A174C6">
        <w:rPr>
          <w:rFonts w:ascii="Arial" w:hAnsi="Arial" w:cs="Arial"/>
          <w:sz w:val="20"/>
          <w:szCs w:val="20"/>
        </w:rPr>
        <w:t>Three alternatives to the theoretical perspectives are integrated in order to build up an alternative paradigm which is specifically adjusted to the ASAR conditions:</w:t>
      </w:r>
    </w:p>
    <w:p w14:paraId="0FA2D086" w14:textId="65358FDA" w:rsidR="00592A59" w:rsidRPr="00A174C6" w:rsidRDefault="00592A59" w:rsidP="006104BF">
      <w:pPr>
        <w:pStyle w:val="ListParagraph"/>
        <w:numPr>
          <w:ilvl w:val="0"/>
          <w:numId w:val="7"/>
        </w:numPr>
        <w:jc w:val="both"/>
        <w:rPr>
          <w:rFonts w:ascii="Arial" w:hAnsi="Arial" w:cs="Arial"/>
          <w:sz w:val="20"/>
          <w:szCs w:val="20"/>
        </w:rPr>
      </w:pPr>
      <w:r w:rsidRPr="00A174C6">
        <w:rPr>
          <w:rFonts w:ascii="Arial" w:hAnsi="Arial" w:cs="Arial"/>
          <w:sz w:val="20"/>
          <w:szCs w:val="20"/>
        </w:rPr>
        <w:t>Adaptive Cycle Theory (by Holling &amp; Gunderson, 2022): Awareness of the fact that water systems of ASARs are automatically subjected to oscillation between exploitation, conservation, release, and reorganization phases, conflicting linear stability assumptions, and a focus on cyclical resilience</w:t>
      </w:r>
      <w:r w:rsidR="005A081E" w:rsidRPr="00A174C6">
        <w:rPr>
          <w:rFonts w:ascii="Arial" w:hAnsi="Arial" w:cs="Arial"/>
          <w:sz w:val="20"/>
          <w:szCs w:val="20"/>
        </w:rPr>
        <w:t>.</w:t>
      </w:r>
    </w:p>
    <w:p w14:paraId="74266C3C" w14:textId="35D57FCA" w:rsidR="00592A59" w:rsidRPr="00A174C6" w:rsidRDefault="00592A59" w:rsidP="006104BF">
      <w:pPr>
        <w:pStyle w:val="ListParagraph"/>
        <w:numPr>
          <w:ilvl w:val="0"/>
          <w:numId w:val="7"/>
        </w:numPr>
        <w:jc w:val="both"/>
        <w:rPr>
          <w:rFonts w:ascii="Arial" w:hAnsi="Arial" w:cs="Arial"/>
          <w:sz w:val="20"/>
          <w:szCs w:val="20"/>
        </w:rPr>
      </w:pPr>
      <w:r w:rsidRPr="00A174C6">
        <w:rPr>
          <w:rFonts w:ascii="Arial" w:hAnsi="Arial" w:cs="Arial"/>
          <w:sz w:val="20"/>
          <w:szCs w:val="20"/>
        </w:rPr>
        <w:t xml:space="preserve">Robust Decision-Making Under Deep Uncertainty – </w:t>
      </w:r>
      <w:proofErr w:type="spellStart"/>
      <w:r w:rsidRPr="00A174C6">
        <w:rPr>
          <w:rFonts w:ascii="Arial" w:hAnsi="Arial" w:cs="Arial"/>
          <w:sz w:val="20"/>
          <w:szCs w:val="20"/>
        </w:rPr>
        <w:t>Marchau</w:t>
      </w:r>
      <w:proofErr w:type="spellEnd"/>
      <w:r w:rsidRPr="00A174C6">
        <w:rPr>
          <w:rFonts w:ascii="Arial" w:hAnsi="Arial" w:cs="Arial"/>
          <w:sz w:val="20"/>
          <w:szCs w:val="20"/>
        </w:rPr>
        <w:t xml:space="preserve"> et al., 2021: Admitting the fact that climate change eliminates the traditional use of probabilistic planning models and calls for decision approaches that would be effective even in huge spaces of uncertainty</w:t>
      </w:r>
    </w:p>
    <w:p w14:paraId="0113258C" w14:textId="59B1537F" w:rsidR="00592A59" w:rsidRPr="00A174C6" w:rsidRDefault="00592A59" w:rsidP="006104BF">
      <w:pPr>
        <w:pStyle w:val="ListParagraph"/>
        <w:numPr>
          <w:ilvl w:val="0"/>
          <w:numId w:val="7"/>
        </w:numPr>
        <w:jc w:val="both"/>
        <w:rPr>
          <w:rFonts w:ascii="Arial" w:hAnsi="Arial" w:cs="Arial"/>
          <w:sz w:val="20"/>
          <w:szCs w:val="20"/>
        </w:rPr>
      </w:pPr>
      <w:r w:rsidRPr="00A174C6">
        <w:rPr>
          <w:rFonts w:ascii="Arial" w:hAnsi="Arial" w:cs="Arial"/>
          <w:sz w:val="20"/>
          <w:szCs w:val="20"/>
        </w:rPr>
        <w:t xml:space="preserve">Socio-Hydrological </w:t>
      </w:r>
      <w:r w:rsidR="00B50E54" w:rsidRPr="00A174C6">
        <w:rPr>
          <w:rFonts w:ascii="Arial" w:hAnsi="Arial" w:cs="Arial"/>
          <w:sz w:val="20"/>
          <w:szCs w:val="20"/>
        </w:rPr>
        <w:t>Coupling (</w:t>
      </w:r>
      <w:r w:rsidRPr="00A174C6">
        <w:rPr>
          <w:rFonts w:ascii="Arial" w:hAnsi="Arial" w:cs="Arial"/>
          <w:sz w:val="20"/>
          <w:szCs w:val="20"/>
        </w:rPr>
        <w:t>Di Baldassarre et. al 2023): Paradigmatic understanding of water systems as co-evolutionary, i.e. with both human and hydrological parts influencing each other in complicated feedbacks.</w:t>
      </w:r>
    </w:p>
    <w:p w14:paraId="0708B57E" w14:textId="77777777" w:rsidR="00592A59" w:rsidRPr="00A174C6" w:rsidRDefault="00592A59" w:rsidP="008F54D6">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This all-inclusive theoretical framework shifts the focus from optimal water distribution (suitable in the stable, predictable settings) to maintaining functionality under extreme stress, the institutional accommodativeness to the unexpected threats, and prescribed ways of learning that continuously incorporate emergent realities.</w:t>
      </w:r>
    </w:p>
    <w:p w14:paraId="0C3DC4A2" w14:textId="77777777" w:rsidR="00A36618" w:rsidRPr="00A174C6" w:rsidRDefault="00A36618" w:rsidP="008F54D6">
      <w:pPr>
        <w:spacing w:after="0" w:line="240" w:lineRule="auto"/>
        <w:jc w:val="both"/>
        <w:rPr>
          <w:rFonts w:ascii="Arial" w:eastAsia="Times New Roman" w:hAnsi="Arial" w:cs="Arial"/>
          <w:kern w:val="0"/>
          <w:sz w:val="20"/>
          <w:szCs w:val="20"/>
          <w14:ligatures w14:val="none"/>
        </w:rPr>
      </w:pPr>
    </w:p>
    <w:p w14:paraId="6C82D43E" w14:textId="0CADEA78" w:rsidR="007335FF" w:rsidRPr="00A174C6" w:rsidRDefault="007335FF" w:rsidP="00A36618">
      <w:pPr>
        <w:pStyle w:val="Heading2"/>
        <w:spacing w:before="0" w:after="0"/>
        <w:rPr>
          <w:rFonts w:ascii="Arial" w:eastAsia="Times New Roman" w:hAnsi="Arial" w:cs="Arial"/>
          <w:b/>
          <w:bCs/>
          <w:color w:val="000000" w:themeColor="text1"/>
          <w:sz w:val="22"/>
          <w:szCs w:val="22"/>
        </w:rPr>
      </w:pPr>
      <w:r w:rsidRPr="00A174C6">
        <w:rPr>
          <w:rFonts w:ascii="Arial" w:eastAsia="Times New Roman" w:hAnsi="Arial" w:cs="Arial"/>
          <w:b/>
          <w:bCs/>
          <w:color w:val="000000" w:themeColor="text1"/>
          <w:sz w:val="22"/>
          <w:szCs w:val="22"/>
        </w:rPr>
        <w:t>2.2 Reconceptualizing Water Assessment Frameworks</w:t>
      </w:r>
    </w:p>
    <w:p w14:paraId="352B28D2" w14:textId="0771961A" w:rsidR="00E97C9F" w:rsidRPr="00A174C6" w:rsidRDefault="00E97C9F" w:rsidP="00A36618">
      <w:pPr>
        <w:jc w:val="both"/>
        <w:rPr>
          <w:rFonts w:ascii="Arial" w:hAnsi="Arial" w:cs="Arial"/>
          <w:sz w:val="20"/>
          <w:szCs w:val="20"/>
        </w:rPr>
      </w:pPr>
      <w:r w:rsidRPr="00A174C6">
        <w:rPr>
          <w:rFonts w:ascii="Arial" w:hAnsi="Arial" w:cs="Arial"/>
          <w:sz w:val="20"/>
          <w:szCs w:val="20"/>
        </w:rPr>
        <w:t>This work is situated in an emerging theoretical paradigm that radically changes the basis of governance of water from stability to resilience as the key organizing principle. Water management practices of the past have focused on establishing stable conditions of resources which are defined as ‘sustainable yields’ or ‘safe operating space’ (</w:t>
      </w:r>
      <w:proofErr w:type="spellStart"/>
      <w:r w:rsidRPr="00A174C6">
        <w:rPr>
          <w:rFonts w:ascii="Arial" w:hAnsi="Arial" w:cs="Arial"/>
          <w:sz w:val="20"/>
          <w:szCs w:val="20"/>
        </w:rPr>
        <w:t>Rockström</w:t>
      </w:r>
      <w:proofErr w:type="spellEnd"/>
      <w:r w:rsidRPr="00A174C6">
        <w:rPr>
          <w:rFonts w:ascii="Arial" w:hAnsi="Arial" w:cs="Arial"/>
          <w:sz w:val="20"/>
          <w:szCs w:val="20"/>
        </w:rPr>
        <w:t xml:space="preserve"> et al., 2022). Although suitable for more or less stable hydrological regimes, this stability paradigm dramatically fails in the regimes of extreme variability and non-stationarity, i.e., the hallmarks of ASARs under the changing climate.</w:t>
      </w:r>
      <w:r w:rsidR="008F54D6" w:rsidRPr="00A174C6">
        <w:rPr>
          <w:rFonts w:ascii="Arial" w:hAnsi="Arial" w:cs="Arial"/>
          <w:sz w:val="20"/>
          <w:szCs w:val="20"/>
        </w:rPr>
        <w:t xml:space="preserve"> </w:t>
      </w:r>
      <w:r w:rsidRPr="00A174C6">
        <w:rPr>
          <w:rFonts w:ascii="Arial" w:hAnsi="Arial" w:cs="Arial"/>
          <w:sz w:val="20"/>
          <w:szCs w:val="20"/>
        </w:rPr>
        <w:t>We synthetize three theoretical paradigms in order to elaborate an alternative paradigm specially tuned to ASAR conditions</w:t>
      </w:r>
    </w:p>
    <w:p w14:paraId="119260F3" w14:textId="77777777" w:rsidR="00A36618" w:rsidRPr="00A174C6" w:rsidRDefault="00E97C9F" w:rsidP="006104BF">
      <w:pPr>
        <w:pStyle w:val="ListParagraph"/>
        <w:numPr>
          <w:ilvl w:val="0"/>
          <w:numId w:val="8"/>
        </w:numPr>
        <w:jc w:val="both"/>
        <w:rPr>
          <w:rFonts w:ascii="Arial" w:hAnsi="Arial" w:cs="Arial"/>
          <w:sz w:val="20"/>
          <w:szCs w:val="20"/>
        </w:rPr>
      </w:pPr>
      <w:r w:rsidRPr="00A174C6">
        <w:rPr>
          <w:rFonts w:ascii="Arial" w:hAnsi="Arial" w:cs="Arial"/>
          <w:sz w:val="20"/>
          <w:szCs w:val="20"/>
        </w:rPr>
        <w:t>Adaptive Cycle Theory (Holling &amp; Gunderson (2022). Aware of the fact that water systems found in ASARs automatically shift from phases of exploitation, conservation, release and reorganization, violating linear stability assumptions and pointing to cyclical resilience</w:t>
      </w:r>
      <w:r w:rsidR="005A081E" w:rsidRPr="00A174C6">
        <w:rPr>
          <w:rFonts w:ascii="Arial" w:hAnsi="Arial" w:cs="Arial"/>
          <w:sz w:val="20"/>
          <w:szCs w:val="20"/>
        </w:rPr>
        <w:t>.</w:t>
      </w:r>
    </w:p>
    <w:p w14:paraId="3955A07A" w14:textId="35AEE4F5" w:rsidR="005A081E" w:rsidRPr="00A174C6" w:rsidRDefault="00E97C9F" w:rsidP="006104BF">
      <w:pPr>
        <w:pStyle w:val="ListParagraph"/>
        <w:numPr>
          <w:ilvl w:val="0"/>
          <w:numId w:val="8"/>
        </w:numPr>
        <w:jc w:val="both"/>
        <w:rPr>
          <w:rFonts w:ascii="Arial" w:hAnsi="Arial" w:cs="Arial"/>
          <w:sz w:val="20"/>
          <w:szCs w:val="20"/>
        </w:rPr>
      </w:pPr>
      <w:r w:rsidRPr="00A174C6">
        <w:rPr>
          <w:rFonts w:ascii="Arial" w:hAnsi="Arial" w:cs="Arial"/>
          <w:sz w:val="20"/>
          <w:szCs w:val="20"/>
        </w:rPr>
        <w:t>Strong Decision Making under Deep Uncertainty (</w:t>
      </w:r>
      <w:proofErr w:type="spellStart"/>
      <w:r w:rsidRPr="00A174C6">
        <w:rPr>
          <w:rFonts w:ascii="Arial" w:hAnsi="Arial" w:cs="Arial"/>
          <w:sz w:val="20"/>
          <w:szCs w:val="20"/>
        </w:rPr>
        <w:t>Marchau</w:t>
      </w:r>
      <w:proofErr w:type="spellEnd"/>
      <w:r w:rsidRPr="00A174C6">
        <w:rPr>
          <w:rFonts w:ascii="Arial" w:hAnsi="Arial" w:cs="Arial"/>
          <w:sz w:val="20"/>
          <w:szCs w:val="20"/>
        </w:rPr>
        <w:t xml:space="preserve"> et al., 2021): Admitting that the climate change makes the traditional probabilistic planning models ineffective, making decision approaches effective in huge uncertainty areas.</w:t>
      </w:r>
    </w:p>
    <w:p w14:paraId="23291FE6" w14:textId="43EE03CD" w:rsidR="00E97C9F" w:rsidRPr="00A174C6" w:rsidRDefault="00E97C9F" w:rsidP="006104BF">
      <w:pPr>
        <w:pStyle w:val="ListParagraph"/>
        <w:numPr>
          <w:ilvl w:val="0"/>
          <w:numId w:val="8"/>
        </w:numPr>
        <w:jc w:val="both"/>
        <w:rPr>
          <w:rFonts w:ascii="Arial" w:hAnsi="Arial" w:cs="Arial"/>
          <w:sz w:val="20"/>
          <w:szCs w:val="20"/>
        </w:rPr>
      </w:pPr>
      <w:r w:rsidRPr="00A174C6">
        <w:rPr>
          <w:rFonts w:ascii="Arial" w:hAnsi="Arial" w:cs="Arial"/>
          <w:sz w:val="20"/>
          <w:szCs w:val="20"/>
        </w:rPr>
        <w:t>Socio-Hydrological Coupling (Di Baldassarre et al.</w:t>
      </w:r>
      <w:r w:rsidR="00A36618" w:rsidRPr="00A174C6">
        <w:rPr>
          <w:rFonts w:ascii="Arial" w:hAnsi="Arial" w:cs="Arial"/>
          <w:sz w:val="20"/>
          <w:szCs w:val="20"/>
        </w:rPr>
        <w:t xml:space="preserve">, </w:t>
      </w:r>
      <w:r w:rsidRPr="00A174C6">
        <w:rPr>
          <w:rFonts w:ascii="Arial" w:hAnsi="Arial" w:cs="Arial"/>
          <w:sz w:val="20"/>
          <w:szCs w:val="20"/>
        </w:rPr>
        <w:t>2023). Appreciation of the hydrological systems as fundamentally co-evolutionary, involving the human as well as hydrological components that continuously mold each other in the complex feedbacks.</w:t>
      </w:r>
    </w:p>
    <w:p w14:paraId="57314AA4" w14:textId="77777777" w:rsidR="00614BE3" w:rsidRPr="003B6F69" w:rsidRDefault="00614BE3" w:rsidP="003B6F69">
      <w:pPr>
        <w:spacing w:line="240" w:lineRule="auto"/>
        <w:jc w:val="both"/>
        <w:rPr>
          <w:rFonts w:ascii="Arial" w:hAnsi="Arial" w:cs="Arial"/>
          <w:sz w:val="22"/>
          <w:szCs w:val="22"/>
        </w:rPr>
      </w:pPr>
      <w:r w:rsidRPr="003B6F69">
        <w:rPr>
          <w:rFonts w:ascii="Arial" w:hAnsi="Arial" w:cs="Arial"/>
          <w:sz w:val="22"/>
          <w:szCs w:val="22"/>
        </w:rPr>
        <w:t xml:space="preserve">The combined theoretical framework redefines water assessment in arid and semi-arid regions (ASARs) through a transformative approach that shifts from static indicators to dynamic parameters capturing system behavior across various timescales and stress levels, prioritizes extreme events over average conditions as true measures of system viability, emphasizes process indicators like institutional learning and adaptation mechanisms rather than merely output metrics, integrates water management with energy, food, and ecological systems through a nexus approach rather than treating these as peripheral concerns, and transcends purely technical solutions to incorporate social, political and cultural dimensions as core determinants of system functionality. This paradigm shift fundamentally redefines success in ASAR water management—moving away from the unattainable goal of maintaining stable resource conditions in inherently variable environments toward sustaining essential system functions during extreme stress events, </w:t>
      </w:r>
      <w:r w:rsidRPr="003B6F69">
        <w:rPr>
          <w:rFonts w:ascii="Arial" w:hAnsi="Arial" w:cs="Arial"/>
          <w:sz w:val="22"/>
          <w:szCs w:val="22"/>
        </w:rPr>
        <w:lastRenderedPageBreak/>
        <w:t>fostering institutional adaptability to unforeseen challenges, and enabling transformative change when existing arrangements become obsolete, while maintaining continuous learning processes that integrate emerging knowledge and opportunities to evolve governance practices beyond the traditional assumption of predictable conditions.</w:t>
      </w:r>
    </w:p>
    <w:p w14:paraId="07ECF665" w14:textId="77777777" w:rsidR="00614BE3" w:rsidRPr="00A174C6" w:rsidRDefault="00614BE3" w:rsidP="003B6F69"/>
    <w:p w14:paraId="231D1AF4" w14:textId="4F3AB236" w:rsidR="007335FF" w:rsidRPr="00A174C6" w:rsidRDefault="00A174C6" w:rsidP="00A36618">
      <w:pPr>
        <w:pStyle w:val="Heading1"/>
        <w:spacing w:before="0" w:after="0" w:line="240" w:lineRule="auto"/>
        <w:rPr>
          <w:rFonts w:ascii="Arial" w:eastAsia="Times New Roman" w:hAnsi="Arial" w:cs="Arial"/>
          <w:b/>
          <w:bCs/>
          <w:color w:val="000000" w:themeColor="text1"/>
          <w:sz w:val="22"/>
          <w:szCs w:val="22"/>
        </w:rPr>
      </w:pPr>
      <w:r w:rsidRPr="00A174C6">
        <w:rPr>
          <w:rFonts w:ascii="Arial" w:eastAsia="Times New Roman" w:hAnsi="Arial" w:cs="Arial"/>
          <w:b/>
          <w:bCs/>
          <w:color w:val="000000" w:themeColor="text1"/>
          <w:sz w:val="22"/>
          <w:szCs w:val="22"/>
        </w:rPr>
        <w:t>3. METHODS</w:t>
      </w:r>
    </w:p>
    <w:p w14:paraId="2E9FC8DA" w14:textId="77777777" w:rsidR="007335FF" w:rsidRPr="00A174C6" w:rsidRDefault="007335FF" w:rsidP="00A36618">
      <w:pPr>
        <w:pStyle w:val="Heading2"/>
        <w:spacing w:before="0" w:after="0" w:line="240" w:lineRule="auto"/>
        <w:rPr>
          <w:rFonts w:ascii="Arial" w:eastAsia="Times New Roman" w:hAnsi="Arial" w:cs="Arial"/>
          <w:b/>
          <w:bCs/>
          <w:color w:val="000000" w:themeColor="text1"/>
          <w:sz w:val="22"/>
          <w:szCs w:val="22"/>
        </w:rPr>
      </w:pPr>
      <w:r w:rsidRPr="00A174C6">
        <w:rPr>
          <w:rFonts w:ascii="Arial" w:eastAsia="Times New Roman" w:hAnsi="Arial" w:cs="Arial"/>
          <w:b/>
          <w:bCs/>
          <w:color w:val="000000" w:themeColor="text1"/>
          <w:sz w:val="22"/>
          <w:szCs w:val="22"/>
        </w:rPr>
        <w:t>3.1 Research Design</w:t>
      </w:r>
    </w:p>
    <w:p w14:paraId="66BC2386" w14:textId="77777777" w:rsidR="00E97C9F" w:rsidRPr="00A174C6" w:rsidRDefault="00E97C9F" w:rsidP="00EA4690">
      <w:pPr>
        <w:jc w:val="both"/>
        <w:rPr>
          <w:rFonts w:ascii="Arial" w:hAnsi="Arial" w:cs="Arial"/>
          <w:sz w:val="20"/>
          <w:szCs w:val="20"/>
        </w:rPr>
      </w:pPr>
      <w:r w:rsidRPr="00A174C6">
        <w:rPr>
          <w:rFonts w:ascii="Arial" w:hAnsi="Arial" w:cs="Arial"/>
          <w:sz w:val="20"/>
          <w:szCs w:val="20"/>
        </w:rPr>
        <w:t>A sequential mixed-methods research design was followed having three phases that were intertwined together:</w:t>
      </w:r>
    </w:p>
    <w:p w14:paraId="49F4F066" w14:textId="77777777" w:rsidR="00260EF2" w:rsidRPr="002A2201" w:rsidRDefault="00E97C9F" w:rsidP="002A2201">
      <w:pPr>
        <w:jc w:val="both"/>
        <w:rPr>
          <w:rFonts w:ascii="Arial" w:hAnsi="Arial" w:cs="Arial"/>
          <w:sz w:val="22"/>
          <w:szCs w:val="22"/>
        </w:rPr>
      </w:pPr>
      <w:r w:rsidRPr="002A2201">
        <w:rPr>
          <w:rFonts w:ascii="Arial" w:hAnsi="Arial" w:cs="Arial"/>
          <w:b/>
          <w:bCs/>
          <w:sz w:val="22"/>
          <w:szCs w:val="22"/>
        </w:rPr>
        <w:t>Phase 1</w:t>
      </w:r>
      <w:r w:rsidRPr="002A2201">
        <w:rPr>
          <w:rFonts w:ascii="Arial" w:hAnsi="Arial" w:cs="Arial"/>
          <w:sz w:val="22"/>
          <w:szCs w:val="22"/>
        </w:rPr>
        <w:t xml:space="preserve">: </w:t>
      </w:r>
      <w:r w:rsidR="00260EF2" w:rsidRPr="002A2201">
        <w:rPr>
          <w:rFonts w:ascii="Arial" w:hAnsi="Arial" w:cs="Arial"/>
          <w:sz w:val="22"/>
          <w:szCs w:val="22"/>
        </w:rPr>
        <w:t>Systematic Assessment of Framework Performance evaluated the effectiveness of existing water management frameworks in ASAR settings through a comprehensive methodological approach. This assessment involved a comprehensive examination of 17 Sustainable Water Resources Management Assessment Frameworks (SWRM-AFs) to understand their theoretical underpinnings and intended applications. The research team conducted statistical analysis of implementation results across 147 water management projects to quantify performance metrics and identify success factors and limitations in real-world applications. Additionally, the assessment incorporated remote sensing evaluation of hydrological outcomes in 38 major arid basins, providing objective biophysical evidence of framework effectiveness that complemented self-reported project outcomes and statistical analyses with independently verified environmental impacts.</w:t>
      </w:r>
    </w:p>
    <w:p w14:paraId="6F1012C6" w14:textId="54B7670C" w:rsidR="00794DC2" w:rsidRPr="00A174C6" w:rsidRDefault="00E97C9F" w:rsidP="00260EF2">
      <w:pPr>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Phase 2:</w:t>
      </w:r>
      <w:r w:rsidRPr="00A174C6">
        <w:rPr>
          <w:rFonts w:ascii="Arial" w:eastAsia="Times New Roman" w:hAnsi="Arial" w:cs="Arial"/>
          <w:kern w:val="0"/>
          <w:sz w:val="20"/>
          <w:szCs w:val="20"/>
          <w14:ligatures w14:val="none"/>
        </w:rPr>
        <w:t xml:space="preserve"> </w:t>
      </w:r>
      <w:r w:rsidR="00794DC2" w:rsidRPr="00A174C6">
        <w:rPr>
          <w:rFonts w:ascii="Arial" w:eastAsia="Times New Roman" w:hAnsi="Arial" w:cs="Arial"/>
          <w:kern w:val="0"/>
          <w:sz w:val="20"/>
          <w:szCs w:val="20"/>
          <w14:ligatures w14:val="none"/>
        </w:rPr>
        <w:t>Phase 2 of the water management study conducted a comparative case analysis across three diverse arid and semi-arid regions. Researchers examined the North-West Sahara Aquifer System, a fossil aquifer shared by Algeria, Tunisia, and Libya; the Okavango Delta, a climate-stressed surface water system in southern Africa; and the Kachchh Peninsula in India, where rapid development is occurring alongside community-based water management approaches. These case studies provided valuable insights into different water management challenges and strategies across varied geographical, political, and social contexts.</w:t>
      </w:r>
    </w:p>
    <w:p w14:paraId="682F4EB1" w14:textId="744BB9D4" w:rsidR="00E97C9F" w:rsidRPr="002A2201" w:rsidRDefault="00E97C9F" w:rsidP="002A2201">
      <w:pPr>
        <w:jc w:val="both"/>
        <w:rPr>
          <w:rFonts w:ascii="Arial" w:hAnsi="Arial" w:cs="Arial"/>
          <w:sz w:val="22"/>
          <w:szCs w:val="22"/>
        </w:rPr>
      </w:pPr>
      <w:r w:rsidRPr="002A2201">
        <w:rPr>
          <w:rFonts w:ascii="Arial" w:hAnsi="Arial" w:cs="Arial"/>
          <w:b/>
          <w:bCs/>
          <w:sz w:val="22"/>
          <w:szCs w:val="22"/>
        </w:rPr>
        <w:t>Phase 3:</w:t>
      </w:r>
      <w:r w:rsidRPr="002A2201">
        <w:rPr>
          <w:rFonts w:ascii="Arial" w:hAnsi="Arial" w:cs="Arial"/>
          <w:sz w:val="22"/>
          <w:szCs w:val="22"/>
        </w:rPr>
        <w:t xml:space="preserve"> </w:t>
      </w:r>
      <w:r w:rsidR="00794DC2" w:rsidRPr="002A2201">
        <w:rPr>
          <w:rFonts w:ascii="Arial" w:hAnsi="Arial" w:cs="Arial"/>
          <w:sz w:val="22"/>
          <w:szCs w:val="22"/>
        </w:rPr>
        <w:t xml:space="preserve">Phase 3 focused on developing and validating an innovative water management framework through a collaborative approach. A multidisciplinary panel of experts worked together to create this framework, which was first calibrated using historical water management cases to ensure its theoretical soundness. The framework was then prospectively implemented in four different real-world contexts to test its practical effectiveness, adaptability, and potential for addressing water management challenges in arid and semi-arid regions under various conditions. </w:t>
      </w:r>
      <w:r w:rsidRPr="002A2201">
        <w:rPr>
          <w:rFonts w:ascii="Arial" w:hAnsi="Arial" w:cs="Arial"/>
          <w:sz w:val="22"/>
          <w:szCs w:val="22"/>
        </w:rPr>
        <w:t>This design allowed methodological triangulation from various sources of data and different methods of analysis and concepts of theory to improve validity while meeting the intricate and multidimensional characteristic of water governance in ASARs.</w:t>
      </w:r>
    </w:p>
    <w:p w14:paraId="2CE2F8D4" w14:textId="4CC08D28" w:rsidR="007335FF" w:rsidRPr="002A2201" w:rsidRDefault="002A2201" w:rsidP="002A2201">
      <w:pPr>
        <w:pStyle w:val="Heading2"/>
        <w:rPr>
          <w:rFonts w:ascii="Arial" w:eastAsia="Times New Roman" w:hAnsi="Arial" w:cs="Arial"/>
          <w:b/>
          <w:bCs/>
          <w:color w:val="auto"/>
          <w:sz w:val="24"/>
          <w:szCs w:val="24"/>
        </w:rPr>
      </w:pPr>
      <w:r w:rsidRPr="002A2201">
        <w:rPr>
          <w:rFonts w:ascii="Arial" w:eastAsia="Times New Roman" w:hAnsi="Arial" w:cs="Arial"/>
          <w:b/>
          <w:bCs/>
          <w:color w:val="auto"/>
          <w:sz w:val="24"/>
          <w:szCs w:val="24"/>
        </w:rPr>
        <w:t xml:space="preserve">3.2 </w:t>
      </w:r>
      <w:r w:rsidR="007335FF" w:rsidRPr="002A2201">
        <w:rPr>
          <w:rFonts w:ascii="Arial" w:eastAsia="Times New Roman" w:hAnsi="Arial" w:cs="Arial"/>
          <w:b/>
          <w:bCs/>
          <w:color w:val="auto"/>
          <w:sz w:val="24"/>
          <w:szCs w:val="24"/>
        </w:rPr>
        <w:t>Data Collection</w:t>
      </w:r>
    </w:p>
    <w:p w14:paraId="01B662F8" w14:textId="77777777" w:rsidR="00743CF9" w:rsidRPr="00A174C6" w:rsidRDefault="007335FF" w:rsidP="002A2201">
      <w:pPr>
        <w:spacing w:after="0" w:line="240" w:lineRule="auto"/>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We integrated six primary data streams to develop a comprehensive understanding of water governance challenges and opportunities in ASARs:</w:t>
      </w:r>
    </w:p>
    <w:p w14:paraId="56CAB8E5" w14:textId="77777777" w:rsidR="00AB7D52" w:rsidRPr="00A174C6" w:rsidRDefault="00E97C9F" w:rsidP="006104BF">
      <w:pPr>
        <w:pStyle w:val="ListParagraph"/>
        <w:numPr>
          <w:ilvl w:val="1"/>
          <w:numId w:val="2"/>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Remote Sensing Data:</w:t>
      </w:r>
      <w:r w:rsidRPr="00A174C6">
        <w:rPr>
          <w:rFonts w:ascii="Arial" w:eastAsia="Times New Roman" w:hAnsi="Arial" w:cs="Arial"/>
          <w:kern w:val="0"/>
          <w:sz w:val="20"/>
          <w:szCs w:val="20"/>
          <w14:ligatures w14:val="none"/>
        </w:rPr>
        <w:t xml:space="preserve"> </w:t>
      </w:r>
      <w:r w:rsidR="00AB7D52" w:rsidRPr="00A174C6">
        <w:rPr>
          <w:rFonts w:ascii="Arial" w:eastAsia="Times New Roman" w:hAnsi="Arial" w:cs="Arial"/>
          <w:kern w:val="0"/>
          <w:sz w:val="20"/>
          <w:szCs w:val="20"/>
          <w14:ligatures w14:val="none"/>
        </w:rPr>
        <w:t xml:space="preserve">Over a 20-year period (2003–2023), we generated time series data for key hydrological parameters across 38 major arid basins using multiple remote sensing sources. GRACE and GRACE-FO satellite data were employed to diagnose groundwater depletion trends, while Landsat </w:t>
      </w:r>
      <w:r w:rsidR="00AB7D52" w:rsidRPr="00A174C6">
        <w:rPr>
          <w:rFonts w:ascii="Arial" w:eastAsia="Times New Roman" w:hAnsi="Arial" w:cs="Arial"/>
          <w:kern w:val="0"/>
          <w:sz w:val="20"/>
          <w:szCs w:val="20"/>
          <w14:ligatures w14:val="none"/>
        </w:rPr>
        <w:lastRenderedPageBreak/>
        <w:t>5–9 and Sentinel-2 imagery provided insights into land use changes and variations in surface water area. MODIS-derived datasets were used to estimate evapotranspiration, and SMAP satellite data contributed soil moisture measurements. Together, these integrated datasets offer a comprehensive understanding of hydrological dynamics in arid and semi-arid regions (ASARs), supporting robust water governance analysis.</w:t>
      </w:r>
    </w:p>
    <w:p w14:paraId="0870C763" w14:textId="3A2400C9" w:rsidR="00743CF9" w:rsidRPr="00A174C6" w:rsidRDefault="00743CF9" w:rsidP="00AB7D52">
      <w:pPr>
        <w:pStyle w:val="ListParagraph"/>
        <w:spacing w:before="100" w:beforeAutospacing="1" w:after="100" w:afterAutospacing="1" w:line="240" w:lineRule="auto"/>
        <w:ind w:left="360"/>
        <w:rPr>
          <w:rFonts w:ascii="Arial" w:eastAsia="Times New Roman" w:hAnsi="Arial" w:cs="Arial"/>
          <w:kern w:val="0"/>
          <w:sz w:val="20"/>
          <w:szCs w:val="20"/>
          <w14:ligatures w14:val="none"/>
        </w:rPr>
      </w:pPr>
      <w:r w:rsidRPr="00A174C6">
        <w:rPr>
          <w:rFonts w:ascii="Arial" w:hAnsi="Arial" w:cs="Arial"/>
          <w:noProof/>
          <w:sz w:val="20"/>
          <w:szCs w:val="20"/>
        </w:rPr>
        <w:drawing>
          <wp:inline distT="0" distB="0" distL="0" distR="0" wp14:anchorId="5786EB56" wp14:editId="08E2D68C">
            <wp:extent cx="5943600" cy="4274820"/>
            <wp:effectExtent l="0" t="0" r="0" b="0"/>
            <wp:docPr id="2"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74820"/>
                    </a:xfrm>
                    <a:prstGeom prst="rect">
                      <a:avLst/>
                    </a:prstGeom>
                    <a:noFill/>
                    <a:ln>
                      <a:noFill/>
                    </a:ln>
                  </pic:spPr>
                </pic:pic>
              </a:graphicData>
            </a:graphic>
          </wp:inline>
        </w:drawing>
      </w:r>
    </w:p>
    <w:p w14:paraId="4714E433" w14:textId="5293A6A6" w:rsidR="007335FF" w:rsidRPr="00A174C6" w:rsidRDefault="007335FF" w:rsidP="00AB7D52">
      <w:pPr>
        <w:spacing w:before="100" w:beforeAutospacing="1" w:after="100" w:afterAutospacing="1" w:line="240" w:lineRule="auto"/>
        <w:rPr>
          <w:rFonts w:ascii="Arial" w:eastAsia="Times New Roman" w:hAnsi="Arial" w:cs="Arial"/>
          <w:i/>
          <w:iCs/>
          <w:kern w:val="0"/>
          <w:sz w:val="20"/>
          <w:szCs w:val="20"/>
          <w14:ligatures w14:val="none"/>
        </w:rPr>
      </w:pPr>
      <w:r w:rsidRPr="00A174C6">
        <w:rPr>
          <w:rFonts w:ascii="Arial" w:eastAsia="Times New Roman" w:hAnsi="Arial" w:cs="Arial"/>
          <w:i/>
          <w:iCs/>
          <w:kern w:val="0"/>
          <w:sz w:val="20"/>
          <w:szCs w:val="20"/>
          <w14:ligatures w14:val="none"/>
        </w:rPr>
        <w:t xml:space="preserve">Figure 1: </w:t>
      </w:r>
      <w:r w:rsidR="00E97C9F" w:rsidRPr="00A174C6">
        <w:rPr>
          <w:rFonts w:ascii="Arial" w:eastAsia="Times New Roman" w:hAnsi="Arial" w:cs="Arial"/>
          <w:i/>
          <w:iCs/>
          <w:kern w:val="0"/>
          <w:sz w:val="20"/>
          <w:szCs w:val="20"/>
          <w14:ligatures w14:val="none"/>
        </w:rPr>
        <w:t>Time series visualization of satellite-derived groundwater depletion rates across six major arid aquifer systems (2003–2023), showing acceleration patterns and threshold crossings</w:t>
      </w:r>
    </w:p>
    <w:p w14:paraId="07FF4903" w14:textId="77777777" w:rsidR="00743CF9" w:rsidRPr="00A174C6" w:rsidRDefault="00743CF9" w:rsidP="00743CF9">
      <w:pPr>
        <w:pStyle w:val="ListParagraph"/>
        <w:spacing w:before="100" w:beforeAutospacing="1" w:after="100" w:afterAutospacing="1" w:line="240" w:lineRule="auto"/>
        <w:ind w:left="1440"/>
        <w:rPr>
          <w:rFonts w:ascii="Arial" w:eastAsia="Times New Roman" w:hAnsi="Arial" w:cs="Arial"/>
          <w:kern w:val="0"/>
          <w:sz w:val="20"/>
          <w:szCs w:val="20"/>
          <w14:ligatures w14:val="none"/>
        </w:rPr>
      </w:pPr>
    </w:p>
    <w:p w14:paraId="4BF64CA4" w14:textId="77777777" w:rsidR="006E3A6C" w:rsidRPr="00A174C6" w:rsidRDefault="00743CF9" w:rsidP="006104BF">
      <w:pPr>
        <w:pStyle w:val="ListParagraph"/>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Project Implementation Records:</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conducted a comprehensive analysis by compiling data from 147 water management projects implemented in arid and semi-arid regions (ASARs) between 2000 and 2023. This extensive dataset encompassed technical design specifications, implementation timelines, and budget execution details to understand the practical aspects of project delivery. Additionally, we examined monitoring and evaluation reports alongside the comparison of stated objectives and measured outcomes to assess the effectiveness and impact of these interventions in addressing water management challenges in these regions.</w:t>
      </w:r>
    </w:p>
    <w:p w14:paraId="1C584FC0"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06387993" w14:textId="77777777" w:rsidR="006E3A6C" w:rsidRPr="00A174C6" w:rsidRDefault="00743CF9" w:rsidP="006104BF">
      <w:pPr>
        <w:pStyle w:val="ListParagraph"/>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Institutional Analysis:</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systematically mapped the governance arrangements of water in the case study regions through multiple analytical approaches. This involved in-depth policy and legal document analysis to understand the regulatory frameworks governing water resources. We created institutional network maps to visualize relationships between different governing bodies and developed authority and resource flow diagrams to trace decision-making pathways and resource allocation. Furthermore, we conducted historical evolution assessments to understand how these governance structures had transformed over time in response to changing environmental, social, and political contexts.</w:t>
      </w:r>
    </w:p>
    <w:p w14:paraId="3F9CA40B" w14:textId="77777777" w:rsidR="006E3A6C" w:rsidRPr="00A174C6" w:rsidRDefault="006E3A6C" w:rsidP="00614BE3">
      <w:pPr>
        <w:pStyle w:val="ListParagraph"/>
        <w:jc w:val="both"/>
        <w:rPr>
          <w:rFonts w:ascii="Arial" w:eastAsia="Times New Roman" w:hAnsi="Arial" w:cs="Arial"/>
          <w:kern w:val="0"/>
          <w:sz w:val="20"/>
          <w:szCs w:val="20"/>
          <w14:ligatures w14:val="none"/>
        </w:rPr>
      </w:pPr>
    </w:p>
    <w:p w14:paraId="5A335475" w14:textId="77777777" w:rsidR="006E3A6C" w:rsidRPr="00A174C6" w:rsidRDefault="00743CF9" w:rsidP="006104BF">
      <w:pPr>
        <w:pStyle w:val="ListParagraph"/>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Stakeholder Engagement</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facilitated structured interactions with 247 diverse stakeholders across the case study regions to gain comprehensive insights into lived experiences and perspectives. Our approach included conducting semi-structured interviews with water managers, users, and policymakers to capture their individual viewpoints and challenges. We organized focus group discussions with community representatives to understand collective concerns and priorities. Technical specialists participated in elicitation workshops to share expert knowledge, while various stakeholder groups engaged in deliberative scenario-based learning exercises to explore potential future water management scenarios and solutions collaboratively.</w:t>
      </w:r>
    </w:p>
    <w:p w14:paraId="31550BA9" w14:textId="39BF96BF" w:rsidR="00AB7D52" w:rsidRPr="00A174C6" w:rsidRDefault="00AB7D52"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5BA3B5AF" w14:textId="77777777" w:rsidR="00AB7D52" w:rsidRPr="00A174C6" w:rsidRDefault="00AB7D52" w:rsidP="00614BE3">
      <w:pPr>
        <w:pStyle w:val="ListParagraph"/>
        <w:spacing w:before="100" w:beforeAutospacing="1" w:after="100" w:afterAutospacing="1" w:line="240" w:lineRule="auto"/>
        <w:ind w:left="1440"/>
        <w:jc w:val="both"/>
        <w:rPr>
          <w:rFonts w:ascii="Arial" w:eastAsia="Times New Roman" w:hAnsi="Arial" w:cs="Arial"/>
          <w:kern w:val="0"/>
          <w:sz w:val="20"/>
          <w:szCs w:val="20"/>
          <w14:ligatures w14:val="none"/>
        </w:rPr>
      </w:pPr>
    </w:p>
    <w:p w14:paraId="430DE485" w14:textId="289CA0E2" w:rsidR="00AB7D52" w:rsidRPr="00A174C6" w:rsidRDefault="00AB7D52" w:rsidP="006104BF">
      <w:pPr>
        <w:pStyle w:val="ListParagraph"/>
        <w:numPr>
          <w:ilvl w:val="0"/>
          <w:numId w:val="4"/>
        </w:numPr>
        <w:spacing w:before="100" w:beforeAutospacing="1" w:after="100" w:afterAutospacing="1" w:line="240" w:lineRule="auto"/>
        <w:jc w:val="both"/>
        <w:rPr>
          <w:rFonts w:ascii="Arial" w:eastAsia="Times New Roman" w:hAnsi="Arial" w:cs="Arial"/>
          <w:b/>
          <w:bCs/>
          <w:kern w:val="0"/>
          <w:sz w:val="20"/>
          <w:szCs w:val="20"/>
          <w14:ligatures w14:val="none"/>
        </w:rPr>
      </w:pPr>
      <w:r w:rsidRPr="00A174C6">
        <w:rPr>
          <w:rFonts w:ascii="Arial" w:eastAsia="Times New Roman" w:hAnsi="Arial" w:cs="Arial"/>
          <w:b/>
          <w:bCs/>
          <w:kern w:val="0"/>
          <w:sz w:val="20"/>
          <w:szCs w:val="20"/>
          <w14:ligatures w14:val="none"/>
        </w:rPr>
        <w:t>Hydrological Modeling:</w:t>
      </w:r>
      <w:r w:rsidR="00794DC2" w:rsidRPr="00A174C6">
        <w:rPr>
          <w:rFonts w:ascii="Arial" w:eastAsia="Times New Roman" w:hAnsi="Arial" w:cs="Arial"/>
          <w:b/>
          <w:bCs/>
          <w:kern w:val="0"/>
          <w:sz w:val="20"/>
          <w:szCs w:val="20"/>
          <w14:ligatures w14:val="none"/>
        </w:rPr>
        <w:t xml:space="preserve"> </w:t>
      </w:r>
      <w:r w:rsidRPr="00A174C6">
        <w:rPr>
          <w:rFonts w:ascii="Arial" w:eastAsia="Times New Roman" w:hAnsi="Arial" w:cs="Arial"/>
          <w:kern w:val="0"/>
          <w:sz w:val="20"/>
          <w:szCs w:val="20"/>
          <w14:ligatures w14:val="none"/>
        </w:rPr>
        <w:t>For each of the case study area, we built an integrated hydrological model that considers the complex interaction between surface water and groundwater systems. The models used such climate change projection under multiple CMIP6 scenarios to simulate the future hydrological conditions. Also, we combined the water demand projections, based on socioeconomic trajectories to capture the projected change in population, land use and economic development. Models also evaluated the performance and resilience of the existing water infrastructure in different climatic conditions and they have given a sound basis for long term water resource planning.</w:t>
      </w:r>
    </w:p>
    <w:p w14:paraId="4DB53E02"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b/>
          <w:bCs/>
          <w:kern w:val="0"/>
          <w:sz w:val="20"/>
          <w:szCs w:val="20"/>
          <w14:ligatures w14:val="none"/>
        </w:rPr>
      </w:pPr>
    </w:p>
    <w:p w14:paraId="154B4E4B" w14:textId="19BC34CC" w:rsidR="007335FF" w:rsidRPr="00A174C6" w:rsidRDefault="00AB7D52" w:rsidP="006104BF">
      <w:pPr>
        <w:pStyle w:val="ListParagraph"/>
        <w:numPr>
          <w:ilvl w:val="0"/>
          <w:numId w:val="4"/>
        </w:numPr>
        <w:spacing w:before="100" w:beforeAutospacing="1" w:after="100" w:afterAutospacing="1" w:line="240" w:lineRule="auto"/>
        <w:jc w:val="both"/>
        <w:rPr>
          <w:rFonts w:ascii="Arial" w:eastAsia="Times New Roman" w:hAnsi="Arial" w:cs="Arial"/>
          <w:b/>
          <w:bCs/>
          <w:kern w:val="0"/>
          <w:sz w:val="20"/>
          <w:szCs w:val="20"/>
          <w14:ligatures w14:val="none"/>
        </w:rPr>
      </w:pPr>
      <w:r w:rsidRPr="00A174C6">
        <w:rPr>
          <w:rFonts w:ascii="Arial" w:eastAsia="Times New Roman" w:hAnsi="Arial" w:cs="Arial"/>
          <w:b/>
          <w:bCs/>
          <w:kern w:val="0"/>
          <w:sz w:val="20"/>
          <w:szCs w:val="20"/>
          <w14:ligatures w14:val="none"/>
        </w:rPr>
        <w:t>Economic Analysis:</w:t>
      </w:r>
      <w:r w:rsidR="00794DC2" w:rsidRPr="00A174C6">
        <w:rPr>
          <w:rFonts w:ascii="Arial" w:eastAsia="Times New Roman" w:hAnsi="Arial" w:cs="Arial"/>
          <w:b/>
          <w:bCs/>
          <w:kern w:val="0"/>
          <w:sz w:val="20"/>
          <w:szCs w:val="20"/>
          <w14:ligatures w14:val="none"/>
        </w:rPr>
        <w:t xml:space="preserve"> </w:t>
      </w:r>
      <w:r w:rsidRPr="00A174C6">
        <w:rPr>
          <w:rFonts w:ascii="Arial" w:eastAsia="Times New Roman" w:hAnsi="Arial" w:cs="Arial"/>
          <w:kern w:val="0"/>
          <w:sz w:val="20"/>
          <w:szCs w:val="20"/>
          <w14:ligatures w14:val="none"/>
        </w:rPr>
        <w:t xml:space="preserve">A fine-grained economic analysis was carried out for </w:t>
      </w:r>
      <w:r w:rsidR="006E3A6C" w:rsidRPr="00A174C6">
        <w:rPr>
          <w:rFonts w:ascii="Arial" w:eastAsia="Times New Roman" w:hAnsi="Arial" w:cs="Arial"/>
          <w:kern w:val="0"/>
          <w:sz w:val="20"/>
          <w:szCs w:val="20"/>
          <w14:ligatures w14:val="none"/>
        </w:rPr>
        <w:t>analyzing</w:t>
      </w:r>
      <w:r w:rsidRPr="00A174C6">
        <w:rPr>
          <w:rFonts w:ascii="Arial" w:eastAsia="Times New Roman" w:hAnsi="Arial" w:cs="Arial"/>
          <w:kern w:val="0"/>
          <w:sz w:val="20"/>
          <w:szCs w:val="20"/>
          <w14:ligatures w14:val="none"/>
        </w:rPr>
        <w:t xml:space="preserve"> the feasibility and equity of various water management options. Scenario-based assessments, analyzes of distributional effects among the groups of stakeholders, and models to make interventions financially sustainable were included in this analysis. Additionally, we estimated investment needs for each alternative, which could help the policymakers with meaningful allocation of resources, cost-effectiveness, and sustainability of water governance strategies in arid and semi-arid territories. </w:t>
      </w:r>
      <w:r w:rsidR="007335FF" w:rsidRPr="00A174C6">
        <w:rPr>
          <w:rFonts w:ascii="Arial" w:eastAsia="Times New Roman" w:hAnsi="Arial" w:cs="Arial"/>
          <w:kern w:val="0"/>
          <w:sz w:val="20"/>
          <w:szCs w:val="20"/>
          <w14:ligatures w14:val="none"/>
        </w:rPr>
        <w:t>These diverse data streams enabled comprehensive assessment of both biophysical and social dimensions of water governance, critical for developing truly integrated understanding of ASAR water challenges.</w:t>
      </w:r>
    </w:p>
    <w:p w14:paraId="0507576F" w14:textId="77777777" w:rsidR="007335FF" w:rsidRPr="002A2201" w:rsidRDefault="007335FF" w:rsidP="002A2201">
      <w:pPr>
        <w:pStyle w:val="Heading2"/>
        <w:rPr>
          <w:rFonts w:ascii="Arial" w:eastAsia="Times New Roman" w:hAnsi="Arial" w:cs="Arial"/>
          <w:b/>
          <w:bCs/>
          <w:color w:val="auto"/>
          <w:sz w:val="24"/>
          <w:szCs w:val="24"/>
        </w:rPr>
      </w:pPr>
      <w:r w:rsidRPr="002A2201">
        <w:rPr>
          <w:rFonts w:ascii="Arial" w:eastAsia="Times New Roman" w:hAnsi="Arial" w:cs="Arial"/>
          <w:b/>
          <w:bCs/>
          <w:color w:val="auto"/>
          <w:sz w:val="24"/>
          <w:szCs w:val="24"/>
        </w:rPr>
        <w:t>3.3 Analytical Framework</w:t>
      </w:r>
    </w:p>
    <w:p w14:paraId="05B1FC0B" w14:textId="7265D858" w:rsidR="007335FF" w:rsidRPr="00A174C6" w:rsidRDefault="007335FF" w:rsidP="00614BE3">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Our analytical approach integrated quantitative and qualitative methods through a structured framework specifically designed to capture the complex, multidimensional nature of water governance in ASARs:</w:t>
      </w:r>
    </w:p>
    <w:p w14:paraId="3870B60D" w14:textId="4859E09E" w:rsidR="00AB7D52" w:rsidRPr="00A174C6" w:rsidRDefault="00AB7D52" w:rsidP="006104BF">
      <w:pPr>
        <w:pStyle w:val="ListParagraph"/>
        <w:numPr>
          <w:ilvl w:val="0"/>
          <w:numId w:val="9"/>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Statistical Analysis of Framework Performance:</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applied multivariate regression modeling to determine relationships between framework characteristics and implementation outcomes. This comprehensive analysis included Principal Component Analysis to identify major aspects of the framework, followed by multiple regression to quantify relationships between framework elements and outcomes. We implemented Classification and Regression Tree (CART) analysis to determine critical thresholds and decision points within the implementation process. Additionally, we employed Structural Equation Modeling to account for both mediating and moderating effects in the complex relationships between variables, which provided insight into how different factors interact within the water management system.</w:t>
      </w:r>
    </w:p>
    <w:p w14:paraId="1BFE9D3C"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7782477C"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5B688493" w14:textId="081F2154" w:rsidR="00AB7D52" w:rsidRPr="00A174C6" w:rsidRDefault="00AB7D52" w:rsidP="002A2201">
      <w:pPr>
        <w:pStyle w:val="ListParagraph"/>
        <w:spacing w:before="100" w:beforeAutospacing="1" w:after="100" w:afterAutospacing="1" w:line="240" w:lineRule="auto"/>
        <w:ind w:left="0"/>
        <w:jc w:val="center"/>
        <w:rPr>
          <w:rFonts w:ascii="Arial" w:eastAsia="Times New Roman" w:hAnsi="Arial" w:cs="Arial"/>
          <w:kern w:val="0"/>
          <w:sz w:val="20"/>
          <w:szCs w:val="20"/>
          <w14:ligatures w14:val="none"/>
        </w:rPr>
      </w:pPr>
      <w:r w:rsidRPr="00A174C6">
        <w:rPr>
          <w:rFonts w:ascii="Arial" w:hAnsi="Arial" w:cs="Arial"/>
          <w:noProof/>
          <w:sz w:val="20"/>
          <w:szCs w:val="20"/>
        </w:rPr>
        <w:lastRenderedPageBreak/>
        <w:drawing>
          <wp:inline distT="0" distB="0" distL="0" distR="0" wp14:anchorId="34B4C34A" wp14:editId="0859A2E4">
            <wp:extent cx="3467100" cy="2484120"/>
            <wp:effectExtent l="0" t="0" r="0" b="0"/>
            <wp:docPr id="3"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8526" cy="2485142"/>
                    </a:xfrm>
                    <a:prstGeom prst="rect">
                      <a:avLst/>
                    </a:prstGeom>
                    <a:noFill/>
                    <a:ln>
                      <a:noFill/>
                    </a:ln>
                  </pic:spPr>
                </pic:pic>
              </a:graphicData>
            </a:graphic>
          </wp:inline>
        </w:drawing>
      </w:r>
    </w:p>
    <w:p w14:paraId="3F136729" w14:textId="29D5BEB5" w:rsidR="007335FF" w:rsidRPr="002A2201" w:rsidRDefault="007335FF" w:rsidP="002A2201">
      <w:pPr>
        <w:spacing w:before="100" w:beforeAutospacing="1" w:after="100" w:afterAutospacing="1" w:line="240" w:lineRule="auto"/>
        <w:jc w:val="both"/>
        <w:rPr>
          <w:rFonts w:ascii="Arial" w:eastAsia="Times New Roman" w:hAnsi="Arial" w:cs="Arial"/>
          <w:kern w:val="0"/>
          <w:sz w:val="20"/>
          <w:szCs w:val="20"/>
          <w14:ligatures w14:val="none"/>
        </w:rPr>
      </w:pPr>
      <w:r w:rsidRPr="002A2201">
        <w:rPr>
          <w:rFonts w:ascii="Arial" w:eastAsia="Times New Roman" w:hAnsi="Arial" w:cs="Arial"/>
          <w:i/>
          <w:iCs/>
          <w:kern w:val="0"/>
          <w:sz w:val="20"/>
          <w:szCs w:val="20"/>
          <w14:ligatures w14:val="none"/>
        </w:rPr>
        <w:t>Figure 2: Structural equation model showing relationships between framework characteristics, implementation factors, contextual variables, and outcomes, with path coefficients and significance levels</w:t>
      </w:r>
    </w:p>
    <w:p w14:paraId="54445BD8" w14:textId="77777777" w:rsidR="006E3A6C" w:rsidRPr="00A174C6" w:rsidRDefault="006E3A6C" w:rsidP="00614BE3">
      <w:pPr>
        <w:pStyle w:val="ListParagraph"/>
        <w:spacing w:before="100" w:beforeAutospacing="1" w:after="100" w:afterAutospacing="1" w:line="240" w:lineRule="auto"/>
        <w:ind w:left="1440"/>
        <w:jc w:val="both"/>
        <w:rPr>
          <w:rFonts w:ascii="Arial" w:eastAsia="Times New Roman" w:hAnsi="Arial" w:cs="Arial"/>
          <w:kern w:val="0"/>
          <w:sz w:val="20"/>
          <w:szCs w:val="20"/>
          <w14:ligatures w14:val="none"/>
        </w:rPr>
      </w:pPr>
    </w:p>
    <w:p w14:paraId="138B5C1A" w14:textId="2A05C6F0" w:rsidR="00A97FFE" w:rsidRPr="00A174C6" w:rsidRDefault="007335FF" w:rsidP="006104BF">
      <w:pPr>
        <w:pStyle w:val="ListParagraph"/>
        <w:numPr>
          <w:ilvl w:val="0"/>
          <w:numId w:val="9"/>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Process Tracing of Implementation Pathways</w:t>
      </w:r>
      <w:r w:rsidRPr="00A174C6">
        <w:rPr>
          <w:rFonts w:ascii="Arial" w:eastAsia="Times New Roman" w:hAnsi="Arial" w:cs="Arial"/>
          <w:kern w:val="0"/>
          <w:sz w:val="20"/>
          <w:szCs w:val="20"/>
          <w14:ligatures w14:val="none"/>
        </w:rPr>
        <w:t xml:space="preserve">: </w:t>
      </w:r>
      <w:r w:rsidR="006E3A6C" w:rsidRPr="00A174C6">
        <w:rPr>
          <w:rFonts w:ascii="Arial" w:eastAsia="Times New Roman" w:hAnsi="Arial" w:cs="Arial"/>
          <w:kern w:val="0"/>
          <w:sz w:val="20"/>
          <w:szCs w:val="20"/>
          <w14:ligatures w14:val="none"/>
        </w:rPr>
        <w:t>We employed process tracing methodologies to identify critical junctures, causal mechanisms, and implementation trajectories across diverse cases. This systematic approach included temporal sequence mapping to chart how events unfolded chronologically, causal process observation to identify key mechanisms driving changes, counterfactual analysis to explore alternative scenarios, and Bayesian updating of causal hypotheses to refine our understanding as new evidence emerged. This methodological approach allowed us to track how implementation decisions created path dependencies and influenced ultimate outcomes in various contexts.</w:t>
      </w:r>
    </w:p>
    <w:p w14:paraId="242A48D0" w14:textId="77777777" w:rsidR="006E3A6C" w:rsidRPr="00A174C6" w:rsidRDefault="006E3A6C" w:rsidP="00614BE3">
      <w:pPr>
        <w:pStyle w:val="ListParagraph"/>
        <w:spacing w:before="100" w:beforeAutospacing="1" w:after="100" w:afterAutospacing="1" w:line="240" w:lineRule="auto"/>
        <w:jc w:val="both"/>
        <w:rPr>
          <w:rFonts w:ascii="Arial" w:eastAsia="Times New Roman" w:hAnsi="Arial" w:cs="Arial"/>
          <w:kern w:val="0"/>
          <w:sz w:val="20"/>
          <w:szCs w:val="20"/>
          <w14:ligatures w14:val="none"/>
        </w:rPr>
      </w:pPr>
    </w:p>
    <w:p w14:paraId="4C193194" w14:textId="11E050C4" w:rsidR="006E3A6C" w:rsidRPr="00A174C6" w:rsidRDefault="006E3A6C" w:rsidP="006104BF">
      <w:pPr>
        <w:pStyle w:val="ListParagraph"/>
        <w:numPr>
          <w:ilvl w:val="0"/>
          <w:numId w:val="9"/>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Comparative Case Analysis</w:t>
      </w:r>
      <w:r w:rsidRPr="00A174C6">
        <w:rPr>
          <w:rFonts w:ascii="Arial" w:eastAsia="Times New Roman" w:hAnsi="Arial" w:cs="Arial"/>
          <w:kern w:val="0"/>
          <w:sz w:val="20"/>
          <w:szCs w:val="20"/>
          <w14:ligatures w14:val="none"/>
        </w:rPr>
        <w:t>: We used structured comparative analysis to identify patterns across diverse ASAR contexts, employing several complementary techniques. Qualitative Comparative Analysis (QCA) helped identify necessary and sufficient conditions for successful outcomes, while cross-case pattern matching revealed commonalities across different implementations. We developed typological theories to categorize different approaches and their effectiveness, and conducted deviant case analysis to understand instances where outcomes differed from expectations, providing valuable insights into contextual factors that influence water management success.</w:t>
      </w:r>
    </w:p>
    <w:p w14:paraId="496EFF44" w14:textId="77777777" w:rsidR="006E3A6C" w:rsidRPr="00A174C6" w:rsidRDefault="006E3A6C" w:rsidP="00614BE3">
      <w:pPr>
        <w:pStyle w:val="ListParagraph"/>
        <w:jc w:val="both"/>
        <w:rPr>
          <w:rFonts w:ascii="Arial" w:eastAsia="Times New Roman" w:hAnsi="Arial" w:cs="Arial"/>
          <w:kern w:val="0"/>
          <w:sz w:val="20"/>
          <w:szCs w:val="20"/>
          <w14:ligatures w14:val="none"/>
        </w:rPr>
      </w:pPr>
    </w:p>
    <w:p w14:paraId="44CB61AD" w14:textId="77777777" w:rsidR="006E3A6C" w:rsidRPr="00A174C6" w:rsidRDefault="006E3A6C" w:rsidP="006E3A6C">
      <w:pPr>
        <w:pStyle w:val="ListParagraph"/>
        <w:spacing w:before="100" w:beforeAutospacing="1" w:after="100" w:afterAutospacing="1" w:line="240" w:lineRule="auto"/>
        <w:rPr>
          <w:rFonts w:ascii="Arial" w:eastAsia="Times New Roman" w:hAnsi="Arial" w:cs="Arial"/>
          <w:kern w:val="0"/>
          <w:sz w:val="20"/>
          <w:szCs w:val="20"/>
          <w14:ligatures w14:val="none"/>
        </w:rPr>
      </w:pPr>
    </w:p>
    <w:p w14:paraId="072042C4" w14:textId="331F4C48" w:rsidR="006E3A6C" w:rsidRPr="00A174C6" w:rsidRDefault="006E3A6C" w:rsidP="006104BF">
      <w:pPr>
        <w:pStyle w:val="ListParagraph"/>
        <w:numPr>
          <w:ilvl w:val="0"/>
          <w:numId w:val="9"/>
        </w:numPr>
        <w:spacing w:before="100" w:beforeAutospacing="1" w:after="100" w:afterAutospacing="1" w:line="240" w:lineRule="auto"/>
        <w:jc w:val="both"/>
        <w:rPr>
          <w:rFonts w:ascii="Arial" w:hAnsi="Arial" w:cs="Arial"/>
          <w:sz w:val="20"/>
          <w:szCs w:val="20"/>
        </w:rPr>
      </w:pPr>
      <w:r w:rsidRPr="00A174C6">
        <w:rPr>
          <w:rStyle w:val="Strong"/>
          <w:rFonts w:ascii="Arial" w:hAnsi="Arial" w:cs="Arial"/>
          <w:sz w:val="20"/>
          <w:szCs w:val="20"/>
        </w:rPr>
        <w:t>Geospatial Analysis</w:t>
      </w:r>
      <w:r w:rsidRPr="00A174C6">
        <w:rPr>
          <w:rFonts w:ascii="Arial" w:hAnsi="Arial" w:cs="Arial"/>
          <w:sz w:val="20"/>
          <w:szCs w:val="20"/>
        </w:rPr>
        <w:t>: We employed advanced geospatial techniques to analyze hydrological and land use patterns across the study regions. This included hotspot analysis of water stress indicators to identify areas of particular concern, time series analysis of land use transformation to track changes over the study period, spatial regression modeling to understand geographic determinants of outcomes, and cluster analysis of implementation patterns to identify spatial relationships in water management arrangement.</w:t>
      </w:r>
    </w:p>
    <w:p w14:paraId="55C06580" w14:textId="77777777" w:rsidR="006E3A6C" w:rsidRPr="00A174C6" w:rsidRDefault="006E3A6C" w:rsidP="006E3A6C">
      <w:pPr>
        <w:pStyle w:val="ListParagraph"/>
        <w:spacing w:before="100" w:beforeAutospacing="1" w:after="100" w:afterAutospacing="1" w:line="240" w:lineRule="auto"/>
        <w:jc w:val="both"/>
        <w:rPr>
          <w:rFonts w:ascii="Arial" w:hAnsi="Arial" w:cs="Arial"/>
          <w:sz w:val="20"/>
          <w:szCs w:val="20"/>
        </w:rPr>
      </w:pPr>
    </w:p>
    <w:p w14:paraId="720B89FA" w14:textId="56ADFE79" w:rsidR="00A97FFE" w:rsidRPr="00A174C6" w:rsidRDefault="00A97FFE" w:rsidP="006E3A6C">
      <w:pPr>
        <w:pStyle w:val="ListParagraph"/>
        <w:spacing w:before="100" w:beforeAutospacing="1" w:after="100" w:afterAutospacing="1" w:line="240" w:lineRule="auto"/>
        <w:jc w:val="center"/>
        <w:rPr>
          <w:rFonts w:ascii="Arial" w:hAnsi="Arial" w:cs="Arial"/>
          <w:sz w:val="20"/>
          <w:szCs w:val="20"/>
        </w:rPr>
      </w:pPr>
      <w:r w:rsidRPr="00A174C6">
        <w:rPr>
          <w:rFonts w:ascii="Arial" w:hAnsi="Arial" w:cs="Arial"/>
          <w:noProof/>
          <w:sz w:val="20"/>
          <w:szCs w:val="20"/>
        </w:rPr>
        <w:lastRenderedPageBreak/>
        <w:drawing>
          <wp:inline distT="0" distB="0" distL="0" distR="0" wp14:anchorId="2776C60A" wp14:editId="231BCBB5">
            <wp:extent cx="3559817" cy="3297014"/>
            <wp:effectExtent l="0" t="0" r="2540" b="0"/>
            <wp:docPr id="4"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142" cy="3316765"/>
                    </a:xfrm>
                    <a:prstGeom prst="rect">
                      <a:avLst/>
                    </a:prstGeom>
                    <a:noFill/>
                    <a:ln>
                      <a:noFill/>
                    </a:ln>
                  </pic:spPr>
                </pic:pic>
              </a:graphicData>
            </a:graphic>
          </wp:inline>
        </w:drawing>
      </w:r>
    </w:p>
    <w:p w14:paraId="35377BDB" w14:textId="5E9FA8CF" w:rsidR="007335FF" w:rsidRPr="00A174C6" w:rsidRDefault="007335FF" w:rsidP="006E3A6C">
      <w:pPr>
        <w:pStyle w:val="ListParagraph"/>
        <w:spacing w:before="100" w:beforeAutospacing="1" w:after="100" w:afterAutospacing="1" w:line="240" w:lineRule="auto"/>
        <w:ind w:left="1440"/>
        <w:rPr>
          <w:rFonts w:ascii="Arial" w:eastAsia="Times New Roman" w:hAnsi="Arial" w:cs="Arial"/>
          <w:i/>
          <w:iCs/>
          <w:kern w:val="0"/>
          <w:sz w:val="20"/>
          <w:szCs w:val="20"/>
          <w14:ligatures w14:val="none"/>
        </w:rPr>
      </w:pPr>
      <w:r w:rsidRPr="00A174C6">
        <w:rPr>
          <w:rFonts w:ascii="Arial" w:eastAsia="Times New Roman" w:hAnsi="Arial" w:cs="Arial"/>
          <w:i/>
          <w:iCs/>
          <w:kern w:val="0"/>
          <w:sz w:val="20"/>
          <w:szCs w:val="20"/>
          <w14:ligatures w14:val="none"/>
        </w:rPr>
        <w:t>Figure 3: Multi-panel geospatial visualization showing: (a) Groundwater depletion hotspots, (b) Climate vulnerability indices, (c) Implementation intensity distribution, and (d) Institutional capacity mapping</w:t>
      </w:r>
    </w:p>
    <w:p w14:paraId="708FF025" w14:textId="77777777" w:rsidR="006E3A6C" w:rsidRPr="00A174C6" w:rsidRDefault="006E3A6C" w:rsidP="006E3A6C">
      <w:pPr>
        <w:pStyle w:val="ListParagraph"/>
        <w:spacing w:before="100" w:beforeAutospacing="1" w:after="100" w:afterAutospacing="1" w:line="240" w:lineRule="auto"/>
        <w:ind w:left="1440"/>
        <w:rPr>
          <w:rFonts w:ascii="Arial" w:eastAsia="Times New Roman" w:hAnsi="Arial" w:cs="Arial"/>
          <w:kern w:val="0"/>
          <w:sz w:val="20"/>
          <w:szCs w:val="20"/>
          <w14:ligatures w14:val="none"/>
        </w:rPr>
      </w:pPr>
    </w:p>
    <w:p w14:paraId="25E6A37B" w14:textId="228B4B01" w:rsidR="006E3A6C" w:rsidRPr="00A174C6" w:rsidRDefault="006E3A6C" w:rsidP="006104BF">
      <w:pPr>
        <w:pStyle w:val="ListParagraph"/>
        <w:numPr>
          <w:ilvl w:val="0"/>
          <w:numId w:val="9"/>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 </w:t>
      </w:r>
      <w:r w:rsidRPr="00A174C6">
        <w:rPr>
          <w:rFonts w:ascii="Arial" w:eastAsia="Times New Roman" w:hAnsi="Arial" w:cs="Arial"/>
          <w:b/>
          <w:bCs/>
          <w:kern w:val="0"/>
          <w:sz w:val="20"/>
          <w:szCs w:val="20"/>
          <w14:ligatures w14:val="none"/>
        </w:rPr>
        <w:t>Scenario Development:</w:t>
      </w:r>
      <w:r w:rsidRPr="00A174C6">
        <w:rPr>
          <w:rFonts w:ascii="Arial" w:eastAsia="Times New Roman" w:hAnsi="Arial" w:cs="Arial"/>
          <w:kern w:val="0"/>
          <w:sz w:val="20"/>
          <w:szCs w:val="20"/>
          <w14:ligatures w14:val="none"/>
        </w:rPr>
        <w:t xml:space="preserve"> We used participatory scenario development to explore system behavior under alternative climate and development trajectories. This forward-looking approach included structured scenario construction with stakeholder input to ensure relevance, quantitative modeling of scenario implications to understand potential impacts, robust option identification across scenarios to determine strategies that would perform well under various conditions, and adaptive pathway mapping to chart flexible implementation routes. This integrated analytical approach enabled systematic assessment of water governance challenges while accommodating the contextual complexity and data limitations characteristic of ASARs.</w:t>
      </w:r>
    </w:p>
    <w:p w14:paraId="2B39DF20" w14:textId="1DB78E9B" w:rsidR="007335FF" w:rsidRPr="00A174C6" w:rsidRDefault="007335FF" w:rsidP="00614BE3">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This integrated analytical approach enabled systematic assessment of water governance challenges while accommodating the contextual complexity and data limitations characteristic of ASARs.</w:t>
      </w:r>
    </w:p>
    <w:p w14:paraId="663192E2" w14:textId="77777777" w:rsidR="007335FF" w:rsidRPr="002A2201" w:rsidRDefault="007335FF" w:rsidP="002A2201">
      <w:pPr>
        <w:pStyle w:val="Heading2"/>
        <w:spacing w:before="0" w:after="0"/>
        <w:rPr>
          <w:rFonts w:ascii="Arial" w:eastAsia="Times New Roman" w:hAnsi="Arial" w:cs="Arial"/>
          <w:b/>
          <w:bCs/>
          <w:color w:val="auto"/>
          <w:sz w:val="24"/>
          <w:szCs w:val="24"/>
        </w:rPr>
      </w:pPr>
      <w:r w:rsidRPr="002A2201">
        <w:rPr>
          <w:rFonts w:ascii="Arial" w:eastAsia="Times New Roman" w:hAnsi="Arial" w:cs="Arial"/>
          <w:b/>
          <w:bCs/>
          <w:color w:val="auto"/>
          <w:sz w:val="24"/>
          <w:szCs w:val="24"/>
        </w:rPr>
        <w:t>3.4 Framework Development Methodology</w:t>
      </w:r>
    </w:p>
    <w:p w14:paraId="750E357A" w14:textId="77777777" w:rsidR="00614BE3" w:rsidRPr="00A174C6" w:rsidRDefault="00614BE3" w:rsidP="002A2201">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The development of our Climate-Adaptive Water Security Framework followed a methodical, iterative process beginning with conceptual framework design grounded in theoretical development and analysis of existing framework limitations in ASAR contexts. This foundation was then refined through structured feedback from a diverse expert panel (n=38) representing multiple disciplines including hydrology, institutional economics, implementation science, climate adaptation, and regional specialists. The process continued with comprehensive indicator development and testing, which encompassed creating detailed indicator definitions and measurement protocols, assessing data availability across diverse ASAR contexts, conducting statistical tests for validity, reliability, and sensitivity, and field testing in four ASAR locations. Framework validation occurred through retrospective application to historical cases, evaluating its predictive power and explanatory value, and was completed with prospective application in four current water management contexts to assess practical utility and implementation requirements.</w:t>
      </w:r>
    </w:p>
    <w:p w14:paraId="1731FEC3" w14:textId="77777777" w:rsidR="00A97FFE" w:rsidRPr="00A174C6" w:rsidRDefault="00A97FFE" w:rsidP="00A97FFE">
      <w:pPr>
        <w:spacing w:before="100" w:beforeAutospacing="1" w:after="100" w:afterAutospacing="1" w:line="240" w:lineRule="auto"/>
        <w:ind w:left="720"/>
        <w:rPr>
          <w:rFonts w:ascii="Arial" w:eastAsia="Times New Roman" w:hAnsi="Arial" w:cs="Arial"/>
          <w:b/>
          <w:bCs/>
          <w:kern w:val="0"/>
          <w:sz w:val="20"/>
          <w:szCs w:val="20"/>
          <w14:ligatures w14:val="none"/>
        </w:rPr>
      </w:pPr>
    </w:p>
    <w:p w14:paraId="1F1C73A1" w14:textId="1CAEA76D" w:rsidR="00A97FFE" w:rsidRPr="00A174C6" w:rsidRDefault="003D17FC" w:rsidP="00A97FFE">
      <w:pPr>
        <w:spacing w:before="100" w:beforeAutospacing="1" w:after="100" w:afterAutospacing="1" w:line="240" w:lineRule="auto"/>
        <w:ind w:left="720"/>
        <w:rPr>
          <w:rFonts w:ascii="Arial" w:eastAsia="Times New Roman" w:hAnsi="Arial" w:cs="Arial"/>
          <w:kern w:val="0"/>
          <w:sz w:val="20"/>
          <w:szCs w:val="20"/>
          <w14:ligatures w14:val="none"/>
        </w:rPr>
      </w:pPr>
      <w:r w:rsidRPr="00A174C6">
        <w:rPr>
          <w:rFonts w:ascii="Arial" w:eastAsia="Times New Roman" w:hAnsi="Arial" w:cs="Arial"/>
          <w:noProof/>
          <w:kern w:val="0"/>
          <w:sz w:val="20"/>
          <w:szCs w:val="20"/>
          <w14:ligatures w14:val="none"/>
        </w:rPr>
        <w:lastRenderedPageBreak/>
        <w:drawing>
          <wp:inline distT="0" distB="0" distL="0" distR="0" wp14:anchorId="7359CBD3" wp14:editId="5A2ADE2B">
            <wp:extent cx="4521941" cy="336971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8461" cy="3374575"/>
                    </a:xfrm>
                    <a:prstGeom prst="rect">
                      <a:avLst/>
                    </a:prstGeom>
                  </pic:spPr>
                </pic:pic>
              </a:graphicData>
            </a:graphic>
          </wp:inline>
        </w:drawing>
      </w:r>
    </w:p>
    <w:p w14:paraId="6D1C162D" w14:textId="352E95F9" w:rsidR="007335FF" w:rsidRPr="00A174C6" w:rsidRDefault="007335FF" w:rsidP="007335FF">
      <w:pPr>
        <w:spacing w:before="100" w:beforeAutospacing="1" w:after="100" w:afterAutospacing="1" w:line="240" w:lineRule="auto"/>
        <w:ind w:left="720"/>
        <w:rPr>
          <w:rFonts w:ascii="Arial" w:eastAsia="Times New Roman" w:hAnsi="Arial" w:cs="Arial"/>
          <w:kern w:val="0"/>
          <w:sz w:val="20"/>
          <w:szCs w:val="20"/>
          <w14:ligatures w14:val="none"/>
        </w:rPr>
      </w:pPr>
      <w:r w:rsidRPr="00A174C6">
        <w:rPr>
          <w:rFonts w:ascii="Arial" w:eastAsia="Times New Roman" w:hAnsi="Arial" w:cs="Arial"/>
          <w:i/>
          <w:iCs/>
          <w:kern w:val="0"/>
          <w:sz w:val="20"/>
          <w:szCs w:val="20"/>
          <w14:ligatures w14:val="none"/>
        </w:rPr>
        <w:t>Figure 4: Framework development process visualization showing iterative refinement cycles, feedback integration points, and validation stages</w:t>
      </w:r>
    </w:p>
    <w:p w14:paraId="698B9E47" w14:textId="77777777" w:rsidR="007335FF" w:rsidRPr="00A174C6" w:rsidRDefault="007335FF" w:rsidP="007335FF">
      <w:pPr>
        <w:spacing w:before="100" w:beforeAutospacing="1" w:after="100" w:afterAutospacing="1" w:line="240" w:lineRule="auto"/>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This methodologically rigorous development process ensured the resulting framework addresses the specific limitations identified in existing approaches while maintaining practical applicability in resource-constrained ASAR contexts.</w:t>
      </w:r>
    </w:p>
    <w:p w14:paraId="2C43F338" w14:textId="54836AE7" w:rsidR="007335FF" w:rsidRPr="002A2201" w:rsidRDefault="00A174C6" w:rsidP="002A2201">
      <w:pPr>
        <w:pStyle w:val="Heading1"/>
        <w:rPr>
          <w:rFonts w:ascii="Arial" w:eastAsia="Times New Roman" w:hAnsi="Arial" w:cs="Arial"/>
          <w:b/>
          <w:bCs/>
          <w:color w:val="auto"/>
          <w:sz w:val="24"/>
          <w:szCs w:val="24"/>
        </w:rPr>
      </w:pPr>
      <w:r w:rsidRPr="002A2201">
        <w:rPr>
          <w:rFonts w:ascii="Arial" w:eastAsia="Times New Roman" w:hAnsi="Arial" w:cs="Arial"/>
          <w:b/>
          <w:bCs/>
          <w:color w:val="auto"/>
          <w:sz w:val="24"/>
          <w:szCs w:val="24"/>
        </w:rPr>
        <w:t>4. RESULTS</w:t>
      </w:r>
    </w:p>
    <w:p w14:paraId="45D674A0" w14:textId="77777777" w:rsidR="007335FF" w:rsidRPr="002A2201" w:rsidRDefault="007335FF" w:rsidP="002A2201">
      <w:pPr>
        <w:pStyle w:val="Heading2"/>
        <w:spacing w:before="0" w:after="0"/>
        <w:rPr>
          <w:rFonts w:ascii="Arial" w:eastAsia="Times New Roman" w:hAnsi="Arial" w:cs="Arial"/>
          <w:color w:val="auto"/>
          <w:sz w:val="24"/>
          <w:szCs w:val="24"/>
        </w:rPr>
      </w:pPr>
      <w:r w:rsidRPr="002A2201">
        <w:rPr>
          <w:rFonts w:ascii="Arial" w:eastAsia="Times New Roman" w:hAnsi="Arial" w:cs="Arial"/>
          <w:color w:val="auto"/>
          <w:sz w:val="24"/>
          <w:szCs w:val="24"/>
        </w:rPr>
        <w:t>4.1 Fundamental Limitations of Conventional Frameworks</w:t>
      </w:r>
    </w:p>
    <w:p w14:paraId="402ADAFE" w14:textId="77777777" w:rsidR="00F41EEE" w:rsidRPr="00A174C6" w:rsidRDefault="00F41EEE" w:rsidP="002A2201">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In our analysis of 17 extant Sustainable Water Resources Management Assessment Frameworks (SWRM-AFs), we identified central limitations in their application to ASAR contexts. Statistical modeling of framework performance across 147 implementation cases revealed that standard frameworks account for only 26% (R²=0.26; </w:t>
      </w:r>
      <w:proofErr w:type="gramStart"/>
      <w:r w:rsidRPr="00A174C6">
        <w:rPr>
          <w:rFonts w:ascii="Arial" w:eastAsia="Times New Roman" w:hAnsi="Arial" w:cs="Arial"/>
          <w:kern w:val="0"/>
          <w:sz w:val="20"/>
          <w:szCs w:val="20"/>
          <w14:ligatures w14:val="none"/>
        </w:rPr>
        <w:t>F(</w:t>
      </w:r>
      <w:proofErr w:type="gramEnd"/>
      <w:r w:rsidRPr="00A174C6">
        <w:rPr>
          <w:rFonts w:ascii="Arial" w:eastAsia="Times New Roman" w:hAnsi="Arial" w:cs="Arial"/>
          <w:kern w:val="0"/>
          <w:sz w:val="20"/>
          <w:szCs w:val="20"/>
          <w14:ligatures w14:val="none"/>
        </w:rPr>
        <w:t xml:space="preserve">12,134)=3.92, p&lt;0.001) of variance in arid contexts compared to 64% in humid regions. Our comprehensive analysis identified five determinant limitations that systematically undermine the effectiveness of conventional frameworks in ASARs. </w:t>
      </w:r>
      <w:r w:rsidRPr="00A174C6">
        <w:rPr>
          <w:rFonts w:ascii="Arial" w:eastAsia="Times New Roman" w:hAnsi="Arial" w:cs="Arial"/>
          <w:b/>
          <w:bCs/>
          <w:kern w:val="0"/>
          <w:sz w:val="20"/>
          <w:szCs w:val="20"/>
          <w14:ligatures w14:val="none"/>
        </w:rPr>
        <w:t>Failure to Account for Extreme Variability</w:t>
      </w:r>
      <w:r w:rsidRPr="00A174C6">
        <w:rPr>
          <w:rFonts w:ascii="Arial" w:eastAsia="Times New Roman" w:hAnsi="Arial" w:cs="Arial"/>
          <w:kern w:val="0"/>
          <w:sz w:val="20"/>
          <w:szCs w:val="20"/>
          <w14:ligatures w14:val="none"/>
        </w:rPr>
        <w:t xml:space="preserve"> is evident as conventional frameworks emphasize performance under average conditions, while our statistical analysis shows that in ASARs, extreme events explain 3.7 times more outcome variance than average conditions. Although 82% of frameworks include mean water availability indicators, only 23% incorporate measures of system performance under extreme drought or flood conditions. </w:t>
      </w:r>
      <w:r w:rsidRPr="00A174C6">
        <w:rPr>
          <w:rFonts w:ascii="Arial" w:eastAsia="Times New Roman" w:hAnsi="Arial" w:cs="Arial"/>
          <w:b/>
          <w:bCs/>
          <w:kern w:val="0"/>
          <w:sz w:val="20"/>
          <w:szCs w:val="20"/>
          <w14:ligatures w14:val="none"/>
        </w:rPr>
        <w:t>Inadequate Treatment of Non-Conventional Water Resources</w:t>
      </w:r>
      <w:r w:rsidRPr="00A174C6">
        <w:rPr>
          <w:rFonts w:ascii="Arial" w:eastAsia="Times New Roman" w:hAnsi="Arial" w:cs="Arial"/>
          <w:kern w:val="0"/>
          <w:sz w:val="20"/>
          <w:szCs w:val="20"/>
          <w14:ligatures w14:val="none"/>
        </w:rPr>
        <w:t xml:space="preserve"> represents another critical limitation, as despite constituting 38-72% of water supply in many ASAR communities, non-conventional resources (desalination, water reuse, rainwater harvesting) receive insufficient attention, with only 29% of frameworks including specific indicators for these resources, accounting for just 4.6% of total indicator weight on average. </w:t>
      </w:r>
      <w:r w:rsidRPr="00A174C6">
        <w:rPr>
          <w:rFonts w:ascii="Arial" w:eastAsia="Times New Roman" w:hAnsi="Arial" w:cs="Arial"/>
          <w:b/>
          <w:bCs/>
          <w:kern w:val="0"/>
          <w:sz w:val="20"/>
          <w:szCs w:val="20"/>
          <w14:ligatures w14:val="none"/>
        </w:rPr>
        <w:t>Neglect of Implementation Processes</w:t>
      </w:r>
      <w:r w:rsidRPr="00A174C6">
        <w:rPr>
          <w:rFonts w:ascii="Arial" w:eastAsia="Times New Roman" w:hAnsi="Arial" w:cs="Arial"/>
          <w:kern w:val="0"/>
          <w:sz w:val="20"/>
          <w:szCs w:val="20"/>
          <w14:ligatures w14:val="none"/>
        </w:rPr>
        <w:t xml:space="preserve"> is demonstrated by the overwhelming emphasis on technical design and resource conditions, with minimal attention to implementation processes that determine actual outcomes. These implementation quality factors explain 46% of outcome variance in our statistical model but receive only 12% of indicator weight in conventional frameworks. </w:t>
      </w:r>
      <w:r w:rsidRPr="00A174C6">
        <w:rPr>
          <w:rFonts w:ascii="Arial" w:eastAsia="Times New Roman" w:hAnsi="Arial" w:cs="Arial"/>
          <w:b/>
          <w:bCs/>
          <w:kern w:val="0"/>
          <w:sz w:val="20"/>
          <w:szCs w:val="20"/>
          <w14:ligatures w14:val="none"/>
        </w:rPr>
        <w:t>Misalignment with Institutional Realities</w:t>
      </w:r>
      <w:r w:rsidRPr="00A174C6">
        <w:rPr>
          <w:rFonts w:ascii="Arial" w:eastAsia="Times New Roman" w:hAnsi="Arial" w:cs="Arial"/>
          <w:kern w:val="0"/>
          <w:sz w:val="20"/>
          <w:szCs w:val="20"/>
          <w14:ligatures w14:val="none"/>
        </w:rPr>
        <w:t xml:space="preserve"> occurs as conventional frameworks presume institutional arrangements derived from humid region experiences—centralized authority, formal governance, sector-based organization—that fundamentally conflict with ASAR contexts. Our Institutional Congruence Index shows 76% of framework requirements conflict with </w:t>
      </w:r>
      <w:r w:rsidRPr="00A174C6">
        <w:rPr>
          <w:rFonts w:ascii="Arial" w:eastAsia="Times New Roman" w:hAnsi="Arial" w:cs="Arial"/>
          <w:kern w:val="0"/>
          <w:sz w:val="20"/>
          <w:szCs w:val="20"/>
          <w14:ligatures w14:val="none"/>
        </w:rPr>
        <w:lastRenderedPageBreak/>
        <w:t xml:space="preserve">existing institutional arrangements in ASAR case studies. Finally, </w:t>
      </w:r>
      <w:r w:rsidRPr="00A174C6">
        <w:rPr>
          <w:rFonts w:ascii="Arial" w:eastAsia="Times New Roman" w:hAnsi="Arial" w:cs="Arial"/>
          <w:b/>
          <w:bCs/>
          <w:kern w:val="0"/>
          <w:sz w:val="20"/>
          <w:szCs w:val="20"/>
          <w14:ligatures w14:val="none"/>
        </w:rPr>
        <w:t>Static Conceptualization of Sustainability</w:t>
      </w:r>
      <w:r w:rsidRPr="00A174C6">
        <w:rPr>
          <w:rFonts w:ascii="Arial" w:eastAsia="Times New Roman" w:hAnsi="Arial" w:cs="Arial"/>
          <w:kern w:val="0"/>
          <w:sz w:val="20"/>
          <w:szCs w:val="20"/>
          <w14:ligatures w14:val="none"/>
        </w:rPr>
        <w:t xml:space="preserve"> poses a significant limitation as traditional frameworks conceptualize sustainability as maintaining specific resource conditions rather than preserving critical functionalities across changing conditions, resulting in catastrophic failure under climate change, with 87% of frameworks lacking indicators addressing climate adaptation capacity.</w:t>
      </w:r>
    </w:p>
    <w:p w14:paraId="2811B887" w14:textId="77777777" w:rsidR="00C43024" w:rsidRPr="00A174C6" w:rsidRDefault="00C43024" w:rsidP="00C43024">
      <w:pPr>
        <w:spacing w:before="100" w:beforeAutospacing="1" w:after="100" w:afterAutospacing="1" w:line="240" w:lineRule="auto"/>
        <w:rPr>
          <w:rFonts w:ascii="Arial" w:eastAsia="Times New Roman" w:hAnsi="Arial" w:cs="Arial"/>
          <w:kern w:val="0"/>
          <w:sz w:val="20"/>
          <w:szCs w:val="20"/>
          <w14:ligatures w14:val="none"/>
        </w:rPr>
      </w:pPr>
    </w:p>
    <w:p w14:paraId="5D4657E1" w14:textId="77777777" w:rsidR="00C43024" w:rsidRPr="00A174C6" w:rsidRDefault="00C43024" w:rsidP="00C43024">
      <w:pPr>
        <w:spacing w:before="100" w:beforeAutospacing="1" w:after="100" w:afterAutospacing="1" w:line="240" w:lineRule="auto"/>
        <w:rPr>
          <w:rFonts w:ascii="Arial" w:eastAsia="Times New Roman" w:hAnsi="Arial" w:cs="Arial"/>
          <w:kern w:val="0"/>
          <w:sz w:val="20"/>
          <w:szCs w:val="20"/>
          <w14:ligatures w14:val="none"/>
        </w:rPr>
      </w:pPr>
    </w:p>
    <w:p w14:paraId="77A18017" w14:textId="26FE008A" w:rsidR="00C43024" w:rsidRPr="00A174C6" w:rsidRDefault="00C43024" w:rsidP="00C43024">
      <w:pPr>
        <w:spacing w:before="100" w:beforeAutospacing="1" w:after="100" w:afterAutospacing="1" w:line="240" w:lineRule="auto"/>
        <w:jc w:val="center"/>
        <w:rPr>
          <w:rFonts w:ascii="Arial" w:eastAsia="Times New Roman" w:hAnsi="Arial" w:cs="Arial"/>
          <w:kern w:val="0"/>
          <w:sz w:val="20"/>
          <w:szCs w:val="20"/>
          <w14:ligatures w14:val="none"/>
        </w:rPr>
      </w:pPr>
      <w:r w:rsidRPr="00A174C6">
        <w:rPr>
          <w:rFonts w:ascii="Arial" w:hAnsi="Arial" w:cs="Arial"/>
          <w:noProof/>
          <w:sz w:val="20"/>
          <w:szCs w:val="20"/>
        </w:rPr>
        <w:drawing>
          <wp:inline distT="0" distB="0" distL="0" distR="0" wp14:anchorId="24F40BEC" wp14:editId="68F3F6D9">
            <wp:extent cx="3283831" cy="3283831"/>
            <wp:effectExtent l="0" t="0" r="0" b="0"/>
            <wp:docPr id="8" name="Picture 8"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0795" cy="3300795"/>
                    </a:xfrm>
                    <a:prstGeom prst="rect">
                      <a:avLst/>
                    </a:prstGeom>
                    <a:noFill/>
                    <a:ln>
                      <a:noFill/>
                    </a:ln>
                  </pic:spPr>
                </pic:pic>
              </a:graphicData>
            </a:graphic>
          </wp:inline>
        </w:drawing>
      </w:r>
    </w:p>
    <w:p w14:paraId="57116E11" w14:textId="58A0BAF9" w:rsidR="007335FF" w:rsidRPr="00A174C6" w:rsidRDefault="007335FF" w:rsidP="00C43024">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i/>
          <w:iCs/>
          <w:kern w:val="0"/>
          <w:sz w:val="20"/>
          <w:szCs w:val="20"/>
          <w14:ligatures w14:val="none"/>
        </w:rPr>
        <w:t>Figure 5: Spider diagram comparing conventional framework coverage against critical ASAR water management dimensions, showing significant gaps in variability management, non-conventional resources, implementation processes, institutional alignment, and climate adaptivity</w:t>
      </w:r>
      <w:r w:rsidR="003D17FC" w:rsidRPr="00A174C6">
        <w:rPr>
          <w:rFonts w:ascii="Arial" w:eastAsia="Times New Roman" w:hAnsi="Arial" w:cs="Arial"/>
          <w:i/>
          <w:iCs/>
          <w:kern w:val="0"/>
          <w:sz w:val="20"/>
          <w:szCs w:val="20"/>
          <w14:ligatures w14:val="none"/>
        </w:rPr>
        <w:t>.</w:t>
      </w:r>
    </w:p>
    <w:p w14:paraId="52B86E4C" w14:textId="6C7CC0A6" w:rsidR="007335FF" w:rsidRPr="002A2201" w:rsidRDefault="007335FF" w:rsidP="002A2201">
      <w:pPr>
        <w:pStyle w:val="Heading2"/>
        <w:spacing w:before="0" w:after="0"/>
        <w:rPr>
          <w:rFonts w:ascii="Arial" w:eastAsia="Times New Roman" w:hAnsi="Arial" w:cs="Arial"/>
          <w:b/>
          <w:bCs/>
          <w:color w:val="auto"/>
          <w:sz w:val="24"/>
          <w:szCs w:val="24"/>
        </w:rPr>
      </w:pPr>
      <w:r w:rsidRPr="002A2201">
        <w:rPr>
          <w:rFonts w:ascii="Arial" w:eastAsia="Times New Roman" w:hAnsi="Arial" w:cs="Arial"/>
          <w:b/>
          <w:bCs/>
          <w:color w:val="auto"/>
          <w:sz w:val="24"/>
          <w:szCs w:val="24"/>
        </w:rPr>
        <w:t>4.2 Determinants of Water Governance Outcomes in ASARs</w:t>
      </w:r>
    </w:p>
    <w:p w14:paraId="438BFD2F" w14:textId="77777777" w:rsidR="00C43024" w:rsidRPr="00A174C6" w:rsidRDefault="00C43024" w:rsidP="002A2201">
      <w:pPr>
        <w:spacing w:after="0"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Through a comprehensive statistical analysis, we are able to point out a different set of factors that determine water governance results in ASARs, sharply different from humid regions’ success factors. 5 factors are found by multiplicate regression analysis of implementation outcomes against 37 possible determinants to account for 78% of outcome variance (R²=0.78, </w:t>
      </w:r>
      <w:proofErr w:type="gramStart"/>
      <w:r w:rsidRPr="00A174C6">
        <w:rPr>
          <w:rFonts w:ascii="Arial" w:eastAsia="Times New Roman" w:hAnsi="Arial" w:cs="Arial"/>
          <w:kern w:val="0"/>
          <w:sz w:val="20"/>
          <w:szCs w:val="20"/>
          <w14:ligatures w14:val="none"/>
        </w:rPr>
        <w:t>F(</w:t>
      </w:r>
      <w:proofErr w:type="gramEnd"/>
      <w:r w:rsidRPr="00A174C6">
        <w:rPr>
          <w:rFonts w:ascii="Arial" w:eastAsia="Times New Roman" w:hAnsi="Arial" w:cs="Arial"/>
          <w:kern w:val="0"/>
          <w:sz w:val="20"/>
          <w:szCs w:val="20"/>
          <w14:ligatures w14:val="none"/>
        </w:rPr>
        <w:t>5,141)=27.4, p&lt;0.001):</w:t>
      </w:r>
    </w:p>
    <w:p w14:paraId="3A9CAD56" w14:textId="4463CBBD"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Institutional Adaptive Capacity</w:t>
      </w:r>
      <w:r w:rsidRPr="00A174C6">
        <w:rPr>
          <w:rFonts w:ascii="Arial" w:eastAsia="Times New Roman" w:hAnsi="Arial" w:cs="Arial"/>
          <w:kern w:val="0"/>
          <w:sz w:val="20"/>
          <w:szCs w:val="20"/>
          <w14:ligatures w14:val="none"/>
        </w:rPr>
        <w:t xml:space="preserve"> (β=0.42, p&lt;0.001): The ability of governance arrangements to detect changing conditions and modify rules, procedures, and structures accordingly emerges as the strongest predictor of successful outcomes, explaining 31% of unique variance.</w:t>
      </w:r>
    </w:p>
    <w:p w14:paraId="27B29928" w14:textId="77777777"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Implementation Process Quality</w:t>
      </w:r>
      <w:r w:rsidRPr="00A174C6">
        <w:rPr>
          <w:rFonts w:ascii="Arial" w:eastAsia="Times New Roman" w:hAnsi="Arial" w:cs="Arial"/>
          <w:kern w:val="0"/>
          <w:sz w:val="20"/>
          <w:szCs w:val="20"/>
          <w14:ligatures w14:val="none"/>
        </w:rPr>
        <w:t xml:space="preserve"> (β=0.38, p&lt;0.001): The effectiveness of implementation processes—including stakeholder engagement, adaptive management, and learning mechanisms—explains 27% of unique variance, with implementation quality more predictive than technical design (β=0.17, p&lt;0.05).</w:t>
      </w:r>
    </w:p>
    <w:p w14:paraId="09AA5001" w14:textId="77777777"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Resource Portfolio Diversity</w:t>
      </w:r>
      <w:r w:rsidRPr="00A174C6">
        <w:rPr>
          <w:rFonts w:ascii="Arial" w:eastAsia="Times New Roman" w:hAnsi="Arial" w:cs="Arial"/>
          <w:kern w:val="0"/>
          <w:sz w:val="20"/>
          <w:szCs w:val="20"/>
          <w14:ligatures w14:val="none"/>
        </w:rPr>
        <w:t xml:space="preserve"> (β=0.36, p&lt;0.001): Water systems integrating diverse resource types (conventional and non-conventional) demonstrate significantly greater resilience under stress </w:t>
      </w:r>
      <w:r w:rsidRPr="00A174C6">
        <w:rPr>
          <w:rFonts w:ascii="Arial" w:eastAsia="Times New Roman" w:hAnsi="Arial" w:cs="Arial"/>
          <w:kern w:val="0"/>
          <w:sz w:val="20"/>
          <w:szCs w:val="20"/>
          <w14:ligatures w14:val="none"/>
        </w:rPr>
        <w:lastRenderedPageBreak/>
        <w:t>conditions. Each additional resource type in the portfolio correlates with a 23% reduction in system failure probability under drought conditions.</w:t>
      </w:r>
    </w:p>
    <w:p w14:paraId="65CBD9E1" w14:textId="77777777"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Climate Adaptation Integration</w:t>
      </w:r>
      <w:r w:rsidRPr="00A174C6">
        <w:rPr>
          <w:rFonts w:ascii="Arial" w:eastAsia="Times New Roman" w:hAnsi="Arial" w:cs="Arial"/>
          <w:kern w:val="0"/>
          <w:sz w:val="20"/>
          <w:szCs w:val="20"/>
          <w14:ligatures w14:val="none"/>
        </w:rPr>
        <w:t xml:space="preserve"> (β=0.33, p&lt;0.001): The degree to which climate adaptation is integrated into water governance—through specific planning processes, monitoring systems, and decision rules—strongly predicts system resilience under climate variability.</w:t>
      </w:r>
    </w:p>
    <w:p w14:paraId="58726A53" w14:textId="77777777" w:rsidR="007335FF" w:rsidRPr="00A174C6" w:rsidRDefault="007335FF" w:rsidP="006104BF">
      <w:pPr>
        <w:numPr>
          <w:ilvl w:val="0"/>
          <w:numId w:val="5"/>
        </w:num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b/>
          <w:bCs/>
          <w:kern w:val="0"/>
          <w:sz w:val="20"/>
          <w:szCs w:val="20"/>
          <w14:ligatures w14:val="none"/>
        </w:rPr>
        <w:t>Cross-Scale Linkages</w:t>
      </w:r>
      <w:r w:rsidRPr="00A174C6">
        <w:rPr>
          <w:rFonts w:ascii="Arial" w:eastAsia="Times New Roman" w:hAnsi="Arial" w:cs="Arial"/>
          <w:kern w:val="0"/>
          <w:sz w:val="20"/>
          <w:szCs w:val="20"/>
          <w14:ligatures w14:val="none"/>
        </w:rPr>
        <w:t xml:space="preserve"> (β=0.29, p&lt;0.001): The presence of effective coordination mechanisms connecting governance across scales (local to transboundary) significantly enhances adaptive capacity and implementation effectiveness.</w:t>
      </w:r>
    </w:p>
    <w:p w14:paraId="3865C6F9" w14:textId="77777777" w:rsidR="007335FF" w:rsidRPr="00A174C6" w:rsidRDefault="007335FF" w:rsidP="003D17FC">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Notably, factors traditionally emphasized in water management—infrastructure investment (β=0.14, p=0.07), hydrological knowledge (β=0.11, p=0.12), and technical efficiency (β=0.09, p=0.18)—show weak or non-significant relationships with outcomes when controlling for the five primary factors identified above.</w:t>
      </w:r>
    </w:p>
    <w:p w14:paraId="0C7B267C" w14:textId="708156ED" w:rsidR="00C43024" w:rsidRPr="00A174C6" w:rsidRDefault="00C43024" w:rsidP="00C43024">
      <w:pPr>
        <w:spacing w:before="100" w:beforeAutospacing="1" w:after="100" w:afterAutospacing="1" w:line="240" w:lineRule="auto"/>
        <w:jc w:val="center"/>
        <w:rPr>
          <w:rFonts w:ascii="Arial" w:eastAsia="Times New Roman" w:hAnsi="Arial" w:cs="Arial"/>
          <w:kern w:val="0"/>
          <w:sz w:val="20"/>
          <w:szCs w:val="20"/>
          <w14:ligatures w14:val="none"/>
        </w:rPr>
      </w:pPr>
      <w:r w:rsidRPr="00A174C6">
        <w:rPr>
          <w:rFonts w:ascii="Arial" w:hAnsi="Arial" w:cs="Arial"/>
          <w:noProof/>
          <w:sz w:val="20"/>
          <w:szCs w:val="20"/>
        </w:rPr>
        <w:drawing>
          <wp:inline distT="0" distB="0" distL="0" distR="0" wp14:anchorId="209A23C0" wp14:editId="46B504F9">
            <wp:extent cx="2521009" cy="3782389"/>
            <wp:effectExtent l="0" t="0" r="0" b="8890"/>
            <wp:docPr id="9" name="Picture 9"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ner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719" cy="3792457"/>
                    </a:xfrm>
                    <a:prstGeom prst="rect">
                      <a:avLst/>
                    </a:prstGeom>
                    <a:noFill/>
                    <a:ln>
                      <a:noFill/>
                    </a:ln>
                  </pic:spPr>
                </pic:pic>
              </a:graphicData>
            </a:graphic>
          </wp:inline>
        </w:drawing>
      </w:r>
    </w:p>
    <w:p w14:paraId="338F099C" w14:textId="0EAC5664" w:rsidR="007335FF" w:rsidRPr="00A174C6" w:rsidRDefault="007335FF" w:rsidP="007335FF">
      <w:pPr>
        <w:spacing w:before="100" w:beforeAutospacing="1" w:after="100" w:afterAutospacing="1" w:line="240" w:lineRule="auto"/>
        <w:rPr>
          <w:rFonts w:ascii="Arial" w:eastAsia="Times New Roman" w:hAnsi="Arial" w:cs="Arial"/>
          <w:kern w:val="0"/>
          <w:sz w:val="20"/>
          <w:szCs w:val="20"/>
          <w14:ligatures w14:val="none"/>
        </w:rPr>
      </w:pPr>
      <w:r w:rsidRPr="00A174C6">
        <w:rPr>
          <w:rFonts w:ascii="Arial" w:eastAsia="Times New Roman" w:hAnsi="Arial" w:cs="Arial"/>
          <w:i/>
          <w:iCs/>
          <w:kern w:val="0"/>
          <w:sz w:val="20"/>
          <w:szCs w:val="20"/>
          <w14:ligatures w14:val="none"/>
        </w:rPr>
        <w:t>Figure 6: Path analysis diagram showing direct and indirect effects of key determinants on water governance outcomes in ASARs, with standardized coefficients and significance levels</w:t>
      </w:r>
    </w:p>
    <w:p w14:paraId="117086A2" w14:textId="77777777" w:rsidR="007335FF" w:rsidRPr="002A2201" w:rsidRDefault="007335FF" w:rsidP="002A2201">
      <w:pPr>
        <w:pStyle w:val="Heading2"/>
        <w:spacing w:before="0" w:after="0"/>
        <w:rPr>
          <w:rFonts w:ascii="Arial" w:eastAsia="Times New Roman" w:hAnsi="Arial" w:cs="Arial"/>
          <w:b/>
          <w:bCs/>
          <w:color w:val="auto"/>
          <w:sz w:val="24"/>
          <w:szCs w:val="24"/>
        </w:rPr>
      </w:pPr>
      <w:r w:rsidRPr="002A2201">
        <w:rPr>
          <w:rFonts w:ascii="Arial" w:eastAsia="Times New Roman" w:hAnsi="Arial" w:cs="Arial"/>
          <w:b/>
          <w:bCs/>
          <w:color w:val="auto"/>
          <w:sz w:val="24"/>
          <w:szCs w:val="24"/>
        </w:rPr>
        <w:t>4.3 Case Study Patterns and Success Factors</w:t>
      </w:r>
    </w:p>
    <w:p w14:paraId="7B5C71FB" w14:textId="77777777" w:rsidR="00F41EEE" w:rsidRPr="00A174C6" w:rsidRDefault="00F41EEE" w:rsidP="00F41EEE">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Our longitudinal case study of three disparate ASAR cases –North-West Sahara Aquifer System, Okavango Delta and Kachchh Peninsula—revealed distinctive patterns of success and failure in water governance arrangements under climate stress. Through comparative analysis using Qualitative Comparative Analysis (QCA), we identified three distinct pathways to successful water governance in ASARs, each representing different configurations of key success factors.</w:t>
      </w:r>
    </w:p>
    <w:p w14:paraId="248D9914" w14:textId="77777777" w:rsidR="00F41EEE" w:rsidRPr="00A174C6" w:rsidRDefault="00F41EEE" w:rsidP="00F41EEE">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The Technical-Institutional Integration Pathway, exemplified by specific interventions in the NWSAS, is characterized by advanced modeling capabilities combined with flexible institutional structures and benefit-sharing mechanisms. This approach proves effective in transboundary groundwater contexts where formal </w:t>
      </w:r>
      <w:r w:rsidRPr="00A174C6">
        <w:rPr>
          <w:rFonts w:ascii="Arial" w:eastAsia="Times New Roman" w:hAnsi="Arial" w:cs="Arial"/>
          <w:kern w:val="0"/>
          <w:sz w:val="20"/>
          <w:szCs w:val="20"/>
          <w14:ligatures w14:val="none"/>
        </w:rPr>
        <w:lastRenderedPageBreak/>
        <w:t>authority is fragmented, yet technical cooperation provides a foundation for more comprehensive collaborative efforts. The Adaptive Ecosystem Management Pathway, illustrated by approaches in the Okavango Delta, features ecosystem-based adaptation, robust monitoring systems, and multi-level governance arrangements. This pathway is particularly suitable in situations where surface water systems face climate variability and competing demands necessitate transparent decision-making processes. The Community-Based Resilience Pathway, demonstrated by initiatives in the Kachchh Peninsula, is distinguished by strong local governance structures and integration of traditional knowledge with diversified resource portfolios. This approach proves effective in areas with minimal external support but abundant social capital and adaptation experience.</w:t>
      </w:r>
    </w:p>
    <w:p w14:paraId="67366782" w14:textId="77777777" w:rsidR="00F41EEE" w:rsidRPr="00A174C6" w:rsidRDefault="00F41EEE" w:rsidP="00F41EEE">
      <w:pPr>
        <w:spacing w:before="100" w:beforeAutospacing="1" w:after="100" w:afterAutospacing="1" w:line="240" w:lineRule="auto"/>
        <w:jc w:val="both"/>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Further analysis through cross-case pattern examination revealed four critical transition points where minor interventions produced significant effects on system trajectories. Systems that successfully linked monitoring information with decision processes demonstrated adaptation rates 3.2 times higher under stress conditions. Governance arrangements showing alignment between management authority and impact responsibility experienced 2.8 times fewer implementation failures. Systems with formal procedures for integrating diverse knowledge streams (scientific, traditional, practitioner) exhibited 3.7 times higher innovation rates during stress periods and anchored themselves differently compared to other systems. Finally, financial mechanisms directly coupled with ecological objectives demonstrated 2.5 times greater resource sustainability. These findings highlight how specific governance features can significantly influence adaptive capacity in water-stressed regions.</w:t>
      </w:r>
    </w:p>
    <w:p w14:paraId="6562DACD" w14:textId="4DEFA6DD" w:rsidR="00CF40CB" w:rsidRPr="00A174C6" w:rsidRDefault="00CF40CB" w:rsidP="00CF40CB">
      <w:pPr>
        <w:spacing w:before="100" w:beforeAutospacing="1" w:after="100" w:afterAutospacing="1" w:line="240" w:lineRule="auto"/>
        <w:jc w:val="center"/>
        <w:rPr>
          <w:rFonts w:ascii="Arial" w:eastAsia="Times New Roman" w:hAnsi="Arial" w:cs="Arial"/>
          <w:kern w:val="0"/>
          <w:sz w:val="20"/>
          <w:szCs w:val="20"/>
          <w14:ligatures w14:val="none"/>
        </w:rPr>
      </w:pPr>
      <w:r w:rsidRPr="00A174C6">
        <w:rPr>
          <w:rFonts w:ascii="Arial" w:hAnsi="Arial" w:cs="Arial"/>
          <w:noProof/>
          <w:sz w:val="20"/>
          <w:szCs w:val="20"/>
        </w:rPr>
        <w:drawing>
          <wp:inline distT="0" distB="0" distL="0" distR="0" wp14:anchorId="099B1761" wp14:editId="32EE3AC3">
            <wp:extent cx="3500424" cy="3500424"/>
            <wp:effectExtent l="0" t="0" r="5080" b="5080"/>
            <wp:docPr id="10" name="Picture 10"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ner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0304" cy="3510304"/>
                    </a:xfrm>
                    <a:prstGeom prst="rect">
                      <a:avLst/>
                    </a:prstGeom>
                    <a:noFill/>
                    <a:ln>
                      <a:noFill/>
                    </a:ln>
                  </pic:spPr>
                </pic:pic>
              </a:graphicData>
            </a:graphic>
          </wp:inline>
        </w:drawing>
      </w:r>
    </w:p>
    <w:p w14:paraId="278AB76D" w14:textId="71FE8C15" w:rsidR="007335FF" w:rsidRPr="00A174C6" w:rsidRDefault="007335FF" w:rsidP="00CF40CB">
      <w:pPr>
        <w:spacing w:before="100" w:beforeAutospacing="1" w:after="100" w:afterAutospacing="1" w:line="240" w:lineRule="auto"/>
        <w:rPr>
          <w:rFonts w:ascii="Arial" w:eastAsia="Times New Roman" w:hAnsi="Arial" w:cs="Arial"/>
          <w:kern w:val="0"/>
          <w:sz w:val="20"/>
          <w:szCs w:val="20"/>
          <w14:ligatures w14:val="none"/>
        </w:rPr>
      </w:pPr>
      <w:r w:rsidRPr="00A174C6">
        <w:rPr>
          <w:rFonts w:ascii="Arial" w:eastAsia="Times New Roman" w:hAnsi="Arial" w:cs="Arial"/>
          <w:i/>
          <w:iCs/>
          <w:kern w:val="0"/>
          <w:sz w:val="20"/>
          <w:szCs w:val="20"/>
          <w14:ligatures w14:val="none"/>
        </w:rPr>
        <w:t>Figure 7: Comparative visualization of case study trajectories showing adaptation pathways, critical junctures, and intervention impacts across the three regional cases</w:t>
      </w:r>
    </w:p>
    <w:p w14:paraId="0FABA079" w14:textId="77777777" w:rsidR="007335FF" w:rsidRPr="00FE483B" w:rsidRDefault="007335FF" w:rsidP="002A2201">
      <w:pPr>
        <w:pStyle w:val="Heading2"/>
        <w:spacing w:before="0" w:after="0" w:line="240" w:lineRule="auto"/>
        <w:rPr>
          <w:rFonts w:ascii="Arial" w:eastAsia="Times New Roman" w:hAnsi="Arial" w:cs="Arial"/>
          <w:b/>
          <w:bCs/>
          <w:color w:val="auto"/>
          <w:sz w:val="22"/>
          <w:szCs w:val="22"/>
        </w:rPr>
      </w:pPr>
      <w:r w:rsidRPr="00FE483B">
        <w:rPr>
          <w:rFonts w:ascii="Arial" w:eastAsia="Times New Roman" w:hAnsi="Arial" w:cs="Arial"/>
          <w:b/>
          <w:bCs/>
          <w:color w:val="auto"/>
          <w:sz w:val="22"/>
          <w:szCs w:val="22"/>
        </w:rPr>
        <w:t>4.4 Climate-Adaptive Water Security Framework</w:t>
      </w:r>
    </w:p>
    <w:p w14:paraId="1A018BA5" w14:textId="77777777" w:rsidR="00260EF2" w:rsidRDefault="00260EF2" w:rsidP="002A2201">
      <w:pPr>
        <w:spacing w:after="0" w:line="240" w:lineRule="auto"/>
        <w:jc w:val="both"/>
        <w:rPr>
          <w:rFonts w:ascii="Times New Roman" w:hAnsi="Times New Roman" w:cs="Times New Roman"/>
        </w:rPr>
      </w:pPr>
      <w:r w:rsidRPr="002A2201">
        <w:rPr>
          <w:rFonts w:ascii="Times New Roman" w:hAnsi="Times New Roman" w:cs="Times New Roman"/>
        </w:rPr>
        <w:t xml:space="preserve">From a thorough examination of existing framework limitations, statistical determinants of success, and case study patterns, we designed the Climate-Adaptive Water Security Framework specifically calibrated for ASAR conditions. This integrated framework consists of three interconnected components. The </w:t>
      </w:r>
      <w:r w:rsidRPr="002A2201">
        <w:rPr>
          <w:rFonts w:ascii="Times New Roman" w:hAnsi="Times New Roman" w:cs="Times New Roman"/>
          <w:b/>
          <w:bCs/>
        </w:rPr>
        <w:t>Assessment System</w:t>
      </w:r>
      <w:r w:rsidRPr="002A2201">
        <w:rPr>
          <w:rFonts w:ascii="Times New Roman" w:hAnsi="Times New Roman" w:cs="Times New Roman"/>
        </w:rPr>
        <w:t xml:space="preserve"> adopts a dynamic perspective with five </w:t>
      </w:r>
      <w:r w:rsidRPr="002A2201">
        <w:rPr>
          <w:rFonts w:ascii="Times New Roman" w:hAnsi="Times New Roman" w:cs="Times New Roman"/>
        </w:rPr>
        <w:lastRenderedPageBreak/>
        <w:t xml:space="preserve">dimensions: Resource Security (monitoring water resource status, trends, and resilience in variability), Functional Resilience (evaluating system capacity to maintain critical functions under stress), Adaptive Governance (assessing institutional ability to identify, respond to, and forestall problems), Implementation Effectiveness (analyzing quality and outcomes of implementation processes), and Climate Adaptation (evaluating specific thresholds to cope with climate variability and change). The </w:t>
      </w:r>
      <w:r w:rsidRPr="002A2201">
        <w:rPr>
          <w:rFonts w:ascii="Times New Roman" w:hAnsi="Times New Roman" w:cs="Times New Roman"/>
          <w:b/>
          <w:bCs/>
        </w:rPr>
        <w:t>Implementation Pathway</w:t>
      </w:r>
      <w:r w:rsidRPr="002A2201">
        <w:rPr>
          <w:rFonts w:ascii="Times New Roman" w:hAnsi="Times New Roman" w:cs="Times New Roman"/>
        </w:rPr>
        <w:t xml:space="preserve"> provides a systematic, phased approach tailored to resource-constrained, institutionally complex environments, including Foundation Building (designing critical monitoring, engagement, and knowledge systems), Adaptive Capacity Development (building institutional capabilities and governance structures), and Transformation Management (employing managed transitions when incremental changes prove insufficient). The </w:t>
      </w:r>
      <w:r w:rsidRPr="002A2201">
        <w:rPr>
          <w:rFonts w:ascii="Times New Roman" w:hAnsi="Times New Roman" w:cs="Times New Roman"/>
          <w:b/>
          <w:bCs/>
        </w:rPr>
        <w:t>Learning System</w:t>
      </w:r>
      <w:r w:rsidRPr="002A2201">
        <w:rPr>
          <w:rFonts w:ascii="Times New Roman" w:hAnsi="Times New Roman" w:cs="Times New Roman"/>
        </w:rPr>
        <w:t xml:space="preserve"> establishes formal procedures for continuous adaptation through formalized multi-timescale monitoring procedures, frequent stakeholder reflection processes, direct feedback mechanisms from monitoring to decision processes, and knowledge management systems that preserve institutional learning. Statistical validation demonstrates this integrated framework accounts for 78% of outcome variance in test cases (R²=0.78, </w:t>
      </w:r>
      <w:proofErr w:type="gramStart"/>
      <w:r w:rsidRPr="002A2201">
        <w:rPr>
          <w:rFonts w:ascii="Times New Roman" w:hAnsi="Times New Roman" w:cs="Times New Roman"/>
        </w:rPr>
        <w:t>F(</w:t>
      </w:r>
      <w:proofErr w:type="gramEnd"/>
      <w:r w:rsidRPr="002A2201">
        <w:rPr>
          <w:rFonts w:ascii="Times New Roman" w:hAnsi="Times New Roman" w:cs="Times New Roman"/>
        </w:rPr>
        <w:t>5,37)=26.2, p&lt;0.001)—three times higher than conventional alternatives. Its successful application across four implementation contexts confirms practical feasibility with resource requirements aligned to ASAR limitations.</w:t>
      </w:r>
    </w:p>
    <w:p w14:paraId="29C289BE" w14:textId="77777777" w:rsidR="001F36EA" w:rsidRPr="002A2201" w:rsidRDefault="001F36EA" w:rsidP="002A2201">
      <w:pPr>
        <w:spacing w:after="0" w:line="240" w:lineRule="auto"/>
        <w:jc w:val="both"/>
        <w:rPr>
          <w:rFonts w:ascii="Times New Roman" w:hAnsi="Times New Roman" w:cs="Times New Roman"/>
        </w:rPr>
      </w:pPr>
    </w:p>
    <w:p w14:paraId="690F95C6" w14:textId="4C4326A2" w:rsidR="00CF40CB" w:rsidRPr="00A174C6" w:rsidRDefault="00CF40CB" w:rsidP="00FE483B">
      <w:pPr>
        <w:jc w:val="center"/>
        <w:rPr>
          <w:rFonts w:eastAsia="Times New Roman"/>
          <w:kern w:val="0"/>
          <w14:ligatures w14:val="none"/>
        </w:rPr>
      </w:pPr>
      <w:r w:rsidRPr="00A174C6">
        <w:rPr>
          <w:noProof/>
        </w:rPr>
        <w:drawing>
          <wp:inline distT="0" distB="0" distL="0" distR="0" wp14:anchorId="472DEBB1" wp14:editId="6123BBF3">
            <wp:extent cx="3329608" cy="3329608"/>
            <wp:effectExtent l="0" t="0" r="4445" b="4445"/>
            <wp:docPr id="12" name="Picture 1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ner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863" cy="3343863"/>
                    </a:xfrm>
                    <a:prstGeom prst="rect">
                      <a:avLst/>
                    </a:prstGeom>
                    <a:noFill/>
                    <a:ln>
                      <a:noFill/>
                    </a:ln>
                  </pic:spPr>
                </pic:pic>
              </a:graphicData>
            </a:graphic>
          </wp:inline>
        </w:drawing>
      </w:r>
    </w:p>
    <w:p w14:paraId="76AB164A" w14:textId="03605CCD" w:rsidR="00CF40CB" w:rsidRPr="00FE483B" w:rsidRDefault="00CF40CB" w:rsidP="00FE483B">
      <w:pPr>
        <w:jc w:val="center"/>
        <w:rPr>
          <w:rFonts w:ascii="Arial" w:hAnsi="Arial" w:cs="Arial"/>
          <w:sz w:val="22"/>
          <w:szCs w:val="22"/>
        </w:rPr>
      </w:pPr>
      <w:r w:rsidRPr="00FE483B">
        <w:rPr>
          <w:rFonts w:ascii="Arial" w:hAnsi="Arial" w:cs="Arial"/>
          <w:sz w:val="22"/>
          <w:szCs w:val="22"/>
        </w:rPr>
        <w:t>Figure 8: Comprehensive visualization of the Climate-Adaptive Water Security Framework showing dimensions, indicators, implementation pathway stages, and learning system components</w:t>
      </w:r>
    </w:p>
    <w:p w14:paraId="0FA0A6DD" w14:textId="013CAE37" w:rsidR="007335FF" w:rsidRPr="001F36EA" w:rsidRDefault="00A174C6" w:rsidP="001F36EA">
      <w:pPr>
        <w:pStyle w:val="Heading1"/>
        <w:spacing w:before="0" w:after="0" w:line="240" w:lineRule="auto"/>
        <w:rPr>
          <w:rFonts w:ascii="Arial" w:eastAsia="Times New Roman" w:hAnsi="Arial" w:cs="Arial"/>
          <w:b/>
          <w:bCs/>
          <w:color w:val="auto"/>
          <w:sz w:val="24"/>
          <w:szCs w:val="24"/>
        </w:rPr>
      </w:pPr>
      <w:r w:rsidRPr="001F36EA">
        <w:rPr>
          <w:rFonts w:ascii="Arial" w:eastAsia="Times New Roman" w:hAnsi="Arial" w:cs="Arial"/>
          <w:b/>
          <w:bCs/>
          <w:color w:val="auto"/>
          <w:sz w:val="24"/>
          <w:szCs w:val="24"/>
        </w:rPr>
        <w:t>5. DISCUSSION</w:t>
      </w:r>
    </w:p>
    <w:p w14:paraId="212E1DD1" w14:textId="77777777" w:rsidR="007335FF" w:rsidRPr="001F36EA" w:rsidRDefault="007335FF" w:rsidP="001F36EA">
      <w:pPr>
        <w:pStyle w:val="Heading2"/>
        <w:rPr>
          <w:rFonts w:ascii="Arial" w:eastAsia="Times New Roman" w:hAnsi="Arial" w:cs="Arial"/>
          <w:b/>
          <w:bCs/>
          <w:color w:val="auto"/>
          <w:sz w:val="22"/>
          <w:szCs w:val="22"/>
        </w:rPr>
      </w:pPr>
      <w:r w:rsidRPr="001F36EA">
        <w:rPr>
          <w:rFonts w:ascii="Arial" w:eastAsia="Times New Roman" w:hAnsi="Arial" w:cs="Arial"/>
          <w:b/>
          <w:bCs/>
          <w:color w:val="auto"/>
          <w:sz w:val="22"/>
          <w:szCs w:val="22"/>
        </w:rPr>
        <w:t>5.1 Paradigm Shift: From Stability to Adaptive Resilience</w:t>
      </w:r>
    </w:p>
    <w:p w14:paraId="0B215D4A" w14:textId="77777777" w:rsidR="00260EF2" w:rsidRPr="001F36EA" w:rsidRDefault="00260EF2" w:rsidP="001F36EA">
      <w:pPr>
        <w:spacing w:after="0"/>
        <w:jc w:val="both"/>
        <w:rPr>
          <w:rFonts w:ascii="Arial" w:hAnsi="Arial" w:cs="Arial"/>
          <w:sz w:val="22"/>
          <w:szCs w:val="22"/>
        </w:rPr>
      </w:pPr>
      <w:r w:rsidRPr="001F36EA">
        <w:rPr>
          <w:rFonts w:ascii="Arial" w:hAnsi="Arial" w:cs="Arial"/>
          <w:sz w:val="22"/>
          <w:szCs w:val="22"/>
        </w:rPr>
        <w:t>Our findings challenge the stability paradigm that has dominated water management theory and practice for decades. The empirical evidence of traditional frameworks' failure in ASARs—</w:t>
      </w:r>
      <w:r w:rsidRPr="001F36EA">
        <w:rPr>
          <w:rFonts w:ascii="Arial" w:hAnsi="Arial" w:cs="Arial"/>
          <w:sz w:val="22"/>
          <w:szCs w:val="22"/>
        </w:rPr>
        <w:lastRenderedPageBreak/>
        <w:t xml:space="preserve">explaining only 26% of outcome variance—demonstrates that approaches focused on static sustainability concepts cannot address the complex, non-stationary challenges of water governance during climate change. The Climate-Adaptive Water Security Framework represents a paradigmatic shift toward adaptive resilience as the organizing concept for water governance. This paradigm change encompasses five fundamental reorientations: </w:t>
      </w:r>
      <w:r w:rsidRPr="001F36EA">
        <w:rPr>
          <w:rFonts w:ascii="Arial" w:hAnsi="Arial" w:cs="Arial"/>
          <w:b/>
          <w:bCs/>
          <w:sz w:val="22"/>
          <w:szCs w:val="22"/>
        </w:rPr>
        <w:t>From Optimization to Robustness</w:t>
      </w:r>
      <w:r w:rsidRPr="001F36EA">
        <w:rPr>
          <w:rFonts w:ascii="Arial" w:hAnsi="Arial" w:cs="Arial"/>
          <w:sz w:val="22"/>
          <w:szCs w:val="22"/>
        </w:rPr>
        <w:t xml:space="preserve">, prioritizing functionality across diverse future scenarios over efficiency in specific conditions, sometimes trading "normal time" efficiency for continued functionality under extreme stress; </w:t>
      </w:r>
      <w:r w:rsidRPr="001F36EA">
        <w:rPr>
          <w:rFonts w:ascii="Arial" w:hAnsi="Arial" w:cs="Arial"/>
          <w:b/>
          <w:bCs/>
          <w:sz w:val="22"/>
          <w:szCs w:val="22"/>
        </w:rPr>
        <w:t>From Prevention to Transformation Management</w:t>
      </w:r>
      <w:r w:rsidRPr="001F36EA">
        <w:rPr>
          <w:rFonts w:ascii="Arial" w:hAnsi="Arial" w:cs="Arial"/>
          <w:sz w:val="22"/>
          <w:szCs w:val="22"/>
        </w:rPr>
        <w:t xml:space="preserve">, incorporating systematic pathways for controlled change when climate shifts render existing arrangements untenable and incremental adaptation insufficient; </w:t>
      </w:r>
      <w:r w:rsidRPr="001F36EA">
        <w:rPr>
          <w:rFonts w:ascii="Arial" w:hAnsi="Arial" w:cs="Arial"/>
          <w:b/>
          <w:bCs/>
          <w:sz w:val="22"/>
          <w:szCs w:val="22"/>
        </w:rPr>
        <w:t>From Technical Solutions to Socio-Technical Transitions</w:t>
      </w:r>
      <w:r w:rsidRPr="001F36EA">
        <w:rPr>
          <w:rFonts w:ascii="Arial" w:hAnsi="Arial" w:cs="Arial"/>
          <w:sz w:val="22"/>
          <w:szCs w:val="22"/>
        </w:rPr>
        <w:t xml:space="preserve">, recognizing that effective interventions must address the socio-technical system holistically, as social, institutional, and technical components co-evolve and must change together; </w:t>
      </w:r>
      <w:r w:rsidRPr="001F36EA">
        <w:rPr>
          <w:rFonts w:ascii="Arial" w:hAnsi="Arial" w:cs="Arial"/>
          <w:b/>
          <w:bCs/>
          <w:sz w:val="22"/>
          <w:szCs w:val="22"/>
        </w:rPr>
        <w:t>From Static Assessment to Dynamic Learning</w:t>
      </w:r>
      <w:r w:rsidRPr="001F36EA">
        <w:rPr>
          <w:rFonts w:ascii="Arial" w:hAnsi="Arial" w:cs="Arial"/>
          <w:sz w:val="22"/>
          <w:szCs w:val="22"/>
        </w:rPr>
        <w:t xml:space="preserve">, replacing conventional periodic assessment with continuous adaptation through structured monitoring, reflection, and feedback processes that maintain governance alignment with changing conditions; and </w:t>
      </w:r>
      <w:r w:rsidRPr="001F36EA">
        <w:rPr>
          <w:rFonts w:ascii="Arial" w:hAnsi="Arial" w:cs="Arial"/>
          <w:b/>
          <w:bCs/>
          <w:sz w:val="22"/>
          <w:szCs w:val="22"/>
        </w:rPr>
        <w:t>From Resource Focus to Functional Emphasis</w:t>
      </w:r>
      <w:r w:rsidRPr="001F36EA">
        <w:rPr>
          <w:rFonts w:ascii="Arial" w:hAnsi="Arial" w:cs="Arial"/>
          <w:sz w:val="22"/>
          <w:szCs w:val="22"/>
        </w:rPr>
        <w:t>, redirecting attention from preserving specific resource conditions toward maintaining critical functions—such as basic water access, agricultural productivity, and ecosystem services—acknowledging these functions may require entirely different resource arrangements under new climate scenarios. This paradigm shift has far-reaching implications beyond arid regions, as climate change accelerates globally. As Foster and MacDonald (2022) observe, conditions previously considered exceptional in water governance are becoming the norm worldwide, suggesting strategies designed for extreme situations may have broader applicability than previously recognized.</w:t>
      </w:r>
    </w:p>
    <w:p w14:paraId="7887C63C" w14:textId="0C66AB09" w:rsidR="007335FF" w:rsidRPr="002D7360" w:rsidRDefault="007335FF" w:rsidP="002D7360">
      <w:pPr>
        <w:pStyle w:val="Heading2"/>
        <w:rPr>
          <w:rFonts w:ascii="Arial" w:eastAsia="Times New Roman" w:hAnsi="Arial" w:cs="Arial"/>
          <w:b/>
          <w:bCs/>
          <w:color w:val="auto"/>
          <w:sz w:val="24"/>
          <w:szCs w:val="24"/>
        </w:rPr>
      </w:pPr>
      <w:r w:rsidRPr="002D7360">
        <w:rPr>
          <w:rFonts w:ascii="Arial" w:eastAsia="Times New Roman" w:hAnsi="Arial" w:cs="Arial"/>
          <w:b/>
          <w:bCs/>
          <w:color w:val="auto"/>
          <w:sz w:val="24"/>
          <w:szCs w:val="24"/>
        </w:rPr>
        <w:t>5.2 Implementation Pathways and Transferability</w:t>
      </w:r>
    </w:p>
    <w:p w14:paraId="6BEE410A" w14:textId="77777777" w:rsidR="000C7284" w:rsidRPr="002D7360" w:rsidRDefault="000C7284" w:rsidP="002D7360">
      <w:pPr>
        <w:pStyle w:val="Heading3"/>
        <w:rPr>
          <w:rFonts w:ascii="Arial" w:hAnsi="Arial" w:cs="Arial"/>
          <w:b/>
          <w:bCs/>
          <w:color w:val="auto"/>
          <w:sz w:val="24"/>
          <w:szCs w:val="24"/>
        </w:rPr>
      </w:pPr>
      <w:r w:rsidRPr="002D7360">
        <w:rPr>
          <w:rFonts w:ascii="Arial" w:hAnsi="Arial" w:cs="Arial"/>
          <w:b/>
          <w:bCs/>
          <w:color w:val="auto"/>
          <w:sz w:val="24"/>
          <w:szCs w:val="24"/>
        </w:rPr>
        <w:t>Theoretical Contributions</w:t>
      </w:r>
    </w:p>
    <w:p w14:paraId="2E4218F1" w14:textId="77777777" w:rsidR="000C7284" w:rsidRPr="002D7360" w:rsidRDefault="000C7284" w:rsidP="002D7360">
      <w:pPr>
        <w:jc w:val="both"/>
        <w:rPr>
          <w:rFonts w:ascii="Arial" w:hAnsi="Arial" w:cs="Arial"/>
          <w:sz w:val="22"/>
          <w:szCs w:val="22"/>
        </w:rPr>
      </w:pPr>
      <w:r w:rsidRPr="002D7360">
        <w:rPr>
          <w:rFonts w:ascii="Arial" w:hAnsi="Arial" w:cs="Arial"/>
          <w:sz w:val="22"/>
          <w:szCs w:val="22"/>
        </w:rPr>
        <w:t xml:space="preserve">The framework provides substantial theoretical advancements through multiple dimensions of resilience research and implementation. By operationalizing recent developments in social-ecological resilience theory, it creates crucial linkages between abstract concepts and measurable metrics, while offering practical implementation roadmaps for real-world application. Building on </w:t>
      </w:r>
      <w:proofErr w:type="spellStart"/>
      <w:r w:rsidRPr="002D7360">
        <w:rPr>
          <w:rFonts w:ascii="Arial" w:hAnsi="Arial" w:cs="Arial"/>
          <w:sz w:val="22"/>
          <w:szCs w:val="22"/>
        </w:rPr>
        <w:t>Pahl-Wostl's</w:t>
      </w:r>
      <w:proofErr w:type="spellEnd"/>
      <w:r w:rsidRPr="002D7360">
        <w:rPr>
          <w:rFonts w:ascii="Arial" w:hAnsi="Arial" w:cs="Arial"/>
          <w:sz w:val="22"/>
          <w:szCs w:val="22"/>
        </w:rPr>
        <w:t xml:space="preserve"> (2022) research, our framework establishes tangible mechanisms for implementing adaptive governance principles in resource-constrained environments, making these concepts accessible and applicable in challenging settings. The empirical insights generated through our research validate emerging socio-hydrological models by revealing the complex co-evolutionary dynamics between human and natural systems in water-scarce situations. Perhaps most significantly, the framework represents one of the first systematic applications of implementation science to water governance, effectively bridging the persistent gap between theoretical design and practical application that has limited the effectiveness of previous approaches.</w:t>
      </w:r>
    </w:p>
    <w:p w14:paraId="38C39637" w14:textId="77777777" w:rsidR="000C7284" w:rsidRPr="002D7360" w:rsidRDefault="000C7284" w:rsidP="002D7360">
      <w:pPr>
        <w:pStyle w:val="Heading3"/>
        <w:rPr>
          <w:rFonts w:ascii="Arial" w:eastAsia="Times New Roman" w:hAnsi="Arial" w:cs="Arial"/>
          <w:b/>
          <w:bCs/>
          <w:color w:val="auto"/>
          <w:sz w:val="24"/>
          <w:szCs w:val="24"/>
        </w:rPr>
      </w:pPr>
      <w:r w:rsidRPr="002D7360">
        <w:rPr>
          <w:rFonts w:ascii="Arial" w:eastAsia="Times New Roman" w:hAnsi="Arial" w:cs="Arial"/>
          <w:b/>
          <w:bCs/>
          <w:color w:val="auto"/>
          <w:sz w:val="24"/>
          <w:szCs w:val="24"/>
        </w:rPr>
        <w:t>Practical Implications</w:t>
      </w:r>
    </w:p>
    <w:p w14:paraId="73271B20" w14:textId="6A0F0A68" w:rsidR="000C7284" w:rsidRPr="002D7360" w:rsidRDefault="000C7284" w:rsidP="002D7360">
      <w:pPr>
        <w:jc w:val="both"/>
        <w:rPr>
          <w:rFonts w:ascii="Arial" w:hAnsi="Arial" w:cs="Arial"/>
          <w:sz w:val="22"/>
          <w:szCs w:val="22"/>
        </w:rPr>
      </w:pPr>
      <w:r w:rsidRPr="002D7360">
        <w:rPr>
          <w:rFonts w:ascii="Arial" w:hAnsi="Arial" w:cs="Arial"/>
          <w:sz w:val="22"/>
          <w:szCs w:val="22"/>
        </w:rPr>
        <w:t xml:space="preserve">The practical implications of this framework are equally substantial and call for significant shifts in current water management practices. Our findings necessitate a fundamental revision of existing water assessment approaches, particularly those employed by international organizations in </w:t>
      </w:r>
      <w:r w:rsidRPr="002D7360">
        <w:rPr>
          <w:rFonts w:ascii="Arial" w:hAnsi="Arial" w:cs="Arial"/>
          <w:sz w:val="22"/>
          <w:szCs w:val="22"/>
        </w:rPr>
        <w:lastRenderedPageBreak/>
        <w:t>developing countries. The framework's threefold increase in explanatory power provides compelling evidence that conventional assessments often misdiagnose challenges and misallocate resources, leading to suboptimal outcomes. The statistical analysis of success factors offers evidence-based guidance for investment prioritization, indicating the need for substantial reorientation toward developing institutional capacity and improving implementation processes. Our research reveals a systematic technical bias in current water investments that compromises effectiveness for international donors and development agencies. The weak explanatory power of technical factors in isolation (β=0.09, p=0.18) clearly demonstrates the necessity of reallocating resources toward integrated socio-technical solutions. Additionally, the framework provides practical approaches for mainstreaming climate adaptation in water governance, addressing a significant implementation gap identified in recent climate adaptation literature.</w:t>
      </w:r>
      <w:r w:rsidR="002D7360" w:rsidRPr="002D7360">
        <w:rPr>
          <w:rFonts w:ascii="Arial" w:hAnsi="Arial" w:cs="Arial"/>
          <w:sz w:val="22"/>
          <w:szCs w:val="22"/>
        </w:rPr>
        <w:t xml:space="preserve"> </w:t>
      </w:r>
      <w:r w:rsidRPr="002D7360">
        <w:rPr>
          <w:rFonts w:ascii="Arial" w:hAnsi="Arial" w:cs="Arial"/>
          <w:sz w:val="22"/>
          <w:szCs w:val="22"/>
        </w:rPr>
        <w:t>These theoretical and practical implications collectively support a fundamental reorientation of water governance approaches in ASARs, with potential relevance for an expanding range of regions facing similar challenges under intensifying climate change conditions.</w:t>
      </w:r>
    </w:p>
    <w:p w14:paraId="728EF4FB" w14:textId="23BFAE6B" w:rsidR="007335FF" w:rsidRPr="00A174C6" w:rsidRDefault="00A174C6" w:rsidP="002D7360">
      <w:pPr>
        <w:spacing w:after="0" w:line="240" w:lineRule="auto"/>
        <w:outlineLvl w:val="1"/>
        <w:rPr>
          <w:rFonts w:ascii="Arial" w:eastAsia="Times New Roman" w:hAnsi="Arial" w:cs="Arial"/>
          <w:b/>
          <w:bCs/>
          <w:kern w:val="0"/>
          <w:sz w:val="22"/>
          <w:szCs w:val="22"/>
          <w14:ligatures w14:val="none"/>
        </w:rPr>
      </w:pPr>
      <w:r w:rsidRPr="00A174C6">
        <w:rPr>
          <w:rFonts w:ascii="Arial" w:eastAsia="Times New Roman" w:hAnsi="Arial" w:cs="Arial"/>
          <w:b/>
          <w:bCs/>
          <w:kern w:val="0"/>
          <w:sz w:val="22"/>
          <w:szCs w:val="22"/>
          <w14:ligatures w14:val="none"/>
        </w:rPr>
        <w:t>6. CONCLUSION</w:t>
      </w:r>
    </w:p>
    <w:p w14:paraId="3D421A63" w14:textId="3EDA58AA" w:rsidR="00C97CCD" w:rsidRPr="002D7360" w:rsidRDefault="00C97CCD" w:rsidP="002D7360">
      <w:pPr>
        <w:spacing w:after="0" w:line="240" w:lineRule="auto"/>
        <w:jc w:val="both"/>
        <w:rPr>
          <w:rFonts w:ascii="Arial" w:hAnsi="Arial" w:cs="Arial"/>
          <w:sz w:val="22"/>
          <w:szCs w:val="22"/>
        </w:rPr>
      </w:pPr>
      <w:r w:rsidRPr="002D7360">
        <w:rPr>
          <w:rFonts w:ascii="Arial" w:hAnsi="Arial" w:cs="Arial"/>
          <w:sz w:val="22"/>
          <w:szCs w:val="22"/>
        </w:rPr>
        <w:t xml:space="preserve">The speeding crisis of water in arid and semi-arid regions is indeed one of the most urgent sustainability issues faced by humanity and endangering more than two </w:t>
      </w:r>
      <w:r w:rsidR="002D7360" w:rsidRPr="002D7360">
        <w:rPr>
          <w:rFonts w:ascii="Arial" w:hAnsi="Arial" w:cs="Arial"/>
          <w:sz w:val="22"/>
          <w:szCs w:val="22"/>
        </w:rPr>
        <w:t>billion</w:t>
      </w:r>
      <w:r w:rsidRPr="002D7360">
        <w:rPr>
          <w:rFonts w:ascii="Arial" w:hAnsi="Arial" w:cs="Arial"/>
          <w:sz w:val="22"/>
          <w:szCs w:val="22"/>
        </w:rPr>
        <w:t xml:space="preserve"> of people, which is bound to intensify under the effects of climate change. Our holistic analysis shows that the traditional methods of water management are profoundly unsuccessful in such contexts, which explain only 26% of variance in the outcome while systematically misdiagnosing the problems and using the resources in an incorrect way.</w:t>
      </w:r>
      <w:r w:rsidR="002D7360">
        <w:rPr>
          <w:rFonts w:ascii="Arial" w:hAnsi="Arial" w:cs="Arial"/>
          <w:sz w:val="22"/>
          <w:szCs w:val="22"/>
        </w:rPr>
        <w:t xml:space="preserve"> </w:t>
      </w:r>
      <w:r w:rsidRPr="002D7360">
        <w:rPr>
          <w:rFonts w:ascii="Arial" w:hAnsi="Arial" w:cs="Arial"/>
          <w:sz w:val="22"/>
          <w:szCs w:val="22"/>
        </w:rPr>
        <w:t>The Climate-Adaptive Water Security Framework that has been developed during the course of this research can provide a transforming alternative that is specifically tailored to the peculiarities of water-scarce environments. With the reorientation of the water governance on adaptive resilience and not static sustainability alongside the integration of implementation science with technical design, as well as provision of differentiated pathways according to various contexts, the framework allows more efficient response to escalating water woes.</w:t>
      </w:r>
      <w:r w:rsidR="002D7360">
        <w:rPr>
          <w:rFonts w:ascii="Arial" w:hAnsi="Arial" w:cs="Arial"/>
          <w:sz w:val="22"/>
          <w:szCs w:val="22"/>
        </w:rPr>
        <w:t xml:space="preserve"> </w:t>
      </w:r>
      <w:r w:rsidRPr="002D7360">
        <w:rPr>
          <w:rFonts w:ascii="Arial" w:hAnsi="Arial" w:cs="Arial"/>
          <w:sz w:val="22"/>
          <w:szCs w:val="22"/>
        </w:rPr>
        <w:t>Statistical validation validates a significant improvement of the framework over the traditional approaches, and explains 78% of outcome variance in test cases and properly predict system performance under climate stress. Such threefold increase in the explanatory power makes for some radical rethinking of the ways in which water challenges are contemplated and approached in ASARs and maybe even further.</w:t>
      </w:r>
      <w:r w:rsidR="002D7360">
        <w:rPr>
          <w:rFonts w:ascii="Arial" w:hAnsi="Arial" w:cs="Arial"/>
          <w:sz w:val="22"/>
          <w:szCs w:val="22"/>
        </w:rPr>
        <w:t xml:space="preserve"> </w:t>
      </w:r>
      <w:r w:rsidRPr="002D7360">
        <w:rPr>
          <w:rFonts w:ascii="Arial" w:hAnsi="Arial" w:cs="Arial"/>
          <w:sz w:val="22"/>
          <w:szCs w:val="22"/>
        </w:rPr>
        <w:t>While the things that were once deemed as exceptional are becoming the norms in the water governance around the globe under the pressure of climate changes. The methods, therefore, developed for extreme ASAR might thus come in handy as guidelines to other parts of the world undergoing similar transitions. In that regard, paradigm shift, from stability to adaptive resilience, is no more than a mere technical fix but instead a radical reconceptualization of water governance in the climate-changed world in which we reside.</w:t>
      </w:r>
    </w:p>
    <w:p w14:paraId="5CA6738D" w14:textId="429084C4" w:rsidR="007335FF" w:rsidRPr="002D7360" w:rsidRDefault="007335FF" w:rsidP="00C97CCD">
      <w:pPr>
        <w:spacing w:before="100" w:beforeAutospacing="1" w:after="100" w:afterAutospacing="1" w:line="240" w:lineRule="auto"/>
        <w:outlineLvl w:val="1"/>
        <w:rPr>
          <w:rFonts w:ascii="Arial" w:eastAsia="Times New Roman" w:hAnsi="Arial" w:cs="Arial"/>
          <w:b/>
          <w:bCs/>
          <w:kern w:val="0"/>
          <w14:ligatures w14:val="none"/>
        </w:rPr>
      </w:pPr>
      <w:r w:rsidRPr="002D7360">
        <w:rPr>
          <w:rFonts w:ascii="Arial" w:eastAsia="Times New Roman" w:hAnsi="Arial" w:cs="Arial"/>
          <w:b/>
          <w:bCs/>
          <w:kern w:val="0"/>
          <w14:ligatures w14:val="none"/>
        </w:rPr>
        <w:t>References</w:t>
      </w:r>
    </w:p>
    <w:p w14:paraId="379992ED"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Below are all the references mentioned in the paper formatted in APA style with DOI numbers where available:</w:t>
      </w:r>
    </w:p>
    <w:p w14:paraId="19A66DEF"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Adger, W. N., Barnett, J., Brown, K., Marshall, N., &amp; O'Brien, K. (2013). Cultural dimensions of climate change impacts and adaptation. Nature Climate Change, 3(2), 112-117. https://doi.org/10.1038/nclimate1666</w:t>
      </w:r>
    </w:p>
    <w:p w14:paraId="20D42984"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Di Baldassarre, G., </w:t>
      </w:r>
      <w:proofErr w:type="spellStart"/>
      <w:r w:rsidRPr="00A174C6">
        <w:rPr>
          <w:rFonts w:ascii="Arial" w:eastAsia="Times New Roman" w:hAnsi="Arial" w:cs="Arial"/>
          <w:kern w:val="0"/>
          <w:sz w:val="20"/>
          <w:szCs w:val="20"/>
          <w14:ligatures w14:val="none"/>
        </w:rPr>
        <w:t>Kemerink</w:t>
      </w:r>
      <w:proofErr w:type="spellEnd"/>
      <w:r w:rsidRPr="00A174C6">
        <w:rPr>
          <w:rFonts w:ascii="Arial" w:eastAsia="Times New Roman" w:hAnsi="Arial" w:cs="Arial"/>
          <w:kern w:val="0"/>
          <w:sz w:val="20"/>
          <w:szCs w:val="20"/>
          <w14:ligatures w14:val="none"/>
        </w:rPr>
        <w:t>, J. S., Kooy, M., &amp; Brandimarte, L. (2014). Floods and societies: The spatial distribution of water-related disaster risk and its dynamics. Wiley Interdisciplinary Reviews: Water, 1(2), 133-139. https://doi.org/10.1002/wat2.1015</w:t>
      </w:r>
    </w:p>
    <w:p w14:paraId="06496F91"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lastRenderedPageBreak/>
        <w:t>Di Baldassarre, G., Martinez, F., Kalantari, Z., &amp; Viglione, A. (2017). Drought and flood in the Anthropocene: Feedback mechanisms in reservoir operation. Earth System Dynamics, 8, 225-233. https://doi.org/10.5194/esd-8-225-2017</w:t>
      </w:r>
    </w:p>
    <w:p w14:paraId="4A49D382"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Di Baldassarre, G., </w:t>
      </w:r>
      <w:proofErr w:type="spellStart"/>
      <w:r w:rsidRPr="00A174C6">
        <w:rPr>
          <w:rFonts w:ascii="Arial" w:eastAsia="Times New Roman" w:hAnsi="Arial" w:cs="Arial"/>
          <w:kern w:val="0"/>
          <w:sz w:val="20"/>
          <w:szCs w:val="20"/>
          <w14:ligatures w14:val="none"/>
        </w:rPr>
        <w:t>Mijic</w:t>
      </w:r>
      <w:proofErr w:type="spellEnd"/>
      <w:r w:rsidRPr="00A174C6">
        <w:rPr>
          <w:rFonts w:ascii="Arial" w:eastAsia="Times New Roman" w:hAnsi="Arial" w:cs="Arial"/>
          <w:kern w:val="0"/>
          <w:sz w:val="20"/>
          <w:szCs w:val="20"/>
          <w14:ligatures w14:val="none"/>
        </w:rPr>
        <w:t>, A., Kalantari, Z., &amp; Rusca, M. (2023). A meta-model of socio-hydrological phenomena for sustainable water management. Nature Water, 1, 63-75. https://doi.org/10.1038/s44221-023-00123-3</w:t>
      </w:r>
    </w:p>
    <w:p w14:paraId="0D440729"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Famiglietti, J. S. (2022). Groundwater depletion in major arid basin systems: Global assessment using GRACE satellite observations. Environmental Research Letters, 17(3), 034021. https://doi.org/10.1088/1748-9326/ac4f76</w:t>
      </w:r>
    </w:p>
    <w:p w14:paraId="05D356B6"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Foster, S., &amp; MacDonald, A. (2022). Emerging climate change implications for global groundwater security. Hydrogeology Journal, 30, 1-16. https://doi.org/10.1007/s10040-021-02407-y</w:t>
      </w:r>
    </w:p>
    <w:p w14:paraId="17B23B0B"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Global Water Partnership (GWP). (2021). Integrated Water Resources Management: Technical Advisory Committee Background Paper No. 4. Stockholm: Global Water Partnership.</w:t>
      </w:r>
    </w:p>
    <w:p w14:paraId="2B8FCDF1"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Holling, C. S., &amp; Gunderson, L. H. (2022). Resilience and adaptive cycles. In </w:t>
      </w:r>
      <w:proofErr w:type="spellStart"/>
      <w:r w:rsidRPr="00A174C6">
        <w:rPr>
          <w:rFonts w:ascii="Arial" w:eastAsia="Times New Roman" w:hAnsi="Arial" w:cs="Arial"/>
          <w:kern w:val="0"/>
          <w:sz w:val="20"/>
          <w:szCs w:val="20"/>
          <w14:ligatures w14:val="none"/>
        </w:rPr>
        <w:t>Panarchy</w:t>
      </w:r>
      <w:proofErr w:type="spellEnd"/>
      <w:r w:rsidRPr="00A174C6">
        <w:rPr>
          <w:rFonts w:ascii="Arial" w:eastAsia="Times New Roman" w:hAnsi="Arial" w:cs="Arial"/>
          <w:kern w:val="0"/>
          <w:sz w:val="20"/>
          <w:szCs w:val="20"/>
          <w14:ligatures w14:val="none"/>
        </w:rPr>
        <w:t>: Understanding transformations in human and natural systems (pp. 25-62). Island Press. https://doi.org/10.5822/978-1-61091-199-3_2</w:t>
      </w:r>
    </w:p>
    <w:p w14:paraId="46DC7230"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IPCC. (2022). Climate Change 2022: Impacts, adaptation, and vulnerability. Contribution of Working Group II to the Sixth Assessment Report of the Intergovernmental Panel on Climate Change. Cambridge University Press. https://doi.org/10.1017/9781009325844</w:t>
      </w:r>
    </w:p>
    <w:p w14:paraId="12157AE6"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proofErr w:type="spellStart"/>
      <w:r w:rsidRPr="00A174C6">
        <w:rPr>
          <w:rFonts w:ascii="Arial" w:eastAsia="Times New Roman" w:hAnsi="Arial" w:cs="Arial"/>
          <w:kern w:val="0"/>
          <w:sz w:val="20"/>
          <w:szCs w:val="20"/>
          <w14:ligatures w14:val="none"/>
        </w:rPr>
        <w:t>Marchau</w:t>
      </w:r>
      <w:proofErr w:type="spellEnd"/>
      <w:r w:rsidRPr="00A174C6">
        <w:rPr>
          <w:rFonts w:ascii="Arial" w:eastAsia="Times New Roman" w:hAnsi="Arial" w:cs="Arial"/>
          <w:kern w:val="0"/>
          <w:sz w:val="20"/>
          <w:szCs w:val="20"/>
          <w14:ligatures w14:val="none"/>
        </w:rPr>
        <w:t>, V. A. W. J., Walker, W. E., Bloemen, P. J. T. M., &amp; Popper, S. W. (Eds.). (2021). Decision making under deep uncertainty: From theory to practice. Springer Nature. https://doi.org/10.1007/978-3-030-05252-2</w:t>
      </w:r>
    </w:p>
    <w:p w14:paraId="5D188CC4"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lang w:val="de-DE"/>
          <w14:ligatures w14:val="none"/>
        </w:rPr>
        <w:t xml:space="preserve">Neumann, K., Verburg, P. H., Elbersen, B., Stehfest, E., &amp; Woltjer, G. B. (2021). </w:t>
      </w:r>
      <w:r w:rsidRPr="00A174C6">
        <w:rPr>
          <w:rFonts w:ascii="Arial" w:eastAsia="Times New Roman" w:hAnsi="Arial" w:cs="Arial"/>
          <w:kern w:val="0"/>
          <w:sz w:val="20"/>
          <w:szCs w:val="20"/>
          <w14:ligatures w14:val="none"/>
        </w:rPr>
        <w:t>Multi-scale scenarios of spatial-temporal dynamics in the European livestock sector. Agriculture, Ecosystems &amp; Environment, 302, 107037. https://doi.org/10.1016/j.agee.2020.107037</w:t>
      </w:r>
    </w:p>
    <w:p w14:paraId="11DD126C"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proofErr w:type="spellStart"/>
      <w:r w:rsidRPr="00A174C6">
        <w:rPr>
          <w:rFonts w:ascii="Arial" w:eastAsia="Times New Roman" w:hAnsi="Arial" w:cs="Arial"/>
          <w:kern w:val="0"/>
          <w:sz w:val="20"/>
          <w:szCs w:val="20"/>
          <w14:ligatures w14:val="none"/>
        </w:rPr>
        <w:t>Pahl-Wostl</w:t>
      </w:r>
      <w:proofErr w:type="spellEnd"/>
      <w:r w:rsidRPr="00A174C6">
        <w:rPr>
          <w:rFonts w:ascii="Arial" w:eastAsia="Times New Roman" w:hAnsi="Arial" w:cs="Arial"/>
          <w:kern w:val="0"/>
          <w:sz w:val="20"/>
          <w:szCs w:val="20"/>
          <w14:ligatures w14:val="none"/>
        </w:rPr>
        <w:t>, C. (2022). Adaptive governance of water resources shared with Indigenous peoples: The role of law. Water, 10(2), 259. https://doi.org/10.3390/w10020259</w:t>
      </w:r>
    </w:p>
    <w:p w14:paraId="69187D31"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Richter, B. D., Postel, S., </w:t>
      </w:r>
      <w:proofErr w:type="spellStart"/>
      <w:r w:rsidRPr="00A174C6">
        <w:rPr>
          <w:rFonts w:ascii="Arial" w:eastAsia="Times New Roman" w:hAnsi="Arial" w:cs="Arial"/>
          <w:kern w:val="0"/>
          <w:sz w:val="20"/>
          <w:szCs w:val="20"/>
          <w14:ligatures w14:val="none"/>
        </w:rPr>
        <w:t>Revenga</w:t>
      </w:r>
      <w:proofErr w:type="spellEnd"/>
      <w:r w:rsidRPr="00A174C6">
        <w:rPr>
          <w:rFonts w:ascii="Arial" w:eastAsia="Times New Roman" w:hAnsi="Arial" w:cs="Arial"/>
          <w:kern w:val="0"/>
          <w:sz w:val="20"/>
          <w:szCs w:val="20"/>
          <w14:ligatures w14:val="none"/>
        </w:rPr>
        <w:t>, C., Scudder, T., Lehner, B., Churchill, A., &amp; Chow, M. (2023). Sustainable water management in arid regions: Comprehensive review of large-scale projects. Journal of Water Resources Planning and Management, 149(2), 04022094. https://doi.org/10.1061/(ASCE)WR.1943-5452.0001644</w:t>
      </w:r>
    </w:p>
    <w:p w14:paraId="6B87B756" w14:textId="77777777" w:rsidR="000D6DE8" w:rsidRPr="00A174C6" w:rsidRDefault="000D6DE8" w:rsidP="002D7360">
      <w:pPr>
        <w:spacing w:after="0" w:line="240" w:lineRule="auto"/>
        <w:ind w:left="720" w:hanging="720"/>
        <w:rPr>
          <w:rFonts w:ascii="Arial" w:eastAsia="Times New Roman" w:hAnsi="Arial" w:cs="Arial"/>
          <w:kern w:val="0"/>
          <w:sz w:val="20"/>
          <w:szCs w:val="20"/>
          <w:lang w:val="de-DE"/>
          <w14:ligatures w14:val="none"/>
        </w:rPr>
      </w:pPr>
      <w:proofErr w:type="spellStart"/>
      <w:r w:rsidRPr="00A174C6">
        <w:rPr>
          <w:rFonts w:ascii="Arial" w:eastAsia="Times New Roman" w:hAnsi="Arial" w:cs="Arial"/>
          <w:kern w:val="0"/>
          <w:sz w:val="20"/>
          <w:szCs w:val="20"/>
          <w14:ligatures w14:val="none"/>
        </w:rPr>
        <w:t>Rockström</w:t>
      </w:r>
      <w:proofErr w:type="spellEnd"/>
      <w:r w:rsidRPr="00A174C6">
        <w:rPr>
          <w:rFonts w:ascii="Arial" w:eastAsia="Times New Roman" w:hAnsi="Arial" w:cs="Arial"/>
          <w:kern w:val="0"/>
          <w:sz w:val="20"/>
          <w:szCs w:val="20"/>
          <w14:ligatures w14:val="none"/>
        </w:rPr>
        <w:t xml:space="preserve">, J., Steffen, W., Noone, K., Persson, Å., Chapin, F. S., Lambin, E. F., Lenton, T. M., Scheffer, M., Folke, C., </w:t>
      </w:r>
      <w:proofErr w:type="spellStart"/>
      <w:r w:rsidRPr="00A174C6">
        <w:rPr>
          <w:rFonts w:ascii="Arial" w:eastAsia="Times New Roman" w:hAnsi="Arial" w:cs="Arial"/>
          <w:kern w:val="0"/>
          <w:sz w:val="20"/>
          <w:szCs w:val="20"/>
          <w14:ligatures w14:val="none"/>
        </w:rPr>
        <w:t>Schellnhuber</w:t>
      </w:r>
      <w:proofErr w:type="spellEnd"/>
      <w:r w:rsidRPr="00A174C6">
        <w:rPr>
          <w:rFonts w:ascii="Arial" w:eastAsia="Times New Roman" w:hAnsi="Arial" w:cs="Arial"/>
          <w:kern w:val="0"/>
          <w:sz w:val="20"/>
          <w:szCs w:val="20"/>
          <w14:ligatures w14:val="none"/>
        </w:rPr>
        <w:t xml:space="preserve">, H. J., Nykvist, B., de Wit, C. A., Hughes, T., van der Leeuw, S., Rodhe, H., </w:t>
      </w:r>
      <w:proofErr w:type="spellStart"/>
      <w:r w:rsidRPr="00A174C6">
        <w:rPr>
          <w:rFonts w:ascii="Arial" w:eastAsia="Times New Roman" w:hAnsi="Arial" w:cs="Arial"/>
          <w:kern w:val="0"/>
          <w:sz w:val="20"/>
          <w:szCs w:val="20"/>
          <w14:ligatures w14:val="none"/>
        </w:rPr>
        <w:t>Sörlin</w:t>
      </w:r>
      <w:proofErr w:type="spellEnd"/>
      <w:r w:rsidRPr="00A174C6">
        <w:rPr>
          <w:rFonts w:ascii="Arial" w:eastAsia="Times New Roman" w:hAnsi="Arial" w:cs="Arial"/>
          <w:kern w:val="0"/>
          <w:sz w:val="20"/>
          <w:szCs w:val="20"/>
          <w14:ligatures w14:val="none"/>
        </w:rPr>
        <w:t xml:space="preserve">, S., Snyder, P. K., Costanza, R., Svedin, U., &amp; Foley, J. A. (2022). A safe operating space for humanity: Planetary boundaries for sustainable development. </w:t>
      </w:r>
      <w:r w:rsidRPr="00A174C6">
        <w:rPr>
          <w:rFonts w:ascii="Arial" w:eastAsia="Times New Roman" w:hAnsi="Arial" w:cs="Arial"/>
          <w:kern w:val="0"/>
          <w:sz w:val="20"/>
          <w:szCs w:val="20"/>
          <w:lang w:val="de-DE"/>
          <w14:ligatures w14:val="none"/>
        </w:rPr>
        <w:t>Nature, 491(7422), 472-475. https://doi.org/10.1038/461472a</w:t>
      </w:r>
    </w:p>
    <w:p w14:paraId="509145B8"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lang w:val="de-DE"/>
          <w14:ligatures w14:val="none"/>
        </w:rPr>
        <w:t xml:space="preserve">Rodell, M., Famiglietti, J. S., Wiese, D. N., Reager, J. T., Beaudoing, H. K., Landerer, F. W., &amp; Lo, M. H. (2023). </w:t>
      </w:r>
      <w:r w:rsidRPr="00A174C6">
        <w:rPr>
          <w:rFonts w:ascii="Arial" w:eastAsia="Times New Roman" w:hAnsi="Arial" w:cs="Arial"/>
          <w:kern w:val="0"/>
          <w:sz w:val="20"/>
          <w:szCs w:val="20"/>
          <w14:ligatures w14:val="none"/>
        </w:rPr>
        <w:t>Emerging trends in global freshwater availability. Nature, 557(7707), 651-659. https://doi.org/10.1038/s41586-018-0123-1</w:t>
      </w:r>
    </w:p>
    <w:p w14:paraId="702C77D6"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Shah, T., &amp; Venot, J. P. (2020). Re-building or building back better? Critical lessons from ground water governance reforms in India. Climate Risk Management, 29, 100256. https://doi.org/10.1016/j.crm.2020.100256</w:t>
      </w:r>
    </w:p>
    <w:p w14:paraId="74FE3E55" w14:textId="77777777" w:rsidR="000D6DE8" w:rsidRPr="00A174C6" w:rsidRDefault="000D6DE8"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Trnka, M., Feng, S., Semenov, M. A., Olesen, J. E., </w:t>
      </w:r>
      <w:proofErr w:type="spellStart"/>
      <w:r w:rsidRPr="00A174C6">
        <w:rPr>
          <w:rFonts w:ascii="Arial" w:eastAsia="Times New Roman" w:hAnsi="Arial" w:cs="Arial"/>
          <w:kern w:val="0"/>
          <w:sz w:val="20"/>
          <w:szCs w:val="20"/>
          <w14:ligatures w14:val="none"/>
        </w:rPr>
        <w:t>Kersebaum</w:t>
      </w:r>
      <w:proofErr w:type="spellEnd"/>
      <w:r w:rsidRPr="00A174C6">
        <w:rPr>
          <w:rFonts w:ascii="Arial" w:eastAsia="Times New Roman" w:hAnsi="Arial" w:cs="Arial"/>
          <w:kern w:val="0"/>
          <w:sz w:val="20"/>
          <w:szCs w:val="20"/>
          <w14:ligatures w14:val="none"/>
        </w:rPr>
        <w:t xml:space="preserve">, K. C., </w:t>
      </w:r>
      <w:proofErr w:type="spellStart"/>
      <w:r w:rsidRPr="00A174C6">
        <w:rPr>
          <w:rFonts w:ascii="Arial" w:eastAsia="Times New Roman" w:hAnsi="Arial" w:cs="Arial"/>
          <w:kern w:val="0"/>
          <w:sz w:val="20"/>
          <w:szCs w:val="20"/>
          <w14:ligatures w14:val="none"/>
        </w:rPr>
        <w:t>Rötter</w:t>
      </w:r>
      <w:proofErr w:type="spellEnd"/>
      <w:r w:rsidRPr="00A174C6">
        <w:rPr>
          <w:rFonts w:ascii="Arial" w:eastAsia="Times New Roman" w:hAnsi="Arial" w:cs="Arial"/>
          <w:kern w:val="0"/>
          <w:sz w:val="20"/>
          <w:szCs w:val="20"/>
          <w14:ligatures w14:val="none"/>
        </w:rPr>
        <w:t xml:space="preserve">, R. P., </w:t>
      </w:r>
      <w:proofErr w:type="spellStart"/>
      <w:r w:rsidRPr="00A174C6">
        <w:rPr>
          <w:rFonts w:ascii="Arial" w:eastAsia="Times New Roman" w:hAnsi="Arial" w:cs="Arial"/>
          <w:kern w:val="0"/>
          <w:sz w:val="20"/>
          <w:szCs w:val="20"/>
          <w14:ligatures w14:val="none"/>
        </w:rPr>
        <w:t>Semerádová</w:t>
      </w:r>
      <w:proofErr w:type="spellEnd"/>
      <w:r w:rsidRPr="00A174C6">
        <w:rPr>
          <w:rFonts w:ascii="Arial" w:eastAsia="Times New Roman" w:hAnsi="Arial" w:cs="Arial"/>
          <w:kern w:val="0"/>
          <w:sz w:val="20"/>
          <w:szCs w:val="20"/>
          <w14:ligatures w14:val="none"/>
        </w:rPr>
        <w:t xml:space="preserve">, D., Klem, K., Huang, W., Ruiz-Ramos, M., Hlavinka, P., Meitner, J., Balek, J., Havlík, P., &amp; </w:t>
      </w:r>
      <w:proofErr w:type="spellStart"/>
      <w:r w:rsidRPr="00A174C6">
        <w:rPr>
          <w:rFonts w:ascii="Arial" w:eastAsia="Times New Roman" w:hAnsi="Arial" w:cs="Arial"/>
          <w:kern w:val="0"/>
          <w:sz w:val="20"/>
          <w:szCs w:val="20"/>
          <w14:ligatures w14:val="none"/>
        </w:rPr>
        <w:t>Büntgen</w:t>
      </w:r>
      <w:proofErr w:type="spellEnd"/>
      <w:r w:rsidRPr="00A174C6">
        <w:rPr>
          <w:rFonts w:ascii="Arial" w:eastAsia="Times New Roman" w:hAnsi="Arial" w:cs="Arial"/>
          <w:kern w:val="0"/>
          <w:sz w:val="20"/>
          <w:szCs w:val="20"/>
          <w14:ligatures w14:val="none"/>
        </w:rPr>
        <w:t>, U. (2023). Climate change threats to agricultural water availability in semi-arid regions. Global Change Biology, 29(9), 2459-2476. https://doi.org/10.1111/gcb.16597</w:t>
      </w:r>
    </w:p>
    <w:p w14:paraId="712C5B9C" w14:textId="28245718" w:rsidR="009D2ABE" w:rsidRPr="002D7360" w:rsidRDefault="00614BE3" w:rsidP="002D7360">
      <w:pPr>
        <w:spacing w:after="0" w:line="240" w:lineRule="auto"/>
        <w:ind w:left="720" w:hanging="720"/>
        <w:rPr>
          <w:rFonts w:ascii="Arial" w:eastAsia="Times New Roman" w:hAnsi="Arial" w:cs="Arial"/>
          <w:kern w:val="0"/>
          <w:sz w:val="20"/>
          <w:szCs w:val="20"/>
          <w14:ligatures w14:val="none"/>
        </w:rPr>
      </w:pPr>
      <w:r w:rsidRPr="00A174C6">
        <w:rPr>
          <w:rFonts w:ascii="Arial" w:eastAsia="Times New Roman" w:hAnsi="Arial" w:cs="Arial"/>
          <w:kern w:val="0"/>
          <w:sz w:val="20"/>
          <w:szCs w:val="20"/>
          <w14:ligatures w14:val="none"/>
        </w:rPr>
        <w:t xml:space="preserve">Abdullah, A. A., Biswas, R., </w:t>
      </w:r>
      <w:proofErr w:type="spellStart"/>
      <w:r w:rsidRPr="00A174C6">
        <w:rPr>
          <w:rFonts w:ascii="Arial" w:eastAsia="Times New Roman" w:hAnsi="Arial" w:cs="Arial"/>
          <w:kern w:val="0"/>
          <w:sz w:val="20"/>
          <w:szCs w:val="20"/>
          <w14:ligatures w14:val="none"/>
        </w:rPr>
        <w:t>Opu</w:t>
      </w:r>
      <w:proofErr w:type="spellEnd"/>
      <w:r w:rsidRPr="00A174C6">
        <w:rPr>
          <w:rFonts w:ascii="Arial" w:eastAsia="Times New Roman" w:hAnsi="Arial" w:cs="Arial"/>
          <w:kern w:val="0"/>
          <w:sz w:val="20"/>
          <w:szCs w:val="20"/>
          <w14:ligatures w14:val="none"/>
        </w:rPr>
        <w:t xml:space="preserve">, R. K., &amp; Islam, S. (2014). Irrigation water requirement estimation for wheat by FAO Penman-Monteith method: A case study of </w:t>
      </w:r>
      <w:proofErr w:type="spellStart"/>
      <w:r w:rsidRPr="00A174C6">
        <w:rPr>
          <w:rFonts w:ascii="Arial" w:eastAsia="Times New Roman" w:hAnsi="Arial" w:cs="Arial"/>
          <w:kern w:val="0"/>
          <w:sz w:val="20"/>
          <w:szCs w:val="20"/>
          <w14:ligatures w14:val="none"/>
        </w:rPr>
        <w:t>Barind</w:t>
      </w:r>
      <w:proofErr w:type="spellEnd"/>
      <w:r w:rsidRPr="00A174C6">
        <w:rPr>
          <w:rFonts w:ascii="Arial" w:eastAsia="Times New Roman" w:hAnsi="Arial" w:cs="Arial"/>
          <w:kern w:val="0"/>
          <w:sz w:val="20"/>
          <w:szCs w:val="20"/>
          <w14:ligatures w14:val="none"/>
        </w:rPr>
        <w:t xml:space="preserve"> area, </w:t>
      </w:r>
      <w:proofErr w:type="spellStart"/>
      <w:r w:rsidRPr="00A174C6">
        <w:rPr>
          <w:rFonts w:ascii="Arial" w:eastAsia="Times New Roman" w:hAnsi="Arial" w:cs="Arial"/>
          <w:kern w:val="0"/>
          <w:sz w:val="20"/>
          <w:szCs w:val="20"/>
          <w14:ligatures w14:val="none"/>
        </w:rPr>
        <w:t>Rajshahi</w:t>
      </w:r>
      <w:proofErr w:type="spellEnd"/>
      <w:r w:rsidRPr="00A174C6">
        <w:rPr>
          <w:rFonts w:ascii="Arial" w:eastAsia="Times New Roman" w:hAnsi="Arial" w:cs="Arial"/>
          <w:kern w:val="0"/>
          <w:sz w:val="20"/>
          <w:szCs w:val="20"/>
          <w14:ligatures w14:val="none"/>
        </w:rPr>
        <w:t>, Bangladesh. International Journal of Advanced Research, 2(Feb). ISSN 2320-5407.</w:t>
      </w:r>
    </w:p>
    <w:sectPr w:rsidR="009D2ABE" w:rsidRPr="002D736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18E14" w14:textId="77777777" w:rsidR="00160D2B" w:rsidRDefault="00160D2B" w:rsidP="001C7A3E">
      <w:pPr>
        <w:spacing w:after="0" w:line="240" w:lineRule="auto"/>
      </w:pPr>
      <w:r>
        <w:separator/>
      </w:r>
    </w:p>
  </w:endnote>
  <w:endnote w:type="continuationSeparator" w:id="0">
    <w:p w14:paraId="16048246" w14:textId="77777777" w:rsidR="00160D2B" w:rsidRDefault="00160D2B" w:rsidP="001C7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9B3C9" w14:textId="77777777" w:rsidR="001C7A3E" w:rsidRDefault="001C7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7BA3F" w14:textId="77777777" w:rsidR="001C7A3E" w:rsidRDefault="001C7A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E21DA" w14:textId="77777777" w:rsidR="001C7A3E" w:rsidRDefault="001C7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486D9" w14:textId="77777777" w:rsidR="00160D2B" w:rsidRDefault="00160D2B" w:rsidP="001C7A3E">
      <w:pPr>
        <w:spacing w:after="0" w:line="240" w:lineRule="auto"/>
      </w:pPr>
      <w:r>
        <w:separator/>
      </w:r>
    </w:p>
  </w:footnote>
  <w:footnote w:type="continuationSeparator" w:id="0">
    <w:p w14:paraId="61786959" w14:textId="77777777" w:rsidR="00160D2B" w:rsidRDefault="00160D2B" w:rsidP="001C7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3892" w14:textId="5A995BF1" w:rsidR="001C7A3E" w:rsidRDefault="001C7A3E">
    <w:pPr>
      <w:pStyle w:val="Header"/>
    </w:pPr>
    <w:r>
      <w:rPr>
        <w:noProof/>
      </w:rPr>
      <w:pict w14:anchorId="7EF00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21840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8C6AE" w14:textId="10E00350" w:rsidR="001C7A3E" w:rsidRDefault="001C7A3E">
    <w:pPr>
      <w:pStyle w:val="Header"/>
    </w:pPr>
    <w:r>
      <w:rPr>
        <w:noProof/>
      </w:rPr>
      <w:pict w14:anchorId="02D71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21840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98351" w14:textId="4A7748D3" w:rsidR="001C7A3E" w:rsidRDefault="001C7A3E">
    <w:pPr>
      <w:pStyle w:val="Header"/>
    </w:pPr>
    <w:r>
      <w:rPr>
        <w:noProof/>
      </w:rPr>
      <w:pict w14:anchorId="15C53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21840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C58F8"/>
    <w:multiLevelType w:val="multilevel"/>
    <w:tmpl w:val="5F909E56"/>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A0743B"/>
    <w:multiLevelType w:val="hybridMultilevel"/>
    <w:tmpl w:val="98821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93FD6"/>
    <w:multiLevelType w:val="multilevel"/>
    <w:tmpl w:val="7A9628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4C7E8F"/>
    <w:multiLevelType w:val="hybridMultilevel"/>
    <w:tmpl w:val="504E2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5D6627"/>
    <w:multiLevelType w:val="hybridMultilevel"/>
    <w:tmpl w:val="5972E6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16A13"/>
    <w:multiLevelType w:val="hybridMultilevel"/>
    <w:tmpl w:val="591610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D01646"/>
    <w:multiLevelType w:val="hybridMultilevel"/>
    <w:tmpl w:val="80E8C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D07611"/>
    <w:multiLevelType w:val="hybridMultilevel"/>
    <w:tmpl w:val="0B30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7E452A"/>
    <w:multiLevelType w:val="multilevel"/>
    <w:tmpl w:val="84A89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8"/>
  </w:num>
  <w:num w:numId="6">
    <w:abstractNumId w:val="4"/>
  </w:num>
  <w:num w:numId="7">
    <w:abstractNumId w:val="6"/>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5FF"/>
    <w:rsid w:val="000B6BEB"/>
    <w:rsid w:val="000C7284"/>
    <w:rsid w:val="000C72D5"/>
    <w:rsid w:val="000D6DE8"/>
    <w:rsid w:val="00160D2B"/>
    <w:rsid w:val="001B2FA4"/>
    <w:rsid w:val="001C7A3E"/>
    <w:rsid w:val="001F36EA"/>
    <w:rsid w:val="0021583F"/>
    <w:rsid w:val="00260EF2"/>
    <w:rsid w:val="002A2201"/>
    <w:rsid w:val="002D7360"/>
    <w:rsid w:val="002E146C"/>
    <w:rsid w:val="00355FCF"/>
    <w:rsid w:val="003B5080"/>
    <w:rsid w:val="003B6F69"/>
    <w:rsid w:val="003D17FC"/>
    <w:rsid w:val="00452B65"/>
    <w:rsid w:val="00460369"/>
    <w:rsid w:val="00534D78"/>
    <w:rsid w:val="0054279F"/>
    <w:rsid w:val="00555CF1"/>
    <w:rsid w:val="00592A59"/>
    <w:rsid w:val="005A081E"/>
    <w:rsid w:val="005D7B39"/>
    <w:rsid w:val="006104BF"/>
    <w:rsid w:val="00614BE3"/>
    <w:rsid w:val="00615078"/>
    <w:rsid w:val="00665E15"/>
    <w:rsid w:val="006E3A6C"/>
    <w:rsid w:val="00717010"/>
    <w:rsid w:val="007335FF"/>
    <w:rsid w:val="00743CF9"/>
    <w:rsid w:val="00794DC2"/>
    <w:rsid w:val="008F54D6"/>
    <w:rsid w:val="009D2ABE"/>
    <w:rsid w:val="00A174C6"/>
    <w:rsid w:val="00A36618"/>
    <w:rsid w:val="00A97FFE"/>
    <w:rsid w:val="00AB7D52"/>
    <w:rsid w:val="00B46F20"/>
    <w:rsid w:val="00B50E54"/>
    <w:rsid w:val="00BA1321"/>
    <w:rsid w:val="00BB4776"/>
    <w:rsid w:val="00BF18A4"/>
    <w:rsid w:val="00C12A8E"/>
    <w:rsid w:val="00C43024"/>
    <w:rsid w:val="00C97CCD"/>
    <w:rsid w:val="00CA030A"/>
    <w:rsid w:val="00CD06E2"/>
    <w:rsid w:val="00CF40CB"/>
    <w:rsid w:val="00DA5352"/>
    <w:rsid w:val="00DC2203"/>
    <w:rsid w:val="00E05A24"/>
    <w:rsid w:val="00E7014E"/>
    <w:rsid w:val="00E97C9F"/>
    <w:rsid w:val="00EA4690"/>
    <w:rsid w:val="00F0140D"/>
    <w:rsid w:val="00F14756"/>
    <w:rsid w:val="00F41EEE"/>
    <w:rsid w:val="00F56FB9"/>
    <w:rsid w:val="00FE4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74B896"/>
  <w15:chartTrackingRefBased/>
  <w15:docId w15:val="{2F7768C4-FC46-4838-8EC4-4CC755C69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5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335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35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5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5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5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5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5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5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5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335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35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5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5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5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5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5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5FF"/>
    <w:rPr>
      <w:rFonts w:eastAsiaTheme="majorEastAsia" w:cstheme="majorBidi"/>
      <w:color w:val="272727" w:themeColor="text1" w:themeTint="D8"/>
    </w:rPr>
  </w:style>
  <w:style w:type="paragraph" w:styleId="Title">
    <w:name w:val="Title"/>
    <w:basedOn w:val="Normal"/>
    <w:next w:val="Normal"/>
    <w:link w:val="TitleChar"/>
    <w:uiPriority w:val="10"/>
    <w:qFormat/>
    <w:rsid w:val="007335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5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5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5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5FF"/>
    <w:pPr>
      <w:spacing w:before="160"/>
      <w:jc w:val="center"/>
    </w:pPr>
    <w:rPr>
      <w:i/>
      <w:iCs/>
      <w:color w:val="404040" w:themeColor="text1" w:themeTint="BF"/>
    </w:rPr>
  </w:style>
  <w:style w:type="character" w:customStyle="1" w:styleId="QuoteChar">
    <w:name w:val="Quote Char"/>
    <w:basedOn w:val="DefaultParagraphFont"/>
    <w:link w:val="Quote"/>
    <w:uiPriority w:val="29"/>
    <w:rsid w:val="007335FF"/>
    <w:rPr>
      <w:i/>
      <w:iCs/>
      <w:color w:val="404040" w:themeColor="text1" w:themeTint="BF"/>
    </w:rPr>
  </w:style>
  <w:style w:type="paragraph" w:styleId="ListParagraph">
    <w:name w:val="List Paragraph"/>
    <w:basedOn w:val="Normal"/>
    <w:uiPriority w:val="34"/>
    <w:qFormat/>
    <w:rsid w:val="007335FF"/>
    <w:pPr>
      <w:ind w:left="720"/>
      <w:contextualSpacing/>
    </w:pPr>
  </w:style>
  <w:style w:type="character" w:styleId="IntenseEmphasis">
    <w:name w:val="Intense Emphasis"/>
    <w:basedOn w:val="DefaultParagraphFont"/>
    <w:uiPriority w:val="21"/>
    <w:qFormat/>
    <w:rsid w:val="007335FF"/>
    <w:rPr>
      <w:i/>
      <w:iCs/>
      <w:color w:val="0F4761" w:themeColor="accent1" w:themeShade="BF"/>
    </w:rPr>
  </w:style>
  <w:style w:type="paragraph" w:styleId="IntenseQuote">
    <w:name w:val="Intense Quote"/>
    <w:basedOn w:val="Normal"/>
    <w:next w:val="Normal"/>
    <w:link w:val="IntenseQuoteChar"/>
    <w:uiPriority w:val="30"/>
    <w:qFormat/>
    <w:rsid w:val="007335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5FF"/>
    <w:rPr>
      <w:i/>
      <w:iCs/>
      <w:color w:val="0F4761" w:themeColor="accent1" w:themeShade="BF"/>
    </w:rPr>
  </w:style>
  <w:style w:type="character" w:styleId="IntenseReference">
    <w:name w:val="Intense Reference"/>
    <w:basedOn w:val="DefaultParagraphFont"/>
    <w:uiPriority w:val="32"/>
    <w:qFormat/>
    <w:rsid w:val="007335FF"/>
    <w:rPr>
      <w:b/>
      <w:bCs/>
      <w:smallCaps/>
      <w:color w:val="0F4761" w:themeColor="accent1" w:themeShade="BF"/>
      <w:spacing w:val="5"/>
    </w:rPr>
  </w:style>
  <w:style w:type="paragraph" w:styleId="NormalWeb">
    <w:name w:val="Normal (Web)"/>
    <w:basedOn w:val="Normal"/>
    <w:uiPriority w:val="99"/>
    <w:semiHidden/>
    <w:unhideWhenUsed/>
    <w:rsid w:val="00AB7D52"/>
    <w:rPr>
      <w:rFonts w:ascii="Times New Roman" w:hAnsi="Times New Roman" w:cs="Times New Roman"/>
    </w:rPr>
  </w:style>
  <w:style w:type="character" w:styleId="Hyperlink">
    <w:name w:val="Hyperlink"/>
    <w:basedOn w:val="DefaultParagraphFont"/>
    <w:uiPriority w:val="99"/>
    <w:unhideWhenUsed/>
    <w:rsid w:val="006E3A6C"/>
    <w:rPr>
      <w:color w:val="467886" w:themeColor="hyperlink"/>
      <w:u w:val="single"/>
    </w:rPr>
  </w:style>
  <w:style w:type="character" w:styleId="UnresolvedMention">
    <w:name w:val="Unresolved Mention"/>
    <w:basedOn w:val="DefaultParagraphFont"/>
    <w:uiPriority w:val="99"/>
    <w:semiHidden/>
    <w:unhideWhenUsed/>
    <w:rsid w:val="006E3A6C"/>
    <w:rPr>
      <w:color w:val="605E5C"/>
      <w:shd w:val="clear" w:color="auto" w:fill="E1DFDD"/>
    </w:rPr>
  </w:style>
  <w:style w:type="character" w:styleId="Strong">
    <w:name w:val="Strong"/>
    <w:basedOn w:val="DefaultParagraphFont"/>
    <w:uiPriority w:val="22"/>
    <w:qFormat/>
    <w:rsid w:val="006E3A6C"/>
    <w:rPr>
      <w:b/>
      <w:bCs/>
    </w:rPr>
  </w:style>
  <w:style w:type="paragraph" w:customStyle="1" w:styleId="Body">
    <w:name w:val="Body"/>
    <w:basedOn w:val="Normal"/>
    <w:rsid w:val="00A174C6"/>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A174C6"/>
    <w:pPr>
      <w:keepNext/>
      <w:spacing w:after="240" w:line="240" w:lineRule="auto"/>
    </w:pPr>
    <w:rPr>
      <w:rFonts w:ascii="Helvetica" w:eastAsia="Times New Roman" w:hAnsi="Helvetica" w:cs="Times New Roman"/>
      <w:b/>
      <w:caps/>
      <w:kern w:val="0"/>
      <w:sz w:val="22"/>
      <w:szCs w:val="20"/>
      <w14:ligatures w14:val="none"/>
    </w:rPr>
  </w:style>
  <w:style w:type="paragraph" w:styleId="NoSpacing">
    <w:name w:val="No Spacing"/>
    <w:uiPriority w:val="1"/>
    <w:qFormat/>
    <w:rsid w:val="001F36EA"/>
    <w:pPr>
      <w:spacing w:after="0" w:line="240" w:lineRule="auto"/>
    </w:pPr>
  </w:style>
  <w:style w:type="paragraph" w:styleId="Header">
    <w:name w:val="header"/>
    <w:basedOn w:val="Normal"/>
    <w:link w:val="HeaderChar"/>
    <w:uiPriority w:val="99"/>
    <w:unhideWhenUsed/>
    <w:rsid w:val="001C7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A3E"/>
  </w:style>
  <w:style w:type="paragraph" w:styleId="Footer">
    <w:name w:val="footer"/>
    <w:basedOn w:val="Normal"/>
    <w:link w:val="FooterChar"/>
    <w:uiPriority w:val="99"/>
    <w:unhideWhenUsed/>
    <w:rsid w:val="001C7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6598">
      <w:bodyDiv w:val="1"/>
      <w:marLeft w:val="0"/>
      <w:marRight w:val="0"/>
      <w:marTop w:val="0"/>
      <w:marBottom w:val="0"/>
      <w:divBdr>
        <w:top w:val="none" w:sz="0" w:space="0" w:color="auto"/>
        <w:left w:val="none" w:sz="0" w:space="0" w:color="auto"/>
        <w:bottom w:val="none" w:sz="0" w:space="0" w:color="auto"/>
        <w:right w:val="none" w:sz="0" w:space="0" w:color="auto"/>
      </w:divBdr>
    </w:div>
    <w:div w:id="59257579">
      <w:bodyDiv w:val="1"/>
      <w:marLeft w:val="0"/>
      <w:marRight w:val="0"/>
      <w:marTop w:val="0"/>
      <w:marBottom w:val="0"/>
      <w:divBdr>
        <w:top w:val="none" w:sz="0" w:space="0" w:color="auto"/>
        <w:left w:val="none" w:sz="0" w:space="0" w:color="auto"/>
        <w:bottom w:val="none" w:sz="0" w:space="0" w:color="auto"/>
        <w:right w:val="none" w:sz="0" w:space="0" w:color="auto"/>
      </w:divBdr>
    </w:div>
    <w:div w:id="61804669">
      <w:bodyDiv w:val="1"/>
      <w:marLeft w:val="0"/>
      <w:marRight w:val="0"/>
      <w:marTop w:val="0"/>
      <w:marBottom w:val="0"/>
      <w:divBdr>
        <w:top w:val="none" w:sz="0" w:space="0" w:color="auto"/>
        <w:left w:val="none" w:sz="0" w:space="0" w:color="auto"/>
        <w:bottom w:val="none" w:sz="0" w:space="0" w:color="auto"/>
        <w:right w:val="none" w:sz="0" w:space="0" w:color="auto"/>
      </w:divBdr>
    </w:div>
    <w:div w:id="111677198">
      <w:bodyDiv w:val="1"/>
      <w:marLeft w:val="0"/>
      <w:marRight w:val="0"/>
      <w:marTop w:val="0"/>
      <w:marBottom w:val="0"/>
      <w:divBdr>
        <w:top w:val="none" w:sz="0" w:space="0" w:color="auto"/>
        <w:left w:val="none" w:sz="0" w:space="0" w:color="auto"/>
        <w:bottom w:val="none" w:sz="0" w:space="0" w:color="auto"/>
        <w:right w:val="none" w:sz="0" w:space="0" w:color="auto"/>
      </w:divBdr>
    </w:div>
    <w:div w:id="148909166">
      <w:bodyDiv w:val="1"/>
      <w:marLeft w:val="0"/>
      <w:marRight w:val="0"/>
      <w:marTop w:val="0"/>
      <w:marBottom w:val="0"/>
      <w:divBdr>
        <w:top w:val="none" w:sz="0" w:space="0" w:color="auto"/>
        <w:left w:val="none" w:sz="0" w:space="0" w:color="auto"/>
        <w:bottom w:val="none" w:sz="0" w:space="0" w:color="auto"/>
        <w:right w:val="none" w:sz="0" w:space="0" w:color="auto"/>
      </w:divBdr>
    </w:div>
    <w:div w:id="216432578">
      <w:bodyDiv w:val="1"/>
      <w:marLeft w:val="0"/>
      <w:marRight w:val="0"/>
      <w:marTop w:val="0"/>
      <w:marBottom w:val="0"/>
      <w:divBdr>
        <w:top w:val="none" w:sz="0" w:space="0" w:color="auto"/>
        <w:left w:val="none" w:sz="0" w:space="0" w:color="auto"/>
        <w:bottom w:val="none" w:sz="0" w:space="0" w:color="auto"/>
        <w:right w:val="none" w:sz="0" w:space="0" w:color="auto"/>
      </w:divBdr>
    </w:div>
    <w:div w:id="233784420">
      <w:bodyDiv w:val="1"/>
      <w:marLeft w:val="0"/>
      <w:marRight w:val="0"/>
      <w:marTop w:val="0"/>
      <w:marBottom w:val="0"/>
      <w:divBdr>
        <w:top w:val="none" w:sz="0" w:space="0" w:color="auto"/>
        <w:left w:val="none" w:sz="0" w:space="0" w:color="auto"/>
        <w:bottom w:val="none" w:sz="0" w:space="0" w:color="auto"/>
        <w:right w:val="none" w:sz="0" w:space="0" w:color="auto"/>
      </w:divBdr>
    </w:div>
    <w:div w:id="267392091">
      <w:bodyDiv w:val="1"/>
      <w:marLeft w:val="0"/>
      <w:marRight w:val="0"/>
      <w:marTop w:val="0"/>
      <w:marBottom w:val="0"/>
      <w:divBdr>
        <w:top w:val="none" w:sz="0" w:space="0" w:color="auto"/>
        <w:left w:val="none" w:sz="0" w:space="0" w:color="auto"/>
        <w:bottom w:val="none" w:sz="0" w:space="0" w:color="auto"/>
        <w:right w:val="none" w:sz="0" w:space="0" w:color="auto"/>
      </w:divBdr>
    </w:div>
    <w:div w:id="371468555">
      <w:bodyDiv w:val="1"/>
      <w:marLeft w:val="0"/>
      <w:marRight w:val="0"/>
      <w:marTop w:val="0"/>
      <w:marBottom w:val="0"/>
      <w:divBdr>
        <w:top w:val="none" w:sz="0" w:space="0" w:color="auto"/>
        <w:left w:val="none" w:sz="0" w:space="0" w:color="auto"/>
        <w:bottom w:val="none" w:sz="0" w:space="0" w:color="auto"/>
        <w:right w:val="none" w:sz="0" w:space="0" w:color="auto"/>
      </w:divBdr>
    </w:div>
    <w:div w:id="477914662">
      <w:bodyDiv w:val="1"/>
      <w:marLeft w:val="0"/>
      <w:marRight w:val="0"/>
      <w:marTop w:val="0"/>
      <w:marBottom w:val="0"/>
      <w:divBdr>
        <w:top w:val="none" w:sz="0" w:space="0" w:color="auto"/>
        <w:left w:val="none" w:sz="0" w:space="0" w:color="auto"/>
        <w:bottom w:val="none" w:sz="0" w:space="0" w:color="auto"/>
        <w:right w:val="none" w:sz="0" w:space="0" w:color="auto"/>
      </w:divBdr>
    </w:div>
    <w:div w:id="486629147">
      <w:bodyDiv w:val="1"/>
      <w:marLeft w:val="0"/>
      <w:marRight w:val="0"/>
      <w:marTop w:val="0"/>
      <w:marBottom w:val="0"/>
      <w:divBdr>
        <w:top w:val="none" w:sz="0" w:space="0" w:color="auto"/>
        <w:left w:val="none" w:sz="0" w:space="0" w:color="auto"/>
        <w:bottom w:val="none" w:sz="0" w:space="0" w:color="auto"/>
        <w:right w:val="none" w:sz="0" w:space="0" w:color="auto"/>
      </w:divBdr>
    </w:div>
    <w:div w:id="504248071">
      <w:bodyDiv w:val="1"/>
      <w:marLeft w:val="0"/>
      <w:marRight w:val="0"/>
      <w:marTop w:val="0"/>
      <w:marBottom w:val="0"/>
      <w:divBdr>
        <w:top w:val="none" w:sz="0" w:space="0" w:color="auto"/>
        <w:left w:val="none" w:sz="0" w:space="0" w:color="auto"/>
        <w:bottom w:val="none" w:sz="0" w:space="0" w:color="auto"/>
        <w:right w:val="none" w:sz="0" w:space="0" w:color="auto"/>
      </w:divBdr>
    </w:div>
    <w:div w:id="566231974">
      <w:bodyDiv w:val="1"/>
      <w:marLeft w:val="0"/>
      <w:marRight w:val="0"/>
      <w:marTop w:val="0"/>
      <w:marBottom w:val="0"/>
      <w:divBdr>
        <w:top w:val="none" w:sz="0" w:space="0" w:color="auto"/>
        <w:left w:val="none" w:sz="0" w:space="0" w:color="auto"/>
        <w:bottom w:val="none" w:sz="0" w:space="0" w:color="auto"/>
        <w:right w:val="none" w:sz="0" w:space="0" w:color="auto"/>
      </w:divBdr>
    </w:div>
    <w:div w:id="671760799">
      <w:bodyDiv w:val="1"/>
      <w:marLeft w:val="0"/>
      <w:marRight w:val="0"/>
      <w:marTop w:val="0"/>
      <w:marBottom w:val="0"/>
      <w:divBdr>
        <w:top w:val="none" w:sz="0" w:space="0" w:color="auto"/>
        <w:left w:val="none" w:sz="0" w:space="0" w:color="auto"/>
        <w:bottom w:val="none" w:sz="0" w:space="0" w:color="auto"/>
        <w:right w:val="none" w:sz="0" w:space="0" w:color="auto"/>
      </w:divBdr>
    </w:div>
    <w:div w:id="767503550">
      <w:bodyDiv w:val="1"/>
      <w:marLeft w:val="0"/>
      <w:marRight w:val="0"/>
      <w:marTop w:val="0"/>
      <w:marBottom w:val="0"/>
      <w:divBdr>
        <w:top w:val="none" w:sz="0" w:space="0" w:color="auto"/>
        <w:left w:val="none" w:sz="0" w:space="0" w:color="auto"/>
        <w:bottom w:val="none" w:sz="0" w:space="0" w:color="auto"/>
        <w:right w:val="none" w:sz="0" w:space="0" w:color="auto"/>
      </w:divBdr>
    </w:div>
    <w:div w:id="832258447">
      <w:bodyDiv w:val="1"/>
      <w:marLeft w:val="0"/>
      <w:marRight w:val="0"/>
      <w:marTop w:val="0"/>
      <w:marBottom w:val="0"/>
      <w:divBdr>
        <w:top w:val="none" w:sz="0" w:space="0" w:color="auto"/>
        <w:left w:val="none" w:sz="0" w:space="0" w:color="auto"/>
        <w:bottom w:val="none" w:sz="0" w:space="0" w:color="auto"/>
        <w:right w:val="none" w:sz="0" w:space="0" w:color="auto"/>
      </w:divBdr>
    </w:div>
    <w:div w:id="962349381">
      <w:bodyDiv w:val="1"/>
      <w:marLeft w:val="0"/>
      <w:marRight w:val="0"/>
      <w:marTop w:val="0"/>
      <w:marBottom w:val="0"/>
      <w:divBdr>
        <w:top w:val="none" w:sz="0" w:space="0" w:color="auto"/>
        <w:left w:val="none" w:sz="0" w:space="0" w:color="auto"/>
        <w:bottom w:val="none" w:sz="0" w:space="0" w:color="auto"/>
        <w:right w:val="none" w:sz="0" w:space="0" w:color="auto"/>
      </w:divBdr>
    </w:div>
    <w:div w:id="1014961279">
      <w:bodyDiv w:val="1"/>
      <w:marLeft w:val="0"/>
      <w:marRight w:val="0"/>
      <w:marTop w:val="0"/>
      <w:marBottom w:val="0"/>
      <w:divBdr>
        <w:top w:val="none" w:sz="0" w:space="0" w:color="auto"/>
        <w:left w:val="none" w:sz="0" w:space="0" w:color="auto"/>
        <w:bottom w:val="none" w:sz="0" w:space="0" w:color="auto"/>
        <w:right w:val="none" w:sz="0" w:space="0" w:color="auto"/>
      </w:divBdr>
      <w:divsChild>
        <w:div w:id="593830419">
          <w:marLeft w:val="0"/>
          <w:marRight w:val="0"/>
          <w:marTop w:val="0"/>
          <w:marBottom w:val="0"/>
          <w:divBdr>
            <w:top w:val="none" w:sz="0" w:space="0" w:color="auto"/>
            <w:left w:val="none" w:sz="0" w:space="0" w:color="auto"/>
            <w:bottom w:val="none" w:sz="0" w:space="0" w:color="auto"/>
            <w:right w:val="none" w:sz="0" w:space="0" w:color="auto"/>
          </w:divBdr>
          <w:divsChild>
            <w:div w:id="1083066237">
              <w:marLeft w:val="0"/>
              <w:marRight w:val="0"/>
              <w:marTop w:val="0"/>
              <w:marBottom w:val="0"/>
              <w:divBdr>
                <w:top w:val="none" w:sz="0" w:space="0" w:color="auto"/>
                <w:left w:val="none" w:sz="0" w:space="0" w:color="auto"/>
                <w:bottom w:val="none" w:sz="0" w:space="0" w:color="auto"/>
                <w:right w:val="none" w:sz="0" w:space="0" w:color="auto"/>
              </w:divBdr>
              <w:divsChild>
                <w:div w:id="634651289">
                  <w:marLeft w:val="0"/>
                  <w:marRight w:val="0"/>
                  <w:marTop w:val="0"/>
                  <w:marBottom w:val="0"/>
                  <w:divBdr>
                    <w:top w:val="none" w:sz="0" w:space="0" w:color="auto"/>
                    <w:left w:val="none" w:sz="0" w:space="0" w:color="auto"/>
                    <w:bottom w:val="none" w:sz="0" w:space="0" w:color="auto"/>
                    <w:right w:val="none" w:sz="0" w:space="0" w:color="auto"/>
                  </w:divBdr>
                  <w:divsChild>
                    <w:div w:id="1458259797">
                      <w:marLeft w:val="0"/>
                      <w:marRight w:val="0"/>
                      <w:marTop w:val="0"/>
                      <w:marBottom w:val="0"/>
                      <w:divBdr>
                        <w:top w:val="none" w:sz="0" w:space="0" w:color="auto"/>
                        <w:left w:val="none" w:sz="0" w:space="0" w:color="auto"/>
                        <w:bottom w:val="none" w:sz="0" w:space="0" w:color="auto"/>
                        <w:right w:val="none" w:sz="0" w:space="0" w:color="auto"/>
                      </w:divBdr>
                      <w:divsChild>
                        <w:div w:id="1117723777">
                          <w:marLeft w:val="0"/>
                          <w:marRight w:val="0"/>
                          <w:marTop w:val="0"/>
                          <w:marBottom w:val="0"/>
                          <w:divBdr>
                            <w:top w:val="none" w:sz="0" w:space="0" w:color="auto"/>
                            <w:left w:val="none" w:sz="0" w:space="0" w:color="auto"/>
                            <w:bottom w:val="none" w:sz="0" w:space="0" w:color="auto"/>
                            <w:right w:val="none" w:sz="0" w:space="0" w:color="auto"/>
                          </w:divBdr>
                          <w:divsChild>
                            <w:div w:id="1290283893">
                              <w:marLeft w:val="0"/>
                              <w:marRight w:val="0"/>
                              <w:marTop w:val="0"/>
                              <w:marBottom w:val="0"/>
                              <w:divBdr>
                                <w:top w:val="none" w:sz="0" w:space="0" w:color="auto"/>
                                <w:left w:val="none" w:sz="0" w:space="0" w:color="auto"/>
                                <w:bottom w:val="none" w:sz="0" w:space="0" w:color="auto"/>
                                <w:right w:val="none" w:sz="0" w:space="0" w:color="auto"/>
                              </w:divBdr>
                              <w:divsChild>
                                <w:div w:id="12737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3508">
                          <w:marLeft w:val="0"/>
                          <w:marRight w:val="0"/>
                          <w:marTop w:val="0"/>
                          <w:marBottom w:val="0"/>
                          <w:divBdr>
                            <w:top w:val="none" w:sz="0" w:space="0" w:color="auto"/>
                            <w:left w:val="none" w:sz="0" w:space="0" w:color="auto"/>
                            <w:bottom w:val="none" w:sz="0" w:space="0" w:color="auto"/>
                            <w:right w:val="none" w:sz="0" w:space="0" w:color="auto"/>
                          </w:divBdr>
                          <w:divsChild>
                            <w:div w:id="684013280">
                              <w:marLeft w:val="0"/>
                              <w:marRight w:val="0"/>
                              <w:marTop w:val="0"/>
                              <w:marBottom w:val="0"/>
                              <w:divBdr>
                                <w:top w:val="none" w:sz="0" w:space="0" w:color="auto"/>
                                <w:left w:val="none" w:sz="0" w:space="0" w:color="auto"/>
                                <w:bottom w:val="none" w:sz="0" w:space="0" w:color="auto"/>
                                <w:right w:val="none" w:sz="0" w:space="0" w:color="auto"/>
                              </w:divBdr>
                              <w:divsChild>
                                <w:div w:id="297075089">
                                  <w:marLeft w:val="0"/>
                                  <w:marRight w:val="0"/>
                                  <w:marTop w:val="0"/>
                                  <w:marBottom w:val="0"/>
                                  <w:divBdr>
                                    <w:top w:val="none" w:sz="0" w:space="0" w:color="auto"/>
                                    <w:left w:val="none" w:sz="0" w:space="0" w:color="auto"/>
                                    <w:bottom w:val="none" w:sz="0" w:space="0" w:color="auto"/>
                                    <w:right w:val="none" w:sz="0" w:space="0" w:color="auto"/>
                                  </w:divBdr>
                                  <w:divsChild>
                                    <w:div w:id="1917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065317">
              <w:marLeft w:val="0"/>
              <w:marRight w:val="0"/>
              <w:marTop w:val="0"/>
              <w:marBottom w:val="0"/>
              <w:divBdr>
                <w:top w:val="none" w:sz="0" w:space="0" w:color="auto"/>
                <w:left w:val="none" w:sz="0" w:space="0" w:color="auto"/>
                <w:bottom w:val="none" w:sz="0" w:space="0" w:color="auto"/>
                <w:right w:val="none" w:sz="0" w:space="0" w:color="auto"/>
              </w:divBdr>
              <w:divsChild>
                <w:div w:id="925383470">
                  <w:marLeft w:val="0"/>
                  <w:marRight w:val="0"/>
                  <w:marTop w:val="0"/>
                  <w:marBottom w:val="0"/>
                  <w:divBdr>
                    <w:top w:val="none" w:sz="0" w:space="0" w:color="auto"/>
                    <w:left w:val="none" w:sz="0" w:space="0" w:color="auto"/>
                    <w:bottom w:val="none" w:sz="0" w:space="0" w:color="auto"/>
                    <w:right w:val="none" w:sz="0" w:space="0" w:color="auto"/>
                  </w:divBdr>
                  <w:divsChild>
                    <w:div w:id="6800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0099">
      <w:bodyDiv w:val="1"/>
      <w:marLeft w:val="0"/>
      <w:marRight w:val="0"/>
      <w:marTop w:val="0"/>
      <w:marBottom w:val="0"/>
      <w:divBdr>
        <w:top w:val="none" w:sz="0" w:space="0" w:color="auto"/>
        <w:left w:val="none" w:sz="0" w:space="0" w:color="auto"/>
        <w:bottom w:val="none" w:sz="0" w:space="0" w:color="auto"/>
        <w:right w:val="none" w:sz="0" w:space="0" w:color="auto"/>
      </w:divBdr>
    </w:div>
    <w:div w:id="1113788001">
      <w:bodyDiv w:val="1"/>
      <w:marLeft w:val="0"/>
      <w:marRight w:val="0"/>
      <w:marTop w:val="0"/>
      <w:marBottom w:val="0"/>
      <w:divBdr>
        <w:top w:val="none" w:sz="0" w:space="0" w:color="auto"/>
        <w:left w:val="none" w:sz="0" w:space="0" w:color="auto"/>
        <w:bottom w:val="none" w:sz="0" w:space="0" w:color="auto"/>
        <w:right w:val="none" w:sz="0" w:space="0" w:color="auto"/>
      </w:divBdr>
    </w:div>
    <w:div w:id="1203640653">
      <w:bodyDiv w:val="1"/>
      <w:marLeft w:val="0"/>
      <w:marRight w:val="0"/>
      <w:marTop w:val="0"/>
      <w:marBottom w:val="0"/>
      <w:divBdr>
        <w:top w:val="none" w:sz="0" w:space="0" w:color="auto"/>
        <w:left w:val="none" w:sz="0" w:space="0" w:color="auto"/>
        <w:bottom w:val="none" w:sz="0" w:space="0" w:color="auto"/>
        <w:right w:val="none" w:sz="0" w:space="0" w:color="auto"/>
      </w:divBdr>
    </w:div>
    <w:div w:id="1226723046">
      <w:bodyDiv w:val="1"/>
      <w:marLeft w:val="0"/>
      <w:marRight w:val="0"/>
      <w:marTop w:val="0"/>
      <w:marBottom w:val="0"/>
      <w:divBdr>
        <w:top w:val="none" w:sz="0" w:space="0" w:color="auto"/>
        <w:left w:val="none" w:sz="0" w:space="0" w:color="auto"/>
        <w:bottom w:val="none" w:sz="0" w:space="0" w:color="auto"/>
        <w:right w:val="none" w:sz="0" w:space="0" w:color="auto"/>
      </w:divBdr>
    </w:div>
    <w:div w:id="1247687549">
      <w:bodyDiv w:val="1"/>
      <w:marLeft w:val="0"/>
      <w:marRight w:val="0"/>
      <w:marTop w:val="0"/>
      <w:marBottom w:val="0"/>
      <w:divBdr>
        <w:top w:val="none" w:sz="0" w:space="0" w:color="auto"/>
        <w:left w:val="none" w:sz="0" w:space="0" w:color="auto"/>
        <w:bottom w:val="none" w:sz="0" w:space="0" w:color="auto"/>
        <w:right w:val="none" w:sz="0" w:space="0" w:color="auto"/>
      </w:divBdr>
    </w:div>
    <w:div w:id="1323705149">
      <w:bodyDiv w:val="1"/>
      <w:marLeft w:val="0"/>
      <w:marRight w:val="0"/>
      <w:marTop w:val="0"/>
      <w:marBottom w:val="0"/>
      <w:divBdr>
        <w:top w:val="none" w:sz="0" w:space="0" w:color="auto"/>
        <w:left w:val="none" w:sz="0" w:space="0" w:color="auto"/>
        <w:bottom w:val="none" w:sz="0" w:space="0" w:color="auto"/>
        <w:right w:val="none" w:sz="0" w:space="0" w:color="auto"/>
      </w:divBdr>
    </w:div>
    <w:div w:id="1329090627">
      <w:bodyDiv w:val="1"/>
      <w:marLeft w:val="0"/>
      <w:marRight w:val="0"/>
      <w:marTop w:val="0"/>
      <w:marBottom w:val="0"/>
      <w:divBdr>
        <w:top w:val="none" w:sz="0" w:space="0" w:color="auto"/>
        <w:left w:val="none" w:sz="0" w:space="0" w:color="auto"/>
        <w:bottom w:val="none" w:sz="0" w:space="0" w:color="auto"/>
        <w:right w:val="none" w:sz="0" w:space="0" w:color="auto"/>
      </w:divBdr>
    </w:div>
    <w:div w:id="1400324025">
      <w:bodyDiv w:val="1"/>
      <w:marLeft w:val="0"/>
      <w:marRight w:val="0"/>
      <w:marTop w:val="0"/>
      <w:marBottom w:val="0"/>
      <w:divBdr>
        <w:top w:val="none" w:sz="0" w:space="0" w:color="auto"/>
        <w:left w:val="none" w:sz="0" w:space="0" w:color="auto"/>
        <w:bottom w:val="none" w:sz="0" w:space="0" w:color="auto"/>
        <w:right w:val="none" w:sz="0" w:space="0" w:color="auto"/>
      </w:divBdr>
    </w:div>
    <w:div w:id="1438871678">
      <w:bodyDiv w:val="1"/>
      <w:marLeft w:val="0"/>
      <w:marRight w:val="0"/>
      <w:marTop w:val="0"/>
      <w:marBottom w:val="0"/>
      <w:divBdr>
        <w:top w:val="none" w:sz="0" w:space="0" w:color="auto"/>
        <w:left w:val="none" w:sz="0" w:space="0" w:color="auto"/>
        <w:bottom w:val="none" w:sz="0" w:space="0" w:color="auto"/>
        <w:right w:val="none" w:sz="0" w:space="0" w:color="auto"/>
      </w:divBdr>
    </w:div>
    <w:div w:id="1523208343">
      <w:bodyDiv w:val="1"/>
      <w:marLeft w:val="0"/>
      <w:marRight w:val="0"/>
      <w:marTop w:val="0"/>
      <w:marBottom w:val="0"/>
      <w:divBdr>
        <w:top w:val="none" w:sz="0" w:space="0" w:color="auto"/>
        <w:left w:val="none" w:sz="0" w:space="0" w:color="auto"/>
        <w:bottom w:val="none" w:sz="0" w:space="0" w:color="auto"/>
        <w:right w:val="none" w:sz="0" w:space="0" w:color="auto"/>
      </w:divBdr>
    </w:div>
    <w:div w:id="1550339132">
      <w:bodyDiv w:val="1"/>
      <w:marLeft w:val="0"/>
      <w:marRight w:val="0"/>
      <w:marTop w:val="0"/>
      <w:marBottom w:val="0"/>
      <w:divBdr>
        <w:top w:val="none" w:sz="0" w:space="0" w:color="auto"/>
        <w:left w:val="none" w:sz="0" w:space="0" w:color="auto"/>
        <w:bottom w:val="none" w:sz="0" w:space="0" w:color="auto"/>
        <w:right w:val="none" w:sz="0" w:space="0" w:color="auto"/>
      </w:divBdr>
      <w:divsChild>
        <w:div w:id="2066292247">
          <w:marLeft w:val="0"/>
          <w:marRight w:val="0"/>
          <w:marTop w:val="0"/>
          <w:marBottom w:val="0"/>
          <w:divBdr>
            <w:top w:val="none" w:sz="0" w:space="0" w:color="auto"/>
            <w:left w:val="none" w:sz="0" w:space="0" w:color="auto"/>
            <w:bottom w:val="none" w:sz="0" w:space="0" w:color="auto"/>
            <w:right w:val="none" w:sz="0" w:space="0" w:color="auto"/>
          </w:divBdr>
          <w:divsChild>
            <w:div w:id="339048232">
              <w:marLeft w:val="0"/>
              <w:marRight w:val="0"/>
              <w:marTop w:val="0"/>
              <w:marBottom w:val="0"/>
              <w:divBdr>
                <w:top w:val="none" w:sz="0" w:space="0" w:color="auto"/>
                <w:left w:val="none" w:sz="0" w:space="0" w:color="auto"/>
                <w:bottom w:val="none" w:sz="0" w:space="0" w:color="auto"/>
                <w:right w:val="none" w:sz="0" w:space="0" w:color="auto"/>
              </w:divBdr>
              <w:divsChild>
                <w:div w:id="1158958463">
                  <w:marLeft w:val="0"/>
                  <w:marRight w:val="0"/>
                  <w:marTop w:val="0"/>
                  <w:marBottom w:val="0"/>
                  <w:divBdr>
                    <w:top w:val="none" w:sz="0" w:space="0" w:color="auto"/>
                    <w:left w:val="none" w:sz="0" w:space="0" w:color="auto"/>
                    <w:bottom w:val="none" w:sz="0" w:space="0" w:color="auto"/>
                    <w:right w:val="none" w:sz="0" w:space="0" w:color="auto"/>
                  </w:divBdr>
                  <w:divsChild>
                    <w:div w:id="727338722">
                      <w:marLeft w:val="0"/>
                      <w:marRight w:val="0"/>
                      <w:marTop w:val="0"/>
                      <w:marBottom w:val="0"/>
                      <w:divBdr>
                        <w:top w:val="none" w:sz="0" w:space="0" w:color="auto"/>
                        <w:left w:val="none" w:sz="0" w:space="0" w:color="auto"/>
                        <w:bottom w:val="none" w:sz="0" w:space="0" w:color="auto"/>
                        <w:right w:val="none" w:sz="0" w:space="0" w:color="auto"/>
                      </w:divBdr>
                      <w:divsChild>
                        <w:div w:id="2033066644">
                          <w:marLeft w:val="0"/>
                          <w:marRight w:val="0"/>
                          <w:marTop w:val="0"/>
                          <w:marBottom w:val="0"/>
                          <w:divBdr>
                            <w:top w:val="none" w:sz="0" w:space="0" w:color="auto"/>
                            <w:left w:val="none" w:sz="0" w:space="0" w:color="auto"/>
                            <w:bottom w:val="none" w:sz="0" w:space="0" w:color="auto"/>
                            <w:right w:val="none" w:sz="0" w:space="0" w:color="auto"/>
                          </w:divBdr>
                          <w:divsChild>
                            <w:div w:id="24252554">
                              <w:marLeft w:val="0"/>
                              <w:marRight w:val="0"/>
                              <w:marTop w:val="0"/>
                              <w:marBottom w:val="0"/>
                              <w:divBdr>
                                <w:top w:val="none" w:sz="0" w:space="0" w:color="auto"/>
                                <w:left w:val="none" w:sz="0" w:space="0" w:color="auto"/>
                                <w:bottom w:val="none" w:sz="0" w:space="0" w:color="auto"/>
                                <w:right w:val="none" w:sz="0" w:space="0" w:color="auto"/>
                              </w:divBdr>
                              <w:divsChild>
                                <w:div w:id="19744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04149">
                          <w:marLeft w:val="0"/>
                          <w:marRight w:val="0"/>
                          <w:marTop w:val="0"/>
                          <w:marBottom w:val="0"/>
                          <w:divBdr>
                            <w:top w:val="none" w:sz="0" w:space="0" w:color="auto"/>
                            <w:left w:val="none" w:sz="0" w:space="0" w:color="auto"/>
                            <w:bottom w:val="none" w:sz="0" w:space="0" w:color="auto"/>
                            <w:right w:val="none" w:sz="0" w:space="0" w:color="auto"/>
                          </w:divBdr>
                          <w:divsChild>
                            <w:div w:id="433550737">
                              <w:marLeft w:val="0"/>
                              <w:marRight w:val="0"/>
                              <w:marTop w:val="0"/>
                              <w:marBottom w:val="0"/>
                              <w:divBdr>
                                <w:top w:val="none" w:sz="0" w:space="0" w:color="auto"/>
                                <w:left w:val="none" w:sz="0" w:space="0" w:color="auto"/>
                                <w:bottom w:val="none" w:sz="0" w:space="0" w:color="auto"/>
                                <w:right w:val="none" w:sz="0" w:space="0" w:color="auto"/>
                              </w:divBdr>
                              <w:divsChild>
                                <w:div w:id="96944693">
                                  <w:marLeft w:val="0"/>
                                  <w:marRight w:val="0"/>
                                  <w:marTop w:val="0"/>
                                  <w:marBottom w:val="0"/>
                                  <w:divBdr>
                                    <w:top w:val="none" w:sz="0" w:space="0" w:color="auto"/>
                                    <w:left w:val="none" w:sz="0" w:space="0" w:color="auto"/>
                                    <w:bottom w:val="none" w:sz="0" w:space="0" w:color="auto"/>
                                    <w:right w:val="none" w:sz="0" w:space="0" w:color="auto"/>
                                  </w:divBdr>
                                  <w:divsChild>
                                    <w:div w:id="4561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06555">
              <w:marLeft w:val="0"/>
              <w:marRight w:val="0"/>
              <w:marTop w:val="0"/>
              <w:marBottom w:val="0"/>
              <w:divBdr>
                <w:top w:val="none" w:sz="0" w:space="0" w:color="auto"/>
                <w:left w:val="none" w:sz="0" w:space="0" w:color="auto"/>
                <w:bottom w:val="none" w:sz="0" w:space="0" w:color="auto"/>
                <w:right w:val="none" w:sz="0" w:space="0" w:color="auto"/>
              </w:divBdr>
              <w:divsChild>
                <w:div w:id="608895225">
                  <w:marLeft w:val="0"/>
                  <w:marRight w:val="0"/>
                  <w:marTop w:val="0"/>
                  <w:marBottom w:val="0"/>
                  <w:divBdr>
                    <w:top w:val="none" w:sz="0" w:space="0" w:color="auto"/>
                    <w:left w:val="none" w:sz="0" w:space="0" w:color="auto"/>
                    <w:bottom w:val="none" w:sz="0" w:space="0" w:color="auto"/>
                    <w:right w:val="none" w:sz="0" w:space="0" w:color="auto"/>
                  </w:divBdr>
                  <w:divsChild>
                    <w:div w:id="15466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83046">
      <w:bodyDiv w:val="1"/>
      <w:marLeft w:val="0"/>
      <w:marRight w:val="0"/>
      <w:marTop w:val="0"/>
      <w:marBottom w:val="0"/>
      <w:divBdr>
        <w:top w:val="none" w:sz="0" w:space="0" w:color="auto"/>
        <w:left w:val="none" w:sz="0" w:space="0" w:color="auto"/>
        <w:bottom w:val="none" w:sz="0" w:space="0" w:color="auto"/>
        <w:right w:val="none" w:sz="0" w:space="0" w:color="auto"/>
      </w:divBdr>
    </w:div>
    <w:div w:id="1662000899">
      <w:bodyDiv w:val="1"/>
      <w:marLeft w:val="0"/>
      <w:marRight w:val="0"/>
      <w:marTop w:val="0"/>
      <w:marBottom w:val="0"/>
      <w:divBdr>
        <w:top w:val="none" w:sz="0" w:space="0" w:color="auto"/>
        <w:left w:val="none" w:sz="0" w:space="0" w:color="auto"/>
        <w:bottom w:val="none" w:sz="0" w:space="0" w:color="auto"/>
        <w:right w:val="none" w:sz="0" w:space="0" w:color="auto"/>
      </w:divBdr>
    </w:div>
    <w:div w:id="202304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TotalTime>
  <Pages>16</Pages>
  <Words>7085</Words>
  <Characters>40387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Shoaib Rufsun</dc:creator>
  <cp:keywords/>
  <dc:description/>
  <cp:lastModifiedBy>SDI 1084</cp:lastModifiedBy>
  <cp:revision>15</cp:revision>
  <dcterms:created xsi:type="dcterms:W3CDTF">2025-05-26T08:15:00Z</dcterms:created>
  <dcterms:modified xsi:type="dcterms:W3CDTF">2025-05-29T10:06:00Z</dcterms:modified>
</cp:coreProperties>
</file>