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F5B55" w14:textId="77777777" w:rsidR="00583A55" w:rsidRPr="00583A55" w:rsidRDefault="00583A55" w:rsidP="00583A55">
      <w:pPr>
        <w:pStyle w:val="NoSpacing"/>
        <w:spacing w:line="180" w:lineRule="atLeast"/>
        <w:jc w:val="center"/>
        <w:rPr>
          <w:b/>
          <w:bCs/>
          <w:i/>
          <w:iCs/>
          <w:sz w:val="28"/>
          <w:szCs w:val="28"/>
          <w:u w:val="single"/>
        </w:rPr>
      </w:pPr>
      <w:r w:rsidRPr="00583A55">
        <w:rPr>
          <w:b/>
          <w:bCs/>
          <w:i/>
          <w:iCs/>
          <w:sz w:val="28"/>
          <w:szCs w:val="28"/>
          <w:u w:val="single"/>
        </w:rPr>
        <w:t>Original Research Article</w:t>
      </w:r>
    </w:p>
    <w:p w14:paraId="12A0DC0E" w14:textId="6A542D5E" w:rsidR="00912275" w:rsidRDefault="00397DE9">
      <w:pPr>
        <w:pStyle w:val="NoSpacing"/>
        <w:spacing w:line="180" w:lineRule="atLeast"/>
        <w:jc w:val="center"/>
        <w:rPr>
          <w:rFonts w:ascii="Times New Roman" w:hAnsi="Times New Roman"/>
          <w:b/>
          <w:sz w:val="28"/>
          <w:szCs w:val="28"/>
        </w:rPr>
      </w:pPr>
      <w:r w:rsidRPr="00397DE9">
        <w:rPr>
          <w:rFonts w:ascii="Times New Roman" w:hAnsi="Times New Roman"/>
          <w:b/>
          <w:sz w:val="28"/>
          <w:szCs w:val="28"/>
        </w:rPr>
        <w:t>Clinical Presentation of Heart Failure Patients Admitted to Community-Based Medical College Hospital, Bangladesh</w:t>
      </w:r>
    </w:p>
    <w:p w14:paraId="3A3566FB" w14:textId="549C884F" w:rsidR="003E1528" w:rsidRDefault="003E1528">
      <w:pPr>
        <w:pStyle w:val="NoSpacing"/>
        <w:spacing w:line="180" w:lineRule="atLeast"/>
        <w:jc w:val="center"/>
        <w:rPr>
          <w:rFonts w:ascii="Times New Roman" w:hAnsi="Times New Roman"/>
          <w:b/>
          <w:sz w:val="28"/>
          <w:szCs w:val="28"/>
        </w:rPr>
      </w:pPr>
    </w:p>
    <w:p w14:paraId="6C9CC5FD" w14:textId="77777777" w:rsidR="00D94B5B" w:rsidRDefault="00D94B5B" w:rsidP="000F4F13">
      <w:pPr>
        <w:pStyle w:val="NoSpacing"/>
        <w:spacing w:line="180" w:lineRule="atLeast"/>
        <w:rPr>
          <w:rFonts w:ascii="Times New Roman" w:hAnsi="Times New Roman" w:cs="Times New Roman"/>
          <w:sz w:val="24"/>
          <w:szCs w:val="24"/>
        </w:rPr>
      </w:pPr>
    </w:p>
    <w:p w14:paraId="7A885B70" w14:textId="77777777" w:rsidR="00693086" w:rsidRDefault="00693086" w:rsidP="000F4F13">
      <w:pPr>
        <w:pStyle w:val="NoSpacing"/>
        <w:spacing w:line="180" w:lineRule="atLeast"/>
        <w:rPr>
          <w:rFonts w:ascii="Times New Roman" w:hAnsi="Times New Roman" w:cs="Times New Roman"/>
          <w:sz w:val="24"/>
          <w:szCs w:val="24"/>
        </w:rPr>
      </w:pPr>
    </w:p>
    <w:p w14:paraId="556476B1" w14:textId="77777777" w:rsidR="00D94B5B" w:rsidRDefault="0001054F" w:rsidP="000F4F13">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74A8068" w14:textId="6E9D3DD3" w:rsidR="0009007B" w:rsidRPr="000F4F13" w:rsidRDefault="0009007B" w:rsidP="000F4F13">
      <w:pPr>
        <w:jc w:val="both"/>
        <w:rPr>
          <w:rStyle w:val="Strong"/>
          <w:rFonts w:eastAsia="SimSun"/>
          <w:b w:val="0"/>
          <w:bCs w:val="0"/>
          <w:i/>
          <w:iCs/>
          <w:sz w:val="20"/>
          <w:szCs w:val="20"/>
          <w:lang w:eastAsia="zh-CN"/>
        </w:rPr>
      </w:pPr>
      <w:r w:rsidRPr="000F4F13">
        <w:rPr>
          <w:rStyle w:val="Strong"/>
          <w:rFonts w:eastAsia="SimSun"/>
          <w:i/>
          <w:iCs/>
          <w:sz w:val="20"/>
          <w:szCs w:val="20"/>
          <w:lang w:eastAsia="zh-CN"/>
        </w:rPr>
        <w:t>Background:</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Heart failure remains a growing public health challenge in Bangladesh, yet comprehensive data from community-based hospitals are lacking. Understanding local clinical patterns is crucial for improving management strategies.</w:t>
      </w:r>
      <w:r w:rsidR="004E7F1C" w:rsidRPr="000F4F13">
        <w:rPr>
          <w:rStyle w:val="Strong"/>
          <w:rFonts w:eastAsia="SimSun"/>
          <w:b w:val="0"/>
          <w:bCs w:val="0"/>
          <w:i/>
          <w:iCs/>
          <w:sz w:val="20"/>
          <w:szCs w:val="20"/>
          <w:lang w:eastAsia="zh-CN"/>
        </w:rPr>
        <w:t xml:space="preserve"> </w:t>
      </w:r>
      <w:r w:rsidRPr="000F4F13">
        <w:rPr>
          <w:rStyle w:val="Strong"/>
          <w:rFonts w:eastAsia="SimSun"/>
          <w:i/>
          <w:iCs/>
          <w:sz w:val="20"/>
          <w:szCs w:val="20"/>
          <w:lang w:eastAsia="zh-CN"/>
        </w:rPr>
        <w:t>Objective:</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This study aimed to characterize the clinical presentation of heart failure patients admitted to a tertiary care hospital in Mymensingh, Bangladesh.</w:t>
      </w:r>
      <w:r w:rsidR="004E7F1C" w:rsidRPr="000F4F13">
        <w:rPr>
          <w:rStyle w:val="Strong"/>
          <w:rFonts w:eastAsia="SimSun"/>
          <w:b w:val="0"/>
          <w:bCs w:val="0"/>
          <w:i/>
          <w:iCs/>
          <w:sz w:val="20"/>
          <w:szCs w:val="20"/>
          <w:lang w:eastAsia="zh-CN"/>
        </w:rPr>
        <w:t xml:space="preserve"> </w:t>
      </w:r>
      <w:r w:rsidRPr="000F4F13">
        <w:rPr>
          <w:rStyle w:val="Strong"/>
          <w:rFonts w:eastAsia="SimSun"/>
          <w:i/>
          <w:iCs/>
          <w:sz w:val="20"/>
          <w:szCs w:val="20"/>
          <w:lang w:eastAsia="zh-CN"/>
        </w:rPr>
        <w:t>Methods:</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 xml:space="preserve">A prospective cross-sectional study was conducted at </w:t>
      </w:r>
      <w:r w:rsidR="00E11218" w:rsidRPr="000F4F13">
        <w:rPr>
          <w:rStyle w:val="Strong"/>
          <w:rFonts w:eastAsia="SimSun"/>
          <w:b w:val="0"/>
          <w:bCs w:val="0"/>
          <w:i/>
          <w:iCs/>
          <w:sz w:val="20"/>
          <w:szCs w:val="20"/>
          <w:lang w:eastAsia="zh-CN"/>
        </w:rPr>
        <w:t xml:space="preserve">the </w:t>
      </w:r>
      <w:r w:rsidRPr="000F4F13">
        <w:rPr>
          <w:rStyle w:val="Strong"/>
          <w:rFonts w:eastAsia="SimSun"/>
          <w:b w:val="0"/>
          <w:bCs w:val="0"/>
          <w:i/>
          <w:iCs/>
          <w:sz w:val="20"/>
          <w:szCs w:val="20"/>
          <w:lang w:eastAsia="zh-CN"/>
        </w:rPr>
        <w:t>Community-Based Medical College Hospital from January 202</w:t>
      </w:r>
      <w:r w:rsidR="00BC4A33" w:rsidRPr="000F4F13">
        <w:rPr>
          <w:rStyle w:val="Strong"/>
          <w:rFonts w:eastAsia="SimSun"/>
          <w:b w:val="0"/>
          <w:bCs w:val="0"/>
          <w:i/>
          <w:iCs/>
          <w:sz w:val="20"/>
          <w:szCs w:val="20"/>
          <w:lang w:eastAsia="zh-CN"/>
        </w:rPr>
        <w:t>3</w:t>
      </w:r>
      <w:r w:rsidRPr="000F4F13">
        <w:rPr>
          <w:rStyle w:val="Strong"/>
          <w:rFonts w:eastAsia="SimSun"/>
          <w:b w:val="0"/>
          <w:bCs w:val="0"/>
          <w:i/>
          <w:iCs/>
          <w:sz w:val="20"/>
          <w:szCs w:val="20"/>
          <w:lang w:eastAsia="zh-CN"/>
        </w:rPr>
        <w:t xml:space="preserve"> to December 202</w:t>
      </w:r>
      <w:r w:rsidR="00BC4A33" w:rsidRPr="000F4F13">
        <w:rPr>
          <w:rStyle w:val="Strong"/>
          <w:rFonts w:eastAsia="SimSun"/>
          <w:b w:val="0"/>
          <w:bCs w:val="0"/>
          <w:i/>
          <w:iCs/>
          <w:sz w:val="20"/>
          <w:szCs w:val="20"/>
          <w:lang w:eastAsia="zh-CN"/>
        </w:rPr>
        <w:t>4</w:t>
      </w:r>
      <w:r w:rsidRPr="000F4F13">
        <w:rPr>
          <w:rStyle w:val="Strong"/>
          <w:rFonts w:eastAsia="SimSun"/>
          <w:b w:val="0"/>
          <w:bCs w:val="0"/>
          <w:i/>
          <w:iCs/>
          <w:sz w:val="20"/>
          <w:szCs w:val="20"/>
          <w:lang w:eastAsia="zh-CN"/>
        </w:rPr>
        <w:t>. We enrolled 113 consecutive heart failure patients through purposive sampling. Data collection included detailed history, physical examination, and echocardiographic evaluation. Analysis was performed using MS Office tools.</w:t>
      </w:r>
      <w:r w:rsidR="004E7F1C" w:rsidRPr="000F4F13">
        <w:rPr>
          <w:rStyle w:val="Strong"/>
          <w:rFonts w:eastAsia="SimSun"/>
          <w:i/>
          <w:iCs/>
          <w:sz w:val="20"/>
          <w:szCs w:val="20"/>
          <w:lang w:eastAsia="zh-CN"/>
        </w:rPr>
        <w:t xml:space="preserve"> </w:t>
      </w:r>
      <w:r w:rsidRPr="000F4F13">
        <w:rPr>
          <w:rStyle w:val="Strong"/>
          <w:rFonts w:eastAsia="SimSun"/>
          <w:i/>
          <w:iCs/>
          <w:sz w:val="20"/>
          <w:szCs w:val="20"/>
          <w:lang w:eastAsia="zh-CN"/>
        </w:rPr>
        <w:t>Results:</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 xml:space="preserve">The cohort had </w:t>
      </w:r>
      <w:r w:rsidR="00E11218" w:rsidRPr="000F4F13">
        <w:rPr>
          <w:rStyle w:val="Strong"/>
          <w:rFonts w:eastAsia="SimSun"/>
          <w:b w:val="0"/>
          <w:bCs w:val="0"/>
          <w:i/>
          <w:iCs/>
          <w:sz w:val="20"/>
          <w:szCs w:val="20"/>
          <w:lang w:eastAsia="zh-CN"/>
        </w:rPr>
        <w:t xml:space="preserve">a </w:t>
      </w:r>
      <w:r w:rsidRPr="000F4F13">
        <w:rPr>
          <w:rStyle w:val="Strong"/>
          <w:rFonts w:eastAsia="SimSun"/>
          <w:b w:val="0"/>
          <w:bCs w:val="0"/>
          <w:i/>
          <w:iCs/>
          <w:sz w:val="20"/>
          <w:szCs w:val="20"/>
          <w:lang w:eastAsia="zh-CN"/>
        </w:rPr>
        <w:t xml:space="preserve">mean age </w:t>
      </w:r>
      <w:r w:rsidR="00E11218" w:rsidRPr="000F4F13">
        <w:rPr>
          <w:rStyle w:val="Strong"/>
          <w:rFonts w:eastAsia="SimSun"/>
          <w:b w:val="0"/>
          <w:bCs w:val="0"/>
          <w:i/>
          <w:iCs/>
          <w:sz w:val="20"/>
          <w:szCs w:val="20"/>
          <w:lang w:eastAsia="zh-CN"/>
        </w:rPr>
        <w:t xml:space="preserve">of </w:t>
      </w:r>
      <w:r w:rsidRPr="000F4F13">
        <w:rPr>
          <w:rStyle w:val="Strong"/>
          <w:rFonts w:eastAsia="SimSun"/>
          <w:b w:val="0"/>
          <w:bCs w:val="0"/>
          <w:i/>
          <w:iCs/>
          <w:sz w:val="20"/>
          <w:szCs w:val="20"/>
          <w:lang w:eastAsia="zh-CN"/>
        </w:rPr>
        <w:t xml:space="preserve">62.4±11.3 years with male predominance (75.2%). Most patients (81.4%) had reduced ejection fraction (≤40%). Common presentations included dyspnea (96.5%), orthopnea (86.7%), and basal crepitations (92.9%). Frequent comorbidities were diabetes (72.6%), hypertension (60.2%), and dyslipidemia (66.4%). Ischemic cardiomyopathy (51.3%) and hypertensive heart disease (60.2%) were </w:t>
      </w:r>
      <w:r w:rsidR="00705926" w:rsidRPr="000F4F13">
        <w:rPr>
          <w:rStyle w:val="Strong"/>
          <w:rFonts w:eastAsia="SimSun"/>
          <w:b w:val="0"/>
          <w:bCs w:val="0"/>
          <w:i/>
          <w:iCs/>
          <w:sz w:val="20"/>
          <w:szCs w:val="20"/>
          <w:lang w:eastAsia="zh-CN"/>
        </w:rPr>
        <w:t xml:space="preserve">the </w:t>
      </w:r>
      <w:r w:rsidRPr="000F4F13">
        <w:rPr>
          <w:rStyle w:val="Strong"/>
          <w:rFonts w:eastAsia="SimSun"/>
          <w:b w:val="0"/>
          <w:bCs w:val="0"/>
          <w:i/>
          <w:iCs/>
          <w:sz w:val="20"/>
          <w:szCs w:val="20"/>
          <w:lang w:eastAsia="zh-CN"/>
        </w:rPr>
        <w:t xml:space="preserve">leading etiologies. Physical signs included leg edema (83.2%) and elevated JVP (59.3%). Thyroid dysfunction was present in 20.4% </w:t>
      </w:r>
      <w:r w:rsidR="00705926" w:rsidRPr="000F4F13">
        <w:rPr>
          <w:rStyle w:val="Strong"/>
          <w:rFonts w:eastAsia="SimSun"/>
          <w:b w:val="0"/>
          <w:bCs w:val="0"/>
          <w:i/>
          <w:iCs/>
          <w:sz w:val="20"/>
          <w:szCs w:val="20"/>
          <w:lang w:eastAsia="zh-CN"/>
        </w:rPr>
        <w:t xml:space="preserve">of </w:t>
      </w:r>
      <w:r w:rsidRPr="000F4F13">
        <w:rPr>
          <w:rStyle w:val="Strong"/>
          <w:rFonts w:eastAsia="SimSun"/>
          <w:b w:val="0"/>
          <w:bCs w:val="0"/>
          <w:i/>
          <w:iCs/>
          <w:sz w:val="20"/>
          <w:szCs w:val="20"/>
          <w:lang w:eastAsia="zh-CN"/>
        </w:rPr>
        <w:t>cases.</w:t>
      </w:r>
      <w:r w:rsidR="004E7F1C" w:rsidRPr="000F4F13">
        <w:rPr>
          <w:rStyle w:val="Strong"/>
          <w:rFonts w:eastAsia="SimSun"/>
          <w:b w:val="0"/>
          <w:bCs w:val="0"/>
          <w:i/>
          <w:iCs/>
          <w:sz w:val="20"/>
          <w:szCs w:val="20"/>
          <w:lang w:eastAsia="zh-CN"/>
        </w:rPr>
        <w:t xml:space="preserve"> </w:t>
      </w:r>
      <w:r w:rsidRPr="000F4F13">
        <w:rPr>
          <w:rStyle w:val="Strong"/>
          <w:rFonts w:eastAsia="SimSun"/>
          <w:i/>
          <w:iCs/>
          <w:sz w:val="20"/>
          <w:szCs w:val="20"/>
          <w:lang w:eastAsia="zh-CN"/>
        </w:rPr>
        <w:t>Conclusion:</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 xml:space="preserve">This Bangladeshi heart failure cohort predominantly showed reduced ejection fraction with significant cardiometabolic comorbidities. The findings emphasize the need for focused prevention and management of ischemic and hypertensive heart disease in similar settings.  </w:t>
      </w:r>
    </w:p>
    <w:p w14:paraId="302CF71D" w14:textId="77777777" w:rsidR="0009007B" w:rsidRPr="000F4F13" w:rsidRDefault="0009007B" w:rsidP="000F4F13">
      <w:pPr>
        <w:jc w:val="both"/>
        <w:rPr>
          <w:rStyle w:val="Strong"/>
          <w:rFonts w:eastAsia="SimSun"/>
          <w:i/>
          <w:iCs/>
          <w:sz w:val="20"/>
          <w:szCs w:val="20"/>
          <w:lang w:eastAsia="zh-CN"/>
        </w:rPr>
      </w:pPr>
    </w:p>
    <w:p w14:paraId="4810EB80" w14:textId="7786C9C7" w:rsidR="0009007B" w:rsidRPr="00BC4A33" w:rsidRDefault="0009007B" w:rsidP="000F4F13">
      <w:pPr>
        <w:jc w:val="both"/>
        <w:rPr>
          <w:rStyle w:val="Strong"/>
          <w:rFonts w:eastAsia="SimSun"/>
          <w:b w:val="0"/>
          <w:bCs w:val="0"/>
          <w:sz w:val="20"/>
          <w:szCs w:val="20"/>
          <w:lang w:eastAsia="zh-CN"/>
        </w:rPr>
      </w:pPr>
      <w:r w:rsidRPr="000F4F13">
        <w:rPr>
          <w:rStyle w:val="Strong"/>
          <w:rFonts w:eastAsia="SimSun"/>
          <w:i/>
          <w:iCs/>
          <w:sz w:val="20"/>
          <w:szCs w:val="20"/>
          <w:lang w:eastAsia="zh-CN"/>
        </w:rPr>
        <w:t>Keywords:</w:t>
      </w:r>
      <w:r w:rsidR="004E7F1C" w:rsidRPr="000F4F13">
        <w:rPr>
          <w:rStyle w:val="Strong"/>
          <w:rFonts w:eastAsia="SimSun"/>
          <w:i/>
          <w:iCs/>
          <w:sz w:val="20"/>
          <w:szCs w:val="20"/>
          <w:lang w:eastAsia="zh-CN"/>
        </w:rPr>
        <w:t xml:space="preserve"> </w:t>
      </w:r>
      <w:r w:rsidR="004E7F1C" w:rsidRPr="000F4F13">
        <w:rPr>
          <w:rStyle w:val="Strong"/>
          <w:rFonts w:eastAsia="SimSun"/>
          <w:b w:val="0"/>
          <w:bCs w:val="0"/>
          <w:i/>
          <w:iCs/>
          <w:sz w:val="20"/>
          <w:szCs w:val="20"/>
          <w:lang w:eastAsia="zh-CN"/>
        </w:rPr>
        <w:t>Bangladesh, C</w:t>
      </w:r>
      <w:r w:rsidRPr="000F4F13">
        <w:rPr>
          <w:rStyle w:val="Strong"/>
          <w:rFonts w:eastAsia="SimSun"/>
          <w:b w:val="0"/>
          <w:bCs w:val="0"/>
          <w:i/>
          <w:iCs/>
          <w:sz w:val="20"/>
          <w:szCs w:val="20"/>
          <w:lang w:eastAsia="zh-CN"/>
        </w:rPr>
        <w:t xml:space="preserve">linical profile, </w:t>
      </w:r>
      <w:r w:rsidR="004E7F1C" w:rsidRPr="000F4F13">
        <w:rPr>
          <w:rStyle w:val="Strong"/>
          <w:rFonts w:eastAsia="SimSun"/>
          <w:b w:val="0"/>
          <w:bCs w:val="0"/>
          <w:i/>
          <w:iCs/>
          <w:sz w:val="20"/>
          <w:szCs w:val="20"/>
          <w:lang w:eastAsia="zh-CN"/>
        </w:rPr>
        <w:t>C</w:t>
      </w:r>
      <w:r w:rsidRPr="000F4F13">
        <w:rPr>
          <w:rStyle w:val="Strong"/>
          <w:rFonts w:eastAsia="SimSun"/>
          <w:b w:val="0"/>
          <w:bCs w:val="0"/>
          <w:i/>
          <w:iCs/>
          <w:sz w:val="20"/>
          <w:szCs w:val="20"/>
          <w:lang w:eastAsia="zh-CN"/>
        </w:rPr>
        <w:t xml:space="preserve">ommunity hospital, </w:t>
      </w:r>
      <w:r w:rsidR="004E7F1C" w:rsidRPr="000F4F13">
        <w:rPr>
          <w:rStyle w:val="Strong"/>
          <w:rFonts w:eastAsia="SimSun"/>
          <w:b w:val="0"/>
          <w:bCs w:val="0"/>
          <w:i/>
          <w:iCs/>
          <w:sz w:val="20"/>
          <w:szCs w:val="20"/>
          <w:lang w:eastAsia="zh-CN"/>
        </w:rPr>
        <w:t>Heart failure, P</w:t>
      </w:r>
      <w:r w:rsidRPr="000F4F13">
        <w:rPr>
          <w:rStyle w:val="Strong"/>
          <w:rFonts w:eastAsia="SimSun"/>
          <w:b w:val="0"/>
          <w:bCs w:val="0"/>
          <w:i/>
          <w:iCs/>
          <w:sz w:val="20"/>
          <w:szCs w:val="20"/>
          <w:lang w:eastAsia="zh-CN"/>
        </w:rPr>
        <w:t>rospective study</w:t>
      </w:r>
      <w:r w:rsidRPr="00BC4A33">
        <w:rPr>
          <w:rStyle w:val="Strong"/>
          <w:rFonts w:eastAsia="SimSun"/>
          <w:b w:val="0"/>
          <w:bCs w:val="0"/>
          <w:sz w:val="20"/>
          <w:szCs w:val="20"/>
          <w:lang w:eastAsia="zh-CN"/>
        </w:rPr>
        <w:t xml:space="preserve">  </w:t>
      </w:r>
    </w:p>
    <w:p w14:paraId="4C2770C8" w14:textId="77777777" w:rsidR="0009007B" w:rsidRPr="00BC4A33" w:rsidRDefault="0009007B" w:rsidP="00BC4A33">
      <w:pPr>
        <w:spacing w:line="276" w:lineRule="auto"/>
        <w:jc w:val="both"/>
        <w:rPr>
          <w:rStyle w:val="Strong"/>
          <w:rFonts w:eastAsia="SimSun"/>
          <w:sz w:val="20"/>
          <w:szCs w:val="20"/>
          <w:lang w:eastAsia="zh-CN"/>
        </w:rPr>
      </w:pPr>
    </w:p>
    <w:p w14:paraId="71C84B77" w14:textId="77777777" w:rsidR="00D94B5B" w:rsidRPr="00BC4A33" w:rsidRDefault="00D94B5B" w:rsidP="00BC4A33">
      <w:pPr>
        <w:pStyle w:val="NoSpacing"/>
        <w:spacing w:line="276" w:lineRule="auto"/>
        <w:jc w:val="both"/>
        <w:rPr>
          <w:rFonts w:ascii="Times New Roman" w:hAnsi="Times New Roman" w:cs="Times New Roman"/>
          <w:iCs/>
          <w:sz w:val="20"/>
          <w:szCs w:val="20"/>
        </w:rPr>
      </w:pPr>
    </w:p>
    <w:p w14:paraId="327D827E" w14:textId="77777777" w:rsidR="00F60535"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INTRODUCTION</w:t>
      </w:r>
    </w:p>
    <w:p w14:paraId="5A896872" w14:textId="63603BDD" w:rsidR="007E4B87" w:rsidRPr="00BC4A33" w:rsidRDefault="0009007B"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Heart failure (HF) represents a major global health burden, affecting approximately 64 million people worldwide, with a particularly high prevalence in low- and middle-income countries (LMICs) like Bangladesh [1]. The condition is characterized by high morbidity, mortality, and healthcare costs, making it a critical public health challenge [2,3]. In Bangladesh, the rising prevalence of cardiovascular risk factors, including hypertension, diabetes, and ischemic heart disease, has contributed to an increasing incidence of HF, yet data on its clinical presentation in community-based hospital settings remain limited [4,5].</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The clinical presentation of HF varies significantly across different populations and healthcare settings. While international guidelines provide standardized diagnostic and management approaches, regional variations in etiology, comorbidities, and healthcare access necessitate localized data for optimal patient care [6,7]. For instance, studies from South Asia have highlighted a higher burden of hypertensive and ischemic heart disease as underlying causes of HF compared to Western populations, where non-ischemic cardiomyopathies are more prevalent [8,9]. Additionally, socioeconomic factors, late presentation, and limited access to advanced therapies further complicate HF management in resource-limited settings like Bangladesh [10]. Community-based hospitals in Bangladesh serve as primary referral centers for HF patients, yet there is a paucity of prospective studies describing their clinical profiles. Most existing data come from tertiary care centers in urban areas, which may not reflect the realities of smaller hospitals serving rural populations [11,12]. Understanding the demographic characteristics, symptom patterns, and etiological spectrum of HF in these settings is crucial for developing tailored prevention and treatment strategies [13].</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 xml:space="preserve">This study aimed to prospectively evaluate the clinical presentation of HF patients admitted to Community-Based Medical College Hospital, a tertiary care facility in Mymensingh, Bangladesh. </w:t>
      </w:r>
      <w:r w:rsidR="00833166" w:rsidRPr="00BC4A33">
        <w:rPr>
          <w:rFonts w:ascii="Times New Roman" w:hAnsi="Times New Roman" w:cs="Times New Roman"/>
          <w:sz w:val="20"/>
          <w:szCs w:val="20"/>
        </w:rPr>
        <w:t>Specifically, this study aimed to describe the demographic and clinical characteristics of heart failure patients, identify common comorbidities and underlying etiological factors, and document the prevalence of key symptoms and signs at presentation among patients admitted to the study facility.</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 xml:space="preserve">By addressing these objectives, our findings will contribute to the limited body of literature on HF in Bangladeshi community hospitals and inform local healthcare policies. Furthermore, the results may help clinicians in similar settings recognize typical HF presentations early, initiate appropriate management, and reduce preventable complications [14,15].  </w:t>
      </w:r>
    </w:p>
    <w:p w14:paraId="688BFBF0" w14:textId="77777777" w:rsidR="00F17703" w:rsidRPr="00BC4A33" w:rsidRDefault="00F17703" w:rsidP="00BC4A33">
      <w:pPr>
        <w:pStyle w:val="NoSpacing"/>
        <w:spacing w:line="276" w:lineRule="auto"/>
        <w:jc w:val="both"/>
        <w:rPr>
          <w:rFonts w:ascii="Times New Roman" w:hAnsi="Times New Roman" w:cs="Times New Roman"/>
          <w:b/>
          <w:bCs/>
          <w:sz w:val="20"/>
          <w:szCs w:val="20"/>
        </w:rPr>
      </w:pPr>
    </w:p>
    <w:p w14:paraId="5F9829CB" w14:textId="77777777" w:rsidR="00F17703" w:rsidRPr="00BC4A33" w:rsidRDefault="00723F69"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lastRenderedPageBreak/>
        <w:t>METHODOLOGY</w:t>
      </w:r>
    </w:p>
    <w:p w14:paraId="62BF63B0" w14:textId="15E485F5" w:rsidR="00F17703" w:rsidRPr="00BC4A33" w:rsidRDefault="00833166" w:rsidP="00BC4A33">
      <w:pPr>
        <w:pStyle w:val="NoSpacing"/>
        <w:spacing w:line="276" w:lineRule="auto"/>
        <w:jc w:val="both"/>
        <w:rPr>
          <w:rStyle w:val="Strong"/>
          <w:rFonts w:ascii="Times New Roman" w:hAnsi="Times New Roman" w:cs="Times New Roman"/>
          <w:b w:val="0"/>
          <w:bCs w:val="0"/>
          <w:sz w:val="20"/>
          <w:szCs w:val="20"/>
        </w:rPr>
      </w:pPr>
      <w:r w:rsidRPr="00BC4A33">
        <w:rPr>
          <w:rStyle w:val="Strong"/>
          <w:rFonts w:ascii="Times New Roman" w:hAnsi="Times New Roman" w:cs="Times New Roman"/>
          <w:b w:val="0"/>
          <w:bCs w:val="0"/>
          <w:sz w:val="20"/>
          <w:szCs w:val="20"/>
        </w:rPr>
        <w:t xml:space="preserve">This prospective cross-sectional study was conducted at Community-Based Medical College Hospital, Mymensingh, Bangladesh, from January 2022 to December 2023. We purposively recruited 113 consecutive adult patients (age ≥18 years) admitted with a primary diagnosis of heart failure, as defined by the 2021 ESC Guidelines [16]. Data were collected through face-to-face interviews using a structured questionnaire, comprehensive physical examinations, and review of medical records. Trained cardiologists performed echocardiographic assessment to determine ejection fraction and cardiac structural abnormalities. Demographic variables (age, sex), clinical parameters (vital signs, NYHA functional class), comorbidities (hypertension, diabetes), and physical findings (edema, jugular venous distension) were systematically recorded. Laboratory investigations included complete blood count, renal function tests, and thyroid profile. Data analysis was performed using Microsoft Excel 2019, with categorical variables presented as frequencies/percentages and continuous variables as mean±SD. </w:t>
      </w:r>
    </w:p>
    <w:p w14:paraId="72441CAC" w14:textId="77777777" w:rsidR="00CE6E53" w:rsidRPr="00BC4A33" w:rsidRDefault="00CE6E53" w:rsidP="00BC4A33">
      <w:pPr>
        <w:pStyle w:val="NoSpacing"/>
        <w:spacing w:line="276" w:lineRule="auto"/>
        <w:jc w:val="both"/>
        <w:rPr>
          <w:rFonts w:ascii="Times New Roman" w:hAnsi="Times New Roman" w:cs="Times New Roman"/>
          <w:b/>
          <w:bCs/>
          <w:sz w:val="20"/>
          <w:szCs w:val="20"/>
        </w:rPr>
      </w:pPr>
    </w:p>
    <w:p w14:paraId="444A0EBA" w14:textId="6B8830A7" w:rsidR="00D94B5B"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RESULT</w:t>
      </w:r>
    </w:p>
    <w:p w14:paraId="621F716E" w14:textId="7DBDFA0F" w:rsidR="00833166" w:rsidRPr="00BC4A33" w:rsidRDefault="00833166"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The study included 113 heart failure patients with a mean age of 62.4 ± 11.3 years, showing a male predominance (75.2%). The majority of patients (81.4%) presented with reduced ejection fraction (≤40%), while 18.6% had preserved ejection fraction (&gt;40%).</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Cardiovascular symptoms were nearly universal, with shortness of breath reported by 96.5% of participants. Orthopnea affected 86.7% of cases, while paroxysmal nocturnal dyspnea was present in 77.0%. Physical examination revealed bilateral basal crepitations in 92.9% of patients, with peripheral edema observed in 83.2% and elevated jugular venous pressure in 59.3%.</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Comorbidities were highly prevalent, including diabetes mellitus (72.6%), hypertension (60.2%), and dyslipidemia (66.4%). Atrial fibrillation was documented in 43.4% of cases. The primary etiologies were ischemic cardiomyopathy (51.3%) and hypertensive heart disease (60.2%). Thyroid dysfunction was present in 20.4% of patients, with hypothyroidism (12.4%) being more common than hyperthyroidism (8.0%).</w:t>
      </w:r>
      <w:r w:rsidR="00F17703" w:rsidRPr="00BC4A33">
        <w:rPr>
          <w:rFonts w:ascii="Times New Roman" w:hAnsi="Times New Roman" w:cs="Times New Roman"/>
          <w:sz w:val="20"/>
          <w:szCs w:val="20"/>
        </w:rPr>
        <w:t xml:space="preserve"> </w:t>
      </w:r>
      <w:r w:rsidRPr="00BC4A33">
        <w:rPr>
          <w:rFonts w:ascii="Times New Roman" w:hAnsi="Times New Roman" w:cs="Times New Roman"/>
          <w:sz w:val="20"/>
          <w:szCs w:val="20"/>
        </w:rPr>
        <w:t xml:space="preserve">Hemodynamic parameters showed that 78.8% of patients had systolic blood pressure below 116 mmHg, while 84.1% had diastolic blood pressure under 75.77 mmHg. Tachycardia (heart rate ≥85 bpm) was observed in 69.9% of the cohort. These findings demonstrate a characteristic pattern of congestive heart failure with significant metabolic comorbidities in this Bangladeshi population.  </w:t>
      </w:r>
    </w:p>
    <w:p w14:paraId="63D6386B" w14:textId="77777777" w:rsidR="00912275" w:rsidRPr="00BC4A33" w:rsidRDefault="00912275" w:rsidP="00BC4A33">
      <w:pPr>
        <w:pStyle w:val="NoSpacing"/>
        <w:spacing w:line="276" w:lineRule="auto"/>
        <w:jc w:val="both"/>
        <w:rPr>
          <w:rFonts w:ascii="Times New Roman" w:hAnsi="Times New Roman" w:cs="Times New Roman"/>
          <w:sz w:val="20"/>
          <w:szCs w:val="20"/>
        </w:rPr>
      </w:pPr>
    </w:p>
    <w:p w14:paraId="766D3C1B" w14:textId="687D2C3D" w:rsidR="00833166" w:rsidRPr="00BC4A33" w:rsidRDefault="004E7F1C"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drawing>
          <wp:inline distT="0" distB="0" distL="0" distR="0" wp14:anchorId="25171C65" wp14:editId="22396721">
            <wp:extent cx="2596662" cy="2039620"/>
            <wp:effectExtent l="0" t="0" r="13335" b="17780"/>
            <wp:docPr id="542714301" name="Chart 1">
              <a:extLst xmlns:a="http://schemas.openxmlformats.org/drawingml/2006/main">
                <a:ext uri="{FF2B5EF4-FFF2-40B4-BE49-F238E27FC236}">
                  <a16:creationId xmlns:a16="http://schemas.microsoft.com/office/drawing/2014/main" id="{3AE7CE94-5ACB-9571-0907-10CF8F0F16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0B8E7B" w14:textId="0F362586" w:rsidR="00AC2880" w:rsidRPr="00BC4A33" w:rsidRDefault="00AC2880" w:rsidP="00BC4A33">
      <w:pPr>
        <w:pStyle w:val="NoSpacing"/>
        <w:spacing w:line="276" w:lineRule="auto"/>
        <w:jc w:val="center"/>
        <w:rPr>
          <w:rFonts w:ascii="Times New Roman" w:hAnsi="Times New Roman" w:cs="Times New Roman"/>
          <w:i/>
          <w:iCs/>
          <w:color w:val="4472C4" w:themeColor="accent1"/>
          <w:sz w:val="20"/>
          <w:szCs w:val="20"/>
        </w:rPr>
      </w:pPr>
      <w:bookmarkStart w:id="0" w:name="_Hlk198007406"/>
      <w:r w:rsidRPr="00BC4A33">
        <w:rPr>
          <w:rFonts w:ascii="Times New Roman" w:hAnsi="Times New Roman" w:cs="Times New Roman"/>
          <w:b/>
          <w:bCs/>
          <w:i/>
          <w:iCs/>
          <w:color w:val="4472C4" w:themeColor="accent1"/>
          <w:sz w:val="20"/>
          <w:szCs w:val="20"/>
        </w:rPr>
        <w:t xml:space="preserve">Figure 1: </w:t>
      </w:r>
      <w:r w:rsidRPr="00BC4A33">
        <w:rPr>
          <w:rFonts w:ascii="Times New Roman" w:hAnsi="Times New Roman" w:cs="Times New Roman"/>
          <w:i/>
          <w:iCs/>
          <w:color w:val="4472C4" w:themeColor="accent1"/>
          <w:sz w:val="20"/>
          <w:szCs w:val="20"/>
        </w:rPr>
        <w:t>Distribution of age (N=113)</w:t>
      </w:r>
      <w:bookmarkEnd w:id="0"/>
    </w:p>
    <w:p w14:paraId="78789D36" w14:textId="77777777" w:rsidR="00AC2880" w:rsidRPr="00BC4A33" w:rsidRDefault="00AC2880" w:rsidP="00BC4A33">
      <w:pPr>
        <w:pStyle w:val="NoSpacing"/>
        <w:spacing w:line="276" w:lineRule="auto"/>
        <w:jc w:val="both"/>
        <w:rPr>
          <w:rFonts w:ascii="Times New Roman" w:hAnsi="Times New Roman" w:cs="Times New Roman"/>
          <w:b/>
          <w:bCs/>
          <w:sz w:val="20"/>
          <w:szCs w:val="20"/>
        </w:rPr>
      </w:pPr>
    </w:p>
    <w:p w14:paraId="17ADA738" w14:textId="414095CD" w:rsidR="00833166" w:rsidRPr="00BC4A33" w:rsidRDefault="00941484"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drawing>
          <wp:inline distT="0" distB="0" distL="0" distR="0" wp14:anchorId="65BFA6CC" wp14:editId="7AEECCAD">
            <wp:extent cx="2567305" cy="1623646"/>
            <wp:effectExtent l="0" t="0" r="4445" b="15240"/>
            <wp:docPr id="1537192156" name="Chart 1">
              <a:extLst xmlns:a="http://schemas.openxmlformats.org/drawingml/2006/main">
                <a:ext uri="{FF2B5EF4-FFF2-40B4-BE49-F238E27FC236}">
                  <a16:creationId xmlns:a16="http://schemas.microsoft.com/office/drawing/2014/main" id="{5A4E4F87-0BEA-A380-2701-8792B64B7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B619B3" w14:textId="06A207E3" w:rsidR="00AC2880" w:rsidRPr="00BC4A33" w:rsidRDefault="00AC2880" w:rsidP="00BC4A33">
      <w:pPr>
        <w:pStyle w:val="NoSpacing"/>
        <w:spacing w:line="276" w:lineRule="auto"/>
        <w:jc w:val="center"/>
        <w:rPr>
          <w:rFonts w:ascii="Times New Roman" w:hAnsi="Times New Roman" w:cs="Times New Roman"/>
          <w:i/>
          <w:iCs/>
          <w:color w:val="4472C4" w:themeColor="accent1"/>
          <w:sz w:val="20"/>
          <w:szCs w:val="20"/>
        </w:rPr>
      </w:pPr>
      <w:r w:rsidRPr="00BC4A33">
        <w:rPr>
          <w:rFonts w:ascii="Times New Roman" w:hAnsi="Times New Roman" w:cs="Times New Roman"/>
          <w:b/>
          <w:bCs/>
          <w:i/>
          <w:iCs/>
          <w:color w:val="4472C4" w:themeColor="accent1"/>
          <w:sz w:val="20"/>
          <w:szCs w:val="20"/>
        </w:rPr>
        <w:t xml:space="preserve">Figure </w:t>
      </w:r>
      <w:r w:rsidR="00CB688D" w:rsidRPr="00BC4A33">
        <w:rPr>
          <w:rFonts w:ascii="Times New Roman" w:hAnsi="Times New Roman" w:cs="Times New Roman"/>
          <w:b/>
          <w:bCs/>
          <w:i/>
          <w:iCs/>
          <w:color w:val="4472C4" w:themeColor="accent1"/>
          <w:sz w:val="20"/>
          <w:szCs w:val="20"/>
        </w:rPr>
        <w:t>2</w:t>
      </w:r>
      <w:r w:rsidRPr="00BC4A33">
        <w:rPr>
          <w:rFonts w:ascii="Times New Roman" w:hAnsi="Times New Roman" w:cs="Times New Roman"/>
          <w:b/>
          <w:bCs/>
          <w:i/>
          <w:iCs/>
          <w:color w:val="4472C4" w:themeColor="accent1"/>
          <w:sz w:val="20"/>
          <w:szCs w:val="20"/>
        </w:rPr>
        <w:t xml:space="preserve">: </w:t>
      </w:r>
      <w:r w:rsidRPr="00BC4A33">
        <w:rPr>
          <w:rFonts w:ascii="Times New Roman" w:hAnsi="Times New Roman" w:cs="Times New Roman"/>
          <w:i/>
          <w:iCs/>
          <w:color w:val="4472C4" w:themeColor="accent1"/>
          <w:sz w:val="20"/>
          <w:szCs w:val="20"/>
        </w:rPr>
        <w:t>Distribution of gender</w:t>
      </w:r>
    </w:p>
    <w:p w14:paraId="29CD9907" w14:textId="77777777" w:rsidR="00941484" w:rsidRPr="00BC4A33" w:rsidRDefault="00941484" w:rsidP="00BC4A33">
      <w:pPr>
        <w:pStyle w:val="NoSpacing"/>
        <w:spacing w:line="276" w:lineRule="auto"/>
        <w:jc w:val="both"/>
        <w:rPr>
          <w:rFonts w:ascii="Times New Roman" w:hAnsi="Times New Roman" w:cs="Times New Roman"/>
          <w:b/>
          <w:bCs/>
          <w:sz w:val="20"/>
          <w:szCs w:val="20"/>
        </w:rPr>
      </w:pPr>
    </w:p>
    <w:p w14:paraId="7E980991" w14:textId="39FF17C4" w:rsidR="00833166" w:rsidRPr="00BC4A33" w:rsidRDefault="00833166"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b/>
          <w:bCs/>
          <w:sz w:val="20"/>
          <w:szCs w:val="20"/>
        </w:rPr>
        <w:t xml:space="preserve">Table </w:t>
      </w:r>
      <w:r w:rsidR="00CB688D" w:rsidRPr="00BC4A33">
        <w:rPr>
          <w:rFonts w:ascii="Times New Roman" w:hAnsi="Times New Roman" w:cs="Times New Roman"/>
          <w:b/>
          <w:bCs/>
          <w:sz w:val="20"/>
          <w:szCs w:val="20"/>
        </w:rPr>
        <w:t>1</w:t>
      </w:r>
      <w:r w:rsidRPr="00BC4A33">
        <w:rPr>
          <w:rFonts w:ascii="Times New Roman" w:hAnsi="Times New Roman" w:cs="Times New Roman"/>
          <w:b/>
          <w:bCs/>
          <w:sz w:val="20"/>
          <w:szCs w:val="20"/>
        </w:rPr>
        <w:t xml:space="preserve">: </w:t>
      </w:r>
      <w:r w:rsidRPr="00BC4A33">
        <w:rPr>
          <w:rFonts w:ascii="Times New Roman" w:hAnsi="Times New Roman" w:cs="Times New Roman"/>
          <w:sz w:val="20"/>
          <w:szCs w:val="20"/>
        </w:rPr>
        <w:t xml:space="preserve">Clinical and </w:t>
      </w:r>
      <w:r w:rsidR="00AC2880" w:rsidRPr="00BC4A33">
        <w:rPr>
          <w:rFonts w:ascii="Times New Roman" w:hAnsi="Times New Roman" w:cs="Times New Roman"/>
          <w:sz w:val="20"/>
          <w:szCs w:val="20"/>
        </w:rPr>
        <w:t>h</w:t>
      </w:r>
      <w:r w:rsidRPr="00BC4A33">
        <w:rPr>
          <w:rFonts w:ascii="Times New Roman" w:hAnsi="Times New Roman" w:cs="Times New Roman"/>
          <w:sz w:val="20"/>
          <w:szCs w:val="20"/>
        </w:rPr>
        <w:t xml:space="preserve">emodynamic </w:t>
      </w:r>
      <w:r w:rsidR="00AC2880" w:rsidRPr="00BC4A33">
        <w:rPr>
          <w:rFonts w:ascii="Times New Roman" w:hAnsi="Times New Roman" w:cs="Times New Roman"/>
          <w:sz w:val="20"/>
          <w:szCs w:val="20"/>
        </w:rPr>
        <w:t>p</w:t>
      </w:r>
      <w:r w:rsidRPr="00BC4A33">
        <w:rPr>
          <w:rFonts w:ascii="Times New Roman" w:hAnsi="Times New Roman" w:cs="Times New Roman"/>
          <w:sz w:val="20"/>
          <w:szCs w:val="20"/>
        </w:rPr>
        <w:t xml:space="preserve">arameters </w:t>
      </w:r>
    </w:p>
    <w:tbl>
      <w:tblPr>
        <w:tblStyle w:val="GridTable1Light-Accent6"/>
        <w:tblW w:w="5000" w:type="pct"/>
        <w:tblLook w:val="04A0" w:firstRow="1" w:lastRow="0" w:firstColumn="1" w:lastColumn="0" w:noHBand="0" w:noVBand="1"/>
      </w:tblPr>
      <w:tblGrid>
        <w:gridCol w:w="2642"/>
        <w:gridCol w:w="2775"/>
        <w:gridCol w:w="1708"/>
        <w:gridCol w:w="1894"/>
      </w:tblGrid>
      <w:tr w:rsidR="00833166" w:rsidRPr="00BC4A33" w14:paraId="76CB706D" w14:textId="77777777" w:rsidTr="00E1121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4" w:type="pct"/>
            <w:noWrap/>
            <w:vAlign w:val="center"/>
            <w:hideMark/>
          </w:tcPr>
          <w:p w14:paraId="3915FF69"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Parameter</w:t>
            </w:r>
          </w:p>
        </w:tc>
        <w:tc>
          <w:tcPr>
            <w:tcW w:w="1538" w:type="pct"/>
            <w:noWrap/>
            <w:vAlign w:val="center"/>
            <w:hideMark/>
          </w:tcPr>
          <w:p w14:paraId="1BF43BE9" w14:textId="77777777" w:rsidR="00833166" w:rsidRPr="00BC4A33" w:rsidRDefault="00833166"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Category</w:t>
            </w:r>
          </w:p>
        </w:tc>
        <w:tc>
          <w:tcPr>
            <w:tcW w:w="947" w:type="pct"/>
            <w:noWrap/>
            <w:vAlign w:val="center"/>
            <w:hideMark/>
          </w:tcPr>
          <w:p w14:paraId="03AB082E" w14:textId="19D57709" w:rsidR="00833166" w:rsidRPr="00BC4A33" w:rsidRDefault="00833166"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n</w:t>
            </w:r>
          </w:p>
        </w:tc>
        <w:tc>
          <w:tcPr>
            <w:tcW w:w="1050" w:type="pct"/>
            <w:noWrap/>
            <w:vAlign w:val="center"/>
            <w:hideMark/>
          </w:tcPr>
          <w:p w14:paraId="53657878" w14:textId="6D59D41E" w:rsidR="00833166" w:rsidRPr="00BC4A33" w:rsidRDefault="00833166"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w:t>
            </w:r>
          </w:p>
        </w:tc>
      </w:tr>
      <w:tr w:rsidR="00833166" w:rsidRPr="00BC4A33" w14:paraId="11594753"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75A507D2"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Ejection Fraction (EF)</w:t>
            </w:r>
          </w:p>
        </w:tc>
        <w:tc>
          <w:tcPr>
            <w:tcW w:w="1538" w:type="pct"/>
            <w:noWrap/>
            <w:vAlign w:val="center"/>
            <w:hideMark/>
          </w:tcPr>
          <w:p w14:paraId="5729F7C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≤40% (HFrEF)</w:t>
            </w:r>
          </w:p>
        </w:tc>
        <w:tc>
          <w:tcPr>
            <w:tcW w:w="947" w:type="pct"/>
            <w:noWrap/>
            <w:vAlign w:val="center"/>
            <w:hideMark/>
          </w:tcPr>
          <w:p w14:paraId="00145EB3"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92</w:t>
            </w:r>
          </w:p>
        </w:tc>
        <w:tc>
          <w:tcPr>
            <w:tcW w:w="1050" w:type="pct"/>
            <w:noWrap/>
            <w:vAlign w:val="center"/>
            <w:hideMark/>
          </w:tcPr>
          <w:p w14:paraId="2881A9BC"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81.4%</w:t>
            </w:r>
          </w:p>
        </w:tc>
      </w:tr>
      <w:tr w:rsidR="00833166" w:rsidRPr="00BC4A33" w14:paraId="54040849"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2911FAD8"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31D0F315"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&gt;40% (HFpEF/HFmrEF)</w:t>
            </w:r>
          </w:p>
        </w:tc>
        <w:tc>
          <w:tcPr>
            <w:tcW w:w="947" w:type="pct"/>
            <w:noWrap/>
            <w:vAlign w:val="center"/>
            <w:hideMark/>
          </w:tcPr>
          <w:p w14:paraId="380A3276"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21</w:t>
            </w:r>
          </w:p>
        </w:tc>
        <w:tc>
          <w:tcPr>
            <w:tcW w:w="1050" w:type="pct"/>
            <w:noWrap/>
            <w:vAlign w:val="center"/>
            <w:hideMark/>
          </w:tcPr>
          <w:p w14:paraId="7A3EBDCB"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18.6%</w:t>
            </w:r>
          </w:p>
        </w:tc>
      </w:tr>
      <w:tr w:rsidR="00833166" w:rsidRPr="00BC4A33" w14:paraId="566F5185"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39BEB5F5"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Systolic BP</w:t>
            </w:r>
          </w:p>
        </w:tc>
        <w:tc>
          <w:tcPr>
            <w:tcW w:w="1538" w:type="pct"/>
            <w:noWrap/>
            <w:vAlign w:val="center"/>
            <w:hideMark/>
          </w:tcPr>
          <w:p w14:paraId="64573EE2"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&lt;116 mmHg</w:t>
            </w:r>
          </w:p>
        </w:tc>
        <w:tc>
          <w:tcPr>
            <w:tcW w:w="947" w:type="pct"/>
            <w:noWrap/>
            <w:vAlign w:val="center"/>
            <w:hideMark/>
          </w:tcPr>
          <w:p w14:paraId="02145DD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89</w:t>
            </w:r>
          </w:p>
        </w:tc>
        <w:tc>
          <w:tcPr>
            <w:tcW w:w="1050" w:type="pct"/>
            <w:noWrap/>
            <w:vAlign w:val="center"/>
            <w:hideMark/>
          </w:tcPr>
          <w:p w14:paraId="6261A121"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78.8%</w:t>
            </w:r>
          </w:p>
        </w:tc>
      </w:tr>
      <w:tr w:rsidR="00833166" w:rsidRPr="00BC4A33" w14:paraId="312EA8B3"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079746B1"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517FB2F1"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≥116 mmHg</w:t>
            </w:r>
          </w:p>
        </w:tc>
        <w:tc>
          <w:tcPr>
            <w:tcW w:w="947" w:type="pct"/>
            <w:noWrap/>
            <w:vAlign w:val="center"/>
            <w:hideMark/>
          </w:tcPr>
          <w:p w14:paraId="2B009BB2"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24</w:t>
            </w:r>
          </w:p>
        </w:tc>
        <w:tc>
          <w:tcPr>
            <w:tcW w:w="1050" w:type="pct"/>
            <w:noWrap/>
            <w:vAlign w:val="center"/>
            <w:hideMark/>
          </w:tcPr>
          <w:p w14:paraId="5161D4D4"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21.2%</w:t>
            </w:r>
          </w:p>
        </w:tc>
      </w:tr>
      <w:tr w:rsidR="00833166" w:rsidRPr="00BC4A33" w14:paraId="0023F075"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660AB324"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Diastolic BP</w:t>
            </w:r>
          </w:p>
        </w:tc>
        <w:tc>
          <w:tcPr>
            <w:tcW w:w="1538" w:type="pct"/>
            <w:noWrap/>
            <w:vAlign w:val="center"/>
            <w:hideMark/>
          </w:tcPr>
          <w:p w14:paraId="43875D4B"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&lt;75.77 mmHg</w:t>
            </w:r>
          </w:p>
        </w:tc>
        <w:tc>
          <w:tcPr>
            <w:tcW w:w="947" w:type="pct"/>
            <w:noWrap/>
            <w:vAlign w:val="center"/>
            <w:hideMark/>
          </w:tcPr>
          <w:p w14:paraId="3B12F1B2"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95</w:t>
            </w:r>
          </w:p>
        </w:tc>
        <w:tc>
          <w:tcPr>
            <w:tcW w:w="1050" w:type="pct"/>
            <w:noWrap/>
            <w:vAlign w:val="center"/>
            <w:hideMark/>
          </w:tcPr>
          <w:p w14:paraId="60CEFF45"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84.1%</w:t>
            </w:r>
          </w:p>
        </w:tc>
      </w:tr>
      <w:tr w:rsidR="00833166" w:rsidRPr="00BC4A33" w14:paraId="32D68126"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7DCC6BAD"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264BCE60"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≥75.77 mmHg</w:t>
            </w:r>
          </w:p>
        </w:tc>
        <w:tc>
          <w:tcPr>
            <w:tcW w:w="947" w:type="pct"/>
            <w:noWrap/>
            <w:vAlign w:val="center"/>
            <w:hideMark/>
          </w:tcPr>
          <w:p w14:paraId="45390AC6"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18</w:t>
            </w:r>
          </w:p>
        </w:tc>
        <w:tc>
          <w:tcPr>
            <w:tcW w:w="1050" w:type="pct"/>
            <w:noWrap/>
            <w:vAlign w:val="center"/>
            <w:hideMark/>
          </w:tcPr>
          <w:p w14:paraId="385F15D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15.9%</w:t>
            </w:r>
          </w:p>
        </w:tc>
      </w:tr>
      <w:tr w:rsidR="00833166" w:rsidRPr="00BC4A33" w14:paraId="3A679592"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6A255BAE"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Pulse Rate</w:t>
            </w:r>
          </w:p>
        </w:tc>
        <w:tc>
          <w:tcPr>
            <w:tcW w:w="1538" w:type="pct"/>
            <w:noWrap/>
            <w:vAlign w:val="center"/>
            <w:hideMark/>
          </w:tcPr>
          <w:p w14:paraId="363B09F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&lt;85 bpm</w:t>
            </w:r>
          </w:p>
        </w:tc>
        <w:tc>
          <w:tcPr>
            <w:tcW w:w="947" w:type="pct"/>
            <w:noWrap/>
            <w:vAlign w:val="center"/>
            <w:hideMark/>
          </w:tcPr>
          <w:p w14:paraId="11FAF858"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34</w:t>
            </w:r>
          </w:p>
        </w:tc>
        <w:tc>
          <w:tcPr>
            <w:tcW w:w="1050" w:type="pct"/>
            <w:noWrap/>
            <w:vAlign w:val="center"/>
            <w:hideMark/>
          </w:tcPr>
          <w:p w14:paraId="6415FBBE"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30.1%</w:t>
            </w:r>
          </w:p>
        </w:tc>
      </w:tr>
      <w:tr w:rsidR="00833166" w:rsidRPr="00BC4A33" w14:paraId="34D236FF"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32E1CAF2"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1B3375A4"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≥85 bpm</w:t>
            </w:r>
          </w:p>
        </w:tc>
        <w:tc>
          <w:tcPr>
            <w:tcW w:w="947" w:type="pct"/>
            <w:noWrap/>
            <w:vAlign w:val="center"/>
            <w:hideMark/>
          </w:tcPr>
          <w:p w14:paraId="2034D23F"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79</w:t>
            </w:r>
          </w:p>
        </w:tc>
        <w:tc>
          <w:tcPr>
            <w:tcW w:w="1050" w:type="pct"/>
            <w:noWrap/>
            <w:vAlign w:val="center"/>
            <w:hideMark/>
          </w:tcPr>
          <w:p w14:paraId="2572812C"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69.9%</w:t>
            </w:r>
          </w:p>
        </w:tc>
      </w:tr>
    </w:tbl>
    <w:p w14:paraId="7AE79B69" w14:textId="77777777" w:rsidR="00833166" w:rsidRPr="00BC4A33" w:rsidRDefault="00833166" w:rsidP="00BC4A33">
      <w:pPr>
        <w:pStyle w:val="NoSpacing"/>
        <w:spacing w:line="276" w:lineRule="auto"/>
        <w:jc w:val="both"/>
        <w:rPr>
          <w:rFonts w:ascii="Times New Roman" w:hAnsi="Times New Roman" w:cs="Times New Roman"/>
          <w:b/>
          <w:bCs/>
          <w:sz w:val="20"/>
          <w:szCs w:val="20"/>
        </w:rPr>
      </w:pPr>
    </w:p>
    <w:p w14:paraId="1AFDB399" w14:textId="437E42E9" w:rsidR="00833166" w:rsidRPr="00BC4A33" w:rsidRDefault="00833166"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b/>
          <w:bCs/>
          <w:sz w:val="20"/>
          <w:szCs w:val="20"/>
        </w:rPr>
        <w:t xml:space="preserve">Table </w:t>
      </w:r>
      <w:r w:rsidR="00CB688D" w:rsidRPr="00BC4A33">
        <w:rPr>
          <w:rFonts w:ascii="Times New Roman" w:hAnsi="Times New Roman" w:cs="Times New Roman"/>
          <w:b/>
          <w:bCs/>
          <w:sz w:val="20"/>
          <w:szCs w:val="20"/>
        </w:rPr>
        <w:t>2</w:t>
      </w:r>
      <w:r w:rsidRPr="00BC4A33">
        <w:rPr>
          <w:rFonts w:ascii="Times New Roman" w:hAnsi="Times New Roman" w:cs="Times New Roman"/>
          <w:b/>
          <w:bCs/>
          <w:sz w:val="20"/>
          <w:szCs w:val="20"/>
        </w:rPr>
        <w:t xml:space="preserve">: </w:t>
      </w:r>
      <w:r w:rsidRPr="00BC4A33">
        <w:rPr>
          <w:rFonts w:ascii="Times New Roman" w:hAnsi="Times New Roman" w:cs="Times New Roman"/>
          <w:sz w:val="20"/>
          <w:szCs w:val="20"/>
        </w:rPr>
        <w:t xml:space="preserve">Comorbidities </w:t>
      </w:r>
      <w:r w:rsidR="00CB688D" w:rsidRPr="00BC4A33">
        <w:rPr>
          <w:rFonts w:ascii="Times New Roman" w:hAnsi="Times New Roman" w:cs="Times New Roman"/>
          <w:sz w:val="20"/>
          <w:szCs w:val="20"/>
        </w:rPr>
        <w:t>a</w:t>
      </w:r>
      <w:r w:rsidRPr="00BC4A33">
        <w:rPr>
          <w:rFonts w:ascii="Times New Roman" w:hAnsi="Times New Roman" w:cs="Times New Roman"/>
          <w:sz w:val="20"/>
          <w:szCs w:val="20"/>
        </w:rPr>
        <w:t xml:space="preserve">mong </w:t>
      </w:r>
      <w:r w:rsidR="00CB688D" w:rsidRPr="00BC4A33">
        <w:rPr>
          <w:rFonts w:ascii="Times New Roman" w:hAnsi="Times New Roman" w:cs="Times New Roman"/>
          <w:sz w:val="20"/>
          <w:szCs w:val="20"/>
        </w:rPr>
        <w:t>p</w:t>
      </w:r>
      <w:r w:rsidRPr="00BC4A33">
        <w:rPr>
          <w:rFonts w:ascii="Times New Roman" w:hAnsi="Times New Roman" w:cs="Times New Roman"/>
          <w:sz w:val="20"/>
          <w:szCs w:val="20"/>
        </w:rPr>
        <w:t>atients (N=113)</w:t>
      </w:r>
    </w:p>
    <w:tbl>
      <w:tblPr>
        <w:tblStyle w:val="GridTable1Light-Accent6"/>
        <w:tblW w:w="4005" w:type="dxa"/>
        <w:tblLook w:val="04A0" w:firstRow="1" w:lastRow="0" w:firstColumn="1" w:lastColumn="0" w:noHBand="0" w:noVBand="1"/>
      </w:tblPr>
      <w:tblGrid>
        <w:gridCol w:w="2580"/>
        <w:gridCol w:w="516"/>
        <w:gridCol w:w="909"/>
      </w:tblGrid>
      <w:tr w:rsidR="00EB6045" w:rsidRPr="00BC4A33" w14:paraId="6C9EDA5E" w14:textId="77777777" w:rsidTr="00E11218">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09AA92F"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Comorbidity</w:t>
            </w:r>
          </w:p>
        </w:tc>
        <w:tc>
          <w:tcPr>
            <w:tcW w:w="0" w:type="auto"/>
            <w:noWrap/>
            <w:vAlign w:val="center"/>
            <w:hideMark/>
          </w:tcPr>
          <w:p w14:paraId="78596363" w14:textId="65AE92B2" w:rsidR="00EB6045" w:rsidRPr="00BC4A33" w:rsidRDefault="00CB688D"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n</w:t>
            </w:r>
          </w:p>
        </w:tc>
        <w:tc>
          <w:tcPr>
            <w:tcW w:w="0" w:type="auto"/>
            <w:noWrap/>
            <w:vAlign w:val="center"/>
            <w:hideMark/>
          </w:tcPr>
          <w:p w14:paraId="1846BBC9" w14:textId="3B67B769" w:rsidR="00EB6045" w:rsidRPr="00BC4A33" w:rsidRDefault="00EB6045"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w:t>
            </w:r>
          </w:p>
        </w:tc>
      </w:tr>
      <w:tr w:rsidR="00EB6045" w:rsidRPr="00BC4A33" w14:paraId="7A4E82AB"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52C4BE0"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Hypertension</w:t>
            </w:r>
          </w:p>
        </w:tc>
        <w:tc>
          <w:tcPr>
            <w:tcW w:w="0" w:type="auto"/>
            <w:noWrap/>
            <w:vAlign w:val="center"/>
            <w:hideMark/>
          </w:tcPr>
          <w:p w14:paraId="2F679071"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68</w:t>
            </w:r>
          </w:p>
        </w:tc>
        <w:tc>
          <w:tcPr>
            <w:tcW w:w="0" w:type="auto"/>
            <w:noWrap/>
            <w:vAlign w:val="center"/>
            <w:hideMark/>
          </w:tcPr>
          <w:p w14:paraId="331CFE24"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60.2%</w:t>
            </w:r>
          </w:p>
        </w:tc>
      </w:tr>
      <w:tr w:rsidR="00EB6045" w:rsidRPr="00BC4A33" w14:paraId="65F0227B"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F7C0ED"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Diabetes Mellitus</w:t>
            </w:r>
          </w:p>
        </w:tc>
        <w:tc>
          <w:tcPr>
            <w:tcW w:w="0" w:type="auto"/>
            <w:noWrap/>
            <w:vAlign w:val="center"/>
            <w:hideMark/>
          </w:tcPr>
          <w:p w14:paraId="2BB0FFAB"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82</w:t>
            </w:r>
          </w:p>
        </w:tc>
        <w:tc>
          <w:tcPr>
            <w:tcW w:w="0" w:type="auto"/>
            <w:noWrap/>
            <w:vAlign w:val="center"/>
            <w:hideMark/>
          </w:tcPr>
          <w:p w14:paraId="404D061B"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72.6%</w:t>
            </w:r>
          </w:p>
        </w:tc>
      </w:tr>
      <w:tr w:rsidR="00EB6045" w:rsidRPr="00BC4A33" w14:paraId="6962B648"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867BF5F"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Dyslipidemia</w:t>
            </w:r>
          </w:p>
        </w:tc>
        <w:tc>
          <w:tcPr>
            <w:tcW w:w="0" w:type="auto"/>
            <w:noWrap/>
            <w:vAlign w:val="center"/>
            <w:hideMark/>
          </w:tcPr>
          <w:p w14:paraId="4F256E8F"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75</w:t>
            </w:r>
          </w:p>
        </w:tc>
        <w:tc>
          <w:tcPr>
            <w:tcW w:w="0" w:type="auto"/>
            <w:noWrap/>
            <w:vAlign w:val="center"/>
            <w:hideMark/>
          </w:tcPr>
          <w:p w14:paraId="6A0F55FD"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66.4%</w:t>
            </w:r>
          </w:p>
        </w:tc>
      </w:tr>
      <w:tr w:rsidR="00EB6045" w:rsidRPr="00BC4A33" w14:paraId="612AEBCB"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AF7CD2A"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Atrial Fibrillation</w:t>
            </w:r>
          </w:p>
        </w:tc>
        <w:tc>
          <w:tcPr>
            <w:tcW w:w="0" w:type="auto"/>
            <w:noWrap/>
            <w:vAlign w:val="center"/>
            <w:hideMark/>
          </w:tcPr>
          <w:p w14:paraId="5F86720A"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49</w:t>
            </w:r>
          </w:p>
        </w:tc>
        <w:tc>
          <w:tcPr>
            <w:tcW w:w="0" w:type="auto"/>
            <w:noWrap/>
            <w:vAlign w:val="center"/>
            <w:hideMark/>
          </w:tcPr>
          <w:p w14:paraId="43D1C2CC"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43.4%</w:t>
            </w:r>
          </w:p>
        </w:tc>
      </w:tr>
      <w:tr w:rsidR="00EB6045" w:rsidRPr="00BC4A33" w14:paraId="3BC06DDE"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6A4A2DD"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Chronic Ischemic HD</w:t>
            </w:r>
          </w:p>
        </w:tc>
        <w:tc>
          <w:tcPr>
            <w:tcW w:w="0" w:type="auto"/>
            <w:noWrap/>
            <w:vAlign w:val="center"/>
            <w:hideMark/>
          </w:tcPr>
          <w:p w14:paraId="3508C324"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52</w:t>
            </w:r>
          </w:p>
        </w:tc>
        <w:tc>
          <w:tcPr>
            <w:tcW w:w="0" w:type="auto"/>
            <w:noWrap/>
            <w:vAlign w:val="center"/>
            <w:hideMark/>
          </w:tcPr>
          <w:p w14:paraId="2C33012A"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46.0%</w:t>
            </w:r>
          </w:p>
        </w:tc>
      </w:tr>
      <w:tr w:rsidR="00EB6045" w:rsidRPr="00BC4A33" w14:paraId="06D36E7C"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043ADAC"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Valvular Heart Disease</w:t>
            </w:r>
          </w:p>
        </w:tc>
        <w:tc>
          <w:tcPr>
            <w:tcW w:w="0" w:type="auto"/>
            <w:noWrap/>
            <w:vAlign w:val="center"/>
            <w:hideMark/>
          </w:tcPr>
          <w:p w14:paraId="1F6A7907"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15</w:t>
            </w:r>
          </w:p>
        </w:tc>
        <w:tc>
          <w:tcPr>
            <w:tcW w:w="0" w:type="auto"/>
            <w:noWrap/>
            <w:vAlign w:val="center"/>
            <w:hideMark/>
          </w:tcPr>
          <w:p w14:paraId="52B1B757"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13.3%</w:t>
            </w:r>
          </w:p>
        </w:tc>
      </w:tr>
    </w:tbl>
    <w:p w14:paraId="061AF948" w14:textId="77777777" w:rsidR="00E11218" w:rsidRPr="00BC4A33" w:rsidRDefault="00E11218" w:rsidP="00BC4A33">
      <w:pPr>
        <w:pStyle w:val="NoSpacing"/>
        <w:spacing w:line="276" w:lineRule="auto"/>
        <w:jc w:val="both"/>
        <w:rPr>
          <w:rFonts w:ascii="Times New Roman" w:hAnsi="Times New Roman" w:cs="Times New Roman"/>
          <w:b/>
          <w:bCs/>
          <w:sz w:val="20"/>
          <w:szCs w:val="20"/>
        </w:rPr>
      </w:pPr>
    </w:p>
    <w:p w14:paraId="06BAD8D2" w14:textId="48D8A101" w:rsidR="00EB6045" w:rsidRPr="00BC4A33" w:rsidRDefault="00AC2880"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drawing>
          <wp:inline distT="0" distB="0" distL="0" distR="0" wp14:anchorId="39A57E07" wp14:editId="77290F8E">
            <wp:extent cx="2561492" cy="1775460"/>
            <wp:effectExtent l="0" t="0" r="10795" b="15240"/>
            <wp:docPr id="1640655720" name="Chart 1">
              <a:extLst xmlns:a="http://schemas.openxmlformats.org/drawingml/2006/main">
                <a:ext uri="{FF2B5EF4-FFF2-40B4-BE49-F238E27FC236}">
                  <a16:creationId xmlns:a16="http://schemas.microsoft.com/office/drawing/2014/main" id="{D50C1AB5-7B42-96F3-C502-28245DB33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726A4B" w14:textId="7D46C473" w:rsidR="00EB6045" w:rsidRPr="00BC4A33" w:rsidRDefault="00CB688D" w:rsidP="00BC4A33">
      <w:pPr>
        <w:pStyle w:val="NoSpacing"/>
        <w:spacing w:line="276" w:lineRule="auto"/>
        <w:jc w:val="center"/>
        <w:rPr>
          <w:rFonts w:ascii="Times New Roman" w:hAnsi="Times New Roman" w:cs="Times New Roman"/>
          <w:i/>
          <w:iCs/>
          <w:color w:val="4472C4" w:themeColor="accent1"/>
          <w:sz w:val="20"/>
          <w:szCs w:val="20"/>
        </w:rPr>
      </w:pPr>
      <w:r w:rsidRPr="00BC4A33">
        <w:rPr>
          <w:rFonts w:ascii="Times New Roman" w:hAnsi="Times New Roman" w:cs="Times New Roman"/>
          <w:b/>
          <w:bCs/>
          <w:i/>
          <w:iCs/>
          <w:color w:val="4472C4" w:themeColor="accent1"/>
          <w:sz w:val="20"/>
          <w:szCs w:val="20"/>
        </w:rPr>
        <w:t>Figure 3</w:t>
      </w:r>
      <w:r w:rsidR="00AC2880" w:rsidRPr="00BC4A33">
        <w:rPr>
          <w:rFonts w:ascii="Times New Roman" w:hAnsi="Times New Roman" w:cs="Times New Roman"/>
          <w:b/>
          <w:bCs/>
          <w:i/>
          <w:iCs/>
          <w:color w:val="4472C4" w:themeColor="accent1"/>
          <w:sz w:val="20"/>
          <w:szCs w:val="20"/>
        </w:rPr>
        <w:t xml:space="preserve">: </w:t>
      </w:r>
      <w:r w:rsidR="00AC2880" w:rsidRPr="00BC4A33">
        <w:rPr>
          <w:rFonts w:ascii="Times New Roman" w:hAnsi="Times New Roman" w:cs="Times New Roman"/>
          <w:i/>
          <w:iCs/>
          <w:color w:val="4472C4" w:themeColor="accent1"/>
          <w:sz w:val="20"/>
          <w:szCs w:val="20"/>
        </w:rPr>
        <w:t xml:space="preserve">Symptom </w:t>
      </w:r>
      <w:r w:rsidRPr="00BC4A33">
        <w:rPr>
          <w:rFonts w:ascii="Times New Roman" w:hAnsi="Times New Roman" w:cs="Times New Roman"/>
          <w:i/>
          <w:iCs/>
          <w:color w:val="4472C4" w:themeColor="accent1"/>
          <w:sz w:val="20"/>
          <w:szCs w:val="20"/>
        </w:rPr>
        <w:t>p</w:t>
      </w:r>
      <w:r w:rsidR="00AC2880" w:rsidRPr="00BC4A33">
        <w:rPr>
          <w:rFonts w:ascii="Times New Roman" w:hAnsi="Times New Roman" w:cs="Times New Roman"/>
          <w:i/>
          <w:iCs/>
          <w:color w:val="4472C4" w:themeColor="accent1"/>
          <w:sz w:val="20"/>
          <w:szCs w:val="20"/>
        </w:rPr>
        <w:t>revalence</w:t>
      </w:r>
    </w:p>
    <w:p w14:paraId="0C8EBE0F" w14:textId="77777777" w:rsidR="00CB688D" w:rsidRPr="00BC4A33" w:rsidRDefault="00CB688D" w:rsidP="00BC4A33">
      <w:pPr>
        <w:pStyle w:val="NoSpacing"/>
        <w:spacing w:line="276" w:lineRule="auto"/>
        <w:jc w:val="both"/>
        <w:rPr>
          <w:rFonts w:ascii="Times New Roman" w:hAnsi="Times New Roman" w:cs="Times New Roman"/>
          <w:b/>
          <w:bCs/>
          <w:sz w:val="20"/>
          <w:szCs w:val="20"/>
        </w:rPr>
      </w:pPr>
    </w:p>
    <w:p w14:paraId="1A5104A0" w14:textId="31F0924D" w:rsidR="00EB6045" w:rsidRPr="00BC4A33" w:rsidRDefault="00EB6045"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 xml:space="preserve">Table </w:t>
      </w:r>
      <w:r w:rsidR="00CB688D" w:rsidRPr="00BC4A33">
        <w:rPr>
          <w:rFonts w:ascii="Times New Roman" w:hAnsi="Times New Roman" w:cs="Times New Roman"/>
          <w:b/>
          <w:bCs/>
          <w:sz w:val="20"/>
          <w:szCs w:val="20"/>
        </w:rPr>
        <w:t>3</w:t>
      </w:r>
      <w:r w:rsidRPr="00BC4A33">
        <w:rPr>
          <w:rFonts w:ascii="Times New Roman" w:hAnsi="Times New Roman" w:cs="Times New Roman"/>
          <w:b/>
          <w:bCs/>
          <w:sz w:val="20"/>
          <w:szCs w:val="20"/>
        </w:rPr>
        <w:t xml:space="preserve">: </w:t>
      </w:r>
      <w:r w:rsidRPr="00BC4A33">
        <w:rPr>
          <w:rFonts w:ascii="Times New Roman" w:hAnsi="Times New Roman" w:cs="Times New Roman"/>
          <w:sz w:val="20"/>
          <w:szCs w:val="20"/>
        </w:rPr>
        <w:t xml:space="preserve">Etiology of </w:t>
      </w:r>
      <w:r w:rsidR="00CB688D" w:rsidRPr="00BC4A33">
        <w:rPr>
          <w:rFonts w:ascii="Times New Roman" w:hAnsi="Times New Roman" w:cs="Times New Roman"/>
          <w:sz w:val="20"/>
          <w:szCs w:val="20"/>
        </w:rPr>
        <w:t>h</w:t>
      </w:r>
      <w:r w:rsidRPr="00BC4A33">
        <w:rPr>
          <w:rFonts w:ascii="Times New Roman" w:hAnsi="Times New Roman" w:cs="Times New Roman"/>
          <w:sz w:val="20"/>
          <w:szCs w:val="20"/>
        </w:rPr>
        <w:t xml:space="preserve">eart </w:t>
      </w:r>
      <w:r w:rsidR="00CB688D" w:rsidRPr="00BC4A33">
        <w:rPr>
          <w:rFonts w:ascii="Times New Roman" w:hAnsi="Times New Roman" w:cs="Times New Roman"/>
          <w:sz w:val="20"/>
          <w:szCs w:val="20"/>
        </w:rPr>
        <w:t>f</w:t>
      </w:r>
      <w:r w:rsidRPr="00BC4A33">
        <w:rPr>
          <w:rFonts w:ascii="Times New Roman" w:hAnsi="Times New Roman" w:cs="Times New Roman"/>
          <w:sz w:val="20"/>
          <w:szCs w:val="20"/>
        </w:rPr>
        <w:t>ailure</w:t>
      </w:r>
    </w:p>
    <w:tbl>
      <w:tblPr>
        <w:tblStyle w:val="GridTable1Light-Accent6"/>
        <w:tblW w:w="3992" w:type="dxa"/>
        <w:tblLook w:val="04A0" w:firstRow="1" w:lastRow="0" w:firstColumn="1" w:lastColumn="0" w:noHBand="0" w:noVBand="1"/>
      </w:tblPr>
      <w:tblGrid>
        <w:gridCol w:w="2743"/>
        <w:gridCol w:w="452"/>
        <w:gridCol w:w="797"/>
      </w:tblGrid>
      <w:tr w:rsidR="00EB6045" w:rsidRPr="00BC4A33" w14:paraId="74CD0E8F" w14:textId="77777777" w:rsidTr="00E1121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ABF3BBB"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Etiology</w:t>
            </w:r>
          </w:p>
        </w:tc>
        <w:tc>
          <w:tcPr>
            <w:tcW w:w="0" w:type="auto"/>
            <w:noWrap/>
            <w:vAlign w:val="center"/>
            <w:hideMark/>
          </w:tcPr>
          <w:p w14:paraId="256340EA" w14:textId="6BD53690" w:rsidR="00EB6045" w:rsidRPr="00BC4A33" w:rsidRDefault="00CB688D"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n</w:t>
            </w:r>
          </w:p>
        </w:tc>
        <w:tc>
          <w:tcPr>
            <w:tcW w:w="0" w:type="auto"/>
            <w:noWrap/>
            <w:vAlign w:val="center"/>
            <w:hideMark/>
          </w:tcPr>
          <w:p w14:paraId="6BBE0B86" w14:textId="5D266422" w:rsidR="00EB6045" w:rsidRPr="00BC4A33" w:rsidRDefault="00CB688D"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w:t>
            </w:r>
          </w:p>
        </w:tc>
      </w:tr>
      <w:tr w:rsidR="00EB6045" w:rsidRPr="00BC4A33" w14:paraId="33AF06C5"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9B47FF4"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Ischemic Cardiomyopathy</w:t>
            </w:r>
          </w:p>
        </w:tc>
        <w:tc>
          <w:tcPr>
            <w:tcW w:w="0" w:type="auto"/>
            <w:noWrap/>
            <w:vAlign w:val="center"/>
            <w:hideMark/>
          </w:tcPr>
          <w:p w14:paraId="1C9DA529"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58</w:t>
            </w:r>
          </w:p>
        </w:tc>
        <w:tc>
          <w:tcPr>
            <w:tcW w:w="0" w:type="auto"/>
            <w:noWrap/>
            <w:vAlign w:val="center"/>
            <w:hideMark/>
          </w:tcPr>
          <w:p w14:paraId="66D5D090"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51.3%</w:t>
            </w:r>
          </w:p>
        </w:tc>
      </w:tr>
      <w:tr w:rsidR="00EB6045" w:rsidRPr="00BC4A33" w14:paraId="35143CF9"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CA380F7"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Dilated Cardiomyopathy</w:t>
            </w:r>
          </w:p>
        </w:tc>
        <w:tc>
          <w:tcPr>
            <w:tcW w:w="0" w:type="auto"/>
            <w:noWrap/>
            <w:vAlign w:val="center"/>
            <w:hideMark/>
          </w:tcPr>
          <w:p w14:paraId="079775ED"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22</w:t>
            </w:r>
          </w:p>
        </w:tc>
        <w:tc>
          <w:tcPr>
            <w:tcW w:w="0" w:type="auto"/>
            <w:noWrap/>
            <w:vAlign w:val="center"/>
            <w:hideMark/>
          </w:tcPr>
          <w:p w14:paraId="5893B1AE"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19.5%</w:t>
            </w:r>
          </w:p>
        </w:tc>
      </w:tr>
      <w:tr w:rsidR="00EB6045" w:rsidRPr="00BC4A33" w14:paraId="1BD3BDB4"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473F159"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Hypertensive Heart Disease</w:t>
            </w:r>
          </w:p>
        </w:tc>
        <w:tc>
          <w:tcPr>
            <w:tcW w:w="0" w:type="auto"/>
            <w:noWrap/>
            <w:vAlign w:val="center"/>
            <w:hideMark/>
          </w:tcPr>
          <w:p w14:paraId="4EFEDBD1"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68</w:t>
            </w:r>
          </w:p>
        </w:tc>
        <w:tc>
          <w:tcPr>
            <w:tcW w:w="0" w:type="auto"/>
            <w:noWrap/>
            <w:vAlign w:val="center"/>
            <w:hideMark/>
          </w:tcPr>
          <w:p w14:paraId="2243BDC4"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60.2%</w:t>
            </w:r>
          </w:p>
        </w:tc>
      </w:tr>
      <w:tr w:rsidR="00EB6045" w:rsidRPr="00BC4A33" w14:paraId="586A40B7"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5217065"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Valvular Heart Disease</w:t>
            </w:r>
          </w:p>
        </w:tc>
        <w:tc>
          <w:tcPr>
            <w:tcW w:w="0" w:type="auto"/>
            <w:noWrap/>
            <w:vAlign w:val="center"/>
            <w:hideMark/>
          </w:tcPr>
          <w:p w14:paraId="0EE1898B"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15</w:t>
            </w:r>
          </w:p>
        </w:tc>
        <w:tc>
          <w:tcPr>
            <w:tcW w:w="0" w:type="auto"/>
            <w:noWrap/>
            <w:vAlign w:val="center"/>
            <w:hideMark/>
          </w:tcPr>
          <w:p w14:paraId="7D664B78"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13.3%</w:t>
            </w:r>
          </w:p>
        </w:tc>
      </w:tr>
      <w:tr w:rsidR="00EB6045" w:rsidRPr="00BC4A33" w14:paraId="7E77398A"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F418BB6"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Postpartum Cardiomyopathy</w:t>
            </w:r>
          </w:p>
        </w:tc>
        <w:tc>
          <w:tcPr>
            <w:tcW w:w="0" w:type="auto"/>
            <w:noWrap/>
            <w:vAlign w:val="center"/>
            <w:hideMark/>
          </w:tcPr>
          <w:p w14:paraId="1099C027"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w:t>
            </w:r>
          </w:p>
        </w:tc>
        <w:tc>
          <w:tcPr>
            <w:tcW w:w="0" w:type="auto"/>
            <w:noWrap/>
            <w:vAlign w:val="center"/>
            <w:hideMark/>
          </w:tcPr>
          <w:p w14:paraId="756D5588"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4.4%</w:t>
            </w:r>
          </w:p>
        </w:tc>
      </w:tr>
    </w:tbl>
    <w:p w14:paraId="3B0DE881" w14:textId="77777777" w:rsidR="00EB6045" w:rsidRPr="00BC4A33" w:rsidRDefault="00EB6045" w:rsidP="00BC4A33">
      <w:pPr>
        <w:pStyle w:val="NoSpacing"/>
        <w:spacing w:line="276" w:lineRule="auto"/>
        <w:jc w:val="both"/>
        <w:rPr>
          <w:rFonts w:ascii="Times New Roman" w:hAnsi="Times New Roman" w:cs="Times New Roman"/>
          <w:b/>
          <w:bCs/>
          <w:sz w:val="20"/>
          <w:szCs w:val="20"/>
        </w:rPr>
      </w:pPr>
    </w:p>
    <w:p w14:paraId="40999D02" w14:textId="2B081BE7" w:rsidR="00EB6045" w:rsidRPr="00BC4A33" w:rsidRDefault="005C1007"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lastRenderedPageBreak/>
        <w:drawing>
          <wp:inline distT="0" distB="0" distL="0" distR="0" wp14:anchorId="71233080" wp14:editId="4A75B372">
            <wp:extent cx="2560955" cy="2174630"/>
            <wp:effectExtent l="0" t="0" r="10795" b="16510"/>
            <wp:docPr id="717126302" name="Chart 1">
              <a:extLst xmlns:a="http://schemas.openxmlformats.org/drawingml/2006/main">
                <a:ext uri="{FF2B5EF4-FFF2-40B4-BE49-F238E27FC236}">
                  <a16:creationId xmlns:a16="http://schemas.microsoft.com/office/drawing/2014/main" id="{EF79AC9D-E56E-089E-5739-A4731E248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AF98CD" w14:textId="6D43EA0F" w:rsidR="00EB6045" w:rsidRPr="00BC4A33" w:rsidRDefault="00EB6045" w:rsidP="00BC4A33">
      <w:pPr>
        <w:pStyle w:val="NoSpacing"/>
        <w:spacing w:line="276" w:lineRule="auto"/>
        <w:jc w:val="center"/>
        <w:rPr>
          <w:rFonts w:ascii="Times New Roman" w:hAnsi="Times New Roman" w:cs="Times New Roman"/>
          <w:i/>
          <w:iCs/>
          <w:color w:val="4472C4" w:themeColor="accent1"/>
          <w:sz w:val="20"/>
          <w:szCs w:val="20"/>
        </w:rPr>
      </w:pPr>
      <w:r w:rsidRPr="00BC4A33">
        <w:rPr>
          <w:rFonts w:ascii="Times New Roman" w:hAnsi="Times New Roman" w:cs="Times New Roman"/>
          <w:b/>
          <w:bCs/>
          <w:i/>
          <w:iCs/>
          <w:color w:val="4472C4" w:themeColor="accent1"/>
          <w:sz w:val="20"/>
          <w:szCs w:val="20"/>
        </w:rPr>
        <w:t xml:space="preserve">Figure 4: </w:t>
      </w:r>
      <w:r w:rsidRPr="00BC4A33">
        <w:rPr>
          <w:rFonts w:ascii="Times New Roman" w:hAnsi="Times New Roman" w:cs="Times New Roman"/>
          <w:i/>
          <w:iCs/>
          <w:color w:val="4472C4" w:themeColor="accent1"/>
          <w:sz w:val="20"/>
          <w:szCs w:val="20"/>
        </w:rPr>
        <w:t xml:space="preserve">Thyroid </w:t>
      </w:r>
      <w:r w:rsidR="005C1007" w:rsidRPr="00BC4A33">
        <w:rPr>
          <w:rFonts w:ascii="Times New Roman" w:hAnsi="Times New Roman" w:cs="Times New Roman"/>
          <w:i/>
          <w:iCs/>
          <w:color w:val="4472C4" w:themeColor="accent1"/>
          <w:sz w:val="20"/>
          <w:szCs w:val="20"/>
        </w:rPr>
        <w:t>d</w:t>
      </w:r>
      <w:r w:rsidRPr="00BC4A33">
        <w:rPr>
          <w:rFonts w:ascii="Times New Roman" w:hAnsi="Times New Roman" w:cs="Times New Roman"/>
          <w:i/>
          <w:iCs/>
          <w:color w:val="4472C4" w:themeColor="accent1"/>
          <w:sz w:val="20"/>
          <w:szCs w:val="20"/>
        </w:rPr>
        <w:t xml:space="preserve">ysfunction in </w:t>
      </w:r>
      <w:r w:rsidR="005C1007" w:rsidRPr="00BC4A33">
        <w:rPr>
          <w:rFonts w:ascii="Times New Roman" w:hAnsi="Times New Roman" w:cs="Times New Roman"/>
          <w:i/>
          <w:iCs/>
          <w:color w:val="4472C4" w:themeColor="accent1"/>
          <w:sz w:val="20"/>
          <w:szCs w:val="20"/>
        </w:rPr>
        <w:t>p</w:t>
      </w:r>
      <w:r w:rsidRPr="00BC4A33">
        <w:rPr>
          <w:rFonts w:ascii="Times New Roman" w:hAnsi="Times New Roman" w:cs="Times New Roman"/>
          <w:i/>
          <w:iCs/>
          <w:color w:val="4472C4" w:themeColor="accent1"/>
          <w:sz w:val="20"/>
          <w:szCs w:val="20"/>
        </w:rPr>
        <w:t>atients</w:t>
      </w:r>
    </w:p>
    <w:p w14:paraId="2F87FCDF" w14:textId="77777777" w:rsidR="00EB6045" w:rsidRPr="00BC4A33" w:rsidRDefault="00EB6045" w:rsidP="00BC4A33">
      <w:pPr>
        <w:pStyle w:val="NoSpacing"/>
        <w:spacing w:line="276" w:lineRule="auto"/>
        <w:jc w:val="both"/>
        <w:rPr>
          <w:rFonts w:ascii="Times New Roman" w:hAnsi="Times New Roman" w:cs="Times New Roman"/>
          <w:b/>
          <w:bCs/>
          <w:sz w:val="20"/>
          <w:szCs w:val="20"/>
        </w:rPr>
      </w:pPr>
    </w:p>
    <w:p w14:paraId="6355ADE8" w14:textId="77777777" w:rsidR="00D94B5B"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DISCUSSION</w:t>
      </w:r>
    </w:p>
    <w:p w14:paraId="230BA2C0" w14:textId="231193F4" w:rsidR="004913DA" w:rsidRPr="00BC4A33" w:rsidRDefault="004913DA" w:rsidP="00BC4A33">
      <w:pPr>
        <w:pStyle w:val="NoSpacing"/>
        <w:spacing w:line="276" w:lineRule="auto"/>
        <w:jc w:val="both"/>
        <w:rPr>
          <w:rFonts w:ascii="Times New Roman" w:hAnsi="Times New Roman" w:cs="Times New Roman"/>
          <w:color w:val="000000"/>
          <w:sz w:val="20"/>
          <w:szCs w:val="20"/>
        </w:rPr>
      </w:pPr>
      <w:r w:rsidRPr="00BC4A33">
        <w:rPr>
          <w:rFonts w:ascii="Times New Roman" w:hAnsi="Times New Roman" w:cs="Times New Roman"/>
          <w:color w:val="000000"/>
          <w:sz w:val="20"/>
          <w:szCs w:val="20"/>
        </w:rPr>
        <w:t>This prospective study provides important insights into the clinical presentation of heart failure patients in a Bangladeshi community hospital setting. Our findings reveal several key patterns that warrant discussion in the context of both regional and global heart failure epidemiology.</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demographic profile of our cohort, with a mean age of 62.4 years and male predominance (75.2%), aligns with previous reports from South Asia [1</w:t>
      </w:r>
      <w:r w:rsidR="00496538" w:rsidRPr="00BC4A33">
        <w:rPr>
          <w:rFonts w:ascii="Times New Roman" w:hAnsi="Times New Roman" w:cs="Times New Roman"/>
          <w:color w:val="000000"/>
          <w:sz w:val="20"/>
          <w:szCs w:val="20"/>
        </w:rPr>
        <w:t>2</w:t>
      </w:r>
      <w:r w:rsidRPr="00BC4A33">
        <w:rPr>
          <w:rFonts w:ascii="Times New Roman" w:hAnsi="Times New Roman" w:cs="Times New Roman"/>
          <w:color w:val="000000"/>
          <w:sz w:val="20"/>
          <w:szCs w:val="20"/>
        </w:rPr>
        <w:t>,1</w:t>
      </w:r>
      <w:r w:rsidR="00496538" w:rsidRPr="00BC4A33">
        <w:rPr>
          <w:rFonts w:ascii="Times New Roman" w:hAnsi="Times New Roman" w:cs="Times New Roman"/>
          <w:color w:val="000000"/>
          <w:sz w:val="20"/>
          <w:szCs w:val="20"/>
        </w:rPr>
        <w:t>7</w:t>
      </w:r>
      <w:r w:rsidRPr="00BC4A33">
        <w:rPr>
          <w:rFonts w:ascii="Times New Roman" w:hAnsi="Times New Roman" w:cs="Times New Roman"/>
          <w:color w:val="000000"/>
          <w:sz w:val="20"/>
          <w:szCs w:val="20"/>
        </w:rPr>
        <w:t>] but contrasts with Western populations where heart failure typically presents at older ages [1</w:t>
      </w:r>
      <w:r w:rsidR="00496538" w:rsidRPr="00BC4A33">
        <w:rPr>
          <w:rFonts w:ascii="Times New Roman" w:hAnsi="Times New Roman" w:cs="Times New Roman"/>
          <w:color w:val="000000"/>
          <w:sz w:val="20"/>
          <w:szCs w:val="20"/>
        </w:rPr>
        <w:t>8</w:t>
      </w:r>
      <w:r w:rsidRPr="00BC4A33">
        <w:rPr>
          <w:rFonts w:ascii="Times New Roman" w:hAnsi="Times New Roman" w:cs="Times New Roman"/>
          <w:color w:val="000000"/>
          <w:sz w:val="20"/>
          <w:szCs w:val="20"/>
        </w:rPr>
        <w:t>]. This difference may reflect regional variations in cardiovascular risk factor distribution and life expectancy. The high prevalence of reduced ejection fraction (81.4%) in our study is particularly notable, exceeding rates reported in many international registries [</w:t>
      </w:r>
      <w:r w:rsidR="00496538" w:rsidRPr="00BC4A33">
        <w:rPr>
          <w:rFonts w:ascii="Times New Roman" w:hAnsi="Times New Roman" w:cs="Times New Roman"/>
          <w:color w:val="000000"/>
          <w:sz w:val="20"/>
          <w:szCs w:val="20"/>
        </w:rPr>
        <w:t>19</w:t>
      </w:r>
      <w:r w:rsidRPr="00BC4A33">
        <w:rPr>
          <w:rFonts w:ascii="Times New Roman" w:hAnsi="Times New Roman" w:cs="Times New Roman"/>
          <w:color w:val="000000"/>
          <w:sz w:val="20"/>
          <w:szCs w:val="20"/>
        </w:rPr>
        <w:t>]. This finding suggests that patients in our setting may present at more advanced disease stages, possibly due to delayed healthcare access or differences in underlying etiologies.</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symptom profile observed - with dyspnea (96.5%), orthopnea (86.7%), and crepitations (92.9%) being nearly universal - demonstrates the classic congestive picture of heart failure in this population. These rates are substantially higher than those reported in some international studies [2</w:t>
      </w:r>
      <w:r w:rsidR="00496538" w:rsidRPr="00BC4A33">
        <w:rPr>
          <w:rFonts w:ascii="Times New Roman" w:hAnsi="Times New Roman" w:cs="Times New Roman"/>
          <w:color w:val="000000"/>
          <w:sz w:val="20"/>
          <w:szCs w:val="20"/>
        </w:rPr>
        <w:t>0</w:t>
      </w:r>
      <w:r w:rsidRPr="00BC4A33">
        <w:rPr>
          <w:rFonts w:ascii="Times New Roman" w:hAnsi="Times New Roman" w:cs="Times New Roman"/>
          <w:color w:val="000000"/>
          <w:sz w:val="20"/>
          <w:szCs w:val="20"/>
        </w:rPr>
        <w:t>], potentially indicating more severe clinical presentations at the time of hospitalization. The frequent physical findings of edema (83.2%) and elevated JVP (59.3%) further support this interpretation and emphasize the fluid overload state characteristic of decompensated heart failure in our cohort.</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comorbidity burden we documented, particularly the high rates of diabetes (72.6%) and hypertension (60.2%), exceeds global averages [2</w:t>
      </w:r>
      <w:r w:rsidR="00F0538A" w:rsidRPr="00BC4A33">
        <w:rPr>
          <w:rFonts w:ascii="Times New Roman" w:hAnsi="Times New Roman" w:cs="Times New Roman"/>
          <w:color w:val="000000"/>
          <w:sz w:val="20"/>
          <w:szCs w:val="20"/>
        </w:rPr>
        <w:t>1</w:t>
      </w:r>
      <w:r w:rsidRPr="00BC4A33">
        <w:rPr>
          <w:rFonts w:ascii="Times New Roman" w:hAnsi="Times New Roman" w:cs="Times New Roman"/>
          <w:color w:val="000000"/>
          <w:sz w:val="20"/>
          <w:szCs w:val="20"/>
        </w:rPr>
        <w:t>] and mirrors patterns seen in other Bangladeshi studies [</w:t>
      </w:r>
      <w:r w:rsidR="00F0538A" w:rsidRPr="00BC4A33">
        <w:rPr>
          <w:rFonts w:ascii="Times New Roman" w:hAnsi="Times New Roman" w:cs="Times New Roman"/>
          <w:color w:val="000000"/>
          <w:sz w:val="20"/>
          <w:szCs w:val="20"/>
        </w:rPr>
        <w:t>15</w:t>
      </w:r>
      <w:r w:rsidRPr="00BC4A33">
        <w:rPr>
          <w:rFonts w:ascii="Times New Roman" w:hAnsi="Times New Roman" w:cs="Times New Roman"/>
          <w:color w:val="000000"/>
          <w:sz w:val="20"/>
          <w:szCs w:val="20"/>
        </w:rPr>
        <w:t>]. This metabolic risk factor clustering likely contributes significantly to both the development and progression of heart failure in this population. The predominance of ischemic cardiomyopathy (51.3%) and hypertensive heart disease (60.2%) as etiologies contrasts with data from high-income countries, where non-ischemic causes are more common [2</w:t>
      </w:r>
      <w:r w:rsidR="006737FF" w:rsidRPr="00BC4A33">
        <w:rPr>
          <w:rFonts w:ascii="Times New Roman" w:hAnsi="Times New Roman" w:cs="Times New Roman"/>
          <w:color w:val="000000"/>
          <w:sz w:val="20"/>
          <w:szCs w:val="20"/>
        </w:rPr>
        <w:t>2</w:t>
      </w:r>
      <w:r w:rsidRPr="00BC4A33">
        <w:rPr>
          <w:rFonts w:ascii="Times New Roman" w:hAnsi="Times New Roman" w:cs="Times New Roman"/>
          <w:color w:val="000000"/>
          <w:sz w:val="20"/>
          <w:szCs w:val="20"/>
        </w:rPr>
        <w:t>], highlighting important regional differences in disease pathophysiology.</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 xml:space="preserve">Several findings from our study have important clinical implications. First, the high prevalence of uncontrolled metabolic comorbidities suggests opportunities for improved primary and secondary prevention strategies. Second, the predominance of volume overload signs indicates potential benefits from more aggressive diuretic protocols and patient education about fluid management. Third, the frequent coexistence of atrial fibrillation (43.4%) underscores </w:t>
      </w:r>
      <w:r w:rsidR="00E11218" w:rsidRPr="00BC4A33">
        <w:rPr>
          <w:rFonts w:ascii="Times New Roman" w:hAnsi="Times New Roman" w:cs="Times New Roman"/>
          <w:color w:val="000000"/>
          <w:sz w:val="20"/>
          <w:szCs w:val="20"/>
        </w:rPr>
        <w:t>this population's need for better anticoagulation practices</w:t>
      </w:r>
      <w:r w:rsidRPr="00BC4A33">
        <w:rPr>
          <w:rFonts w:ascii="Times New Roman" w:hAnsi="Times New Roman" w:cs="Times New Roman"/>
          <w:color w:val="000000"/>
          <w:sz w:val="20"/>
          <w:szCs w:val="20"/>
        </w:rPr>
        <w:t>.</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hemodynamic parameters we observed, particularly the predominance of lower blood pressures (systolic BP &lt;116 mmHg in 78.8%) and tachycardia (69.9%), may reflect both the severity of presentations and the high proportion of reduced ejection fraction cases. These findings have therapeutic implications, as they suggest many patients might tolerate and benefit from guideline-directed medical therapy, including beta-blockers and ACE inhibitors [2</w:t>
      </w:r>
      <w:r w:rsidR="006737FF" w:rsidRPr="00BC4A33">
        <w:rPr>
          <w:rFonts w:ascii="Times New Roman" w:hAnsi="Times New Roman" w:cs="Times New Roman"/>
          <w:color w:val="000000"/>
          <w:sz w:val="20"/>
          <w:szCs w:val="20"/>
        </w:rPr>
        <w:t>3</w:t>
      </w:r>
      <w:r w:rsidRPr="00BC4A33">
        <w:rPr>
          <w:rFonts w:ascii="Times New Roman" w:hAnsi="Times New Roman" w:cs="Times New Roman"/>
          <w:color w:val="000000"/>
          <w:sz w:val="20"/>
          <w:szCs w:val="20"/>
        </w:rPr>
        <w:t xml:space="preserve">].  </w:t>
      </w:r>
    </w:p>
    <w:p w14:paraId="50E6BE5D" w14:textId="77777777" w:rsidR="00912275" w:rsidRPr="00BC4A33" w:rsidRDefault="00912275" w:rsidP="00BC4A33">
      <w:pPr>
        <w:pStyle w:val="NoSpacing"/>
        <w:spacing w:line="276" w:lineRule="auto"/>
        <w:jc w:val="both"/>
        <w:rPr>
          <w:rFonts w:ascii="Times New Roman" w:hAnsi="Times New Roman" w:cs="Times New Roman"/>
          <w:b/>
          <w:bCs/>
          <w:sz w:val="20"/>
          <w:szCs w:val="20"/>
        </w:rPr>
      </w:pPr>
    </w:p>
    <w:p w14:paraId="1FF95441" w14:textId="77777777" w:rsidR="00BC4A33" w:rsidRDefault="00BC4A33" w:rsidP="00BC4A33">
      <w:pPr>
        <w:pStyle w:val="NoSpacing"/>
        <w:spacing w:line="276" w:lineRule="auto"/>
        <w:jc w:val="both"/>
        <w:rPr>
          <w:rFonts w:ascii="Times New Roman" w:hAnsi="Times New Roman" w:cs="Times New Roman"/>
          <w:b/>
          <w:bCs/>
          <w:sz w:val="20"/>
          <w:szCs w:val="20"/>
        </w:rPr>
      </w:pPr>
    </w:p>
    <w:p w14:paraId="22765180" w14:textId="77777777" w:rsidR="00BC4A33" w:rsidRDefault="00BC4A33" w:rsidP="00BC4A33">
      <w:pPr>
        <w:pStyle w:val="NoSpacing"/>
        <w:spacing w:line="276" w:lineRule="auto"/>
        <w:jc w:val="both"/>
        <w:rPr>
          <w:rFonts w:ascii="Times New Roman" w:hAnsi="Times New Roman" w:cs="Times New Roman"/>
          <w:b/>
          <w:bCs/>
          <w:sz w:val="20"/>
          <w:szCs w:val="20"/>
        </w:rPr>
      </w:pPr>
    </w:p>
    <w:p w14:paraId="3CDCF194" w14:textId="3B220067" w:rsidR="00D94B5B"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Limitations:</w:t>
      </w:r>
    </w:p>
    <w:p w14:paraId="6A9D7C65" w14:textId="1E2D34E2" w:rsidR="00A92591" w:rsidRPr="00BC4A33" w:rsidRDefault="00705926"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sz w:val="20"/>
          <w:szCs w:val="20"/>
        </w:rPr>
        <w:t xml:space="preserve">This study has several limitations, including its single-center design, which may affect generalizability, and the use of purposive sampling, which could introduce selection bias. Additionally, the lack of long-term follow-up </w:t>
      </w:r>
      <w:r w:rsidRPr="00BC4A33">
        <w:rPr>
          <w:rFonts w:ascii="Times New Roman" w:hAnsi="Times New Roman" w:cs="Times New Roman"/>
          <w:sz w:val="20"/>
          <w:szCs w:val="20"/>
        </w:rPr>
        <w:lastRenderedPageBreak/>
        <w:t>data and advanced biomarkers limits our ability to assess prognostic outcomes and more nuanced pathophysiological insights.</w:t>
      </w:r>
    </w:p>
    <w:p w14:paraId="1E164AD8" w14:textId="77777777" w:rsidR="00A92591" w:rsidRPr="00BC4A33" w:rsidRDefault="00A92591" w:rsidP="00BC4A33">
      <w:pPr>
        <w:pStyle w:val="NoSpacing"/>
        <w:spacing w:line="276" w:lineRule="auto"/>
        <w:jc w:val="both"/>
        <w:rPr>
          <w:rFonts w:ascii="Times New Roman" w:hAnsi="Times New Roman" w:cs="Times New Roman"/>
          <w:b/>
          <w:bCs/>
          <w:sz w:val="20"/>
          <w:szCs w:val="20"/>
        </w:rPr>
      </w:pPr>
    </w:p>
    <w:p w14:paraId="0D9C22D5" w14:textId="39F0F842" w:rsidR="00E11218"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CONCLUSION</w:t>
      </w:r>
    </w:p>
    <w:p w14:paraId="77493703" w14:textId="620C5169" w:rsidR="00A92591" w:rsidRPr="00BC4A33" w:rsidRDefault="00705926"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sz w:val="20"/>
          <w:szCs w:val="20"/>
        </w:rPr>
        <w:t>This study reveals that heart failure patients in a Bangladeshi community hospital predominantly present with reduced ejection fraction, severe congestive symptoms, and high cardiometabolic comorbidities. The findings underscore the urgent need for improved prevention and management strategies targeting ischemic and hypertensive heart disease in resource-limited settings, where late presentations and complex risk factor burdens challenge optimal care delivery.</w:t>
      </w:r>
    </w:p>
    <w:p w14:paraId="52A7CF22" w14:textId="77777777" w:rsidR="00F17703" w:rsidRPr="00BC4A33" w:rsidRDefault="00F17703" w:rsidP="00BC4A33">
      <w:pPr>
        <w:pStyle w:val="Default"/>
        <w:spacing w:line="276" w:lineRule="auto"/>
        <w:jc w:val="both"/>
        <w:rPr>
          <w:b/>
          <w:bCs/>
          <w:sz w:val="20"/>
          <w:szCs w:val="20"/>
        </w:rPr>
      </w:pPr>
    </w:p>
    <w:p w14:paraId="3A853238" w14:textId="7B1E40C5" w:rsidR="00D94B5B" w:rsidRPr="00BC4A33" w:rsidRDefault="0001054F" w:rsidP="00BC4A33">
      <w:pPr>
        <w:pStyle w:val="Default"/>
        <w:spacing w:line="276" w:lineRule="auto"/>
        <w:jc w:val="both"/>
        <w:rPr>
          <w:b/>
          <w:bCs/>
          <w:sz w:val="20"/>
          <w:szCs w:val="20"/>
        </w:rPr>
      </w:pPr>
      <w:r w:rsidRPr="00BC4A33">
        <w:rPr>
          <w:b/>
          <w:bCs/>
          <w:sz w:val="20"/>
          <w:szCs w:val="20"/>
        </w:rPr>
        <w:t>Recommendation:</w:t>
      </w:r>
    </w:p>
    <w:p w14:paraId="03AB0032" w14:textId="3DE4A343" w:rsidR="00A92591" w:rsidRPr="00BC4A33" w:rsidRDefault="00705926" w:rsidP="00BC4A33">
      <w:pPr>
        <w:pStyle w:val="Default"/>
        <w:spacing w:line="276" w:lineRule="auto"/>
        <w:jc w:val="both"/>
        <w:rPr>
          <w:sz w:val="20"/>
          <w:szCs w:val="20"/>
        </w:rPr>
      </w:pPr>
      <w:r w:rsidRPr="00BC4A33">
        <w:rPr>
          <w:sz w:val="20"/>
          <w:szCs w:val="20"/>
        </w:rPr>
        <w:t>To address these findings, we recommend implementing community-based screening programs for early heart failure detection, strengthening primary prevention of metabolic risk factors, and developing tailored management protocols for resource-limited settings. Additionally, enhancing patient education on symptom recognition and prioritizing research on context-specific treatment strategies could significantly improve outcomes in similar populations.</w:t>
      </w:r>
    </w:p>
    <w:p w14:paraId="66EA0258" w14:textId="77777777" w:rsidR="00D94B5B" w:rsidRPr="00BC4A33" w:rsidRDefault="00D94B5B" w:rsidP="00BC4A33">
      <w:pPr>
        <w:pStyle w:val="Default"/>
        <w:spacing w:line="276" w:lineRule="auto"/>
        <w:jc w:val="both"/>
        <w:rPr>
          <w:sz w:val="20"/>
          <w:szCs w:val="20"/>
        </w:rPr>
      </w:pPr>
    </w:p>
    <w:p w14:paraId="3A68E839" w14:textId="77777777" w:rsidR="00D94B5B" w:rsidRPr="00BC4A33" w:rsidRDefault="0001054F" w:rsidP="00BC4A33">
      <w:pPr>
        <w:pStyle w:val="NoSpacing"/>
        <w:spacing w:line="276" w:lineRule="auto"/>
        <w:jc w:val="both"/>
        <w:rPr>
          <w:rFonts w:ascii="Times New Roman" w:hAnsi="Times New Roman" w:cs="Times New Roman"/>
          <w:b/>
          <w:bCs/>
          <w:sz w:val="20"/>
          <w:szCs w:val="20"/>
        </w:rPr>
      </w:pPr>
      <w:bookmarkStart w:id="1" w:name="_Hlk69502383"/>
      <w:r w:rsidRPr="00BC4A33">
        <w:rPr>
          <w:rFonts w:ascii="Times New Roman" w:hAnsi="Times New Roman" w:cs="Times New Roman"/>
          <w:b/>
          <w:bCs/>
          <w:sz w:val="20"/>
          <w:szCs w:val="20"/>
        </w:rPr>
        <w:t>REFERENCES</w:t>
      </w:r>
    </w:p>
    <w:bookmarkEnd w:id="1"/>
    <w:p w14:paraId="07376718" w14:textId="4A9DB829" w:rsidR="00D94B5B" w:rsidRPr="00BC4A33" w:rsidRDefault="005A3900"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Collaborators, G. B. D. "Global, regional, and national incidence, prevalence, and years lived with disability for 354 diseases and injuries for 195 countries and territories, 1990-2017: a systematic analysis for the Global Burden of Disease Study 2017." (2018).</w:t>
      </w:r>
    </w:p>
    <w:p w14:paraId="4A02F52A" w14:textId="1732B5D5" w:rsidR="005A3900" w:rsidRPr="00BC4A33" w:rsidRDefault="005A3900"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Ponikowski, Piotr, et al. "Heart failure: preventing disease and death worldwide." ESC heart failure 1.1 (2014): 4-25.</w:t>
      </w:r>
    </w:p>
    <w:p w14:paraId="2F850DE9" w14:textId="561AFB6B" w:rsidR="005A3900" w:rsidRPr="00BC4A33" w:rsidRDefault="005A3900"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Savarese, Gianluigi, and Lars H. Lund. "Global public health burden of heart failure." Cardiac failure review 3.1 (2017): 7.</w:t>
      </w:r>
    </w:p>
    <w:p w14:paraId="1849684D" w14:textId="7905ABD5"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Rahman, Md Toufiqur, et al. "Assessment of Heart Failure Patients in a Tertiary Care Hospital: A Retrospective Study." Bangladesh Heart Journal 38.1 (2023): 63-69.</w:t>
      </w:r>
    </w:p>
    <w:p w14:paraId="64268FC7" w14:textId="6DF1FE9B"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Irfan, SM Rezaul, et al. "Pattern of Cardiovascular Diseases in Diabetic population-a </w:t>
      </w:r>
      <w:r w:rsidR="00266391" w:rsidRPr="00BC4A33">
        <w:rPr>
          <w:rFonts w:ascii="Times New Roman" w:hAnsi="Times New Roman" w:cs="Times New Roman"/>
          <w:sz w:val="20"/>
          <w:szCs w:val="20"/>
        </w:rPr>
        <w:t>seven-year</w:t>
      </w:r>
      <w:r w:rsidRPr="00BC4A33">
        <w:rPr>
          <w:rFonts w:ascii="Times New Roman" w:hAnsi="Times New Roman" w:cs="Times New Roman"/>
          <w:sz w:val="20"/>
          <w:szCs w:val="20"/>
        </w:rPr>
        <w:t xml:space="preserve"> study in a tertiary care hospital of Bangladesh." Bangladesh Critical Care Journal 8.2 (2020): 96-101.</w:t>
      </w:r>
    </w:p>
    <w:p w14:paraId="6FCDD10F" w14:textId="7F4EAAB9"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Yancy, Clyde W., et al. "2017 ACC/AHA/HFSA focused update of the 2013 ACCF/AHA guideline for the management of heart failure: a report of the American College of Cardiology/American Heart Association Task Force on Clinical Practice Guidelines and the Heart Failure Society of America." Journal of the American college of cardiology 70.6 (2017): 776-803.</w:t>
      </w:r>
    </w:p>
    <w:p w14:paraId="7A23FA17" w14:textId="2C4226D5"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Dokainish, Hisham, et al. "Global mortality variations in patients with heart failure: results from the International Congestive Heart Failure (INTER-CHF) prospective cohort study." The Lancet Global Health 5.7 (2017): e665-e672.</w:t>
      </w:r>
    </w:p>
    <w:p w14:paraId="4BDC08B2" w14:textId="45C7CFFB"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Dokainish, Hisham, et al. "Global mortality variations in patients with heart failure: results from the International Congestive Heart Failure (INTER-CHF) prospective cohort study." The Lancet Global Health 5.7 (2017): e665-e672.</w:t>
      </w:r>
    </w:p>
    <w:p w14:paraId="5066AE41" w14:textId="79EDD3B3" w:rsidR="005D1022" w:rsidRPr="00BC4A33" w:rsidRDefault="005D1022"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Prabhakaran, Dorairaj, et al. "The changing patterns of cardiovascular diseases and their risk factors in the states of India: </w:t>
      </w:r>
      <w:r w:rsidR="00BC4A33" w:rsidRPr="00BC4A33">
        <w:rPr>
          <w:rFonts w:ascii="Times New Roman" w:hAnsi="Times New Roman" w:cs="Times New Roman"/>
          <w:sz w:val="20"/>
          <w:szCs w:val="20"/>
        </w:rPr>
        <w:t>The</w:t>
      </w:r>
      <w:r w:rsidRPr="00BC4A33">
        <w:rPr>
          <w:rFonts w:ascii="Times New Roman" w:hAnsi="Times New Roman" w:cs="Times New Roman"/>
          <w:sz w:val="20"/>
          <w:szCs w:val="20"/>
        </w:rPr>
        <w:t xml:space="preserve"> Global Burden of Disease Study 1990–2016." The Lancet Global Health 6.12 (2018): e1339-e1351.</w:t>
      </w:r>
    </w:p>
    <w:p w14:paraId="04CF2632" w14:textId="3ECE47C2" w:rsidR="006C3CDF" w:rsidRPr="00BC4A33" w:rsidRDefault="006C3C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Khatibzadeh, Shahab, et al. "Worldwide risk factors for heart failure: a systematic review and pooled analysis." International journal of cardiology 168.2 (2013): 1186-1194.</w:t>
      </w:r>
    </w:p>
    <w:p w14:paraId="02F6E345" w14:textId="70E57576" w:rsidR="006C3CDF" w:rsidRPr="00BC4A33" w:rsidRDefault="006C3C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Islam, Sami Nazrul, et al. "Established and Emerging </w:t>
      </w:r>
      <w:r w:rsidR="00E11218" w:rsidRPr="00BC4A33">
        <w:rPr>
          <w:rFonts w:ascii="Times New Roman" w:hAnsi="Times New Roman" w:cs="Times New Roman"/>
          <w:sz w:val="20"/>
          <w:szCs w:val="20"/>
        </w:rPr>
        <w:t>Biomarkers</w:t>
      </w:r>
      <w:r w:rsidRPr="00BC4A33">
        <w:rPr>
          <w:rFonts w:ascii="Times New Roman" w:hAnsi="Times New Roman" w:cs="Times New Roman"/>
          <w:sz w:val="20"/>
          <w:szCs w:val="20"/>
        </w:rPr>
        <w:t xml:space="preserve"> in Chronic Heart Failure." Bangladesh Heart Journal 38.2 (2023): 135-142.</w:t>
      </w:r>
    </w:p>
    <w:p w14:paraId="04917DCC" w14:textId="4716D9B7" w:rsidR="006C3CDF" w:rsidRPr="00BC4A33" w:rsidRDefault="006C3C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Martinez-Amezcua, Pablo, et al. "The upcoming epidemic of heart failure in South Asia." Circulation: Heart Failure 13.10 (2020): e007218.</w:t>
      </w:r>
    </w:p>
    <w:p w14:paraId="728FD1FB" w14:textId="44F7E7E5" w:rsidR="00C8794A" w:rsidRPr="00BC4A33" w:rsidRDefault="00C8794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Okwuosa, Ike S., et al. "Worldwide disparities in cardiovascular disease: challenges and solutions." International journal of cardiology 202 (2016): 433-440.</w:t>
      </w:r>
    </w:p>
    <w:p w14:paraId="2DE9C14E" w14:textId="0B272DA7" w:rsidR="00C8794A" w:rsidRPr="00BC4A33" w:rsidRDefault="00C8794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lastRenderedPageBreak/>
        <w:t>Siddique, Abubakar, Fatoon Mohammed Otaibi, and Safiya Fatima Khan. "Heart Failure Management in Developing Countries." Handbook of Medical and Health Sciences in Developing Countries: Education, Practice, and Research. Cham: Springer International Publishing, 2023. 1-28.</w:t>
      </w:r>
    </w:p>
    <w:p w14:paraId="400B1A4E" w14:textId="2DA8BE8C" w:rsidR="00C8794A" w:rsidRPr="00BC4A33" w:rsidRDefault="00C8794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Khanam, Masuma Akter, et al. "Hypertension: adherence to treatment in rural Bangladesh–findings from a population-based study." Global health action 7.1 (2014): 25028.</w:t>
      </w:r>
    </w:p>
    <w:p w14:paraId="4FC9E5B9" w14:textId="626D6570" w:rsidR="00DE4B1B" w:rsidRPr="00BC4A33" w:rsidRDefault="00DE4B1B"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McDonagh, Theresa A.,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 42.36 (2021): 3599-3726.</w:t>
      </w:r>
    </w:p>
    <w:p w14:paraId="224367C6" w14:textId="252F1F33"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Kaul, U., et al. "Consensus and development of document for management of stabilized acute decompensated heart failure with reduced ejection fraction in India." Indian Heart Journal 72.6 (2020): 477-481.</w:t>
      </w:r>
    </w:p>
    <w:p w14:paraId="626AC372" w14:textId="4CC65A3E"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Groenewegen, Amy, et al. "Epidemiology of heart failure." European journal of heart failure 22.8 (2020): 1342-1356.</w:t>
      </w:r>
    </w:p>
    <w:p w14:paraId="7B572917" w14:textId="73F0A0A5"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Joseph, Philip, et al. "Global variations in heart failure etiology, management, and outcomes." Jama 329.19 (2023): 1650.</w:t>
      </w:r>
    </w:p>
    <w:p w14:paraId="21081120" w14:textId="34B249E4"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Ambrosy, Andrew P., et al. "The global health and economic burden of hospitalizations for heart failure: lessons learned from hospitalized heart failure registries." Journal of the American College of Cardiology 63.12 (2014): 1123-1133.</w:t>
      </w:r>
    </w:p>
    <w:p w14:paraId="56D20C11" w14:textId="66D99352" w:rsidR="00F0538A" w:rsidRPr="00BC4A33" w:rsidRDefault="00F0538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Joseph, Philip, et al. "A multinational registry to study the characteristics and outcomes of heart failure patients: The global congestive heart failure (G-CHF) registry." American Heart Journal 227 (2020): 56-63.</w:t>
      </w:r>
    </w:p>
    <w:p w14:paraId="1F344073" w14:textId="0162A467" w:rsidR="00F0538A" w:rsidRPr="00BC4A33" w:rsidRDefault="00F0538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Tromp, Jasper, et al. "Global differences in burden and treatment of ischemic heart disease in acute heart failure: REPORT-HF." Heart Failure 9.5 (2021): 349-359.</w:t>
      </w:r>
    </w:p>
    <w:p w14:paraId="0E1CFE80" w14:textId="597A0913" w:rsidR="00F0538A" w:rsidRPr="00BC4A33" w:rsidRDefault="00F0538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Heidenreich, Paul A., et al. "2022 AHA/ACC/HFSA guideline for the management of heart failure: a report of the American College of Cardiology/American Heart Association Joint Committee on Clinical Practice Guidelines." Journal of the American College of Cardiology 79.17 (2022): e263-e421.</w:t>
      </w:r>
    </w:p>
    <w:sectPr w:rsidR="00F0538A" w:rsidRPr="00BC4A3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5E5E2" w14:textId="77777777" w:rsidR="000C3779" w:rsidRDefault="000C3779">
      <w:r>
        <w:separator/>
      </w:r>
    </w:p>
  </w:endnote>
  <w:endnote w:type="continuationSeparator" w:id="0">
    <w:p w14:paraId="2B119042" w14:textId="77777777" w:rsidR="000C3779" w:rsidRDefault="000C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83D0" w14:textId="77777777" w:rsidR="00693086" w:rsidRDefault="00693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825009"/>
    </w:sdtPr>
    <w:sdtContent>
      <w:sdt>
        <w:sdtPr>
          <w:id w:val="-1769616900"/>
        </w:sdtPr>
        <w:sdtContent>
          <w:p w14:paraId="4D55ECDF" w14:textId="77777777" w:rsidR="00D94B5B" w:rsidRDefault="0001054F">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746D1168" w14:textId="77777777" w:rsidR="00D94B5B" w:rsidRDefault="00D94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7569" w14:textId="77777777" w:rsidR="00693086" w:rsidRDefault="0069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0583" w14:textId="77777777" w:rsidR="000C3779" w:rsidRDefault="000C3779">
      <w:r>
        <w:separator/>
      </w:r>
    </w:p>
  </w:footnote>
  <w:footnote w:type="continuationSeparator" w:id="0">
    <w:p w14:paraId="7132EEEB" w14:textId="77777777" w:rsidR="000C3779" w:rsidRDefault="000C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2757" w14:textId="38060768" w:rsidR="00693086" w:rsidRDefault="00693086">
    <w:pPr>
      <w:pStyle w:val="Header"/>
    </w:pPr>
    <w:r>
      <w:rPr>
        <w:noProof/>
      </w:rPr>
      <w:pict w14:anchorId="0B0AC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04907"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3931" w14:textId="29FCFFE0" w:rsidR="00D94B5B" w:rsidRDefault="00693086">
    <w:pPr>
      <w:pStyle w:val="Header"/>
    </w:pPr>
    <w:r>
      <w:rPr>
        <w:noProof/>
      </w:rPr>
      <w:pict w14:anchorId="254D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04908"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1054F">
      <w:tab/>
    </w:r>
    <w:r w:rsidR="0001054F">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4948" w14:textId="2963454D" w:rsidR="00693086" w:rsidRDefault="00693086">
    <w:pPr>
      <w:pStyle w:val="Header"/>
    </w:pPr>
    <w:r>
      <w:rPr>
        <w:noProof/>
      </w:rPr>
      <w:pict w14:anchorId="4A5B3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04906"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2766"/>
    <w:multiLevelType w:val="hybridMultilevel"/>
    <w:tmpl w:val="787C8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A211E"/>
    <w:multiLevelType w:val="multilevel"/>
    <w:tmpl w:val="470A211E"/>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967819"/>
    <w:multiLevelType w:val="hybridMultilevel"/>
    <w:tmpl w:val="6648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110204">
    <w:abstractNumId w:val="1"/>
  </w:num>
  <w:num w:numId="2" w16cid:durableId="478883935">
    <w:abstractNumId w:val="0"/>
  </w:num>
  <w:num w:numId="3" w16cid:durableId="133182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tjA1NDYyMze1tDRU0lEKTi0uzszPAykwrgUAX9kKgiwAAAA="/>
  </w:docVars>
  <w:rsids>
    <w:rsidRoot w:val="00AF39FF"/>
    <w:rsid w:val="000028E4"/>
    <w:rsid w:val="0001054F"/>
    <w:rsid w:val="000118AA"/>
    <w:rsid w:val="00015A0F"/>
    <w:rsid w:val="00017769"/>
    <w:rsid w:val="00021D54"/>
    <w:rsid w:val="0002304A"/>
    <w:rsid w:val="000357A6"/>
    <w:rsid w:val="0003651C"/>
    <w:rsid w:val="000422C0"/>
    <w:rsid w:val="00050574"/>
    <w:rsid w:val="00056F56"/>
    <w:rsid w:val="000632A7"/>
    <w:rsid w:val="00063AA9"/>
    <w:rsid w:val="0006758A"/>
    <w:rsid w:val="00076D6B"/>
    <w:rsid w:val="00081B25"/>
    <w:rsid w:val="000877B2"/>
    <w:rsid w:val="0009007B"/>
    <w:rsid w:val="00094761"/>
    <w:rsid w:val="000A09BD"/>
    <w:rsid w:val="000A164C"/>
    <w:rsid w:val="000A6AA8"/>
    <w:rsid w:val="000B2F80"/>
    <w:rsid w:val="000B3FCE"/>
    <w:rsid w:val="000B4851"/>
    <w:rsid w:val="000B5C12"/>
    <w:rsid w:val="000B5E0D"/>
    <w:rsid w:val="000B6689"/>
    <w:rsid w:val="000B66EA"/>
    <w:rsid w:val="000C0551"/>
    <w:rsid w:val="000C27DE"/>
    <w:rsid w:val="000C3779"/>
    <w:rsid w:val="000C3F69"/>
    <w:rsid w:val="000C48B9"/>
    <w:rsid w:val="000C70EA"/>
    <w:rsid w:val="000D0C98"/>
    <w:rsid w:val="000D0F88"/>
    <w:rsid w:val="000E7696"/>
    <w:rsid w:val="000F021B"/>
    <w:rsid w:val="000F16A3"/>
    <w:rsid w:val="000F1BC0"/>
    <w:rsid w:val="000F4F13"/>
    <w:rsid w:val="001009BF"/>
    <w:rsid w:val="001012C6"/>
    <w:rsid w:val="00102748"/>
    <w:rsid w:val="00102EC6"/>
    <w:rsid w:val="00106A85"/>
    <w:rsid w:val="00106D0B"/>
    <w:rsid w:val="00107C05"/>
    <w:rsid w:val="001108B9"/>
    <w:rsid w:val="00115174"/>
    <w:rsid w:val="0011635A"/>
    <w:rsid w:val="0011663B"/>
    <w:rsid w:val="001278BE"/>
    <w:rsid w:val="00131E7A"/>
    <w:rsid w:val="00133FDD"/>
    <w:rsid w:val="00135E1C"/>
    <w:rsid w:val="00144ADE"/>
    <w:rsid w:val="00150A2D"/>
    <w:rsid w:val="00160273"/>
    <w:rsid w:val="0016167B"/>
    <w:rsid w:val="0016524A"/>
    <w:rsid w:val="00166F83"/>
    <w:rsid w:val="0018043B"/>
    <w:rsid w:val="00190C10"/>
    <w:rsid w:val="001972FE"/>
    <w:rsid w:val="001B158A"/>
    <w:rsid w:val="001B3A02"/>
    <w:rsid w:val="001B720B"/>
    <w:rsid w:val="001C2394"/>
    <w:rsid w:val="001C33C1"/>
    <w:rsid w:val="001D2C1E"/>
    <w:rsid w:val="001D335A"/>
    <w:rsid w:val="001D5CEC"/>
    <w:rsid w:val="001E5958"/>
    <w:rsid w:val="001E5DF4"/>
    <w:rsid w:val="001F0AB1"/>
    <w:rsid w:val="001F0F02"/>
    <w:rsid w:val="001F4AC3"/>
    <w:rsid w:val="001F53ED"/>
    <w:rsid w:val="002028DC"/>
    <w:rsid w:val="0022581F"/>
    <w:rsid w:val="00225BC9"/>
    <w:rsid w:val="0022781E"/>
    <w:rsid w:val="0023237D"/>
    <w:rsid w:val="002352C1"/>
    <w:rsid w:val="00236259"/>
    <w:rsid w:val="00242285"/>
    <w:rsid w:val="00250F69"/>
    <w:rsid w:val="00253D93"/>
    <w:rsid w:val="00254A67"/>
    <w:rsid w:val="00260061"/>
    <w:rsid w:val="0026497A"/>
    <w:rsid w:val="00266391"/>
    <w:rsid w:val="00266DE7"/>
    <w:rsid w:val="002732A3"/>
    <w:rsid w:val="00276C3B"/>
    <w:rsid w:val="002877DB"/>
    <w:rsid w:val="00296C17"/>
    <w:rsid w:val="002B1F68"/>
    <w:rsid w:val="002B5A76"/>
    <w:rsid w:val="002C00AE"/>
    <w:rsid w:val="002C09C7"/>
    <w:rsid w:val="002C244B"/>
    <w:rsid w:val="002C2C28"/>
    <w:rsid w:val="002D395B"/>
    <w:rsid w:val="002D5F66"/>
    <w:rsid w:val="002E1470"/>
    <w:rsid w:val="002F054C"/>
    <w:rsid w:val="002F1293"/>
    <w:rsid w:val="002F41A5"/>
    <w:rsid w:val="002F4417"/>
    <w:rsid w:val="0030178D"/>
    <w:rsid w:val="00302359"/>
    <w:rsid w:val="00320096"/>
    <w:rsid w:val="00322A8D"/>
    <w:rsid w:val="003242E5"/>
    <w:rsid w:val="003409A6"/>
    <w:rsid w:val="003434C4"/>
    <w:rsid w:val="00357EF6"/>
    <w:rsid w:val="00360D27"/>
    <w:rsid w:val="00373FAA"/>
    <w:rsid w:val="00375CD8"/>
    <w:rsid w:val="00383AB6"/>
    <w:rsid w:val="00383B8F"/>
    <w:rsid w:val="00391698"/>
    <w:rsid w:val="00394175"/>
    <w:rsid w:val="003941F4"/>
    <w:rsid w:val="0039641E"/>
    <w:rsid w:val="0039654C"/>
    <w:rsid w:val="00397113"/>
    <w:rsid w:val="00397DE9"/>
    <w:rsid w:val="003A2CC2"/>
    <w:rsid w:val="003A3D2C"/>
    <w:rsid w:val="003A4913"/>
    <w:rsid w:val="003B344E"/>
    <w:rsid w:val="003B3689"/>
    <w:rsid w:val="003B39FD"/>
    <w:rsid w:val="003C48B1"/>
    <w:rsid w:val="003C4C57"/>
    <w:rsid w:val="003C6CA5"/>
    <w:rsid w:val="003D16CA"/>
    <w:rsid w:val="003D69D6"/>
    <w:rsid w:val="003E1528"/>
    <w:rsid w:val="003E49C8"/>
    <w:rsid w:val="003F32FE"/>
    <w:rsid w:val="0040491E"/>
    <w:rsid w:val="004073A2"/>
    <w:rsid w:val="00420187"/>
    <w:rsid w:val="004264DC"/>
    <w:rsid w:val="004512C0"/>
    <w:rsid w:val="004672B3"/>
    <w:rsid w:val="00467786"/>
    <w:rsid w:val="00471320"/>
    <w:rsid w:val="00476C50"/>
    <w:rsid w:val="0047712C"/>
    <w:rsid w:val="00477C89"/>
    <w:rsid w:val="0048485E"/>
    <w:rsid w:val="00484D6B"/>
    <w:rsid w:val="004913DA"/>
    <w:rsid w:val="00496538"/>
    <w:rsid w:val="004A1EF1"/>
    <w:rsid w:val="004A391A"/>
    <w:rsid w:val="004B0BE3"/>
    <w:rsid w:val="004B1B9F"/>
    <w:rsid w:val="004C7ADB"/>
    <w:rsid w:val="004D29C9"/>
    <w:rsid w:val="004D38D4"/>
    <w:rsid w:val="004D5501"/>
    <w:rsid w:val="004D6C8D"/>
    <w:rsid w:val="004E105B"/>
    <w:rsid w:val="004E18FF"/>
    <w:rsid w:val="004E3DFA"/>
    <w:rsid w:val="004E63A0"/>
    <w:rsid w:val="004E6A74"/>
    <w:rsid w:val="004E76C7"/>
    <w:rsid w:val="004E7F1C"/>
    <w:rsid w:val="004F15C8"/>
    <w:rsid w:val="004F54C2"/>
    <w:rsid w:val="004F5E6F"/>
    <w:rsid w:val="00504B50"/>
    <w:rsid w:val="0051658F"/>
    <w:rsid w:val="0051796E"/>
    <w:rsid w:val="00521966"/>
    <w:rsid w:val="0053315B"/>
    <w:rsid w:val="0053375A"/>
    <w:rsid w:val="00534105"/>
    <w:rsid w:val="00534C08"/>
    <w:rsid w:val="005408C6"/>
    <w:rsid w:val="0054460A"/>
    <w:rsid w:val="0054796C"/>
    <w:rsid w:val="00553254"/>
    <w:rsid w:val="00553C11"/>
    <w:rsid w:val="0055500D"/>
    <w:rsid w:val="00557E9B"/>
    <w:rsid w:val="0056140A"/>
    <w:rsid w:val="0056509B"/>
    <w:rsid w:val="00570C8C"/>
    <w:rsid w:val="005711F0"/>
    <w:rsid w:val="005716EE"/>
    <w:rsid w:val="00572FB2"/>
    <w:rsid w:val="00574950"/>
    <w:rsid w:val="005761E7"/>
    <w:rsid w:val="0057698B"/>
    <w:rsid w:val="00583A55"/>
    <w:rsid w:val="00585434"/>
    <w:rsid w:val="005870D0"/>
    <w:rsid w:val="0059090D"/>
    <w:rsid w:val="005A3900"/>
    <w:rsid w:val="005B2BAD"/>
    <w:rsid w:val="005B4EF3"/>
    <w:rsid w:val="005B5234"/>
    <w:rsid w:val="005C1007"/>
    <w:rsid w:val="005D1022"/>
    <w:rsid w:val="005D3137"/>
    <w:rsid w:val="005D575D"/>
    <w:rsid w:val="005E0F9A"/>
    <w:rsid w:val="005F0E6D"/>
    <w:rsid w:val="005F7730"/>
    <w:rsid w:val="00602F51"/>
    <w:rsid w:val="00605422"/>
    <w:rsid w:val="00610A1D"/>
    <w:rsid w:val="00612474"/>
    <w:rsid w:val="006250CD"/>
    <w:rsid w:val="00626D73"/>
    <w:rsid w:val="00630B1B"/>
    <w:rsid w:val="0063444D"/>
    <w:rsid w:val="006348A6"/>
    <w:rsid w:val="006353AC"/>
    <w:rsid w:val="00635C63"/>
    <w:rsid w:val="00644AA1"/>
    <w:rsid w:val="006456BD"/>
    <w:rsid w:val="0066434E"/>
    <w:rsid w:val="0066468A"/>
    <w:rsid w:val="006737FF"/>
    <w:rsid w:val="00675DB2"/>
    <w:rsid w:val="006804BA"/>
    <w:rsid w:val="006844B3"/>
    <w:rsid w:val="00686B8F"/>
    <w:rsid w:val="00690321"/>
    <w:rsid w:val="00693086"/>
    <w:rsid w:val="00696EF5"/>
    <w:rsid w:val="006A3A47"/>
    <w:rsid w:val="006A4FF4"/>
    <w:rsid w:val="006B6255"/>
    <w:rsid w:val="006B7918"/>
    <w:rsid w:val="006C063D"/>
    <w:rsid w:val="006C3CDF"/>
    <w:rsid w:val="006D3AA4"/>
    <w:rsid w:val="006E12E4"/>
    <w:rsid w:val="006E560B"/>
    <w:rsid w:val="006F103F"/>
    <w:rsid w:val="006F15E3"/>
    <w:rsid w:val="0070281B"/>
    <w:rsid w:val="007054CE"/>
    <w:rsid w:val="007056DA"/>
    <w:rsid w:val="00705926"/>
    <w:rsid w:val="007071A4"/>
    <w:rsid w:val="00710C8A"/>
    <w:rsid w:val="00712502"/>
    <w:rsid w:val="00717092"/>
    <w:rsid w:val="00723F69"/>
    <w:rsid w:val="0073575D"/>
    <w:rsid w:val="007447F7"/>
    <w:rsid w:val="00745FB3"/>
    <w:rsid w:val="00753D20"/>
    <w:rsid w:val="00761146"/>
    <w:rsid w:val="007627FD"/>
    <w:rsid w:val="00765C67"/>
    <w:rsid w:val="00767374"/>
    <w:rsid w:val="007A33E5"/>
    <w:rsid w:val="007A4177"/>
    <w:rsid w:val="007A4C43"/>
    <w:rsid w:val="007A6AD9"/>
    <w:rsid w:val="007B741C"/>
    <w:rsid w:val="007B7FE4"/>
    <w:rsid w:val="007D6732"/>
    <w:rsid w:val="007E133F"/>
    <w:rsid w:val="007E4B87"/>
    <w:rsid w:val="007E7682"/>
    <w:rsid w:val="007F188C"/>
    <w:rsid w:val="007F4D97"/>
    <w:rsid w:val="007F6F02"/>
    <w:rsid w:val="00802A40"/>
    <w:rsid w:val="00804F53"/>
    <w:rsid w:val="00805233"/>
    <w:rsid w:val="00807AA6"/>
    <w:rsid w:val="008116E5"/>
    <w:rsid w:val="008147F5"/>
    <w:rsid w:val="008157A4"/>
    <w:rsid w:val="008209EE"/>
    <w:rsid w:val="00820C25"/>
    <w:rsid w:val="00825346"/>
    <w:rsid w:val="00826AB5"/>
    <w:rsid w:val="00833166"/>
    <w:rsid w:val="00836CCD"/>
    <w:rsid w:val="00844888"/>
    <w:rsid w:val="00845577"/>
    <w:rsid w:val="00851982"/>
    <w:rsid w:val="008603FE"/>
    <w:rsid w:val="00867952"/>
    <w:rsid w:val="00870511"/>
    <w:rsid w:val="00876827"/>
    <w:rsid w:val="00876880"/>
    <w:rsid w:val="00876FB3"/>
    <w:rsid w:val="00884308"/>
    <w:rsid w:val="00884B73"/>
    <w:rsid w:val="008852E1"/>
    <w:rsid w:val="00885351"/>
    <w:rsid w:val="00897D51"/>
    <w:rsid w:val="008A11FF"/>
    <w:rsid w:val="008A71E2"/>
    <w:rsid w:val="008A79AA"/>
    <w:rsid w:val="008A7BD0"/>
    <w:rsid w:val="008B6ACF"/>
    <w:rsid w:val="008D2A33"/>
    <w:rsid w:val="008D301C"/>
    <w:rsid w:val="008D39F2"/>
    <w:rsid w:val="008D4BBD"/>
    <w:rsid w:val="008D4E7C"/>
    <w:rsid w:val="008D5180"/>
    <w:rsid w:val="008D623F"/>
    <w:rsid w:val="008E0FFB"/>
    <w:rsid w:val="008F35E7"/>
    <w:rsid w:val="008F3B4D"/>
    <w:rsid w:val="008F42A6"/>
    <w:rsid w:val="008F46AA"/>
    <w:rsid w:val="008F4DEC"/>
    <w:rsid w:val="008F4E99"/>
    <w:rsid w:val="00904428"/>
    <w:rsid w:val="00905B70"/>
    <w:rsid w:val="00911588"/>
    <w:rsid w:val="00912275"/>
    <w:rsid w:val="00913D72"/>
    <w:rsid w:val="009151F3"/>
    <w:rsid w:val="00926393"/>
    <w:rsid w:val="0092713C"/>
    <w:rsid w:val="00930052"/>
    <w:rsid w:val="009302A5"/>
    <w:rsid w:val="009303DD"/>
    <w:rsid w:val="00933614"/>
    <w:rsid w:val="00933A43"/>
    <w:rsid w:val="00935F89"/>
    <w:rsid w:val="00941484"/>
    <w:rsid w:val="00943B73"/>
    <w:rsid w:val="00954E4D"/>
    <w:rsid w:val="009565CF"/>
    <w:rsid w:val="00957E0B"/>
    <w:rsid w:val="0096447A"/>
    <w:rsid w:val="00970C0A"/>
    <w:rsid w:val="009720E8"/>
    <w:rsid w:val="009846A7"/>
    <w:rsid w:val="00986C34"/>
    <w:rsid w:val="009919B4"/>
    <w:rsid w:val="009A3008"/>
    <w:rsid w:val="009C0772"/>
    <w:rsid w:val="009C2D47"/>
    <w:rsid w:val="009C47E6"/>
    <w:rsid w:val="009C6911"/>
    <w:rsid w:val="009C6974"/>
    <w:rsid w:val="009D5CFA"/>
    <w:rsid w:val="009E0604"/>
    <w:rsid w:val="009E45FB"/>
    <w:rsid w:val="009E6A83"/>
    <w:rsid w:val="009F1819"/>
    <w:rsid w:val="009F600F"/>
    <w:rsid w:val="00A031A9"/>
    <w:rsid w:val="00A040FF"/>
    <w:rsid w:val="00A156B2"/>
    <w:rsid w:val="00A15C58"/>
    <w:rsid w:val="00A20A65"/>
    <w:rsid w:val="00A31F58"/>
    <w:rsid w:val="00A33865"/>
    <w:rsid w:val="00A33EE5"/>
    <w:rsid w:val="00A34593"/>
    <w:rsid w:val="00A35231"/>
    <w:rsid w:val="00A36BFB"/>
    <w:rsid w:val="00A403E2"/>
    <w:rsid w:val="00A50B01"/>
    <w:rsid w:val="00A653B8"/>
    <w:rsid w:val="00A65BF8"/>
    <w:rsid w:val="00A732F5"/>
    <w:rsid w:val="00A7725A"/>
    <w:rsid w:val="00A77DD4"/>
    <w:rsid w:val="00A77F44"/>
    <w:rsid w:val="00A80AB4"/>
    <w:rsid w:val="00A8277C"/>
    <w:rsid w:val="00A849AE"/>
    <w:rsid w:val="00A90963"/>
    <w:rsid w:val="00A92591"/>
    <w:rsid w:val="00AA0F2F"/>
    <w:rsid w:val="00AA5096"/>
    <w:rsid w:val="00AA62DC"/>
    <w:rsid w:val="00AB2429"/>
    <w:rsid w:val="00AB6A5C"/>
    <w:rsid w:val="00AC2880"/>
    <w:rsid w:val="00AD63B6"/>
    <w:rsid w:val="00AE15C5"/>
    <w:rsid w:val="00AE5839"/>
    <w:rsid w:val="00AF1202"/>
    <w:rsid w:val="00AF39FF"/>
    <w:rsid w:val="00AF5D1F"/>
    <w:rsid w:val="00AF7D34"/>
    <w:rsid w:val="00B0043F"/>
    <w:rsid w:val="00B004A8"/>
    <w:rsid w:val="00B02C78"/>
    <w:rsid w:val="00B03A7F"/>
    <w:rsid w:val="00B04BEF"/>
    <w:rsid w:val="00B055D7"/>
    <w:rsid w:val="00B100A7"/>
    <w:rsid w:val="00B120AB"/>
    <w:rsid w:val="00B1440C"/>
    <w:rsid w:val="00B17F92"/>
    <w:rsid w:val="00B26292"/>
    <w:rsid w:val="00B31724"/>
    <w:rsid w:val="00B44EB1"/>
    <w:rsid w:val="00B46899"/>
    <w:rsid w:val="00B469C5"/>
    <w:rsid w:val="00B52431"/>
    <w:rsid w:val="00B55E07"/>
    <w:rsid w:val="00B563FE"/>
    <w:rsid w:val="00B5688F"/>
    <w:rsid w:val="00B57D18"/>
    <w:rsid w:val="00B6349C"/>
    <w:rsid w:val="00B669C2"/>
    <w:rsid w:val="00B744FE"/>
    <w:rsid w:val="00B773E8"/>
    <w:rsid w:val="00B77425"/>
    <w:rsid w:val="00B83ACE"/>
    <w:rsid w:val="00B854AC"/>
    <w:rsid w:val="00BB20BE"/>
    <w:rsid w:val="00BC145E"/>
    <w:rsid w:val="00BC408E"/>
    <w:rsid w:val="00BC4A33"/>
    <w:rsid w:val="00BC621C"/>
    <w:rsid w:val="00BC72DB"/>
    <w:rsid w:val="00BD03EC"/>
    <w:rsid w:val="00BE4A22"/>
    <w:rsid w:val="00BF2908"/>
    <w:rsid w:val="00BF5E19"/>
    <w:rsid w:val="00BF7228"/>
    <w:rsid w:val="00C1229D"/>
    <w:rsid w:val="00C145C2"/>
    <w:rsid w:val="00C1503F"/>
    <w:rsid w:val="00C227EA"/>
    <w:rsid w:val="00C2659F"/>
    <w:rsid w:val="00C3233D"/>
    <w:rsid w:val="00C32EB9"/>
    <w:rsid w:val="00C37ACB"/>
    <w:rsid w:val="00C41F1A"/>
    <w:rsid w:val="00C433A9"/>
    <w:rsid w:val="00C562EE"/>
    <w:rsid w:val="00C62341"/>
    <w:rsid w:val="00C70D40"/>
    <w:rsid w:val="00C73A5A"/>
    <w:rsid w:val="00C77E7F"/>
    <w:rsid w:val="00C8794A"/>
    <w:rsid w:val="00C90BEC"/>
    <w:rsid w:val="00C92B6C"/>
    <w:rsid w:val="00C95EAE"/>
    <w:rsid w:val="00CA2F65"/>
    <w:rsid w:val="00CA39CE"/>
    <w:rsid w:val="00CA5F65"/>
    <w:rsid w:val="00CA73CE"/>
    <w:rsid w:val="00CB1F01"/>
    <w:rsid w:val="00CB688D"/>
    <w:rsid w:val="00CC0346"/>
    <w:rsid w:val="00CC4F7D"/>
    <w:rsid w:val="00CD2568"/>
    <w:rsid w:val="00CD4F25"/>
    <w:rsid w:val="00CE6E53"/>
    <w:rsid w:val="00CF2942"/>
    <w:rsid w:val="00CF5023"/>
    <w:rsid w:val="00CF57CB"/>
    <w:rsid w:val="00D0328F"/>
    <w:rsid w:val="00D03409"/>
    <w:rsid w:val="00D06CFC"/>
    <w:rsid w:val="00D106C2"/>
    <w:rsid w:val="00D22468"/>
    <w:rsid w:val="00D229D6"/>
    <w:rsid w:val="00D24032"/>
    <w:rsid w:val="00D27B9C"/>
    <w:rsid w:val="00D32F16"/>
    <w:rsid w:val="00D33270"/>
    <w:rsid w:val="00D354AE"/>
    <w:rsid w:val="00D35B14"/>
    <w:rsid w:val="00D36B40"/>
    <w:rsid w:val="00D37241"/>
    <w:rsid w:val="00D377DC"/>
    <w:rsid w:val="00D40A71"/>
    <w:rsid w:val="00D43975"/>
    <w:rsid w:val="00D504DE"/>
    <w:rsid w:val="00D53721"/>
    <w:rsid w:val="00D57401"/>
    <w:rsid w:val="00D610FB"/>
    <w:rsid w:val="00D64CFE"/>
    <w:rsid w:val="00D73D97"/>
    <w:rsid w:val="00D86D3E"/>
    <w:rsid w:val="00D903DF"/>
    <w:rsid w:val="00D916CD"/>
    <w:rsid w:val="00D92AEE"/>
    <w:rsid w:val="00D94B5B"/>
    <w:rsid w:val="00DA2FF2"/>
    <w:rsid w:val="00DB1E4A"/>
    <w:rsid w:val="00DB3EE7"/>
    <w:rsid w:val="00DD2C5B"/>
    <w:rsid w:val="00DD545B"/>
    <w:rsid w:val="00DD5721"/>
    <w:rsid w:val="00DE468B"/>
    <w:rsid w:val="00DE4B1B"/>
    <w:rsid w:val="00DE5D80"/>
    <w:rsid w:val="00DF1FCE"/>
    <w:rsid w:val="00DF5286"/>
    <w:rsid w:val="00E00728"/>
    <w:rsid w:val="00E047B8"/>
    <w:rsid w:val="00E11218"/>
    <w:rsid w:val="00E15C01"/>
    <w:rsid w:val="00E1799E"/>
    <w:rsid w:val="00E17FB7"/>
    <w:rsid w:val="00E228FF"/>
    <w:rsid w:val="00E26C2C"/>
    <w:rsid w:val="00E36397"/>
    <w:rsid w:val="00E42BB7"/>
    <w:rsid w:val="00E50ACE"/>
    <w:rsid w:val="00E53DA6"/>
    <w:rsid w:val="00E60A91"/>
    <w:rsid w:val="00E62063"/>
    <w:rsid w:val="00E6708D"/>
    <w:rsid w:val="00E67DB4"/>
    <w:rsid w:val="00E715D0"/>
    <w:rsid w:val="00E80F41"/>
    <w:rsid w:val="00E92B02"/>
    <w:rsid w:val="00E92E69"/>
    <w:rsid w:val="00E96B3D"/>
    <w:rsid w:val="00EA1A22"/>
    <w:rsid w:val="00EA35AB"/>
    <w:rsid w:val="00EA475A"/>
    <w:rsid w:val="00EA782D"/>
    <w:rsid w:val="00EB23FA"/>
    <w:rsid w:val="00EB6045"/>
    <w:rsid w:val="00EC04D7"/>
    <w:rsid w:val="00EC71FF"/>
    <w:rsid w:val="00EC72B8"/>
    <w:rsid w:val="00ED0442"/>
    <w:rsid w:val="00ED06AF"/>
    <w:rsid w:val="00EE152D"/>
    <w:rsid w:val="00EE1ABA"/>
    <w:rsid w:val="00EE239D"/>
    <w:rsid w:val="00EE615B"/>
    <w:rsid w:val="00EE6823"/>
    <w:rsid w:val="00EF359A"/>
    <w:rsid w:val="00F00EC4"/>
    <w:rsid w:val="00F018FD"/>
    <w:rsid w:val="00F047EE"/>
    <w:rsid w:val="00F0538A"/>
    <w:rsid w:val="00F078C4"/>
    <w:rsid w:val="00F11D18"/>
    <w:rsid w:val="00F17703"/>
    <w:rsid w:val="00F207EE"/>
    <w:rsid w:val="00F20A3E"/>
    <w:rsid w:val="00F21CCD"/>
    <w:rsid w:val="00F25BF9"/>
    <w:rsid w:val="00F33CDD"/>
    <w:rsid w:val="00F40469"/>
    <w:rsid w:val="00F56396"/>
    <w:rsid w:val="00F576DE"/>
    <w:rsid w:val="00F60535"/>
    <w:rsid w:val="00F625FC"/>
    <w:rsid w:val="00F71670"/>
    <w:rsid w:val="00F77ADD"/>
    <w:rsid w:val="00F83555"/>
    <w:rsid w:val="00F83C97"/>
    <w:rsid w:val="00F87157"/>
    <w:rsid w:val="00F972AD"/>
    <w:rsid w:val="00FA0A92"/>
    <w:rsid w:val="00FA54A6"/>
    <w:rsid w:val="00FB26B1"/>
    <w:rsid w:val="00FB37B7"/>
    <w:rsid w:val="00FB555C"/>
    <w:rsid w:val="00FB77A7"/>
    <w:rsid w:val="00FC00DA"/>
    <w:rsid w:val="00FC25DF"/>
    <w:rsid w:val="00FC3846"/>
    <w:rsid w:val="00FD1CE3"/>
    <w:rsid w:val="00FD5C5E"/>
    <w:rsid w:val="00FD730A"/>
    <w:rsid w:val="00FE2D22"/>
    <w:rsid w:val="00FE3129"/>
    <w:rsid w:val="00FE7A36"/>
    <w:rsid w:val="00FF2585"/>
    <w:rsid w:val="00FF404B"/>
    <w:rsid w:val="00FF60CF"/>
    <w:rsid w:val="00FF70E7"/>
    <w:rsid w:val="152A5518"/>
    <w:rsid w:val="2D2F4DC7"/>
    <w:rsid w:val="660471E4"/>
    <w:rsid w:val="68E201AB"/>
    <w:rsid w:val="738F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0D1D"/>
  <w15:docId w15:val="{E4BD67B4-D45B-43AC-BD2C-E0AD220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BodyText">
    <w:name w:val="Body Text"/>
    <w:basedOn w:val="Normal"/>
    <w:link w:val="BodyTextChar"/>
    <w:uiPriority w:val="1"/>
    <w:semiHidden/>
    <w:unhideWhenUsed/>
    <w:qFormat/>
    <w:pPr>
      <w:widowControl w:val="0"/>
      <w:autoSpaceDE w:val="0"/>
      <w:autoSpaceDN w:val="0"/>
    </w:pPr>
    <w:rPr>
      <w:rFonts w:ascii="Calibri" w:eastAsia="Calibri" w:hAnsi="Calibri" w:cs="Calibri"/>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31">
    <w:name w:val="List Table 3 - Accent 31"/>
    <w:basedOn w:val="TableNormal"/>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61">
    <w:name w:val="List Table 3 - Accent 61"/>
    <w:basedOn w:val="TableNormal"/>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1">
    <w:name w:val="List Table 3 - Accent 51"/>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BodyTextChar">
    <w:name w:val="Body Text Char"/>
    <w:basedOn w:val="DefaultParagraphFont"/>
    <w:link w:val="BodyText"/>
    <w:uiPriority w:val="1"/>
    <w:semiHidden/>
    <w:qFormat/>
    <w:rPr>
      <w:rFonts w:ascii="Calibri" w:eastAsia="Calibri" w:hAnsi="Calibri" w:cs="Calibri"/>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Bibliography1">
    <w:name w:val="Bibliography1"/>
    <w:basedOn w:val="Normal"/>
    <w:next w:val="Normal"/>
    <w:uiPriority w:val="37"/>
    <w:unhideWhenUsed/>
    <w:qFormat/>
    <w:pPr>
      <w:spacing w:after="240"/>
    </w:pPr>
  </w:style>
  <w:style w:type="table" w:styleId="GridTable1Light-Accent1">
    <w:name w:val="Grid Table 1 Light Accent 1"/>
    <w:basedOn w:val="TableNormal"/>
    <w:uiPriority w:val="46"/>
    <w:rsid w:val="00AC288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121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D4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6251">
      <w:bodyDiv w:val="1"/>
      <w:marLeft w:val="0"/>
      <w:marRight w:val="0"/>
      <w:marTop w:val="0"/>
      <w:marBottom w:val="0"/>
      <w:divBdr>
        <w:top w:val="none" w:sz="0" w:space="0" w:color="auto"/>
        <w:left w:val="none" w:sz="0" w:space="0" w:color="auto"/>
        <w:bottom w:val="none" w:sz="0" w:space="0" w:color="auto"/>
        <w:right w:val="none" w:sz="0" w:space="0" w:color="auto"/>
      </w:divBdr>
    </w:div>
    <w:div w:id="221019320">
      <w:bodyDiv w:val="1"/>
      <w:marLeft w:val="0"/>
      <w:marRight w:val="0"/>
      <w:marTop w:val="0"/>
      <w:marBottom w:val="0"/>
      <w:divBdr>
        <w:top w:val="none" w:sz="0" w:space="0" w:color="auto"/>
        <w:left w:val="none" w:sz="0" w:space="0" w:color="auto"/>
        <w:bottom w:val="none" w:sz="0" w:space="0" w:color="auto"/>
        <w:right w:val="none" w:sz="0" w:space="0" w:color="auto"/>
      </w:divBdr>
    </w:div>
    <w:div w:id="266280725">
      <w:bodyDiv w:val="1"/>
      <w:marLeft w:val="0"/>
      <w:marRight w:val="0"/>
      <w:marTop w:val="0"/>
      <w:marBottom w:val="0"/>
      <w:divBdr>
        <w:top w:val="none" w:sz="0" w:space="0" w:color="auto"/>
        <w:left w:val="none" w:sz="0" w:space="0" w:color="auto"/>
        <w:bottom w:val="none" w:sz="0" w:space="0" w:color="auto"/>
        <w:right w:val="none" w:sz="0" w:space="0" w:color="auto"/>
      </w:divBdr>
    </w:div>
    <w:div w:id="352414316">
      <w:bodyDiv w:val="1"/>
      <w:marLeft w:val="0"/>
      <w:marRight w:val="0"/>
      <w:marTop w:val="0"/>
      <w:marBottom w:val="0"/>
      <w:divBdr>
        <w:top w:val="none" w:sz="0" w:space="0" w:color="auto"/>
        <w:left w:val="none" w:sz="0" w:space="0" w:color="auto"/>
        <w:bottom w:val="none" w:sz="0" w:space="0" w:color="auto"/>
        <w:right w:val="none" w:sz="0" w:space="0" w:color="auto"/>
      </w:divBdr>
    </w:div>
    <w:div w:id="527454986">
      <w:bodyDiv w:val="1"/>
      <w:marLeft w:val="0"/>
      <w:marRight w:val="0"/>
      <w:marTop w:val="0"/>
      <w:marBottom w:val="0"/>
      <w:divBdr>
        <w:top w:val="none" w:sz="0" w:space="0" w:color="auto"/>
        <w:left w:val="none" w:sz="0" w:space="0" w:color="auto"/>
        <w:bottom w:val="none" w:sz="0" w:space="0" w:color="auto"/>
        <w:right w:val="none" w:sz="0" w:space="0" w:color="auto"/>
      </w:divBdr>
    </w:div>
    <w:div w:id="691340548">
      <w:bodyDiv w:val="1"/>
      <w:marLeft w:val="0"/>
      <w:marRight w:val="0"/>
      <w:marTop w:val="0"/>
      <w:marBottom w:val="0"/>
      <w:divBdr>
        <w:top w:val="none" w:sz="0" w:space="0" w:color="auto"/>
        <w:left w:val="none" w:sz="0" w:space="0" w:color="auto"/>
        <w:bottom w:val="none" w:sz="0" w:space="0" w:color="auto"/>
        <w:right w:val="none" w:sz="0" w:space="0" w:color="auto"/>
      </w:divBdr>
    </w:div>
    <w:div w:id="1049719821">
      <w:bodyDiv w:val="1"/>
      <w:marLeft w:val="0"/>
      <w:marRight w:val="0"/>
      <w:marTop w:val="0"/>
      <w:marBottom w:val="0"/>
      <w:divBdr>
        <w:top w:val="none" w:sz="0" w:space="0" w:color="auto"/>
        <w:left w:val="none" w:sz="0" w:space="0" w:color="auto"/>
        <w:bottom w:val="none" w:sz="0" w:space="0" w:color="auto"/>
        <w:right w:val="none" w:sz="0" w:space="0" w:color="auto"/>
      </w:divBdr>
    </w:div>
    <w:div w:id="1283535172">
      <w:bodyDiv w:val="1"/>
      <w:marLeft w:val="0"/>
      <w:marRight w:val="0"/>
      <w:marTop w:val="0"/>
      <w:marBottom w:val="0"/>
      <w:divBdr>
        <w:top w:val="none" w:sz="0" w:space="0" w:color="auto"/>
        <w:left w:val="none" w:sz="0" w:space="0" w:color="auto"/>
        <w:bottom w:val="none" w:sz="0" w:space="0" w:color="auto"/>
        <w:right w:val="none" w:sz="0" w:space="0" w:color="auto"/>
      </w:divBdr>
    </w:div>
    <w:div w:id="1306472476">
      <w:bodyDiv w:val="1"/>
      <w:marLeft w:val="0"/>
      <w:marRight w:val="0"/>
      <w:marTop w:val="0"/>
      <w:marBottom w:val="0"/>
      <w:divBdr>
        <w:top w:val="none" w:sz="0" w:space="0" w:color="auto"/>
        <w:left w:val="none" w:sz="0" w:space="0" w:color="auto"/>
        <w:bottom w:val="none" w:sz="0" w:space="0" w:color="auto"/>
        <w:right w:val="none" w:sz="0" w:space="0" w:color="auto"/>
      </w:divBdr>
    </w:div>
    <w:div w:id="1322268115">
      <w:bodyDiv w:val="1"/>
      <w:marLeft w:val="0"/>
      <w:marRight w:val="0"/>
      <w:marTop w:val="0"/>
      <w:marBottom w:val="0"/>
      <w:divBdr>
        <w:top w:val="none" w:sz="0" w:space="0" w:color="auto"/>
        <w:left w:val="none" w:sz="0" w:space="0" w:color="auto"/>
        <w:bottom w:val="none" w:sz="0" w:space="0" w:color="auto"/>
        <w:right w:val="none" w:sz="0" w:space="0" w:color="auto"/>
      </w:divBdr>
    </w:div>
    <w:div w:id="1474366329">
      <w:bodyDiv w:val="1"/>
      <w:marLeft w:val="0"/>
      <w:marRight w:val="0"/>
      <w:marTop w:val="0"/>
      <w:marBottom w:val="0"/>
      <w:divBdr>
        <w:top w:val="none" w:sz="0" w:space="0" w:color="auto"/>
        <w:left w:val="none" w:sz="0" w:space="0" w:color="auto"/>
        <w:bottom w:val="none" w:sz="0" w:space="0" w:color="auto"/>
        <w:right w:val="none" w:sz="0" w:space="0" w:color="auto"/>
      </w:divBdr>
    </w:div>
    <w:div w:id="180407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41711002340923"/>
          <c:y val="9.1200811915945132E-2"/>
          <c:w val="0.4601994451973731"/>
          <c:h val="0.6043341406732626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E0-477B-B576-C5CD49A5ED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E0-477B-B576-C5CD49A5ED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E0-477B-B576-C5CD49A5ED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E0-477B-B576-C5CD49A5ED9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E0-477B-B576-C5CD49A5ED95}"/>
              </c:ext>
            </c:extLst>
          </c:dPt>
          <c:dLbls>
            <c:dLbl>
              <c:idx val="0"/>
              <c:layout>
                <c:manualLayout>
                  <c:x val="0.17499999999999991"/>
                  <c:y val="-2.1218890680033321E-17"/>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E0-477B-B576-C5CD49A5ED95}"/>
                </c:ext>
              </c:extLst>
            </c:dLbl>
            <c:dLbl>
              <c:idx val="1"/>
              <c:layout>
                <c:manualLayout>
                  <c:x val="0.12777777777777768"/>
                  <c:y val="1.851851851851847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E0-477B-B576-C5CD49A5ED95}"/>
                </c:ext>
              </c:extLst>
            </c:dLbl>
            <c:dLbl>
              <c:idx val="2"/>
              <c:layout>
                <c:manualLayout>
                  <c:x val="9.9999999999999895E-2"/>
                  <c:y val="6.944444444444436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9E0-477B-B576-C5CD49A5ED95}"/>
                </c:ext>
              </c:extLst>
            </c:dLbl>
            <c:dLbl>
              <c:idx val="3"/>
              <c:layout>
                <c:manualLayout>
                  <c:x val="-0.1277777777777778"/>
                  <c:y val="6.481481481481472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9E0-477B-B576-C5CD49A5ED95}"/>
                </c:ext>
              </c:extLst>
            </c:dLbl>
            <c:dLbl>
              <c:idx val="4"/>
              <c:layout>
                <c:manualLayout>
                  <c:x val="-0.15000000000000002"/>
                  <c:y val="-1.388888888888891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9E0-477B-B576-C5CD49A5ED95}"/>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Sheet1!$C$37:$C$41</c:f>
              <c:strCache>
                <c:ptCount val="5"/>
                <c:pt idx="0">
                  <c:v>31–40 years</c:v>
                </c:pt>
                <c:pt idx="1">
                  <c:v>41–50 years</c:v>
                </c:pt>
                <c:pt idx="2">
                  <c:v>51–60 years</c:v>
                </c:pt>
                <c:pt idx="3">
                  <c:v>61–70 years</c:v>
                </c:pt>
                <c:pt idx="4">
                  <c:v>71–80 years</c:v>
                </c:pt>
              </c:strCache>
            </c:strRef>
          </c:cat>
          <c:val>
            <c:numRef>
              <c:f>Sheet1!$D$37:$D$41</c:f>
              <c:numCache>
                <c:formatCode>General</c:formatCode>
                <c:ptCount val="5"/>
                <c:pt idx="0">
                  <c:v>12</c:v>
                </c:pt>
                <c:pt idx="1">
                  <c:v>18</c:v>
                </c:pt>
                <c:pt idx="2">
                  <c:v>24</c:v>
                </c:pt>
                <c:pt idx="3">
                  <c:v>38</c:v>
                </c:pt>
                <c:pt idx="4">
                  <c:v>21</c:v>
                </c:pt>
              </c:numCache>
            </c:numRef>
          </c:val>
          <c:extLst>
            <c:ext xmlns:c16="http://schemas.microsoft.com/office/drawing/2014/chart" uri="{C3380CC4-5D6E-409C-BE32-E72D297353CC}">
              <c16:uniqueId val="{0000000A-59E0-477B-B576-C5CD49A5ED9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91603629398905"/>
          <c:y val="0.15628805279856703"/>
          <c:w val="0.43371316914624003"/>
          <c:h val="0.6333737346340857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3D-40BE-8CF2-3531DAA4CA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3D-40BE-8CF2-3531DAA4CA79}"/>
              </c:ext>
            </c:extLst>
          </c:dPt>
          <c:dLbls>
            <c:dLbl>
              <c:idx val="0"/>
              <c:layout>
                <c:manualLayout>
                  <c:x val="0.13055555555555556"/>
                  <c:y val="7.870370370370370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43D-40BE-8CF2-3531DAA4CA79}"/>
                </c:ext>
              </c:extLst>
            </c:dLbl>
            <c:dLbl>
              <c:idx val="1"/>
              <c:layout>
                <c:manualLayout>
                  <c:x val="-0.11944444444444445"/>
                  <c:y val="-5.092592592592594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3D-40BE-8CF2-3531DAA4CA7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Sheet1!$C$42:$C$43</c:f>
              <c:strCache>
                <c:ptCount val="2"/>
                <c:pt idx="0">
                  <c:v>Male</c:v>
                </c:pt>
                <c:pt idx="1">
                  <c:v>Female</c:v>
                </c:pt>
              </c:strCache>
            </c:strRef>
          </c:cat>
          <c:val>
            <c:numRef>
              <c:f>Sheet1!$D$42:$D$43</c:f>
              <c:numCache>
                <c:formatCode>General</c:formatCode>
                <c:ptCount val="2"/>
                <c:pt idx="0">
                  <c:v>85</c:v>
                </c:pt>
                <c:pt idx="1">
                  <c:v>28</c:v>
                </c:pt>
              </c:numCache>
            </c:numRef>
          </c:val>
          <c:extLst>
            <c:ext xmlns:c16="http://schemas.microsoft.com/office/drawing/2014/chart" uri="{C3380CC4-5D6E-409C-BE32-E72D297353CC}">
              <c16:uniqueId val="{00000004-C43D-40BE-8CF2-3531DAA4CA79}"/>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210977603749878"/>
          <c:y val="5.0925925925925923E-2"/>
          <c:w val="0.54234966168406606"/>
          <c:h val="0.8981481481481481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Sheet2!$C$5:$C$10</c:f>
              <c:strCache>
                <c:ptCount val="6"/>
                <c:pt idx="0">
                  <c:v>Shortness of Breath (NYHA II-IV)</c:v>
                </c:pt>
                <c:pt idx="1">
                  <c:v>Orthopnea</c:v>
                </c:pt>
                <c:pt idx="2">
                  <c:v>Paroxysmal Nocturnal Dyspnea</c:v>
                </c:pt>
                <c:pt idx="3">
                  <c:v>Bilateral Basal Crepitations</c:v>
                </c:pt>
                <c:pt idx="4">
                  <c:v>Leg Edema</c:v>
                </c:pt>
                <c:pt idx="5">
                  <c:v>Raised JVP</c:v>
                </c:pt>
              </c:strCache>
            </c:strRef>
          </c:cat>
          <c:val>
            <c:numRef>
              <c:f>Sheet2!$D$5:$D$10</c:f>
            </c:numRef>
          </c:val>
          <c:extLst>
            <c:ext xmlns:c16="http://schemas.microsoft.com/office/drawing/2014/chart" uri="{C3380CC4-5D6E-409C-BE32-E72D297353CC}">
              <c16:uniqueId val="{00000000-5E85-46AD-AE30-2ACCCC5D8BC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Sheet2!$C$5:$C$10</c:f>
              <c:strCache>
                <c:ptCount val="6"/>
                <c:pt idx="0">
                  <c:v>Shortness of Breath (NYHA II-IV)</c:v>
                </c:pt>
                <c:pt idx="1">
                  <c:v>Orthopnea</c:v>
                </c:pt>
                <c:pt idx="2">
                  <c:v>Paroxysmal Nocturnal Dyspnea</c:v>
                </c:pt>
                <c:pt idx="3">
                  <c:v>Bilateral Basal Crepitations</c:v>
                </c:pt>
                <c:pt idx="4">
                  <c:v>Leg Edema</c:v>
                </c:pt>
                <c:pt idx="5">
                  <c:v>Raised JVP</c:v>
                </c:pt>
              </c:strCache>
            </c:strRef>
          </c:cat>
          <c:val>
            <c:numRef>
              <c:f>Sheet2!$E$5:$E$10</c:f>
              <c:numCache>
                <c:formatCode>0.0%</c:formatCode>
                <c:ptCount val="6"/>
                <c:pt idx="0">
                  <c:v>0.96499999999999997</c:v>
                </c:pt>
                <c:pt idx="1">
                  <c:v>0.86699999999999999</c:v>
                </c:pt>
                <c:pt idx="2">
                  <c:v>0.77</c:v>
                </c:pt>
                <c:pt idx="3">
                  <c:v>0.92900000000000005</c:v>
                </c:pt>
                <c:pt idx="4">
                  <c:v>0.83199999999999996</c:v>
                </c:pt>
                <c:pt idx="5">
                  <c:v>0.59299999999999997</c:v>
                </c:pt>
              </c:numCache>
            </c:numRef>
          </c:val>
          <c:extLst>
            <c:ext xmlns:c16="http://schemas.microsoft.com/office/drawing/2014/chart" uri="{C3380CC4-5D6E-409C-BE32-E72D297353CC}">
              <c16:uniqueId val="{00000001-5E85-46AD-AE30-2ACCCC5D8BC7}"/>
            </c:ext>
          </c:extLst>
        </c:ser>
        <c:dLbls>
          <c:dLblPos val="outEnd"/>
          <c:showLegendKey val="0"/>
          <c:showVal val="1"/>
          <c:showCatName val="0"/>
          <c:showSerName val="0"/>
          <c:showPercent val="0"/>
          <c:showBubbleSize val="0"/>
        </c:dLbls>
        <c:gapWidth val="182"/>
        <c:axId val="661728720"/>
        <c:axId val="661743120"/>
      </c:barChart>
      <c:catAx>
        <c:axId val="66172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1743120"/>
        <c:crosses val="autoZero"/>
        <c:auto val="1"/>
        <c:lblAlgn val="ctr"/>
        <c:lblOffset val="100"/>
        <c:noMultiLvlLbl val="0"/>
      </c:catAx>
      <c:valAx>
        <c:axId val="661743120"/>
        <c:scaling>
          <c:orientation val="minMax"/>
        </c:scaling>
        <c:delete val="1"/>
        <c:axPos val="b"/>
        <c:numFmt formatCode="0.0%" sourceLinked="1"/>
        <c:majorTickMark val="none"/>
        <c:minorTickMark val="none"/>
        <c:tickLblPos val="nextTo"/>
        <c:crossAx val="66172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223078890492"/>
          <c:y val="9.076642872911915E-2"/>
          <c:w val="0.52234888937915724"/>
          <c:h val="0.6152549856501581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F1-4258-BD9C-0AD74B9F43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F1-4258-BD9C-0AD74B9F43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F1-4258-BD9C-0AD74B9F4345}"/>
              </c:ext>
            </c:extLst>
          </c:dPt>
          <c:dLbls>
            <c:dLbl>
              <c:idx val="0"/>
              <c:layout>
                <c:manualLayout>
                  <c:x val="-0.31111111111111112"/>
                  <c:y val="1.388888888888888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F1-4258-BD9C-0AD74B9F4345}"/>
                </c:ext>
              </c:extLst>
            </c:dLbl>
            <c:dLbl>
              <c:idx val="1"/>
              <c:layout>
                <c:manualLayout>
                  <c:x val="0.11666666666666657"/>
                  <c:y val="-4.2437781360066642E-17"/>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F1-4258-BD9C-0AD74B9F4345}"/>
                </c:ext>
              </c:extLst>
            </c:dLbl>
            <c:dLbl>
              <c:idx val="2"/>
              <c:layout>
                <c:manualLayout>
                  <c:x val="-0.13333333333333333"/>
                  <c:y val="7.407407407407398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F1-4258-BD9C-0AD74B9F4345}"/>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Sheet4!$D$5:$D$7</c:f>
              <c:strCache>
                <c:ptCount val="3"/>
                <c:pt idx="0">
                  <c:v>Hypothyroidism</c:v>
                </c:pt>
                <c:pt idx="1">
                  <c:v>Hyperthyroidism</c:v>
                </c:pt>
                <c:pt idx="2">
                  <c:v>Euthyroidism</c:v>
                </c:pt>
              </c:strCache>
            </c:strRef>
          </c:cat>
          <c:val>
            <c:numRef>
              <c:f>Sheet4!$E$5:$E$7</c:f>
              <c:numCache>
                <c:formatCode>General</c:formatCode>
                <c:ptCount val="3"/>
                <c:pt idx="0">
                  <c:v>14</c:v>
                </c:pt>
                <c:pt idx="1">
                  <c:v>9</c:v>
                </c:pt>
                <c:pt idx="2">
                  <c:v>90</c:v>
                </c:pt>
              </c:numCache>
            </c:numRef>
          </c:val>
          <c:extLst>
            <c:ext xmlns:c16="http://schemas.microsoft.com/office/drawing/2014/chart" uri="{C3380CC4-5D6E-409C-BE32-E72D297353CC}">
              <c16:uniqueId val="{00000006-3BF1-4258-BD9C-0AD74B9F434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E963-BF1F-4C6E-ABD1-063A873A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shaude</dc:creator>
  <cp:lastModifiedBy>Editor-22</cp:lastModifiedBy>
  <cp:revision>8</cp:revision>
  <cp:lastPrinted>2025-05-14T04:20:00Z</cp:lastPrinted>
  <dcterms:created xsi:type="dcterms:W3CDTF">2025-05-14T04:20:00Z</dcterms:created>
  <dcterms:modified xsi:type="dcterms:W3CDTF">2025-05-19T10:25:00Z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797142636ba70249f2eb465f044755503d0eaeebc57bb020feb3daa3fb7a55c4</vt:lpwstr>
  </property>
  <property fmtid="{D5CDD505-2E9C-101B-9397-08002B2CF9AE}" pid="3" name="KSOProductBuildVer">
    <vt:lpwstr>1033-12.2.0.20326</vt:lpwstr>
  </property>
  <property fmtid="{D5CDD505-2E9C-101B-9397-08002B2CF9AE}" pid="4" name="ICV">
    <vt:lpwstr>CECA7C7B231F4397867D4A9A3CB9462A_12</vt:lpwstr>
  </property>
</Properties>
</file>