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1A83D" w14:textId="77777777" w:rsidR="009C3D55" w:rsidRPr="009C3D55" w:rsidRDefault="009C3D55" w:rsidP="009C3D55">
      <w:pPr>
        <w:pStyle w:val="Heading1"/>
        <w:spacing w:after="322"/>
        <w:jc w:val="both"/>
        <w:rPr>
          <w:i/>
          <w:iCs/>
          <w:u w:val="single"/>
        </w:rPr>
      </w:pPr>
      <w:r w:rsidRPr="009C3D55">
        <w:rPr>
          <w:i/>
          <w:iCs/>
          <w:u w:val="single"/>
        </w:rPr>
        <w:t xml:space="preserve">Case report </w:t>
      </w:r>
    </w:p>
    <w:p w14:paraId="6C96E0AE" w14:textId="77777777" w:rsidR="009C3D55" w:rsidRDefault="009C3D55" w:rsidP="00113375">
      <w:pPr>
        <w:pStyle w:val="Heading1"/>
        <w:keepNext w:val="0"/>
        <w:keepLines w:val="0"/>
        <w:spacing w:before="0" w:after="322"/>
        <w:jc w:val="both"/>
        <w:rPr>
          <w:color w:val="auto"/>
        </w:rPr>
      </w:pPr>
    </w:p>
    <w:p w14:paraId="57A88BE6" w14:textId="7F048CB4" w:rsidR="000A7C28" w:rsidRDefault="00A57052" w:rsidP="00113375">
      <w:pPr>
        <w:pStyle w:val="Heading1"/>
        <w:keepNext w:val="0"/>
        <w:keepLines w:val="0"/>
        <w:spacing w:before="0" w:after="322"/>
        <w:jc w:val="both"/>
      </w:pPr>
      <w:r>
        <w:rPr>
          <w:color w:val="auto"/>
        </w:rPr>
        <w:t xml:space="preserve">Very Long Cystic Duct and Cystic Artery During Laparoscopic Cholecystectomy for </w:t>
      </w:r>
      <w:r w:rsidR="00AC42E0">
        <w:rPr>
          <w:color w:val="auto"/>
        </w:rPr>
        <w:t>Chronic</w:t>
      </w:r>
      <w:r w:rsidR="003D6A9C">
        <w:rPr>
          <w:color w:val="auto"/>
        </w:rPr>
        <w:t xml:space="preserve"> </w:t>
      </w:r>
      <w:proofErr w:type="spellStart"/>
      <w:r>
        <w:rPr>
          <w:color w:val="auto"/>
        </w:rPr>
        <w:t>Calcular</w:t>
      </w:r>
      <w:proofErr w:type="spellEnd"/>
      <w:r>
        <w:rPr>
          <w:color w:val="auto"/>
        </w:rPr>
        <w:t xml:space="preserve"> Cholecystitis: A Case Report</w:t>
      </w:r>
    </w:p>
    <w:p w14:paraId="40F452C5" w14:textId="77777777" w:rsidR="001B7AF5" w:rsidRDefault="001B7AF5">
      <w:pPr>
        <w:pStyle w:val="Heading2"/>
        <w:keepNext w:val="0"/>
        <w:keepLines w:val="0"/>
        <w:spacing w:before="299" w:after="299"/>
        <w:rPr>
          <w:color w:val="auto"/>
        </w:rPr>
      </w:pPr>
    </w:p>
    <w:p w14:paraId="57A88BF7" w14:textId="7C62D98A" w:rsidR="000A7C28" w:rsidRDefault="00A57052" w:rsidP="00B540AF">
      <w:pPr>
        <w:pStyle w:val="Heading2"/>
        <w:keepNext w:val="0"/>
        <w:keepLines w:val="0"/>
        <w:spacing w:before="299" w:after="299"/>
      </w:pPr>
      <w:r>
        <w:rPr>
          <w:color w:val="auto"/>
        </w:rPr>
        <w:t>Abstract</w:t>
      </w:r>
    </w:p>
    <w:p w14:paraId="57A88BF9" w14:textId="33101D29" w:rsidR="000A7C28" w:rsidRPr="005319A6" w:rsidRDefault="00A57052" w:rsidP="00241540">
      <w:pPr>
        <w:spacing w:before="240" w:after="240" w:line="360" w:lineRule="auto"/>
        <w:jc w:val="both"/>
        <w:rPr>
          <w:rFonts w:asciiTheme="minorHAnsi" w:eastAsiaTheme="minorHAnsi" w:hAnsiTheme="minorHAnsi" w:cstheme="minorBidi"/>
          <w:sz w:val="32"/>
          <w:szCs w:val="32"/>
        </w:rPr>
      </w:pPr>
      <w:r w:rsidRPr="005319A6">
        <w:rPr>
          <w:rFonts w:asciiTheme="minorHAnsi" w:eastAsiaTheme="minorHAnsi" w:hAnsiTheme="minorHAnsi" w:cstheme="minorBidi"/>
          <w:sz w:val="32"/>
          <w:szCs w:val="32"/>
        </w:rPr>
        <w:t>Congenital anomalies of the gallbladder, cystic artery, and cystic duct that complicate surgical procedures are uncommon developmental abnormalities arising during embryogenesis. Surgeons must meticulously identify biliary anatomy to ensure procedural safety and prevent potentially catastrophic complications.</w:t>
      </w:r>
    </w:p>
    <w:p w14:paraId="57A88BFB" w14:textId="3394FB57" w:rsidR="000A7C28" w:rsidRDefault="00241540" w:rsidP="00A77EC1">
      <w:pPr>
        <w:spacing w:before="240" w:after="240" w:line="360" w:lineRule="auto"/>
        <w:jc w:val="both"/>
        <w:rPr>
          <w:rFonts w:asciiTheme="minorHAnsi" w:eastAsiaTheme="minorHAnsi" w:hAnsiTheme="minorHAnsi" w:cstheme="minorBidi"/>
          <w:sz w:val="32"/>
          <w:szCs w:val="32"/>
        </w:rPr>
      </w:pPr>
      <w:r>
        <w:rPr>
          <w:rFonts w:asciiTheme="minorHAnsi" w:eastAsiaTheme="minorHAnsi" w:hAnsiTheme="minorHAnsi" w:cstheme="minorBidi"/>
          <w:sz w:val="32"/>
          <w:szCs w:val="32"/>
        </w:rPr>
        <w:t>Herein, w</w:t>
      </w:r>
      <w:r w:rsidRPr="005319A6">
        <w:rPr>
          <w:rFonts w:asciiTheme="minorHAnsi" w:eastAsiaTheme="minorHAnsi" w:hAnsiTheme="minorHAnsi" w:cstheme="minorBidi"/>
          <w:sz w:val="32"/>
          <w:szCs w:val="32"/>
        </w:rPr>
        <w:t>e present the case of a 59-year-old previously healthy male who s</w:t>
      </w:r>
      <w:r w:rsidR="00A06AEE">
        <w:rPr>
          <w:rFonts w:asciiTheme="minorHAnsi" w:eastAsiaTheme="minorHAnsi" w:hAnsiTheme="minorHAnsi" w:cstheme="minorBidi"/>
          <w:sz w:val="32"/>
          <w:szCs w:val="32"/>
        </w:rPr>
        <w:t>earche</w:t>
      </w:r>
      <w:r w:rsidR="00DB47A1">
        <w:rPr>
          <w:rFonts w:asciiTheme="minorHAnsi" w:eastAsiaTheme="minorHAnsi" w:hAnsiTheme="minorHAnsi" w:cstheme="minorBidi"/>
          <w:sz w:val="32"/>
          <w:szCs w:val="32"/>
        </w:rPr>
        <w:t>d for</w:t>
      </w:r>
      <w:r w:rsidRPr="005319A6">
        <w:rPr>
          <w:rFonts w:asciiTheme="minorHAnsi" w:eastAsiaTheme="minorHAnsi" w:hAnsiTheme="minorHAnsi" w:cstheme="minorBidi"/>
          <w:sz w:val="32"/>
          <w:szCs w:val="32"/>
        </w:rPr>
        <w:t xml:space="preserve"> medical </w:t>
      </w:r>
      <w:r w:rsidR="00A06AEE">
        <w:rPr>
          <w:rFonts w:asciiTheme="minorHAnsi" w:eastAsiaTheme="minorHAnsi" w:hAnsiTheme="minorHAnsi" w:cstheme="minorBidi"/>
          <w:sz w:val="32"/>
          <w:szCs w:val="32"/>
        </w:rPr>
        <w:t>advice</w:t>
      </w:r>
      <w:r w:rsidRPr="005319A6">
        <w:rPr>
          <w:rFonts w:asciiTheme="minorHAnsi" w:eastAsiaTheme="minorHAnsi" w:hAnsiTheme="minorHAnsi" w:cstheme="minorBidi"/>
          <w:sz w:val="32"/>
          <w:szCs w:val="32"/>
        </w:rPr>
        <w:t xml:space="preserve"> for recurrent right upper quadrant pain radiating to his back. The pain was </w:t>
      </w:r>
      <w:proofErr w:type="spellStart"/>
      <w:r>
        <w:rPr>
          <w:rFonts w:asciiTheme="minorHAnsi" w:eastAsiaTheme="minorHAnsi" w:hAnsiTheme="minorHAnsi" w:cstheme="minorBidi"/>
          <w:sz w:val="32"/>
          <w:szCs w:val="32"/>
        </w:rPr>
        <w:t>characterised</w:t>
      </w:r>
      <w:proofErr w:type="spellEnd"/>
      <w:r w:rsidRPr="005319A6">
        <w:rPr>
          <w:rFonts w:asciiTheme="minorHAnsi" w:eastAsiaTheme="minorHAnsi" w:hAnsiTheme="minorHAnsi" w:cstheme="minorBidi"/>
          <w:sz w:val="32"/>
          <w:szCs w:val="32"/>
        </w:rPr>
        <w:t xml:space="preserve"> by </w:t>
      </w:r>
      <w:r>
        <w:rPr>
          <w:rFonts w:asciiTheme="minorHAnsi" w:eastAsiaTheme="minorHAnsi" w:hAnsiTheme="minorHAnsi" w:cstheme="minorBidi"/>
          <w:sz w:val="32"/>
          <w:szCs w:val="32"/>
        </w:rPr>
        <w:t xml:space="preserve">a </w:t>
      </w:r>
      <w:r w:rsidRPr="005319A6">
        <w:rPr>
          <w:rFonts w:asciiTheme="minorHAnsi" w:eastAsiaTheme="minorHAnsi" w:hAnsiTheme="minorHAnsi" w:cstheme="minorBidi"/>
          <w:sz w:val="32"/>
          <w:szCs w:val="32"/>
        </w:rPr>
        <w:t xml:space="preserve">sudden onset with </w:t>
      </w:r>
      <w:r w:rsidR="001C10ED">
        <w:rPr>
          <w:rFonts w:asciiTheme="minorHAnsi" w:eastAsiaTheme="minorHAnsi" w:hAnsiTheme="minorHAnsi" w:cstheme="minorBidi"/>
          <w:sz w:val="32"/>
          <w:szCs w:val="32"/>
        </w:rPr>
        <w:t xml:space="preserve">a </w:t>
      </w:r>
      <w:r w:rsidRPr="005319A6">
        <w:rPr>
          <w:rFonts w:asciiTheme="minorHAnsi" w:eastAsiaTheme="minorHAnsi" w:hAnsiTheme="minorHAnsi" w:cstheme="minorBidi"/>
          <w:sz w:val="32"/>
          <w:szCs w:val="32"/>
        </w:rPr>
        <w:t xml:space="preserve">progressive </w:t>
      </w:r>
      <w:r w:rsidR="001C10ED">
        <w:rPr>
          <w:rFonts w:asciiTheme="minorHAnsi" w:eastAsiaTheme="minorHAnsi" w:hAnsiTheme="minorHAnsi" w:cstheme="minorBidi"/>
          <w:sz w:val="32"/>
          <w:szCs w:val="32"/>
        </w:rPr>
        <w:t>course</w:t>
      </w:r>
      <w:r w:rsidRPr="005319A6">
        <w:rPr>
          <w:rFonts w:asciiTheme="minorHAnsi" w:eastAsiaTheme="minorHAnsi" w:hAnsiTheme="minorHAnsi" w:cstheme="minorBidi"/>
          <w:sz w:val="32"/>
          <w:szCs w:val="32"/>
        </w:rPr>
        <w:t xml:space="preserve"> over three days, accompanied by nausea and vomiting, but without fever or altered bowel habits. Laboratory investigations were within normal parameters, and abdominal </w:t>
      </w:r>
      <w:r w:rsidRPr="005319A6">
        <w:rPr>
          <w:rFonts w:asciiTheme="minorHAnsi" w:eastAsiaTheme="minorHAnsi" w:hAnsiTheme="minorHAnsi" w:cstheme="minorBidi"/>
          <w:sz w:val="32"/>
          <w:szCs w:val="32"/>
        </w:rPr>
        <w:lastRenderedPageBreak/>
        <w:t xml:space="preserve">ultrasonography confirmed </w:t>
      </w:r>
      <w:r w:rsidR="003D6A9C">
        <w:rPr>
          <w:rFonts w:asciiTheme="minorHAnsi" w:eastAsiaTheme="minorHAnsi" w:hAnsiTheme="minorHAnsi" w:cstheme="minorBidi"/>
          <w:sz w:val="32"/>
          <w:szCs w:val="32"/>
        </w:rPr>
        <w:t xml:space="preserve">chronic </w:t>
      </w:r>
      <w:r w:rsidRPr="005319A6">
        <w:rPr>
          <w:rFonts w:asciiTheme="minorHAnsi" w:eastAsiaTheme="minorHAnsi" w:hAnsiTheme="minorHAnsi" w:cstheme="minorBidi"/>
          <w:sz w:val="32"/>
          <w:szCs w:val="32"/>
        </w:rPr>
        <w:t>calculus cholecystitis. During laparoscopic cholecystectomy, we encountered an extremely rare congenital anomaly featuring an unusually elongated cystic duct and artery. The patient recovered well and was discharged four days postoperatively.</w:t>
      </w:r>
    </w:p>
    <w:p w14:paraId="7533057F" w14:textId="77777777" w:rsidR="00B540AF" w:rsidRPr="005319A6" w:rsidRDefault="00B540AF" w:rsidP="00A77EC1">
      <w:pPr>
        <w:spacing w:before="240" w:after="240" w:line="360" w:lineRule="auto"/>
        <w:jc w:val="both"/>
        <w:rPr>
          <w:rFonts w:asciiTheme="minorHAnsi" w:eastAsiaTheme="minorHAnsi" w:hAnsiTheme="minorHAnsi" w:cstheme="minorBidi"/>
          <w:sz w:val="32"/>
          <w:szCs w:val="32"/>
        </w:rPr>
      </w:pPr>
    </w:p>
    <w:p w14:paraId="57A88BFC" w14:textId="77777777" w:rsidR="000A7C28" w:rsidRDefault="00A57052">
      <w:pPr>
        <w:spacing w:before="240" w:after="240"/>
        <w:rPr>
          <w:sz w:val="28"/>
          <w:szCs w:val="28"/>
        </w:rPr>
      </w:pPr>
      <w:r w:rsidRPr="00624C89">
        <w:rPr>
          <w:b/>
          <w:bCs/>
          <w:sz w:val="28"/>
          <w:szCs w:val="28"/>
        </w:rPr>
        <w:t>Keywords</w:t>
      </w:r>
      <w:r w:rsidRPr="00624C89">
        <w:rPr>
          <w:sz w:val="28"/>
          <w:szCs w:val="28"/>
        </w:rPr>
        <w:t>: Gallbladder, laparoscopic cholecystectomy, cholecystitis, cystic duct, cystic artery</w:t>
      </w:r>
    </w:p>
    <w:p w14:paraId="57A88BFD" w14:textId="77777777" w:rsidR="000A7C28" w:rsidRPr="00624C89" w:rsidRDefault="000A7C28">
      <w:pPr>
        <w:spacing w:before="240" w:after="240"/>
        <w:rPr>
          <w:sz w:val="28"/>
          <w:szCs w:val="28"/>
        </w:rPr>
      </w:pPr>
    </w:p>
    <w:p w14:paraId="57A88BFF" w14:textId="5DB762C1" w:rsidR="000A7C28" w:rsidRDefault="00A57052" w:rsidP="00B540AF">
      <w:pPr>
        <w:pStyle w:val="Heading2"/>
        <w:keepNext w:val="0"/>
        <w:keepLines w:val="0"/>
        <w:spacing w:before="299" w:after="299"/>
      </w:pPr>
      <w:r>
        <w:rPr>
          <w:color w:val="auto"/>
        </w:rPr>
        <w:t>Introduction</w:t>
      </w:r>
    </w:p>
    <w:p w14:paraId="79C735C4" w14:textId="157B844D" w:rsidR="006F2351" w:rsidRDefault="00A57052" w:rsidP="00B854F8">
      <w:pPr>
        <w:spacing w:before="240" w:after="240" w:line="360" w:lineRule="auto"/>
        <w:jc w:val="both"/>
        <w:rPr>
          <w:rFonts w:asciiTheme="minorHAnsi" w:eastAsiaTheme="minorHAnsi" w:hAnsiTheme="minorHAnsi" w:cstheme="minorBidi"/>
          <w:sz w:val="32"/>
          <w:szCs w:val="32"/>
        </w:rPr>
      </w:pPr>
      <w:r w:rsidRPr="00241540">
        <w:rPr>
          <w:rFonts w:asciiTheme="minorHAnsi" w:eastAsiaTheme="minorHAnsi" w:hAnsiTheme="minorHAnsi" w:cstheme="minorBidi"/>
          <w:sz w:val="32"/>
          <w:szCs w:val="32"/>
        </w:rPr>
        <w:t>Gallstone disease has emerged as a prevalent surgical condition, with numerous patients seeking surgical intervention daily. In contemporary practice, laparoscopic cholecystectomy has been established as the gold-standard therapeutic approach [1]. Anatomical variations represent significant entities that may remain clinically silent throughout life. Preoperative identification of these variations through routine diagnostic modalities presents considerable challenges. Nevertheless, these anomalies necessitate heightened vigilance during surgical procedures as they are frequently encountered intraoperatively [2].</w:t>
      </w:r>
      <w:r w:rsidR="00241540">
        <w:rPr>
          <w:rFonts w:asciiTheme="minorHAnsi" w:eastAsiaTheme="minorHAnsi" w:hAnsiTheme="minorHAnsi" w:cstheme="minorBidi"/>
          <w:sz w:val="32"/>
          <w:szCs w:val="32"/>
        </w:rPr>
        <w:t xml:space="preserve"> </w:t>
      </w:r>
      <w:r w:rsidRPr="00241540">
        <w:rPr>
          <w:rFonts w:asciiTheme="minorHAnsi" w:eastAsiaTheme="minorHAnsi" w:hAnsiTheme="minorHAnsi" w:cstheme="minorBidi"/>
          <w:sz w:val="32"/>
          <w:szCs w:val="32"/>
        </w:rPr>
        <w:t xml:space="preserve">These abnormalities may involve the </w:t>
      </w:r>
      <w:r w:rsidR="004E776A">
        <w:rPr>
          <w:rFonts w:asciiTheme="minorHAnsi" w:eastAsiaTheme="minorHAnsi" w:hAnsiTheme="minorHAnsi" w:cstheme="minorBidi"/>
          <w:sz w:val="32"/>
          <w:szCs w:val="32"/>
        </w:rPr>
        <w:t>presence</w:t>
      </w:r>
      <w:r w:rsidRPr="00241540">
        <w:rPr>
          <w:rFonts w:asciiTheme="minorHAnsi" w:eastAsiaTheme="minorHAnsi" w:hAnsiTheme="minorHAnsi" w:cstheme="minorBidi"/>
          <w:sz w:val="32"/>
          <w:szCs w:val="32"/>
        </w:rPr>
        <w:t xml:space="preserve"> or supernumerary variations (duplicate, triplicate), diverse morphologies and dimensions of </w:t>
      </w:r>
      <w:r w:rsidRPr="00241540">
        <w:rPr>
          <w:rFonts w:asciiTheme="minorHAnsi" w:eastAsiaTheme="minorHAnsi" w:hAnsiTheme="minorHAnsi" w:cstheme="minorBidi"/>
          <w:sz w:val="32"/>
          <w:szCs w:val="32"/>
        </w:rPr>
        <w:lastRenderedPageBreak/>
        <w:t>the gallbladder (agenesis, rudimentary, transposition, "Phrygian cap" gallbladder, among others), mucosal heterotopias, or even anomalous mesentery predisposing to torsion and cystic duct malformations. Cystic duct anomalies encompass absence or duplication, giant cystic (choledochal cyst-like) transformation, and spiral or elongated configurations. The latter may present with aberrant course and low junction to the common bile duct, or occasionally with completely independent drainage into the duodenum [3].</w:t>
      </w:r>
      <w:r w:rsidR="00241540">
        <w:rPr>
          <w:rFonts w:asciiTheme="minorHAnsi" w:eastAsiaTheme="minorHAnsi" w:hAnsiTheme="minorHAnsi" w:cstheme="minorBidi"/>
          <w:sz w:val="32"/>
          <w:szCs w:val="32"/>
        </w:rPr>
        <w:t xml:space="preserve"> </w:t>
      </w:r>
      <w:r w:rsidRPr="00241540">
        <w:rPr>
          <w:rFonts w:asciiTheme="minorHAnsi" w:eastAsiaTheme="minorHAnsi" w:hAnsiTheme="minorHAnsi" w:cstheme="minorBidi"/>
          <w:sz w:val="32"/>
          <w:szCs w:val="32"/>
        </w:rPr>
        <w:t>Vascular and biliary variations within Calot's triangle contribute substantially to intraoperative complications during laparoscopic cholecystectomy [4]. Familiarity with potential variations facilitates the prevention of intraoperative and postoperative complications, thereby reducing morbidity and mortality. Previous research has not adequately compared intraoperative and postoperative complications between normal anatomical configurations and variant presentations [5].</w:t>
      </w:r>
      <w:r w:rsidR="00241540">
        <w:rPr>
          <w:rFonts w:asciiTheme="minorHAnsi" w:eastAsiaTheme="minorHAnsi" w:hAnsiTheme="minorHAnsi" w:cstheme="minorBidi"/>
          <w:sz w:val="32"/>
          <w:szCs w:val="32"/>
        </w:rPr>
        <w:t xml:space="preserve"> </w:t>
      </w:r>
      <w:r w:rsidRPr="00241540">
        <w:rPr>
          <w:rFonts w:asciiTheme="minorHAnsi" w:eastAsiaTheme="minorHAnsi" w:hAnsiTheme="minorHAnsi" w:cstheme="minorBidi"/>
          <w:sz w:val="32"/>
          <w:szCs w:val="32"/>
        </w:rPr>
        <w:t>Laparoscopic cholecystectomy is routinely performed for the management of gallstones and associated complications. Surgeons must carefully delineate biliary anatomy to ensure procedural safety and avoid hazardous, potentially disastrous complications</w:t>
      </w:r>
      <w:r w:rsidR="00CE358E">
        <w:rPr>
          <w:rFonts w:asciiTheme="minorHAnsi" w:eastAsiaTheme="minorHAnsi" w:hAnsiTheme="minorHAnsi" w:cstheme="minorBidi"/>
          <w:sz w:val="32"/>
          <w:szCs w:val="32"/>
        </w:rPr>
        <w:t xml:space="preserve"> [5]</w:t>
      </w:r>
      <w:r w:rsidRPr="00241540">
        <w:rPr>
          <w:rFonts w:asciiTheme="minorHAnsi" w:eastAsiaTheme="minorHAnsi" w:hAnsiTheme="minorHAnsi" w:cstheme="minorBidi"/>
          <w:sz w:val="32"/>
          <w:szCs w:val="32"/>
        </w:rPr>
        <w:t xml:space="preserve">. </w:t>
      </w:r>
    </w:p>
    <w:p w14:paraId="57A88C09" w14:textId="59943C6D" w:rsidR="000A7C28" w:rsidRPr="006F2351" w:rsidRDefault="00A57052" w:rsidP="00B854F8">
      <w:pPr>
        <w:spacing w:before="240" w:after="240" w:line="360" w:lineRule="auto"/>
        <w:jc w:val="both"/>
        <w:rPr>
          <w:b/>
          <w:bCs/>
          <w:sz w:val="36"/>
          <w:szCs w:val="36"/>
        </w:rPr>
      </w:pPr>
      <w:r w:rsidRPr="006F2351">
        <w:rPr>
          <w:b/>
          <w:bCs/>
          <w:sz w:val="36"/>
          <w:szCs w:val="36"/>
        </w:rPr>
        <w:t xml:space="preserve">Case </w:t>
      </w:r>
      <w:r w:rsidR="001B7AF5">
        <w:rPr>
          <w:b/>
          <w:bCs/>
          <w:sz w:val="36"/>
          <w:szCs w:val="36"/>
        </w:rPr>
        <w:t xml:space="preserve">Presentation </w:t>
      </w:r>
    </w:p>
    <w:p w14:paraId="57A88C0A" w14:textId="1E748797" w:rsidR="000A7C28" w:rsidRDefault="00A57052" w:rsidP="00F51DC2">
      <w:pPr>
        <w:spacing w:before="240" w:after="240" w:line="360" w:lineRule="auto"/>
        <w:jc w:val="both"/>
        <w:rPr>
          <w:rFonts w:asciiTheme="minorHAnsi" w:eastAsiaTheme="minorHAnsi" w:hAnsiTheme="minorHAnsi" w:cstheme="minorBidi"/>
          <w:sz w:val="32"/>
          <w:szCs w:val="32"/>
        </w:rPr>
      </w:pPr>
      <w:r w:rsidRPr="00F51DC2">
        <w:rPr>
          <w:rFonts w:asciiTheme="minorHAnsi" w:eastAsiaTheme="minorHAnsi" w:hAnsiTheme="minorHAnsi" w:cstheme="minorBidi"/>
          <w:sz w:val="32"/>
          <w:szCs w:val="32"/>
        </w:rPr>
        <w:lastRenderedPageBreak/>
        <w:t xml:space="preserve">We present the case of a 59-year-old previously healthy male patient who presented with recurrent episodes of right upper quadrant pain radiating to his back. The pain was </w:t>
      </w:r>
      <w:proofErr w:type="spellStart"/>
      <w:r w:rsidR="00F51DC2">
        <w:rPr>
          <w:rFonts w:asciiTheme="minorHAnsi" w:eastAsiaTheme="minorHAnsi" w:hAnsiTheme="minorHAnsi" w:cstheme="minorBidi"/>
          <w:sz w:val="32"/>
          <w:szCs w:val="32"/>
        </w:rPr>
        <w:t>characterised</w:t>
      </w:r>
      <w:proofErr w:type="spellEnd"/>
      <w:r w:rsidRPr="00F51DC2">
        <w:rPr>
          <w:rFonts w:asciiTheme="minorHAnsi" w:eastAsiaTheme="minorHAnsi" w:hAnsiTheme="minorHAnsi" w:cstheme="minorBidi"/>
          <w:sz w:val="32"/>
          <w:szCs w:val="32"/>
        </w:rPr>
        <w:t xml:space="preserve"> by </w:t>
      </w:r>
      <w:r w:rsidR="00F51DC2">
        <w:rPr>
          <w:rFonts w:asciiTheme="minorHAnsi" w:eastAsiaTheme="minorHAnsi" w:hAnsiTheme="minorHAnsi" w:cstheme="minorBidi"/>
          <w:sz w:val="32"/>
          <w:szCs w:val="32"/>
        </w:rPr>
        <w:t xml:space="preserve">a </w:t>
      </w:r>
      <w:r w:rsidRPr="00F51DC2">
        <w:rPr>
          <w:rFonts w:asciiTheme="minorHAnsi" w:eastAsiaTheme="minorHAnsi" w:hAnsiTheme="minorHAnsi" w:cstheme="minorBidi"/>
          <w:sz w:val="32"/>
          <w:szCs w:val="32"/>
        </w:rPr>
        <w:t xml:space="preserve">sudden onset with </w:t>
      </w:r>
      <w:r w:rsidR="0078553B" w:rsidRPr="00F51DC2">
        <w:rPr>
          <w:rFonts w:asciiTheme="minorHAnsi" w:eastAsiaTheme="minorHAnsi" w:hAnsiTheme="minorHAnsi" w:cstheme="minorBidi"/>
          <w:sz w:val="32"/>
          <w:szCs w:val="32"/>
        </w:rPr>
        <w:t>a progressive</w:t>
      </w:r>
      <w:r w:rsidR="00F83239">
        <w:rPr>
          <w:rFonts w:asciiTheme="minorHAnsi" w:eastAsiaTheme="minorHAnsi" w:hAnsiTheme="minorHAnsi" w:cstheme="minorBidi"/>
          <w:sz w:val="32"/>
          <w:szCs w:val="32"/>
        </w:rPr>
        <w:t xml:space="preserve"> course</w:t>
      </w:r>
      <w:r w:rsidRPr="00F51DC2">
        <w:rPr>
          <w:rFonts w:asciiTheme="minorHAnsi" w:eastAsiaTheme="minorHAnsi" w:hAnsiTheme="minorHAnsi" w:cstheme="minorBidi"/>
          <w:sz w:val="32"/>
          <w:szCs w:val="32"/>
        </w:rPr>
        <w:t xml:space="preserve"> over three days, accompanied by nausea and vomiting, but without fever or alterations in bowel habits. Comprehensive laboratory investigations revealed normal parameters (white blood cell count 5.3 × 10^9/L, </w:t>
      </w:r>
      <w:proofErr w:type="spellStart"/>
      <w:r w:rsidRPr="00F51DC2">
        <w:rPr>
          <w:rFonts w:asciiTheme="minorHAnsi" w:eastAsiaTheme="minorHAnsi" w:hAnsiTheme="minorHAnsi" w:cstheme="minorBidi"/>
          <w:sz w:val="32"/>
          <w:szCs w:val="32"/>
        </w:rPr>
        <w:t>haemoglobin</w:t>
      </w:r>
      <w:proofErr w:type="spellEnd"/>
      <w:r w:rsidRPr="00F51DC2">
        <w:rPr>
          <w:rFonts w:asciiTheme="minorHAnsi" w:eastAsiaTheme="minorHAnsi" w:hAnsiTheme="minorHAnsi" w:cstheme="minorBidi"/>
          <w:sz w:val="32"/>
          <w:szCs w:val="32"/>
        </w:rPr>
        <w:t xml:space="preserve"> 15 g/dL, platelet count 190 × 10^9/L,</w:t>
      </w:r>
      <w:r w:rsidR="00863B8B">
        <w:rPr>
          <w:rFonts w:asciiTheme="minorHAnsi" w:eastAsiaTheme="minorHAnsi" w:hAnsiTheme="minorHAnsi" w:cstheme="minorBidi"/>
          <w:sz w:val="32"/>
          <w:szCs w:val="32"/>
        </w:rPr>
        <w:t xml:space="preserve"> </w:t>
      </w:r>
      <w:r w:rsidRPr="00F51DC2">
        <w:rPr>
          <w:rFonts w:asciiTheme="minorHAnsi" w:eastAsiaTheme="minorHAnsi" w:hAnsiTheme="minorHAnsi" w:cstheme="minorBidi"/>
          <w:sz w:val="32"/>
          <w:szCs w:val="32"/>
        </w:rPr>
        <w:t xml:space="preserve">normal aspartate aminotransferase, alanine aminotransferase, total bilirubin, and direct bilirubin levels). Abdominal ultrasonography was initially performed at a private healthcare facility and subsequently repeated at our </w:t>
      </w:r>
      <w:r w:rsidR="0078553B">
        <w:rPr>
          <w:rFonts w:asciiTheme="minorHAnsi" w:eastAsiaTheme="minorHAnsi" w:hAnsiTheme="minorHAnsi" w:cstheme="minorBidi"/>
          <w:sz w:val="32"/>
          <w:szCs w:val="32"/>
        </w:rPr>
        <w:t>hospital</w:t>
      </w:r>
      <w:r w:rsidRPr="00F51DC2">
        <w:rPr>
          <w:rFonts w:asciiTheme="minorHAnsi" w:eastAsiaTheme="minorHAnsi" w:hAnsiTheme="minorHAnsi" w:cstheme="minorBidi"/>
          <w:sz w:val="32"/>
          <w:szCs w:val="32"/>
        </w:rPr>
        <w:t xml:space="preserve">, confirming </w:t>
      </w:r>
      <w:r w:rsidR="0078553B">
        <w:rPr>
          <w:rFonts w:asciiTheme="minorHAnsi" w:eastAsiaTheme="minorHAnsi" w:hAnsiTheme="minorHAnsi" w:cstheme="minorBidi"/>
          <w:sz w:val="32"/>
          <w:szCs w:val="32"/>
        </w:rPr>
        <w:t>chronic</w:t>
      </w:r>
      <w:r w:rsidR="00803F68">
        <w:rPr>
          <w:rFonts w:asciiTheme="minorHAnsi" w:eastAsiaTheme="minorHAnsi" w:hAnsiTheme="minorHAnsi" w:cstheme="minorBidi"/>
          <w:sz w:val="32"/>
          <w:szCs w:val="32"/>
        </w:rPr>
        <w:t xml:space="preserve"> </w:t>
      </w:r>
      <w:proofErr w:type="spellStart"/>
      <w:r w:rsidRPr="00F51DC2">
        <w:rPr>
          <w:rFonts w:asciiTheme="minorHAnsi" w:eastAsiaTheme="minorHAnsi" w:hAnsiTheme="minorHAnsi" w:cstheme="minorBidi"/>
          <w:sz w:val="32"/>
          <w:szCs w:val="32"/>
        </w:rPr>
        <w:t>calcular</w:t>
      </w:r>
      <w:proofErr w:type="spellEnd"/>
      <w:r w:rsidRPr="00F51DC2">
        <w:rPr>
          <w:rFonts w:asciiTheme="minorHAnsi" w:eastAsiaTheme="minorHAnsi" w:hAnsiTheme="minorHAnsi" w:cstheme="minorBidi"/>
          <w:sz w:val="32"/>
          <w:szCs w:val="32"/>
        </w:rPr>
        <w:t xml:space="preserve"> cholecystitis (Figure 1).</w:t>
      </w:r>
    </w:p>
    <w:p w14:paraId="60134AA3" w14:textId="5F2346F3" w:rsidR="000A50D4" w:rsidRPr="00F51DC2" w:rsidRDefault="000A50D4" w:rsidP="000A50D4">
      <w:pPr>
        <w:spacing w:before="240" w:after="240" w:line="360" w:lineRule="auto"/>
        <w:jc w:val="center"/>
        <w:rPr>
          <w:rFonts w:asciiTheme="minorHAnsi" w:eastAsiaTheme="minorHAnsi" w:hAnsiTheme="minorHAnsi" w:cstheme="minorBidi"/>
          <w:sz w:val="32"/>
          <w:szCs w:val="32"/>
        </w:rPr>
      </w:pPr>
      <w:r>
        <w:rPr>
          <w:noProof/>
        </w:rPr>
        <w:drawing>
          <wp:inline distT="0" distB="0" distL="0" distR="0" wp14:anchorId="6765BC28" wp14:editId="44F0293E">
            <wp:extent cx="3382590" cy="2426067"/>
            <wp:effectExtent l="0" t="0" r="8890" b="0"/>
            <wp:docPr id="1622372910"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372910" name="Picture 1" descr="A screenshot of a computer screen&#10;&#10;AI-generated content may be incorrect."/>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0964" t="32648" r="31019" b="6139"/>
                    <a:stretch/>
                  </pic:blipFill>
                  <pic:spPr bwMode="auto">
                    <a:xfrm>
                      <a:off x="0" y="0"/>
                      <a:ext cx="3396369" cy="2435950"/>
                    </a:xfrm>
                    <a:prstGeom prst="rect">
                      <a:avLst/>
                    </a:prstGeom>
                    <a:noFill/>
                    <a:ln>
                      <a:noFill/>
                    </a:ln>
                    <a:extLst>
                      <a:ext uri="{53640926-AAD7-44D8-BBD7-CCE9431645EC}">
                        <a14:shadowObscured xmlns:a14="http://schemas.microsoft.com/office/drawing/2010/main"/>
                      </a:ext>
                    </a:extLst>
                  </pic:spPr>
                </pic:pic>
              </a:graphicData>
            </a:graphic>
          </wp:inline>
        </w:drawing>
      </w:r>
    </w:p>
    <w:p w14:paraId="57A88C0B" w14:textId="7B626132" w:rsidR="000A7C28" w:rsidRPr="005E061C" w:rsidRDefault="005E061C" w:rsidP="005E061C">
      <w:pPr>
        <w:pStyle w:val="NormalWeb"/>
        <w:jc w:val="center"/>
        <w:rPr>
          <w:kern w:val="2"/>
          <w:sz w:val="28"/>
          <w:szCs w:val="28"/>
          <w:lang w:val="en-US"/>
          <w14:ligatures w14:val="standardContextual"/>
        </w:rPr>
      </w:pPr>
      <w:r>
        <w:rPr>
          <w:b/>
          <w:bCs/>
          <w:kern w:val="2"/>
          <w:sz w:val="28"/>
          <w:szCs w:val="28"/>
          <w:lang w:val="en-US"/>
          <w14:ligatures w14:val="standardContextual"/>
        </w:rPr>
        <w:t xml:space="preserve">Figure 1: </w:t>
      </w:r>
      <w:r w:rsidRPr="00A3321B">
        <w:rPr>
          <w:kern w:val="2"/>
          <w:sz w:val="28"/>
          <w:szCs w:val="28"/>
          <w:lang w:val="en-US"/>
          <w14:ligatures w14:val="standardContextual"/>
        </w:rPr>
        <w:t>Abdominal ultrasound showed gall bladder stone</w:t>
      </w:r>
      <w:r>
        <w:rPr>
          <w:kern w:val="2"/>
          <w:sz w:val="28"/>
          <w:szCs w:val="28"/>
          <w:lang w:val="en-US"/>
          <w14:ligatures w14:val="standardContextual"/>
        </w:rPr>
        <w:t>s.</w:t>
      </w:r>
    </w:p>
    <w:p w14:paraId="42A728AD" w14:textId="7CE45DC6" w:rsidR="00B540AF" w:rsidRDefault="00A57052" w:rsidP="00AE23E0">
      <w:pPr>
        <w:spacing w:before="240" w:after="240" w:line="360" w:lineRule="auto"/>
        <w:jc w:val="both"/>
        <w:rPr>
          <w:rFonts w:asciiTheme="minorHAnsi" w:eastAsiaTheme="minorHAnsi" w:hAnsiTheme="minorHAnsi" w:cstheme="minorBidi"/>
          <w:sz w:val="32"/>
          <w:szCs w:val="32"/>
        </w:rPr>
      </w:pPr>
      <w:r w:rsidRPr="00F51DC2">
        <w:rPr>
          <w:rFonts w:asciiTheme="minorHAnsi" w:eastAsiaTheme="minorHAnsi" w:hAnsiTheme="minorHAnsi" w:cstheme="minorBidi"/>
          <w:sz w:val="32"/>
          <w:szCs w:val="32"/>
        </w:rPr>
        <w:lastRenderedPageBreak/>
        <w:t xml:space="preserve">The patient was admitted to the surgical ward, maintained nil per </w:t>
      </w:r>
      <w:proofErr w:type="spellStart"/>
      <w:r w:rsidRPr="00F51DC2">
        <w:rPr>
          <w:rFonts w:asciiTheme="minorHAnsi" w:eastAsiaTheme="minorHAnsi" w:hAnsiTheme="minorHAnsi" w:cstheme="minorBidi"/>
          <w:sz w:val="32"/>
          <w:szCs w:val="32"/>
        </w:rPr>
        <w:t>os</w:t>
      </w:r>
      <w:proofErr w:type="spellEnd"/>
      <w:r w:rsidRPr="00F51DC2">
        <w:rPr>
          <w:rFonts w:asciiTheme="minorHAnsi" w:eastAsiaTheme="minorHAnsi" w:hAnsiTheme="minorHAnsi" w:cstheme="minorBidi"/>
          <w:sz w:val="32"/>
          <w:szCs w:val="32"/>
        </w:rPr>
        <w:t>, initiated intravenous fluid therapy, and administered potent analgesics. Subsequently, he was transferred to the operating theatre where a technically challenging laparoscopic cholecystectomy was performed. Intraoperatively, we observed that the gallbladder was notably diminutive and entirely occupied by a substantial</w:t>
      </w:r>
      <w:r w:rsidR="009730A3">
        <w:rPr>
          <w:rFonts w:asciiTheme="minorHAnsi" w:eastAsiaTheme="minorHAnsi" w:hAnsiTheme="minorHAnsi" w:cstheme="minorBidi"/>
          <w:sz w:val="32"/>
          <w:szCs w:val="32"/>
        </w:rPr>
        <w:t xml:space="preserve"> </w:t>
      </w:r>
      <w:r w:rsidRPr="00F51DC2">
        <w:rPr>
          <w:rFonts w:asciiTheme="minorHAnsi" w:eastAsiaTheme="minorHAnsi" w:hAnsiTheme="minorHAnsi" w:cstheme="minorBidi"/>
          <w:sz w:val="32"/>
          <w:szCs w:val="32"/>
        </w:rPr>
        <w:t xml:space="preserve">calculus (Figure 2). Additionally, the gallbladder was encased within dense fibrous tissue. Of particular significance was the presence of a rare congenital anomaly </w:t>
      </w:r>
      <w:proofErr w:type="spellStart"/>
      <w:r w:rsidR="000D6603">
        <w:rPr>
          <w:rFonts w:asciiTheme="minorHAnsi" w:eastAsiaTheme="minorHAnsi" w:hAnsiTheme="minorHAnsi" w:cstheme="minorBidi"/>
          <w:sz w:val="32"/>
          <w:szCs w:val="32"/>
        </w:rPr>
        <w:t>characterised</w:t>
      </w:r>
      <w:proofErr w:type="spellEnd"/>
      <w:r w:rsidRPr="00F51DC2">
        <w:rPr>
          <w:rFonts w:asciiTheme="minorHAnsi" w:eastAsiaTheme="minorHAnsi" w:hAnsiTheme="minorHAnsi" w:cstheme="minorBidi"/>
          <w:sz w:val="32"/>
          <w:szCs w:val="32"/>
        </w:rPr>
        <w:t xml:space="preserve"> by an abnormally elongated cystic duct and artery (Figure 3). The patient's postoperative course was uneventful, allowing discharge four days following the procedure. At the two-week follow-up evaluation in our outpatient clinic, the patient demonstrated excellent recovery with all laboratory parameters within normal limits</w:t>
      </w:r>
      <w:r w:rsidR="00B540AF">
        <w:rPr>
          <w:rFonts w:asciiTheme="minorHAnsi" w:eastAsiaTheme="minorHAnsi" w:hAnsiTheme="minorHAnsi" w:cstheme="minorBidi"/>
          <w:sz w:val="32"/>
          <w:szCs w:val="32"/>
        </w:rPr>
        <w:t>.</w:t>
      </w:r>
    </w:p>
    <w:p w14:paraId="5813798E" w14:textId="77777777" w:rsidR="004629EF" w:rsidRDefault="004629EF" w:rsidP="004629EF">
      <w:pPr>
        <w:spacing w:after="160" w:line="360" w:lineRule="auto"/>
        <w:jc w:val="both"/>
        <w:rPr>
          <w:b/>
          <w:bCs/>
          <w:kern w:val="2"/>
          <w:sz w:val="28"/>
          <w:szCs w:val="28"/>
          <w14:ligatures w14:val="standardContextual"/>
        </w:rPr>
      </w:pPr>
      <w:r>
        <w:rPr>
          <w:noProof/>
        </w:rPr>
        <w:drawing>
          <wp:inline distT="0" distB="0" distL="0" distR="0" wp14:anchorId="20270FCE" wp14:editId="15960CF5">
            <wp:extent cx="2805049" cy="1973484"/>
            <wp:effectExtent l="0" t="0" r="7620" b="825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875" t="6919" r="9120" b="26206"/>
                    <a:stretch/>
                  </pic:blipFill>
                  <pic:spPr bwMode="auto">
                    <a:xfrm>
                      <a:off x="0" y="0"/>
                      <a:ext cx="2805049" cy="1973484"/>
                    </a:xfrm>
                    <a:prstGeom prst="rect">
                      <a:avLst/>
                    </a:prstGeom>
                    <a:noFill/>
                    <a:ln>
                      <a:noFill/>
                    </a:ln>
                    <a:extLst>
                      <a:ext uri="{53640926-AAD7-44D8-BBD7-CCE9431645EC}">
                        <a14:shadowObscured xmlns:a14="http://schemas.microsoft.com/office/drawing/2010/main"/>
                      </a:ext>
                    </a:extLst>
                  </pic:spPr>
                </pic:pic>
              </a:graphicData>
            </a:graphic>
          </wp:inline>
        </w:drawing>
      </w:r>
      <w:r>
        <w:rPr>
          <w:b/>
          <w:bCs/>
          <w:kern w:val="2"/>
          <w:sz w:val="28"/>
          <w:szCs w:val="28"/>
          <w14:ligatures w14:val="standardContextual"/>
        </w:rPr>
        <w:t xml:space="preserve">          </w:t>
      </w:r>
      <w:r>
        <w:rPr>
          <w:noProof/>
        </w:rPr>
        <w:drawing>
          <wp:inline distT="0" distB="0" distL="0" distR="0" wp14:anchorId="387BD28B" wp14:editId="3E688EA6">
            <wp:extent cx="2660389" cy="1982470"/>
            <wp:effectExtent l="0" t="0" r="6985" b="0"/>
            <wp:docPr id="683809936" name="Picture 683809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344" t="1" r="16384" b="9781"/>
                    <a:stretch/>
                  </pic:blipFill>
                  <pic:spPr bwMode="auto">
                    <a:xfrm>
                      <a:off x="0" y="0"/>
                      <a:ext cx="2687688" cy="2002813"/>
                    </a:xfrm>
                    <a:prstGeom prst="rect">
                      <a:avLst/>
                    </a:prstGeom>
                    <a:noFill/>
                    <a:ln>
                      <a:noFill/>
                    </a:ln>
                    <a:extLst>
                      <a:ext uri="{53640926-AAD7-44D8-BBD7-CCE9431645EC}">
                        <a14:shadowObscured xmlns:a14="http://schemas.microsoft.com/office/drawing/2010/main"/>
                      </a:ext>
                    </a:extLst>
                  </pic:spPr>
                </pic:pic>
              </a:graphicData>
            </a:graphic>
          </wp:inline>
        </w:drawing>
      </w:r>
    </w:p>
    <w:p w14:paraId="244EECB8" w14:textId="103B72F0" w:rsidR="00954CFE" w:rsidRDefault="004629EF" w:rsidP="007C169B">
      <w:pPr>
        <w:spacing w:after="160" w:line="360" w:lineRule="auto"/>
        <w:jc w:val="center"/>
        <w:rPr>
          <w:kern w:val="2"/>
          <w:sz w:val="28"/>
          <w:szCs w:val="28"/>
          <w:lang w:eastAsia="en-GB"/>
          <w14:ligatures w14:val="standardContextual"/>
        </w:rPr>
      </w:pPr>
      <w:r w:rsidRPr="00992878">
        <w:rPr>
          <w:b/>
          <w:bCs/>
          <w:kern w:val="2"/>
          <w:sz w:val="28"/>
          <w:szCs w:val="28"/>
          <w:lang w:eastAsia="en-GB"/>
          <w14:ligatures w14:val="standardContextual"/>
        </w:rPr>
        <w:t>Figure 2:</w:t>
      </w:r>
      <w:r w:rsidRPr="00992878">
        <w:rPr>
          <w:kern w:val="2"/>
          <w:sz w:val="28"/>
          <w:szCs w:val="28"/>
          <w:lang w:eastAsia="en-GB"/>
          <w14:ligatures w14:val="standardContextual"/>
        </w:rPr>
        <w:t xml:space="preserve"> Small gall bladder containing a big stone.</w:t>
      </w:r>
    </w:p>
    <w:p w14:paraId="59BC4C7F" w14:textId="77777777" w:rsidR="004629EF" w:rsidRDefault="004629EF" w:rsidP="004629EF">
      <w:pPr>
        <w:pStyle w:val="NormalWeb"/>
      </w:pPr>
      <w:r>
        <w:rPr>
          <w:noProof/>
        </w:rPr>
        <w:lastRenderedPageBreak/>
        <w:drawing>
          <wp:inline distT="0" distB="0" distL="0" distR="0" wp14:anchorId="6799CAD8" wp14:editId="1207A4A7">
            <wp:extent cx="2831620" cy="2035063"/>
            <wp:effectExtent l="0" t="0" r="6985"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1539" cy="2042192"/>
                    </a:xfrm>
                    <a:prstGeom prst="rect">
                      <a:avLst/>
                    </a:prstGeom>
                    <a:noFill/>
                    <a:ln>
                      <a:noFill/>
                    </a:ln>
                  </pic:spPr>
                </pic:pic>
              </a:graphicData>
            </a:graphic>
          </wp:inline>
        </w:drawing>
      </w:r>
      <w:r>
        <w:t xml:space="preserve">          </w:t>
      </w:r>
      <w:r>
        <w:rPr>
          <w:noProof/>
        </w:rPr>
        <w:drawing>
          <wp:inline distT="0" distB="0" distL="0" distR="0" wp14:anchorId="4A4453FD" wp14:editId="3A56E907">
            <wp:extent cx="2716822" cy="2048719"/>
            <wp:effectExtent l="0" t="0" r="7620" b="889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5541" cy="2100539"/>
                    </a:xfrm>
                    <a:prstGeom prst="rect">
                      <a:avLst/>
                    </a:prstGeom>
                    <a:noFill/>
                    <a:ln>
                      <a:noFill/>
                    </a:ln>
                  </pic:spPr>
                </pic:pic>
              </a:graphicData>
            </a:graphic>
          </wp:inline>
        </w:drawing>
      </w:r>
    </w:p>
    <w:p w14:paraId="27CF8BFD" w14:textId="77777777" w:rsidR="004629EF" w:rsidRDefault="004629EF" w:rsidP="004629EF">
      <w:pPr>
        <w:pStyle w:val="NormalWeb"/>
      </w:pPr>
    </w:p>
    <w:p w14:paraId="603A394E" w14:textId="77777777" w:rsidR="004629EF" w:rsidRDefault="004629EF" w:rsidP="004629EF">
      <w:pPr>
        <w:pStyle w:val="NormalWeb"/>
      </w:pPr>
      <w:r>
        <w:rPr>
          <w:noProof/>
        </w:rPr>
        <w:drawing>
          <wp:inline distT="0" distB="0" distL="0" distR="0" wp14:anchorId="33367C66" wp14:editId="4C4F1A23">
            <wp:extent cx="2783711" cy="2029578"/>
            <wp:effectExtent l="0" t="0" r="0" b="889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831" t="4795" r="3734" b="10594"/>
                    <a:stretch/>
                  </pic:blipFill>
                  <pic:spPr bwMode="auto">
                    <a:xfrm>
                      <a:off x="0" y="0"/>
                      <a:ext cx="2785246" cy="203069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11AA9CB1" wp14:editId="5949DBF6">
            <wp:extent cx="2760074" cy="2029018"/>
            <wp:effectExtent l="0" t="0" r="2540" b="0"/>
            <wp:docPr id="1" name="Picture 1" descr="Close 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lose up of a computer screen&#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173" r="7109" b="10429"/>
                    <a:stretch/>
                  </pic:blipFill>
                  <pic:spPr bwMode="auto">
                    <a:xfrm>
                      <a:off x="0" y="0"/>
                      <a:ext cx="2779859" cy="2043562"/>
                    </a:xfrm>
                    <a:prstGeom prst="rect">
                      <a:avLst/>
                    </a:prstGeom>
                    <a:noFill/>
                    <a:ln>
                      <a:noFill/>
                    </a:ln>
                    <a:extLst>
                      <a:ext uri="{53640926-AAD7-44D8-BBD7-CCE9431645EC}">
                        <a14:shadowObscured xmlns:a14="http://schemas.microsoft.com/office/drawing/2010/main"/>
                      </a:ext>
                    </a:extLst>
                  </pic:spPr>
                </pic:pic>
              </a:graphicData>
            </a:graphic>
          </wp:inline>
        </w:drawing>
      </w:r>
    </w:p>
    <w:p w14:paraId="34B561B8" w14:textId="77777777" w:rsidR="004629EF" w:rsidRDefault="004629EF" w:rsidP="004629EF">
      <w:pPr>
        <w:pStyle w:val="NormalWeb"/>
        <w:jc w:val="center"/>
      </w:pPr>
      <w:r>
        <w:rPr>
          <w:noProof/>
        </w:rPr>
        <w:drawing>
          <wp:inline distT="0" distB="0" distL="0" distR="0" wp14:anchorId="018845E9" wp14:editId="63EEB171">
            <wp:extent cx="2986268" cy="2293674"/>
            <wp:effectExtent l="0" t="0" r="5080" b="0"/>
            <wp:docPr id="848799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894" t="2579" r="9890" b="7715"/>
                    <a:stretch/>
                  </pic:blipFill>
                  <pic:spPr bwMode="auto">
                    <a:xfrm>
                      <a:off x="0" y="0"/>
                      <a:ext cx="2993570" cy="2299283"/>
                    </a:xfrm>
                    <a:prstGeom prst="rect">
                      <a:avLst/>
                    </a:prstGeom>
                    <a:noFill/>
                    <a:ln>
                      <a:noFill/>
                    </a:ln>
                    <a:extLst>
                      <a:ext uri="{53640926-AAD7-44D8-BBD7-CCE9431645EC}">
                        <a14:shadowObscured xmlns:a14="http://schemas.microsoft.com/office/drawing/2010/main"/>
                      </a:ext>
                    </a:extLst>
                  </pic:spPr>
                </pic:pic>
              </a:graphicData>
            </a:graphic>
          </wp:inline>
        </w:drawing>
      </w:r>
    </w:p>
    <w:p w14:paraId="57A88C0D" w14:textId="42C1F16F" w:rsidR="000A7C28" w:rsidRPr="00954CFE" w:rsidRDefault="004629EF" w:rsidP="00954CFE">
      <w:pPr>
        <w:pStyle w:val="NormalWeb"/>
        <w:jc w:val="center"/>
        <w:rPr>
          <w:lang w:val="en-US"/>
        </w:rPr>
      </w:pPr>
      <w:r>
        <w:rPr>
          <w:b/>
          <w:bCs/>
          <w:kern w:val="2"/>
          <w:sz w:val="28"/>
          <w:szCs w:val="28"/>
          <w:lang w:val="en-US"/>
          <w14:ligatures w14:val="standardContextual"/>
        </w:rPr>
        <w:t xml:space="preserve">Figure 3: </w:t>
      </w:r>
      <w:r>
        <w:rPr>
          <w:kern w:val="2"/>
          <w:sz w:val="28"/>
          <w:szCs w:val="28"/>
          <w:lang w:val="en-US"/>
          <w14:ligatures w14:val="standardContextual"/>
        </w:rPr>
        <w:t xml:space="preserve">Laparoscopic images for the </w:t>
      </w:r>
      <w:r w:rsidRPr="00A3321B">
        <w:rPr>
          <w:kern w:val="2"/>
          <w:sz w:val="28"/>
          <w:szCs w:val="28"/>
          <w:lang w:val="en-US"/>
          <w14:ligatures w14:val="standardContextual"/>
        </w:rPr>
        <w:t>gall bladder</w:t>
      </w:r>
      <w:r>
        <w:rPr>
          <w:kern w:val="2"/>
          <w:sz w:val="28"/>
          <w:szCs w:val="28"/>
          <w:lang w:val="en-US"/>
          <w14:ligatures w14:val="standardContextual"/>
        </w:rPr>
        <w:t>, very long cystic duct and artery.</w:t>
      </w:r>
    </w:p>
    <w:p w14:paraId="57A88C0F" w14:textId="77C95386" w:rsidR="000A7C28" w:rsidRDefault="00A57052" w:rsidP="00A57052">
      <w:pPr>
        <w:pStyle w:val="Heading2"/>
        <w:keepNext w:val="0"/>
        <w:keepLines w:val="0"/>
        <w:spacing w:before="299" w:after="299"/>
      </w:pPr>
      <w:r>
        <w:rPr>
          <w:color w:val="auto"/>
        </w:rPr>
        <w:t>Discussion</w:t>
      </w:r>
    </w:p>
    <w:p w14:paraId="57A88C1B" w14:textId="4CE7DD3C" w:rsidR="000A7C28" w:rsidRDefault="00A57052" w:rsidP="00EC6CFE">
      <w:pPr>
        <w:spacing w:before="240" w:after="240" w:line="360" w:lineRule="auto"/>
        <w:jc w:val="both"/>
        <w:rPr>
          <w:rFonts w:asciiTheme="minorHAnsi" w:eastAsiaTheme="minorHAnsi" w:hAnsiTheme="minorHAnsi" w:cstheme="minorBidi"/>
          <w:sz w:val="32"/>
          <w:szCs w:val="32"/>
        </w:rPr>
      </w:pPr>
      <w:r w:rsidRPr="00954CFE">
        <w:rPr>
          <w:rFonts w:asciiTheme="minorHAnsi" w:eastAsiaTheme="minorHAnsi" w:hAnsiTheme="minorHAnsi" w:cstheme="minorBidi"/>
          <w:sz w:val="32"/>
          <w:szCs w:val="32"/>
        </w:rPr>
        <w:lastRenderedPageBreak/>
        <w:t>The cystic duct typically measures approximately 3 mm in diameter</w:t>
      </w:r>
      <w:r w:rsidR="00165FA9">
        <w:rPr>
          <w:rFonts w:asciiTheme="minorHAnsi" w:eastAsiaTheme="minorHAnsi" w:hAnsiTheme="minorHAnsi" w:cstheme="minorBidi"/>
          <w:sz w:val="32"/>
          <w:szCs w:val="32"/>
        </w:rPr>
        <w:t>,</w:t>
      </w:r>
      <w:r w:rsidRPr="00954CFE">
        <w:rPr>
          <w:rFonts w:asciiTheme="minorHAnsi" w:eastAsiaTheme="minorHAnsi" w:hAnsiTheme="minorHAnsi" w:cstheme="minorBidi"/>
          <w:sz w:val="32"/>
          <w:szCs w:val="32"/>
        </w:rPr>
        <w:t xml:space="preserve"> with a length ranging from 2 to 4 cm, though in our case, it exceeded 10 cm. Surgeons unaware of abbreviated ducts may inadvertently enter the common bile duct. In exceedingly rare instances, the cystic duct may be absent, with the gallbladder opening directly into the common bile duct. Under such circumstances, the common bile duct might be misidentified as the cystic duct [7].</w:t>
      </w:r>
      <w:r w:rsidR="00954CFE">
        <w:rPr>
          <w:rFonts w:asciiTheme="minorHAnsi" w:eastAsiaTheme="minorHAnsi" w:hAnsiTheme="minorHAnsi" w:cstheme="minorBidi"/>
          <w:sz w:val="32"/>
          <w:szCs w:val="32"/>
        </w:rPr>
        <w:t xml:space="preserve"> </w:t>
      </w:r>
      <w:r w:rsidRPr="00954CFE">
        <w:rPr>
          <w:rFonts w:asciiTheme="minorHAnsi" w:eastAsiaTheme="minorHAnsi" w:hAnsiTheme="minorHAnsi" w:cstheme="minorBidi"/>
          <w:sz w:val="32"/>
          <w:szCs w:val="32"/>
        </w:rPr>
        <w:t>Dandekar's research revealed that the cystic artery demonstrates a mean length of 16.9 mm (range: 2-55 mm) and a mean diameter of 1.6 mm (range: 1-5 mm) [8]. Taimur and colleagues classified cystic arteries according to length into three categories: short (&lt;1 cm, 7%), normal (1-3 cm, 82%), and long (&gt;3 cm, 8%), placing our case within the long cystic artery classification [9].</w:t>
      </w:r>
      <w:r w:rsidR="00954CFE">
        <w:rPr>
          <w:rFonts w:asciiTheme="minorHAnsi" w:eastAsiaTheme="minorHAnsi" w:hAnsiTheme="minorHAnsi" w:cstheme="minorBidi"/>
          <w:sz w:val="32"/>
          <w:szCs w:val="32"/>
        </w:rPr>
        <w:t xml:space="preserve"> </w:t>
      </w:r>
      <w:r w:rsidRPr="00954CFE">
        <w:rPr>
          <w:rFonts w:asciiTheme="minorHAnsi" w:eastAsiaTheme="minorHAnsi" w:hAnsiTheme="minorHAnsi" w:cstheme="minorBidi"/>
          <w:sz w:val="32"/>
          <w:szCs w:val="32"/>
        </w:rPr>
        <w:t xml:space="preserve">It is well established that anatomical variants of the biliary tree constitute a major risk factor category for bile duct injury. Aberrant insertion of the right hepatic duct into the common hepatic duct, common bile duct, or cystic duct; parallel course of the cystic duct with hepatic ducts; low insertion of the cystic duct into the common hepatic duct; spiral course of the cystic duct with medial surface entry into the common hepatic duct; and abbreviated cystic duct represent variations that heighten the risk of bile duct injury [10]. Failure to </w:t>
      </w:r>
      <w:proofErr w:type="spellStart"/>
      <w:r w:rsidR="007B7B42">
        <w:rPr>
          <w:rFonts w:asciiTheme="minorHAnsi" w:eastAsiaTheme="minorHAnsi" w:hAnsiTheme="minorHAnsi" w:cstheme="minorBidi"/>
          <w:sz w:val="32"/>
          <w:szCs w:val="32"/>
        </w:rPr>
        <w:t>recognise</w:t>
      </w:r>
      <w:proofErr w:type="spellEnd"/>
      <w:r w:rsidRPr="00954CFE">
        <w:rPr>
          <w:rFonts w:asciiTheme="minorHAnsi" w:eastAsiaTheme="minorHAnsi" w:hAnsiTheme="minorHAnsi" w:cstheme="minorBidi"/>
          <w:sz w:val="32"/>
          <w:szCs w:val="32"/>
        </w:rPr>
        <w:t xml:space="preserve"> these variants may result in the misidentification of common bile and cystic ducts, potentially leading to inadvertent ligation or resection of common bile duct segments, or </w:t>
      </w:r>
      <w:r w:rsidRPr="00954CFE">
        <w:rPr>
          <w:rFonts w:asciiTheme="minorHAnsi" w:eastAsiaTheme="minorHAnsi" w:hAnsiTheme="minorHAnsi" w:cstheme="minorBidi"/>
          <w:sz w:val="32"/>
          <w:szCs w:val="32"/>
        </w:rPr>
        <w:lastRenderedPageBreak/>
        <w:t>inappropriate dissection of the distal cystic duct portion in cases of median cystic duct insertion [11].</w:t>
      </w:r>
      <w:r w:rsidR="00624C89">
        <w:rPr>
          <w:rFonts w:asciiTheme="minorHAnsi" w:eastAsiaTheme="minorHAnsi" w:hAnsiTheme="minorHAnsi" w:cstheme="minorBidi"/>
          <w:sz w:val="32"/>
          <w:szCs w:val="32"/>
        </w:rPr>
        <w:t xml:space="preserve"> </w:t>
      </w:r>
      <w:r w:rsidRPr="00954CFE">
        <w:rPr>
          <w:rFonts w:asciiTheme="minorHAnsi" w:eastAsiaTheme="minorHAnsi" w:hAnsiTheme="minorHAnsi" w:cstheme="minorBidi"/>
          <w:sz w:val="32"/>
          <w:szCs w:val="32"/>
        </w:rPr>
        <w:t xml:space="preserve">Non-invasive techniques capable of preoperatively delineating biliary tract anatomy could provide significant clinical value. In most instances, </w:t>
      </w:r>
      <w:r w:rsidR="002C2D5E">
        <w:rPr>
          <w:rFonts w:asciiTheme="minorHAnsi" w:eastAsiaTheme="minorHAnsi" w:hAnsiTheme="minorHAnsi" w:cstheme="minorBidi"/>
          <w:sz w:val="32"/>
          <w:szCs w:val="32"/>
        </w:rPr>
        <w:t>normal-</w:t>
      </w:r>
      <w:proofErr w:type="spellStart"/>
      <w:r w:rsidR="002C2D5E">
        <w:rPr>
          <w:rFonts w:asciiTheme="minorHAnsi" w:eastAsiaTheme="minorHAnsi" w:hAnsiTheme="minorHAnsi" w:cstheme="minorBidi"/>
          <w:sz w:val="32"/>
          <w:szCs w:val="32"/>
        </w:rPr>
        <w:t>calibre</w:t>
      </w:r>
      <w:proofErr w:type="spellEnd"/>
      <w:r w:rsidRPr="00954CFE">
        <w:rPr>
          <w:rFonts w:asciiTheme="minorHAnsi" w:eastAsiaTheme="minorHAnsi" w:hAnsiTheme="minorHAnsi" w:cstheme="minorBidi"/>
          <w:sz w:val="32"/>
          <w:szCs w:val="32"/>
        </w:rPr>
        <w:t xml:space="preserve"> cystic ducts remain undetectable on ultrasonography or computed tomography [10]. Intraoperative cholangiography is frequently employed to elucidate biliary tree anatomy and diagnose bile duct calculi, though its routine implementation remains controversial [10]. Intravenous cholangiography often fails to opacify the cystic duct and rarely permits detailed </w:t>
      </w:r>
      <w:proofErr w:type="spellStart"/>
      <w:r w:rsidR="002C2D5E">
        <w:rPr>
          <w:rFonts w:asciiTheme="minorHAnsi" w:eastAsiaTheme="minorHAnsi" w:hAnsiTheme="minorHAnsi" w:cstheme="minorBidi"/>
          <w:sz w:val="32"/>
          <w:szCs w:val="32"/>
        </w:rPr>
        <w:t>visualisation</w:t>
      </w:r>
      <w:proofErr w:type="spellEnd"/>
      <w:r w:rsidRPr="00954CFE">
        <w:rPr>
          <w:rFonts w:asciiTheme="minorHAnsi" w:eastAsiaTheme="minorHAnsi" w:hAnsiTheme="minorHAnsi" w:cstheme="minorBidi"/>
          <w:sz w:val="32"/>
          <w:szCs w:val="32"/>
        </w:rPr>
        <w:t xml:space="preserve"> of duct bifurcation. Endoscopic retrograde cholangiopancreatography (ERCP) represents a highly accurate but invasive modality for diagnosing choledocholithiasis [11].</w:t>
      </w:r>
      <w:r w:rsidR="00954CFE">
        <w:rPr>
          <w:rFonts w:asciiTheme="minorHAnsi" w:eastAsiaTheme="minorHAnsi" w:hAnsiTheme="minorHAnsi" w:cstheme="minorBidi"/>
          <w:sz w:val="32"/>
          <w:szCs w:val="32"/>
        </w:rPr>
        <w:t xml:space="preserve"> </w:t>
      </w:r>
      <w:r w:rsidRPr="00954CFE">
        <w:rPr>
          <w:rFonts w:asciiTheme="minorHAnsi" w:eastAsiaTheme="minorHAnsi" w:hAnsiTheme="minorHAnsi" w:cstheme="minorBidi"/>
          <w:sz w:val="32"/>
          <w:szCs w:val="32"/>
        </w:rPr>
        <w:t xml:space="preserve">Magnetic resonance cholangiopancreatography (MRCP) offers a non-invasive diagnostic approach providing high-quality cross-sectional and projection images of the biliary tree, nearly comparable in appearance to direct cholangiograms produced by ERCP or percutaneous transhepatic cholangiography. </w:t>
      </w:r>
      <w:proofErr w:type="spellStart"/>
      <w:r w:rsidRPr="00954CFE">
        <w:rPr>
          <w:rFonts w:asciiTheme="minorHAnsi" w:eastAsiaTheme="minorHAnsi" w:hAnsiTheme="minorHAnsi" w:cstheme="minorBidi"/>
          <w:sz w:val="32"/>
          <w:szCs w:val="32"/>
        </w:rPr>
        <w:t>Its</w:t>
      </w:r>
      <w:proofErr w:type="spellEnd"/>
      <w:r w:rsidRPr="00954CFE">
        <w:rPr>
          <w:rFonts w:asciiTheme="minorHAnsi" w:eastAsiaTheme="minorHAnsi" w:hAnsiTheme="minorHAnsi" w:cstheme="minorBidi"/>
          <w:sz w:val="32"/>
          <w:szCs w:val="32"/>
        </w:rPr>
        <w:t xml:space="preserve"> completely non-invasive nature renders MRCP an attractive option for preoperative biliary tree evaluation [10,11].</w:t>
      </w:r>
      <w:r w:rsidR="00954CFE">
        <w:rPr>
          <w:rFonts w:asciiTheme="minorHAnsi" w:eastAsiaTheme="minorHAnsi" w:hAnsiTheme="minorHAnsi" w:cstheme="minorBidi"/>
          <w:sz w:val="32"/>
          <w:szCs w:val="32"/>
        </w:rPr>
        <w:t xml:space="preserve"> </w:t>
      </w:r>
      <w:r w:rsidRPr="00954CFE">
        <w:rPr>
          <w:rFonts w:asciiTheme="minorHAnsi" w:eastAsiaTheme="minorHAnsi" w:hAnsiTheme="minorHAnsi" w:cstheme="minorBidi"/>
          <w:sz w:val="32"/>
          <w:szCs w:val="32"/>
        </w:rPr>
        <w:t xml:space="preserve">The cystic duct most commonly joins the extrahepatic bile duct approximately midway between the porta hepatis and ampulla of Vater. However, the junction point varies considerably, ranging from high (porta hepatis level) to very low (ampulla level). The cystic duct </w:t>
      </w:r>
      <w:r w:rsidRPr="00954CFE">
        <w:rPr>
          <w:rFonts w:asciiTheme="minorHAnsi" w:eastAsiaTheme="minorHAnsi" w:hAnsiTheme="minorHAnsi" w:cstheme="minorBidi"/>
          <w:sz w:val="32"/>
          <w:szCs w:val="32"/>
        </w:rPr>
        <w:lastRenderedPageBreak/>
        <w:t>demonstrates a parallel course relative to the extrahepatic bile duct in 10.6% of patients and exhibits length variation from 1.5 cm to 9.5 cm, as observed in our case [12]. Frequently, an elongated parallel course implies a common fibrous sheath encompassing both the cystic duct and common hepatic duct, as noted in our patient [12].</w:t>
      </w:r>
    </w:p>
    <w:p w14:paraId="53440AA7" w14:textId="77777777" w:rsidR="001B7AF5" w:rsidRPr="00954CFE" w:rsidRDefault="001B7AF5" w:rsidP="00EC6CFE">
      <w:pPr>
        <w:spacing w:before="240" w:after="240" w:line="360" w:lineRule="auto"/>
        <w:jc w:val="both"/>
        <w:rPr>
          <w:rFonts w:asciiTheme="minorHAnsi" w:eastAsiaTheme="minorHAnsi" w:hAnsiTheme="minorHAnsi" w:cstheme="minorBidi"/>
          <w:sz w:val="32"/>
          <w:szCs w:val="32"/>
        </w:rPr>
      </w:pPr>
    </w:p>
    <w:p w14:paraId="57A88C1D" w14:textId="2BD03E69" w:rsidR="000A7C28" w:rsidRDefault="00A57052" w:rsidP="00624C89">
      <w:pPr>
        <w:pStyle w:val="Heading2"/>
        <w:keepNext w:val="0"/>
        <w:keepLines w:val="0"/>
        <w:spacing w:before="299" w:after="299"/>
      </w:pPr>
      <w:r>
        <w:rPr>
          <w:color w:val="auto"/>
        </w:rPr>
        <w:t>Conclusion</w:t>
      </w:r>
    </w:p>
    <w:p w14:paraId="57A88C1F" w14:textId="79447F6C" w:rsidR="000A7C28" w:rsidRPr="00A77EC1" w:rsidRDefault="00A57052" w:rsidP="00A77EC1">
      <w:pPr>
        <w:spacing w:before="240" w:after="240" w:line="360" w:lineRule="auto"/>
        <w:jc w:val="both"/>
        <w:rPr>
          <w:rFonts w:asciiTheme="minorHAnsi" w:eastAsiaTheme="minorHAnsi" w:hAnsiTheme="minorHAnsi" w:cstheme="minorBidi"/>
          <w:sz w:val="32"/>
          <w:szCs w:val="32"/>
        </w:rPr>
      </w:pPr>
      <w:r w:rsidRPr="00624C89">
        <w:rPr>
          <w:rFonts w:asciiTheme="minorHAnsi" w:eastAsiaTheme="minorHAnsi" w:hAnsiTheme="minorHAnsi" w:cstheme="minorBidi"/>
          <w:sz w:val="32"/>
          <w:szCs w:val="32"/>
        </w:rPr>
        <w:t>Anatomical variations represent important entities that may remain asymptomatic throughout life. Preoperative diagnosis of these variations through routine investigations presents significant challenges. Nevertheless, these anomalies demand heightened attention during surgery as they are frequently encountered intraoperatively. Surgeons must exercise meticulous attention, and identify, and confirm the cystic duct and artery before applying clips or ligatures. Consequently, surgeons require comprehensive knowledge and awareness of cystic duct and cystic artery variations, which significantly contribute to cholecystectomy safety.</w:t>
      </w:r>
    </w:p>
    <w:p w14:paraId="57A88C21" w14:textId="1D89BC5B" w:rsidR="000A7C28" w:rsidRDefault="00A57052" w:rsidP="00A77EC1">
      <w:pPr>
        <w:pStyle w:val="Heading2"/>
        <w:keepNext w:val="0"/>
        <w:keepLines w:val="0"/>
        <w:spacing w:before="299" w:after="299"/>
      </w:pPr>
      <w:r>
        <w:rPr>
          <w:color w:val="auto"/>
        </w:rPr>
        <w:t>Ethical Approval</w:t>
      </w:r>
    </w:p>
    <w:p w14:paraId="57A88C23" w14:textId="00C79E57" w:rsidR="000A7C28" w:rsidRPr="00A77EC1" w:rsidRDefault="00FF3271" w:rsidP="00A77EC1">
      <w:pPr>
        <w:spacing w:before="240" w:after="240"/>
        <w:rPr>
          <w:sz w:val="28"/>
          <w:szCs w:val="28"/>
        </w:rPr>
      </w:pPr>
      <w:r>
        <w:rPr>
          <w:sz w:val="28"/>
          <w:szCs w:val="28"/>
        </w:rPr>
        <w:t>Following</w:t>
      </w:r>
      <w:r w:rsidRPr="00A77EC1">
        <w:rPr>
          <w:sz w:val="28"/>
          <w:szCs w:val="28"/>
        </w:rPr>
        <w:t xml:space="preserve"> international and university standards, written ethical approval has been obtained and preserved by the authors.</w:t>
      </w:r>
    </w:p>
    <w:p w14:paraId="57A88C25" w14:textId="7CFF41D7" w:rsidR="000A7C28" w:rsidRDefault="00A57052" w:rsidP="00A77EC1">
      <w:pPr>
        <w:pStyle w:val="Heading2"/>
        <w:keepNext w:val="0"/>
        <w:keepLines w:val="0"/>
        <w:spacing w:before="299" w:after="299"/>
      </w:pPr>
      <w:r>
        <w:rPr>
          <w:color w:val="auto"/>
        </w:rPr>
        <w:lastRenderedPageBreak/>
        <w:t>Consent</w:t>
      </w:r>
    </w:p>
    <w:p w14:paraId="3512C225" w14:textId="6881D2B3" w:rsidR="00490CDD" w:rsidRDefault="00A57052" w:rsidP="00EC6CFE">
      <w:pPr>
        <w:spacing w:before="240" w:after="240"/>
        <w:rPr>
          <w:sz w:val="28"/>
          <w:szCs w:val="28"/>
        </w:rPr>
      </w:pPr>
      <w:r w:rsidRPr="00FF3271">
        <w:rPr>
          <w:sz w:val="28"/>
          <w:szCs w:val="28"/>
        </w:rPr>
        <w:t>Written informed consent was obtained from the patient for publication of this case report and accompanying images.</w:t>
      </w:r>
    </w:p>
    <w:p w14:paraId="57A88C29" w14:textId="1D956B2F" w:rsidR="000A7C28" w:rsidRDefault="00A57052" w:rsidP="00A77EC1">
      <w:pPr>
        <w:pStyle w:val="Heading2"/>
        <w:keepNext w:val="0"/>
        <w:keepLines w:val="0"/>
        <w:spacing w:before="299" w:after="299"/>
      </w:pPr>
      <w:r>
        <w:rPr>
          <w:color w:val="auto"/>
        </w:rPr>
        <w:t>References</w:t>
      </w:r>
    </w:p>
    <w:p w14:paraId="57A88C2B" w14:textId="53E23255" w:rsidR="000A7C28" w:rsidRPr="00FF3271" w:rsidRDefault="00A57052" w:rsidP="00A57052">
      <w:pPr>
        <w:spacing w:before="240" w:after="240"/>
        <w:rPr>
          <w:sz w:val="28"/>
          <w:szCs w:val="28"/>
        </w:rPr>
      </w:pPr>
      <w:r w:rsidRPr="00FF3271">
        <w:rPr>
          <w:sz w:val="28"/>
          <w:szCs w:val="28"/>
        </w:rPr>
        <w:t xml:space="preserve">[1] Benson EA, Page RE. A practical reappraisal of the anatomy of the extrahepatic bile ducts and arteries. Br J Surg </w:t>
      </w:r>
      <w:proofErr w:type="gramStart"/>
      <w:r w:rsidRPr="00FF3271">
        <w:rPr>
          <w:sz w:val="28"/>
          <w:szCs w:val="28"/>
        </w:rPr>
        <w:t>1976;63:853</w:t>
      </w:r>
      <w:proofErr w:type="gramEnd"/>
      <w:r w:rsidRPr="00FF3271">
        <w:rPr>
          <w:sz w:val="28"/>
          <w:szCs w:val="28"/>
        </w:rPr>
        <w:t>–60.</w:t>
      </w:r>
    </w:p>
    <w:p w14:paraId="57A88C2D" w14:textId="3DA7D026" w:rsidR="000A7C28" w:rsidRPr="00FF3271" w:rsidRDefault="00A57052" w:rsidP="00FF3271">
      <w:pPr>
        <w:spacing w:before="240" w:after="240"/>
        <w:rPr>
          <w:sz w:val="28"/>
          <w:szCs w:val="28"/>
        </w:rPr>
      </w:pPr>
      <w:r w:rsidRPr="00FF3271">
        <w:rPr>
          <w:sz w:val="28"/>
          <w:szCs w:val="28"/>
        </w:rPr>
        <w:t xml:space="preserve">[2] Carbajo MA, Martín del Omo JC, Blanco JI, et al. Congenital malformations of the gallbladder and cystic duct diagnosed by laparoscopy: high surgical risk. JSLS </w:t>
      </w:r>
      <w:proofErr w:type="gramStart"/>
      <w:r w:rsidRPr="00FF3271">
        <w:rPr>
          <w:sz w:val="28"/>
          <w:szCs w:val="28"/>
        </w:rPr>
        <w:t>1999;3:319</w:t>
      </w:r>
      <w:proofErr w:type="gramEnd"/>
      <w:r w:rsidRPr="00FF3271">
        <w:rPr>
          <w:sz w:val="28"/>
          <w:szCs w:val="28"/>
        </w:rPr>
        <w:t>–21; PMID: 10694079; PMCID: PMC3015364.</w:t>
      </w:r>
    </w:p>
    <w:p w14:paraId="57A88C2F" w14:textId="52FDE9B8" w:rsidR="000A7C28" w:rsidRPr="00FF3271" w:rsidRDefault="00A57052" w:rsidP="00FF3271">
      <w:pPr>
        <w:spacing w:before="240" w:after="240"/>
        <w:rPr>
          <w:sz w:val="28"/>
          <w:szCs w:val="28"/>
        </w:rPr>
      </w:pPr>
      <w:r w:rsidRPr="00FF3271">
        <w:rPr>
          <w:sz w:val="28"/>
          <w:szCs w:val="28"/>
        </w:rPr>
        <w:t xml:space="preserve">[3] Carbajo MA, Martin del Omo JC, Blanco JI, et al. Congenital malformation of the gallbladder and cystic duct diagnosed by laparoscopy: high surgical risk. JSLS. </w:t>
      </w:r>
      <w:proofErr w:type="gramStart"/>
      <w:r w:rsidRPr="00FF3271">
        <w:rPr>
          <w:sz w:val="28"/>
          <w:szCs w:val="28"/>
        </w:rPr>
        <w:t>1999;3:319</w:t>
      </w:r>
      <w:proofErr w:type="gramEnd"/>
      <w:r w:rsidRPr="00FF3271">
        <w:rPr>
          <w:sz w:val="28"/>
          <w:szCs w:val="28"/>
        </w:rPr>
        <w:t>–321.</w:t>
      </w:r>
    </w:p>
    <w:p w14:paraId="57A88C31" w14:textId="3FA981DC" w:rsidR="000A7C28" w:rsidRPr="00FF3271" w:rsidRDefault="00A57052" w:rsidP="00FF3271">
      <w:pPr>
        <w:spacing w:before="240" w:after="240"/>
        <w:rPr>
          <w:sz w:val="28"/>
          <w:szCs w:val="28"/>
        </w:rPr>
      </w:pPr>
      <w:r w:rsidRPr="00FF3271">
        <w:rPr>
          <w:sz w:val="28"/>
          <w:szCs w:val="28"/>
        </w:rPr>
        <w:t xml:space="preserve">[4] </w:t>
      </w:r>
      <w:proofErr w:type="spellStart"/>
      <w:r w:rsidRPr="00FF3271">
        <w:rPr>
          <w:sz w:val="28"/>
          <w:szCs w:val="28"/>
        </w:rPr>
        <w:t>Suhocki</w:t>
      </w:r>
      <w:proofErr w:type="spellEnd"/>
      <w:r w:rsidRPr="00FF3271">
        <w:rPr>
          <w:sz w:val="28"/>
          <w:szCs w:val="28"/>
        </w:rPr>
        <w:t xml:space="preserve"> PV, Meyers WC. Injury to aberrant bile ducts during cholecystectomy: a common cause of diagnostic error and treatment delay. AJR Am J </w:t>
      </w:r>
      <w:proofErr w:type="spellStart"/>
      <w:r w:rsidRPr="00FF3271">
        <w:rPr>
          <w:sz w:val="28"/>
          <w:szCs w:val="28"/>
        </w:rPr>
        <w:t>Roentgenol</w:t>
      </w:r>
      <w:proofErr w:type="spellEnd"/>
      <w:r w:rsidRPr="00FF3271">
        <w:rPr>
          <w:sz w:val="28"/>
          <w:szCs w:val="28"/>
        </w:rPr>
        <w:t xml:space="preserve"> </w:t>
      </w:r>
      <w:proofErr w:type="gramStart"/>
      <w:r w:rsidRPr="00FF3271">
        <w:rPr>
          <w:sz w:val="28"/>
          <w:szCs w:val="28"/>
        </w:rPr>
        <w:t>1999;172:955</w:t>
      </w:r>
      <w:proofErr w:type="gramEnd"/>
      <w:r w:rsidRPr="00FF3271">
        <w:rPr>
          <w:sz w:val="28"/>
          <w:szCs w:val="28"/>
        </w:rPr>
        <w:t>–9.</w:t>
      </w:r>
    </w:p>
    <w:p w14:paraId="57A88C33" w14:textId="2E5C1CAD" w:rsidR="000A7C28" w:rsidRPr="00FF3271" w:rsidRDefault="00A57052" w:rsidP="00FF3271">
      <w:pPr>
        <w:spacing w:before="240" w:after="240"/>
        <w:rPr>
          <w:sz w:val="28"/>
          <w:szCs w:val="28"/>
        </w:rPr>
      </w:pPr>
      <w:r w:rsidRPr="00FF3271">
        <w:rPr>
          <w:sz w:val="28"/>
          <w:szCs w:val="28"/>
        </w:rPr>
        <w:t>[5] Gupta R, Kumar A, Hariprasad CP, Kumar M. Anatomical variations of the cystic artery, cystic duct, and gall bladder and their associated intraoperative and postoperative complications: an observational study. Annals of Medicine and Surgery. 2023 Aug 1;85(8):3880-6.</w:t>
      </w:r>
    </w:p>
    <w:p w14:paraId="57A88C35" w14:textId="0C86982B" w:rsidR="000A7C28" w:rsidRPr="00FF3271" w:rsidRDefault="00A57052" w:rsidP="00FF3271">
      <w:pPr>
        <w:spacing w:before="240" w:after="240"/>
        <w:rPr>
          <w:sz w:val="28"/>
          <w:szCs w:val="28"/>
        </w:rPr>
      </w:pPr>
      <w:r w:rsidRPr="00FF3271">
        <w:rPr>
          <w:sz w:val="28"/>
          <w:szCs w:val="28"/>
        </w:rPr>
        <w:t>[7] Shanmugam G, and Natarajan S. Anomalous Insertion of the Cystic Duct into the Right Hepatic Duct: A Rare Presentation. Annals of Minimal Access Surgery &amp; Allied Science. 2025 Jan 1;1(1):36-7.</w:t>
      </w:r>
    </w:p>
    <w:p w14:paraId="57A88C37" w14:textId="0DCD8E59" w:rsidR="000A7C28" w:rsidRPr="00FF3271" w:rsidRDefault="00A57052" w:rsidP="00FF3271">
      <w:pPr>
        <w:spacing w:before="240" w:after="240"/>
        <w:rPr>
          <w:sz w:val="28"/>
          <w:szCs w:val="28"/>
        </w:rPr>
      </w:pPr>
      <w:r w:rsidRPr="00FF3271">
        <w:rPr>
          <w:sz w:val="28"/>
          <w:szCs w:val="28"/>
        </w:rPr>
        <w:t>[8] Dandekar U, and Dandekar K. Cystic artery: morphological study and surgical significance. Anatomy research international. 2016;2016(1):7201858.</w:t>
      </w:r>
    </w:p>
    <w:p w14:paraId="57A88C39" w14:textId="693F5F32" w:rsidR="000A7C28" w:rsidRPr="00FF3271" w:rsidRDefault="00A57052" w:rsidP="00FF3271">
      <w:pPr>
        <w:spacing w:before="240" w:after="240"/>
        <w:rPr>
          <w:sz w:val="28"/>
          <w:szCs w:val="28"/>
        </w:rPr>
      </w:pPr>
      <w:r w:rsidRPr="00FF3271">
        <w:rPr>
          <w:sz w:val="28"/>
          <w:szCs w:val="28"/>
        </w:rPr>
        <w:t>[9] M. Taimur, A. Hasan, S. Ullah, R. Masood, and M. Imran, "Vascular variations in the Calot's triangle seen on laparoscopic cholecystectomy," Pakistan Armed Forces Medical Journal, vol. 61, no. 4, 2011.</w:t>
      </w:r>
    </w:p>
    <w:p w14:paraId="57A88C3B" w14:textId="6E82E722" w:rsidR="000A7C28" w:rsidRPr="00FF3271" w:rsidRDefault="00A57052" w:rsidP="00FF3271">
      <w:pPr>
        <w:spacing w:before="240" w:after="240"/>
        <w:rPr>
          <w:sz w:val="28"/>
          <w:szCs w:val="28"/>
        </w:rPr>
      </w:pPr>
      <w:r w:rsidRPr="00FF3271">
        <w:rPr>
          <w:sz w:val="28"/>
          <w:szCs w:val="28"/>
        </w:rPr>
        <w:t xml:space="preserve">[10] </w:t>
      </w:r>
      <w:proofErr w:type="spellStart"/>
      <w:r w:rsidRPr="00FF3271">
        <w:rPr>
          <w:sz w:val="28"/>
          <w:szCs w:val="28"/>
        </w:rPr>
        <w:t>Taourel</w:t>
      </w:r>
      <w:proofErr w:type="spellEnd"/>
      <w:r w:rsidRPr="00FF3271">
        <w:rPr>
          <w:sz w:val="28"/>
          <w:szCs w:val="28"/>
        </w:rPr>
        <w:t xml:space="preserve"> P, Bret P, Reinhold C, </w:t>
      </w:r>
      <w:proofErr w:type="spellStart"/>
      <w:r w:rsidRPr="00FF3271">
        <w:rPr>
          <w:sz w:val="28"/>
          <w:szCs w:val="28"/>
        </w:rPr>
        <w:t>Barkun</w:t>
      </w:r>
      <w:proofErr w:type="spellEnd"/>
      <w:r w:rsidRPr="00FF3271">
        <w:rPr>
          <w:sz w:val="28"/>
          <w:szCs w:val="28"/>
        </w:rPr>
        <w:t xml:space="preserve"> A, Atri M. Anatomic variants of the biliary tree: diagnosis with MR cholangiopancreatography. Radiology. </w:t>
      </w:r>
      <w:proofErr w:type="gramStart"/>
      <w:r w:rsidRPr="00FF3271">
        <w:rPr>
          <w:sz w:val="28"/>
          <w:szCs w:val="28"/>
        </w:rPr>
        <w:t>1996;199:521</w:t>
      </w:r>
      <w:proofErr w:type="gramEnd"/>
      <w:r w:rsidRPr="00FF3271">
        <w:rPr>
          <w:sz w:val="28"/>
          <w:szCs w:val="28"/>
        </w:rPr>
        <w:t>–527.</w:t>
      </w:r>
    </w:p>
    <w:p w14:paraId="57A88C3D" w14:textId="7776FC53" w:rsidR="000A7C28" w:rsidRPr="00FF3271" w:rsidRDefault="00A57052" w:rsidP="00FF3271">
      <w:pPr>
        <w:spacing w:before="240" w:after="240"/>
        <w:rPr>
          <w:sz w:val="28"/>
          <w:szCs w:val="28"/>
        </w:rPr>
      </w:pPr>
      <w:r w:rsidRPr="00A57052">
        <w:rPr>
          <w:sz w:val="28"/>
          <w:szCs w:val="28"/>
          <w:lang w:val="en-GB"/>
        </w:rPr>
        <w:lastRenderedPageBreak/>
        <w:t xml:space="preserve">[11] Ausch C, Hochwarter G, Taher M, et al. </w:t>
      </w:r>
      <w:r w:rsidRPr="00FF3271">
        <w:rPr>
          <w:sz w:val="28"/>
          <w:szCs w:val="28"/>
        </w:rPr>
        <w:t xml:space="preserve">Improving the safety of laparoscopic cholecystectomy: the routine use of preoperative magnetic resonance cholangiography. Surg </w:t>
      </w:r>
      <w:proofErr w:type="spellStart"/>
      <w:r w:rsidRPr="00FF3271">
        <w:rPr>
          <w:sz w:val="28"/>
          <w:szCs w:val="28"/>
        </w:rPr>
        <w:t>Endosc</w:t>
      </w:r>
      <w:proofErr w:type="spellEnd"/>
      <w:r w:rsidRPr="00FF3271">
        <w:rPr>
          <w:sz w:val="28"/>
          <w:szCs w:val="28"/>
        </w:rPr>
        <w:t xml:space="preserve">. </w:t>
      </w:r>
      <w:proofErr w:type="gramStart"/>
      <w:r w:rsidRPr="00FF3271">
        <w:rPr>
          <w:sz w:val="28"/>
          <w:szCs w:val="28"/>
        </w:rPr>
        <w:t>2005;19:574</w:t>
      </w:r>
      <w:proofErr w:type="gramEnd"/>
      <w:r w:rsidRPr="00FF3271">
        <w:rPr>
          <w:sz w:val="28"/>
          <w:szCs w:val="28"/>
        </w:rPr>
        <w:t>–580.</w:t>
      </w:r>
    </w:p>
    <w:p w14:paraId="57A88C3E" w14:textId="77777777" w:rsidR="000A7C28" w:rsidRPr="00FF3271" w:rsidRDefault="00A57052">
      <w:pPr>
        <w:spacing w:before="240" w:after="240"/>
        <w:rPr>
          <w:sz w:val="28"/>
          <w:szCs w:val="28"/>
        </w:rPr>
      </w:pPr>
      <w:r w:rsidRPr="00FF3271">
        <w:rPr>
          <w:sz w:val="28"/>
          <w:szCs w:val="28"/>
        </w:rPr>
        <w:t xml:space="preserve">[12] Turner M, Fulcher A. The cystic duct: normal anatomy and disease processes. </w:t>
      </w:r>
      <w:proofErr w:type="spellStart"/>
      <w:r w:rsidRPr="00FF3271">
        <w:rPr>
          <w:sz w:val="28"/>
          <w:szCs w:val="28"/>
        </w:rPr>
        <w:t>Radiographics</w:t>
      </w:r>
      <w:proofErr w:type="spellEnd"/>
      <w:r w:rsidRPr="00FF3271">
        <w:rPr>
          <w:sz w:val="28"/>
          <w:szCs w:val="28"/>
        </w:rPr>
        <w:t xml:space="preserve">. </w:t>
      </w:r>
      <w:proofErr w:type="gramStart"/>
      <w:r w:rsidRPr="00FF3271">
        <w:rPr>
          <w:sz w:val="28"/>
          <w:szCs w:val="28"/>
        </w:rPr>
        <w:t>2001;21:3</w:t>
      </w:r>
      <w:proofErr w:type="gramEnd"/>
      <w:r w:rsidRPr="00FF3271">
        <w:rPr>
          <w:sz w:val="28"/>
          <w:szCs w:val="28"/>
        </w:rPr>
        <w:t>–22.</w:t>
      </w:r>
    </w:p>
    <w:sectPr w:rsidR="000A7C28" w:rsidRPr="00FF3271">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4A8B30" w14:textId="77777777" w:rsidR="009767E5" w:rsidRDefault="009767E5" w:rsidP="00250DAE">
      <w:r>
        <w:separator/>
      </w:r>
    </w:p>
  </w:endnote>
  <w:endnote w:type="continuationSeparator" w:id="0">
    <w:p w14:paraId="598C076D" w14:textId="77777777" w:rsidR="009767E5" w:rsidRDefault="009767E5" w:rsidP="00250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518DD6" w14:textId="77777777" w:rsidR="00250DAE" w:rsidRDefault="00250D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E0901" w14:textId="77777777" w:rsidR="00250DAE" w:rsidRDefault="00250D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F2A60" w14:textId="77777777" w:rsidR="00250DAE" w:rsidRDefault="00250D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27FC21" w14:textId="77777777" w:rsidR="009767E5" w:rsidRDefault="009767E5" w:rsidP="00250DAE">
      <w:r>
        <w:separator/>
      </w:r>
    </w:p>
  </w:footnote>
  <w:footnote w:type="continuationSeparator" w:id="0">
    <w:p w14:paraId="771EB057" w14:textId="77777777" w:rsidR="009767E5" w:rsidRDefault="009767E5" w:rsidP="00250D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0FE28" w14:textId="46228CD6" w:rsidR="00250DAE" w:rsidRDefault="00250DAE">
    <w:pPr>
      <w:pStyle w:val="Header"/>
    </w:pPr>
    <w:r>
      <w:rPr>
        <w:noProof/>
      </w:rPr>
      <w:pict w14:anchorId="69D908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620126"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A3149" w14:textId="39D7C23F" w:rsidR="00250DAE" w:rsidRDefault="00250DAE">
    <w:pPr>
      <w:pStyle w:val="Header"/>
    </w:pPr>
    <w:r>
      <w:rPr>
        <w:noProof/>
      </w:rPr>
      <w:pict w14:anchorId="362EBB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620127"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CE05E" w14:textId="18D4A067" w:rsidR="00250DAE" w:rsidRDefault="00250DAE">
    <w:pPr>
      <w:pStyle w:val="Header"/>
    </w:pPr>
    <w:r>
      <w:rPr>
        <w:noProof/>
      </w:rPr>
      <w:pict w14:anchorId="495D3C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620125"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C28"/>
    <w:rsid w:val="00022715"/>
    <w:rsid w:val="00035C58"/>
    <w:rsid w:val="000A50D4"/>
    <w:rsid w:val="000A7C28"/>
    <w:rsid w:val="000D6603"/>
    <w:rsid w:val="00113375"/>
    <w:rsid w:val="00165FA9"/>
    <w:rsid w:val="001B7AF5"/>
    <w:rsid w:val="001C10ED"/>
    <w:rsid w:val="00241540"/>
    <w:rsid w:val="00250DAE"/>
    <w:rsid w:val="00251951"/>
    <w:rsid w:val="002C2D5E"/>
    <w:rsid w:val="003D6A9C"/>
    <w:rsid w:val="003E70C4"/>
    <w:rsid w:val="004629EF"/>
    <w:rsid w:val="00490CDD"/>
    <w:rsid w:val="004B5AC6"/>
    <w:rsid w:val="004E776A"/>
    <w:rsid w:val="00507466"/>
    <w:rsid w:val="005319A6"/>
    <w:rsid w:val="005E061C"/>
    <w:rsid w:val="0060046E"/>
    <w:rsid w:val="00624C89"/>
    <w:rsid w:val="00664475"/>
    <w:rsid w:val="006F2351"/>
    <w:rsid w:val="00745F52"/>
    <w:rsid w:val="00780E6F"/>
    <w:rsid w:val="0078553B"/>
    <w:rsid w:val="007B7B42"/>
    <w:rsid w:val="007C169B"/>
    <w:rsid w:val="00803F68"/>
    <w:rsid w:val="00863B8B"/>
    <w:rsid w:val="00954CFE"/>
    <w:rsid w:val="009730A3"/>
    <w:rsid w:val="009767E5"/>
    <w:rsid w:val="00990F57"/>
    <w:rsid w:val="009C3D55"/>
    <w:rsid w:val="009E7381"/>
    <w:rsid w:val="009F7F4C"/>
    <w:rsid w:val="00A06AEE"/>
    <w:rsid w:val="00A4654B"/>
    <w:rsid w:val="00A57052"/>
    <w:rsid w:val="00A77EC1"/>
    <w:rsid w:val="00AC42E0"/>
    <w:rsid w:val="00AE23E0"/>
    <w:rsid w:val="00B540AF"/>
    <w:rsid w:val="00B854F8"/>
    <w:rsid w:val="00B96223"/>
    <w:rsid w:val="00CE358E"/>
    <w:rsid w:val="00DB47A1"/>
    <w:rsid w:val="00EC6CFE"/>
    <w:rsid w:val="00F03C2C"/>
    <w:rsid w:val="00F51DC2"/>
    <w:rsid w:val="00F83239"/>
    <w:rsid w:val="00F92F14"/>
    <w:rsid w:val="00FF327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A88BE6"/>
  <w15:docId w15:val="{C2EF8D4B-C6E6-4133-B32E-2D107638E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sz w:val="48"/>
      <w:szCs w:val="48"/>
    </w:rPr>
  </w:style>
  <w:style w:type="paragraph" w:styleId="Heading2">
    <w:name w:val="heading 2"/>
    <w:basedOn w:val="Normal"/>
    <w:next w:val="Normal"/>
    <w:link w:val="Heading2Char"/>
    <w:uiPriority w:val="9"/>
    <w:qFormat/>
    <w:rsid w:val="00506D7A"/>
    <w:pPr>
      <w:keepNext/>
      <w:keepLines/>
      <w:spacing w:before="40"/>
      <w:outlineLvl w:val="1"/>
    </w:pPr>
    <w:rPr>
      <w:b/>
      <w:bCs/>
      <w:color w:val="2F5496"/>
      <w:sz w:val="36"/>
      <w:szCs w:val="36"/>
    </w:rPr>
  </w:style>
  <w:style w:type="paragraph" w:styleId="Heading3">
    <w:name w:val="heading 3"/>
    <w:basedOn w:val="Normal"/>
    <w:next w:val="Normal"/>
    <w:link w:val="Heading3Char"/>
    <w:uiPriority w:val="9"/>
    <w:qFormat/>
    <w:rsid w:val="00506D7A"/>
    <w:pPr>
      <w:keepNext/>
      <w:keepLines/>
      <w:spacing w:before="40"/>
      <w:outlineLvl w:val="2"/>
    </w:pPr>
    <w:rPr>
      <w:b/>
      <w:bCs/>
      <w:color w:val="1F3763"/>
      <w:sz w:val="28"/>
      <w:szCs w:val="28"/>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sz w:val="20"/>
      <w:szCs w:val="20"/>
    </w:rPr>
  </w:style>
  <w:style w:type="paragraph" w:styleId="Heading6">
    <w:name w:val="heading 6"/>
    <w:basedOn w:val="Normal"/>
    <w:next w:val="Normal"/>
    <w:link w:val="Heading6Char"/>
    <w:uiPriority w:val="9"/>
    <w:qFormat/>
    <w:rsid w:val="00506D7A"/>
    <w:pPr>
      <w:keepNext/>
      <w:keepLines/>
      <w:spacing w:before="40"/>
      <w:outlineLvl w:val="5"/>
    </w:pPr>
    <w:rPr>
      <w:b/>
      <w:bCs/>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Calibri Light" w:eastAsia="Times New Roman" w:hAnsi="Calibri Light" w:cs="Times New Roman"/>
      <w:color w:val="2F5496"/>
      <w:sz w:val="32"/>
      <w:szCs w:val="32"/>
    </w:rPr>
  </w:style>
  <w:style w:type="character" w:customStyle="1" w:styleId="Heading2Char">
    <w:name w:val="Heading 2 Char"/>
    <w:basedOn w:val="DefaultParagraphFont"/>
    <w:link w:val="Heading2"/>
    <w:uiPriority w:val="9"/>
    <w:rsid w:val="00506D7A"/>
    <w:rPr>
      <w:rFonts w:ascii="Calibri Light" w:eastAsia="Times New Roman" w:hAnsi="Calibri Light" w:cs="Times New Roman"/>
      <w:color w:val="2F5496"/>
      <w:sz w:val="26"/>
      <w:szCs w:val="26"/>
    </w:rPr>
  </w:style>
  <w:style w:type="character" w:customStyle="1" w:styleId="Heading3Char">
    <w:name w:val="Heading 3 Char"/>
    <w:basedOn w:val="DefaultParagraphFont"/>
    <w:link w:val="Heading3"/>
    <w:uiPriority w:val="9"/>
    <w:rsid w:val="00506D7A"/>
    <w:rPr>
      <w:rFonts w:ascii="Calibri Light" w:eastAsia="Times New Roman" w:hAnsi="Calibri Light" w:cs="Times New Roman"/>
      <w:color w:val="1F3763"/>
      <w:sz w:val="24"/>
      <w:szCs w:val="24"/>
    </w:rPr>
  </w:style>
  <w:style w:type="character" w:customStyle="1" w:styleId="Heading4Char">
    <w:name w:val="Heading 4 Char"/>
    <w:basedOn w:val="DefaultParagraphFont"/>
    <w:link w:val="Heading4"/>
    <w:uiPriority w:val="9"/>
    <w:rsid w:val="00506D7A"/>
    <w:rPr>
      <w:rFonts w:ascii="Calibri Light" w:eastAsia="Times New Roman" w:hAnsi="Calibri Light" w:cs="Times New Roman"/>
      <w:i/>
      <w:iCs/>
      <w:color w:val="2F5496"/>
    </w:rPr>
  </w:style>
  <w:style w:type="character" w:customStyle="1" w:styleId="Heading5Char">
    <w:name w:val="Heading 5 Char"/>
    <w:basedOn w:val="DefaultParagraphFont"/>
    <w:link w:val="Heading5"/>
    <w:uiPriority w:val="9"/>
    <w:rsid w:val="00506D7A"/>
    <w:rPr>
      <w:rFonts w:ascii="Calibri Light" w:eastAsia="Times New Roman" w:hAnsi="Calibri Light" w:cs="Times New Roman"/>
      <w:color w:val="2F5496"/>
    </w:rPr>
  </w:style>
  <w:style w:type="character" w:customStyle="1" w:styleId="Heading6Char">
    <w:name w:val="Heading 6 Char"/>
    <w:basedOn w:val="DefaultParagraphFont"/>
    <w:link w:val="Heading6"/>
    <w:uiPriority w:val="9"/>
    <w:rsid w:val="00506D7A"/>
    <w:rPr>
      <w:rFonts w:ascii="Calibri Light" w:eastAsia="Times New Roman" w:hAnsi="Calibri Light" w:cs="Times New Roman"/>
      <w:color w:val="1F3763"/>
    </w:rPr>
  </w:style>
  <w:style w:type="paragraph" w:styleId="NormalWeb">
    <w:name w:val="Normal (Web)"/>
    <w:basedOn w:val="Normal"/>
    <w:uiPriority w:val="99"/>
    <w:unhideWhenUsed/>
    <w:rsid w:val="005E061C"/>
    <w:pPr>
      <w:spacing w:before="100" w:beforeAutospacing="1" w:after="100" w:afterAutospacing="1"/>
    </w:pPr>
    <w:rPr>
      <w:lang w:val="en-GB" w:eastAsia="en-GB"/>
    </w:rPr>
  </w:style>
  <w:style w:type="paragraph" w:styleId="NoSpacing">
    <w:name w:val="No Spacing"/>
    <w:uiPriority w:val="1"/>
    <w:qFormat/>
    <w:rsid w:val="00507466"/>
    <w:rPr>
      <w:sz w:val="24"/>
      <w:szCs w:val="24"/>
    </w:rPr>
  </w:style>
  <w:style w:type="paragraph" w:styleId="Header">
    <w:name w:val="header"/>
    <w:basedOn w:val="Normal"/>
    <w:link w:val="HeaderChar"/>
    <w:uiPriority w:val="99"/>
    <w:unhideWhenUsed/>
    <w:rsid w:val="00250DAE"/>
    <w:pPr>
      <w:tabs>
        <w:tab w:val="center" w:pos="4680"/>
        <w:tab w:val="right" w:pos="9360"/>
      </w:tabs>
    </w:pPr>
  </w:style>
  <w:style w:type="character" w:customStyle="1" w:styleId="HeaderChar">
    <w:name w:val="Header Char"/>
    <w:basedOn w:val="DefaultParagraphFont"/>
    <w:link w:val="Header"/>
    <w:uiPriority w:val="99"/>
    <w:rsid w:val="00250DAE"/>
    <w:rPr>
      <w:sz w:val="24"/>
      <w:szCs w:val="24"/>
    </w:rPr>
  </w:style>
  <w:style w:type="paragraph" w:styleId="Footer">
    <w:name w:val="footer"/>
    <w:basedOn w:val="Normal"/>
    <w:link w:val="FooterChar"/>
    <w:uiPriority w:val="99"/>
    <w:unhideWhenUsed/>
    <w:rsid w:val="00250DAE"/>
    <w:pPr>
      <w:tabs>
        <w:tab w:val="center" w:pos="4680"/>
        <w:tab w:val="right" w:pos="9360"/>
      </w:tabs>
    </w:pPr>
  </w:style>
  <w:style w:type="character" w:customStyle="1" w:styleId="FooterChar">
    <w:name w:val="Footer Char"/>
    <w:basedOn w:val="DefaultParagraphFont"/>
    <w:link w:val="Footer"/>
    <w:uiPriority w:val="99"/>
    <w:rsid w:val="00250DA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png"/><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11</Pages>
  <Words>1716</Words>
  <Characters>9786</Characters>
  <Application>Microsoft Office Word</Application>
  <DocSecurity>0</DocSecurity>
  <Lines>81</Lines>
  <Paragraphs>22</Paragraphs>
  <ScaleCrop>false</ScaleCrop>
  <Company/>
  <LinksUpToDate>false</LinksUpToDate>
  <CharactersWithSpaces>11480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Editor-22</cp:lastModifiedBy>
  <cp:revision>45</cp:revision>
  <dcterms:created xsi:type="dcterms:W3CDTF">2025-05-27T15:08:00Z</dcterms:created>
  <dcterms:modified xsi:type="dcterms:W3CDTF">2025-05-28T10:37:00Z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71754b43-f66f-4224-afac-e26724126176</vt:lpwstr>
  </property>
</Properties>
</file>