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6FC2" w14:textId="682E9E11" w:rsidR="00117A4F" w:rsidRPr="00117A4F" w:rsidRDefault="00117A4F">
      <w:pPr>
        <w:rPr>
          <w:b/>
          <w:bCs/>
          <w:sz w:val="36"/>
          <w:szCs w:val="36"/>
          <w:u w:val="single"/>
        </w:rPr>
      </w:pPr>
      <w:r w:rsidRPr="00117A4F">
        <w:rPr>
          <w:b/>
          <w:bCs/>
          <w:sz w:val="36"/>
          <w:szCs w:val="36"/>
          <w:u w:val="single"/>
        </w:rPr>
        <w:t>Case report</w:t>
      </w:r>
    </w:p>
    <w:p w14:paraId="14C8CC45" w14:textId="1479776E" w:rsidR="00294DCB" w:rsidRDefault="00294DCB">
      <w:pPr>
        <w:rPr>
          <w:b/>
          <w:bCs/>
          <w:sz w:val="36"/>
          <w:szCs w:val="36"/>
        </w:rPr>
      </w:pPr>
      <w:r w:rsidRPr="00963A01">
        <w:rPr>
          <w:b/>
          <w:bCs/>
          <w:sz w:val="36"/>
          <w:szCs w:val="36"/>
        </w:rPr>
        <w:t xml:space="preserve">CASE REPORT OF A PATIENT PRESENTING WITH </w:t>
      </w:r>
      <w:r w:rsidR="00232926" w:rsidRPr="00963A01">
        <w:rPr>
          <w:b/>
          <w:bCs/>
          <w:sz w:val="36"/>
          <w:szCs w:val="36"/>
        </w:rPr>
        <w:t xml:space="preserve">PYREXIA OF UNKNOWN </w:t>
      </w:r>
      <w:r w:rsidR="00963A01" w:rsidRPr="00963A01">
        <w:rPr>
          <w:b/>
          <w:bCs/>
          <w:sz w:val="36"/>
          <w:szCs w:val="36"/>
        </w:rPr>
        <w:t>ORIGIN</w:t>
      </w:r>
      <w:r w:rsidR="00963A01">
        <w:rPr>
          <w:b/>
          <w:bCs/>
          <w:sz w:val="36"/>
          <w:szCs w:val="36"/>
        </w:rPr>
        <w:t xml:space="preserve"> (PUO)</w:t>
      </w:r>
      <w:r w:rsidR="00963A01" w:rsidRPr="00963A01">
        <w:rPr>
          <w:b/>
          <w:bCs/>
          <w:sz w:val="36"/>
          <w:szCs w:val="36"/>
        </w:rPr>
        <w:t>:</w:t>
      </w:r>
      <w:r w:rsidR="00232926" w:rsidRPr="00963A01">
        <w:rPr>
          <w:b/>
          <w:bCs/>
          <w:sz w:val="36"/>
          <w:szCs w:val="36"/>
        </w:rPr>
        <w:t xml:space="preserve"> </w:t>
      </w:r>
      <w:r w:rsidR="007540F8">
        <w:rPr>
          <w:b/>
          <w:bCs/>
          <w:sz w:val="36"/>
          <w:szCs w:val="36"/>
        </w:rPr>
        <w:t>ENTERIC FEVER</w:t>
      </w:r>
      <w:r w:rsidR="00232926" w:rsidRPr="00963A01">
        <w:rPr>
          <w:b/>
          <w:bCs/>
          <w:sz w:val="36"/>
          <w:szCs w:val="36"/>
        </w:rPr>
        <w:t xml:space="preserve"> WITH LUNG ADENOCARCINOMA</w:t>
      </w:r>
    </w:p>
    <w:p w14:paraId="3F703CE7" w14:textId="77777777" w:rsidR="00BD1DD9" w:rsidRDefault="00BD1DD9">
      <w:pPr>
        <w:rPr>
          <w:b/>
          <w:bCs/>
        </w:rPr>
      </w:pPr>
    </w:p>
    <w:p w14:paraId="4A5737A6" w14:textId="77777777" w:rsidR="006B146A" w:rsidRDefault="006B146A">
      <w:pPr>
        <w:rPr>
          <w:b/>
          <w:bCs/>
        </w:rPr>
      </w:pPr>
    </w:p>
    <w:p w14:paraId="4753F926" w14:textId="1FCABAE2" w:rsidR="003C03EF" w:rsidRPr="00D66C65" w:rsidRDefault="00635B5F">
      <w:pPr>
        <w:rPr>
          <w:b/>
          <w:bCs/>
        </w:rPr>
      </w:pPr>
      <w:r w:rsidRPr="00D66C65">
        <w:rPr>
          <w:b/>
          <w:bCs/>
        </w:rPr>
        <w:t>Abstract</w:t>
      </w:r>
    </w:p>
    <w:p w14:paraId="739E3D14" w14:textId="72D1EA54" w:rsidR="00740F8A" w:rsidRPr="009829D7" w:rsidRDefault="00740F8A">
      <w:r w:rsidRPr="009829D7">
        <w:rPr>
          <w:color w:val="232323"/>
          <w:shd w:val="clear" w:color="auto" w:fill="FFFFFF"/>
        </w:rPr>
        <w:t>Adenocarcinoma is the most common type of lung cancer, accounting for approximately one-half of lung cancer cases.</w:t>
      </w:r>
      <w:r w:rsidR="008F741D" w:rsidRPr="009829D7">
        <w:rPr>
          <w:color w:val="232323"/>
          <w:shd w:val="clear" w:color="auto" w:fill="FFFFFF"/>
        </w:rPr>
        <w:t xml:space="preserve"> </w:t>
      </w:r>
      <w:r w:rsidR="0035301D" w:rsidRPr="009829D7">
        <w:rPr>
          <w:color w:val="232323"/>
          <w:shd w:val="clear" w:color="auto" w:fill="FFFFFF"/>
        </w:rPr>
        <w:t xml:space="preserve">Patient can present with </w:t>
      </w:r>
      <w:r w:rsidR="008F741D" w:rsidRPr="009829D7">
        <w:t>symptoms</w:t>
      </w:r>
      <w:r w:rsidR="0035301D" w:rsidRPr="009829D7">
        <w:t xml:space="preserve"> such as </w:t>
      </w:r>
      <w:r w:rsidR="007316EF">
        <w:t>cough,</w:t>
      </w:r>
      <w:r w:rsidR="00C53307">
        <w:t xml:space="preserve"> </w:t>
      </w:r>
      <w:r w:rsidR="001C1D6E">
        <w:t xml:space="preserve">fever, </w:t>
      </w:r>
      <w:proofErr w:type="spellStart"/>
      <w:r w:rsidR="00C53307">
        <w:t>dyspnea</w:t>
      </w:r>
      <w:proofErr w:type="spellEnd"/>
      <w:r w:rsidR="00C53307">
        <w:t>,</w:t>
      </w:r>
      <w:r w:rsidR="007316EF">
        <w:t xml:space="preserve"> </w:t>
      </w:r>
      <w:r w:rsidR="001C1D6E">
        <w:t>chest pain</w:t>
      </w:r>
      <w:r w:rsidR="0035301D" w:rsidRPr="009829D7">
        <w:t xml:space="preserve">, night sweats, </w:t>
      </w:r>
      <w:r w:rsidR="008F741D" w:rsidRPr="009829D7">
        <w:t>anorexia, weight loss</w:t>
      </w:r>
      <w:r w:rsidR="0035301D" w:rsidRPr="009829D7">
        <w:t xml:space="preserve"> and</w:t>
      </w:r>
      <w:r w:rsidR="008F741D" w:rsidRPr="009829D7">
        <w:t xml:space="preserve"> weakness</w:t>
      </w:r>
      <w:r w:rsidR="0035301D" w:rsidRPr="009829D7">
        <w:t>.</w:t>
      </w:r>
      <w:r w:rsidR="00F95612" w:rsidRPr="009829D7">
        <w:t xml:space="preserve"> </w:t>
      </w:r>
      <w:r w:rsidR="004F42D3" w:rsidRPr="009829D7">
        <w:t>Enteric fever is a systemic disease</w:t>
      </w:r>
      <w:r w:rsidR="00340FB6">
        <w:t xml:space="preserve"> which is</w:t>
      </w:r>
      <w:r w:rsidR="004F42D3" w:rsidRPr="009829D7">
        <w:t xml:space="preserve"> characterized by fever and abdominal pain and caused by Salmonella typhi or Salmonella </w:t>
      </w:r>
      <w:proofErr w:type="spellStart"/>
      <w:r w:rsidR="004F42D3" w:rsidRPr="009829D7">
        <w:t>paratyphi</w:t>
      </w:r>
      <w:proofErr w:type="spellEnd"/>
      <w:r w:rsidR="00340FB6">
        <w:t xml:space="preserve">, usually seen in areas of poor sanitation and hygiene </w:t>
      </w:r>
      <w:r w:rsidR="00340FB6" w:rsidRPr="00340FB6">
        <w:rPr>
          <w:vertAlign w:val="superscript"/>
        </w:rPr>
        <w:t>(</w:t>
      </w:r>
      <w:r w:rsidR="002514D2">
        <w:rPr>
          <w:vertAlign w:val="superscript"/>
        </w:rPr>
        <w:t>7</w:t>
      </w:r>
      <w:r w:rsidR="00340FB6" w:rsidRPr="00340FB6">
        <w:rPr>
          <w:vertAlign w:val="superscript"/>
        </w:rPr>
        <w:t>,</w:t>
      </w:r>
      <w:r w:rsidR="002514D2">
        <w:rPr>
          <w:vertAlign w:val="superscript"/>
        </w:rPr>
        <w:t>3</w:t>
      </w:r>
      <w:r w:rsidR="00340FB6" w:rsidRPr="00340FB6">
        <w:rPr>
          <w:vertAlign w:val="superscript"/>
        </w:rPr>
        <w:t>)</w:t>
      </w:r>
      <w:r w:rsidR="004F42D3" w:rsidRPr="009829D7">
        <w:t>.</w:t>
      </w:r>
      <w:r w:rsidR="002C2FFA" w:rsidRPr="009829D7">
        <w:t xml:space="preserve"> Fever is documented at presentation in majority of cases</w:t>
      </w:r>
      <w:r w:rsidR="00870DA7" w:rsidRPr="009829D7">
        <w:t xml:space="preserve"> of salmonella infection.</w:t>
      </w:r>
      <w:r w:rsidR="00332EE6" w:rsidRPr="009829D7">
        <w:t xml:space="preserve"> </w:t>
      </w:r>
      <w:r w:rsidR="00C40F21" w:rsidRPr="009829D7">
        <w:t xml:space="preserve">We report a </w:t>
      </w:r>
      <w:r w:rsidR="00332EE6" w:rsidRPr="009829D7">
        <w:t xml:space="preserve">case of </w:t>
      </w:r>
      <w:r w:rsidR="000B6A71" w:rsidRPr="009829D7">
        <w:t xml:space="preserve">an individual </w:t>
      </w:r>
      <w:r w:rsidR="00042F2E" w:rsidRPr="009829D7">
        <w:t>who</w:t>
      </w:r>
      <w:r w:rsidR="00423B61" w:rsidRPr="009829D7">
        <w:t xml:space="preserve"> </w:t>
      </w:r>
      <w:r w:rsidR="0088575A" w:rsidRPr="009829D7">
        <w:t xml:space="preserve">presented </w:t>
      </w:r>
      <w:r w:rsidR="00042F2E" w:rsidRPr="009829D7">
        <w:t>with</w:t>
      </w:r>
      <w:r w:rsidR="0088575A" w:rsidRPr="009829D7">
        <w:t xml:space="preserve"> fever</w:t>
      </w:r>
      <w:r w:rsidR="005648E9" w:rsidRPr="009829D7">
        <w:t xml:space="preserve"> of unknown origin</w:t>
      </w:r>
      <w:r w:rsidR="00192A37" w:rsidRPr="009829D7">
        <w:t xml:space="preserve"> and later diagnosed with </w:t>
      </w:r>
      <w:r w:rsidR="000B6A71" w:rsidRPr="009829D7">
        <w:t>Adenocarcinoma lung</w:t>
      </w:r>
      <w:r w:rsidR="0088575A" w:rsidRPr="009829D7">
        <w:t xml:space="preserve">, and </w:t>
      </w:r>
      <w:r w:rsidR="00042F2E" w:rsidRPr="009829D7">
        <w:t xml:space="preserve">during the </w:t>
      </w:r>
      <w:r w:rsidR="0088575A" w:rsidRPr="009829D7">
        <w:t>evaluation of fever was inciden</w:t>
      </w:r>
      <w:r w:rsidR="002F058C" w:rsidRPr="009829D7">
        <w:t>tally found to have Salmonella typhi infection.</w:t>
      </w:r>
    </w:p>
    <w:p w14:paraId="26B80B58" w14:textId="3E3DFE74" w:rsidR="005936B5" w:rsidRPr="00D66C65" w:rsidRDefault="0045645F">
      <w:pPr>
        <w:rPr>
          <w:b/>
          <w:bCs/>
        </w:rPr>
      </w:pPr>
      <w:r w:rsidRPr="00D66C65">
        <w:rPr>
          <w:b/>
          <w:bCs/>
        </w:rPr>
        <w:t>Introduction</w:t>
      </w:r>
    </w:p>
    <w:p w14:paraId="6EA6FA5D" w14:textId="1F3DEE23" w:rsidR="00EE725D" w:rsidRDefault="0000071D">
      <w:r>
        <w:t>In Enteric fever, f</w:t>
      </w:r>
      <w:r w:rsidR="00A156D9" w:rsidRPr="00A156D9">
        <w:t>ever is</w:t>
      </w:r>
      <w:r w:rsidR="00A156D9">
        <w:t xml:space="preserve"> the major symptom</w:t>
      </w:r>
      <w:r w:rsidR="00A156D9" w:rsidRPr="00A156D9">
        <w:t xml:space="preserve"> documented at</w:t>
      </w:r>
      <w:r w:rsidR="00A156D9">
        <w:t xml:space="preserve"> the time of</w:t>
      </w:r>
      <w:r w:rsidR="00A156D9" w:rsidRPr="00A156D9">
        <w:t xml:space="preserve"> presentation in &gt;75% of cases</w:t>
      </w:r>
      <w:r w:rsidR="00EA360D">
        <w:t xml:space="preserve"> </w:t>
      </w:r>
      <w:r w:rsidR="00EA360D" w:rsidRPr="00FD116A">
        <w:rPr>
          <w:vertAlign w:val="superscript"/>
        </w:rPr>
        <w:t>(</w:t>
      </w:r>
      <w:r w:rsidR="002514D2">
        <w:rPr>
          <w:vertAlign w:val="superscript"/>
        </w:rPr>
        <w:t>3</w:t>
      </w:r>
      <w:r w:rsidR="00BF7632" w:rsidRPr="00FD116A">
        <w:rPr>
          <w:vertAlign w:val="superscript"/>
        </w:rPr>
        <w:t>)</w:t>
      </w:r>
      <w:r w:rsidR="00BF7632">
        <w:t>.</w:t>
      </w:r>
      <w:r w:rsidR="00A156D9">
        <w:t xml:space="preserve"> So</w:t>
      </w:r>
      <w:r w:rsidR="00A156D9" w:rsidRPr="00A156D9">
        <w:t xml:space="preserve">, a high index of suspicion for this </w:t>
      </w:r>
      <w:r w:rsidR="00A156D9">
        <w:t>disease</w:t>
      </w:r>
      <w:r w:rsidR="00A156D9" w:rsidRPr="00A156D9">
        <w:t xml:space="preserve"> is necessary when a person presents with fever </w:t>
      </w:r>
      <w:r w:rsidR="00A156D9">
        <w:t>with</w:t>
      </w:r>
      <w:r w:rsidR="00A156D9" w:rsidRPr="00A156D9">
        <w:t xml:space="preserve"> a history of recent travel to a</w:t>
      </w:r>
      <w:r w:rsidR="00E85E8C">
        <w:t>n</w:t>
      </w:r>
      <w:r w:rsidR="00156A8D">
        <w:t xml:space="preserve"> </w:t>
      </w:r>
      <w:r w:rsidR="00E85E8C">
        <w:t>endemic</w:t>
      </w:r>
      <w:r w:rsidR="00A156D9">
        <w:t xml:space="preserve"> </w:t>
      </w:r>
      <w:r w:rsidR="00156A8D">
        <w:t xml:space="preserve">area </w:t>
      </w:r>
      <w:r w:rsidR="00A156D9">
        <w:t>and also history of food intake from suspected non-hygienic areas</w:t>
      </w:r>
      <w:r w:rsidR="00A156D9" w:rsidRPr="00A156D9">
        <w:t>.</w:t>
      </w:r>
      <w:r w:rsidR="00A156D9">
        <w:t xml:space="preserve"> </w:t>
      </w:r>
      <w:r w:rsidR="00A156D9" w:rsidRPr="00A156D9">
        <w:t xml:space="preserve">The </w:t>
      </w:r>
      <w:r w:rsidR="00A156D9">
        <w:t>average</w:t>
      </w:r>
      <w:r w:rsidR="00A156D9" w:rsidRPr="00A156D9">
        <w:t xml:space="preserve"> incubation period for S</w:t>
      </w:r>
      <w:r w:rsidR="00E620C8">
        <w:t>almonella</w:t>
      </w:r>
      <w:r w:rsidR="00A156D9" w:rsidRPr="00A156D9">
        <w:t xml:space="preserve"> </w:t>
      </w:r>
      <w:r w:rsidR="00E620C8">
        <w:t>t</w:t>
      </w:r>
      <w:r w:rsidR="00A156D9" w:rsidRPr="00A156D9">
        <w:t>yphi is 10–14 days</w:t>
      </w:r>
      <w:r w:rsidR="00E620C8">
        <w:t>,</w:t>
      </w:r>
      <w:r w:rsidR="00A156D9" w:rsidRPr="00A156D9">
        <w:t xml:space="preserve"> but </w:t>
      </w:r>
      <w:r w:rsidR="009B7CA0">
        <w:t xml:space="preserve">it </w:t>
      </w:r>
      <w:r w:rsidR="00E620C8">
        <w:t xml:space="preserve">can </w:t>
      </w:r>
      <w:r w:rsidR="00A156D9" w:rsidRPr="00A156D9">
        <w:t>range from 5 to 21 days</w:t>
      </w:r>
      <w:r w:rsidR="00E620C8">
        <w:t xml:space="preserve"> </w:t>
      </w:r>
      <w:r w:rsidR="00E620C8" w:rsidRPr="00E620C8">
        <w:rPr>
          <w:vertAlign w:val="superscript"/>
        </w:rPr>
        <w:t>(</w:t>
      </w:r>
      <w:r w:rsidR="002514D2">
        <w:rPr>
          <w:vertAlign w:val="superscript"/>
        </w:rPr>
        <w:t>3</w:t>
      </w:r>
      <w:r w:rsidR="00E620C8" w:rsidRPr="00E620C8">
        <w:rPr>
          <w:vertAlign w:val="superscript"/>
        </w:rPr>
        <w:t>)</w:t>
      </w:r>
      <w:r w:rsidR="00E620C8">
        <w:t>.</w:t>
      </w:r>
      <w:r w:rsidR="0099247A" w:rsidRPr="0099247A">
        <w:t> </w:t>
      </w:r>
      <w:r w:rsidR="009E6EB7">
        <w:t xml:space="preserve">The </w:t>
      </w:r>
      <w:r w:rsidR="00926542">
        <w:t>infectivity depends on the inoculum size and the host</w:t>
      </w:r>
      <w:r w:rsidR="00F15EBB">
        <w:t xml:space="preserve">’s immunity status. </w:t>
      </w:r>
      <w:r w:rsidR="00862D4B">
        <w:t xml:space="preserve">Salmonella </w:t>
      </w:r>
      <w:r w:rsidR="00DA3444">
        <w:t xml:space="preserve">typhi and Salmonella </w:t>
      </w:r>
      <w:proofErr w:type="spellStart"/>
      <w:r w:rsidR="00DA3444">
        <w:t>paratyphi</w:t>
      </w:r>
      <w:proofErr w:type="spellEnd"/>
      <w:r w:rsidR="00DA3444">
        <w:t xml:space="preserve"> infections are often indistinguishable. </w:t>
      </w:r>
      <w:r w:rsidR="009A0AC5">
        <w:t xml:space="preserve">The common medical presentation often </w:t>
      </w:r>
      <w:r w:rsidR="00930C6B">
        <w:t>includes</w:t>
      </w:r>
      <w:r w:rsidR="009A0AC5">
        <w:t xml:space="preserve"> </w:t>
      </w:r>
      <w:r w:rsidR="009A0AC5" w:rsidRPr="009A0AC5">
        <w:t>headache (80%), chills (35–45%), cough (30%), sweating (20–25%), myalgias (20%), malaise and arthralgia</w:t>
      </w:r>
      <w:r w:rsidR="007A0A0F">
        <w:t xml:space="preserve"> </w:t>
      </w:r>
      <w:r w:rsidR="0086719B" w:rsidRPr="0086719B">
        <w:rPr>
          <w:vertAlign w:val="superscript"/>
        </w:rPr>
        <w:t>(</w:t>
      </w:r>
      <w:r w:rsidR="002514D2">
        <w:rPr>
          <w:vertAlign w:val="superscript"/>
        </w:rPr>
        <w:t>3</w:t>
      </w:r>
      <w:r w:rsidR="0086719B" w:rsidRPr="0086719B">
        <w:rPr>
          <w:vertAlign w:val="superscript"/>
        </w:rPr>
        <w:t>)</w:t>
      </w:r>
      <w:r w:rsidR="009A0AC5" w:rsidRPr="009A0AC5">
        <w:t xml:space="preserve">. Gastrointestinal </w:t>
      </w:r>
      <w:r w:rsidR="009A0AC5">
        <w:t>presentations</w:t>
      </w:r>
      <w:r w:rsidR="009A0AC5" w:rsidRPr="009A0AC5">
        <w:t xml:space="preserve"> </w:t>
      </w:r>
      <w:r w:rsidR="00930C6B" w:rsidRPr="009A0AC5">
        <w:t>include</w:t>
      </w:r>
      <w:r w:rsidR="009A0AC5" w:rsidRPr="009A0AC5">
        <w:t xml:space="preserve"> anorexia (55%), abdominal pain (30–40%), nausea (18–24%), vomiting (18%)</w:t>
      </w:r>
      <w:r w:rsidR="00930C6B">
        <w:t>,</w:t>
      </w:r>
      <w:r w:rsidR="009A0AC5" w:rsidRPr="009A0AC5">
        <w:t xml:space="preserve"> </w:t>
      </w:r>
      <w:r w:rsidR="002070F7" w:rsidRPr="009A0AC5">
        <w:t>diarrhoea</w:t>
      </w:r>
      <w:r w:rsidR="009A0AC5" w:rsidRPr="009A0AC5">
        <w:t xml:space="preserve"> (22–28%)</w:t>
      </w:r>
      <w:r w:rsidR="00930C6B">
        <w:t xml:space="preserve"> and c</w:t>
      </w:r>
      <w:r w:rsidR="009A0AC5" w:rsidRPr="009A0AC5">
        <w:t>onstipation (13–16%)</w:t>
      </w:r>
      <w:r w:rsidR="003647D1">
        <w:t xml:space="preserve"> </w:t>
      </w:r>
      <w:r w:rsidR="003647D1" w:rsidRPr="003647D1">
        <w:rPr>
          <w:vertAlign w:val="superscript"/>
        </w:rPr>
        <w:t>(</w:t>
      </w:r>
      <w:r w:rsidR="002514D2">
        <w:rPr>
          <w:vertAlign w:val="superscript"/>
        </w:rPr>
        <w:t>3</w:t>
      </w:r>
      <w:r w:rsidR="003647D1" w:rsidRPr="003647D1">
        <w:rPr>
          <w:vertAlign w:val="superscript"/>
        </w:rPr>
        <w:t>)</w:t>
      </w:r>
      <w:r w:rsidR="009A0AC5" w:rsidRPr="009A0AC5">
        <w:t xml:space="preserve">. Physical findings </w:t>
      </w:r>
      <w:r w:rsidR="00930C6B" w:rsidRPr="009A0AC5">
        <w:t>include</w:t>
      </w:r>
      <w:r w:rsidR="009A0AC5" w:rsidRPr="009A0AC5">
        <w:t xml:space="preserve"> coated tongue, splenomegaly and abdominal tenderness</w:t>
      </w:r>
      <w:r w:rsidR="00930C6B">
        <w:t>.</w:t>
      </w:r>
      <w:r w:rsidR="00E8796B">
        <w:t xml:space="preserve"> </w:t>
      </w:r>
      <w:r w:rsidR="00D43C33">
        <w:t>F</w:t>
      </w:r>
      <w:r w:rsidR="00F77B51">
        <w:t>ever</w:t>
      </w:r>
      <w:r w:rsidR="00D43C33">
        <w:t>,</w:t>
      </w:r>
      <w:r w:rsidR="00F77B51">
        <w:t xml:space="preserve"> </w:t>
      </w:r>
      <w:r w:rsidR="00084032">
        <w:t xml:space="preserve">if untreated, </w:t>
      </w:r>
      <w:r w:rsidR="009D48B6">
        <w:t xml:space="preserve">can </w:t>
      </w:r>
      <w:r w:rsidR="00F77B51" w:rsidRPr="00F77B51">
        <w:t>continue for up to 4 weeks</w:t>
      </w:r>
      <w:r w:rsidR="00084032">
        <w:t>.</w:t>
      </w:r>
      <w:r w:rsidR="00EE725D" w:rsidRPr="00EE725D">
        <w:t xml:space="preserve"> </w:t>
      </w:r>
      <w:r w:rsidR="00EE725D">
        <w:t>Clinically</w:t>
      </w:r>
      <w:r w:rsidR="00037620">
        <w:t>,</w:t>
      </w:r>
      <w:r w:rsidR="00EE725D">
        <w:t xml:space="preserve"> </w:t>
      </w:r>
      <w:r w:rsidR="00BF2CE5">
        <w:t>non</w:t>
      </w:r>
      <w:r w:rsidR="00DF1409">
        <w:t>-</w:t>
      </w:r>
      <w:r w:rsidR="00BF2CE5">
        <w:t>typhoidal s</w:t>
      </w:r>
      <w:r w:rsidR="00EE725D">
        <w:t xml:space="preserve">almonella is found to cause </w:t>
      </w:r>
      <w:r w:rsidR="000C6FCC">
        <w:t xml:space="preserve">complications like </w:t>
      </w:r>
      <w:r w:rsidR="00EE725D" w:rsidRPr="0099247A">
        <w:t xml:space="preserve">gastroenteritis, </w:t>
      </w:r>
      <w:r w:rsidR="00EE725D">
        <w:t>sepsis</w:t>
      </w:r>
      <w:r w:rsidR="00EE725D" w:rsidRPr="0099247A">
        <w:t>, focal infections such as septic arthritis, osteomyelitis, cholecystitis, endocarditis, meningitis and</w:t>
      </w:r>
      <w:r w:rsidR="00EE725D">
        <w:t xml:space="preserve"> also </w:t>
      </w:r>
      <w:r w:rsidR="00EE725D" w:rsidRPr="0099247A">
        <w:t>carrier state</w:t>
      </w:r>
      <w:r w:rsidR="00EE725D">
        <w:t xml:space="preserve"> </w:t>
      </w:r>
      <w:r w:rsidR="00EE725D" w:rsidRPr="0099247A">
        <w:rPr>
          <w:vertAlign w:val="superscript"/>
        </w:rPr>
        <w:t>(</w:t>
      </w:r>
      <w:r w:rsidR="002514D2">
        <w:rPr>
          <w:vertAlign w:val="superscript"/>
        </w:rPr>
        <w:t>1,</w:t>
      </w:r>
      <w:r w:rsidR="00627CFB">
        <w:rPr>
          <w:vertAlign w:val="superscript"/>
        </w:rPr>
        <w:t xml:space="preserve"> 2, 4</w:t>
      </w:r>
      <w:r w:rsidR="00EE725D" w:rsidRPr="0099247A">
        <w:rPr>
          <w:vertAlign w:val="superscript"/>
        </w:rPr>
        <w:t>)</w:t>
      </w:r>
      <w:r w:rsidR="00EE725D">
        <w:t>.</w:t>
      </w:r>
    </w:p>
    <w:p w14:paraId="42BC09B5" w14:textId="377D2CC6" w:rsidR="009829D7" w:rsidRPr="009829D7" w:rsidRDefault="00464E5D">
      <w:r w:rsidRPr="00464E5D">
        <w:t xml:space="preserve">The WHO </w:t>
      </w:r>
      <w:r w:rsidR="00EA3777">
        <w:t xml:space="preserve">(World Health Organisation) classifies </w:t>
      </w:r>
      <w:r w:rsidRPr="00464E5D">
        <w:t xml:space="preserve">epithelial lung cancers into </w:t>
      </w:r>
      <w:r w:rsidR="00EA3777">
        <w:t>2</w:t>
      </w:r>
      <w:r w:rsidRPr="00464E5D">
        <w:t xml:space="preserve"> major</w:t>
      </w:r>
      <w:r w:rsidR="00B5048D">
        <w:t xml:space="preserve"> </w:t>
      </w:r>
      <w:r w:rsidRPr="00464E5D">
        <w:t>types</w:t>
      </w:r>
      <w:r w:rsidR="00EA3777">
        <w:t xml:space="preserve"> namely</w:t>
      </w:r>
      <w:r w:rsidRPr="00464E5D">
        <w:t xml:space="preserve"> small-cell lung cancer (SCLC)</w:t>
      </w:r>
      <w:r>
        <w:t xml:space="preserve"> and </w:t>
      </w:r>
      <w:r w:rsidRPr="00464E5D">
        <w:t>non</w:t>
      </w:r>
      <w:r>
        <w:t>-</w:t>
      </w:r>
      <w:r w:rsidRPr="00464E5D">
        <w:t>small-cell carcinomas (NSCLCs)</w:t>
      </w:r>
      <w:r w:rsidR="00E8018B">
        <w:t xml:space="preserve"> </w:t>
      </w:r>
      <w:r w:rsidR="00E8018B" w:rsidRPr="005A306F">
        <w:rPr>
          <w:vertAlign w:val="superscript"/>
        </w:rPr>
        <w:t>(</w:t>
      </w:r>
      <w:r w:rsidR="002514D2">
        <w:rPr>
          <w:vertAlign w:val="superscript"/>
        </w:rPr>
        <w:t>3</w:t>
      </w:r>
      <w:r w:rsidR="00E8018B" w:rsidRPr="005A306F">
        <w:rPr>
          <w:vertAlign w:val="superscript"/>
        </w:rPr>
        <w:t>,</w:t>
      </w:r>
      <w:r w:rsidR="00627CFB">
        <w:rPr>
          <w:vertAlign w:val="superscript"/>
        </w:rPr>
        <w:t xml:space="preserve"> 4, 5</w:t>
      </w:r>
      <w:r w:rsidR="005A306F" w:rsidRPr="005A306F">
        <w:rPr>
          <w:vertAlign w:val="superscript"/>
        </w:rPr>
        <w:t>)</w:t>
      </w:r>
      <w:r>
        <w:t>. The latter include</w:t>
      </w:r>
      <w:r w:rsidR="00F23FBB">
        <w:t>s - A</w:t>
      </w:r>
      <w:r w:rsidR="00F23FBB" w:rsidRPr="00464E5D">
        <w:t xml:space="preserve">denocarcinoma, </w:t>
      </w:r>
      <w:r w:rsidR="00F23FBB">
        <w:t>S</w:t>
      </w:r>
      <w:r w:rsidR="00F23FBB" w:rsidRPr="00464E5D">
        <w:t xml:space="preserve">quamous cell carcinoma and </w:t>
      </w:r>
      <w:r w:rsidR="00F23FBB">
        <w:t>L</w:t>
      </w:r>
      <w:r w:rsidR="00F23FBB" w:rsidRPr="00464E5D">
        <w:t>arge-cell carcinoma</w:t>
      </w:r>
      <w:r w:rsidR="00E8018B">
        <w:t>.</w:t>
      </w:r>
    </w:p>
    <w:p w14:paraId="1561E009" w14:textId="1FA0E971" w:rsidR="0045645F" w:rsidRPr="009829D7" w:rsidRDefault="0045645F">
      <w:r w:rsidRPr="00D66C65">
        <w:rPr>
          <w:b/>
          <w:bCs/>
        </w:rPr>
        <w:t>Case</w:t>
      </w:r>
      <w:r w:rsidRPr="009829D7">
        <w:t xml:space="preserve"> </w:t>
      </w:r>
      <w:r w:rsidRPr="00D66C65">
        <w:rPr>
          <w:b/>
          <w:bCs/>
        </w:rPr>
        <w:t>Presentation</w:t>
      </w:r>
    </w:p>
    <w:p w14:paraId="26B69B37" w14:textId="27C7AC19" w:rsidR="00CD077E" w:rsidRDefault="00F148A8">
      <w:r w:rsidRPr="009829D7">
        <w:lastRenderedPageBreak/>
        <w:t>We report a case of</w:t>
      </w:r>
      <w:r w:rsidR="00D939F1" w:rsidRPr="009829D7">
        <w:t xml:space="preserve"> </w:t>
      </w:r>
      <w:r w:rsidR="00BD7E6F" w:rsidRPr="009829D7">
        <w:t>51-year-old</w:t>
      </w:r>
      <w:r w:rsidR="00D939F1" w:rsidRPr="009829D7">
        <w:t xml:space="preserve"> female</w:t>
      </w:r>
      <w:r w:rsidR="00E760A4" w:rsidRPr="009829D7">
        <w:t>, with no known comorbidities</w:t>
      </w:r>
      <w:r w:rsidR="0052657B" w:rsidRPr="009829D7">
        <w:t xml:space="preserve">, who was admitted with complaints of fever </w:t>
      </w:r>
      <w:r w:rsidR="002327FC">
        <w:t>for</w:t>
      </w:r>
      <w:r w:rsidR="008126DC" w:rsidRPr="009829D7">
        <w:t xml:space="preserve"> 3 weeks. Fever was</w:t>
      </w:r>
      <w:r w:rsidR="00D94874" w:rsidRPr="009829D7">
        <w:t xml:space="preserve"> intermittent, low grade and occasionally </w:t>
      </w:r>
      <w:r w:rsidR="008126DC" w:rsidRPr="009829D7">
        <w:t>associated with chills.</w:t>
      </w:r>
      <w:r w:rsidR="00B740BB" w:rsidRPr="009829D7">
        <w:t xml:space="preserve"> She had evening rise of temperature. </w:t>
      </w:r>
      <w:r w:rsidR="00483F07">
        <w:t>There was n</w:t>
      </w:r>
      <w:r w:rsidR="00CF2F50" w:rsidRPr="009829D7">
        <w:t>o history of cough, breathlessness</w:t>
      </w:r>
      <w:r w:rsidR="00483F07">
        <w:t>,</w:t>
      </w:r>
      <w:r w:rsidR="004D259F">
        <w:t xml:space="preserve"> abdominal discomfort</w:t>
      </w:r>
      <w:r w:rsidR="006D0EA0">
        <w:t xml:space="preserve">, </w:t>
      </w:r>
      <w:r w:rsidR="00CD077E" w:rsidRPr="009829D7">
        <w:t>weight loss.</w:t>
      </w:r>
      <w:r w:rsidR="00C355B8">
        <w:t xml:space="preserve"> </w:t>
      </w:r>
      <w:r w:rsidR="006D0EA0">
        <w:t xml:space="preserve">Her bowel and bladder habits were normal. </w:t>
      </w:r>
      <w:r w:rsidR="009F0F97" w:rsidRPr="009829D7">
        <w:t xml:space="preserve">She was admitted in a local hospital and received multiple </w:t>
      </w:r>
      <w:r w:rsidR="004D259F" w:rsidRPr="009829D7">
        <w:t>antibiotics.</w:t>
      </w:r>
      <w:r w:rsidR="004D259F">
        <w:t xml:space="preserve"> She</w:t>
      </w:r>
      <w:r w:rsidR="00C355B8">
        <w:t xml:space="preserve"> came to our hospital for further evaluation and management.</w:t>
      </w:r>
    </w:p>
    <w:p w14:paraId="3D5DBCCE" w14:textId="613E3678" w:rsidR="00453278" w:rsidRDefault="00C355B8">
      <w:r w:rsidRPr="00F70013">
        <w:t xml:space="preserve">At the time of admission, </w:t>
      </w:r>
      <w:r>
        <w:t>s</w:t>
      </w:r>
      <w:r w:rsidRPr="00F70013">
        <w:t>he was febrile</w:t>
      </w:r>
      <w:r>
        <w:t xml:space="preserve"> (temperature of </w:t>
      </w:r>
      <w:r w:rsidR="002327FC">
        <w:t>100.8-degree</w:t>
      </w:r>
      <w:r>
        <w:t xml:space="preserve"> Fahrenheit), had pulse rate of </w:t>
      </w:r>
      <w:r w:rsidR="00044818">
        <w:t>84</w:t>
      </w:r>
      <w:r>
        <w:t xml:space="preserve"> beats per minute, blood pressure of </w:t>
      </w:r>
      <w:r w:rsidR="00044818">
        <w:t>110</w:t>
      </w:r>
      <w:r>
        <w:t>/70 mmHg</w:t>
      </w:r>
      <w:r w:rsidRPr="00F70013">
        <w:t xml:space="preserve"> and </w:t>
      </w:r>
      <w:r>
        <w:t xml:space="preserve">respiratory rate of </w:t>
      </w:r>
      <w:r w:rsidR="00185F58">
        <w:t>20</w:t>
      </w:r>
      <w:r>
        <w:t xml:space="preserve"> breaths per minute with oxygen saturation of 97% on room air</w:t>
      </w:r>
      <w:r w:rsidRPr="00F70013">
        <w:t>. Systemic examination did not reveal any obvious abnormality.</w:t>
      </w:r>
      <w:r w:rsidR="00453278">
        <w:t xml:space="preserve"> Considering her symptoms </w:t>
      </w:r>
      <w:r w:rsidR="007145A4">
        <w:t xml:space="preserve">with no obvious clinical finding to suggest a diagnosis, we went ahead with </w:t>
      </w:r>
      <w:r w:rsidR="0061199D">
        <w:t>further Investigation</w:t>
      </w:r>
      <w:r w:rsidR="0091402F">
        <w:t>s</w:t>
      </w:r>
      <w:r w:rsidR="005476BA">
        <w:t>.</w:t>
      </w:r>
    </w:p>
    <w:p w14:paraId="4A0A7B86" w14:textId="6EC5B333" w:rsidR="005476BA" w:rsidRPr="009829D7" w:rsidRDefault="006B5316">
      <w:r>
        <w:t>The initial laboratory investigation</w:t>
      </w:r>
      <w:r w:rsidR="003F697B">
        <w:t xml:space="preserve">s </w:t>
      </w:r>
      <w:r w:rsidR="00663104">
        <w:t>revealed:</w:t>
      </w:r>
      <w:r w:rsidR="003F697B">
        <w:t xml:space="preserve"> </w:t>
      </w:r>
      <w:r w:rsidR="00646A78" w:rsidRPr="00F70013">
        <w:t>W</w:t>
      </w:r>
      <w:r w:rsidR="00646A78">
        <w:t xml:space="preserve">hite </w:t>
      </w:r>
      <w:r w:rsidR="00646A78" w:rsidRPr="00F70013">
        <w:t>B</w:t>
      </w:r>
      <w:r w:rsidR="00646A78">
        <w:t xml:space="preserve">lood </w:t>
      </w:r>
      <w:r w:rsidR="00646A78" w:rsidRPr="00F70013">
        <w:t>C</w:t>
      </w:r>
      <w:r w:rsidR="00646A78">
        <w:t xml:space="preserve">ell count of </w:t>
      </w:r>
      <w:r w:rsidR="004C6FB2">
        <w:t>4750</w:t>
      </w:r>
      <w:r w:rsidR="00646A78" w:rsidRPr="00F70013">
        <w:t xml:space="preserve">/µL, </w:t>
      </w:r>
      <w:r w:rsidR="00646A78">
        <w:t xml:space="preserve">with </w:t>
      </w:r>
      <w:r w:rsidR="00646A78" w:rsidRPr="00F70013">
        <w:t xml:space="preserve">Neutrophils </w:t>
      </w:r>
      <w:r w:rsidR="00646A78">
        <w:t>of</w:t>
      </w:r>
      <w:r w:rsidR="00646A78" w:rsidRPr="00F70013">
        <w:t xml:space="preserve"> </w:t>
      </w:r>
      <w:r w:rsidR="004C6FB2">
        <w:t>59.5</w:t>
      </w:r>
      <w:r w:rsidR="00646A78" w:rsidRPr="00F70013">
        <w:t>%</w:t>
      </w:r>
      <w:r w:rsidR="00646A78">
        <w:t xml:space="preserve"> and L</w:t>
      </w:r>
      <w:r w:rsidR="00646A78" w:rsidRPr="00F70013">
        <w:t>ymphocytes</w:t>
      </w:r>
      <w:r w:rsidR="00646A78">
        <w:t xml:space="preserve"> of</w:t>
      </w:r>
      <w:r w:rsidR="00646A78" w:rsidRPr="00F70013">
        <w:t xml:space="preserve"> </w:t>
      </w:r>
      <w:r w:rsidR="00957E5C">
        <w:t>32.9</w:t>
      </w:r>
      <w:r w:rsidR="00646A78" w:rsidRPr="00F70013">
        <w:t xml:space="preserve">%; </w:t>
      </w:r>
      <w:r w:rsidR="00646A78">
        <w:t>e</w:t>
      </w:r>
      <w:r w:rsidR="00646A78" w:rsidRPr="00F70013">
        <w:t xml:space="preserve">levated inflammatory markers: </w:t>
      </w:r>
      <w:r w:rsidR="00646A78">
        <w:t>C-Reactive Protein (</w:t>
      </w:r>
      <w:r w:rsidR="00646A78" w:rsidRPr="00F70013">
        <w:t>CRP</w:t>
      </w:r>
      <w:r w:rsidR="00646A78">
        <w:t>) of</w:t>
      </w:r>
      <w:r w:rsidR="00646A78" w:rsidRPr="00F70013">
        <w:t xml:space="preserve"> </w:t>
      </w:r>
      <w:r w:rsidR="00957E5C">
        <w:t>11</w:t>
      </w:r>
      <w:r w:rsidR="00646A78" w:rsidRPr="00F70013">
        <w:t>6 mg/dL</w:t>
      </w:r>
      <w:r w:rsidR="00957E5C">
        <w:t xml:space="preserve"> and Erythrocyte Sedimentation Rate (ESR) of </w:t>
      </w:r>
      <w:r w:rsidR="008F2843">
        <w:t>64 mm/hour</w:t>
      </w:r>
      <w:r w:rsidR="00646A78" w:rsidRPr="00F70013">
        <w:t xml:space="preserve">. </w:t>
      </w:r>
      <w:r w:rsidR="00646A78">
        <w:t>Haemoglobin of</w:t>
      </w:r>
      <w:r w:rsidR="00646A78" w:rsidRPr="00F70013">
        <w:t xml:space="preserve"> 1</w:t>
      </w:r>
      <w:r w:rsidR="008F2843">
        <w:t>1.8</w:t>
      </w:r>
      <w:r w:rsidR="00646A78" w:rsidRPr="00F70013">
        <w:t xml:space="preserve"> g/dL, </w:t>
      </w:r>
      <w:r w:rsidR="00646A78">
        <w:t>Haematocrit of</w:t>
      </w:r>
      <w:r w:rsidR="00646A78" w:rsidRPr="00F70013">
        <w:t xml:space="preserve"> 35</w:t>
      </w:r>
      <w:r w:rsidR="007A4109">
        <w:t>.1</w:t>
      </w:r>
      <w:r w:rsidR="00646A78" w:rsidRPr="00F70013">
        <w:t>%, M</w:t>
      </w:r>
      <w:r w:rsidR="00646A78">
        <w:t>ean corpuscular volume (MCV) of</w:t>
      </w:r>
      <w:r w:rsidR="00646A78" w:rsidRPr="00F70013">
        <w:t xml:space="preserve"> 8</w:t>
      </w:r>
      <w:r w:rsidR="00F2038B">
        <w:t>6.8</w:t>
      </w:r>
      <w:r w:rsidR="00646A78" w:rsidRPr="00F70013">
        <w:t xml:space="preserve"> </w:t>
      </w:r>
      <w:proofErr w:type="spellStart"/>
      <w:r w:rsidR="00646A78" w:rsidRPr="00F70013">
        <w:t>fL</w:t>
      </w:r>
      <w:proofErr w:type="spellEnd"/>
      <w:r w:rsidR="00646A78" w:rsidRPr="00F70013">
        <w:t>, Platelet</w:t>
      </w:r>
      <w:r w:rsidR="00646A78">
        <w:t xml:space="preserve"> count of </w:t>
      </w:r>
      <w:r w:rsidR="00646A78" w:rsidRPr="00F70013">
        <w:t>1</w:t>
      </w:r>
      <w:r w:rsidR="00646A78">
        <w:t>,</w:t>
      </w:r>
      <w:r w:rsidR="000F3B2E">
        <w:t>55</w:t>
      </w:r>
      <w:r w:rsidR="00646A78">
        <w:t>,</w:t>
      </w:r>
      <w:r w:rsidR="00646A78" w:rsidRPr="00F70013">
        <w:t>000/µL</w:t>
      </w:r>
      <w:r w:rsidR="00646A78">
        <w:t xml:space="preserve">. </w:t>
      </w:r>
      <w:r w:rsidR="00646A78" w:rsidRPr="00F70013">
        <w:t>Serum electrolytes revealed</w:t>
      </w:r>
      <w:r w:rsidR="00646A78">
        <w:t>,</w:t>
      </w:r>
      <w:r w:rsidR="00646A78" w:rsidRPr="00F70013">
        <w:t xml:space="preserve"> Serum sodium </w:t>
      </w:r>
      <w:r w:rsidR="00646A78">
        <w:t>of</w:t>
      </w:r>
      <w:r w:rsidR="00646A78" w:rsidRPr="00F70013">
        <w:t xml:space="preserve"> 13</w:t>
      </w:r>
      <w:r w:rsidR="000F3B2E">
        <w:t>5</w:t>
      </w:r>
      <w:r w:rsidR="004C55B0">
        <w:t>.9</w:t>
      </w:r>
      <w:r w:rsidR="00646A78" w:rsidRPr="00F70013">
        <w:t xml:space="preserve"> mmol/L, Serum potassium </w:t>
      </w:r>
      <w:r w:rsidR="00646A78">
        <w:t>of</w:t>
      </w:r>
      <w:r w:rsidR="00646A78" w:rsidRPr="00F70013">
        <w:t xml:space="preserve"> 3.</w:t>
      </w:r>
      <w:r w:rsidR="000F3B2E">
        <w:t xml:space="preserve">7 </w:t>
      </w:r>
      <w:r w:rsidR="00646A78" w:rsidRPr="00F70013">
        <w:t>mmol/L.</w:t>
      </w:r>
      <w:r w:rsidR="00F32CD1">
        <w:t xml:space="preserve"> Her serum creatinine </w:t>
      </w:r>
      <w:r w:rsidR="0060128F">
        <w:t>was 0.72 mg/dL.</w:t>
      </w:r>
      <w:r w:rsidR="00646A78">
        <w:t xml:space="preserve"> </w:t>
      </w:r>
      <w:r w:rsidR="00975DEF">
        <w:t>Random</w:t>
      </w:r>
      <w:r w:rsidR="00646A78">
        <w:t xml:space="preserve"> blood sugar was 1</w:t>
      </w:r>
      <w:r w:rsidR="00975DEF">
        <w:t>30</w:t>
      </w:r>
      <w:r w:rsidR="00646A78">
        <w:t xml:space="preserve"> mg/dL</w:t>
      </w:r>
      <w:r w:rsidR="00890FF1">
        <w:t>,</w:t>
      </w:r>
      <w:r w:rsidR="00646A78">
        <w:t xml:space="preserve"> HbA1C of </w:t>
      </w:r>
      <w:r w:rsidR="000F3B2E">
        <w:t>5.6</w:t>
      </w:r>
      <w:r w:rsidR="00646A78">
        <w:t>% and coagulation studies were within normal limits.</w:t>
      </w:r>
      <w:r w:rsidR="00E22811">
        <w:t xml:space="preserve"> Total bilirubin was </w:t>
      </w:r>
      <w:r w:rsidR="00BD21E9">
        <w:t>0.25</w:t>
      </w:r>
      <w:r w:rsidR="00C33E65">
        <w:t xml:space="preserve"> mg/dL and Direct bilirubin 0.11 mg/dL, AST (SGOT) </w:t>
      </w:r>
      <w:r w:rsidR="00A005FC">
        <w:t>75</w:t>
      </w:r>
      <w:r w:rsidR="00224450">
        <w:t>.6</w:t>
      </w:r>
      <w:r w:rsidR="00A005FC">
        <w:t xml:space="preserve"> IU/L, ALT (SGPT) 47</w:t>
      </w:r>
      <w:r w:rsidR="00224450">
        <w:t>.8 IU/L and ALP 1</w:t>
      </w:r>
      <w:r w:rsidR="005E05B7">
        <w:t>33 IU/L</w:t>
      </w:r>
      <w:r w:rsidR="00DA766C">
        <w:t>, t</w:t>
      </w:r>
      <w:r w:rsidR="005E05B7">
        <w:t>otal serum protein 7.6</w:t>
      </w:r>
      <w:r w:rsidR="007A0898">
        <w:t xml:space="preserve"> g/dL, serum albumin 3.9 g/dL and serum globulin 3.74 g/dL.</w:t>
      </w:r>
      <w:r w:rsidR="000241F7">
        <w:t xml:space="preserve"> Her serum </w:t>
      </w:r>
      <w:r w:rsidR="00D34A77">
        <w:t xml:space="preserve">iron levels were 21.9 </w:t>
      </w:r>
      <w:r w:rsidR="0060128F">
        <w:t>µ</w:t>
      </w:r>
      <w:r w:rsidR="00AB1009">
        <w:t>g/dL, serum ferritin of 410</w:t>
      </w:r>
      <w:r w:rsidR="00485BD5">
        <w:t>.8</w:t>
      </w:r>
      <w:r w:rsidR="00AB1009">
        <w:t xml:space="preserve"> ng/mL</w:t>
      </w:r>
      <w:r w:rsidR="00485BD5">
        <w:t>, TIBC of 226.</w:t>
      </w:r>
      <w:r w:rsidR="00AE472A">
        <w:t xml:space="preserve">1 </w:t>
      </w:r>
      <w:r w:rsidR="008F2242">
        <w:t>µ</w:t>
      </w:r>
      <w:r w:rsidR="00AE472A">
        <w:t xml:space="preserve">g/dL and TSAT of </w:t>
      </w:r>
      <w:r w:rsidR="00C5331D">
        <w:t xml:space="preserve">9.6 </w:t>
      </w:r>
      <w:r w:rsidR="00A13987">
        <w:t>%</w:t>
      </w:r>
      <w:r w:rsidR="00C5331D">
        <w:t>.</w:t>
      </w:r>
      <w:r w:rsidR="00646A78">
        <w:t xml:space="preserve"> </w:t>
      </w:r>
      <w:r w:rsidR="00646A78" w:rsidRPr="00F70013">
        <w:t xml:space="preserve">Urine routine examination revealed </w:t>
      </w:r>
      <w:r w:rsidR="004E7B2C">
        <w:t>4-6</w:t>
      </w:r>
      <w:r w:rsidR="00646A78" w:rsidRPr="00F70013">
        <w:t xml:space="preserve"> pus cells / h</w:t>
      </w:r>
      <w:r w:rsidR="00646A78">
        <w:t xml:space="preserve">igh </w:t>
      </w:r>
      <w:r w:rsidR="00646A78" w:rsidRPr="00F70013">
        <w:t>p</w:t>
      </w:r>
      <w:r w:rsidR="00646A78">
        <w:t xml:space="preserve">ower </w:t>
      </w:r>
      <w:r w:rsidR="00646A78" w:rsidRPr="00F70013">
        <w:t>f</w:t>
      </w:r>
      <w:r w:rsidR="00646A78">
        <w:t>ield</w:t>
      </w:r>
      <w:r w:rsidR="00646A78" w:rsidRPr="00F70013">
        <w:t xml:space="preserve"> and </w:t>
      </w:r>
      <w:r w:rsidR="004E7B2C">
        <w:t>5-8</w:t>
      </w:r>
      <w:r w:rsidR="00646A78" w:rsidRPr="00F70013">
        <w:t xml:space="preserve"> RBCs / h</w:t>
      </w:r>
      <w:r w:rsidR="00646A78">
        <w:t xml:space="preserve">igh </w:t>
      </w:r>
      <w:r w:rsidR="00646A78" w:rsidRPr="00F70013">
        <w:t>p</w:t>
      </w:r>
      <w:r w:rsidR="00646A78">
        <w:t xml:space="preserve">ower </w:t>
      </w:r>
      <w:r w:rsidR="00646A78" w:rsidRPr="00F70013">
        <w:t>f</w:t>
      </w:r>
      <w:r w:rsidR="00646A78">
        <w:t>ield</w:t>
      </w:r>
      <w:r w:rsidR="00646A78" w:rsidRPr="00F70013">
        <w:t>.</w:t>
      </w:r>
    </w:p>
    <w:p w14:paraId="5D1FD270" w14:textId="27F96C25" w:rsidR="00F148A8" w:rsidRPr="009829D7" w:rsidRDefault="00CD077E">
      <w:r w:rsidRPr="009829D7">
        <w:t xml:space="preserve"> </w:t>
      </w:r>
      <w:r w:rsidR="00681FD2" w:rsidRPr="009829D7">
        <w:t xml:space="preserve"> </w:t>
      </w:r>
    </w:p>
    <w:p w14:paraId="49C7DFB5" w14:textId="2E14C7A1" w:rsidR="00635B5F" w:rsidRDefault="0091402F">
      <w:r>
        <w:t xml:space="preserve">Blood </w:t>
      </w:r>
      <w:r w:rsidR="00825412">
        <w:t>cultures were sent and she was empirically started on iv antibiotics</w:t>
      </w:r>
      <w:r w:rsidR="0039746A">
        <w:t xml:space="preserve"> </w:t>
      </w:r>
      <w:r w:rsidR="0001615E">
        <w:t>(Ceftriaxone)</w:t>
      </w:r>
      <w:r w:rsidR="00825412">
        <w:t xml:space="preserve"> and other </w:t>
      </w:r>
      <w:r w:rsidR="008309DF">
        <w:t xml:space="preserve">supportive measures. Her routine Chest X-ray revealed </w:t>
      </w:r>
      <w:r w:rsidR="00F64A0C">
        <w:t>a homogenous opacity involving the right mid and lower zones</w:t>
      </w:r>
      <w:r w:rsidR="000B06B5">
        <w:t xml:space="preserve"> suggestive of a mass</w:t>
      </w:r>
      <w:r w:rsidR="00661170">
        <w:t xml:space="preserve"> (Figure 1)</w:t>
      </w:r>
      <w:r w:rsidR="000B06B5">
        <w:t>. We went ahead with a Contrast Enhanced Computerised</w:t>
      </w:r>
      <w:r w:rsidR="004432A5">
        <w:t xml:space="preserve"> Tomography (CECT) of Chest and Abdomen</w:t>
      </w:r>
      <w:r w:rsidR="00F038DD">
        <w:t xml:space="preserve"> which revealed </w:t>
      </w:r>
      <w:r w:rsidR="00F066B6">
        <w:t xml:space="preserve">large </w:t>
      </w:r>
      <w:r w:rsidR="00BB77FC">
        <w:t>hypodense lesion involving the anterior and lateral segments of right lobe away from the mediastinum</w:t>
      </w:r>
      <w:r w:rsidR="005B57FB">
        <w:t xml:space="preserve"> (Figure 2)</w:t>
      </w:r>
      <w:r w:rsidR="00C878DF">
        <w:t>. The lesion was found to have areas of calcification within. Post contrast</w:t>
      </w:r>
      <w:r w:rsidR="0044367E">
        <w:t xml:space="preserve"> images showed heterogenous enhancement</w:t>
      </w:r>
      <w:r w:rsidR="00E837A8">
        <w:t xml:space="preserve">. CECT findings were suspicious of malignant </w:t>
      </w:r>
      <w:proofErr w:type="spellStart"/>
      <w:r w:rsidR="00E837A8">
        <w:t>etiology</w:t>
      </w:r>
      <w:proofErr w:type="spellEnd"/>
      <w:r w:rsidR="00E837A8">
        <w:t xml:space="preserve">. </w:t>
      </w:r>
    </w:p>
    <w:p w14:paraId="387E1F50" w14:textId="660DFEA9" w:rsidR="005B57FB" w:rsidRDefault="005B57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2080"/>
      </w:tblGrid>
      <w:tr w:rsidR="005B57FB" w14:paraId="7631A4F2" w14:textId="77777777" w:rsidTr="008750AB">
        <w:trPr>
          <w:gridAfter w:val="1"/>
          <w:wAfter w:w="2080" w:type="dxa"/>
          <w:trHeight w:val="1231"/>
        </w:trPr>
        <w:tc>
          <w:tcPr>
            <w:tcW w:w="2782" w:type="dxa"/>
          </w:tcPr>
          <w:p w14:paraId="3B66EA27" w14:textId="5D10256D" w:rsidR="005B57FB" w:rsidRDefault="005B57FB" w:rsidP="00323254">
            <w:pPr>
              <w:tabs>
                <w:tab w:val="center" w:pos="4236"/>
              </w:tabs>
              <w:jc w:val="center"/>
            </w:pPr>
            <w:r w:rsidRPr="005B57FB">
              <w:rPr>
                <w:noProof/>
              </w:rPr>
              <w:drawing>
                <wp:inline distT="0" distB="0" distL="0" distR="0" wp14:anchorId="1E8E43A5" wp14:editId="6E3B2541">
                  <wp:extent cx="1462595" cy="1366520"/>
                  <wp:effectExtent l="0" t="0" r="4445" b="508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0B1976-6E3C-EEB6-D5A2-5A1013084A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430B1976-6E3C-EEB6-D5A2-5A1013084A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500" cy="138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7FB" w14:paraId="16F53880" w14:textId="77777777" w:rsidTr="008750AB">
        <w:trPr>
          <w:gridAfter w:val="1"/>
          <w:wAfter w:w="2080" w:type="dxa"/>
          <w:trHeight w:val="1231"/>
        </w:trPr>
        <w:tc>
          <w:tcPr>
            <w:tcW w:w="2782" w:type="dxa"/>
          </w:tcPr>
          <w:p w14:paraId="6991BC64" w14:textId="1A018147" w:rsidR="005B57FB" w:rsidRPr="005B57FB" w:rsidRDefault="005B57FB">
            <w:pPr>
              <w:rPr>
                <w:sz w:val="16"/>
                <w:szCs w:val="16"/>
              </w:rPr>
            </w:pPr>
            <w:r w:rsidRPr="005B57FB">
              <w:rPr>
                <w:b/>
                <w:bCs/>
                <w:sz w:val="16"/>
                <w:szCs w:val="16"/>
              </w:rPr>
              <w:lastRenderedPageBreak/>
              <w:t>Figure 1:</w:t>
            </w:r>
            <w:r w:rsidRPr="005B57FB">
              <w:rPr>
                <w:sz w:val="16"/>
                <w:szCs w:val="16"/>
              </w:rPr>
              <w:t xml:space="preserve"> Depicts Chest </w:t>
            </w:r>
            <w:r>
              <w:rPr>
                <w:sz w:val="16"/>
                <w:szCs w:val="16"/>
              </w:rPr>
              <w:t>X - ray</w:t>
            </w:r>
            <w:r w:rsidRPr="005B57FB">
              <w:rPr>
                <w:sz w:val="16"/>
                <w:szCs w:val="16"/>
              </w:rPr>
              <w:t xml:space="preserve"> showing homogenous opacity involving the right mid and lower zones suggestive of a mass</w:t>
            </w:r>
            <w:r>
              <w:rPr>
                <w:sz w:val="16"/>
                <w:szCs w:val="16"/>
              </w:rPr>
              <w:t xml:space="preserve"> lesion.</w:t>
            </w:r>
          </w:p>
        </w:tc>
      </w:tr>
      <w:tr w:rsidR="00323254" w14:paraId="295720F3" w14:textId="77777777" w:rsidTr="008750AB">
        <w:trPr>
          <w:trHeight w:val="2203"/>
        </w:trPr>
        <w:tc>
          <w:tcPr>
            <w:tcW w:w="4862" w:type="dxa"/>
            <w:gridSpan w:val="2"/>
          </w:tcPr>
          <w:p w14:paraId="245317FB" w14:textId="77777777" w:rsidR="00BD1DD9" w:rsidRDefault="00BD1DD9" w:rsidP="00323254">
            <w:pPr>
              <w:jc w:val="center"/>
            </w:pPr>
          </w:p>
          <w:p w14:paraId="13BF34BE" w14:textId="22CBAD29" w:rsidR="00323254" w:rsidRDefault="00323254" w:rsidP="00323254">
            <w:pPr>
              <w:jc w:val="center"/>
            </w:pPr>
            <w:r w:rsidRPr="00323254">
              <w:rPr>
                <w:noProof/>
              </w:rPr>
              <w:drawing>
                <wp:inline distT="0" distB="0" distL="0" distR="0" wp14:anchorId="5F1B2D00" wp14:editId="235E61EE">
                  <wp:extent cx="2387600" cy="1502765"/>
                  <wp:effectExtent l="0" t="0" r="0" b="2540"/>
                  <wp:docPr id="104588880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D1F5A1-1B18-4629-3BC6-5F07FEF2F5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CBD1F5A1-1B18-4629-3BC6-5F07FEF2F5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224" cy="1513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254" w14:paraId="6F3ECC5F" w14:textId="77777777" w:rsidTr="008750AB">
        <w:trPr>
          <w:trHeight w:val="302"/>
        </w:trPr>
        <w:tc>
          <w:tcPr>
            <w:tcW w:w="4862" w:type="dxa"/>
            <w:gridSpan w:val="2"/>
          </w:tcPr>
          <w:p w14:paraId="0E97C3CA" w14:textId="26069F5D" w:rsidR="00323254" w:rsidRPr="00323254" w:rsidRDefault="00323254">
            <w:pPr>
              <w:rPr>
                <w:sz w:val="16"/>
                <w:szCs w:val="16"/>
              </w:rPr>
            </w:pPr>
            <w:r w:rsidRPr="00323254">
              <w:rPr>
                <w:b/>
                <w:bCs/>
                <w:sz w:val="16"/>
                <w:szCs w:val="16"/>
              </w:rPr>
              <w:t>Figure 2:</w:t>
            </w:r>
            <w:r>
              <w:rPr>
                <w:sz w:val="16"/>
                <w:szCs w:val="16"/>
              </w:rPr>
              <w:t xml:space="preserve"> Depicts </w:t>
            </w:r>
            <w:r w:rsidRPr="00323254">
              <w:rPr>
                <w:sz w:val="16"/>
                <w:szCs w:val="16"/>
              </w:rPr>
              <w:t>Contrast Enhanced Computerised Tomography (CECT) of Chest and Abdomen which revealed large hypodense lesion involving the anterior and lateral segments of right lobe away from the mediastinum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6041EB6A" w14:textId="518A0F69" w:rsidR="005B57FB" w:rsidRDefault="005B57FB"/>
    <w:p w14:paraId="405785A5" w14:textId="48E66273" w:rsidR="00992069" w:rsidRDefault="00992069">
      <w:r>
        <w:t xml:space="preserve">Pulmonology </w:t>
      </w:r>
      <w:r w:rsidR="00B56123">
        <w:t xml:space="preserve">consult was taken </w:t>
      </w:r>
      <w:r>
        <w:t>and Radial E</w:t>
      </w:r>
      <w:r w:rsidR="003C2723">
        <w:t xml:space="preserve">ndobronchial Ultrasound (Radial EBUS) </w:t>
      </w:r>
      <w:r w:rsidR="00E76E86">
        <w:t>guided cryo-biopsy was done and samples were sent for Histopathological examination.</w:t>
      </w:r>
      <w:r w:rsidR="00C3688C">
        <w:t xml:space="preserve"> </w:t>
      </w:r>
      <w:r w:rsidR="00301B67">
        <w:t xml:space="preserve">She was having fever spikes during the course of hospital stay. </w:t>
      </w:r>
      <w:r w:rsidR="00C3688C">
        <w:t xml:space="preserve">Meanwhile, her blood cultures were reported to have growth of </w:t>
      </w:r>
      <w:r w:rsidR="00430A49">
        <w:t xml:space="preserve">Salmonella typhi sensitive to </w:t>
      </w:r>
      <w:r w:rsidR="00430A49" w:rsidRPr="00430A49">
        <w:t>Ceftazidime</w:t>
      </w:r>
      <w:r w:rsidR="00430A49">
        <w:t xml:space="preserve">, </w:t>
      </w:r>
      <w:r w:rsidR="00430A49" w:rsidRPr="00430A49">
        <w:t>Trimethoprim</w:t>
      </w:r>
      <w:r w:rsidR="002F579A">
        <w:t>-</w:t>
      </w:r>
      <w:r w:rsidR="00430A49" w:rsidRPr="00430A49">
        <w:t>Sulfamethoxazole</w:t>
      </w:r>
      <w:r w:rsidR="00430A49">
        <w:t xml:space="preserve">, </w:t>
      </w:r>
      <w:r w:rsidR="00430A49" w:rsidRPr="00430A49">
        <w:t>Ampicillin</w:t>
      </w:r>
      <w:r w:rsidR="00430A49">
        <w:t>,</w:t>
      </w:r>
      <w:r w:rsidR="00430A49" w:rsidRPr="00430A49">
        <w:t xml:space="preserve"> Amoxicillin</w:t>
      </w:r>
      <w:r w:rsidR="00430A49">
        <w:t>,</w:t>
      </w:r>
      <w:r w:rsidR="002F579A">
        <w:t xml:space="preserve"> </w:t>
      </w:r>
      <w:r w:rsidR="00430A49" w:rsidRPr="00430A49">
        <w:t>Chloramphenicol</w:t>
      </w:r>
      <w:r w:rsidR="002F579A">
        <w:t xml:space="preserve"> and </w:t>
      </w:r>
      <w:r w:rsidR="00430A49" w:rsidRPr="00430A49">
        <w:t>Azithromycin</w:t>
      </w:r>
      <w:r w:rsidR="002F579A">
        <w:t xml:space="preserve">. </w:t>
      </w:r>
      <w:r w:rsidR="0021731A">
        <w:t>She was started on culture sensitive antibiotic</w:t>
      </w:r>
      <w:r w:rsidR="00543E87">
        <w:t xml:space="preserve"> </w:t>
      </w:r>
      <w:r w:rsidR="005B3C3A">
        <w:t>(</w:t>
      </w:r>
      <w:r w:rsidR="00430A49" w:rsidRPr="00430A49">
        <w:t>Trimethoprim</w:t>
      </w:r>
      <w:r w:rsidR="005B3C3A">
        <w:t>-</w:t>
      </w:r>
      <w:r w:rsidR="00430A49" w:rsidRPr="00430A49">
        <w:t>Sulfamethoxazole</w:t>
      </w:r>
      <w:r w:rsidR="005B3C3A">
        <w:t>), antipyretics</w:t>
      </w:r>
      <w:r w:rsidR="000F2966">
        <w:t xml:space="preserve"> and other supportive measures.</w:t>
      </w:r>
      <w:r w:rsidR="0021731A">
        <w:t xml:space="preserve"> </w:t>
      </w:r>
      <w:r w:rsidR="00301B67">
        <w:t xml:space="preserve">She became afebrile after starting antibiotics. </w:t>
      </w:r>
      <w:r w:rsidR="000F2966" w:rsidRPr="00A5483B">
        <w:t xml:space="preserve">Patient improved symptomatically during the hospital stay. After </w:t>
      </w:r>
      <w:r w:rsidR="00BE5C82">
        <w:t>6</w:t>
      </w:r>
      <w:r w:rsidR="000F2966" w:rsidRPr="00A5483B">
        <w:t xml:space="preserve"> days of hospital stay and antibiotic treatment, </w:t>
      </w:r>
      <w:r w:rsidR="00BE5C82">
        <w:t>s</w:t>
      </w:r>
      <w:r w:rsidR="000F2966" w:rsidRPr="00A5483B">
        <w:t>he was discharged in a hemodynamically stable state</w:t>
      </w:r>
      <w:r w:rsidR="000F2966">
        <w:t xml:space="preserve"> </w:t>
      </w:r>
      <w:r w:rsidR="000F2966" w:rsidRPr="00A5483B">
        <w:t xml:space="preserve">with </w:t>
      </w:r>
      <w:r w:rsidR="000F2966">
        <w:t>Oral</w:t>
      </w:r>
      <w:r w:rsidR="000F2966" w:rsidRPr="00A5483B">
        <w:t xml:space="preserve"> Cotrimoxazole (Trimethoprim-Sulfamethoxazole)</w:t>
      </w:r>
      <w:r w:rsidR="004903B6">
        <w:t>.</w:t>
      </w:r>
    </w:p>
    <w:p w14:paraId="36170DE4" w14:textId="5544BB55" w:rsidR="00310AE4" w:rsidRDefault="00310AE4">
      <w:r w:rsidRPr="00A5483B">
        <w:t xml:space="preserve">The patient was followed up </w:t>
      </w:r>
      <w:r>
        <w:t>i</w:t>
      </w:r>
      <w:r w:rsidRPr="00A5483B">
        <w:t xml:space="preserve">n OPD after </w:t>
      </w:r>
      <w:r w:rsidR="00F16B86">
        <w:t>1</w:t>
      </w:r>
      <w:r w:rsidRPr="00A5483B">
        <w:t xml:space="preserve"> week.</w:t>
      </w:r>
      <w:r w:rsidR="00BB7848">
        <w:t xml:space="preserve"> She improved clinically and her </w:t>
      </w:r>
      <w:r w:rsidR="00BB7848" w:rsidRPr="00A5483B">
        <w:t>inflammatory markers were down-trending</w:t>
      </w:r>
      <w:r w:rsidR="00BB7848">
        <w:t>, C-Reactive Protein (</w:t>
      </w:r>
      <w:r w:rsidR="00BB7848" w:rsidRPr="00F70013">
        <w:t>CRP</w:t>
      </w:r>
      <w:r w:rsidR="00BB7848">
        <w:t>) of</w:t>
      </w:r>
      <w:r w:rsidR="00BB7848" w:rsidRPr="00A5483B">
        <w:t xml:space="preserve"> </w:t>
      </w:r>
      <w:r w:rsidR="00BB7848">
        <w:t>5.</w:t>
      </w:r>
      <w:r w:rsidR="00754853">
        <w:t>26</w:t>
      </w:r>
      <w:r w:rsidR="00BB7848" w:rsidRPr="00A5483B">
        <w:t xml:space="preserve"> mg/dL</w:t>
      </w:r>
      <w:r w:rsidR="00754853">
        <w:t xml:space="preserve">. </w:t>
      </w:r>
      <w:r w:rsidR="00F16B86">
        <w:t>Her Right lower lobe lung mass</w:t>
      </w:r>
      <w:r w:rsidR="00DF35E0">
        <w:t xml:space="preserve"> - </w:t>
      </w:r>
      <w:r w:rsidR="00F16B86">
        <w:t>Histopathological examination of cryo</w:t>
      </w:r>
      <w:r w:rsidR="00DF35E0">
        <w:t>-</w:t>
      </w:r>
      <w:r w:rsidR="00F16B86">
        <w:t xml:space="preserve">biopsy </w:t>
      </w:r>
      <w:r w:rsidR="00DF35E0">
        <w:t>was reported as Adenocarcinoma</w:t>
      </w:r>
      <w:r w:rsidR="00E94DF9">
        <w:t xml:space="preserve">, lepidic pattern with mucinous areas. </w:t>
      </w:r>
      <w:r w:rsidR="00754853">
        <w:t xml:space="preserve">She was referred to Department of </w:t>
      </w:r>
      <w:r w:rsidR="00433779">
        <w:t xml:space="preserve">Pulmonology and Department of </w:t>
      </w:r>
      <w:r w:rsidR="00754853">
        <w:t>Medical Oncolo</w:t>
      </w:r>
      <w:r w:rsidR="00433779">
        <w:t>gy for further</w:t>
      </w:r>
      <w:r w:rsidR="00EB0DFE">
        <w:t xml:space="preserve"> </w:t>
      </w:r>
      <w:r w:rsidR="00433779">
        <w:t xml:space="preserve">management. </w:t>
      </w:r>
    </w:p>
    <w:p w14:paraId="55B7486F" w14:textId="77777777" w:rsidR="00523FF7" w:rsidRDefault="00523FF7"/>
    <w:p w14:paraId="2BECFDA9" w14:textId="059A0927" w:rsidR="00523FF7" w:rsidRPr="00D66C65" w:rsidRDefault="000D342F">
      <w:pPr>
        <w:rPr>
          <w:b/>
          <w:bCs/>
        </w:rPr>
      </w:pPr>
      <w:r w:rsidRPr="00D66C65">
        <w:rPr>
          <w:b/>
          <w:bCs/>
        </w:rPr>
        <w:t>Discussion</w:t>
      </w:r>
    </w:p>
    <w:p w14:paraId="0D200E4A" w14:textId="2F1E0593" w:rsidR="0049488B" w:rsidRDefault="00370640">
      <w:r w:rsidRPr="00370640">
        <w:t>Salmonellae are gram-negative, non-spore-forming, facultatively anaerobic bacilli</w:t>
      </w:r>
      <w:r>
        <w:t xml:space="preserve"> </w:t>
      </w:r>
      <w:r w:rsidRPr="00370640">
        <w:rPr>
          <w:vertAlign w:val="superscript"/>
        </w:rPr>
        <w:t>(</w:t>
      </w:r>
      <w:r w:rsidR="00627CFB">
        <w:rPr>
          <w:vertAlign w:val="superscript"/>
        </w:rPr>
        <w:t xml:space="preserve">2, </w:t>
      </w:r>
      <w:r w:rsidR="002514D2">
        <w:rPr>
          <w:vertAlign w:val="superscript"/>
        </w:rPr>
        <w:t>3</w:t>
      </w:r>
      <w:r w:rsidRPr="00370640">
        <w:rPr>
          <w:vertAlign w:val="superscript"/>
        </w:rPr>
        <w:t>)</w:t>
      </w:r>
      <w:r>
        <w:t xml:space="preserve">. </w:t>
      </w:r>
      <w:proofErr w:type="spellStart"/>
      <w:r w:rsidR="007B6877">
        <w:t>Bacteremia</w:t>
      </w:r>
      <w:proofErr w:type="spellEnd"/>
      <w:r w:rsidR="002F6E62" w:rsidRPr="006124A9">
        <w:t xml:space="preserve"> caused by </w:t>
      </w:r>
      <w:r w:rsidR="006124A9" w:rsidRPr="006124A9">
        <w:t xml:space="preserve">Salmonella </w:t>
      </w:r>
      <w:r w:rsidR="00C77945">
        <w:t xml:space="preserve">usually </w:t>
      </w:r>
      <w:r w:rsidR="006124A9" w:rsidRPr="006124A9">
        <w:t>characterized</w:t>
      </w:r>
      <w:r w:rsidR="002F6E62" w:rsidRPr="006124A9">
        <w:t xml:space="preserve"> by the presence of a </w:t>
      </w:r>
      <w:r w:rsidR="00DA3869">
        <w:t>high-grade</w:t>
      </w:r>
      <w:r w:rsidR="002F6E62" w:rsidRPr="006124A9">
        <w:t xml:space="preserve"> fever </w:t>
      </w:r>
      <w:r w:rsidR="007B6877">
        <w:t>which lasts</w:t>
      </w:r>
      <w:r w:rsidR="002F6E62" w:rsidRPr="006124A9">
        <w:t xml:space="preserve"> for days </w:t>
      </w:r>
      <w:r w:rsidR="007B6877">
        <w:t>to</w:t>
      </w:r>
      <w:r w:rsidR="002F6E62" w:rsidRPr="006124A9">
        <w:t xml:space="preserve"> weeks</w:t>
      </w:r>
      <w:r w:rsidR="00ED4A6F">
        <w:t xml:space="preserve"> </w:t>
      </w:r>
      <w:r w:rsidR="00ED4A6F" w:rsidRPr="00ED4A6F">
        <w:rPr>
          <w:vertAlign w:val="superscript"/>
        </w:rPr>
        <w:t>(5)</w:t>
      </w:r>
      <w:r w:rsidR="002F6E62" w:rsidRPr="006124A9">
        <w:t>.</w:t>
      </w:r>
      <w:r w:rsidR="005B5E30">
        <w:t xml:space="preserve"> </w:t>
      </w:r>
      <w:r w:rsidR="00D97C99" w:rsidRPr="00D97C99">
        <w:t xml:space="preserve">The definitive diagnosis of </w:t>
      </w:r>
      <w:r w:rsidR="00D97C99">
        <w:t>salmonella</w:t>
      </w:r>
      <w:r w:rsidR="001E7C73">
        <w:t xml:space="preserve"> typhi</w:t>
      </w:r>
      <w:r w:rsidR="00BF4B44">
        <w:t xml:space="preserve"> infection is</w:t>
      </w:r>
      <w:r w:rsidR="00D97C99" w:rsidRPr="00D97C99">
        <w:t xml:space="preserve"> isolation of </w:t>
      </w:r>
      <w:r w:rsidR="00BF4B44">
        <w:t>the organism</w:t>
      </w:r>
      <w:r w:rsidR="00D97C99" w:rsidRPr="00D97C99">
        <w:t xml:space="preserve"> from blood, bone marrow</w:t>
      </w:r>
      <w:r w:rsidR="00BF4B44">
        <w:t xml:space="preserve"> and</w:t>
      </w:r>
      <w:r w:rsidR="00D97C99" w:rsidRPr="00D97C99">
        <w:t xml:space="preserve"> other sterile sites</w:t>
      </w:r>
      <w:r w:rsidR="00BF4B44">
        <w:t xml:space="preserve">. </w:t>
      </w:r>
      <w:r w:rsidR="00847A0F">
        <w:t>A</w:t>
      </w:r>
      <w:r w:rsidR="00847A0F" w:rsidRPr="00847A0F">
        <w:t>dminist</w:t>
      </w:r>
      <w:r w:rsidR="00847A0F">
        <w:t>ering</w:t>
      </w:r>
      <w:r w:rsidR="00847A0F" w:rsidRPr="00847A0F">
        <w:t xml:space="preserve"> of </w:t>
      </w:r>
      <w:r w:rsidR="00847A0F">
        <w:t>proper</w:t>
      </w:r>
      <w:r w:rsidR="00847A0F" w:rsidRPr="00847A0F">
        <w:t xml:space="preserve"> antibiotic</w:t>
      </w:r>
      <w:r w:rsidR="00847A0F">
        <w:t>s can</w:t>
      </w:r>
      <w:r w:rsidR="00847A0F" w:rsidRPr="00847A0F">
        <w:t xml:space="preserve"> prevent</w:t>
      </w:r>
      <w:r w:rsidR="00847A0F">
        <w:t xml:space="preserve"> the </w:t>
      </w:r>
      <w:r w:rsidR="00847A0F" w:rsidRPr="00847A0F">
        <w:t xml:space="preserve">severe complications </w:t>
      </w:r>
      <w:r w:rsidR="00847A0F">
        <w:t xml:space="preserve">associated with Salmonella infection and further </w:t>
      </w:r>
      <w:r w:rsidR="00847A0F" w:rsidRPr="00847A0F">
        <w:t xml:space="preserve">reduces </w:t>
      </w:r>
      <w:r w:rsidR="00847A0F">
        <w:t xml:space="preserve">the </w:t>
      </w:r>
      <w:r w:rsidR="00847A0F" w:rsidRPr="00847A0F">
        <w:t>mortality</w:t>
      </w:r>
      <w:r w:rsidR="00847A0F">
        <w:t>.</w:t>
      </w:r>
      <w:r w:rsidR="0092080F">
        <w:t xml:space="preserve"> </w:t>
      </w:r>
      <w:r w:rsidR="009B1AE4">
        <w:t>Empirical anti-microbial of choice are Ceftriaxone and Azithromycin</w:t>
      </w:r>
      <w:r w:rsidR="00AC4B94">
        <w:t xml:space="preserve">. </w:t>
      </w:r>
      <w:r w:rsidR="00170AF0">
        <w:t xml:space="preserve">If there is a concern of </w:t>
      </w:r>
      <w:r w:rsidR="00AC4B94">
        <w:t>Ceftriaxone resistan</w:t>
      </w:r>
      <w:r w:rsidR="00170AF0">
        <w:t>ce, empirical Carbapenems are used</w:t>
      </w:r>
      <w:r w:rsidR="00256ED1">
        <w:t xml:space="preserve"> </w:t>
      </w:r>
      <w:r w:rsidR="00D80B03" w:rsidRPr="00D80B03">
        <w:rPr>
          <w:vertAlign w:val="superscript"/>
        </w:rPr>
        <w:t>(</w:t>
      </w:r>
      <w:r w:rsidR="002514D2">
        <w:rPr>
          <w:vertAlign w:val="superscript"/>
        </w:rPr>
        <w:t>3</w:t>
      </w:r>
      <w:r w:rsidR="00D80B03" w:rsidRPr="00D80B03">
        <w:rPr>
          <w:vertAlign w:val="superscript"/>
        </w:rPr>
        <w:t>)</w:t>
      </w:r>
      <w:r w:rsidR="00170AF0">
        <w:t>. Always anti-</w:t>
      </w:r>
      <w:r w:rsidR="00170AF0">
        <w:lastRenderedPageBreak/>
        <w:t>microbial therapy should be titrated based on culture and sensitivity reports.</w:t>
      </w:r>
      <w:r w:rsidR="00AC4B94">
        <w:t xml:space="preserve"> </w:t>
      </w:r>
      <w:r w:rsidR="00D9239C">
        <w:t xml:space="preserve">In our patient the strain of Salmonella was sensitive to </w:t>
      </w:r>
      <w:r w:rsidR="00D9239C" w:rsidRPr="00430A49">
        <w:t>Trimethoprim</w:t>
      </w:r>
      <w:r w:rsidR="00D9239C">
        <w:t>-</w:t>
      </w:r>
      <w:r w:rsidR="00D9239C" w:rsidRPr="00430A49">
        <w:t>Sulfamethoxazole</w:t>
      </w:r>
      <w:r w:rsidR="00D9239C">
        <w:t xml:space="preserve"> and the same was initiated</w:t>
      </w:r>
      <w:r w:rsidR="009B76F6">
        <w:t>.</w:t>
      </w:r>
    </w:p>
    <w:p w14:paraId="17F08FE5" w14:textId="4317457E" w:rsidR="00752D8A" w:rsidRDefault="00752D8A">
      <w:r>
        <w:t>M</w:t>
      </w:r>
      <w:r w:rsidRPr="00752D8A">
        <w:t>ost</w:t>
      </w:r>
      <w:r>
        <w:t xml:space="preserve"> of the</w:t>
      </w:r>
      <w:r w:rsidRPr="00752D8A">
        <w:t xml:space="preserve"> lung cancers </w:t>
      </w:r>
      <w:r>
        <w:t xml:space="preserve">tend to </w:t>
      </w:r>
      <w:r w:rsidRPr="00752D8A">
        <w:t>present in an advanced stage and are often diagnosed based on biopsies or cytologic</w:t>
      </w:r>
      <w:r w:rsidR="00682A51">
        <w:t xml:space="preserve">al assessment </w:t>
      </w:r>
      <w:r w:rsidR="00682A51" w:rsidRPr="00682A51">
        <w:rPr>
          <w:vertAlign w:val="superscript"/>
        </w:rPr>
        <w:t>(</w:t>
      </w:r>
      <w:r w:rsidR="002514D2">
        <w:rPr>
          <w:vertAlign w:val="superscript"/>
        </w:rPr>
        <w:t>3</w:t>
      </w:r>
      <w:r w:rsidR="00682A51" w:rsidRPr="00682A51">
        <w:rPr>
          <w:vertAlign w:val="superscript"/>
        </w:rPr>
        <w:t>)</w:t>
      </w:r>
      <w:r w:rsidRPr="00752D8A">
        <w:t>.</w:t>
      </w:r>
      <w:r w:rsidR="00682A51">
        <w:t xml:space="preserve"> Most common presentation of </w:t>
      </w:r>
      <w:r w:rsidR="009B4897">
        <w:t>lung cancer is chronic cough</w:t>
      </w:r>
      <w:r w:rsidR="00C45843">
        <w:t xml:space="preserve"> (8–75%)</w:t>
      </w:r>
      <w:r w:rsidR="00A2776D">
        <w:t xml:space="preserve"> </w:t>
      </w:r>
      <w:r w:rsidR="00AD7410">
        <w:t xml:space="preserve">and fever constitutes 20% </w:t>
      </w:r>
      <w:r w:rsidR="00AD7410" w:rsidRPr="00AD7410">
        <w:rPr>
          <w:vertAlign w:val="superscript"/>
        </w:rPr>
        <w:t>(</w:t>
      </w:r>
      <w:r w:rsidR="002514D2">
        <w:rPr>
          <w:vertAlign w:val="superscript"/>
        </w:rPr>
        <w:t>3</w:t>
      </w:r>
      <w:r w:rsidR="00AD7410" w:rsidRPr="00AD7410">
        <w:rPr>
          <w:vertAlign w:val="superscript"/>
        </w:rPr>
        <w:t>)</w:t>
      </w:r>
      <w:r w:rsidR="00AD7410">
        <w:t>.</w:t>
      </w:r>
      <w:r w:rsidR="00A2776D">
        <w:t xml:space="preserve"> </w:t>
      </w:r>
      <w:r w:rsidR="00DE64DC" w:rsidRPr="00DE64DC">
        <w:t xml:space="preserve">Adenocarcinomas may </w:t>
      </w:r>
      <w:r w:rsidR="00DE64DC">
        <w:t xml:space="preserve">be seen on </w:t>
      </w:r>
      <w:r w:rsidR="00DE64DC" w:rsidRPr="00DE64DC">
        <w:t>imaging as bilateral nodular, interstitial or ground glass opacities</w:t>
      </w:r>
      <w:r w:rsidR="00D62459">
        <w:t xml:space="preserve"> </w:t>
      </w:r>
      <w:r w:rsidR="00DE64DC" w:rsidRPr="00DE64DC">
        <w:t>or less commonly</w:t>
      </w:r>
      <w:r w:rsidR="00D62459">
        <w:t xml:space="preserve"> it can be seen</w:t>
      </w:r>
      <w:r w:rsidR="00DE64DC" w:rsidRPr="00DE64DC">
        <w:t xml:space="preserve"> as unilateral solid or ground glass nodules or masses</w:t>
      </w:r>
      <w:r w:rsidR="005C1F91">
        <w:t xml:space="preserve"> </w:t>
      </w:r>
      <w:r w:rsidR="005C1F91" w:rsidRPr="005C1F91">
        <w:rPr>
          <w:vertAlign w:val="superscript"/>
        </w:rPr>
        <w:t>(6)</w:t>
      </w:r>
      <w:r w:rsidR="00D62459">
        <w:t xml:space="preserve">. In our case we encountered </w:t>
      </w:r>
      <w:r w:rsidR="00F374DB">
        <w:t>a homogenous opacity involving the right mid and lower zones</w:t>
      </w:r>
      <w:r w:rsidR="00622923">
        <w:t xml:space="preserve">, more in favour of a mass lesion. </w:t>
      </w:r>
      <w:r w:rsidR="00EA3254" w:rsidRPr="00EA3254">
        <w:t xml:space="preserve">Tissue sampling is </w:t>
      </w:r>
      <w:r w:rsidR="00EA3254">
        <w:t>mandatory</w:t>
      </w:r>
      <w:r w:rsidR="00EA3254" w:rsidRPr="00EA3254">
        <w:t xml:space="preserve"> to confirm </w:t>
      </w:r>
      <w:r w:rsidR="00EA3254">
        <w:t>the</w:t>
      </w:r>
      <w:r w:rsidR="00EA3254" w:rsidRPr="00EA3254">
        <w:t xml:space="preserve"> diagnosis </w:t>
      </w:r>
      <w:r w:rsidR="00242ACF">
        <w:t xml:space="preserve">in </w:t>
      </w:r>
      <w:r w:rsidR="00EA3254" w:rsidRPr="00EA3254">
        <w:t xml:space="preserve">patients with </w:t>
      </w:r>
      <w:r w:rsidR="00242ACF">
        <w:t xml:space="preserve">high </w:t>
      </w:r>
      <w:r w:rsidR="00EA3254" w:rsidRPr="00EA3254">
        <w:t>susp</w:t>
      </w:r>
      <w:r w:rsidR="00242ACF">
        <w:t>icion</w:t>
      </w:r>
      <w:r w:rsidR="00EA3254" w:rsidRPr="00EA3254">
        <w:t xml:space="preserve"> </w:t>
      </w:r>
      <w:r w:rsidR="00242ACF">
        <w:t xml:space="preserve">of </w:t>
      </w:r>
      <w:r w:rsidR="00EA3254" w:rsidRPr="00EA3254">
        <w:t>lung cancer</w:t>
      </w:r>
      <w:r w:rsidR="00242ACF">
        <w:t>.</w:t>
      </w:r>
      <w:r w:rsidR="00A869B6">
        <w:t xml:space="preserve"> </w:t>
      </w:r>
      <w:r w:rsidR="001D09DB">
        <w:t>T</w:t>
      </w:r>
      <w:r w:rsidR="001D09DB" w:rsidRPr="001D09DB">
        <w:t xml:space="preserve">ransbronchial biopsy </w:t>
      </w:r>
      <w:r w:rsidR="00A869B6">
        <w:t>using</w:t>
      </w:r>
      <w:r w:rsidR="001D09DB" w:rsidRPr="001D09DB">
        <w:t xml:space="preserve"> </w:t>
      </w:r>
      <w:r w:rsidR="00A869B6" w:rsidRPr="001D09DB">
        <w:t>fibreoptic</w:t>
      </w:r>
      <w:r w:rsidR="001D09DB" w:rsidRPr="001D09DB">
        <w:t xml:space="preserve"> bronchoscopy,</w:t>
      </w:r>
      <w:r w:rsidR="00A869B6">
        <w:t xml:space="preserve"> F</w:t>
      </w:r>
      <w:r w:rsidR="001D09DB" w:rsidRPr="001D09DB">
        <w:t xml:space="preserve">ine-needle </w:t>
      </w:r>
      <w:r w:rsidR="00A869B6">
        <w:t>A</w:t>
      </w:r>
      <w:r w:rsidR="001D09DB" w:rsidRPr="001D09DB">
        <w:t xml:space="preserve">spiration (FNA) or percutaneous biopsy using image guidance or </w:t>
      </w:r>
      <w:r w:rsidR="00D96BE2">
        <w:t>E</w:t>
      </w:r>
      <w:r w:rsidR="001D09DB" w:rsidRPr="001D09DB">
        <w:t>ndobronchial ultrasound (EBUS)-guided biopsy</w:t>
      </w:r>
      <w:r w:rsidR="00D96BE2">
        <w:t xml:space="preserve"> are the minimally invasive preferred modalities for </w:t>
      </w:r>
      <w:r w:rsidR="00864ADA">
        <w:t xml:space="preserve">obtaining a tissue diagnosis in case of lung cancer. In our case, Radial Endobronchial Ultrasound (Radial EBUS) guided cryo-biopsy was done and the histopathological examination of specimen revealed Adenocarcinoma, lepidic pattern with mucinous areas. </w:t>
      </w:r>
    </w:p>
    <w:p w14:paraId="3A826D4A" w14:textId="4C2A99D4" w:rsidR="000D342F" w:rsidRDefault="000D342F">
      <w:pPr>
        <w:rPr>
          <w:b/>
          <w:bCs/>
        </w:rPr>
      </w:pPr>
      <w:r w:rsidRPr="00D66C65">
        <w:rPr>
          <w:b/>
          <w:bCs/>
        </w:rPr>
        <w:t xml:space="preserve">Conclusion </w:t>
      </w:r>
    </w:p>
    <w:p w14:paraId="53545ADF" w14:textId="1E654FCE" w:rsidR="00D66C65" w:rsidRDefault="008B548F">
      <w:r w:rsidRPr="008B548F">
        <w:t>C</w:t>
      </w:r>
      <w:r>
        <w:t>oexisting salmonella</w:t>
      </w:r>
      <w:r w:rsidR="00DF6358">
        <w:t xml:space="preserve"> </w:t>
      </w:r>
      <w:r w:rsidR="00A7704D">
        <w:t>typhi</w:t>
      </w:r>
      <w:r>
        <w:t xml:space="preserve"> </w:t>
      </w:r>
      <w:r w:rsidR="00FB1CF7">
        <w:t xml:space="preserve">infection </w:t>
      </w:r>
      <w:r>
        <w:t>and</w:t>
      </w:r>
      <w:r w:rsidR="00FB1CF7">
        <w:t xml:space="preserve"> adenocarcinoma is not very common and </w:t>
      </w:r>
      <w:r w:rsidR="00C57CB1">
        <w:t xml:space="preserve">almost </w:t>
      </w:r>
      <w:r w:rsidR="00FB1CF7">
        <w:t>always incidental</w:t>
      </w:r>
      <w:r w:rsidR="00C57CB1">
        <w:t xml:space="preserve"> as in this case. In this case the patient presented with fever for 3 weeks and there was no history supporting the </w:t>
      </w:r>
      <w:r w:rsidR="006C6C5B">
        <w:t xml:space="preserve">possibility of adenocarcinoma lung. </w:t>
      </w:r>
      <w:r w:rsidR="00651637">
        <w:t xml:space="preserve">Extensive workup of the patient with pyrexia of unknown origin </w:t>
      </w:r>
      <w:r w:rsidR="00FA336E">
        <w:t xml:space="preserve">including imaging and further proceeding with tissue diagnosis </w:t>
      </w:r>
      <w:r w:rsidR="00A7704D">
        <w:t>l</w:t>
      </w:r>
      <w:r w:rsidR="00231A59">
        <w:t xml:space="preserve">ed us to the diagnosis of adenocarcinoma lung. </w:t>
      </w:r>
      <w:r w:rsidR="006C6C5B">
        <w:t>Here, we want to highlight th</w:t>
      </w:r>
      <w:r w:rsidR="00231A59">
        <w:t>at the presentation in this patient was only fever</w:t>
      </w:r>
      <w:r w:rsidR="00A37276">
        <w:t xml:space="preserve"> and the possibilities turned out to be either an infection or malignancy</w:t>
      </w:r>
      <w:r w:rsidR="00200DB6">
        <w:t xml:space="preserve">. So, the fever can be due to </w:t>
      </w:r>
      <w:r w:rsidR="00ED4AB7">
        <w:t>Salmonella infection or due to underlying lung adenocarcinoma.</w:t>
      </w:r>
      <w:r w:rsidR="00FC72E1">
        <w:t xml:space="preserve"> </w:t>
      </w:r>
      <w:r w:rsidR="00964BC9">
        <w:t>As a take home message</w:t>
      </w:r>
      <w:r w:rsidR="0041754D">
        <w:t>, we want to highlight that</w:t>
      </w:r>
      <w:r w:rsidR="00D83D4E">
        <w:t xml:space="preserve"> in a patient with </w:t>
      </w:r>
      <w:r w:rsidR="002327FC">
        <w:t>malignancy, fever</w:t>
      </w:r>
      <w:r w:rsidR="00FA7996">
        <w:t xml:space="preserve"> can be due to </w:t>
      </w:r>
      <w:r w:rsidR="00800011">
        <w:t xml:space="preserve">malignancy per se, immunocompromised </w:t>
      </w:r>
      <w:r w:rsidR="004B3CD9">
        <w:t xml:space="preserve">state predisposing to </w:t>
      </w:r>
      <w:r w:rsidR="0022470F">
        <w:t xml:space="preserve">infections or co-existing </w:t>
      </w:r>
      <w:r w:rsidR="0038064E">
        <w:t>infection</w:t>
      </w:r>
      <w:r w:rsidR="00294DCB">
        <w:t xml:space="preserve">. </w:t>
      </w:r>
      <w:r w:rsidR="00073808">
        <w:t xml:space="preserve"> </w:t>
      </w:r>
    </w:p>
    <w:p w14:paraId="3F9058A9" w14:textId="77777777" w:rsidR="00D02318" w:rsidRDefault="00D02318"/>
    <w:p w14:paraId="51931A7D" w14:textId="77777777" w:rsidR="00D02318" w:rsidRDefault="00D02318" w:rsidP="00D02318">
      <w:pPr>
        <w:spacing w:after="200" w:line="276" w:lineRule="auto"/>
        <w:jc w:val="both"/>
        <w:outlineLvl w:val="0"/>
        <w:rPr>
          <w:rFonts w:eastAsia="Times New Roman"/>
          <w:b/>
          <w:bCs/>
          <w:kern w:val="0"/>
          <w:sz w:val="22"/>
          <w:szCs w:val="22"/>
          <w:lang w:val="en-GB" w:eastAsia="en-GB"/>
          <w14:ligatures w14:val="none"/>
        </w:rPr>
      </w:pPr>
    </w:p>
    <w:p w14:paraId="35A64E29" w14:textId="77777777" w:rsidR="00D02318" w:rsidRDefault="00D02318" w:rsidP="00D02318">
      <w:pPr>
        <w:spacing w:after="200" w:line="276" w:lineRule="auto"/>
        <w:jc w:val="both"/>
        <w:outlineLvl w:val="0"/>
        <w:rPr>
          <w:rFonts w:eastAsia="Times New Roman"/>
          <w:b/>
          <w:bCs/>
          <w:kern w:val="0"/>
          <w:sz w:val="22"/>
          <w:szCs w:val="22"/>
          <w:lang w:val="en-GB" w:eastAsia="en-GB"/>
          <w14:ligatures w14:val="none"/>
        </w:rPr>
      </w:pPr>
    </w:p>
    <w:p w14:paraId="296D9A9C" w14:textId="136C1D22" w:rsidR="00D02318" w:rsidRPr="00D02318" w:rsidRDefault="00D02318" w:rsidP="00D02318">
      <w:pPr>
        <w:spacing w:after="200" w:line="276" w:lineRule="auto"/>
        <w:jc w:val="both"/>
        <w:outlineLvl w:val="0"/>
        <w:rPr>
          <w:rFonts w:eastAsia="Times New Roman"/>
          <w:kern w:val="0"/>
          <w:sz w:val="22"/>
          <w:szCs w:val="22"/>
          <w:lang w:val="en-GB" w:eastAsia="en-GB"/>
          <w14:ligatures w14:val="none"/>
        </w:rPr>
      </w:pPr>
      <w:r w:rsidRPr="00D02318">
        <w:rPr>
          <w:rFonts w:eastAsia="Times New Roman"/>
          <w:b/>
          <w:bCs/>
          <w:kern w:val="0"/>
          <w:sz w:val="22"/>
          <w:szCs w:val="22"/>
          <w:lang w:val="en-GB" w:eastAsia="en-GB"/>
          <w14:ligatures w14:val="none"/>
        </w:rPr>
        <w:t>COMPETING INTERESTS DISCLAIMER:</w:t>
      </w:r>
    </w:p>
    <w:p w14:paraId="6CD11F52" w14:textId="77777777" w:rsidR="00D02318" w:rsidRPr="00D02318" w:rsidRDefault="00D02318" w:rsidP="00D02318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GB" w:eastAsia="en-GB"/>
          <w14:ligatures w14:val="none"/>
        </w:rPr>
      </w:pPr>
      <w:r w:rsidRPr="00D02318">
        <w:rPr>
          <w:rFonts w:ascii="Calibri" w:eastAsia="Times New Roman" w:hAnsi="Calibri" w:cs="Times New Roman"/>
          <w:kern w:val="0"/>
          <w:sz w:val="22"/>
          <w:szCs w:val="22"/>
          <w:lang w:val="en-GB" w:eastAsia="en-GB"/>
          <w14:ligatures w14:val="none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41BBD9D1" w14:textId="77777777" w:rsidR="00D02318" w:rsidRDefault="00D02318"/>
    <w:p w14:paraId="3B896E08" w14:textId="77777777" w:rsidR="00D02318" w:rsidRDefault="00D02318"/>
    <w:p w14:paraId="4A0143E4" w14:textId="77777777" w:rsidR="00D02318" w:rsidRPr="008B548F" w:rsidRDefault="00D02318"/>
    <w:p w14:paraId="7FB73BD1" w14:textId="515795A7" w:rsidR="000D342F" w:rsidRPr="00294DCB" w:rsidRDefault="000D342F">
      <w:pPr>
        <w:rPr>
          <w:b/>
          <w:bCs/>
        </w:rPr>
      </w:pPr>
      <w:r w:rsidRPr="00294DCB">
        <w:rPr>
          <w:b/>
          <w:bCs/>
        </w:rPr>
        <w:lastRenderedPageBreak/>
        <w:t>References</w:t>
      </w:r>
    </w:p>
    <w:p w14:paraId="089CF733" w14:textId="2E42C796" w:rsidR="009D7B2E" w:rsidRPr="009D7B2E" w:rsidRDefault="009D7B2E" w:rsidP="009D7B2E">
      <w:pPr>
        <w:jc w:val="both"/>
      </w:pPr>
      <w:r w:rsidRPr="009D7B2E">
        <w:t>1.</w:t>
      </w:r>
      <w:r w:rsidR="008E4566">
        <w:t xml:space="preserve"> </w:t>
      </w:r>
      <w:proofErr w:type="spellStart"/>
      <w:r w:rsidRPr="009D7B2E">
        <w:t>Samonis</w:t>
      </w:r>
      <w:proofErr w:type="spellEnd"/>
      <w:r w:rsidRPr="009D7B2E">
        <w:t xml:space="preserve"> G, Maraki S, </w:t>
      </w:r>
      <w:proofErr w:type="spellStart"/>
      <w:r w:rsidRPr="009D7B2E">
        <w:t>Kouroussis</w:t>
      </w:r>
      <w:proofErr w:type="spellEnd"/>
      <w:r w:rsidRPr="009D7B2E">
        <w:t xml:space="preserve"> C, Mavroudis D, </w:t>
      </w:r>
      <w:proofErr w:type="spellStart"/>
      <w:r w:rsidRPr="009D7B2E">
        <w:t>Georgoulias</w:t>
      </w:r>
      <w:proofErr w:type="spellEnd"/>
      <w:r w:rsidRPr="009D7B2E">
        <w:t xml:space="preserve"> V. Salmonella enterica Pneumonia in a Patient with Lung Cancer. J Clin </w:t>
      </w:r>
      <w:proofErr w:type="spellStart"/>
      <w:r w:rsidRPr="009D7B2E">
        <w:t>Microbiol</w:t>
      </w:r>
      <w:proofErr w:type="spellEnd"/>
      <w:r w:rsidRPr="009D7B2E">
        <w:t>. 2003 Dec;41(12):5820–2.</w:t>
      </w:r>
    </w:p>
    <w:p w14:paraId="65985958" w14:textId="4A8ECEBF" w:rsidR="009D7B2E" w:rsidRPr="009D7B2E" w:rsidRDefault="009D7B2E" w:rsidP="009D7B2E">
      <w:pPr>
        <w:jc w:val="both"/>
      </w:pPr>
      <w:r w:rsidRPr="009D7B2E">
        <w:t>2.</w:t>
      </w:r>
      <w:r w:rsidR="008E4566">
        <w:t xml:space="preserve"> </w:t>
      </w:r>
      <w:r w:rsidRPr="009D7B2E">
        <w:t xml:space="preserve">Samir Abdelhafiz A, Wassef M, </w:t>
      </w:r>
      <w:proofErr w:type="spellStart"/>
      <w:r w:rsidRPr="009D7B2E">
        <w:t>Alorabi</w:t>
      </w:r>
      <w:proofErr w:type="spellEnd"/>
      <w:r w:rsidRPr="009D7B2E">
        <w:t xml:space="preserve"> M. Pleural empyema due to Salmonella in a patient with bronchogenic carcinoma: the first case report from a cancer hospital in Egypt [Internet]. Vol. 2, Access Microbiology. Microbiology Society; 2020. Available from:</w:t>
      </w:r>
      <w:hyperlink r:id="rId10" w:history="1">
        <w:r w:rsidRPr="009D7B2E">
          <w:rPr>
            <w:rStyle w:val="Hyperlink"/>
          </w:rPr>
          <w:t>https://www.microbiologyresearch.org/content/journal/acmi/10.1099/acmi.0.000151</w:t>
        </w:r>
      </w:hyperlink>
    </w:p>
    <w:p w14:paraId="77CB2B8A" w14:textId="4E65D24E" w:rsidR="009D7B2E" w:rsidRPr="009D7B2E" w:rsidRDefault="009D7B2E" w:rsidP="009D7B2E">
      <w:pPr>
        <w:jc w:val="both"/>
      </w:pPr>
      <w:r w:rsidRPr="009D7B2E">
        <w:t>3.</w:t>
      </w:r>
      <w:r w:rsidR="008E4566">
        <w:t xml:space="preserve"> </w:t>
      </w:r>
      <w:r w:rsidRPr="009D7B2E">
        <w:t>Harrison’s Principles of Internal Medicine, 21e. Loscalzo J, Fauci A, Kasper D, Hauser S, Longo D, Jameson J. Loscalzo J, &amp; Fauci A, &amp; Kasper D, &amp; Hauser S, &amp; Longo D, &amp; Jameson J(Eds.), Eds. Joseph Loscalzo, et al.</w:t>
      </w:r>
    </w:p>
    <w:p w14:paraId="1617C8E4" w14:textId="02A5EF4C" w:rsidR="009D7B2E" w:rsidRPr="009D7B2E" w:rsidRDefault="009D7B2E" w:rsidP="009D7B2E">
      <w:pPr>
        <w:jc w:val="both"/>
      </w:pPr>
      <w:r w:rsidRPr="009D7B2E">
        <w:t>4.</w:t>
      </w:r>
      <w:r w:rsidR="008E4566">
        <w:t xml:space="preserve"> </w:t>
      </w:r>
      <w:proofErr w:type="spellStart"/>
      <w:r w:rsidRPr="009D7B2E">
        <w:t>Saphra</w:t>
      </w:r>
      <w:proofErr w:type="spellEnd"/>
      <w:r w:rsidRPr="009D7B2E">
        <w:t xml:space="preserve"> I, Winter JW. Clinical Manifestations of Salmonellosis in Man. New England Journal of Medicine. 1957 Jun 13;256(24):1128–34.</w:t>
      </w:r>
    </w:p>
    <w:p w14:paraId="125B2E00" w14:textId="69F98211" w:rsidR="009D7B2E" w:rsidRPr="009D7B2E" w:rsidRDefault="009D7B2E" w:rsidP="009D7B2E">
      <w:pPr>
        <w:jc w:val="both"/>
      </w:pPr>
      <w:r w:rsidRPr="009D7B2E">
        <w:t>5.</w:t>
      </w:r>
      <w:r w:rsidR="008E4566">
        <w:t xml:space="preserve"> </w:t>
      </w:r>
      <w:r w:rsidRPr="009D7B2E">
        <w:t xml:space="preserve">Shen C, Che G. Case Report: Combined Small Cell Lung Carcinoma </w:t>
      </w:r>
      <w:proofErr w:type="gramStart"/>
      <w:r w:rsidRPr="009D7B2E">
        <w:t>With</w:t>
      </w:r>
      <w:proofErr w:type="gramEnd"/>
      <w:r w:rsidRPr="009D7B2E">
        <w:t xml:space="preserve"> Pulmonary Adenocarcinoma. Front Surg. 2022 Feb </w:t>
      </w:r>
      <w:proofErr w:type="gramStart"/>
      <w:r w:rsidRPr="009D7B2E">
        <w:t>4;9:830849</w:t>
      </w:r>
      <w:proofErr w:type="gramEnd"/>
      <w:r w:rsidRPr="009D7B2E">
        <w:t>.</w:t>
      </w:r>
    </w:p>
    <w:p w14:paraId="5C573073" w14:textId="2C5E9A5A" w:rsidR="009D7B2E" w:rsidRPr="009D7B2E" w:rsidRDefault="009D7B2E" w:rsidP="009D7B2E">
      <w:pPr>
        <w:jc w:val="both"/>
      </w:pPr>
      <w:r w:rsidRPr="009D7B2E">
        <w:t>6.</w:t>
      </w:r>
      <w:r w:rsidR="008E4566">
        <w:t xml:space="preserve"> </w:t>
      </w:r>
      <w:r w:rsidRPr="009D7B2E">
        <w:t xml:space="preserve">Abed R, </w:t>
      </w:r>
      <w:proofErr w:type="spellStart"/>
      <w:r w:rsidRPr="009D7B2E">
        <w:t>Alhroub</w:t>
      </w:r>
      <w:proofErr w:type="spellEnd"/>
      <w:r w:rsidRPr="009D7B2E">
        <w:t xml:space="preserve"> W, </w:t>
      </w:r>
      <w:proofErr w:type="spellStart"/>
      <w:r w:rsidRPr="009D7B2E">
        <w:t>Asbeh</w:t>
      </w:r>
      <w:proofErr w:type="spellEnd"/>
      <w:r w:rsidRPr="009D7B2E">
        <w:t xml:space="preserve"> YA, Rabee A, </w:t>
      </w:r>
      <w:proofErr w:type="spellStart"/>
      <w:r w:rsidRPr="009D7B2E">
        <w:t>Bannoura</w:t>
      </w:r>
      <w:proofErr w:type="spellEnd"/>
      <w:r w:rsidRPr="009D7B2E">
        <w:t xml:space="preserve"> S, Madia A. A rare presentation of primary lung adenocarcinoma mimicking bilateral interstitial infiltration: A case report and literature review. International Journal of Surgery Case Reports. 2025 Feb </w:t>
      </w:r>
      <w:proofErr w:type="gramStart"/>
      <w:r w:rsidRPr="009D7B2E">
        <w:t>1;127:110899</w:t>
      </w:r>
      <w:proofErr w:type="gramEnd"/>
      <w:r w:rsidRPr="009D7B2E">
        <w:t>.</w:t>
      </w:r>
    </w:p>
    <w:p w14:paraId="1DE64F9D" w14:textId="0412C32F" w:rsidR="009D7B2E" w:rsidRPr="009D7B2E" w:rsidRDefault="009D7B2E" w:rsidP="009D7B2E">
      <w:pPr>
        <w:jc w:val="both"/>
      </w:pPr>
      <w:r w:rsidRPr="009D7B2E">
        <w:t>7.</w:t>
      </w:r>
      <w:r w:rsidR="008E4566">
        <w:t xml:space="preserve"> </w:t>
      </w:r>
      <w:r w:rsidRPr="009D7B2E">
        <w:t xml:space="preserve">Jabeen J, Ardra M, Valsan C, Paul J, Paul C. </w:t>
      </w:r>
      <w:proofErr w:type="gramStart"/>
      <w:r w:rsidRPr="009D7B2E">
        <w:t>A</w:t>
      </w:r>
      <w:proofErr w:type="gramEnd"/>
      <w:r w:rsidRPr="009D7B2E">
        <w:t xml:space="preserve"> Rare and Life-Threatening Complication of Salmonella Typhi Infection: A Case Report </w:t>
      </w:r>
      <w:r w:rsidR="000475C6" w:rsidRPr="009D7B2E">
        <w:t>from</w:t>
      </w:r>
      <w:r w:rsidRPr="009D7B2E">
        <w:t xml:space="preserve"> India Highlighting Diagnostic and Therapeutic Challenges in Salmonella Sepsis. Cureus. 2024 Dec;16(12</w:t>
      </w:r>
      <w:proofErr w:type="gramStart"/>
      <w:r w:rsidRPr="009D7B2E">
        <w:t>):e</w:t>
      </w:r>
      <w:proofErr w:type="gramEnd"/>
      <w:r w:rsidRPr="009D7B2E">
        <w:t>76234.</w:t>
      </w:r>
    </w:p>
    <w:p w14:paraId="18F5872F" w14:textId="77777777" w:rsidR="009D7B2E" w:rsidRPr="009829D7" w:rsidRDefault="009D7B2E" w:rsidP="00635B5F">
      <w:pPr>
        <w:jc w:val="both"/>
      </w:pPr>
    </w:p>
    <w:p w14:paraId="53E3A3E8" w14:textId="77777777" w:rsidR="00635B5F" w:rsidRPr="009829D7" w:rsidRDefault="00635B5F" w:rsidP="00635B5F">
      <w:pPr>
        <w:spacing w:line="240" w:lineRule="auto"/>
      </w:pPr>
    </w:p>
    <w:sectPr w:rsidR="00635B5F" w:rsidRPr="00982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92E5E" w14:textId="77777777" w:rsidR="00FA2646" w:rsidRDefault="00FA2646" w:rsidP="006B146A">
      <w:pPr>
        <w:spacing w:after="0" w:line="240" w:lineRule="auto"/>
      </w:pPr>
      <w:r>
        <w:separator/>
      </w:r>
    </w:p>
  </w:endnote>
  <w:endnote w:type="continuationSeparator" w:id="0">
    <w:p w14:paraId="065B6F60" w14:textId="77777777" w:rsidR="00FA2646" w:rsidRDefault="00FA2646" w:rsidP="006B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083F" w14:textId="77777777" w:rsidR="006B146A" w:rsidRDefault="006B1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58A8" w14:textId="77777777" w:rsidR="006B146A" w:rsidRDefault="006B1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BD67" w14:textId="77777777" w:rsidR="006B146A" w:rsidRDefault="006B1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2CB4" w14:textId="77777777" w:rsidR="00FA2646" w:rsidRDefault="00FA2646" w:rsidP="006B146A">
      <w:pPr>
        <w:spacing w:after="0" w:line="240" w:lineRule="auto"/>
      </w:pPr>
      <w:r>
        <w:separator/>
      </w:r>
    </w:p>
  </w:footnote>
  <w:footnote w:type="continuationSeparator" w:id="0">
    <w:p w14:paraId="77A39C08" w14:textId="77777777" w:rsidR="00FA2646" w:rsidRDefault="00FA2646" w:rsidP="006B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A3CF" w14:textId="318CDAFD" w:rsidR="006B146A" w:rsidRDefault="006B146A">
    <w:pPr>
      <w:pStyle w:val="Header"/>
    </w:pPr>
    <w:r>
      <w:rPr>
        <w:noProof/>
      </w:rPr>
      <w:pict w14:anchorId="3EFAAB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633797" o:spid="_x0000_s1026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97BA" w14:textId="10EDF652" w:rsidR="006B146A" w:rsidRDefault="006B146A">
    <w:pPr>
      <w:pStyle w:val="Header"/>
    </w:pPr>
    <w:r>
      <w:rPr>
        <w:noProof/>
      </w:rPr>
      <w:pict w14:anchorId="698791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633798" o:spid="_x0000_s1027" type="#_x0000_t136" style="position:absolute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CD49" w14:textId="04580C9E" w:rsidR="006B146A" w:rsidRDefault="006B146A">
    <w:pPr>
      <w:pStyle w:val="Header"/>
    </w:pPr>
    <w:r>
      <w:rPr>
        <w:noProof/>
      </w:rPr>
      <w:pict w14:anchorId="26862C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633796" o:spid="_x0000_s1025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4545F"/>
    <w:multiLevelType w:val="hybridMultilevel"/>
    <w:tmpl w:val="F68600E0"/>
    <w:lvl w:ilvl="0" w:tplc="D53629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A48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40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CF6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48A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C3B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0A8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4F7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4BF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00C9A"/>
    <w:multiLevelType w:val="hybridMultilevel"/>
    <w:tmpl w:val="5C8AA7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51885">
    <w:abstractNumId w:val="0"/>
  </w:num>
  <w:num w:numId="2" w16cid:durableId="71299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5F"/>
    <w:rsid w:val="0000071D"/>
    <w:rsid w:val="0001615E"/>
    <w:rsid w:val="000241F7"/>
    <w:rsid w:val="00037620"/>
    <w:rsid w:val="00042F2E"/>
    <w:rsid w:val="00044818"/>
    <w:rsid w:val="000475C6"/>
    <w:rsid w:val="00071CF2"/>
    <w:rsid w:val="00073808"/>
    <w:rsid w:val="00084032"/>
    <w:rsid w:val="000B06B5"/>
    <w:rsid w:val="000B6A71"/>
    <w:rsid w:val="000C4CFB"/>
    <w:rsid w:val="000C6FCC"/>
    <w:rsid w:val="000D342F"/>
    <w:rsid w:val="000F2966"/>
    <w:rsid w:val="000F3B2E"/>
    <w:rsid w:val="00117A4F"/>
    <w:rsid w:val="00156089"/>
    <w:rsid w:val="00156A8D"/>
    <w:rsid w:val="00170AF0"/>
    <w:rsid w:val="00185F58"/>
    <w:rsid w:val="00192A37"/>
    <w:rsid w:val="001A5CCF"/>
    <w:rsid w:val="001B40B6"/>
    <w:rsid w:val="001C1D6E"/>
    <w:rsid w:val="001D09DB"/>
    <w:rsid w:val="001D1EDE"/>
    <w:rsid w:val="001D56EB"/>
    <w:rsid w:val="001E7C73"/>
    <w:rsid w:val="00200DB6"/>
    <w:rsid w:val="002070F7"/>
    <w:rsid w:val="0021731A"/>
    <w:rsid w:val="00224450"/>
    <w:rsid w:val="0022470F"/>
    <w:rsid w:val="00231A59"/>
    <w:rsid w:val="002327FC"/>
    <w:rsid w:val="00232926"/>
    <w:rsid w:val="002420F7"/>
    <w:rsid w:val="00242ACF"/>
    <w:rsid w:val="00242FCE"/>
    <w:rsid w:val="0024372A"/>
    <w:rsid w:val="00245136"/>
    <w:rsid w:val="002514D2"/>
    <w:rsid w:val="00256ED1"/>
    <w:rsid w:val="00292B7B"/>
    <w:rsid w:val="00294DCB"/>
    <w:rsid w:val="002C2FFA"/>
    <w:rsid w:val="002E64C8"/>
    <w:rsid w:val="002F058C"/>
    <w:rsid w:val="002F579A"/>
    <w:rsid w:val="002F6E62"/>
    <w:rsid w:val="00301B67"/>
    <w:rsid w:val="00310AE4"/>
    <w:rsid w:val="00323254"/>
    <w:rsid w:val="00327DDB"/>
    <w:rsid w:val="00332EE6"/>
    <w:rsid w:val="00340FB6"/>
    <w:rsid w:val="0035301D"/>
    <w:rsid w:val="003647D1"/>
    <w:rsid w:val="00367771"/>
    <w:rsid w:val="00370640"/>
    <w:rsid w:val="00377C7A"/>
    <w:rsid w:val="0038064E"/>
    <w:rsid w:val="0038193A"/>
    <w:rsid w:val="0039353E"/>
    <w:rsid w:val="0039746A"/>
    <w:rsid w:val="003C03EF"/>
    <w:rsid w:val="003C2723"/>
    <w:rsid w:val="003F1265"/>
    <w:rsid w:val="003F697B"/>
    <w:rsid w:val="0041754D"/>
    <w:rsid w:val="00423B61"/>
    <w:rsid w:val="00430A49"/>
    <w:rsid w:val="004312E9"/>
    <w:rsid w:val="004333EF"/>
    <w:rsid w:val="00433779"/>
    <w:rsid w:val="004432A5"/>
    <w:rsid w:val="0044367E"/>
    <w:rsid w:val="0044742D"/>
    <w:rsid w:val="00453278"/>
    <w:rsid w:val="0045645F"/>
    <w:rsid w:val="00464E5D"/>
    <w:rsid w:val="00483F07"/>
    <w:rsid w:val="00485BD5"/>
    <w:rsid w:val="004903B6"/>
    <w:rsid w:val="0049488B"/>
    <w:rsid w:val="004B3CD9"/>
    <w:rsid w:val="004C55B0"/>
    <w:rsid w:val="004C6FB2"/>
    <w:rsid w:val="004D259F"/>
    <w:rsid w:val="004E7B2C"/>
    <w:rsid w:val="004F2891"/>
    <w:rsid w:val="004F42D3"/>
    <w:rsid w:val="00523FF7"/>
    <w:rsid w:val="0052657B"/>
    <w:rsid w:val="00543E87"/>
    <w:rsid w:val="005476BA"/>
    <w:rsid w:val="00552025"/>
    <w:rsid w:val="005648E9"/>
    <w:rsid w:val="0056641E"/>
    <w:rsid w:val="00581576"/>
    <w:rsid w:val="005936B5"/>
    <w:rsid w:val="005A306F"/>
    <w:rsid w:val="005B3C3A"/>
    <w:rsid w:val="005B57FB"/>
    <w:rsid w:val="005B5E30"/>
    <w:rsid w:val="005C1F91"/>
    <w:rsid w:val="005E05B7"/>
    <w:rsid w:val="0060128F"/>
    <w:rsid w:val="00606C9B"/>
    <w:rsid w:val="00610CC7"/>
    <w:rsid w:val="0061199D"/>
    <w:rsid w:val="006124A9"/>
    <w:rsid w:val="00616679"/>
    <w:rsid w:val="0062262F"/>
    <w:rsid w:val="00622923"/>
    <w:rsid w:val="00627CFB"/>
    <w:rsid w:val="00635B5F"/>
    <w:rsid w:val="00646A78"/>
    <w:rsid w:val="00651637"/>
    <w:rsid w:val="00661170"/>
    <w:rsid w:val="00663104"/>
    <w:rsid w:val="00681FD2"/>
    <w:rsid w:val="00682A51"/>
    <w:rsid w:val="00686258"/>
    <w:rsid w:val="006B146A"/>
    <w:rsid w:val="006B5316"/>
    <w:rsid w:val="006C6C5B"/>
    <w:rsid w:val="006D0EA0"/>
    <w:rsid w:val="00701201"/>
    <w:rsid w:val="007145A4"/>
    <w:rsid w:val="007316EF"/>
    <w:rsid w:val="00740F8A"/>
    <w:rsid w:val="00752D8A"/>
    <w:rsid w:val="007540F8"/>
    <w:rsid w:val="00754853"/>
    <w:rsid w:val="00783F4D"/>
    <w:rsid w:val="007A0898"/>
    <w:rsid w:val="007A0A0F"/>
    <w:rsid w:val="007A4109"/>
    <w:rsid w:val="007B6877"/>
    <w:rsid w:val="00800011"/>
    <w:rsid w:val="00802E63"/>
    <w:rsid w:val="008126DC"/>
    <w:rsid w:val="00825412"/>
    <w:rsid w:val="00830926"/>
    <w:rsid w:val="008309DF"/>
    <w:rsid w:val="00847A0F"/>
    <w:rsid w:val="00862D4B"/>
    <w:rsid w:val="00864ADA"/>
    <w:rsid w:val="0086719B"/>
    <w:rsid w:val="00870DA7"/>
    <w:rsid w:val="008750AB"/>
    <w:rsid w:val="00882CF0"/>
    <w:rsid w:val="0088575A"/>
    <w:rsid w:val="008866CE"/>
    <w:rsid w:val="00890FF1"/>
    <w:rsid w:val="008B548F"/>
    <w:rsid w:val="008E2678"/>
    <w:rsid w:val="008E4566"/>
    <w:rsid w:val="008F2242"/>
    <w:rsid w:val="008F2843"/>
    <w:rsid w:val="008F741D"/>
    <w:rsid w:val="0091402F"/>
    <w:rsid w:val="0092080F"/>
    <w:rsid w:val="0092330D"/>
    <w:rsid w:val="00926542"/>
    <w:rsid w:val="009303D2"/>
    <w:rsid w:val="00930C6B"/>
    <w:rsid w:val="00957E5C"/>
    <w:rsid w:val="00963A01"/>
    <w:rsid w:val="00964BC9"/>
    <w:rsid w:val="00975DEF"/>
    <w:rsid w:val="009829D7"/>
    <w:rsid w:val="00990769"/>
    <w:rsid w:val="00992069"/>
    <w:rsid w:val="0099247A"/>
    <w:rsid w:val="009A0AC5"/>
    <w:rsid w:val="009B1AE4"/>
    <w:rsid w:val="009B4897"/>
    <w:rsid w:val="009B76F6"/>
    <w:rsid w:val="009B7CA0"/>
    <w:rsid w:val="009D3800"/>
    <w:rsid w:val="009D48B6"/>
    <w:rsid w:val="009D7B2E"/>
    <w:rsid w:val="009E6EB7"/>
    <w:rsid w:val="009F0F97"/>
    <w:rsid w:val="00A005FC"/>
    <w:rsid w:val="00A01F5D"/>
    <w:rsid w:val="00A13987"/>
    <w:rsid w:val="00A156D9"/>
    <w:rsid w:val="00A2776D"/>
    <w:rsid w:val="00A37276"/>
    <w:rsid w:val="00A46978"/>
    <w:rsid w:val="00A7704D"/>
    <w:rsid w:val="00A869B6"/>
    <w:rsid w:val="00AB02B8"/>
    <w:rsid w:val="00AB1009"/>
    <w:rsid w:val="00AB44B3"/>
    <w:rsid w:val="00AC4B94"/>
    <w:rsid w:val="00AD7410"/>
    <w:rsid w:val="00AE472A"/>
    <w:rsid w:val="00B22699"/>
    <w:rsid w:val="00B5048D"/>
    <w:rsid w:val="00B56123"/>
    <w:rsid w:val="00B740BB"/>
    <w:rsid w:val="00BB6F22"/>
    <w:rsid w:val="00BB7405"/>
    <w:rsid w:val="00BB77FC"/>
    <w:rsid w:val="00BB7848"/>
    <w:rsid w:val="00BD1DD9"/>
    <w:rsid w:val="00BD21E9"/>
    <w:rsid w:val="00BD7E6F"/>
    <w:rsid w:val="00BE5C82"/>
    <w:rsid w:val="00BF2CE5"/>
    <w:rsid w:val="00BF4B44"/>
    <w:rsid w:val="00BF7632"/>
    <w:rsid w:val="00C33E65"/>
    <w:rsid w:val="00C355B8"/>
    <w:rsid w:val="00C3688C"/>
    <w:rsid w:val="00C40F21"/>
    <w:rsid w:val="00C45843"/>
    <w:rsid w:val="00C53307"/>
    <w:rsid w:val="00C5331D"/>
    <w:rsid w:val="00C57CB1"/>
    <w:rsid w:val="00C707DB"/>
    <w:rsid w:val="00C77945"/>
    <w:rsid w:val="00C878DF"/>
    <w:rsid w:val="00CD077E"/>
    <w:rsid w:val="00CE106F"/>
    <w:rsid w:val="00CE141E"/>
    <w:rsid w:val="00CF2F50"/>
    <w:rsid w:val="00D02318"/>
    <w:rsid w:val="00D063DC"/>
    <w:rsid w:val="00D34A77"/>
    <w:rsid w:val="00D43C33"/>
    <w:rsid w:val="00D62459"/>
    <w:rsid w:val="00D66C65"/>
    <w:rsid w:val="00D80B03"/>
    <w:rsid w:val="00D83D4E"/>
    <w:rsid w:val="00D87B67"/>
    <w:rsid w:val="00D9239C"/>
    <w:rsid w:val="00D939F1"/>
    <w:rsid w:val="00D94874"/>
    <w:rsid w:val="00D96BE2"/>
    <w:rsid w:val="00D97C99"/>
    <w:rsid w:val="00DA3444"/>
    <w:rsid w:val="00DA3869"/>
    <w:rsid w:val="00DA766C"/>
    <w:rsid w:val="00DE64DC"/>
    <w:rsid w:val="00DF1409"/>
    <w:rsid w:val="00DF35E0"/>
    <w:rsid w:val="00DF6358"/>
    <w:rsid w:val="00E22811"/>
    <w:rsid w:val="00E255D2"/>
    <w:rsid w:val="00E620C8"/>
    <w:rsid w:val="00E760A4"/>
    <w:rsid w:val="00E76E86"/>
    <w:rsid w:val="00E8018B"/>
    <w:rsid w:val="00E837A8"/>
    <w:rsid w:val="00E85E8C"/>
    <w:rsid w:val="00E8796B"/>
    <w:rsid w:val="00E94DF9"/>
    <w:rsid w:val="00EA3254"/>
    <w:rsid w:val="00EA360D"/>
    <w:rsid w:val="00EA3777"/>
    <w:rsid w:val="00EB0DFE"/>
    <w:rsid w:val="00EB4076"/>
    <w:rsid w:val="00ED4A6F"/>
    <w:rsid w:val="00ED4AB7"/>
    <w:rsid w:val="00EE35F5"/>
    <w:rsid w:val="00EE725D"/>
    <w:rsid w:val="00F038DD"/>
    <w:rsid w:val="00F066B6"/>
    <w:rsid w:val="00F148A8"/>
    <w:rsid w:val="00F15EBB"/>
    <w:rsid w:val="00F16B86"/>
    <w:rsid w:val="00F2038B"/>
    <w:rsid w:val="00F23FBB"/>
    <w:rsid w:val="00F32CD1"/>
    <w:rsid w:val="00F374DB"/>
    <w:rsid w:val="00F60F1B"/>
    <w:rsid w:val="00F64A0C"/>
    <w:rsid w:val="00F67DC3"/>
    <w:rsid w:val="00F77B51"/>
    <w:rsid w:val="00F80676"/>
    <w:rsid w:val="00F87521"/>
    <w:rsid w:val="00F95612"/>
    <w:rsid w:val="00FA2646"/>
    <w:rsid w:val="00FA336E"/>
    <w:rsid w:val="00FA68A3"/>
    <w:rsid w:val="00FA7996"/>
    <w:rsid w:val="00FB1CF7"/>
    <w:rsid w:val="00FC72E1"/>
    <w:rsid w:val="00F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D6D72"/>
  <w15:chartTrackingRefBased/>
  <w15:docId w15:val="{77603CD8-9CC7-4EFB-8D27-26BCC354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9D7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B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BD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D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1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6A"/>
  </w:style>
  <w:style w:type="paragraph" w:styleId="Footer">
    <w:name w:val="footer"/>
    <w:basedOn w:val="Normal"/>
    <w:link w:val="FooterChar"/>
    <w:uiPriority w:val="99"/>
    <w:unhideWhenUsed/>
    <w:rsid w:val="006B1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13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86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56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2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757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8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9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579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46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9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9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070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52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66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61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121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8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8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60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7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50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19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04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038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icrobiologyresearch.org/content/journal/acmi/10.1099/acmi.0.0001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1AE8-EAB9-4306-B5F5-34783575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Vinayak Sarma</dc:creator>
  <cp:keywords/>
  <dc:description/>
  <cp:lastModifiedBy>Editor-22</cp:lastModifiedBy>
  <cp:revision>151</cp:revision>
  <dcterms:created xsi:type="dcterms:W3CDTF">2025-01-22T17:57:00Z</dcterms:created>
  <dcterms:modified xsi:type="dcterms:W3CDTF">2025-06-02T10:04:00Z</dcterms:modified>
</cp:coreProperties>
</file>