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80DC7" w14:textId="77777777" w:rsidR="00F3350C" w:rsidRPr="00F3350C" w:rsidRDefault="00F3350C" w:rsidP="00F3350C">
      <w:pPr>
        <w:spacing w:line="480" w:lineRule="auto"/>
        <w:rPr>
          <w:rFonts w:ascii="Calibri" w:hAnsi="Calibri" w:cs="Calibri"/>
          <w:b/>
          <w:bCs/>
          <w:i/>
          <w:iCs/>
          <w:u w:val="single"/>
          <w:lang w:val="en-US"/>
        </w:rPr>
      </w:pPr>
      <w:bookmarkStart w:id="0" w:name="_Hlk199519810"/>
      <w:r w:rsidRPr="00F3350C">
        <w:rPr>
          <w:rFonts w:ascii="Calibri" w:hAnsi="Calibri" w:cs="Calibri"/>
          <w:b/>
          <w:bCs/>
          <w:i/>
          <w:iCs/>
          <w:u w:val="single"/>
          <w:lang w:val="en-US"/>
        </w:rPr>
        <w:t xml:space="preserve">Case report </w:t>
      </w:r>
    </w:p>
    <w:p w14:paraId="1558086D" w14:textId="77777777" w:rsidR="00F3350C" w:rsidRDefault="00F3350C" w:rsidP="0042614A">
      <w:pPr>
        <w:spacing w:line="480" w:lineRule="auto"/>
        <w:rPr>
          <w:rFonts w:ascii="Calibri" w:hAnsi="Calibri" w:cs="Calibri"/>
          <w:b/>
          <w:bCs/>
        </w:rPr>
      </w:pPr>
    </w:p>
    <w:p w14:paraId="0E7A4E2F" w14:textId="3262DA28" w:rsidR="006F1E13" w:rsidRPr="00277968" w:rsidRDefault="0042614A" w:rsidP="0042614A">
      <w:pPr>
        <w:spacing w:line="480" w:lineRule="auto"/>
        <w:rPr>
          <w:rFonts w:ascii="Calibri" w:hAnsi="Calibri" w:cs="Calibri"/>
          <w:lang w:val="en-US"/>
        </w:rPr>
      </w:pPr>
      <w:r w:rsidRPr="0042614A">
        <w:rPr>
          <w:rFonts w:ascii="Calibri" w:hAnsi="Calibri" w:cs="Calibri"/>
          <w:b/>
          <w:bCs/>
        </w:rPr>
        <w:t xml:space="preserve">The Root of the Problem: </w:t>
      </w:r>
      <w:r>
        <w:rPr>
          <w:rFonts w:ascii="Calibri" w:hAnsi="Calibri" w:cs="Calibri"/>
          <w:b/>
          <w:bCs/>
        </w:rPr>
        <w:t xml:space="preserve">A case of </w:t>
      </w:r>
      <w:proofErr w:type="spellStart"/>
      <w:r>
        <w:rPr>
          <w:rFonts w:ascii="Calibri" w:hAnsi="Calibri" w:cs="Calibri"/>
          <w:b/>
          <w:bCs/>
        </w:rPr>
        <w:t>H</w:t>
      </w:r>
      <w:r w:rsidRPr="0042614A">
        <w:rPr>
          <w:rFonts w:ascii="Calibri" w:hAnsi="Calibri" w:cs="Calibri"/>
          <w:b/>
          <w:bCs/>
        </w:rPr>
        <w:t>ypokalemia</w:t>
      </w:r>
      <w:proofErr w:type="spellEnd"/>
      <w:r w:rsidRPr="0042614A">
        <w:rPr>
          <w:rFonts w:ascii="Calibri" w:hAnsi="Calibri" w:cs="Calibri"/>
          <w:b/>
          <w:bCs/>
        </w:rPr>
        <w:t xml:space="preserve"> from </w:t>
      </w:r>
      <w:proofErr w:type="spellStart"/>
      <w:r>
        <w:rPr>
          <w:rFonts w:ascii="Calibri" w:hAnsi="Calibri" w:cs="Calibri"/>
          <w:b/>
          <w:bCs/>
        </w:rPr>
        <w:t>L</w:t>
      </w:r>
      <w:r w:rsidRPr="0042614A">
        <w:rPr>
          <w:rFonts w:ascii="Calibri" w:hAnsi="Calibri" w:cs="Calibri"/>
          <w:b/>
          <w:bCs/>
        </w:rPr>
        <w:t>icorice</w:t>
      </w:r>
      <w:proofErr w:type="spellEnd"/>
      <w:r w:rsidRPr="0042614A">
        <w:rPr>
          <w:rFonts w:ascii="Calibri" w:hAnsi="Calibri" w:cs="Calibri"/>
          <w:b/>
          <w:bCs/>
        </w:rPr>
        <w:t xml:space="preserve"> </w:t>
      </w:r>
      <w:r>
        <w:rPr>
          <w:rFonts w:ascii="Calibri" w:hAnsi="Calibri" w:cs="Calibri"/>
          <w:b/>
          <w:bCs/>
        </w:rPr>
        <w:t>H</w:t>
      </w:r>
      <w:r w:rsidRPr="0042614A">
        <w:rPr>
          <w:rFonts w:ascii="Calibri" w:hAnsi="Calibri" w:cs="Calibri"/>
          <w:b/>
          <w:bCs/>
        </w:rPr>
        <w:t>erb</w:t>
      </w:r>
    </w:p>
    <w:bookmarkEnd w:id="0"/>
    <w:p w14:paraId="087CC360" w14:textId="77777777" w:rsidR="009B138D" w:rsidRPr="00277968" w:rsidRDefault="009B138D" w:rsidP="00277968">
      <w:pPr>
        <w:spacing w:line="480" w:lineRule="auto"/>
        <w:rPr>
          <w:rFonts w:ascii="Calibri" w:hAnsi="Calibri" w:cs="Calibri"/>
        </w:rPr>
      </w:pPr>
    </w:p>
    <w:p w14:paraId="750D4A24" w14:textId="58555C23" w:rsidR="00187DC7" w:rsidRPr="00187DC7" w:rsidRDefault="00187DC7" w:rsidP="00277968">
      <w:pPr>
        <w:spacing w:line="480" w:lineRule="auto"/>
        <w:rPr>
          <w:rFonts w:ascii="Calibri" w:hAnsi="Calibri" w:cs="Calibri"/>
          <w:b/>
          <w:bCs/>
        </w:rPr>
      </w:pPr>
      <w:r w:rsidRPr="00187DC7">
        <w:rPr>
          <w:rFonts w:ascii="Calibri" w:hAnsi="Calibri" w:cs="Calibri"/>
          <w:b/>
          <w:bCs/>
        </w:rPr>
        <w:t xml:space="preserve">Abstract </w:t>
      </w:r>
    </w:p>
    <w:p w14:paraId="46ABE7E3" w14:textId="7332BE8A" w:rsidR="009B138D" w:rsidRPr="00277968" w:rsidRDefault="009146D6" w:rsidP="00277968">
      <w:pPr>
        <w:spacing w:line="480" w:lineRule="auto"/>
        <w:rPr>
          <w:rFonts w:ascii="Calibri" w:hAnsi="Calibri" w:cs="Calibri"/>
        </w:rPr>
      </w:pPr>
      <w:r>
        <w:rPr>
          <w:rFonts w:ascii="Calibri" w:hAnsi="Calibri" w:cs="Calibri"/>
        </w:rPr>
        <w:t>W</w:t>
      </w:r>
      <w:r w:rsidRPr="009146D6">
        <w:rPr>
          <w:rFonts w:ascii="Calibri" w:hAnsi="Calibri" w:cs="Calibri"/>
        </w:rPr>
        <w:t xml:space="preserve">e present the case of a 70-year-old female traveller recently returned from China, who was admitted with profound </w:t>
      </w:r>
      <w:proofErr w:type="spellStart"/>
      <w:r w:rsidRPr="009146D6">
        <w:rPr>
          <w:rFonts w:ascii="Calibri" w:hAnsi="Calibri" w:cs="Calibri"/>
        </w:rPr>
        <w:t>hypokalemia</w:t>
      </w:r>
      <w:proofErr w:type="spellEnd"/>
      <w:r w:rsidRPr="009146D6">
        <w:rPr>
          <w:rFonts w:ascii="Calibri" w:hAnsi="Calibri" w:cs="Calibri"/>
        </w:rPr>
        <w:t>. This case highlights the critical importance of obtaining a comprehensive medication and travel history in evaluating returning travellers.</w:t>
      </w:r>
      <w:r w:rsidRPr="009146D6">
        <w:t xml:space="preserve"> </w:t>
      </w:r>
      <w:proofErr w:type="spellStart"/>
      <w:r w:rsidRPr="009146D6">
        <w:rPr>
          <w:rFonts w:ascii="Calibri" w:hAnsi="Calibri" w:cs="Calibri"/>
        </w:rPr>
        <w:t>Hypokalemia</w:t>
      </w:r>
      <w:proofErr w:type="spellEnd"/>
      <w:r w:rsidRPr="009146D6">
        <w:rPr>
          <w:rFonts w:ascii="Calibri" w:hAnsi="Calibri" w:cs="Calibri"/>
        </w:rPr>
        <w:t xml:space="preserve"> is common in hospitalized patients and c</w:t>
      </w:r>
      <w:bookmarkStart w:id="1" w:name="_GoBack"/>
      <w:bookmarkEnd w:id="1"/>
      <w:r w:rsidRPr="009146D6">
        <w:rPr>
          <w:rFonts w:ascii="Calibri" w:hAnsi="Calibri" w:cs="Calibri"/>
        </w:rPr>
        <w:t>an result from a variety of causes including gastrointestinal or renal losses, medication effects, endocrine disorders, and nutritional deficiencies.</w:t>
      </w:r>
      <w:r>
        <w:rPr>
          <w:rFonts w:ascii="Calibri" w:hAnsi="Calibri" w:cs="Calibri"/>
        </w:rPr>
        <w:t xml:space="preserve"> H</w:t>
      </w:r>
      <w:r w:rsidRPr="009146D6">
        <w:rPr>
          <w:rFonts w:ascii="Calibri" w:hAnsi="Calibri" w:cs="Calibri"/>
        </w:rPr>
        <w:t xml:space="preserve">ypokalaemia was managed with multiple infusions of intravenous potassium as well as oral supplementation. As her magnesium level was low at 0.66 mmol/L (reference range: 0.7–1.0 mmol/L), magnesium was </w:t>
      </w:r>
      <w:proofErr w:type="spellStart"/>
      <w:r w:rsidRPr="009146D6">
        <w:rPr>
          <w:rFonts w:ascii="Calibri" w:hAnsi="Calibri" w:cs="Calibri"/>
        </w:rPr>
        <w:t>repleted</w:t>
      </w:r>
      <w:proofErr w:type="spellEnd"/>
      <w:r w:rsidRPr="009146D6">
        <w:rPr>
          <w:rFonts w:ascii="Calibri" w:hAnsi="Calibri" w:cs="Calibri"/>
        </w:rPr>
        <w:t xml:space="preserve"> prior to potassium to help correct the hypokalaemia more effectively. The patient’s follow-up lab results demonstrated a low plasma renin activity at 0.16 ng/ml/hr and a low aldosterone level at &lt;1.0 ng/dL.</w:t>
      </w:r>
      <w:r w:rsidRPr="009146D6">
        <w:t xml:space="preserve"> </w:t>
      </w:r>
      <w:proofErr w:type="spellStart"/>
      <w:r w:rsidRPr="009146D6">
        <w:rPr>
          <w:rFonts w:ascii="Calibri" w:hAnsi="Calibri" w:cs="Calibri"/>
        </w:rPr>
        <w:t>Hypokalemia</w:t>
      </w:r>
      <w:proofErr w:type="spellEnd"/>
      <w:r w:rsidRPr="009146D6">
        <w:rPr>
          <w:rFonts w:ascii="Calibri" w:hAnsi="Calibri" w:cs="Calibri"/>
        </w:rPr>
        <w:t xml:space="preserve"> can result from various causes, including gastrointestinal or renal losses, transcellular shifts, or reduced oral intake, making a thorough history essential for identifying the underlying </w:t>
      </w:r>
      <w:proofErr w:type="spellStart"/>
      <w:r w:rsidRPr="009146D6">
        <w:rPr>
          <w:rFonts w:ascii="Calibri" w:hAnsi="Calibri" w:cs="Calibri"/>
        </w:rPr>
        <w:t>etiology</w:t>
      </w:r>
      <w:proofErr w:type="spellEnd"/>
      <w:r w:rsidRPr="009146D6">
        <w:rPr>
          <w:rFonts w:ascii="Calibri" w:hAnsi="Calibri" w:cs="Calibri"/>
        </w:rPr>
        <w:t>.</w:t>
      </w:r>
    </w:p>
    <w:p w14:paraId="316B11EE" w14:textId="56E4B11C" w:rsidR="009B138D" w:rsidRPr="00277968" w:rsidRDefault="009B138D" w:rsidP="00277968">
      <w:pPr>
        <w:spacing w:line="480" w:lineRule="auto"/>
        <w:rPr>
          <w:rFonts w:ascii="Calibri" w:hAnsi="Calibri" w:cs="Calibri"/>
        </w:rPr>
      </w:pPr>
      <w:r w:rsidRPr="00277968">
        <w:rPr>
          <w:rFonts w:ascii="Calibri" w:hAnsi="Calibri" w:cs="Calibri"/>
          <w:b/>
          <w:bCs/>
        </w:rPr>
        <w:t>Keywords:</w:t>
      </w:r>
      <w:r w:rsidRPr="00277968">
        <w:rPr>
          <w:rFonts w:ascii="Calibri" w:hAnsi="Calibri" w:cs="Calibri"/>
        </w:rPr>
        <w:t xml:space="preserve"> </w:t>
      </w:r>
      <w:r w:rsidR="00F45E14" w:rsidRPr="00277968">
        <w:rPr>
          <w:rFonts w:ascii="Calibri" w:hAnsi="Calibri" w:cs="Calibri"/>
        </w:rPr>
        <w:t xml:space="preserve">Electrolyte, </w:t>
      </w:r>
      <w:proofErr w:type="spellStart"/>
      <w:r w:rsidR="00F45E14" w:rsidRPr="00277968">
        <w:rPr>
          <w:rFonts w:ascii="Calibri" w:hAnsi="Calibri" w:cs="Calibri"/>
        </w:rPr>
        <w:t>hypokalemia</w:t>
      </w:r>
      <w:proofErr w:type="spellEnd"/>
      <w:r w:rsidR="00F45E14" w:rsidRPr="00277968">
        <w:rPr>
          <w:rFonts w:ascii="Calibri" w:hAnsi="Calibri" w:cs="Calibri"/>
        </w:rPr>
        <w:t xml:space="preserve">, </w:t>
      </w:r>
      <w:proofErr w:type="spellStart"/>
      <w:r w:rsidR="00F45E14" w:rsidRPr="00277968">
        <w:rPr>
          <w:rFonts w:ascii="Calibri" w:hAnsi="Calibri" w:cs="Calibri"/>
        </w:rPr>
        <w:t>licorice</w:t>
      </w:r>
      <w:proofErr w:type="spellEnd"/>
      <w:r w:rsidR="00F45E14" w:rsidRPr="00277968">
        <w:rPr>
          <w:rFonts w:ascii="Calibri" w:hAnsi="Calibri" w:cs="Calibri"/>
        </w:rPr>
        <w:t>, acid-base</w:t>
      </w:r>
    </w:p>
    <w:p w14:paraId="57BB73B7" w14:textId="77777777" w:rsidR="00D046A0" w:rsidRPr="00277968" w:rsidRDefault="00D046A0" w:rsidP="00277968">
      <w:pPr>
        <w:spacing w:line="480" w:lineRule="auto"/>
        <w:rPr>
          <w:rFonts w:ascii="Calibri" w:hAnsi="Calibri" w:cs="Calibri"/>
          <w:b/>
          <w:bCs/>
          <w:u w:val="single"/>
        </w:rPr>
      </w:pPr>
    </w:p>
    <w:p w14:paraId="544FD99A" w14:textId="32BBAB1F" w:rsidR="009B138D" w:rsidRPr="0042614A" w:rsidRDefault="009B138D" w:rsidP="0042614A">
      <w:pPr>
        <w:spacing w:line="480" w:lineRule="auto"/>
        <w:rPr>
          <w:rFonts w:ascii="Calibri" w:hAnsi="Calibri" w:cs="Calibri"/>
          <w:b/>
          <w:bCs/>
        </w:rPr>
      </w:pPr>
      <w:r w:rsidRPr="00277968">
        <w:rPr>
          <w:rFonts w:ascii="Calibri" w:hAnsi="Calibri" w:cs="Calibri"/>
          <w:b/>
          <w:bCs/>
        </w:rPr>
        <w:t>Key Clinical Message</w:t>
      </w:r>
      <w:r w:rsidRPr="00277968">
        <w:rPr>
          <w:rFonts w:ascii="Calibri" w:hAnsi="Calibri" w:cs="Calibri"/>
          <w:b/>
          <w:bCs/>
        </w:rPr>
        <w:br/>
      </w:r>
      <w:proofErr w:type="spellStart"/>
      <w:r w:rsidR="00692E18" w:rsidRPr="00277968">
        <w:rPr>
          <w:rFonts w:ascii="Calibri" w:hAnsi="Calibri" w:cs="Calibri"/>
        </w:rPr>
        <w:t>Hypokalemia</w:t>
      </w:r>
      <w:proofErr w:type="spellEnd"/>
      <w:r w:rsidR="00F45E14" w:rsidRPr="00277968">
        <w:rPr>
          <w:rFonts w:ascii="Calibri" w:hAnsi="Calibri" w:cs="Calibri"/>
        </w:rPr>
        <w:t xml:space="preserve"> can often be multifactorial and requires a thorough history assessing for </w:t>
      </w:r>
      <w:r w:rsidR="00F45E14" w:rsidRPr="00277968">
        <w:rPr>
          <w:rFonts w:ascii="Calibri" w:hAnsi="Calibri" w:cs="Calibri"/>
        </w:rPr>
        <w:lastRenderedPageBreak/>
        <w:t>possible causes including reduced oral intake,</w:t>
      </w:r>
      <w:r w:rsidRPr="00277968">
        <w:rPr>
          <w:rFonts w:ascii="Calibri" w:hAnsi="Calibri" w:cs="Calibri"/>
        </w:rPr>
        <w:t xml:space="preserve"> </w:t>
      </w:r>
      <w:r w:rsidR="00F45E14" w:rsidRPr="00277968">
        <w:rPr>
          <w:rFonts w:ascii="Calibri" w:hAnsi="Calibri" w:cs="Calibri"/>
        </w:rPr>
        <w:t xml:space="preserve">transcellular shift, gastric loss or renal loss. </w:t>
      </w:r>
      <w:r w:rsidR="0042614A">
        <w:rPr>
          <w:rFonts w:ascii="Calibri" w:hAnsi="Calibri" w:cs="Calibri"/>
        </w:rPr>
        <w:t xml:space="preserve">Our case highlights the significant contribution of </w:t>
      </w:r>
      <w:proofErr w:type="spellStart"/>
      <w:r w:rsidR="0042614A">
        <w:rPr>
          <w:rFonts w:ascii="Calibri" w:hAnsi="Calibri" w:cs="Calibri"/>
        </w:rPr>
        <w:t>licorice</w:t>
      </w:r>
      <w:proofErr w:type="spellEnd"/>
      <w:r w:rsidR="0042614A">
        <w:rPr>
          <w:rFonts w:ascii="Calibri" w:hAnsi="Calibri" w:cs="Calibri"/>
        </w:rPr>
        <w:t xml:space="preserve"> to the patient’s </w:t>
      </w:r>
      <w:proofErr w:type="spellStart"/>
      <w:r w:rsidR="0042614A">
        <w:rPr>
          <w:rFonts w:ascii="Calibri" w:hAnsi="Calibri" w:cs="Calibri"/>
        </w:rPr>
        <w:t>hypokalemia</w:t>
      </w:r>
      <w:proofErr w:type="spellEnd"/>
      <w:r w:rsidR="0042614A">
        <w:rPr>
          <w:rFonts w:ascii="Calibri" w:hAnsi="Calibri" w:cs="Calibri"/>
        </w:rPr>
        <w:t xml:space="preserve">. </w:t>
      </w:r>
    </w:p>
    <w:p w14:paraId="7DF4CEAD" w14:textId="138151E7" w:rsidR="000C24FB" w:rsidRPr="00277968" w:rsidRDefault="000C24FB" w:rsidP="00277968">
      <w:pPr>
        <w:spacing w:line="480" w:lineRule="auto"/>
        <w:rPr>
          <w:rFonts w:ascii="Calibri" w:hAnsi="Calibri" w:cs="Calibri"/>
          <w:b/>
          <w:bCs/>
          <w:u w:val="single"/>
        </w:rPr>
      </w:pPr>
    </w:p>
    <w:p w14:paraId="691D372D" w14:textId="7807E129" w:rsidR="00AE3288" w:rsidRPr="00277968" w:rsidRDefault="00AE3288" w:rsidP="00277968">
      <w:pPr>
        <w:spacing w:line="480" w:lineRule="auto"/>
        <w:rPr>
          <w:rFonts w:ascii="Calibri" w:hAnsi="Calibri" w:cs="Calibri"/>
          <w:b/>
          <w:bCs/>
          <w:u w:val="single"/>
        </w:rPr>
      </w:pPr>
      <w:r w:rsidRPr="00277968">
        <w:rPr>
          <w:rFonts w:ascii="Calibri" w:hAnsi="Calibri" w:cs="Calibri"/>
          <w:b/>
          <w:bCs/>
          <w:u w:val="single"/>
        </w:rPr>
        <w:t>INTRODUCTION</w:t>
      </w:r>
    </w:p>
    <w:p w14:paraId="20E36449" w14:textId="424B1C3C" w:rsidR="00692E18" w:rsidRPr="00277968" w:rsidRDefault="00692E18" w:rsidP="00277968">
      <w:pPr>
        <w:spacing w:line="480" w:lineRule="auto"/>
        <w:rPr>
          <w:rFonts w:ascii="Calibri" w:hAnsi="Calibri" w:cs="Calibri"/>
        </w:rPr>
      </w:pPr>
      <w:proofErr w:type="spellStart"/>
      <w:r w:rsidRPr="00277968">
        <w:rPr>
          <w:rFonts w:ascii="Calibri" w:hAnsi="Calibri" w:cs="Calibri"/>
        </w:rPr>
        <w:t>Hypokalemia</w:t>
      </w:r>
      <w:proofErr w:type="spellEnd"/>
      <w:r w:rsidR="00F45E14" w:rsidRPr="00F45E14">
        <w:rPr>
          <w:rFonts w:ascii="Calibri" w:hAnsi="Calibri" w:cs="Calibri"/>
        </w:rPr>
        <w:t xml:space="preserve"> </w:t>
      </w:r>
      <w:r w:rsidR="007A6B31">
        <w:rPr>
          <w:rFonts w:ascii="Calibri" w:hAnsi="Calibri" w:cs="Calibri"/>
        </w:rPr>
        <w:t>is</w:t>
      </w:r>
      <w:r w:rsidR="00F45E14" w:rsidRPr="00F45E14">
        <w:rPr>
          <w:rFonts w:ascii="Calibri" w:hAnsi="Calibri" w:cs="Calibri"/>
        </w:rPr>
        <w:t xml:space="preserve"> common in hospitalized patients and can result from a variety of causes including gastrointestinal</w:t>
      </w:r>
      <w:r w:rsidRPr="00277968">
        <w:rPr>
          <w:rFonts w:ascii="Calibri" w:hAnsi="Calibri" w:cs="Calibri"/>
        </w:rPr>
        <w:t xml:space="preserve"> or renal</w:t>
      </w:r>
      <w:r w:rsidR="00F45E14" w:rsidRPr="00F45E14">
        <w:rPr>
          <w:rFonts w:ascii="Calibri" w:hAnsi="Calibri" w:cs="Calibri"/>
        </w:rPr>
        <w:t xml:space="preserve"> losses, medication effects, endocrine disorders, and nutritional deficiencies. Identifying the underlying </w:t>
      </w:r>
      <w:proofErr w:type="spellStart"/>
      <w:r w:rsidR="00F45E14" w:rsidRPr="00F45E14">
        <w:rPr>
          <w:rFonts w:ascii="Calibri" w:hAnsi="Calibri" w:cs="Calibri"/>
        </w:rPr>
        <w:t>etiology</w:t>
      </w:r>
      <w:proofErr w:type="spellEnd"/>
      <w:r w:rsidR="00F45E14" w:rsidRPr="00F45E14">
        <w:rPr>
          <w:rFonts w:ascii="Calibri" w:hAnsi="Calibri" w:cs="Calibri"/>
        </w:rPr>
        <w:t xml:space="preserve"> is crucial for effective management. </w:t>
      </w:r>
      <w:r w:rsidRPr="00277968">
        <w:rPr>
          <w:rFonts w:ascii="Calibri" w:hAnsi="Calibri" w:cs="Calibri"/>
        </w:rPr>
        <w:t xml:space="preserve">One of the causes of </w:t>
      </w:r>
      <w:proofErr w:type="spellStart"/>
      <w:r w:rsidRPr="00277968">
        <w:rPr>
          <w:rFonts w:ascii="Calibri" w:hAnsi="Calibri" w:cs="Calibri"/>
        </w:rPr>
        <w:t>hypokalemia</w:t>
      </w:r>
      <w:proofErr w:type="spellEnd"/>
      <w:r w:rsidRPr="00277968">
        <w:rPr>
          <w:rFonts w:ascii="Calibri" w:hAnsi="Calibri" w:cs="Calibri"/>
        </w:rPr>
        <w:t xml:space="preserve"> is the use of herbal medications and in particular </w:t>
      </w:r>
      <w:proofErr w:type="spellStart"/>
      <w:r w:rsidRPr="00277968">
        <w:rPr>
          <w:rFonts w:ascii="Calibri" w:hAnsi="Calibri" w:cs="Calibri"/>
        </w:rPr>
        <w:t>licorice</w:t>
      </w:r>
      <w:proofErr w:type="spellEnd"/>
      <w:r w:rsidRPr="00277968">
        <w:rPr>
          <w:rFonts w:ascii="Calibri" w:hAnsi="Calibri" w:cs="Calibri"/>
        </w:rPr>
        <w:t xml:space="preserve">. </w:t>
      </w:r>
      <w:proofErr w:type="spellStart"/>
      <w:r w:rsidRPr="00277968">
        <w:rPr>
          <w:rFonts w:ascii="Calibri" w:hAnsi="Calibri" w:cs="Calibri"/>
        </w:rPr>
        <w:t>Licorice</w:t>
      </w:r>
      <w:proofErr w:type="spellEnd"/>
      <w:r w:rsidRPr="00277968">
        <w:rPr>
          <w:rFonts w:ascii="Calibri" w:hAnsi="Calibri" w:cs="Calibri"/>
        </w:rPr>
        <w:t xml:space="preserve"> has been utilized in traditional medicine since as early as 2100 BC to treat a wide range of ailments, including pain, cough, and gastrointestinal disturbances [1]. However, despite its longstanding use, </w:t>
      </w:r>
      <w:proofErr w:type="spellStart"/>
      <w:r w:rsidRPr="00277968">
        <w:rPr>
          <w:rFonts w:ascii="Calibri" w:hAnsi="Calibri" w:cs="Calibri"/>
        </w:rPr>
        <w:t>licorice</w:t>
      </w:r>
      <w:proofErr w:type="spellEnd"/>
      <w:r w:rsidRPr="00277968">
        <w:rPr>
          <w:rFonts w:ascii="Calibri" w:hAnsi="Calibri" w:cs="Calibri"/>
        </w:rPr>
        <w:t xml:space="preserve"> contains bioactive compounds that can pose significant risks in modern clinical contexts [2]. Specifically, metabolites of </w:t>
      </w:r>
      <w:proofErr w:type="spellStart"/>
      <w:r w:rsidRPr="00277968">
        <w:rPr>
          <w:rFonts w:ascii="Calibri" w:hAnsi="Calibri" w:cs="Calibri"/>
        </w:rPr>
        <w:t>licorice</w:t>
      </w:r>
      <w:proofErr w:type="spellEnd"/>
      <w:r w:rsidRPr="00277968">
        <w:rPr>
          <w:rFonts w:ascii="Calibri" w:hAnsi="Calibri" w:cs="Calibri"/>
        </w:rPr>
        <w:t xml:space="preserve"> inhibit the renal enzyme 11β-hydroxysteroid dehydrogenase type 2 (11β-HSD2), which normally converts active cortisol into its inactive counterpart, cortisone [3]. This inhibition prolongs the availability of cortisol to bind mineralocorticoid receptors, thereby inducing a state known as apparent mineralocorticoid excess (AME), also referred to as </w:t>
      </w:r>
      <w:proofErr w:type="spellStart"/>
      <w:r w:rsidRPr="00277968">
        <w:rPr>
          <w:rFonts w:ascii="Calibri" w:hAnsi="Calibri" w:cs="Calibri"/>
        </w:rPr>
        <w:t>pseudohyperaldosteronism</w:t>
      </w:r>
      <w:proofErr w:type="spellEnd"/>
      <w:r w:rsidRPr="00277968">
        <w:rPr>
          <w:rFonts w:ascii="Calibri" w:hAnsi="Calibri" w:cs="Calibri"/>
        </w:rPr>
        <w:t xml:space="preserve"> [3]. Clinically, this condition manifests as hypertension, hypernatremia, and </w:t>
      </w:r>
      <w:proofErr w:type="spellStart"/>
      <w:r w:rsidRPr="00277968">
        <w:rPr>
          <w:rFonts w:ascii="Calibri" w:hAnsi="Calibri" w:cs="Calibri"/>
        </w:rPr>
        <w:t>hypokalemia</w:t>
      </w:r>
      <w:proofErr w:type="spellEnd"/>
      <w:r w:rsidRPr="00277968">
        <w:rPr>
          <w:rFonts w:ascii="Calibri" w:hAnsi="Calibri" w:cs="Calibri"/>
        </w:rPr>
        <w:t xml:space="preserve"> [4]. Individuals particularly susceptible to severe manifestations include elderly patients, females, and those with predisposing conditions such as existing </w:t>
      </w:r>
      <w:proofErr w:type="spellStart"/>
      <w:r w:rsidRPr="00277968">
        <w:rPr>
          <w:rFonts w:ascii="Calibri" w:hAnsi="Calibri" w:cs="Calibri"/>
        </w:rPr>
        <w:t>hypokalemia</w:t>
      </w:r>
      <w:proofErr w:type="spellEnd"/>
      <w:r w:rsidRPr="00277968">
        <w:rPr>
          <w:rFonts w:ascii="Calibri" w:hAnsi="Calibri" w:cs="Calibri"/>
        </w:rPr>
        <w:t xml:space="preserve">, hypertension, or anorexia nervosa [5]. </w:t>
      </w:r>
    </w:p>
    <w:p w14:paraId="45C01325" w14:textId="77777777" w:rsidR="00692E18" w:rsidRPr="00277968" w:rsidRDefault="00692E18" w:rsidP="00277968">
      <w:pPr>
        <w:spacing w:line="480" w:lineRule="auto"/>
        <w:rPr>
          <w:rFonts w:ascii="Calibri" w:hAnsi="Calibri" w:cs="Calibri"/>
        </w:rPr>
      </w:pPr>
    </w:p>
    <w:p w14:paraId="63610621" w14:textId="1AD668E4" w:rsidR="008E3818" w:rsidRPr="00277968" w:rsidRDefault="00692E18" w:rsidP="0042614A">
      <w:pPr>
        <w:spacing w:line="480" w:lineRule="auto"/>
        <w:rPr>
          <w:rFonts w:ascii="Calibri" w:hAnsi="Calibri" w:cs="Calibri"/>
        </w:rPr>
      </w:pPr>
      <w:r w:rsidRPr="00277968">
        <w:rPr>
          <w:rFonts w:ascii="Calibri" w:hAnsi="Calibri" w:cs="Calibri"/>
        </w:rPr>
        <w:lastRenderedPageBreak/>
        <w:t xml:space="preserve">In this report, we present the case of a 70-year-old female traveller recently returned from China, who was admitted with profound </w:t>
      </w:r>
      <w:proofErr w:type="spellStart"/>
      <w:r w:rsidRPr="00277968">
        <w:rPr>
          <w:rFonts w:ascii="Calibri" w:hAnsi="Calibri" w:cs="Calibri"/>
        </w:rPr>
        <w:t>hypokalemia</w:t>
      </w:r>
      <w:proofErr w:type="spellEnd"/>
      <w:r w:rsidRPr="00277968">
        <w:rPr>
          <w:rFonts w:ascii="Calibri" w:hAnsi="Calibri" w:cs="Calibri"/>
        </w:rPr>
        <w:t>. This case highlights the critical importance of obtaining a comprehensive medication and travel history in evaluating returning travellers.</w:t>
      </w:r>
    </w:p>
    <w:p w14:paraId="629355C6" w14:textId="5C33EE49" w:rsidR="00D046A0" w:rsidRPr="00277968" w:rsidRDefault="00D046A0" w:rsidP="00277968">
      <w:pPr>
        <w:spacing w:line="480" w:lineRule="auto"/>
        <w:rPr>
          <w:rFonts w:ascii="Calibri" w:hAnsi="Calibri" w:cs="Calibri"/>
          <w:b/>
          <w:bCs/>
          <w:u w:val="single"/>
          <w:lang w:val="en-US"/>
        </w:rPr>
      </w:pPr>
      <w:r w:rsidRPr="00277968">
        <w:rPr>
          <w:rFonts w:ascii="Calibri" w:hAnsi="Calibri" w:cs="Calibri"/>
          <w:b/>
          <w:bCs/>
          <w:u w:val="single"/>
        </w:rPr>
        <w:t>CASE</w:t>
      </w:r>
      <w:r w:rsidR="0017667D">
        <w:rPr>
          <w:rFonts w:ascii="Calibri" w:hAnsi="Calibri" w:cs="Calibri"/>
          <w:b/>
          <w:bCs/>
          <w:u w:val="single"/>
        </w:rPr>
        <w:t xml:space="preserve"> PRESENTATION </w:t>
      </w:r>
    </w:p>
    <w:p w14:paraId="010CDD1A" w14:textId="63906B3E" w:rsidR="00692E18" w:rsidRPr="00277968" w:rsidRDefault="00692E18" w:rsidP="00277968">
      <w:pPr>
        <w:spacing w:line="480" w:lineRule="auto"/>
        <w:rPr>
          <w:rFonts w:ascii="Calibri" w:hAnsi="Calibri" w:cs="Calibri"/>
        </w:rPr>
      </w:pPr>
      <w:r w:rsidRPr="00692E18">
        <w:rPr>
          <w:rFonts w:ascii="Calibri" w:hAnsi="Calibri" w:cs="Calibri"/>
        </w:rPr>
        <w:t xml:space="preserve">A 70-year-old female returned from Guangzhou, China, where she had spent the past three months. She presented to the Emergency Department upon arrival in Australia with symptoms of persistent </w:t>
      </w:r>
      <w:proofErr w:type="spellStart"/>
      <w:r w:rsidRPr="00692E18">
        <w:rPr>
          <w:rFonts w:ascii="Calibri" w:hAnsi="Calibri" w:cs="Calibri"/>
        </w:rPr>
        <w:t>diarrhea</w:t>
      </w:r>
      <w:proofErr w:type="spellEnd"/>
      <w:r w:rsidRPr="00692E18">
        <w:rPr>
          <w:rFonts w:ascii="Calibri" w:hAnsi="Calibri" w:cs="Calibri"/>
        </w:rPr>
        <w:t xml:space="preserve">, vomiting, and reduced oral intake for the preceding </w:t>
      </w:r>
      <w:r w:rsidR="000346FB" w:rsidRPr="00277968">
        <w:rPr>
          <w:rFonts w:ascii="Calibri" w:hAnsi="Calibri" w:cs="Calibri"/>
        </w:rPr>
        <w:t>two weeks</w:t>
      </w:r>
      <w:r w:rsidRPr="00692E18">
        <w:rPr>
          <w:rFonts w:ascii="Calibri" w:hAnsi="Calibri" w:cs="Calibri"/>
        </w:rPr>
        <w:t>.</w:t>
      </w:r>
      <w:r w:rsidR="000346FB" w:rsidRPr="00277968">
        <w:rPr>
          <w:rFonts w:ascii="Calibri" w:hAnsi="Calibri" w:cs="Calibri"/>
        </w:rPr>
        <w:t xml:space="preserve"> </w:t>
      </w:r>
    </w:p>
    <w:p w14:paraId="17D46226" w14:textId="77777777" w:rsidR="000346FB" w:rsidRPr="00692E18" w:rsidRDefault="000346FB" w:rsidP="00277968">
      <w:pPr>
        <w:spacing w:line="480" w:lineRule="auto"/>
        <w:rPr>
          <w:rFonts w:ascii="Calibri" w:hAnsi="Calibri" w:cs="Calibri"/>
        </w:rPr>
      </w:pPr>
    </w:p>
    <w:p w14:paraId="27553BA2" w14:textId="77777777" w:rsidR="00692E18" w:rsidRPr="00277968" w:rsidRDefault="00692E18" w:rsidP="00277968">
      <w:pPr>
        <w:spacing w:line="480" w:lineRule="auto"/>
        <w:rPr>
          <w:rFonts w:ascii="Calibri" w:hAnsi="Calibri" w:cs="Calibri"/>
        </w:rPr>
      </w:pPr>
      <w:r w:rsidRPr="00692E18">
        <w:rPr>
          <w:rFonts w:ascii="Calibri" w:hAnsi="Calibri" w:cs="Calibri"/>
        </w:rPr>
        <w:t>The patient had a background of seropositive rheumatoid arthritis, for which she was receiving hydroxychloroquine 200 mg daily and tocilizumab. She also had a history of total thyroidectomy, reportedly performed in China for suspected thyroid malignancy, and was maintained on levothyroxine 100 mcg daily. Her regular medications included calcitriol 0.25 µg daily, folic acid 0.5 mg daily, alprazolam 0.4 mg daily, and zolpidem 10 mg at night. She had no known drug allergies.</w:t>
      </w:r>
      <w:r w:rsidRPr="00277968">
        <w:rPr>
          <w:rFonts w:ascii="Calibri" w:hAnsi="Calibri" w:cs="Calibri"/>
        </w:rPr>
        <w:t xml:space="preserve"> </w:t>
      </w:r>
      <w:r w:rsidRPr="00692E18">
        <w:rPr>
          <w:rFonts w:ascii="Calibri" w:hAnsi="Calibri" w:cs="Calibri"/>
        </w:rPr>
        <w:t xml:space="preserve">The patient resided with her son and daughter-in-law and remained independent in her instrumental activities of daily living. She was a non-smoker and did not consume alcohol. Notably, she frequently </w:t>
      </w:r>
      <w:proofErr w:type="spellStart"/>
      <w:r w:rsidRPr="00692E18">
        <w:rPr>
          <w:rFonts w:ascii="Calibri" w:hAnsi="Calibri" w:cs="Calibri"/>
        </w:rPr>
        <w:t>traveled</w:t>
      </w:r>
      <w:proofErr w:type="spellEnd"/>
      <w:r w:rsidRPr="00692E18">
        <w:rPr>
          <w:rFonts w:ascii="Calibri" w:hAnsi="Calibri" w:cs="Calibri"/>
        </w:rPr>
        <w:t xml:space="preserve"> to China to </w:t>
      </w:r>
      <w:proofErr w:type="spellStart"/>
      <w:r w:rsidRPr="00692E18">
        <w:rPr>
          <w:rFonts w:ascii="Calibri" w:hAnsi="Calibri" w:cs="Calibri"/>
        </w:rPr>
        <w:t>fulfill</w:t>
      </w:r>
      <w:proofErr w:type="spellEnd"/>
      <w:r w:rsidRPr="00692E18">
        <w:rPr>
          <w:rFonts w:ascii="Calibri" w:hAnsi="Calibri" w:cs="Calibri"/>
        </w:rPr>
        <w:t xml:space="preserve"> ongoing family responsibilities. </w:t>
      </w:r>
    </w:p>
    <w:p w14:paraId="484C8B1E" w14:textId="77777777" w:rsidR="00692E18" w:rsidRPr="00277968" w:rsidRDefault="00692E18" w:rsidP="00277968">
      <w:pPr>
        <w:spacing w:line="480" w:lineRule="auto"/>
        <w:rPr>
          <w:rFonts w:ascii="Calibri" w:hAnsi="Calibri" w:cs="Calibri"/>
        </w:rPr>
      </w:pPr>
    </w:p>
    <w:p w14:paraId="4B2BACD1" w14:textId="564C0204" w:rsidR="00692E18" w:rsidRPr="00277968" w:rsidRDefault="00692E18" w:rsidP="00277968">
      <w:pPr>
        <w:spacing w:line="480" w:lineRule="auto"/>
        <w:rPr>
          <w:rFonts w:ascii="Calibri" w:hAnsi="Calibri" w:cs="Calibri"/>
        </w:rPr>
      </w:pPr>
      <w:r w:rsidRPr="00692E18">
        <w:rPr>
          <w:rFonts w:ascii="Calibri" w:hAnsi="Calibri" w:cs="Calibri"/>
        </w:rPr>
        <w:t xml:space="preserve">On presentation, she reported gastrointestinal symptoms including </w:t>
      </w:r>
      <w:proofErr w:type="spellStart"/>
      <w:r w:rsidRPr="00692E18">
        <w:rPr>
          <w:rFonts w:ascii="Calibri" w:hAnsi="Calibri" w:cs="Calibri"/>
        </w:rPr>
        <w:t>diarrhea</w:t>
      </w:r>
      <w:proofErr w:type="spellEnd"/>
      <w:r w:rsidRPr="00692E18">
        <w:rPr>
          <w:rFonts w:ascii="Calibri" w:hAnsi="Calibri" w:cs="Calibri"/>
        </w:rPr>
        <w:t xml:space="preserve"> and vomiting, without associated fever, chills, or dysenteric features. She denied recent contact with ill </w:t>
      </w:r>
      <w:r w:rsidRPr="00692E18">
        <w:rPr>
          <w:rFonts w:ascii="Calibri" w:hAnsi="Calibri" w:cs="Calibri"/>
        </w:rPr>
        <w:lastRenderedPageBreak/>
        <w:t>individuals or any other signs suggestive of systemic infection. Her blood pressure on review was 1</w:t>
      </w:r>
      <w:r w:rsidR="0042614A">
        <w:rPr>
          <w:rFonts w:ascii="Calibri" w:hAnsi="Calibri" w:cs="Calibri"/>
        </w:rPr>
        <w:t>81</w:t>
      </w:r>
      <w:r w:rsidRPr="00692E18">
        <w:rPr>
          <w:rFonts w:ascii="Calibri" w:hAnsi="Calibri" w:cs="Calibri"/>
        </w:rPr>
        <w:t>/</w:t>
      </w:r>
      <w:r w:rsidR="0042614A">
        <w:rPr>
          <w:rFonts w:ascii="Calibri" w:hAnsi="Calibri" w:cs="Calibri"/>
        </w:rPr>
        <w:t>82</w:t>
      </w:r>
      <w:r w:rsidRPr="00692E18">
        <w:rPr>
          <w:rFonts w:ascii="Calibri" w:hAnsi="Calibri" w:cs="Calibri"/>
        </w:rPr>
        <w:t xml:space="preserve"> mmHg.</w:t>
      </w:r>
      <w:r w:rsidR="000346FB" w:rsidRPr="00277968">
        <w:rPr>
          <w:rFonts w:ascii="Calibri" w:hAnsi="Calibri" w:cs="Calibri"/>
        </w:rPr>
        <w:t xml:space="preserve"> </w:t>
      </w:r>
    </w:p>
    <w:p w14:paraId="5C7FD63A" w14:textId="77777777" w:rsidR="000346FB" w:rsidRPr="00277968" w:rsidRDefault="000346FB" w:rsidP="00277968">
      <w:pPr>
        <w:spacing w:line="480" w:lineRule="auto"/>
        <w:rPr>
          <w:rFonts w:ascii="Calibri" w:hAnsi="Calibri" w:cs="Calibri"/>
        </w:rPr>
      </w:pPr>
    </w:p>
    <w:p w14:paraId="4413B7EC" w14:textId="18021778" w:rsidR="000346FB" w:rsidRPr="00277968" w:rsidRDefault="000346FB" w:rsidP="00277968">
      <w:pPr>
        <w:spacing w:line="480" w:lineRule="auto"/>
        <w:rPr>
          <w:rFonts w:ascii="Calibri" w:hAnsi="Calibri" w:cs="Calibri"/>
        </w:rPr>
      </w:pPr>
      <w:r w:rsidRPr="000346FB">
        <w:rPr>
          <w:rFonts w:ascii="Calibri" w:hAnsi="Calibri" w:cs="Calibri"/>
        </w:rPr>
        <w:t>Her investigations revealed a potassium level of 2.4 mmol/L (reference range: 3.5–5.5 mmol/L) and a sodium level of 14</w:t>
      </w:r>
      <w:r w:rsidR="0042614A">
        <w:rPr>
          <w:rFonts w:ascii="Calibri" w:hAnsi="Calibri" w:cs="Calibri"/>
        </w:rPr>
        <w:t>9</w:t>
      </w:r>
      <w:r w:rsidRPr="000346FB">
        <w:rPr>
          <w:rFonts w:ascii="Calibri" w:hAnsi="Calibri" w:cs="Calibri"/>
        </w:rPr>
        <w:t xml:space="preserve"> mmol/L (reference range: 135–145 mmol/L), accompanied by metabolic alkalosis.</w:t>
      </w:r>
      <w:r w:rsidR="008E3818">
        <w:rPr>
          <w:rFonts w:ascii="Calibri" w:hAnsi="Calibri" w:cs="Calibri"/>
        </w:rPr>
        <w:t xml:space="preserve"> </w:t>
      </w:r>
      <w:r w:rsidRPr="000346FB">
        <w:rPr>
          <w:rFonts w:ascii="Calibri" w:hAnsi="Calibri" w:cs="Calibri"/>
        </w:rPr>
        <w:t>Haemoglobin, white cell count, and platelet count were all within normal limits. Inflammatory markers remained normal, notably while she was receiving IL-6 inhibitor therapy</w:t>
      </w:r>
      <w:r w:rsidR="0042614A">
        <w:rPr>
          <w:rFonts w:ascii="Calibri" w:hAnsi="Calibri" w:cs="Calibri"/>
        </w:rPr>
        <w:t xml:space="preserve">, </w:t>
      </w:r>
      <w:r w:rsidRPr="000346FB">
        <w:rPr>
          <w:rFonts w:ascii="Calibri" w:hAnsi="Calibri" w:cs="Calibri"/>
        </w:rPr>
        <w:t>Tocilizumab. Early morning cortisol and parathyroid hormone levels were also normal.</w:t>
      </w:r>
      <w:r w:rsidRPr="00277968">
        <w:rPr>
          <w:rFonts w:ascii="Calibri" w:hAnsi="Calibri" w:cs="Calibri"/>
        </w:rPr>
        <w:t xml:space="preserve"> </w:t>
      </w:r>
      <w:r w:rsidRPr="000346FB">
        <w:rPr>
          <w:rFonts w:ascii="Calibri" w:hAnsi="Calibri" w:cs="Calibri"/>
        </w:rPr>
        <w:t>An ECG showed a QTc interval of 4</w:t>
      </w:r>
      <w:r w:rsidR="0042614A">
        <w:rPr>
          <w:rFonts w:ascii="Calibri" w:hAnsi="Calibri" w:cs="Calibri"/>
        </w:rPr>
        <w:t>8</w:t>
      </w:r>
      <w:r w:rsidRPr="000346FB">
        <w:rPr>
          <w:rFonts w:ascii="Calibri" w:hAnsi="Calibri" w:cs="Calibri"/>
        </w:rPr>
        <w:t xml:space="preserve">0 </w:t>
      </w:r>
      <w:proofErr w:type="spellStart"/>
      <w:r w:rsidRPr="000346FB">
        <w:rPr>
          <w:rFonts w:ascii="Calibri" w:hAnsi="Calibri" w:cs="Calibri"/>
        </w:rPr>
        <w:t>ms</w:t>
      </w:r>
      <w:proofErr w:type="spellEnd"/>
      <w:r w:rsidRPr="000346FB">
        <w:rPr>
          <w:rFonts w:ascii="Calibri" w:hAnsi="Calibri" w:cs="Calibri"/>
        </w:rPr>
        <w:t>. A CT scan of the abdomen did not reveal any diverticular disease, which is particularly notable given her treatment with Tocilizumab.</w:t>
      </w:r>
      <w:r w:rsidRPr="00277968">
        <w:rPr>
          <w:rFonts w:ascii="Calibri" w:hAnsi="Calibri" w:cs="Calibri"/>
        </w:rPr>
        <w:t xml:space="preserve"> </w:t>
      </w:r>
      <w:r w:rsidRPr="000346FB">
        <w:rPr>
          <w:rFonts w:ascii="Calibri" w:hAnsi="Calibri" w:cs="Calibri"/>
        </w:rPr>
        <w:t>Her hypokalaemia was managed with multiple infusions of intravenous potassium as well as oral supplementation. As her magnesium level was low at 0.66 mmol/L (reference range: 0.7–1.0 mmol/L), magnesium was repleted prior to potassium to help correct the hypokalaemia more effectively.</w:t>
      </w:r>
      <w:r w:rsidR="0042614A">
        <w:rPr>
          <w:rFonts w:ascii="Calibri" w:hAnsi="Calibri" w:cs="Calibri"/>
        </w:rPr>
        <w:t xml:space="preserve"> The patient’s follow-up lab results demonstrated a low plasma renin activity at 0.16 ng/ml/hr and a low aldosterone level at &lt;1.0 ng/dL. </w:t>
      </w:r>
    </w:p>
    <w:p w14:paraId="2CD88E77" w14:textId="77777777" w:rsidR="000346FB" w:rsidRPr="000346FB" w:rsidRDefault="000346FB" w:rsidP="00277968">
      <w:pPr>
        <w:spacing w:line="480" w:lineRule="auto"/>
        <w:rPr>
          <w:rFonts w:ascii="Calibri" w:hAnsi="Calibri" w:cs="Calibri"/>
        </w:rPr>
      </w:pPr>
    </w:p>
    <w:p w14:paraId="24EF0775" w14:textId="5630651B" w:rsidR="00692E18" w:rsidRPr="00277968" w:rsidRDefault="00692E18" w:rsidP="00277968">
      <w:pPr>
        <w:spacing w:line="480" w:lineRule="auto"/>
        <w:rPr>
          <w:rFonts w:ascii="Calibri" w:hAnsi="Calibri" w:cs="Calibri"/>
        </w:rPr>
      </w:pPr>
      <w:r w:rsidRPr="00692E18">
        <w:rPr>
          <w:rFonts w:ascii="Calibri" w:hAnsi="Calibri" w:cs="Calibri"/>
        </w:rPr>
        <w:t xml:space="preserve">Upon further questioning, the patient reported using approximately 20 different herbal medications in China </w:t>
      </w:r>
      <w:r w:rsidR="00277968">
        <w:rPr>
          <w:rFonts w:ascii="Calibri" w:hAnsi="Calibri" w:cs="Calibri"/>
        </w:rPr>
        <w:t>for a few months for general health purposes.</w:t>
      </w:r>
      <w:r w:rsidRPr="00692E18">
        <w:rPr>
          <w:rFonts w:ascii="Calibri" w:hAnsi="Calibri" w:cs="Calibri"/>
        </w:rPr>
        <w:t xml:space="preserve"> The ingredients were not specified but suspected to contain compounds known to cause mineral imbalances.</w:t>
      </w:r>
      <w:r w:rsidR="000346FB" w:rsidRPr="00277968">
        <w:rPr>
          <w:rFonts w:ascii="Calibri" w:hAnsi="Calibri" w:cs="Calibri"/>
        </w:rPr>
        <w:t xml:space="preserve"> One of these compounds</w:t>
      </w:r>
      <w:r w:rsidR="00277968">
        <w:rPr>
          <w:rFonts w:ascii="Calibri" w:hAnsi="Calibri" w:cs="Calibri"/>
        </w:rPr>
        <w:t xml:space="preserve"> was confirmed to</w:t>
      </w:r>
      <w:r w:rsidR="000346FB" w:rsidRPr="00277968">
        <w:rPr>
          <w:rFonts w:ascii="Calibri" w:hAnsi="Calibri" w:cs="Calibri"/>
        </w:rPr>
        <w:t xml:space="preserve"> contain </w:t>
      </w:r>
      <w:proofErr w:type="spellStart"/>
      <w:r w:rsidR="000346FB" w:rsidRPr="00277968">
        <w:rPr>
          <w:rFonts w:ascii="Calibri" w:hAnsi="Calibri" w:cs="Calibri"/>
        </w:rPr>
        <w:t>licorice</w:t>
      </w:r>
      <w:proofErr w:type="spellEnd"/>
      <w:r w:rsidR="000346FB" w:rsidRPr="00277968">
        <w:rPr>
          <w:rFonts w:ascii="Calibri" w:hAnsi="Calibri" w:cs="Calibri"/>
        </w:rPr>
        <w:t xml:space="preserve"> which was consumed daily </w:t>
      </w:r>
      <w:r w:rsidR="00277968">
        <w:rPr>
          <w:rFonts w:ascii="Calibri" w:hAnsi="Calibri" w:cs="Calibri"/>
        </w:rPr>
        <w:t xml:space="preserve">until her gastrointestinal symptoms began. </w:t>
      </w:r>
    </w:p>
    <w:p w14:paraId="2C460BFD" w14:textId="77777777" w:rsidR="000346FB" w:rsidRPr="00277968" w:rsidRDefault="000346FB" w:rsidP="00277968">
      <w:pPr>
        <w:spacing w:line="480" w:lineRule="auto"/>
        <w:rPr>
          <w:rFonts w:ascii="Calibri" w:hAnsi="Calibri" w:cs="Calibri"/>
        </w:rPr>
      </w:pPr>
    </w:p>
    <w:p w14:paraId="07F0848C" w14:textId="27950465" w:rsidR="000346FB" w:rsidRPr="00277968" w:rsidRDefault="000346FB" w:rsidP="00277968">
      <w:pPr>
        <w:spacing w:line="480" w:lineRule="auto"/>
        <w:rPr>
          <w:rFonts w:ascii="Calibri" w:hAnsi="Calibri" w:cs="Calibri"/>
        </w:rPr>
      </w:pPr>
      <w:r w:rsidRPr="00277968">
        <w:rPr>
          <w:rFonts w:ascii="Calibri" w:hAnsi="Calibri" w:cs="Calibri"/>
        </w:rPr>
        <w:t xml:space="preserve">The patient’s potassium level increased to a normal value of 3.6mmol/L </w:t>
      </w:r>
      <w:r w:rsidR="00277968" w:rsidRPr="00277968">
        <w:rPr>
          <w:rFonts w:ascii="Calibri" w:hAnsi="Calibri" w:cs="Calibri"/>
        </w:rPr>
        <w:t xml:space="preserve">the next day following multiple bags of potassium replacement with additional oral supplements. Her blood pressure normalized to 131/60mmHg </w:t>
      </w:r>
      <w:r w:rsidR="0042614A">
        <w:rPr>
          <w:rFonts w:ascii="Calibri" w:hAnsi="Calibri" w:cs="Calibri"/>
        </w:rPr>
        <w:t xml:space="preserve">following a few </w:t>
      </w:r>
      <w:proofErr w:type="gramStart"/>
      <w:r w:rsidR="0042614A">
        <w:rPr>
          <w:rFonts w:ascii="Calibri" w:hAnsi="Calibri" w:cs="Calibri"/>
        </w:rPr>
        <w:t>dose</w:t>
      </w:r>
      <w:proofErr w:type="gramEnd"/>
      <w:r w:rsidR="0042614A">
        <w:rPr>
          <w:rFonts w:ascii="Calibri" w:hAnsi="Calibri" w:cs="Calibri"/>
        </w:rPr>
        <w:t xml:space="preserve"> of IV hydralazine</w:t>
      </w:r>
      <w:r w:rsidR="00277968" w:rsidRPr="00277968">
        <w:rPr>
          <w:rFonts w:ascii="Calibri" w:hAnsi="Calibri" w:cs="Calibri"/>
        </w:rPr>
        <w:t xml:space="preserve">. The patient was discharged the </w:t>
      </w:r>
      <w:r w:rsidR="0042614A">
        <w:rPr>
          <w:rFonts w:ascii="Calibri" w:hAnsi="Calibri" w:cs="Calibri"/>
        </w:rPr>
        <w:t>after a few days</w:t>
      </w:r>
      <w:r w:rsidR="00277968" w:rsidRPr="00277968">
        <w:rPr>
          <w:rFonts w:ascii="Calibri" w:hAnsi="Calibri" w:cs="Calibri"/>
        </w:rPr>
        <w:t xml:space="preserve"> following monitoring of her potassium levels</w:t>
      </w:r>
      <w:r w:rsidR="0042614A">
        <w:rPr>
          <w:rFonts w:ascii="Calibri" w:hAnsi="Calibri" w:cs="Calibri"/>
        </w:rPr>
        <w:t xml:space="preserve">, </w:t>
      </w:r>
      <w:r w:rsidR="00277968" w:rsidRPr="00277968">
        <w:rPr>
          <w:rFonts w:ascii="Calibri" w:hAnsi="Calibri" w:cs="Calibri"/>
        </w:rPr>
        <w:t xml:space="preserve">with advice regarding the dangers of herbal medicine especially those containing </w:t>
      </w:r>
      <w:proofErr w:type="spellStart"/>
      <w:r w:rsidR="00277968" w:rsidRPr="00277968">
        <w:rPr>
          <w:rFonts w:ascii="Calibri" w:hAnsi="Calibri" w:cs="Calibri"/>
        </w:rPr>
        <w:t>licorice</w:t>
      </w:r>
      <w:proofErr w:type="spellEnd"/>
      <w:r w:rsidR="00277968" w:rsidRPr="00277968">
        <w:rPr>
          <w:rFonts w:ascii="Calibri" w:hAnsi="Calibri" w:cs="Calibri"/>
        </w:rPr>
        <w:t xml:space="preserve">. </w:t>
      </w:r>
    </w:p>
    <w:p w14:paraId="582FF848" w14:textId="5B5690AC" w:rsidR="002D79E9" w:rsidRPr="00277968" w:rsidRDefault="002D79E9" w:rsidP="00277968">
      <w:pPr>
        <w:spacing w:line="480" w:lineRule="auto"/>
        <w:rPr>
          <w:rFonts w:ascii="Calibri" w:hAnsi="Calibri" w:cs="Calibri"/>
        </w:rPr>
      </w:pPr>
    </w:p>
    <w:p w14:paraId="43F84445" w14:textId="6CFAD57C" w:rsidR="005434E9" w:rsidRPr="00277968" w:rsidRDefault="005434E9" w:rsidP="00277968">
      <w:pPr>
        <w:spacing w:line="480" w:lineRule="auto"/>
        <w:rPr>
          <w:rFonts w:ascii="Calibri" w:hAnsi="Calibri" w:cs="Calibri"/>
          <w:b/>
          <w:bCs/>
          <w:u w:val="single"/>
        </w:rPr>
      </w:pPr>
      <w:r w:rsidRPr="00277968">
        <w:rPr>
          <w:rFonts w:ascii="Calibri" w:hAnsi="Calibri" w:cs="Calibri"/>
          <w:b/>
          <w:bCs/>
          <w:u w:val="single"/>
        </w:rPr>
        <w:t>DISCUSSION</w:t>
      </w:r>
    </w:p>
    <w:p w14:paraId="210295BB" w14:textId="1C350345" w:rsidR="008E3818" w:rsidRDefault="008E3818" w:rsidP="008E3818">
      <w:pPr>
        <w:spacing w:line="480" w:lineRule="auto"/>
        <w:rPr>
          <w:rFonts w:ascii="Calibri" w:hAnsi="Calibri" w:cs="Calibri"/>
        </w:rPr>
      </w:pPr>
      <w:r w:rsidRPr="008E3818">
        <w:rPr>
          <w:rFonts w:ascii="Calibri" w:hAnsi="Calibri" w:cs="Calibri"/>
        </w:rPr>
        <w:t>The renin-angiotensin-aldosterone system (RAAS) is a hormonal feedback mechanism that plays a key role in regulating sodium and potassium balance, as well as fluid homeostasis [6]. Under conditions of low blood volume, the kidneys release renin, which triggers a cascade aimed at restoring blood pressure. One of renin’s effects is the stimulation of aldosterone secretion [7]. Aldosterone, in turn, promotes sodium retention and potassium excretion, thereby increasing blood pressure [8].</w:t>
      </w:r>
      <w:r>
        <w:rPr>
          <w:rFonts w:ascii="Calibri" w:hAnsi="Calibri" w:cs="Calibri"/>
        </w:rPr>
        <w:t xml:space="preserve"> </w:t>
      </w:r>
    </w:p>
    <w:p w14:paraId="118F95B8" w14:textId="77777777" w:rsidR="008E3818" w:rsidRDefault="008E3818" w:rsidP="008E3818">
      <w:pPr>
        <w:spacing w:line="480" w:lineRule="auto"/>
        <w:rPr>
          <w:rFonts w:ascii="Calibri" w:hAnsi="Calibri" w:cs="Calibri"/>
        </w:rPr>
      </w:pPr>
    </w:p>
    <w:p w14:paraId="6F59BF13" w14:textId="4B57555F" w:rsidR="00277968" w:rsidRDefault="00277968" w:rsidP="00277968">
      <w:pPr>
        <w:spacing w:line="480" w:lineRule="auto"/>
        <w:rPr>
          <w:rFonts w:ascii="Calibri" w:hAnsi="Calibri" w:cs="Calibri"/>
        </w:rPr>
      </w:pPr>
      <w:r w:rsidRPr="00277968">
        <w:rPr>
          <w:rFonts w:ascii="Calibri" w:hAnsi="Calibri" w:cs="Calibri"/>
        </w:rPr>
        <w:t xml:space="preserve">This case draws parallels with reports of chronic </w:t>
      </w:r>
      <w:proofErr w:type="spellStart"/>
      <w:r w:rsidRPr="00277968">
        <w:rPr>
          <w:rFonts w:ascii="Calibri" w:hAnsi="Calibri" w:cs="Calibri"/>
        </w:rPr>
        <w:t>licorice</w:t>
      </w:r>
      <w:proofErr w:type="spellEnd"/>
      <w:r w:rsidRPr="00277968">
        <w:rPr>
          <w:rFonts w:ascii="Calibri" w:hAnsi="Calibri" w:cs="Calibri"/>
        </w:rPr>
        <w:t xml:space="preserve"> ingestion leading to mineralocorticoid excess. One such report describes a 70-year-old male with hypertension and </w:t>
      </w:r>
      <w:proofErr w:type="spellStart"/>
      <w:r w:rsidRPr="00277968">
        <w:rPr>
          <w:rFonts w:ascii="Calibri" w:hAnsi="Calibri" w:cs="Calibri"/>
        </w:rPr>
        <w:t>hypokalemia</w:t>
      </w:r>
      <w:proofErr w:type="spellEnd"/>
      <w:r w:rsidRPr="00277968">
        <w:rPr>
          <w:rFonts w:ascii="Calibri" w:hAnsi="Calibri" w:cs="Calibri"/>
        </w:rPr>
        <w:t xml:space="preserve"> due to long-term </w:t>
      </w:r>
      <w:proofErr w:type="spellStart"/>
      <w:r w:rsidRPr="00277968">
        <w:rPr>
          <w:rFonts w:ascii="Calibri" w:hAnsi="Calibri" w:cs="Calibri"/>
        </w:rPr>
        <w:t>licorice</w:t>
      </w:r>
      <w:proofErr w:type="spellEnd"/>
      <w:r w:rsidRPr="00277968">
        <w:rPr>
          <w:rFonts w:ascii="Calibri" w:hAnsi="Calibri" w:cs="Calibri"/>
        </w:rPr>
        <w:t xml:space="preserve"> consumption (60–100 g daily for 4–5 years). </w:t>
      </w:r>
      <w:proofErr w:type="spellStart"/>
      <w:r w:rsidRPr="00277968">
        <w:rPr>
          <w:rFonts w:ascii="Calibri" w:hAnsi="Calibri" w:cs="Calibri"/>
        </w:rPr>
        <w:t>Licorice</w:t>
      </w:r>
      <w:proofErr w:type="spellEnd"/>
      <w:r w:rsidRPr="00277968">
        <w:rPr>
          <w:rFonts w:ascii="Calibri" w:hAnsi="Calibri" w:cs="Calibri"/>
        </w:rPr>
        <w:t xml:space="preserve"> inhibits 11β-hydroxysteroid dehydrogenase, the enzyme responsible for converting cortisol to cortisone. This results in elevated cortisol levels acting on mineralocorticoid receptors, mimicking hyperaldosteronism—a condition referred to as apparent mineralocorticoid excess (AME) [</w:t>
      </w:r>
      <w:r w:rsidR="00644D2D">
        <w:rPr>
          <w:rFonts w:ascii="Calibri" w:hAnsi="Calibri" w:cs="Calibri"/>
        </w:rPr>
        <w:t>3</w:t>
      </w:r>
      <w:r w:rsidRPr="00277968">
        <w:rPr>
          <w:rFonts w:ascii="Calibri" w:hAnsi="Calibri" w:cs="Calibri"/>
        </w:rPr>
        <w:t xml:space="preserve">]. </w:t>
      </w:r>
    </w:p>
    <w:p w14:paraId="4FA10C0A" w14:textId="77777777" w:rsidR="00D7781B" w:rsidRDefault="00D7781B" w:rsidP="00277968">
      <w:pPr>
        <w:spacing w:line="480" w:lineRule="auto"/>
        <w:rPr>
          <w:rFonts w:ascii="Calibri" w:hAnsi="Calibri" w:cs="Calibri"/>
        </w:rPr>
      </w:pPr>
    </w:p>
    <w:p w14:paraId="5B90436C" w14:textId="06627F8B" w:rsidR="005D7A30" w:rsidRDefault="00D7781B" w:rsidP="00277968">
      <w:pPr>
        <w:spacing w:line="480" w:lineRule="auto"/>
      </w:pPr>
      <w:r>
        <w:rPr>
          <w:rFonts w:ascii="Calibri" w:hAnsi="Calibri" w:cs="Calibri"/>
        </w:rPr>
        <w:t xml:space="preserve">A narrative review done by </w:t>
      </w:r>
      <w:proofErr w:type="spellStart"/>
      <w:r>
        <w:rPr>
          <w:rFonts w:ascii="Calibri" w:hAnsi="Calibri" w:cs="Calibri"/>
        </w:rPr>
        <w:t>Ceccuzzi</w:t>
      </w:r>
      <w:proofErr w:type="spellEnd"/>
      <w:r>
        <w:rPr>
          <w:rFonts w:ascii="Calibri" w:hAnsi="Calibri" w:cs="Calibri"/>
        </w:rPr>
        <w:t xml:space="preserve"> et al. regarding </w:t>
      </w:r>
      <w:proofErr w:type="spellStart"/>
      <w:r>
        <w:rPr>
          <w:rFonts w:ascii="Calibri" w:hAnsi="Calibri" w:cs="Calibri"/>
        </w:rPr>
        <w:t>licorice</w:t>
      </w:r>
      <w:proofErr w:type="spellEnd"/>
      <w:r>
        <w:rPr>
          <w:rFonts w:ascii="Calibri" w:hAnsi="Calibri" w:cs="Calibri"/>
        </w:rPr>
        <w:t xml:space="preserve"> toxicity </w:t>
      </w:r>
      <w:r w:rsidR="005D7A30">
        <w:rPr>
          <w:rFonts w:ascii="Calibri" w:hAnsi="Calibri" w:cs="Calibri"/>
        </w:rPr>
        <w:t xml:space="preserve">discussed how </w:t>
      </w:r>
      <w:proofErr w:type="spellStart"/>
      <w:r w:rsidR="005D7A30">
        <w:t>licorice</w:t>
      </w:r>
      <w:proofErr w:type="spellEnd"/>
      <w:r w:rsidR="005D7A30">
        <w:t>, whose active component is glycyrrhizin, has long been recognized for its therapeutic benefits in conditions such as metabolic syndrome, asthma, oral ulcers, mental stress, and chronic liver disease, as well as for its lipid-lowering effects. Historically, it was used in Assyrian and Egyptian medicine for treating bruises and swelling, and in traditional Chinese medicine to enhance the efficacy of other drugs, relieve fatigue, reduce phlegm, and treat asthma. Additional uses include managing allergic skin conditions, improving gastrointestinal symptoms, and serving as a mild laxative, with possible roles in anticarcinogenic, antimicrobial, and antiviral activity [</w:t>
      </w:r>
      <w:r w:rsidR="00644D2D">
        <w:t>8</w:t>
      </w:r>
      <w:r w:rsidR="005D7A30">
        <w:t xml:space="preserve">]. </w:t>
      </w:r>
    </w:p>
    <w:p w14:paraId="278DC07D" w14:textId="77777777" w:rsidR="005D7A30" w:rsidRDefault="005D7A30" w:rsidP="00277968">
      <w:pPr>
        <w:spacing w:line="480" w:lineRule="auto"/>
      </w:pPr>
    </w:p>
    <w:p w14:paraId="7180419E" w14:textId="70410956" w:rsidR="00D7781B" w:rsidRDefault="005D7A30" w:rsidP="00277968">
      <w:pPr>
        <w:spacing w:line="480" w:lineRule="auto"/>
        <w:rPr>
          <w:rFonts w:ascii="Calibri" w:hAnsi="Calibri" w:cs="Calibri"/>
        </w:rPr>
      </w:pPr>
      <w:r>
        <w:t xml:space="preserve">A review of 104 case reports identified hypertension and electrolyte disturbances—particularly hypokalaemia—as the most frequent features of liquorice toxicity, with severe cases leading to arrhythmias, muscle paralysis, rhabdomyolysis, and coma. Diagnosis is typically based on clinical history, as </w:t>
      </w:r>
      <w:proofErr w:type="spellStart"/>
      <w:r>
        <w:t>glycyrrhetinic</w:t>
      </w:r>
      <w:proofErr w:type="spellEnd"/>
      <w:r>
        <w:t xml:space="preserve"> acid is rarely detected in the blood. Interestingly, this review challenges previous assumptions by suggesting that female sex and older age may not be significant risk factors for developing liquorice toxicity [</w:t>
      </w:r>
      <w:r w:rsidR="00037A36">
        <w:t>8</w:t>
      </w:r>
      <w:r>
        <w:t>].</w:t>
      </w:r>
    </w:p>
    <w:p w14:paraId="6C97B455" w14:textId="77777777" w:rsidR="00D7781B" w:rsidRDefault="00D7781B" w:rsidP="00277968">
      <w:pPr>
        <w:spacing w:line="480" w:lineRule="auto"/>
        <w:rPr>
          <w:rFonts w:ascii="Calibri" w:hAnsi="Calibri" w:cs="Calibri"/>
        </w:rPr>
      </w:pPr>
    </w:p>
    <w:p w14:paraId="77807829" w14:textId="22FBA9BE" w:rsidR="0042614A" w:rsidRPr="0042614A" w:rsidRDefault="0042614A" w:rsidP="0042614A">
      <w:pPr>
        <w:spacing w:line="480" w:lineRule="auto"/>
        <w:rPr>
          <w:rFonts w:ascii="Calibri" w:hAnsi="Calibri" w:cs="Calibri"/>
        </w:rPr>
      </w:pPr>
      <w:r w:rsidRPr="0042614A">
        <w:rPr>
          <w:rFonts w:ascii="Calibri" w:hAnsi="Calibri" w:cs="Calibri"/>
        </w:rPr>
        <w:t xml:space="preserve">The differential diagnoses for our patient </w:t>
      </w:r>
      <w:proofErr w:type="spellStart"/>
      <w:r w:rsidRPr="0042614A">
        <w:rPr>
          <w:rFonts w:ascii="Calibri" w:hAnsi="Calibri" w:cs="Calibri"/>
        </w:rPr>
        <w:t>centered</w:t>
      </w:r>
      <w:proofErr w:type="spellEnd"/>
      <w:r w:rsidRPr="0042614A">
        <w:rPr>
          <w:rFonts w:ascii="Calibri" w:hAnsi="Calibri" w:cs="Calibri"/>
        </w:rPr>
        <w:t xml:space="preserve"> around causes of low-renin hypertension, including conditions such as Conn syndrome, Liddle syndrome, enzyme deficiencies like 11β-hydroxylase and 17α-hydroxylase deficiency, and Apparent Mineralocorticoid Excess (AME) [</w:t>
      </w:r>
      <w:r>
        <w:rPr>
          <w:rFonts w:ascii="Calibri" w:hAnsi="Calibri" w:cs="Calibri"/>
        </w:rPr>
        <w:t>9</w:t>
      </w:r>
      <w:r w:rsidRPr="0042614A">
        <w:rPr>
          <w:rFonts w:ascii="Calibri" w:hAnsi="Calibri" w:cs="Calibri"/>
        </w:rPr>
        <w:t>].</w:t>
      </w:r>
      <w:r>
        <w:rPr>
          <w:rFonts w:ascii="Calibri" w:hAnsi="Calibri" w:cs="Calibri"/>
        </w:rPr>
        <w:t xml:space="preserve"> </w:t>
      </w:r>
      <w:r w:rsidRPr="0042614A">
        <w:rPr>
          <w:rFonts w:ascii="Calibri" w:hAnsi="Calibri" w:cs="Calibri"/>
        </w:rPr>
        <w:t xml:space="preserve">Conn syndrome, also known as primary hyperaldosteronism, is typically caused by an </w:t>
      </w:r>
      <w:r w:rsidRPr="0042614A">
        <w:rPr>
          <w:rFonts w:ascii="Calibri" w:hAnsi="Calibri" w:cs="Calibri"/>
        </w:rPr>
        <w:lastRenderedPageBreak/>
        <w:t>aldosterone-producing adenoma in the adrenal gland [1</w:t>
      </w:r>
      <w:r>
        <w:rPr>
          <w:rFonts w:ascii="Calibri" w:hAnsi="Calibri" w:cs="Calibri"/>
        </w:rPr>
        <w:t>0</w:t>
      </w:r>
      <w:r w:rsidRPr="0042614A">
        <w:rPr>
          <w:rFonts w:ascii="Calibri" w:hAnsi="Calibri" w:cs="Calibri"/>
        </w:rPr>
        <w:t>]. This condition leads to autonomous aldosterone secretion, which suppresses plasma renin activity. Consequently, it is characterized by elevated aldosterone levels and low renin. Given that our patient does not exhibit elevated plasma aldosterone, Conn syndrome is unlikely to be the underlying cause.</w:t>
      </w:r>
      <w:r>
        <w:rPr>
          <w:rFonts w:ascii="Calibri" w:hAnsi="Calibri" w:cs="Calibri"/>
        </w:rPr>
        <w:t xml:space="preserve"> </w:t>
      </w:r>
      <w:r w:rsidRPr="0042614A">
        <w:rPr>
          <w:rFonts w:ascii="Calibri" w:hAnsi="Calibri" w:cs="Calibri"/>
        </w:rPr>
        <w:t xml:space="preserve">Enzyme deficiencies, specifically of 11β-hydroxylase and 17α-hydroxylase, represent forms of congenital adrenal hyperplasia. These are inherited in an autosomal recessive manner and result from mutations in the </w:t>
      </w:r>
      <w:r w:rsidRPr="0042614A">
        <w:rPr>
          <w:rFonts w:ascii="Calibri" w:hAnsi="Calibri" w:cs="Calibri"/>
          <w:i/>
          <w:iCs/>
        </w:rPr>
        <w:t>CYP11B1</w:t>
      </w:r>
      <w:r w:rsidRPr="0042614A">
        <w:rPr>
          <w:rFonts w:ascii="Calibri" w:hAnsi="Calibri" w:cs="Calibri"/>
        </w:rPr>
        <w:t xml:space="preserve"> and </w:t>
      </w:r>
      <w:r w:rsidRPr="0042614A">
        <w:rPr>
          <w:rFonts w:ascii="Calibri" w:hAnsi="Calibri" w:cs="Calibri"/>
          <w:i/>
          <w:iCs/>
        </w:rPr>
        <w:t>CYP17</w:t>
      </w:r>
      <w:r w:rsidRPr="0042614A">
        <w:rPr>
          <w:rFonts w:ascii="Calibri" w:hAnsi="Calibri" w:cs="Calibri"/>
        </w:rPr>
        <w:t xml:space="preserve"> genes, respectively [1</w:t>
      </w:r>
      <w:r>
        <w:rPr>
          <w:rFonts w:ascii="Calibri" w:hAnsi="Calibri" w:cs="Calibri"/>
        </w:rPr>
        <w:t>1</w:t>
      </w:r>
      <w:r w:rsidRPr="0042614A">
        <w:rPr>
          <w:rFonts w:ascii="Calibri" w:hAnsi="Calibri" w:cs="Calibri"/>
        </w:rPr>
        <w:t>]. Both enzyme defects impair cortisol synthesis, leading to reduced serum cortisol levels.</w:t>
      </w:r>
      <w:r>
        <w:rPr>
          <w:rFonts w:ascii="Calibri" w:hAnsi="Calibri" w:cs="Calibri"/>
        </w:rPr>
        <w:t xml:space="preserve"> </w:t>
      </w:r>
    </w:p>
    <w:p w14:paraId="140AA59F" w14:textId="77777777" w:rsidR="0042614A" w:rsidRPr="00277968" w:rsidRDefault="0042614A" w:rsidP="00277968">
      <w:pPr>
        <w:spacing w:line="480" w:lineRule="auto"/>
        <w:rPr>
          <w:rFonts w:ascii="Calibri" w:hAnsi="Calibri" w:cs="Calibri"/>
        </w:rPr>
      </w:pPr>
    </w:p>
    <w:p w14:paraId="61043223" w14:textId="7D014CFB" w:rsidR="00277968" w:rsidRPr="00277968" w:rsidRDefault="00277968" w:rsidP="00277968">
      <w:pPr>
        <w:spacing w:line="480" w:lineRule="auto"/>
        <w:rPr>
          <w:rFonts w:ascii="Calibri" w:hAnsi="Calibri" w:cs="Calibri"/>
        </w:rPr>
      </w:pPr>
      <w:r w:rsidRPr="00277968">
        <w:rPr>
          <w:rFonts w:ascii="Calibri" w:hAnsi="Calibri" w:cs="Calibri"/>
        </w:rPr>
        <w:t xml:space="preserve">In our patient, the </w:t>
      </w:r>
      <w:proofErr w:type="spellStart"/>
      <w:r w:rsidRPr="00277968">
        <w:rPr>
          <w:rFonts w:ascii="Calibri" w:hAnsi="Calibri" w:cs="Calibri"/>
        </w:rPr>
        <w:t>etiology</w:t>
      </w:r>
      <w:proofErr w:type="spellEnd"/>
      <w:r w:rsidRPr="00277968">
        <w:rPr>
          <w:rFonts w:ascii="Calibri" w:hAnsi="Calibri" w:cs="Calibri"/>
        </w:rPr>
        <w:t xml:space="preserve"> of the </w:t>
      </w:r>
      <w:proofErr w:type="spellStart"/>
      <w:r w:rsidRPr="00277968">
        <w:rPr>
          <w:rFonts w:ascii="Calibri" w:hAnsi="Calibri" w:cs="Calibri"/>
        </w:rPr>
        <w:t>hypokalemia</w:t>
      </w:r>
      <w:proofErr w:type="spellEnd"/>
      <w:r>
        <w:rPr>
          <w:rFonts w:ascii="Calibri" w:hAnsi="Calibri" w:cs="Calibri"/>
        </w:rPr>
        <w:t xml:space="preserve"> </w:t>
      </w:r>
      <w:r w:rsidRPr="00277968">
        <w:rPr>
          <w:rFonts w:ascii="Calibri" w:hAnsi="Calibri" w:cs="Calibri"/>
        </w:rPr>
        <w:t>and hypomagnesemia could be multifactorial, with potential contributions from herbal compounds</w:t>
      </w:r>
      <w:r w:rsidR="005D7A30">
        <w:rPr>
          <w:rFonts w:ascii="Calibri" w:hAnsi="Calibri" w:cs="Calibri"/>
        </w:rPr>
        <w:t xml:space="preserve"> (</w:t>
      </w:r>
      <w:proofErr w:type="spellStart"/>
      <w:r w:rsidR="005D7A30">
        <w:rPr>
          <w:rFonts w:ascii="Calibri" w:hAnsi="Calibri" w:cs="Calibri"/>
        </w:rPr>
        <w:t>licorice</w:t>
      </w:r>
      <w:proofErr w:type="spellEnd"/>
      <w:proofErr w:type="gramStart"/>
      <w:r w:rsidR="005D7A30">
        <w:rPr>
          <w:rFonts w:ascii="Calibri" w:hAnsi="Calibri" w:cs="Calibri"/>
        </w:rPr>
        <w:t>)</w:t>
      </w:r>
      <w:r w:rsidRPr="00277968">
        <w:rPr>
          <w:rFonts w:ascii="Calibri" w:hAnsi="Calibri" w:cs="Calibri"/>
        </w:rPr>
        <w:t>,</w:t>
      </w:r>
      <w:r>
        <w:rPr>
          <w:rFonts w:ascii="Calibri" w:hAnsi="Calibri" w:cs="Calibri"/>
        </w:rPr>
        <w:t xml:space="preserve"> </w:t>
      </w:r>
      <w:r w:rsidRPr="00277968">
        <w:rPr>
          <w:rFonts w:ascii="Calibri" w:hAnsi="Calibri" w:cs="Calibri"/>
        </w:rPr>
        <w:t xml:space="preserve"> gastrointestinal</w:t>
      </w:r>
      <w:proofErr w:type="gramEnd"/>
      <w:r w:rsidRPr="00277968">
        <w:rPr>
          <w:rFonts w:ascii="Calibri" w:hAnsi="Calibri" w:cs="Calibri"/>
        </w:rPr>
        <w:t xml:space="preserve"> losses, and reduced intake.</w:t>
      </w:r>
    </w:p>
    <w:p w14:paraId="3DDAB2EC" w14:textId="77777777" w:rsidR="000D44CF" w:rsidRPr="00D27D5B" w:rsidRDefault="000D44CF" w:rsidP="00D27D5B">
      <w:pPr>
        <w:spacing w:line="480" w:lineRule="auto"/>
        <w:rPr>
          <w:rFonts w:asciiTheme="minorBidi" w:hAnsiTheme="minorBidi"/>
        </w:rPr>
      </w:pPr>
    </w:p>
    <w:p w14:paraId="7486BD63" w14:textId="3B61C231" w:rsidR="000D44CF" w:rsidRPr="00D27D5B" w:rsidRDefault="000D44CF" w:rsidP="00D27D5B">
      <w:pPr>
        <w:spacing w:line="480" w:lineRule="auto"/>
        <w:rPr>
          <w:rFonts w:asciiTheme="minorBidi" w:hAnsiTheme="minorBidi"/>
          <w:b/>
          <w:bCs/>
          <w:u w:val="single"/>
        </w:rPr>
      </w:pPr>
      <w:r w:rsidRPr="00D27D5B">
        <w:rPr>
          <w:rFonts w:asciiTheme="minorBidi" w:hAnsiTheme="minorBidi"/>
          <w:b/>
          <w:bCs/>
          <w:u w:val="single"/>
        </w:rPr>
        <w:t>CONCLUSION</w:t>
      </w:r>
    </w:p>
    <w:p w14:paraId="5D3F867F" w14:textId="49F9280B" w:rsidR="005D7A30" w:rsidRDefault="005D7A30" w:rsidP="00222214">
      <w:pPr>
        <w:spacing w:line="480" w:lineRule="auto"/>
        <w:rPr>
          <w:rFonts w:asciiTheme="minorBidi" w:hAnsiTheme="minorBidi"/>
        </w:rPr>
      </w:pPr>
      <w:proofErr w:type="spellStart"/>
      <w:r w:rsidRPr="005D7A30">
        <w:rPr>
          <w:rFonts w:asciiTheme="minorBidi" w:hAnsiTheme="minorBidi"/>
        </w:rPr>
        <w:t>Hypokalemia</w:t>
      </w:r>
      <w:proofErr w:type="spellEnd"/>
      <w:r w:rsidRPr="005D7A30">
        <w:rPr>
          <w:rFonts w:asciiTheme="minorBidi" w:hAnsiTheme="minorBidi"/>
        </w:rPr>
        <w:t xml:space="preserve"> can result from various causes, including gastrointestinal or renal losses, transcellular shifts, or reduced oral intake, making a thorough history essential for identifying the underlying </w:t>
      </w:r>
      <w:proofErr w:type="spellStart"/>
      <w:r w:rsidRPr="005D7A30">
        <w:rPr>
          <w:rFonts w:asciiTheme="minorBidi" w:hAnsiTheme="minorBidi"/>
        </w:rPr>
        <w:t>etiology</w:t>
      </w:r>
      <w:proofErr w:type="spellEnd"/>
      <w:r w:rsidRPr="005D7A30">
        <w:rPr>
          <w:rFonts w:asciiTheme="minorBidi" w:hAnsiTheme="minorBidi"/>
        </w:rPr>
        <w:t xml:space="preserve">. Additionally, the use of herbal medications, particularly those containing </w:t>
      </w:r>
      <w:proofErr w:type="spellStart"/>
      <w:r w:rsidRPr="005D7A30">
        <w:rPr>
          <w:rFonts w:asciiTheme="minorBidi" w:hAnsiTheme="minorBidi"/>
        </w:rPr>
        <w:t>licorice</w:t>
      </w:r>
      <w:proofErr w:type="spellEnd"/>
      <w:r w:rsidRPr="005D7A30">
        <w:rPr>
          <w:rFonts w:asciiTheme="minorBidi" w:hAnsiTheme="minorBidi"/>
        </w:rPr>
        <w:t xml:space="preserve">, can exacerbate </w:t>
      </w:r>
      <w:proofErr w:type="spellStart"/>
      <w:r w:rsidRPr="005D7A30">
        <w:rPr>
          <w:rFonts w:asciiTheme="minorBidi" w:hAnsiTheme="minorBidi"/>
        </w:rPr>
        <w:t>hypokalemia</w:t>
      </w:r>
      <w:proofErr w:type="spellEnd"/>
      <w:r w:rsidRPr="005D7A30">
        <w:rPr>
          <w:rFonts w:asciiTheme="minorBidi" w:hAnsiTheme="minorBidi"/>
        </w:rPr>
        <w:t>.</w:t>
      </w:r>
    </w:p>
    <w:p w14:paraId="1EE0C629" w14:textId="77777777" w:rsidR="00187DC7" w:rsidRPr="00277968" w:rsidRDefault="00187DC7" w:rsidP="00187DC7">
      <w:pPr>
        <w:spacing w:line="480" w:lineRule="auto"/>
        <w:rPr>
          <w:rFonts w:ascii="Calibri" w:hAnsi="Calibri" w:cs="Calibri"/>
          <w:b/>
          <w:bCs/>
        </w:rPr>
      </w:pPr>
      <w:r w:rsidRPr="00277968">
        <w:rPr>
          <w:rFonts w:ascii="Calibri" w:hAnsi="Calibri" w:cs="Calibri"/>
          <w:b/>
          <w:bCs/>
        </w:rPr>
        <w:t>Ethical statement and Consent</w:t>
      </w:r>
    </w:p>
    <w:p w14:paraId="301EC2A0" w14:textId="77777777" w:rsidR="00187DC7" w:rsidRPr="00277968" w:rsidRDefault="00187DC7" w:rsidP="00187DC7">
      <w:pPr>
        <w:spacing w:line="480" w:lineRule="auto"/>
        <w:rPr>
          <w:rFonts w:ascii="Calibri" w:hAnsi="Calibri" w:cs="Calibri"/>
        </w:rPr>
      </w:pPr>
      <w:r w:rsidRPr="00277968">
        <w:rPr>
          <w:rFonts w:ascii="Calibri" w:hAnsi="Calibri" w:cs="Calibri"/>
        </w:rPr>
        <w:t xml:space="preserve">The author has obtained written informed consent from the patient. Patient information has been deidentified for confidentiality purposes. </w:t>
      </w:r>
    </w:p>
    <w:p w14:paraId="271D42A7" w14:textId="77777777" w:rsidR="00187DC7" w:rsidRPr="00277968" w:rsidRDefault="00187DC7" w:rsidP="00187DC7">
      <w:pPr>
        <w:spacing w:line="480" w:lineRule="auto"/>
        <w:rPr>
          <w:rFonts w:ascii="Calibri" w:hAnsi="Calibri" w:cs="Calibri"/>
        </w:rPr>
      </w:pPr>
    </w:p>
    <w:p w14:paraId="08003A56" w14:textId="77777777" w:rsidR="005D7A30" w:rsidRDefault="005D7A30" w:rsidP="005D7A30">
      <w:pPr>
        <w:spacing w:line="360" w:lineRule="auto"/>
        <w:rPr>
          <w:rFonts w:asciiTheme="minorBidi" w:hAnsiTheme="minorBidi"/>
        </w:rPr>
      </w:pPr>
    </w:p>
    <w:p w14:paraId="29445CAB" w14:textId="4475B226" w:rsidR="000C24FB" w:rsidRPr="0042614A" w:rsidRDefault="00D27D5B" w:rsidP="00250332">
      <w:pPr>
        <w:spacing w:line="360" w:lineRule="auto"/>
        <w:rPr>
          <w:rFonts w:ascii="Calibri" w:hAnsi="Calibri" w:cs="Calibri"/>
          <w:b/>
          <w:bCs/>
          <w:u w:val="single"/>
        </w:rPr>
      </w:pPr>
      <w:r w:rsidRPr="0042614A">
        <w:rPr>
          <w:rFonts w:ascii="Calibri" w:hAnsi="Calibri" w:cs="Calibri"/>
          <w:b/>
          <w:bCs/>
          <w:u w:val="single"/>
        </w:rPr>
        <w:t>REFERENCE</w:t>
      </w:r>
    </w:p>
    <w:p w14:paraId="4F5F1660" w14:textId="22F6E5E5"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Shibata S. A drug over the millennia: pharmacognosy, chemistry, and pharmacology of </w:t>
      </w:r>
      <w:proofErr w:type="spellStart"/>
      <w:r w:rsidRPr="0042614A">
        <w:rPr>
          <w:rFonts w:ascii="Calibri" w:hAnsi="Calibri" w:cs="Calibri"/>
        </w:rPr>
        <w:t>licorice</w:t>
      </w:r>
      <w:proofErr w:type="spellEnd"/>
      <w:r w:rsidRPr="0042614A">
        <w:rPr>
          <w:rFonts w:ascii="Calibri" w:hAnsi="Calibri" w:cs="Calibri"/>
        </w:rPr>
        <w:t xml:space="preserve">. </w:t>
      </w:r>
      <w:proofErr w:type="spellStart"/>
      <w:r w:rsidRPr="0042614A">
        <w:rPr>
          <w:rFonts w:ascii="Calibri" w:hAnsi="Calibri" w:cs="Calibri"/>
        </w:rPr>
        <w:t>Yakugaku</w:t>
      </w:r>
      <w:proofErr w:type="spellEnd"/>
      <w:r w:rsidRPr="0042614A">
        <w:rPr>
          <w:rFonts w:ascii="Calibri" w:hAnsi="Calibri" w:cs="Calibri"/>
        </w:rPr>
        <w:t xml:space="preserve"> </w:t>
      </w:r>
      <w:proofErr w:type="spellStart"/>
      <w:r w:rsidRPr="0042614A">
        <w:rPr>
          <w:rFonts w:ascii="Calibri" w:hAnsi="Calibri" w:cs="Calibri"/>
        </w:rPr>
        <w:t>Zasshi</w:t>
      </w:r>
      <w:proofErr w:type="spellEnd"/>
      <w:r w:rsidRPr="0042614A">
        <w:rPr>
          <w:rFonts w:ascii="Calibri" w:hAnsi="Calibri" w:cs="Calibri"/>
        </w:rPr>
        <w:t xml:space="preserve">. </w:t>
      </w:r>
      <w:proofErr w:type="gramStart"/>
      <w:r w:rsidRPr="0042614A">
        <w:rPr>
          <w:rFonts w:ascii="Calibri" w:hAnsi="Calibri" w:cs="Calibri"/>
        </w:rPr>
        <w:t>2000;120:849</w:t>
      </w:r>
      <w:proofErr w:type="gramEnd"/>
      <w:r w:rsidRPr="0042614A">
        <w:rPr>
          <w:rFonts w:ascii="Calibri" w:hAnsi="Calibri" w:cs="Calibri"/>
        </w:rPr>
        <w:t>–862. doi:10.1248/yakushi1947.120.10_849.</w:t>
      </w:r>
    </w:p>
    <w:p w14:paraId="0DEA53AB" w14:textId="51EF0C84"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Bush TM, Rayburn K, Holloway SW, et al. Adverse interactions between herbal and dietary substances and prescription medications: a clinical survey. Altern Ther Health Med. </w:t>
      </w:r>
      <w:proofErr w:type="gramStart"/>
      <w:r w:rsidRPr="0042614A">
        <w:rPr>
          <w:rFonts w:ascii="Calibri" w:hAnsi="Calibri" w:cs="Calibri"/>
        </w:rPr>
        <w:t>2007;13:30</w:t>
      </w:r>
      <w:proofErr w:type="gramEnd"/>
      <w:r w:rsidRPr="0042614A">
        <w:rPr>
          <w:rFonts w:ascii="Calibri" w:hAnsi="Calibri" w:cs="Calibri"/>
        </w:rPr>
        <w:t>–35.</w:t>
      </w:r>
    </w:p>
    <w:p w14:paraId="71988516" w14:textId="05DC49D2" w:rsidR="0042614A" w:rsidRPr="0042614A" w:rsidRDefault="0042614A" w:rsidP="0042614A">
      <w:pPr>
        <w:pStyle w:val="ListParagraph"/>
        <w:numPr>
          <w:ilvl w:val="0"/>
          <w:numId w:val="13"/>
        </w:numPr>
        <w:spacing w:line="480" w:lineRule="auto"/>
        <w:rPr>
          <w:rFonts w:ascii="Calibri" w:hAnsi="Calibri" w:cs="Calibri"/>
        </w:rPr>
      </w:pPr>
      <w:proofErr w:type="spellStart"/>
      <w:r w:rsidRPr="0042614A">
        <w:rPr>
          <w:rFonts w:ascii="Calibri" w:hAnsi="Calibri" w:cs="Calibri"/>
        </w:rPr>
        <w:t>Farese</w:t>
      </w:r>
      <w:proofErr w:type="spellEnd"/>
      <w:r w:rsidRPr="0042614A">
        <w:rPr>
          <w:rFonts w:ascii="Calibri" w:hAnsi="Calibri" w:cs="Calibri"/>
        </w:rPr>
        <w:t xml:space="preserve"> RV Jr, </w:t>
      </w:r>
      <w:proofErr w:type="spellStart"/>
      <w:r w:rsidRPr="0042614A">
        <w:rPr>
          <w:rFonts w:ascii="Calibri" w:hAnsi="Calibri" w:cs="Calibri"/>
        </w:rPr>
        <w:t>Biglieri</w:t>
      </w:r>
      <w:proofErr w:type="spellEnd"/>
      <w:r w:rsidRPr="0042614A">
        <w:rPr>
          <w:rFonts w:ascii="Calibri" w:hAnsi="Calibri" w:cs="Calibri"/>
        </w:rPr>
        <w:t xml:space="preserve"> EG, Shackleton CHL, Irony I, Gomez-Fontes R. </w:t>
      </w:r>
      <w:proofErr w:type="spellStart"/>
      <w:r w:rsidRPr="0042614A">
        <w:rPr>
          <w:rFonts w:ascii="Calibri" w:hAnsi="Calibri" w:cs="Calibri"/>
        </w:rPr>
        <w:t>Licorice</w:t>
      </w:r>
      <w:proofErr w:type="spellEnd"/>
      <w:r w:rsidRPr="0042614A">
        <w:rPr>
          <w:rFonts w:ascii="Calibri" w:hAnsi="Calibri" w:cs="Calibri"/>
        </w:rPr>
        <w:t xml:space="preserve">-induced </w:t>
      </w:r>
      <w:proofErr w:type="spellStart"/>
      <w:r w:rsidRPr="0042614A">
        <w:rPr>
          <w:rFonts w:ascii="Calibri" w:hAnsi="Calibri" w:cs="Calibri"/>
        </w:rPr>
        <w:t>hypermineralocorticoidism</w:t>
      </w:r>
      <w:proofErr w:type="spellEnd"/>
      <w:r w:rsidRPr="0042614A">
        <w:rPr>
          <w:rFonts w:ascii="Calibri" w:hAnsi="Calibri" w:cs="Calibri"/>
        </w:rPr>
        <w:t xml:space="preserve">. N Engl J Med. </w:t>
      </w:r>
      <w:proofErr w:type="gramStart"/>
      <w:r w:rsidRPr="0042614A">
        <w:rPr>
          <w:rFonts w:ascii="Calibri" w:hAnsi="Calibri" w:cs="Calibri"/>
        </w:rPr>
        <w:t>1991;325:1223</w:t>
      </w:r>
      <w:proofErr w:type="gramEnd"/>
      <w:r w:rsidRPr="0042614A">
        <w:rPr>
          <w:rFonts w:ascii="Calibri" w:hAnsi="Calibri" w:cs="Calibri"/>
        </w:rPr>
        <w:t>–1227. doi:10.1056/NEJM199110243251706.</w:t>
      </w:r>
    </w:p>
    <w:p w14:paraId="03367F27" w14:textId="04BDC2C0"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Deutch MR, Grimm D, Wehland M, Infanger M, Krüger M. Bioactive candy: effects of </w:t>
      </w:r>
      <w:proofErr w:type="spellStart"/>
      <w:r w:rsidRPr="0042614A">
        <w:rPr>
          <w:rFonts w:ascii="Calibri" w:hAnsi="Calibri" w:cs="Calibri"/>
        </w:rPr>
        <w:t>licorice</w:t>
      </w:r>
      <w:proofErr w:type="spellEnd"/>
      <w:r w:rsidRPr="0042614A">
        <w:rPr>
          <w:rFonts w:ascii="Calibri" w:hAnsi="Calibri" w:cs="Calibri"/>
        </w:rPr>
        <w:t xml:space="preserve"> on the cardiovascular system. Foods. </w:t>
      </w:r>
      <w:proofErr w:type="gramStart"/>
      <w:r w:rsidRPr="0042614A">
        <w:rPr>
          <w:rFonts w:ascii="Calibri" w:hAnsi="Calibri" w:cs="Calibri"/>
        </w:rPr>
        <w:t>2019;8:495</w:t>
      </w:r>
      <w:proofErr w:type="gramEnd"/>
      <w:r w:rsidRPr="0042614A">
        <w:rPr>
          <w:rFonts w:ascii="Calibri" w:hAnsi="Calibri" w:cs="Calibri"/>
        </w:rPr>
        <w:t>. doi:10.3390/foods8100495.</w:t>
      </w:r>
    </w:p>
    <w:p w14:paraId="3226AEFA"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Nazari S, </w:t>
      </w:r>
      <w:proofErr w:type="spellStart"/>
      <w:r w:rsidRPr="0042614A">
        <w:rPr>
          <w:rFonts w:ascii="Calibri" w:hAnsi="Calibri" w:cs="Calibri"/>
        </w:rPr>
        <w:t>Rameshrad</w:t>
      </w:r>
      <w:proofErr w:type="spellEnd"/>
      <w:r w:rsidRPr="0042614A">
        <w:rPr>
          <w:rFonts w:ascii="Calibri" w:hAnsi="Calibri" w:cs="Calibri"/>
        </w:rPr>
        <w:t xml:space="preserve"> M, </w:t>
      </w:r>
      <w:proofErr w:type="spellStart"/>
      <w:r w:rsidRPr="0042614A">
        <w:rPr>
          <w:rFonts w:ascii="Calibri" w:hAnsi="Calibri" w:cs="Calibri"/>
        </w:rPr>
        <w:t>Hosseinzadeh</w:t>
      </w:r>
      <w:proofErr w:type="spellEnd"/>
      <w:r w:rsidRPr="0042614A">
        <w:rPr>
          <w:rFonts w:ascii="Calibri" w:hAnsi="Calibri" w:cs="Calibri"/>
        </w:rPr>
        <w:t xml:space="preserve"> H. Toxicological effects of </w:t>
      </w:r>
      <w:r w:rsidRPr="0042614A">
        <w:rPr>
          <w:rFonts w:ascii="Calibri" w:hAnsi="Calibri" w:cs="Calibri"/>
          <w:i/>
          <w:iCs/>
        </w:rPr>
        <w:t>Glycyrrhiza glabra</w:t>
      </w:r>
      <w:r w:rsidRPr="0042614A">
        <w:rPr>
          <w:rFonts w:ascii="Calibri" w:hAnsi="Calibri" w:cs="Calibri"/>
        </w:rPr>
        <w:t xml:space="preserve"> (</w:t>
      </w:r>
      <w:proofErr w:type="spellStart"/>
      <w:r w:rsidRPr="0042614A">
        <w:rPr>
          <w:rFonts w:ascii="Calibri" w:hAnsi="Calibri" w:cs="Calibri"/>
        </w:rPr>
        <w:t>licorice</w:t>
      </w:r>
      <w:proofErr w:type="spellEnd"/>
      <w:r w:rsidRPr="0042614A">
        <w:rPr>
          <w:rFonts w:ascii="Calibri" w:hAnsi="Calibri" w:cs="Calibri"/>
        </w:rPr>
        <w:t xml:space="preserve">): a review. </w:t>
      </w:r>
      <w:proofErr w:type="spellStart"/>
      <w:r w:rsidRPr="0042614A">
        <w:rPr>
          <w:rFonts w:ascii="Calibri" w:hAnsi="Calibri" w:cs="Calibri"/>
        </w:rPr>
        <w:t>Phytother</w:t>
      </w:r>
      <w:proofErr w:type="spellEnd"/>
      <w:r w:rsidRPr="0042614A">
        <w:rPr>
          <w:rFonts w:ascii="Calibri" w:hAnsi="Calibri" w:cs="Calibri"/>
        </w:rPr>
        <w:t xml:space="preserve"> Res. </w:t>
      </w:r>
      <w:proofErr w:type="gramStart"/>
      <w:r w:rsidRPr="0042614A">
        <w:rPr>
          <w:rFonts w:ascii="Calibri" w:hAnsi="Calibri" w:cs="Calibri"/>
        </w:rPr>
        <w:t>2017;31:1635</w:t>
      </w:r>
      <w:proofErr w:type="gramEnd"/>
      <w:r w:rsidRPr="0042614A">
        <w:rPr>
          <w:rFonts w:ascii="Calibri" w:hAnsi="Calibri" w:cs="Calibri"/>
        </w:rPr>
        <w:t>–1650. doi:10.1002/ptr.5893.</w:t>
      </w:r>
    </w:p>
    <w:p w14:paraId="1F305861" w14:textId="77777777" w:rsidR="0042614A" w:rsidRDefault="0042614A" w:rsidP="0042614A">
      <w:pPr>
        <w:pStyle w:val="ListParagraph"/>
        <w:numPr>
          <w:ilvl w:val="0"/>
          <w:numId w:val="13"/>
        </w:numPr>
        <w:spacing w:line="480" w:lineRule="auto"/>
        <w:rPr>
          <w:rFonts w:ascii="Calibri" w:hAnsi="Calibri" w:cs="Calibri"/>
        </w:rPr>
      </w:pPr>
      <w:proofErr w:type="spellStart"/>
      <w:r w:rsidRPr="0042614A">
        <w:rPr>
          <w:rFonts w:ascii="Calibri" w:hAnsi="Calibri" w:cs="Calibri"/>
        </w:rPr>
        <w:t>Baudrand</w:t>
      </w:r>
      <w:proofErr w:type="spellEnd"/>
      <w:r w:rsidRPr="0042614A">
        <w:rPr>
          <w:rFonts w:ascii="Calibri" w:hAnsi="Calibri" w:cs="Calibri"/>
        </w:rPr>
        <w:t xml:space="preserve"> R, Vaidya A. The low-renin hypertension phenotype: genetics and the role of the mineralocorticoid receptor. Int J Mol Sci. </w:t>
      </w:r>
      <w:proofErr w:type="gramStart"/>
      <w:r w:rsidRPr="0042614A">
        <w:rPr>
          <w:rFonts w:ascii="Calibri" w:hAnsi="Calibri" w:cs="Calibri"/>
        </w:rPr>
        <w:t>2018;19:546</w:t>
      </w:r>
      <w:proofErr w:type="gramEnd"/>
      <w:r w:rsidRPr="0042614A">
        <w:rPr>
          <w:rFonts w:ascii="Calibri" w:hAnsi="Calibri" w:cs="Calibri"/>
        </w:rPr>
        <w:t>. doi:10.3390/ijms19020546.</w:t>
      </w:r>
    </w:p>
    <w:p w14:paraId="505C6483" w14:textId="77777777"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Xu N, </w:t>
      </w:r>
      <w:proofErr w:type="spellStart"/>
      <w:r w:rsidRPr="0042614A">
        <w:rPr>
          <w:rFonts w:ascii="Calibri" w:hAnsi="Calibri" w:cs="Calibri"/>
        </w:rPr>
        <w:t>Hirohama</w:t>
      </w:r>
      <w:proofErr w:type="spellEnd"/>
      <w:r w:rsidRPr="0042614A">
        <w:rPr>
          <w:rFonts w:ascii="Calibri" w:hAnsi="Calibri" w:cs="Calibri"/>
        </w:rPr>
        <w:t xml:space="preserve"> D, Ishizawa K, et al. </w:t>
      </w:r>
      <w:proofErr w:type="spellStart"/>
      <w:r w:rsidRPr="0042614A">
        <w:rPr>
          <w:rFonts w:ascii="Calibri" w:hAnsi="Calibri" w:cs="Calibri"/>
        </w:rPr>
        <w:t>Hypokalemia</w:t>
      </w:r>
      <w:proofErr w:type="spellEnd"/>
      <w:r w:rsidRPr="0042614A">
        <w:rPr>
          <w:rFonts w:ascii="Calibri" w:hAnsi="Calibri" w:cs="Calibri"/>
        </w:rPr>
        <w:t xml:space="preserve"> and pendrin induction by aldosterone. </w:t>
      </w:r>
      <w:r w:rsidRPr="0042614A">
        <w:rPr>
          <w:rFonts w:ascii="Calibri" w:hAnsi="Calibri" w:cs="Calibri"/>
          <w:lang w:val="it-IT"/>
        </w:rPr>
        <w:t>Hypertension. 2017;69:855–862. doi:10.1161/HYPERTENSIONAHA.116.08519.</w:t>
      </w:r>
    </w:p>
    <w:p w14:paraId="2B19A2A5"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lang w:val="it-IT"/>
        </w:rPr>
        <w:t xml:space="preserve">Cappellini F, Molinaro A, Montagnani A, et al. </w:t>
      </w:r>
      <w:r w:rsidRPr="0042614A">
        <w:rPr>
          <w:rFonts w:ascii="Calibri" w:hAnsi="Calibri" w:cs="Calibri"/>
        </w:rPr>
        <w:t>Liquorice toxicity: a comprehensive narrative review. Nutrients. 2023;15(18):3866. doi:10.3390/nu15183866.</w:t>
      </w:r>
    </w:p>
    <w:p w14:paraId="0F696FD1"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lastRenderedPageBreak/>
        <w:t>Ganguly A. Primary aldosteronism. N Engl J Med. 1998;339(25):1828–1834. doi:10.1056/NEJM199812173392507.</w:t>
      </w:r>
    </w:p>
    <w:p w14:paraId="14D79B3A"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White PC. Inherited forms of mineralocorticoid hypertension. Hypertension. 1996;28(6):927–936. </w:t>
      </w:r>
      <w:proofErr w:type="gramStart"/>
      <w:r w:rsidRPr="0042614A">
        <w:rPr>
          <w:rFonts w:ascii="Calibri" w:hAnsi="Calibri" w:cs="Calibri"/>
        </w:rPr>
        <w:t>doi:10.1161/01.hyp</w:t>
      </w:r>
      <w:proofErr w:type="gramEnd"/>
      <w:r w:rsidRPr="0042614A">
        <w:rPr>
          <w:rFonts w:ascii="Calibri" w:hAnsi="Calibri" w:cs="Calibri"/>
        </w:rPr>
        <w:t>.28.6.927.</w:t>
      </w:r>
    </w:p>
    <w:p w14:paraId="7241E89F" w14:textId="5803621B" w:rsidR="0042614A" w:rsidRPr="0042614A" w:rsidRDefault="0042614A" w:rsidP="0042614A">
      <w:pPr>
        <w:pStyle w:val="ListParagraph"/>
        <w:numPr>
          <w:ilvl w:val="0"/>
          <w:numId w:val="13"/>
        </w:numPr>
        <w:spacing w:line="480" w:lineRule="auto"/>
        <w:rPr>
          <w:rFonts w:ascii="Calibri" w:hAnsi="Calibri" w:cs="Calibri"/>
        </w:rPr>
      </w:pPr>
      <w:proofErr w:type="spellStart"/>
      <w:r w:rsidRPr="0042614A">
        <w:rPr>
          <w:rFonts w:ascii="Calibri" w:hAnsi="Calibri" w:cs="Calibri"/>
        </w:rPr>
        <w:t>Abriel</w:t>
      </w:r>
      <w:proofErr w:type="spellEnd"/>
      <w:r w:rsidRPr="0042614A">
        <w:rPr>
          <w:rFonts w:ascii="Calibri" w:hAnsi="Calibri" w:cs="Calibri"/>
        </w:rPr>
        <w:t xml:space="preserve"> H, </w:t>
      </w:r>
      <w:proofErr w:type="spellStart"/>
      <w:r w:rsidRPr="0042614A">
        <w:rPr>
          <w:rFonts w:ascii="Calibri" w:hAnsi="Calibri" w:cs="Calibri"/>
        </w:rPr>
        <w:t>Loffing</w:t>
      </w:r>
      <w:proofErr w:type="spellEnd"/>
      <w:r w:rsidRPr="0042614A">
        <w:rPr>
          <w:rFonts w:ascii="Calibri" w:hAnsi="Calibri" w:cs="Calibri"/>
        </w:rPr>
        <w:t xml:space="preserve"> J, </w:t>
      </w:r>
      <w:proofErr w:type="spellStart"/>
      <w:r w:rsidRPr="0042614A">
        <w:rPr>
          <w:rFonts w:ascii="Calibri" w:hAnsi="Calibri" w:cs="Calibri"/>
        </w:rPr>
        <w:t>Rebhun</w:t>
      </w:r>
      <w:proofErr w:type="spellEnd"/>
      <w:r w:rsidRPr="0042614A">
        <w:rPr>
          <w:rFonts w:ascii="Calibri" w:hAnsi="Calibri" w:cs="Calibri"/>
        </w:rPr>
        <w:t xml:space="preserve"> JF, et al. Defective regulation of the epithelial Na⁺ channel by Nedd4 in Liddle's syndrome. J Clin Invest. 1999;103(5):667–673. doi:10.1172/JCI5713.</w:t>
      </w:r>
    </w:p>
    <w:p w14:paraId="74A29780" w14:textId="77777777" w:rsidR="0042614A" w:rsidRPr="0042614A" w:rsidRDefault="0042614A" w:rsidP="0042614A">
      <w:pPr>
        <w:spacing w:line="480" w:lineRule="auto"/>
        <w:ind w:left="360"/>
        <w:rPr>
          <w:rFonts w:ascii="Calibri" w:hAnsi="Calibri" w:cs="Calibri"/>
          <w:lang w:val="en-US"/>
        </w:rPr>
      </w:pPr>
    </w:p>
    <w:sectPr w:rsidR="0042614A" w:rsidRPr="0042614A" w:rsidSect="00247314">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6F2C7" w14:textId="77777777" w:rsidR="003E0F5E" w:rsidRDefault="003E0F5E" w:rsidP="008D1D48">
      <w:pPr>
        <w:spacing w:after="0" w:line="240" w:lineRule="auto"/>
      </w:pPr>
      <w:r>
        <w:separator/>
      </w:r>
    </w:p>
  </w:endnote>
  <w:endnote w:type="continuationSeparator" w:id="0">
    <w:p w14:paraId="6CFCE88A" w14:textId="77777777" w:rsidR="003E0F5E" w:rsidRDefault="003E0F5E" w:rsidP="008D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C8E5" w14:textId="77777777" w:rsidR="008D1D48" w:rsidRDefault="008D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876A5" w14:textId="77777777" w:rsidR="008D1D48" w:rsidRDefault="008D1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0B70" w14:textId="77777777" w:rsidR="008D1D48" w:rsidRDefault="008D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36808" w14:textId="77777777" w:rsidR="003E0F5E" w:rsidRDefault="003E0F5E" w:rsidP="008D1D48">
      <w:pPr>
        <w:spacing w:after="0" w:line="240" w:lineRule="auto"/>
      </w:pPr>
      <w:r>
        <w:separator/>
      </w:r>
    </w:p>
  </w:footnote>
  <w:footnote w:type="continuationSeparator" w:id="0">
    <w:p w14:paraId="45C18EEC" w14:textId="77777777" w:rsidR="003E0F5E" w:rsidRDefault="003E0F5E" w:rsidP="008D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4019" w14:textId="15E05ACE" w:rsidR="008D1D48" w:rsidRDefault="008D1D48">
    <w:pPr>
      <w:pStyle w:val="Header"/>
    </w:pPr>
    <w:r>
      <w:rPr>
        <w:noProof/>
      </w:rPr>
      <w:pict w14:anchorId="28F9E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019485" o:spid="_x0000_s2050"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9E26" w14:textId="75DF1E2B" w:rsidR="008D1D48" w:rsidRDefault="008D1D48">
    <w:pPr>
      <w:pStyle w:val="Header"/>
    </w:pPr>
    <w:r>
      <w:rPr>
        <w:noProof/>
      </w:rPr>
      <w:pict w14:anchorId="19232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019486" o:spid="_x0000_s2051"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473C" w14:textId="4C9397B5" w:rsidR="008D1D48" w:rsidRDefault="008D1D48">
    <w:pPr>
      <w:pStyle w:val="Header"/>
    </w:pPr>
    <w:r>
      <w:rPr>
        <w:noProof/>
      </w:rPr>
      <w:pict w14:anchorId="64AFE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019484" o:spid="_x0000_s2049"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8B6"/>
    <w:multiLevelType w:val="multilevel"/>
    <w:tmpl w:val="804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F6661"/>
    <w:multiLevelType w:val="multilevel"/>
    <w:tmpl w:val="CD2C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0C2D"/>
    <w:multiLevelType w:val="hybridMultilevel"/>
    <w:tmpl w:val="1A989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B77EB"/>
    <w:multiLevelType w:val="multilevel"/>
    <w:tmpl w:val="A51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80D0C"/>
    <w:multiLevelType w:val="multilevel"/>
    <w:tmpl w:val="6E0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B791D"/>
    <w:multiLevelType w:val="multilevel"/>
    <w:tmpl w:val="61241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D404C"/>
    <w:multiLevelType w:val="multilevel"/>
    <w:tmpl w:val="B7D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0036E"/>
    <w:multiLevelType w:val="hybridMultilevel"/>
    <w:tmpl w:val="D812A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F6BD2"/>
    <w:multiLevelType w:val="multilevel"/>
    <w:tmpl w:val="585E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0F3105"/>
    <w:multiLevelType w:val="hybridMultilevel"/>
    <w:tmpl w:val="74684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E09D1"/>
    <w:multiLevelType w:val="multilevel"/>
    <w:tmpl w:val="8B2A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B12D7"/>
    <w:multiLevelType w:val="multilevel"/>
    <w:tmpl w:val="D71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D025E"/>
    <w:multiLevelType w:val="hybridMultilevel"/>
    <w:tmpl w:val="A942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8"/>
  </w:num>
  <w:num w:numId="5">
    <w:abstractNumId w:val="2"/>
  </w:num>
  <w:num w:numId="6">
    <w:abstractNumId w:val="4"/>
  </w:num>
  <w:num w:numId="7">
    <w:abstractNumId w:val="1"/>
  </w:num>
  <w:num w:numId="8">
    <w:abstractNumId w:val="3"/>
  </w:num>
  <w:num w:numId="9">
    <w:abstractNumId w:val="11"/>
  </w:num>
  <w:num w:numId="10">
    <w:abstractNumId w:val="5"/>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D4"/>
    <w:rsid w:val="000346FB"/>
    <w:rsid w:val="00037A36"/>
    <w:rsid w:val="00056950"/>
    <w:rsid w:val="000A4DCC"/>
    <w:rsid w:val="000C24FB"/>
    <w:rsid w:val="000D44CF"/>
    <w:rsid w:val="000F409A"/>
    <w:rsid w:val="0017667D"/>
    <w:rsid w:val="00187DC7"/>
    <w:rsid w:val="00202069"/>
    <w:rsid w:val="002039A0"/>
    <w:rsid w:val="00222214"/>
    <w:rsid w:val="00247314"/>
    <w:rsid w:val="00250332"/>
    <w:rsid w:val="00277968"/>
    <w:rsid w:val="002970DD"/>
    <w:rsid w:val="002D79E9"/>
    <w:rsid w:val="00303C70"/>
    <w:rsid w:val="003461BF"/>
    <w:rsid w:val="003E0F5E"/>
    <w:rsid w:val="00401584"/>
    <w:rsid w:val="00425D6A"/>
    <w:rsid w:val="0042614A"/>
    <w:rsid w:val="00434B13"/>
    <w:rsid w:val="005434E9"/>
    <w:rsid w:val="005D7A30"/>
    <w:rsid w:val="00607B0E"/>
    <w:rsid w:val="00644D2D"/>
    <w:rsid w:val="00661FB5"/>
    <w:rsid w:val="00692E18"/>
    <w:rsid w:val="00697758"/>
    <w:rsid w:val="006E11B2"/>
    <w:rsid w:val="006F1E13"/>
    <w:rsid w:val="00790C0F"/>
    <w:rsid w:val="007A6B31"/>
    <w:rsid w:val="00801B51"/>
    <w:rsid w:val="00852672"/>
    <w:rsid w:val="008D1D48"/>
    <w:rsid w:val="008E3818"/>
    <w:rsid w:val="008F2FB9"/>
    <w:rsid w:val="009146D6"/>
    <w:rsid w:val="00946BC1"/>
    <w:rsid w:val="0096524B"/>
    <w:rsid w:val="009B138D"/>
    <w:rsid w:val="009C65F1"/>
    <w:rsid w:val="00A0233A"/>
    <w:rsid w:val="00A55513"/>
    <w:rsid w:val="00A66CCA"/>
    <w:rsid w:val="00AA58BE"/>
    <w:rsid w:val="00AC7E8B"/>
    <w:rsid w:val="00AE248B"/>
    <w:rsid w:val="00AE3288"/>
    <w:rsid w:val="00BB55B2"/>
    <w:rsid w:val="00C740D2"/>
    <w:rsid w:val="00CD6DC8"/>
    <w:rsid w:val="00CF7F6E"/>
    <w:rsid w:val="00D0365C"/>
    <w:rsid w:val="00D046A0"/>
    <w:rsid w:val="00D04FA7"/>
    <w:rsid w:val="00D27D5B"/>
    <w:rsid w:val="00D7781B"/>
    <w:rsid w:val="00DA5E9F"/>
    <w:rsid w:val="00DE3CFD"/>
    <w:rsid w:val="00DF1E6A"/>
    <w:rsid w:val="00E478AC"/>
    <w:rsid w:val="00E631C2"/>
    <w:rsid w:val="00EA769C"/>
    <w:rsid w:val="00F3350C"/>
    <w:rsid w:val="00F45E14"/>
    <w:rsid w:val="00F64F18"/>
    <w:rsid w:val="00FE53E3"/>
    <w:rsid w:val="00FF1ED4"/>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D94AD"/>
  <w15:chartTrackingRefBased/>
  <w15:docId w15:val="{2338E8A3-A1DD-804C-A0C8-EBB6B567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ED4"/>
    <w:rPr>
      <w:rFonts w:eastAsiaTheme="majorEastAsia" w:cstheme="majorBidi"/>
      <w:color w:val="272727" w:themeColor="text1" w:themeTint="D8"/>
    </w:rPr>
  </w:style>
  <w:style w:type="paragraph" w:styleId="Title">
    <w:name w:val="Title"/>
    <w:basedOn w:val="Normal"/>
    <w:next w:val="Normal"/>
    <w:link w:val="TitleChar"/>
    <w:uiPriority w:val="10"/>
    <w:qFormat/>
    <w:rsid w:val="00FF1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ED4"/>
    <w:pPr>
      <w:spacing w:before="160"/>
      <w:jc w:val="center"/>
    </w:pPr>
    <w:rPr>
      <w:i/>
      <w:iCs/>
      <w:color w:val="404040" w:themeColor="text1" w:themeTint="BF"/>
    </w:rPr>
  </w:style>
  <w:style w:type="character" w:customStyle="1" w:styleId="QuoteChar">
    <w:name w:val="Quote Char"/>
    <w:basedOn w:val="DefaultParagraphFont"/>
    <w:link w:val="Quote"/>
    <w:uiPriority w:val="29"/>
    <w:rsid w:val="00FF1ED4"/>
    <w:rPr>
      <w:i/>
      <w:iCs/>
      <w:color w:val="404040" w:themeColor="text1" w:themeTint="BF"/>
    </w:rPr>
  </w:style>
  <w:style w:type="paragraph" w:styleId="ListParagraph">
    <w:name w:val="List Paragraph"/>
    <w:basedOn w:val="Normal"/>
    <w:uiPriority w:val="34"/>
    <w:qFormat/>
    <w:rsid w:val="00FF1ED4"/>
    <w:pPr>
      <w:ind w:left="720"/>
      <w:contextualSpacing/>
    </w:pPr>
  </w:style>
  <w:style w:type="character" w:styleId="IntenseEmphasis">
    <w:name w:val="Intense Emphasis"/>
    <w:basedOn w:val="DefaultParagraphFont"/>
    <w:uiPriority w:val="21"/>
    <w:qFormat/>
    <w:rsid w:val="00FF1ED4"/>
    <w:rPr>
      <w:i/>
      <w:iCs/>
      <w:color w:val="0F4761" w:themeColor="accent1" w:themeShade="BF"/>
    </w:rPr>
  </w:style>
  <w:style w:type="paragraph" w:styleId="IntenseQuote">
    <w:name w:val="Intense Quote"/>
    <w:basedOn w:val="Normal"/>
    <w:next w:val="Normal"/>
    <w:link w:val="IntenseQuoteChar"/>
    <w:uiPriority w:val="30"/>
    <w:qFormat/>
    <w:rsid w:val="00FF1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ED4"/>
    <w:rPr>
      <w:i/>
      <w:iCs/>
      <w:color w:val="0F4761" w:themeColor="accent1" w:themeShade="BF"/>
    </w:rPr>
  </w:style>
  <w:style w:type="character" w:styleId="IntenseReference">
    <w:name w:val="Intense Reference"/>
    <w:basedOn w:val="DefaultParagraphFont"/>
    <w:uiPriority w:val="32"/>
    <w:qFormat/>
    <w:rsid w:val="00FF1ED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F1ED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1ED4"/>
    <w:rPr>
      <w:rFonts w:ascii="Consolas" w:hAnsi="Consolas" w:cs="Consolas"/>
      <w:sz w:val="20"/>
      <w:szCs w:val="20"/>
    </w:rPr>
  </w:style>
  <w:style w:type="character" w:styleId="Hyperlink">
    <w:name w:val="Hyperlink"/>
    <w:basedOn w:val="DefaultParagraphFont"/>
    <w:uiPriority w:val="99"/>
    <w:unhideWhenUsed/>
    <w:rsid w:val="00D046A0"/>
    <w:rPr>
      <w:color w:val="467886" w:themeColor="hyperlink"/>
      <w:u w:val="single"/>
    </w:rPr>
  </w:style>
  <w:style w:type="character" w:styleId="UnresolvedMention">
    <w:name w:val="Unresolved Mention"/>
    <w:basedOn w:val="DefaultParagraphFont"/>
    <w:uiPriority w:val="99"/>
    <w:semiHidden/>
    <w:unhideWhenUsed/>
    <w:rsid w:val="00D046A0"/>
    <w:rPr>
      <w:color w:val="605E5C"/>
      <w:shd w:val="clear" w:color="auto" w:fill="E1DFDD"/>
    </w:rPr>
  </w:style>
  <w:style w:type="character" w:styleId="Emphasis">
    <w:name w:val="Emphasis"/>
    <w:basedOn w:val="DefaultParagraphFont"/>
    <w:uiPriority w:val="20"/>
    <w:qFormat/>
    <w:rsid w:val="005434E9"/>
    <w:rPr>
      <w:i/>
      <w:iCs/>
    </w:rPr>
  </w:style>
  <w:style w:type="character" w:styleId="FollowedHyperlink">
    <w:name w:val="FollowedHyperlink"/>
    <w:basedOn w:val="DefaultParagraphFont"/>
    <w:uiPriority w:val="99"/>
    <w:semiHidden/>
    <w:unhideWhenUsed/>
    <w:rsid w:val="00D27D5B"/>
    <w:rPr>
      <w:color w:val="96607D" w:themeColor="followedHyperlink"/>
      <w:u w:val="single"/>
    </w:rPr>
  </w:style>
  <w:style w:type="table" w:styleId="TableGrid">
    <w:name w:val="Table Grid"/>
    <w:basedOn w:val="TableNormal"/>
    <w:uiPriority w:val="39"/>
    <w:rsid w:val="00303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doi">
    <w:name w:val="citation-doi"/>
    <w:basedOn w:val="DefaultParagraphFont"/>
    <w:rsid w:val="00277968"/>
  </w:style>
  <w:style w:type="paragraph" w:styleId="NormalWeb">
    <w:name w:val="Normal (Web)"/>
    <w:basedOn w:val="Normal"/>
    <w:uiPriority w:val="99"/>
    <w:semiHidden/>
    <w:unhideWhenUsed/>
    <w:rsid w:val="0042614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D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D48"/>
  </w:style>
  <w:style w:type="paragraph" w:styleId="Footer">
    <w:name w:val="footer"/>
    <w:basedOn w:val="Normal"/>
    <w:link w:val="FooterChar"/>
    <w:uiPriority w:val="99"/>
    <w:unhideWhenUsed/>
    <w:rsid w:val="008D1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2362">
      <w:bodyDiv w:val="1"/>
      <w:marLeft w:val="0"/>
      <w:marRight w:val="0"/>
      <w:marTop w:val="0"/>
      <w:marBottom w:val="0"/>
      <w:divBdr>
        <w:top w:val="none" w:sz="0" w:space="0" w:color="auto"/>
        <w:left w:val="none" w:sz="0" w:space="0" w:color="auto"/>
        <w:bottom w:val="none" w:sz="0" w:space="0" w:color="auto"/>
        <w:right w:val="none" w:sz="0" w:space="0" w:color="auto"/>
      </w:divBdr>
    </w:div>
    <w:div w:id="167983816">
      <w:bodyDiv w:val="1"/>
      <w:marLeft w:val="0"/>
      <w:marRight w:val="0"/>
      <w:marTop w:val="0"/>
      <w:marBottom w:val="0"/>
      <w:divBdr>
        <w:top w:val="none" w:sz="0" w:space="0" w:color="auto"/>
        <w:left w:val="none" w:sz="0" w:space="0" w:color="auto"/>
        <w:bottom w:val="none" w:sz="0" w:space="0" w:color="auto"/>
        <w:right w:val="none" w:sz="0" w:space="0" w:color="auto"/>
      </w:divBdr>
    </w:div>
    <w:div w:id="212232041">
      <w:bodyDiv w:val="1"/>
      <w:marLeft w:val="0"/>
      <w:marRight w:val="0"/>
      <w:marTop w:val="0"/>
      <w:marBottom w:val="0"/>
      <w:divBdr>
        <w:top w:val="none" w:sz="0" w:space="0" w:color="auto"/>
        <w:left w:val="none" w:sz="0" w:space="0" w:color="auto"/>
        <w:bottom w:val="none" w:sz="0" w:space="0" w:color="auto"/>
        <w:right w:val="none" w:sz="0" w:space="0" w:color="auto"/>
      </w:divBdr>
    </w:div>
    <w:div w:id="219170513">
      <w:bodyDiv w:val="1"/>
      <w:marLeft w:val="0"/>
      <w:marRight w:val="0"/>
      <w:marTop w:val="0"/>
      <w:marBottom w:val="0"/>
      <w:divBdr>
        <w:top w:val="none" w:sz="0" w:space="0" w:color="auto"/>
        <w:left w:val="none" w:sz="0" w:space="0" w:color="auto"/>
        <w:bottom w:val="none" w:sz="0" w:space="0" w:color="auto"/>
        <w:right w:val="none" w:sz="0" w:space="0" w:color="auto"/>
      </w:divBdr>
    </w:div>
    <w:div w:id="434206648">
      <w:bodyDiv w:val="1"/>
      <w:marLeft w:val="0"/>
      <w:marRight w:val="0"/>
      <w:marTop w:val="0"/>
      <w:marBottom w:val="0"/>
      <w:divBdr>
        <w:top w:val="none" w:sz="0" w:space="0" w:color="auto"/>
        <w:left w:val="none" w:sz="0" w:space="0" w:color="auto"/>
        <w:bottom w:val="none" w:sz="0" w:space="0" w:color="auto"/>
        <w:right w:val="none" w:sz="0" w:space="0" w:color="auto"/>
      </w:divBdr>
    </w:div>
    <w:div w:id="437794885">
      <w:bodyDiv w:val="1"/>
      <w:marLeft w:val="0"/>
      <w:marRight w:val="0"/>
      <w:marTop w:val="0"/>
      <w:marBottom w:val="0"/>
      <w:divBdr>
        <w:top w:val="none" w:sz="0" w:space="0" w:color="auto"/>
        <w:left w:val="none" w:sz="0" w:space="0" w:color="auto"/>
        <w:bottom w:val="none" w:sz="0" w:space="0" w:color="auto"/>
        <w:right w:val="none" w:sz="0" w:space="0" w:color="auto"/>
      </w:divBdr>
    </w:div>
    <w:div w:id="599292617">
      <w:bodyDiv w:val="1"/>
      <w:marLeft w:val="0"/>
      <w:marRight w:val="0"/>
      <w:marTop w:val="0"/>
      <w:marBottom w:val="0"/>
      <w:divBdr>
        <w:top w:val="none" w:sz="0" w:space="0" w:color="auto"/>
        <w:left w:val="none" w:sz="0" w:space="0" w:color="auto"/>
        <w:bottom w:val="none" w:sz="0" w:space="0" w:color="auto"/>
        <w:right w:val="none" w:sz="0" w:space="0" w:color="auto"/>
      </w:divBdr>
    </w:div>
    <w:div w:id="686753033">
      <w:bodyDiv w:val="1"/>
      <w:marLeft w:val="0"/>
      <w:marRight w:val="0"/>
      <w:marTop w:val="0"/>
      <w:marBottom w:val="0"/>
      <w:divBdr>
        <w:top w:val="none" w:sz="0" w:space="0" w:color="auto"/>
        <w:left w:val="none" w:sz="0" w:space="0" w:color="auto"/>
        <w:bottom w:val="none" w:sz="0" w:space="0" w:color="auto"/>
        <w:right w:val="none" w:sz="0" w:space="0" w:color="auto"/>
      </w:divBdr>
    </w:div>
    <w:div w:id="693313385">
      <w:bodyDiv w:val="1"/>
      <w:marLeft w:val="0"/>
      <w:marRight w:val="0"/>
      <w:marTop w:val="0"/>
      <w:marBottom w:val="0"/>
      <w:divBdr>
        <w:top w:val="none" w:sz="0" w:space="0" w:color="auto"/>
        <w:left w:val="none" w:sz="0" w:space="0" w:color="auto"/>
        <w:bottom w:val="none" w:sz="0" w:space="0" w:color="auto"/>
        <w:right w:val="none" w:sz="0" w:space="0" w:color="auto"/>
      </w:divBdr>
    </w:div>
    <w:div w:id="768232073">
      <w:bodyDiv w:val="1"/>
      <w:marLeft w:val="0"/>
      <w:marRight w:val="0"/>
      <w:marTop w:val="0"/>
      <w:marBottom w:val="0"/>
      <w:divBdr>
        <w:top w:val="none" w:sz="0" w:space="0" w:color="auto"/>
        <w:left w:val="none" w:sz="0" w:space="0" w:color="auto"/>
        <w:bottom w:val="none" w:sz="0" w:space="0" w:color="auto"/>
        <w:right w:val="none" w:sz="0" w:space="0" w:color="auto"/>
      </w:divBdr>
    </w:div>
    <w:div w:id="783573017">
      <w:bodyDiv w:val="1"/>
      <w:marLeft w:val="0"/>
      <w:marRight w:val="0"/>
      <w:marTop w:val="0"/>
      <w:marBottom w:val="0"/>
      <w:divBdr>
        <w:top w:val="none" w:sz="0" w:space="0" w:color="auto"/>
        <w:left w:val="none" w:sz="0" w:space="0" w:color="auto"/>
        <w:bottom w:val="none" w:sz="0" w:space="0" w:color="auto"/>
        <w:right w:val="none" w:sz="0" w:space="0" w:color="auto"/>
      </w:divBdr>
    </w:div>
    <w:div w:id="837114839">
      <w:bodyDiv w:val="1"/>
      <w:marLeft w:val="0"/>
      <w:marRight w:val="0"/>
      <w:marTop w:val="0"/>
      <w:marBottom w:val="0"/>
      <w:divBdr>
        <w:top w:val="none" w:sz="0" w:space="0" w:color="auto"/>
        <w:left w:val="none" w:sz="0" w:space="0" w:color="auto"/>
        <w:bottom w:val="none" w:sz="0" w:space="0" w:color="auto"/>
        <w:right w:val="none" w:sz="0" w:space="0" w:color="auto"/>
      </w:divBdr>
    </w:div>
    <w:div w:id="918715903">
      <w:bodyDiv w:val="1"/>
      <w:marLeft w:val="0"/>
      <w:marRight w:val="0"/>
      <w:marTop w:val="0"/>
      <w:marBottom w:val="0"/>
      <w:divBdr>
        <w:top w:val="none" w:sz="0" w:space="0" w:color="auto"/>
        <w:left w:val="none" w:sz="0" w:space="0" w:color="auto"/>
        <w:bottom w:val="none" w:sz="0" w:space="0" w:color="auto"/>
        <w:right w:val="none" w:sz="0" w:space="0" w:color="auto"/>
      </w:divBdr>
    </w:div>
    <w:div w:id="941374195">
      <w:bodyDiv w:val="1"/>
      <w:marLeft w:val="0"/>
      <w:marRight w:val="0"/>
      <w:marTop w:val="0"/>
      <w:marBottom w:val="0"/>
      <w:divBdr>
        <w:top w:val="none" w:sz="0" w:space="0" w:color="auto"/>
        <w:left w:val="none" w:sz="0" w:space="0" w:color="auto"/>
        <w:bottom w:val="none" w:sz="0" w:space="0" w:color="auto"/>
        <w:right w:val="none" w:sz="0" w:space="0" w:color="auto"/>
      </w:divBdr>
    </w:div>
    <w:div w:id="1008756291">
      <w:bodyDiv w:val="1"/>
      <w:marLeft w:val="0"/>
      <w:marRight w:val="0"/>
      <w:marTop w:val="0"/>
      <w:marBottom w:val="0"/>
      <w:divBdr>
        <w:top w:val="none" w:sz="0" w:space="0" w:color="auto"/>
        <w:left w:val="none" w:sz="0" w:space="0" w:color="auto"/>
        <w:bottom w:val="none" w:sz="0" w:space="0" w:color="auto"/>
        <w:right w:val="none" w:sz="0" w:space="0" w:color="auto"/>
      </w:divBdr>
      <w:divsChild>
        <w:div w:id="674307105">
          <w:marLeft w:val="0"/>
          <w:marRight w:val="0"/>
          <w:marTop w:val="0"/>
          <w:marBottom w:val="0"/>
          <w:divBdr>
            <w:top w:val="none" w:sz="0" w:space="0" w:color="auto"/>
            <w:left w:val="none" w:sz="0" w:space="0" w:color="auto"/>
            <w:bottom w:val="none" w:sz="0" w:space="0" w:color="auto"/>
            <w:right w:val="none" w:sz="0" w:space="0" w:color="auto"/>
          </w:divBdr>
        </w:div>
      </w:divsChild>
    </w:div>
    <w:div w:id="1070813022">
      <w:bodyDiv w:val="1"/>
      <w:marLeft w:val="0"/>
      <w:marRight w:val="0"/>
      <w:marTop w:val="0"/>
      <w:marBottom w:val="0"/>
      <w:divBdr>
        <w:top w:val="none" w:sz="0" w:space="0" w:color="auto"/>
        <w:left w:val="none" w:sz="0" w:space="0" w:color="auto"/>
        <w:bottom w:val="none" w:sz="0" w:space="0" w:color="auto"/>
        <w:right w:val="none" w:sz="0" w:space="0" w:color="auto"/>
      </w:divBdr>
    </w:div>
    <w:div w:id="1126005819">
      <w:bodyDiv w:val="1"/>
      <w:marLeft w:val="0"/>
      <w:marRight w:val="0"/>
      <w:marTop w:val="0"/>
      <w:marBottom w:val="0"/>
      <w:divBdr>
        <w:top w:val="none" w:sz="0" w:space="0" w:color="auto"/>
        <w:left w:val="none" w:sz="0" w:space="0" w:color="auto"/>
        <w:bottom w:val="none" w:sz="0" w:space="0" w:color="auto"/>
        <w:right w:val="none" w:sz="0" w:space="0" w:color="auto"/>
      </w:divBdr>
    </w:div>
    <w:div w:id="1212964903">
      <w:bodyDiv w:val="1"/>
      <w:marLeft w:val="0"/>
      <w:marRight w:val="0"/>
      <w:marTop w:val="0"/>
      <w:marBottom w:val="0"/>
      <w:divBdr>
        <w:top w:val="none" w:sz="0" w:space="0" w:color="auto"/>
        <w:left w:val="none" w:sz="0" w:space="0" w:color="auto"/>
        <w:bottom w:val="none" w:sz="0" w:space="0" w:color="auto"/>
        <w:right w:val="none" w:sz="0" w:space="0" w:color="auto"/>
      </w:divBdr>
    </w:div>
    <w:div w:id="1226843093">
      <w:bodyDiv w:val="1"/>
      <w:marLeft w:val="0"/>
      <w:marRight w:val="0"/>
      <w:marTop w:val="0"/>
      <w:marBottom w:val="0"/>
      <w:divBdr>
        <w:top w:val="none" w:sz="0" w:space="0" w:color="auto"/>
        <w:left w:val="none" w:sz="0" w:space="0" w:color="auto"/>
        <w:bottom w:val="none" w:sz="0" w:space="0" w:color="auto"/>
        <w:right w:val="none" w:sz="0" w:space="0" w:color="auto"/>
      </w:divBdr>
    </w:div>
    <w:div w:id="1278411395">
      <w:bodyDiv w:val="1"/>
      <w:marLeft w:val="0"/>
      <w:marRight w:val="0"/>
      <w:marTop w:val="0"/>
      <w:marBottom w:val="0"/>
      <w:divBdr>
        <w:top w:val="none" w:sz="0" w:space="0" w:color="auto"/>
        <w:left w:val="none" w:sz="0" w:space="0" w:color="auto"/>
        <w:bottom w:val="none" w:sz="0" w:space="0" w:color="auto"/>
        <w:right w:val="none" w:sz="0" w:space="0" w:color="auto"/>
      </w:divBdr>
    </w:div>
    <w:div w:id="1278677528">
      <w:bodyDiv w:val="1"/>
      <w:marLeft w:val="0"/>
      <w:marRight w:val="0"/>
      <w:marTop w:val="0"/>
      <w:marBottom w:val="0"/>
      <w:divBdr>
        <w:top w:val="none" w:sz="0" w:space="0" w:color="auto"/>
        <w:left w:val="none" w:sz="0" w:space="0" w:color="auto"/>
        <w:bottom w:val="none" w:sz="0" w:space="0" w:color="auto"/>
        <w:right w:val="none" w:sz="0" w:space="0" w:color="auto"/>
      </w:divBdr>
      <w:divsChild>
        <w:div w:id="31460531">
          <w:marLeft w:val="0"/>
          <w:marRight w:val="0"/>
          <w:marTop w:val="0"/>
          <w:marBottom w:val="0"/>
          <w:divBdr>
            <w:top w:val="none" w:sz="0" w:space="0" w:color="auto"/>
            <w:left w:val="none" w:sz="0" w:space="0" w:color="auto"/>
            <w:bottom w:val="none" w:sz="0" w:space="0" w:color="auto"/>
            <w:right w:val="none" w:sz="0" w:space="0" w:color="auto"/>
          </w:divBdr>
        </w:div>
      </w:divsChild>
    </w:div>
    <w:div w:id="1301375817">
      <w:bodyDiv w:val="1"/>
      <w:marLeft w:val="0"/>
      <w:marRight w:val="0"/>
      <w:marTop w:val="0"/>
      <w:marBottom w:val="0"/>
      <w:divBdr>
        <w:top w:val="none" w:sz="0" w:space="0" w:color="auto"/>
        <w:left w:val="none" w:sz="0" w:space="0" w:color="auto"/>
        <w:bottom w:val="none" w:sz="0" w:space="0" w:color="auto"/>
        <w:right w:val="none" w:sz="0" w:space="0" w:color="auto"/>
      </w:divBdr>
    </w:div>
    <w:div w:id="1314528983">
      <w:bodyDiv w:val="1"/>
      <w:marLeft w:val="0"/>
      <w:marRight w:val="0"/>
      <w:marTop w:val="0"/>
      <w:marBottom w:val="0"/>
      <w:divBdr>
        <w:top w:val="none" w:sz="0" w:space="0" w:color="auto"/>
        <w:left w:val="none" w:sz="0" w:space="0" w:color="auto"/>
        <w:bottom w:val="none" w:sz="0" w:space="0" w:color="auto"/>
        <w:right w:val="none" w:sz="0" w:space="0" w:color="auto"/>
      </w:divBdr>
      <w:divsChild>
        <w:div w:id="1674797572">
          <w:marLeft w:val="0"/>
          <w:marRight w:val="0"/>
          <w:marTop w:val="0"/>
          <w:marBottom w:val="0"/>
          <w:divBdr>
            <w:top w:val="none" w:sz="0" w:space="0" w:color="auto"/>
            <w:left w:val="none" w:sz="0" w:space="0" w:color="auto"/>
            <w:bottom w:val="none" w:sz="0" w:space="0" w:color="auto"/>
            <w:right w:val="none" w:sz="0" w:space="0" w:color="auto"/>
          </w:divBdr>
          <w:divsChild>
            <w:div w:id="1198589815">
              <w:marLeft w:val="0"/>
              <w:marRight w:val="0"/>
              <w:marTop w:val="0"/>
              <w:marBottom w:val="0"/>
              <w:divBdr>
                <w:top w:val="none" w:sz="0" w:space="0" w:color="auto"/>
                <w:left w:val="none" w:sz="0" w:space="0" w:color="auto"/>
                <w:bottom w:val="none" w:sz="0" w:space="0" w:color="auto"/>
                <w:right w:val="none" w:sz="0" w:space="0" w:color="auto"/>
              </w:divBdr>
              <w:divsChild>
                <w:div w:id="1236620936">
                  <w:marLeft w:val="0"/>
                  <w:marRight w:val="0"/>
                  <w:marTop w:val="0"/>
                  <w:marBottom w:val="0"/>
                  <w:divBdr>
                    <w:top w:val="none" w:sz="0" w:space="0" w:color="auto"/>
                    <w:left w:val="none" w:sz="0" w:space="0" w:color="auto"/>
                    <w:bottom w:val="none" w:sz="0" w:space="0" w:color="auto"/>
                    <w:right w:val="none" w:sz="0" w:space="0" w:color="auto"/>
                  </w:divBdr>
                  <w:divsChild>
                    <w:div w:id="1929119826">
                      <w:marLeft w:val="0"/>
                      <w:marRight w:val="0"/>
                      <w:marTop w:val="0"/>
                      <w:marBottom w:val="0"/>
                      <w:divBdr>
                        <w:top w:val="none" w:sz="0" w:space="0" w:color="auto"/>
                        <w:left w:val="none" w:sz="0" w:space="0" w:color="auto"/>
                        <w:bottom w:val="none" w:sz="0" w:space="0" w:color="auto"/>
                        <w:right w:val="none" w:sz="0" w:space="0" w:color="auto"/>
                      </w:divBdr>
                      <w:divsChild>
                        <w:div w:id="385950556">
                          <w:marLeft w:val="0"/>
                          <w:marRight w:val="0"/>
                          <w:marTop w:val="0"/>
                          <w:marBottom w:val="0"/>
                          <w:divBdr>
                            <w:top w:val="none" w:sz="0" w:space="0" w:color="auto"/>
                            <w:left w:val="none" w:sz="0" w:space="0" w:color="auto"/>
                            <w:bottom w:val="none" w:sz="0" w:space="0" w:color="auto"/>
                            <w:right w:val="none" w:sz="0" w:space="0" w:color="auto"/>
                          </w:divBdr>
                          <w:divsChild>
                            <w:div w:id="22826433">
                              <w:marLeft w:val="0"/>
                              <w:marRight w:val="0"/>
                              <w:marTop w:val="0"/>
                              <w:marBottom w:val="0"/>
                              <w:divBdr>
                                <w:top w:val="none" w:sz="0" w:space="0" w:color="auto"/>
                                <w:left w:val="none" w:sz="0" w:space="0" w:color="auto"/>
                                <w:bottom w:val="none" w:sz="0" w:space="0" w:color="auto"/>
                                <w:right w:val="none" w:sz="0" w:space="0" w:color="auto"/>
                              </w:divBdr>
                              <w:divsChild>
                                <w:div w:id="1652828406">
                                  <w:marLeft w:val="0"/>
                                  <w:marRight w:val="0"/>
                                  <w:marTop w:val="0"/>
                                  <w:marBottom w:val="0"/>
                                  <w:divBdr>
                                    <w:top w:val="none" w:sz="0" w:space="0" w:color="auto"/>
                                    <w:left w:val="none" w:sz="0" w:space="0" w:color="auto"/>
                                    <w:bottom w:val="none" w:sz="0" w:space="0" w:color="auto"/>
                                    <w:right w:val="none" w:sz="0" w:space="0" w:color="auto"/>
                                  </w:divBdr>
                                  <w:divsChild>
                                    <w:div w:id="801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8631">
                          <w:marLeft w:val="0"/>
                          <w:marRight w:val="0"/>
                          <w:marTop w:val="0"/>
                          <w:marBottom w:val="0"/>
                          <w:divBdr>
                            <w:top w:val="none" w:sz="0" w:space="0" w:color="auto"/>
                            <w:left w:val="none" w:sz="0" w:space="0" w:color="auto"/>
                            <w:bottom w:val="none" w:sz="0" w:space="0" w:color="auto"/>
                            <w:right w:val="none" w:sz="0" w:space="0" w:color="auto"/>
                          </w:divBdr>
                          <w:divsChild>
                            <w:div w:id="1559324028">
                              <w:marLeft w:val="0"/>
                              <w:marRight w:val="0"/>
                              <w:marTop w:val="0"/>
                              <w:marBottom w:val="0"/>
                              <w:divBdr>
                                <w:top w:val="none" w:sz="0" w:space="0" w:color="auto"/>
                                <w:left w:val="none" w:sz="0" w:space="0" w:color="auto"/>
                                <w:bottom w:val="none" w:sz="0" w:space="0" w:color="auto"/>
                                <w:right w:val="none" w:sz="0" w:space="0" w:color="auto"/>
                              </w:divBdr>
                              <w:divsChild>
                                <w:div w:id="268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89975">
      <w:bodyDiv w:val="1"/>
      <w:marLeft w:val="0"/>
      <w:marRight w:val="0"/>
      <w:marTop w:val="0"/>
      <w:marBottom w:val="0"/>
      <w:divBdr>
        <w:top w:val="none" w:sz="0" w:space="0" w:color="auto"/>
        <w:left w:val="none" w:sz="0" w:space="0" w:color="auto"/>
        <w:bottom w:val="none" w:sz="0" w:space="0" w:color="auto"/>
        <w:right w:val="none" w:sz="0" w:space="0" w:color="auto"/>
      </w:divBdr>
    </w:div>
    <w:div w:id="1353874872">
      <w:bodyDiv w:val="1"/>
      <w:marLeft w:val="0"/>
      <w:marRight w:val="0"/>
      <w:marTop w:val="0"/>
      <w:marBottom w:val="0"/>
      <w:divBdr>
        <w:top w:val="none" w:sz="0" w:space="0" w:color="auto"/>
        <w:left w:val="none" w:sz="0" w:space="0" w:color="auto"/>
        <w:bottom w:val="none" w:sz="0" w:space="0" w:color="auto"/>
        <w:right w:val="none" w:sz="0" w:space="0" w:color="auto"/>
      </w:divBdr>
    </w:div>
    <w:div w:id="1424719748">
      <w:bodyDiv w:val="1"/>
      <w:marLeft w:val="0"/>
      <w:marRight w:val="0"/>
      <w:marTop w:val="0"/>
      <w:marBottom w:val="0"/>
      <w:divBdr>
        <w:top w:val="none" w:sz="0" w:space="0" w:color="auto"/>
        <w:left w:val="none" w:sz="0" w:space="0" w:color="auto"/>
        <w:bottom w:val="none" w:sz="0" w:space="0" w:color="auto"/>
        <w:right w:val="none" w:sz="0" w:space="0" w:color="auto"/>
      </w:divBdr>
    </w:div>
    <w:div w:id="1496528709">
      <w:bodyDiv w:val="1"/>
      <w:marLeft w:val="0"/>
      <w:marRight w:val="0"/>
      <w:marTop w:val="0"/>
      <w:marBottom w:val="0"/>
      <w:divBdr>
        <w:top w:val="none" w:sz="0" w:space="0" w:color="auto"/>
        <w:left w:val="none" w:sz="0" w:space="0" w:color="auto"/>
        <w:bottom w:val="none" w:sz="0" w:space="0" w:color="auto"/>
        <w:right w:val="none" w:sz="0" w:space="0" w:color="auto"/>
      </w:divBdr>
    </w:div>
    <w:div w:id="1508668443">
      <w:bodyDiv w:val="1"/>
      <w:marLeft w:val="0"/>
      <w:marRight w:val="0"/>
      <w:marTop w:val="0"/>
      <w:marBottom w:val="0"/>
      <w:divBdr>
        <w:top w:val="none" w:sz="0" w:space="0" w:color="auto"/>
        <w:left w:val="none" w:sz="0" w:space="0" w:color="auto"/>
        <w:bottom w:val="none" w:sz="0" w:space="0" w:color="auto"/>
        <w:right w:val="none" w:sz="0" w:space="0" w:color="auto"/>
      </w:divBdr>
    </w:div>
    <w:div w:id="1518807797">
      <w:bodyDiv w:val="1"/>
      <w:marLeft w:val="0"/>
      <w:marRight w:val="0"/>
      <w:marTop w:val="0"/>
      <w:marBottom w:val="0"/>
      <w:divBdr>
        <w:top w:val="none" w:sz="0" w:space="0" w:color="auto"/>
        <w:left w:val="none" w:sz="0" w:space="0" w:color="auto"/>
        <w:bottom w:val="none" w:sz="0" w:space="0" w:color="auto"/>
        <w:right w:val="none" w:sz="0" w:space="0" w:color="auto"/>
      </w:divBdr>
    </w:div>
    <w:div w:id="1723365468">
      <w:bodyDiv w:val="1"/>
      <w:marLeft w:val="0"/>
      <w:marRight w:val="0"/>
      <w:marTop w:val="0"/>
      <w:marBottom w:val="0"/>
      <w:divBdr>
        <w:top w:val="none" w:sz="0" w:space="0" w:color="auto"/>
        <w:left w:val="none" w:sz="0" w:space="0" w:color="auto"/>
        <w:bottom w:val="none" w:sz="0" w:space="0" w:color="auto"/>
        <w:right w:val="none" w:sz="0" w:space="0" w:color="auto"/>
      </w:divBdr>
    </w:div>
    <w:div w:id="1799372070">
      <w:bodyDiv w:val="1"/>
      <w:marLeft w:val="0"/>
      <w:marRight w:val="0"/>
      <w:marTop w:val="0"/>
      <w:marBottom w:val="0"/>
      <w:divBdr>
        <w:top w:val="none" w:sz="0" w:space="0" w:color="auto"/>
        <w:left w:val="none" w:sz="0" w:space="0" w:color="auto"/>
        <w:bottom w:val="none" w:sz="0" w:space="0" w:color="auto"/>
        <w:right w:val="none" w:sz="0" w:space="0" w:color="auto"/>
      </w:divBdr>
    </w:div>
    <w:div w:id="1890452928">
      <w:bodyDiv w:val="1"/>
      <w:marLeft w:val="0"/>
      <w:marRight w:val="0"/>
      <w:marTop w:val="0"/>
      <w:marBottom w:val="0"/>
      <w:divBdr>
        <w:top w:val="none" w:sz="0" w:space="0" w:color="auto"/>
        <w:left w:val="none" w:sz="0" w:space="0" w:color="auto"/>
        <w:bottom w:val="none" w:sz="0" w:space="0" w:color="auto"/>
        <w:right w:val="none" w:sz="0" w:space="0" w:color="auto"/>
      </w:divBdr>
    </w:div>
    <w:div w:id="2050911734">
      <w:bodyDiv w:val="1"/>
      <w:marLeft w:val="0"/>
      <w:marRight w:val="0"/>
      <w:marTop w:val="0"/>
      <w:marBottom w:val="0"/>
      <w:divBdr>
        <w:top w:val="none" w:sz="0" w:space="0" w:color="auto"/>
        <w:left w:val="none" w:sz="0" w:space="0" w:color="auto"/>
        <w:bottom w:val="none" w:sz="0" w:space="0" w:color="auto"/>
        <w:right w:val="none" w:sz="0" w:space="0" w:color="auto"/>
      </w:divBdr>
    </w:div>
    <w:div w:id="2061711696">
      <w:bodyDiv w:val="1"/>
      <w:marLeft w:val="0"/>
      <w:marRight w:val="0"/>
      <w:marTop w:val="0"/>
      <w:marBottom w:val="0"/>
      <w:divBdr>
        <w:top w:val="none" w:sz="0" w:space="0" w:color="auto"/>
        <w:left w:val="none" w:sz="0" w:space="0" w:color="auto"/>
        <w:bottom w:val="none" w:sz="0" w:space="0" w:color="auto"/>
        <w:right w:val="none" w:sz="0" w:space="0" w:color="auto"/>
      </w:divBdr>
      <w:divsChild>
        <w:div w:id="943465161">
          <w:marLeft w:val="0"/>
          <w:marRight w:val="0"/>
          <w:marTop w:val="0"/>
          <w:marBottom w:val="0"/>
          <w:divBdr>
            <w:top w:val="none" w:sz="0" w:space="0" w:color="auto"/>
            <w:left w:val="none" w:sz="0" w:space="0" w:color="auto"/>
            <w:bottom w:val="none" w:sz="0" w:space="0" w:color="auto"/>
            <w:right w:val="none" w:sz="0" w:space="0" w:color="auto"/>
          </w:divBdr>
          <w:divsChild>
            <w:div w:id="73285848">
              <w:marLeft w:val="0"/>
              <w:marRight w:val="0"/>
              <w:marTop w:val="0"/>
              <w:marBottom w:val="0"/>
              <w:divBdr>
                <w:top w:val="none" w:sz="0" w:space="0" w:color="auto"/>
                <w:left w:val="none" w:sz="0" w:space="0" w:color="auto"/>
                <w:bottom w:val="none" w:sz="0" w:space="0" w:color="auto"/>
                <w:right w:val="none" w:sz="0" w:space="0" w:color="auto"/>
              </w:divBdr>
              <w:divsChild>
                <w:div w:id="1500120518">
                  <w:marLeft w:val="0"/>
                  <w:marRight w:val="0"/>
                  <w:marTop w:val="0"/>
                  <w:marBottom w:val="0"/>
                  <w:divBdr>
                    <w:top w:val="none" w:sz="0" w:space="0" w:color="auto"/>
                    <w:left w:val="none" w:sz="0" w:space="0" w:color="auto"/>
                    <w:bottom w:val="none" w:sz="0" w:space="0" w:color="auto"/>
                    <w:right w:val="none" w:sz="0" w:space="0" w:color="auto"/>
                  </w:divBdr>
                  <w:divsChild>
                    <w:div w:id="479615872">
                      <w:marLeft w:val="0"/>
                      <w:marRight w:val="0"/>
                      <w:marTop w:val="0"/>
                      <w:marBottom w:val="0"/>
                      <w:divBdr>
                        <w:top w:val="none" w:sz="0" w:space="0" w:color="auto"/>
                        <w:left w:val="none" w:sz="0" w:space="0" w:color="auto"/>
                        <w:bottom w:val="none" w:sz="0" w:space="0" w:color="auto"/>
                        <w:right w:val="none" w:sz="0" w:space="0" w:color="auto"/>
                      </w:divBdr>
                      <w:divsChild>
                        <w:div w:id="727000968">
                          <w:marLeft w:val="0"/>
                          <w:marRight w:val="0"/>
                          <w:marTop w:val="0"/>
                          <w:marBottom w:val="0"/>
                          <w:divBdr>
                            <w:top w:val="none" w:sz="0" w:space="0" w:color="auto"/>
                            <w:left w:val="none" w:sz="0" w:space="0" w:color="auto"/>
                            <w:bottom w:val="none" w:sz="0" w:space="0" w:color="auto"/>
                            <w:right w:val="none" w:sz="0" w:space="0" w:color="auto"/>
                          </w:divBdr>
                          <w:divsChild>
                            <w:div w:id="1929390534">
                              <w:marLeft w:val="0"/>
                              <w:marRight w:val="0"/>
                              <w:marTop w:val="0"/>
                              <w:marBottom w:val="0"/>
                              <w:divBdr>
                                <w:top w:val="none" w:sz="0" w:space="0" w:color="auto"/>
                                <w:left w:val="none" w:sz="0" w:space="0" w:color="auto"/>
                                <w:bottom w:val="none" w:sz="0" w:space="0" w:color="auto"/>
                                <w:right w:val="none" w:sz="0" w:space="0" w:color="auto"/>
                              </w:divBdr>
                              <w:divsChild>
                                <w:div w:id="1548490773">
                                  <w:marLeft w:val="0"/>
                                  <w:marRight w:val="0"/>
                                  <w:marTop w:val="0"/>
                                  <w:marBottom w:val="0"/>
                                  <w:divBdr>
                                    <w:top w:val="none" w:sz="0" w:space="0" w:color="auto"/>
                                    <w:left w:val="none" w:sz="0" w:space="0" w:color="auto"/>
                                    <w:bottom w:val="none" w:sz="0" w:space="0" w:color="auto"/>
                                    <w:right w:val="none" w:sz="0" w:space="0" w:color="auto"/>
                                  </w:divBdr>
                                  <w:divsChild>
                                    <w:div w:id="4289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289">
                          <w:marLeft w:val="0"/>
                          <w:marRight w:val="0"/>
                          <w:marTop w:val="0"/>
                          <w:marBottom w:val="0"/>
                          <w:divBdr>
                            <w:top w:val="none" w:sz="0" w:space="0" w:color="auto"/>
                            <w:left w:val="none" w:sz="0" w:space="0" w:color="auto"/>
                            <w:bottom w:val="none" w:sz="0" w:space="0" w:color="auto"/>
                            <w:right w:val="none" w:sz="0" w:space="0" w:color="auto"/>
                          </w:divBdr>
                          <w:divsChild>
                            <w:div w:id="1601639692">
                              <w:marLeft w:val="0"/>
                              <w:marRight w:val="0"/>
                              <w:marTop w:val="0"/>
                              <w:marBottom w:val="0"/>
                              <w:divBdr>
                                <w:top w:val="none" w:sz="0" w:space="0" w:color="auto"/>
                                <w:left w:val="none" w:sz="0" w:space="0" w:color="auto"/>
                                <w:bottom w:val="none" w:sz="0" w:space="0" w:color="auto"/>
                                <w:right w:val="none" w:sz="0" w:space="0" w:color="auto"/>
                              </w:divBdr>
                              <w:divsChild>
                                <w:div w:id="4634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3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5F861-4FAD-4AD8-A43A-326A43E1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Sia</dc:creator>
  <cp:keywords/>
  <dc:description/>
  <cp:lastModifiedBy>SDI 1084</cp:lastModifiedBy>
  <cp:revision>13</cp:revision>
  <dcterms:created xsi:type="dcterms:W3CDTF">2025-05-22T23:36:00Z</dcterms:created>
  <dcterms:modified xsi:type="dcterms:W3CDTF">2025-05-31T07:36:00Z</dcterms:modified>
</cp:coreProperties>
</file>