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B34A0" w14:textId="77777777" w:rsidR="00D04290" w:rsidRDefault="00D04290" w:rsidP="00D04290">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bookmarkStart w:id="0" w:name="_Hlk200133825"/>
      <w:r w:rsidRPr="00D04290">
        <w:rPr>
          <w:rFonts w:ascii="Times New Roman" w:eastAsia="Times New Roman" w:hAnsi="Times New Roman" w:cs="Times New Roman"/>
          <w:b/>
          <w:bCs/>
          <w:kern w:val="36"/>
          <w:sz w:val="48"/>
          <w:szCs w:val="48"/>
          <w14:ligatures w14:val="none"/>
        </w:rPr>
        <w:t xml:space="preserve">Comparative Analysis of Hepatoprotective and Hematopoietic Effects of </w:t>
      </w:r>
      <w:r w:rsidRPr="00D04290">
        <w:rPr>
          <w:rFonts w:ascii="Times New Roman" w:eastAsia="Times New Roman" w:hAnsi="Times New Roman" w:cs="Times New Roman"/>
          <w:b/>
          <w:bCs/>
          <w:i/>
          <w:iCs/>
          <w:kern w:val="36"/>
          <w:sz w:val="48"/>
          <w:szCs w:val="48"/>
          <w14:ligatures w14:val="none"/>
        </w:rPr>
        <w:t>Moringa oleifera</w:t>
      </w:r>
      <w:r w:rsidRPr="00D04290">
        <w:rPr>
          <w:rFonts w:ascii="Times New Roman" w:eastAsia="Times New Roman" w:hAnsi="Times New Roman" w:cs="Times New Roman"/>
          <w:b/>
          <w:bCs/>
          <w:kern w:val="36"/>
          <w:sz w:val="48"/>
          <w:szCs w:val="48"/>
          <w14:ligatures w14:val="none"/>
        </w:rPr>
        <w:t xml:space="preserve"> and </w:t>
      </w:r>
      <w:proofErr w:type="spellStart"/>
      <w:r w:rsidRPr="00D04290">
        <w:rPr>
          <w:rFonts w:ascii="Times New Roman" w:eastAsia="Times New Roman" w:hAnsi="Times New Roman" w:cs="Times New Roman"/>
          <w:b/>
          <w:bCs/>
          <w:i/>
          <w:iCs/>
          <w:kern w:val="36"/>
          <w:sz w:val="48"/>
          <w:szCs w:val="48"/>
          <w14:ligatures w14:val="none"/>
        </w:rPr>
        <w:t>Gongronema</w:t>
      </w:r>
      <w:proofErr w:type="spellEnd"/>
      <w:r w:rsidRPr="00D04290">
        <w:rPr>
          <w:rFonts w:ascii="Times New Roman" w:eastAsia="Times New Roman" w:hAnsi="Times New Roman" w:cs="Times New Roman"/>
          <w:b/>
          <w:bCs/>
          <w:i/>
          <w:iCs/>
          <w:kern w:val="36"/>
          <w:sz w:val="48"/>
          <w:szCs w:val="48"/>
          <w14:ligatures w14:val="none"/>
        </w:rPr>
        <w:t xml:space="preserve"> </w:t>
      </w:r>
      <w:proofErr w:type="spellStart"/>
      <w:r w:rsidRPr="00D04290">
        <w:rPr>
          <w:rFonts w:ascii="Times New Roman" w:eastAsia="Times New Roman" w:hAnsi="Times New Roman" w:cs="Times New Roman"/>
          <w:b/>
          <w:bCs/>
          <w:i/>
          <w:iCs/>
          <w:kern w:val="36"/>
          <w:sz w:val="48"/>
          <w:szCs w:val="48"/>
          <w14:ligatures w14:val="none"/>
        </w:rPr>
        <w:t>latifolium</w:t>
      </w:r>
      <w:proofErr w:type="spellEnd"/>
      <w:r w:rsidRPr="00D04290">
        <w:rPr>
          <w:rFonts w:ascii="Times New Roman" w:eastAsia="Times New Roman" w:hAnsi="Times New Roman" w:cs="Times New Roman"/>
          <w:b/>
          <w:bCs/>
          <w:kern w:val="36"/>
          <w:sz w:val="48"/>
          <w:szCs w:val="48"/>
          <w14:ligatures w14:val="none"/>
        </w:rPr>
        <w:t xml:space="preserve"> in Protein-Deficient Rats</w:t>
      </w:r>
    </w:p>
    <w:p w14:paraId="6EFF6E75" w14:textId="77777777" w:rsidR="00331F80" w:rsidRDefault="00331F80" w:rsidP="00D04290">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p>
    <w:p w14:paraId="2B2F5BE3" w14:textId="77777777" w:rsidR="00965799" w:rsidRDefault="00965799" w:rsidP="00965799">
      <w:pPr>
        <w:pStyle w:val="NormalWeb"/>
      </w:pPr>
      <w:r>
        <w:rPr>
          <w:rStyle w:val="Strong"/>
          <w:rFonts w:eastAsiaTheme="majorEastAsia"/>
        </w:rPr>
        <w:t>Abstract</w:t>
      </w:r>
    </w:p>
    <w:p w14:paraId="67F824BD" w14:textId="7BE5A40F" w:rsidR="00965799" w:rsidRDefault="00965799" w:rsidP="00965799">
      <w:pPr>
        <w:pStyle w:val="NormalWeb"/>
      </w:pPr>
      <w:r>
        <w:t xml:space="preserve"> Protein malnutrition is a significant contributor to hepatic and hematopoietic dysfunction, particularly in vulnerable populations. This study aimed to comparatively evaluate the hepatoprotective and hematopoietic effects of </w:t>
      </w:r>
      <w:r>
        <w:rPr>
          <w:rStyle w:val="Emphasis"/>
          <w:rFonts w:eastAsiaTheme="majorEastAsia"/>
        </w:rPr>
        <w:t>Moringa oleifera</w:t>
      </w:r>
      <w:r>
        <w:t xml:space="preserve"> and </w:t>
      </w:r>
      <w:proofErr w:type="spellStart"/>
      <w:r>
        <w:rPr>
          <w:rStyle w:val="Emphasis"/>
          <w:rFonts w:eastAsiaTheme="majorEastAsia"/>
        </w:rPr>
        <w:t>Gongronema</w:t>
      </w:r>
      <w:proofErr w:type="spellEnd"/>
      <w:r>
        <w:rPr>
          <w:rStyle w:val="Emphasis"/>
          <w:rFonts w:eastAsiaTheme="majorEastAsia"/>
        </w:rPr>
        <w:t xml:space="preserve"> </w:t>
      </w:r>
      <w:proofErr w:type="spellStart"/>
      <w:r>
        <w:rPr>
          <w:rStyle w:val="Emphasis"/>
          <w:rFonts w:eastAsiaTheme="majorEastAsia"/>
        </w:rPr>
        <w:t>latifolium</w:t>
      </w:r>
      <w:proofErr w:type="spellEnd"/>
      <w:r>
        <w:t xml:space="preserve"> leaf extracts in Wistar rats maintained on a protein-deficient diet, Thirty male Wistar rats were randomized into five groups (n = 6): (1) Normal Control, (2) Protein-Deficient Control, (3) Protein-Deficient + </w:t>
      </w:r>
      <w:r>
        <w:rPr>
          <w:rStyle w:val="Emphasis"/>
          <w:rFonts w:eastAsiaTheme="majorEastAsia"/>
        </w:rPr>
        <w:t>Moringa oleifera</w:t>
      </w:r>
      <w:r>
        <w:t xml:space="preserve"> (400 mg/kg), (4) Protein-Deficient + </w:t>
      </w:r>
      <w:proofErr w:type="spellStart"/>
      <w:r>
        <w:rPr>
          <w:rStyle w:val="Emphasis"/>
          <w:rFonts w:eastAsiaTheme="majorEastAsia"/>
        </w:rPr>
        <w:t>Gongronema</w:t>
      </w:r>
      <w:proofErr w:type="spellEnd"/>
      <w:r>
        <w:rPr>
          <w:rStyle w:val="Emphasis"/>
          <w:rFonts w:eastAsiaTheme="majorEastAsia"/>
        </w:rPr>
        <w:t xml:space="preserve"> </w:t>
      </w:r>
      <w:proofErr w:type="spellStart"/>
      <w:r>
        <w:rPr>
          <w:rStyle w:val="Emphasis"/>
          <w:rFonts w:eastAsiaTheme="majorEastAsia"/>
        </w:rPr>
        <w:t>latifolium</w:t>
      </w:r>
      <w:proofErr w:type="spellEnd"/>
      <w:r>
        <w:t xml:space="preserve"> (400 mg/kg), and (5) Protein-Deficient + Combined Extracts (200 mg/kg each). Treatments lasted for 28 days. Serum levels of alanine aminotransferase (ALT), aspartate aminotransferase (AST), alkaline phosphatase (ALP), and total bilirubin were measured to assess hepatic function, while hematological parameters including hemoglobin concentration (Hb), red blood cell count (RBC), white blood cell count (WBC), and platelet count were evaluated. Liver histopathology was also performed to confirm biochemical findings. Rats in the protein-deficient group exhibited significant elevations in ALT, AST, ALP, and total bilirubin levels (p &lt; 0.01), alongside marked reductions in Hb, RBC, and platelet counts, indicating hepatocellular injury and hematopoietic suppression. Administration of </w:t>
      </w:r>
      <w:r>
        <w:rPr>
          <w:rStyle w:val="Emphasis"/>
          <w:rFonts w:eastAsiaTheme="majorEastAsia"/>
        </w:rPr>
        <w:t>Moringa oleifera</w:t>
      </w:r>
      <w:r>
        <w:t xml:space="preserve"> significantly reduced liver enzyme levels and improved histoarchitecture, demonstrating strong hepatoprotective potential. </w:t>
      </w:r>
      <w:proofErr w:type="spellStart"/>
      <w:r>
        <w:rPr>
          <w:rStyle w:val="Emphasis"/>
          <w:rFonts w:eastAsiaTheme="majorEastAsia"/>
        </w:rPr>
        <w:t>Gongronema</w:t>
      </w:r>
      <w:proofErr w:type="spellEnd"/>
      <w:r>
        <w:rPr>
          <w:rStyle w:val="Emphasis"/>
          <w:rFonts w:eastAsiaTheme="majorEastAsia"/>
        </w:rPr>
        <w:t xml:space="preserve"> </w:t>
      </w:r>
      <w:proofErr w:type="spellStart"/>
      <w:r>
        <w:rPr>
          <w:rStyle w:val="Emphasis"/>
          <w:rFonts w:eastAsiaTheme="majorEastAsia"/>
        </w:rPr>
        <w:t>latifolium</w:t>
      </w:r>
      <w:proofErr w:type="spellEnd"/>
      <w:r>
        <w:t xml:space="preserve"> markedly improved hematological parameters (p &lt; 0.05) but showed moderate effects on hepatic markers. Notably, the combined extract group exhibited significant and simultaneous improvements across both hepatic and hematological indices, suggesting a synergistic interaction between the two botanicals. </w:t>
      </w:r>
      <w:r>
        <w:rPr>
          <w:rStyle w:val="Emphasis"/>
          <w:rFonts w:eastAsiaTheme="majorEastAsia"/>
        </w:rPr>
        <w:t>Moringa oleifera</w:t>
      </w:r>
      <w:r>
        <w:t xml:space="preserve"> and </w:t>
      </w:r>
      <w:proofErr w:type="spellStart"/>
      <w:r>
        <w:rPr>
          <w:rStyle w:val="Emphasis"/>
          <w:rFonts w:eastAsiaTheme="majorEastAsia"/>
        </w:rPr>
        <w:t>Gongronema</w:t>
      </w:r>
      <w:proofErr w:type="spellEnd"/>
      <w:r>
        <w:rPr>
          <w:rStyle w:val="Emphasis"/>
          <w:rFonts w:eastAsiaTheme="majorEastAsia"/>
        </w:rPr>
        <w:t xml:space="preserve"> </w:t>
      </w:r>
      <w:proofErr w:type="spellStart"/>
      <w:r>
        <w:rPr>
          <w:rStyle w:val="Emphasis"/>
          <w:rFonts w:eastAsiaTheme="majorEastAsia"/>
        </w:rPr>
        <w:t>latifolium</w:t>
      </w:r>
      <w:proofErr w:type="spellEnd"/>
      <w:r>
        <w:t xml:space="preserve"> exhibit distinct but complementary protective effects in protein malnutrition. While </w:t>
      </w:r>
      <w:r>
        <w:rPr>
          <w:rStyle w:val="Emphasis"/>
          <w:rFonts w:eastAsiaTheme="majorEastAsia"/>
        </w:rPr>
        <w:t>Moringa</w:t>
      </w:r>
      <w:r>
        <w:t xml:space="preserve"> primarily supports liver integrity, </w:t>
      </w:r>
      <w:proofErr w:type="spellStart"/>
      <w:r>
        <w:rPr>
          <w:rStyle w:val="Emphasis"/>
          <w:rFonts w:eastAsiaTheme="majorEastAsia"/>
        </w:rPr>
        <w:t>Gongronema</w:t>
      </w:r>
      <w:proofErr w:type="spellEnd"/>
      <w:r>
        <w:t xml:space="preserve"> enhances hematopoiesis. Their combined administration may provide a comprehensive therapeutic strategy for managing protein-deficiency-induced organ dysfunction.</w:t>
      </w:r>
    </w:p>
    <w:p w14:paraId="35A657F4" w14:textId="77777777" w:rsidR="00965799" w:rsidRDefault="00965799" w:rsidP="00965799">
      <w:pPr>
        <w:pStyle w:val="NormalWeb"/>
      </w:pPr>
      <w:r>
        <w:rPr>
          <w:rStyle w:val="Strong"/>
          <w:rFonts w:eastAsiaTheme="majorEastAsia"/>
        </w:rPr>
        <w:t>Keywords:</w:t>
      </w:r>
      <w:r>
        <w:t xml:space="preserve"> Protein malnutrition, </w:t>
      </w:r>
      <w:r>
        <w:rPr>
          <w:rStyle w:val="Emphasis"/>
          <w:rFonts w:eastAsiaTheme="majorEastAsia"/>
        </w:rPr>
        <w:t>Moringa oleifera</w:t>
      </w:r>
      <w:r>
        <w:t xml:space="preserve">, </w:t>
      </w:r>
      <w:proofErr w:type="spellStart"/>
      <w:r>
        <w:rPr>
          <w:rStyle w:val="Emphasis"/>
          <w:rFonts w:eastAsiaTheme="majorEastAsia"/>
        </w:rPr>
        <w:t>Gongronema</w:t>
      </w:r>
      <w:proofErr w:type="spellEnd"/>
      <w:r>
        <w:rPr>
          <w:rStyle w:val="Emphasis"/>
          <w:rFonts w:eastAsiaTheme="majorEastAsia"/>
        </w:rPr>
        <w:t xml:space="preserve"> </w:t>
      </w:r>
      <w:proofErr w:type="spellStart"/>
      <w:r>
        <w:rPr>
          <w:rStyle w:val="Emphasis"/>
          <w:rFonts w:eastAsiaTheme="majorEastAsia"/>
        </w:rPr>
        <w:t>latifolium</w:t>
      </w:r>
      <w:proofErr w:type="spellEnd"/>
      <w:r>
        <w:t>, hepatoprotection, hematopoiesis, Wistar rats, liver enzymes, synergistic effect</w:t>
      </w:r>
    </w:p>
    <w:p w14:paraId="566EC8C7" w14:textId="77777777" w:rsidR="00A937B2" w:rsidRPr="00A937B2" w:rsidRDefault="00A937B2" w:rsidP="00A937B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937B2">
        <w:rPr>
          <w:rFonts w:ascii="Times New Roman" w:eastAsia="Times New Roman" w:hAnsi="Times New Roman" w:cs="Times New Roman"/>
          <w:b/>
          <w:bCs/>
          <w:kern w:val="0"/>
          <w:sz w:val="27"/>
          <w:szCs w:val="27"/>
          <w14:ligatures w14:val="none"/>
        </w:rPr>
        <w:t>Introduction</w:t>
      </w:r>
    </w:p>
    <w:p w14:paraId="731955ED" w14:textId="626945DA" w:rsidR="00A937B2" w:rsidRPr="00A937B2" w:rsidRDefault="00A937B2" w:rsidP="00A937B2">
      <w:pPr>
        <w:spacing w:before="100" w:beforeAutospacing="1" w:after="100" w:afterAutospacing="1"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 xml:space="preserve">Protein-energy malnutrition (PEM) remains a global health challenge, especially in low- and middle-income countries, where it contributes significantly to childhood morbidity and mortality </w:t>
      </w:r>
      <w:r w:rsidRPr="00A937B2">
        <w:rPr>
          <w:rFonts w:ascii="Times New Roman" w:eastAsia="Times New Roman" w:hAnsi="Times New Roman" w:cs="Times New Roman"/>
          <w:kern w:val="0"/>
          <w14:ligatures w14:val="none"/>
        </w:rPr>
        <w:lastRenderedPageBreak/>
        <w:t>due to impaired organ development and compromised immunity (WHO, 2019). PEM is associated with oxidative stress, hepatocellular injury, and impaired hematopoiesis, culminating in anemia, immune dysfunction, and hepatic steatosis (</w:t>
      </w:r>
      <w:proofErr w:type="spellStart"/>
      <w:r w:rsidR="00076258">
        <w:rPr>
          <w:rFonts w:ascii="Times New Roman" w:eastAsia="Times New Roman" w:hAnsi="Times New Roman" w:cs="Times New Roman"/>
          <w:kern w:val="0"/>
          <w14:ligatures w14:val="none"/>
        </w:rPr>
        <w:t>Wokocha</w:t>
      </w:r>
      <w:proofErr w:type="spellEnd"/>
      <w:r w:rsidR="00076258">
        <w:rPr>
          <w:rFonts w:ascii="Times New Roman" w:eastAsia="Times New Roman" w:hAnsi="Times New Roman" w:cs="Times New Roman"/>
          <w:kern w:val="0"/>
          <w14:ligatures w14:val="none"/>
        </w:rPr>
        <w:t xml:space="preserve"> et al., 2024; </w:t>
      </w:r>
      <w:proofErr w:type="spellStart"/>
      <w:r w:rsidR="00076258">
        <w:rPr>
          <w:rFonts w:ascii="Times New Roman" w:eastAsia="Times New Roman" w:hAnsi="Times New Roman" w:cs="Times New Roman"/>
          <w:kern w:val="0"/>
          <w14:ligatures w14:val="none"/>
        </w:rPr>
        <w:t>Ezekwe</w:t>
      </w:r>
      <w:proofErr w:type="spellEnd"/>
      <w:r w:rsidR="00076258">
        <w:rPr>
          <w:rFonts w:ascii="Times New Roman" w:eastAsia="Times New Roman" w:hAnsi="Times New Roman" w:cs="Times New Roman"/>
          <w:kern w:val="0"/>
          <w14:ligatures w14:val="none"/>
        </w:rPr>
        <w:t xml:space="preserve"> et al., 2024; </w:t>
      </w:r>
      <w:proofErr w:type="spellStart"/>
      <w:r w:rsidR="00076258">
        <w:rPr>
          <w:rFonts w:ascii="Times New Roman" w:eastAsia="Times New Roman" w:hAnsi="Times New Roman" w:cs="Times New Roman"/>
          <w:kern w:val="0"/>
          <w14:ligatures w14:val="none"/>
        </w:rPr>
        <w:t>Amakiri</w:t>
      </w:r>
      <w:proofErr w:type="spellEnd"/>
      <w:r w:rsidR="00076258">
        <w:rPr>
          <w:rFonts w:ascii="Times New Roman" w:eastAsia="Times New Roman" w:hAnsi="Times New Roman" w:cs="Times New Roman"/>
          <w:kern w:val="0"/>
          <w14:ligatures w14:val="none"/>
        </w:rPr>
        <w:t xml:space="preserve"> </w:t>
      </w:r>
      <w:proofErr w:type="spellStart"/>
      <w:r w:rsidR="00076258">
        <w:rPr>
          <w:rFonts w:ascii="Times New Roman" w:eastAsia="Times New Roman" w:hAnsi="Times New Roman" w:cs="Times New Roman"/>
          <w:kern w:val="0"/>
          <w14:ligatures w14:val="none"/>
        </w:rPr>
        <w:t>el</w:t>
      </w:r>
      <w:proofErr w:type="spellEnd"/>
      <w:r w:rsidR="00076258">
        <w:rPr>
          <w:rFonts w:ascii="Times New Roman" w:eastAsia="Times New Roman" w:hAnsi="Times New Roman" w:cs="Times New Roman"/>
          <w:kern w:val="0"/>
          <w14:ligatures w14:val="none"/>
        </w:rPr>
        <w:t xml:space="preserve"> al., 2024)</w:t>
      </w:r>
      <w:r w:rsidRPr="00A937B2">
        <w:rPr>
          <w:rFonts w:ascii="Times New Roman" w:eastAsia="Times New Roman" w:hAnsi="Times New Roman" w:cs="Times New Roman"/>
          <w:kern w:val="0"/>
          <w14:ligatures w14:val="none"/>
        </w:rPr>
        <w:t>. The liver, being central to metabolic homeostasis and detoxification, is particularly vulnerable to nutrient deficiency and reactive oxygen species (ROS) generation.</w:t>
      </w:r>
    </w:p>
    <w:p w14:paraId="2E026AEC" w14:textId="717CBB6E" w:rsidR="00A937B2" w:rsidRPr="00A937B2" w:rsidRDefault="00A937B2" w:rsidP="00A937B2">
      <w:p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A937B2">
        <w:rPr>
          <w:rFonts w:ascii="Times New Roman" w:eastAsia="Times New Roman" w:hAnsi="Times New Roman" w:cs="Times New Roman"/>
          <w:kern w:val="0"/>
          <w14:ligatures w14:val="none"/>
        </w:rPr>
        <w:t>Phytotherapeutic</w:t>
      </w:r>
      <w:proofErr w:type="spellEnd"/>
      <w:r w:rsidRPr="00A937B2">
        <w:rPr>
          <w:rFonts w:ascii="Times New Roman" w:eastAsia="Times New Roman" w:hAnsi="Times New Roman" w:cs="Times New Roman"/>
          <w:kern w:val="0"/>
          <w14:ligatures w14:val="none"/>
        </w:rPr>
        <w:t xml:space="preserve"> interventions utilizing plant-based nutraceuticals are gaining attention for their ability to mitigate oxidative liver damage and restore hematopoietic balance (Kou et al., 2018). Among such botanicals, </w:t>
      </w:r>
      <w:r w:rsidRPr="00A937B2">
        <w:rPr>
          <w:rFonts w:ascii="Times New Roman" w:eastAsia="Times New Roman" w:hAnsi="Times New Roman" w:cs="Times New Roman"/>
          <w:b/>
          <w:bCs/>
          <w:kern w:val="0"/>
          <w14:ligatures w14:val="none"/>
        </w:rPr>
        <w:t>Moringa oleifera</w:t>
      </w:r>
      <w:r w:rsidRPr="00A937B2">
        <w:rPr>
          <w:rFonts w:ascii="Times New Roman" w:eastAsia="Times New Roman" w:hAnsi="Times New Roman" w:cs="Times New Roman"/>
          <w:kern w:val="0"/>
          <w14:ligatures w14:val="none"/>
        </w:rPr>
        <w:t xml:space="preserve"> is extensively researched for its high nutritional content—rich in vitamins A, C, and E, essential amino acids, flavonoids, polyphenols, and bioactive isothiocyanates—which contribute to its potent antioxidant, hepatoprotective, anti-inflammatory, and hematopoietic activities (Anzano et al., 2022; </w:t>
      </w:r>
      <w:proofErr w:type="spellStart"/>
      <w:r w:rsidRPr="00A937B2">
        <w:rPr>
          <w:rFonts w:ascii="Times New Roman" w:eastAsia="Times New Roman" w:hAnsi="Times New Roman" w:cs="Times New Roman"/>
          <w:kern w:val="0"/>
          <w14:ligatures w14:val="none"/>
        </w:rPr>
        <w:t>Giacoppo</w:t>
      </w:r>
      <w:proofErr w:type="spellEnd"/>
      <w:r w:rsidRPr="00A937B2">
        <w:rPr>
          <w:rFonts w:ascii="Times New Roman" w:eastAsia="Times New Roman" w:hAnsi="Times New Roman" w:cs="Times New Roman"/>
          <w:kern w:val="0"/>
          <w14:ligatures w14:val="none"/>
        </w:rPr>
        <w:t xml:space="preserve"> et al., 2017; </w:t>
      </w:r>
      <w:proofErr w:type="spellStart"/>
      <w:r w:rsidRPr="00A937B2">
        <w:rPr>
          <w:rFonts w:ascii="Times New Roman" w:eastAsia="Times New Roman" w:hAnsi="Times New Roman" w:cs="Times New Roman"/>
          <w:kern w:val="0"/>
          <w14:ligatures w14:val="none"/>
        </w:rPr>
        <w:t>Masarkar</w:t>
      </w:r>
      <w:proofErr w:type="spellEnd"/>
      <w:r w:rsidRPr="00A937B2">
        <w:rPr>
          <w:rFonts w:ascii="Times New Roman" w:eastAsia="Times New Roman" w:hAnsi="Times New Roman" w:cs="Times New Roman"/>
          <w:kern w:val="0"/>
          <w14:ligatures w14:val="none"/>
        </w:rPr>
        <w:t xml:space="preserve"> et al., 2023; Kim et al., 2022; Kou et al., 2018;). Moringa’s efficacy is mediated through multiple pathways, including modulation of </w:t>
      </w:r>
      <w:r w:rsidRPr="00A937B2">
        <w:rPr>
          <w:rFonts w:ascii="Times New Roman" w:eastAsia="Times New Roman" w:hAnsi="Times New Roman" w:cs="Times New Roman"/>
          <w:b/>
          <w:bCs/>
          <w:kern w:val="0"/>
          <w14:ligatures w14:val="none"/>
        </w:rPr>
        <w:t>Nrf2</w:t>
      </w:r>
      <w:r w:rsidRPr="00A937B2">
        <w:rPr>
          <w:rFonts w:ascii="Times New Roman" w:eastAsia="Times New Roman" w:hAnsi="Times New Roman" w:cs="Times New Roman"/>
          <w:kern w:val="0"/>
          <w14:ligatures w14:val="none"/>
        </w:rPr>
        <w:t xml:space="preserve">, </w:t>
      </w:r>
      <w:r w:rsidRPr="00A937B2">
        <w:rPr>
          <w:rFonts w:ascii="Times New Roman" w:eastAsia="Times New Roman" w:hAnsi="Times New Roman" w:cs="Times New Roman"/>
          <w:b/>
          <w:bCs/>
          <w:kern w:val="0"/>
          <w14:ligatures w14:val="none"/>
        </w:rPr>
        <w:t>NF-</w:t>
      </w:r>
      <w:proofErr w:type="spellStart"/>
      <w:r w:rsidRPr="00A937B2">
        <w:rPr>
          <w:rFonts w:ascii="Times New Roman" w:eastAsia="Times New Roman" w:hAnsi="Times New Roman" w:cs="Times New Roman"/>
          <w:b/>
          <w:bCs/>
          <w:kern w:val="0"/>
          <w14:ligatures w14:val="none"/>
        </w:rPr>
        <w:t>κB</w:t>
      </w:r>
      <w:proofErr w:type="spellEnd"/>
      <w:r w:rsidRPr="00A937B2">
        <w:rPr>
          <w:rFonts w:ascii="Times New Roman" w:eastAsia="Times New Roman" w:hAnsi="Times New Roman" w:cs="Times New Roman"/>
          <w:kern w:val="0"/>
          <w14:ligatures w14:val="none"/>
        </w:rPr>
        <w:t xml:space="preserve">, and </w:t>
      </w:r>
      <w:r w:rsidRPr="00A937B2">
        <w:rPr>
          <w:rFonts w:ascii="Times New Roman" w:eastAsia="Times New Roman" w:hAnsi="Times New Roman" w:cs="Times New Roman"/>
          <w:b/>
          <w:bCs/>
          <w:kern w:val="0"/>
          <w14:ligatures w14:val="none"/>
        </w:rPr>
        <w:t>HO-1</w:t>
      </w:r>
      <w:r w:rsidRPr="00A937B2">
        <w:rPr>
          <w:rFonts w:ascii="Times New Roman" w:eastAsia="Times New Roman" w:hAnsi="Times New Roman" w:cs="Times New Roman"/>
          <w:kern w:val="0"/>
          <w14:ligatures w14:val="none"/>
        </w:rPr>
        <w:t xml:space="preserve"> signaling, all of which are essential in oxidative stress response and </w:t>
      </w:r>
      <w:proofErr w:type="spellStart"/>
      <w:r w:rsidRPr="00A937B2">
        <w:rPr>
          <w:rFonts w:ascii="Times New Roman" w:eastAsia="Times New Roman" w:hAnsi="Times New Roman" w:cs="Times New Roman"/>
          <w:kern w:val="0"/>
          <w14:ligatures w14:val="none"/>
        </w:rPr>
        <w:t>cytoprotection</w:t>
      </w:r>
      <w:proofErr w:type="spellEnd"/>
      <w:r w:rsidRPr="00A937B2">
        <w:rPr>
          <w:rFonts w:ascii="Times New Roman" w:eastAsia="Times New Roman" w:hAnsi="Times New Roman" w:cs="Times New Roman"/>
          <w:kern w:val="0"/>
          <w14:ligatures w14:val="none"/>
        </w:rPr>
        <w:t xml:space="preserve"> (</w:t>
      </w:r>
      <w:proofErr w:type="spellStart"/>
      <w:r w:rsidRPr="00A937B2">
        <w:rPr>
          <w:rFonts w:ascii="Times New Roman" w:eastAsia="Times New Roman" w:hAnsi="Times New Roman" w:cs="Times New Roman"/>
          <w:kern w:val="0"/>
          <w14:ligatures w14:val="none"/>
        </w:rPr>
        <w:t>Mundkar</w:t>
      </w:r>
      <w:proofErr w:type="spellEnd"/>
      <w:r w:rsidRPr="00A937B2">
        <w:rPr>
          <w:rFonts w:ascii="Times New Roman" w:eastAsia="Times New Roman" w:hAnsi="Times New Roman" w:cs="Times New Roman"/>
          <w:kern w:val="0"/>
          <w14:ligatures w14:val="none"/>
        </w:rPr>
        <w:t xml:space="preserve"> et al., 2022; Wright, 2020). Studies have also shown its ability to reverse neurodegeneration and memory impairment in oxidative stress models (Zhou et al., 2018), and its antimicrobial properties suggest a broader therapeutic potential (Sharma et al., 2020; Pagano et al., 2020).</w:t>
      </w:r>
    </w:p>
    <w:p w14:paraId="2DCCA319" w14:textId="447F408C" w:rsidR="00A937B2" w:rsidRPr="00A937B2" w:rsidRDefault="00A937B2" w:rsidP="00A937B2">
      <w:pPr>
        <w:spacing w:before="100" w:beforeAutospacing="1" w:after="100" w:afterAutospacing="1"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 xml:space="preserve">In parallel, </w:t>
      </w:r>
      <w:proofErr w:type="spellStart"/>
      <w:r w:rsidRPr="00A937B2">
        <w:rPr>
          <w:rFonts w:ascii="Times New Roman" w:eastAsia="Times New Roman" w:hAnsi="Times New Roman" w:cs="Times New Roman"/>
          <w:b/>
          <w:bCs/>
          <w:kern w:val="0"/>
          <w14:ligatures w14:val="none"/>
        </w:rPr>
        <w:t>Gongronema</w:t>
      </w:r>
      <w:proofErr w:type="spellEnd"/>
      <w:r w:rsidRPr="00A937B2">
        <w:rPr>
          <w:rFonts w:ascii="Times New Roman" w:eastAsia="Times New Roman" w:hAnsi="Times New Roman" w:cs="Times New Roman"/>
          <w:b/>
          <w:bCs/>
          <w:kern w:val="0"/>
          <w14:ligatures w14:val="none"/>
        </w:rPr>
        <w:t xml:space="preserve"> </w:t>
      </w:r>
      <w:proofErr w:type="spellStart"/>
      <w:r w:rsidRPr="00A937B2">
        <w:rPr>
          <w:rFonts w:ascii="Times New Roman" w:eastAsia="Times New Roman" w:hAnsi="Times New Roman" w:cs="Times New Roman"/>
          <w:b/>
          <w:bCs/>
          <w:kern w:val="0"/>
          <w14:ligatures w14:val="none"/>
        </w:rPr>
        <w:t>latifolium</w:t>
      </w:r>
      <w:proofErr w:type="spellEnd"/>
      <w:r w:rsidRPr="00A937B2">
        <w:rPr>
          <w:rFonts w:ascii="Times New Roman" w:eastAsia="Times New Roman" w:hAnsi="Times New Roman" w:cs="Times New Roman"/>
          <w:kern w:val="0"/>
          <w14:ligatures w14:val="none"/>
        </w:rPr>
        <w:t>, an indigenous African medicinal plant, has been traditionally used for its antioxidant, anti-inflammatory, and hematopoietic properties. Its flavonoids, saponins, and alkaloids are known to modulate immune responses and stimulate erythropoiesis (</w:t>
      </w:r>
      <w:proofErr w:type="spellStart"/>
      <w:r w:rsidR="00076258">
        <w:rPr>
          <w:rFonts w:ascii="Times New Roman" w:eastAsia="Times New Roman" w:hAnsi="Times New Roman" w:cs="Times New Roman"/>
          <w:kern w:val="0"/>
          <w14:ligatures w14:val="none"/>
        </w:rPr>
        <w:t>Antai</w:t>
      </w:r>
      <w:proofErr w:type="spellEnd"/>
      <w:r w:rsidRPr="00A937B2">
        <w:rPr>
          <w:rFonts w:ascii="Times New Roman" w:eastAsia="Times New Roman" w:hAnsi="Times New Roman" w:cs="Times New Roman"/>
          <w:kern w:val="0"/>
          <w14:ligatures w14:val="none"/>
        </w:rPr>
        <w:t xml:space="preserve"> et al., </w:t>
      </w:r>
      <w:r w:rsidR="00076258">
        <w:rPr>
          <w:rFonts w:ascii="Times New Roman" w:eastAsia="Times New Roman" w:hAnsi="Times New Roman" w:cs="Times New Roman"/>
          <w:kern w:val="0"/>
          <w14:ligatures w14:val="none"/>
        </w:rPr>
        <w:t>2009</w:t>
      </w:r>
      <w:r w:rsidRPr="00A937B2">
        <w:rPr>
          <w:rFonts w:ascii="Times New Roman" w:eastAsia="Times New Roman" w:hAnsi="Times New Roman" w:cs="Times New Roman"/>
          <w:kern w:val="0"/>
          <w14:ligatures w14:val="none"/>
        </w:rPr>
        <w:t xml:space="preserve">). Despite the individual merits of Moringa and </w:t>
      </w:r>
      <w:proofErr w:type="spellStart"/>
      <w:r w:rsidRPr="00A937B2">
        <w:rPr>
          <w:rFonts w:ascii="Times New Roman" w:eastAsia="Times New Roman" w:hAnsi="Times New Roman" w:cs="Times New Roman"/>
          <w:kern w:val="0"/>
          <w14:ligatures w14:val="none"/>
        </w:rPr>
        <w:t>Gongronema</w:t>
      </w:r>
      <w:proofErr w:type="spellEnd"/>
      <w:r w:rsidRPr="00A937B2">
        <w:rPr>
          <w:rFonts w:ascii="Times New Roman" w:eastAsia="Times New Roman" w:hAnsi="Times New Roman" w:cs="Times New Roman"/>
          <w:kern w:val="0"/>
          <w14:ligatures w14:val="none"/>
        </w:rPr>
        <w:t>, comparative investigations evaluating their therapeutic efficacy in a PEM model are limited.</w:t>
      </w:r>
    </w:p>
    <w:p w14:paraId="6524C587" w14:textId="278D4EC0" w:rsidR="009A1E86" w:rsidRPr="00A937B2" w:rsidRDefault="00A937B2" w:rsidP="00A937B2">
      <w:pPr>
        <w:spacing w:before="100" w:beforeAutospacing="1" w:after="100" w:afterAutospacing="1"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 xml:space="preserve">This study aims to investigate and compare the hepatoprotective and hematopoietic effects of </w:t>
      </w:r>
      <w:r w:rsidRPr="00A937B2">
        <w:rPr>
          <w:rFonts w:ascii="Times New Roman" w:eastAsia="Times New Roman" w:hAnsi="Times New Roman" w:cs="Times New Roman"/>
          <w:b/>
          <w:bCs/>
          <w:kern w:val="0"/>
          <w14:ligatures w14:val="none"/>
        </w:rPr>
        <w:t>Moringa oleifera</w:t>
      </w:r>
      <w:r w:rsidRPr="00A937B2">
        <w:rPr>
          <w:rFonts w:ascii="Times New Roman" w:eastAsia="Times New Roman" w:hAnsi="Times New Roman" w:cs="Times New Roman"/>
          <w:kern w:val="0"/>
          <w14:ligatures w14:val="none"/>
        </w:rPr>
        <w:t xml:space="preserve"> and </w:t>
      </w:r>
      <w:proofErr w:type="spellStart"/>
      <w:r w:rsidRPr="00A937B2">
        <w:rPr>
          <w:rFonts w:ascii="Times New Roman" w:eastAsia="Times New Roman" w:hAnsi="Times New Roman" w:cs="Times New Roman"/>
          <w:b/>
          <w:bCs/>
          <w:kern w:val="0"/>
          <w14:ligatures w14:val="none"/>
        </w:rPr>
        <w:t>Gongronema</w:t>
      </w:r>
      <w:proofErr w:type="spellEnd"/>
      <w:r w:rsidRPr="00A937B2">
        <w:rPr>
          <w:rFonts w:ascii="Times New Roman" w:eastAsia="Times New Roman" w:hAnsi="Times New Roman" w:cs="Times New Roman"/>
          <w:b/>
          <w:bCs/>
          <w:kern w:val="0"/>
          <w14:ligatures w14:val="none"/>
        </w:rPr>
        <w:t xml:space="preserve"> </w:t>
      </w:r>
      <w:proofErr w:type="spellStart"/>
      <w:r w:rsidRPr="00A937B2">
        <w:rPr>
          <w:rFonts w:ascii="Times New Roman" w:eastAsia="Times New Roman" w:hAnsi="Times New Roman" w:cs="Times New Roman"/>
          <w:b/>
          <w:bCs/>
          <w:kern w:val="0"/>
          <w14:ligatures w14:val="none"/>
        </w:rPr>
        <w:t>latifolium</w:t>
      </w:r>
      <w:proofErr w:type="spellEnd"/>
      <w:r w:rsidRPr="00A937B2">
        <w:rPr>
          <w:rFonts w:ascii="Times New Roman" w:eastAsia="Times New Roman" w:hAnsi="Times New Roman" w:cs="Times New Roman"/>
          <w:kern w:val="0"/>
          <w14:ligatures w14:val="none"/>
        </w:rPr>
        <w:t xml:space="preserve"> in protein-deficient Wistar rats. It also explores the potential synergistic interaction of both extracts in ameliorating malnutrition-induced liver dysfunction and hematological impairments, providing a basis for </w:t>
      </w:r>
      <w:proofErr w:type="spellStart"/>
      <w:r w:rsidRPr="00A937B2">
        <w:rPr>
          <w:rFonts w:ascii="Times New Roman" w:eastAsia="Times New Roman" w:hAnsi="Times New Roman" w:cs="Times New Roman"/>
          <w:kern w:val="0"/>
          <w14:ligatures w14:val="none"/>
        </w:rPr>
        <w:t>phytotherapeutic</w:t>
      </w:r>
      <w:proofErr w:type="spellEnd"/>
      <w:r w:rsidRPr="00A937B2">
        <w:rPr>
          <w:rFonts w:ascii="Times New Roman" w:eastAsia="Times New Roman" w:hAnsi="Times New Roman" w:cs="Times New Roman"/>
          <w:kern w:val="0"/>
          <w14:ligatures w14:val="none"/>
        </w:rPr>
        <w:t xml:space="preserve"> strategies in nutritional rehabilitation.</w:t>
      </w:r>
    </w:p>
    <w:bookmarkEnd w:id="0"/>
    <w:p w14:paraId="0960AEF2" w14:textId="77777777" w:rsidR="00A937B2" w:rsidRPr="00A937B2" w:rsidRDefault="00A937B2" w:rsidP="00A937B2">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937B2">
        <w:rPr>
          <w:rFonts w:ascii="Times New Roman" w:eastAsia="Times New Roman" w:hAnsi="Times New Roman" w:cs="Times New Roman"/>
          <w:b/>
          <w:bCs/>
          <w:kern w:val="0"/>
          <w:sz w:val="36"/>
          <w:szCs w:val="36"/>
          <w14:ligatures w14:val="none"/>
        </w:rPr>
        <w:t>MATERIALS AND METHODS</w:t>
      </w:r>
    </w:p>
    <w:p w14:paraId="5D242E10" w14:textId="77777777" w:rsidR="00A937B2" w:rsidRPr="00A937B2" w:rsidRDefault="00A937B2" w:rsidP="00A937B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937B2">
        <w:rPr>
          <w:rFonts w:ascii="Times New Roman" w:eastAsia="Times New Roman" w:hAnsi="Times New Roman" w:cs="Times New Roman"/>
          <w:b/>
          <w:bCs/>
          <w:kern w:val="0"/>
          <w:sz w:val="27"/>
          <w:szCs w:val="27"/>
          <w14:ligatures w14:val="none"/>
        </w:rPr>
        <w:t>Animals and Ethical Approval</w:t>
      </w:r>
    </w:p>
    <w:p w14:paraId="500805D6" w14:textId="165199D7" w:rsidR="00A937B2" w:rsidRPr="00A937B2" w:rsidRDefault="00A937B2" w:rsidP="00A937B2">
      <w:pPr>
        <w:spacing w:before="100" w:beforeAutospacing="1" w:after="100" w:afterAutospacing="1"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 xml:space="preserve">Thirty </w:t>
      </w:r>
      <w:proofErr w:type="gramStart"/>
      <w:r w:rsidRPr="00A937B2">
        <w:rPr>
          <w:rFonts w:ascii="Times New Roman" w:eastAsia="Times New Roman" w:hAnsi="Times New Roman" w:cs="Times New Roman"/>
          <w:kern w:val="0"/>
          <w14:ligatures w14:val="none"/>
        </w:rPr>
        <w:t>adult</w:t>
      </w:r>
      <w:proofErr w:type="gramEnd"/>
      <w:r w:rsidRPr="00A937B2">
        <w:rPr>
          <w:rFonts w:ascii="Times New Roman" w:eastAsia="Times New Roman" w:hAnsi="Times New Roman" w:cs="Times New Roman"/>
          <w:kern w:val="0"/>
          <w14:ligatures w14:val="none"/>
        </w:rPr>
        <w:t xml:space="preserve"> male Wistar rats (weighing 150–180 g) were obtained from the animal house of [Insert institution name]. Animals were housed under standard laboratory conditions (12 h light/12 h dark cycle, temperature 22 ± 2°C, relative humidity 50–60%) with access to food and water </w:t>
      </w:r>
      <w:r w:rsidRPr="00A937B2">
        <w:rPr>
          <w:rFonts w:ascii="Times New Roman" w:eastAsia="Times New Roman" w:hAnsi="Times New Roman" w:cs="Times New Roman"/>
          <w:i/>
          <w:iCs/>
          <w:kern w:val="0"/>
          <w14:ligatures w14:val="none"/>
        </w:rPr>
        <w:t>ad libitum</w:t>
      </w:r>
      <w:r w:rsidRPr="00A937B2">
        <w:rPr>
          <w:rFonts w:ascii="Times New Roman" w:eastAsia="Times New Roman" w:hAnsi="Times New Roman" w:cs="Times New Roman"/>
          <w:kern w:val="0"/>
          <w14:ligatures w14:val="none"/>
        </w:rPr>
        <w:t xml:space="preserve">. The experimental protocol adhered to the guidelines of the </w:t>
      </w:r>
      <w:r w:rsidRPr="00A937B2">
        <w:rPr>
          <w:rFonts w:ascii="Times New Roman" w:eastAsia="Times New Roman" w:hAnsi="Times New Roman" w:cs="Times New Roman"/>
          <w:b/>
          <w:bCs/>
          <w:kern w:val="0"/>
          <w14:ligatures w14:val="none"/>
        </w:rPr>
        <w:t>National Institute of Health Guide for the Care and Use of Laboratory Animals (NIH Publication No. 85-23, revised 2011)</w:t>
      </w:r>
      <w:r w:rsidRPr="00A937B2">
        <w:rPr>
          <w:rFonts w:ascii="Times New Roman" w:eastAsia="Times New Roman" w:hAnsi="Times New Roman" w:cs="Times New Roman"/>
          <w:kern w:val="0"/>
          <w14:ligatures w14:val="none"/>
        </w:rPr>
        <w:t xml:space="preserve"> and was approved by the Institutional Animal Care and Use Committee (IACUC) of [</w:t>
      </w:r>
      <w:r w:rsidR="00076258">
        <w:rPr>
          <w:rFonts w:ascii="Times New Roman" w:eastAsia="Times New Roman" w:hAnsi="Times New Roman" w:cs="Times New Roman"/>
          <w:kern w:val="0"/>
          <w14:ligatures w14:val="none"/>
        </w:rPr>
        <w:t>Rivers State University</w:t>
      </w:r>
      <w:r w:rsidRPr="00A937B2">
        <w:rPr>
          <w:rFonts w:ascii="Times New Roman" w:eastAsia="Times New Roman" w:hAnsi="Times New Roman" w:cs="Times New Roman"/>
          <w:kern w:val="0"/>
          <w14:ligatures w14:val="none"/>
        </w:rPr>
        <w:t xml:space="preserve">, Approval number: </w:t>
      </w:r>
      <w:r w:rsidR="00076258">
        <w:rPr>
          <w:rFonts w:ascii="Times New Roman" w:eastAsia="Times New Roman" w:hAnsi="Times New Roman" w:cs="Times New Roman"/>
          <w:kern w:val="0"/>
          <w14:ligatures w14:val="none"/>
        </w:rPr>
        <w:t>1233280.</w:t>
      </w:r>
    </w:p>
    <w:p w14:paraId="5ED4BD67" w14:textId="77777777" w:rsidR="00A937B2" w:rsidRPr="00A937B2" w:rsidRDefault="00A937B2" w:rsidP="00A937B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937B2">
        <w:rPr>
          <w:rFonts w:ascii="Times New Roman" w:eastAsia="Times New Roman" w:hAnsi="Times New Roman" w:cs="Times New Roman"/>
          <w:b/>
          <w:bCs/>
          <w:kern w:val="0"/>
          <w:sz w:val="27"/>
          <w:szCs w:val="27"/>
          <w14:ligatures w14:val="none"/>
        </w:rPr>
        <w:t>Diet Formulation and Grouping</w:t>
      </w:r>
    </w:p>
    <w:p w14:paraId="22731061" w14:textId="77777777" w:rsidR="00A937B2" w:rsidRPr="00A937B2" w:rsidRDefault="00A937B2" w:rsidP="00A937B2">
      <w:pPr>
        <w:spacing w:before="100" w:beforeAutospacing="1" w:after="100" w:afterAutospacing="1"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Rats were acclimatized for 7 days and randomly divided into five groups (n = 6 per group):</w:t>
      </w:r>
    </w:p>
    <w:p w14:paraId="33482BA9" w14:textId="77777777" w:rsidR="00A937B2" w:rsidRPr="00A937B2" w:rsidRDefault="00A937B2" w:rsidP="00A937B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b/>
          <w:bCs/>
          <w:kern w:val="0"/>
          <w14:ligatures w14:val="none"/>
        </w:rPr>
        <w:lastRenderedPageBreak/>
        <w:t>Group 1 (Normal Control):</w:t>
      </w:r>
      <w:r w:rsidRPr="00A937B2">
        <w:rPr>
          <w:rFonts w:ascii="Times New Roman" w:eastAsia="Times New Roman" w:hAnsi="Times New Roman" w:cs="Times New Roman"/>
          <w:kern w:val="0"/>
          <w14:ligatures w14:val="none"/>
        </w:rPr>
        <w:t xml:space="preserve"> Standard protein diet (20% casein).</w:t>
      </w:r>
    </w:p>
    <w:p w14:paraId="72BFC4BD" w14:textId="77777777" w:rsidR="00A937B2" w:rsidRPr="00A937B2" w:rsidRDefault="00A937B2" w:rsidP="00A937B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b/>
          <w:bCs/>
          <w:kern w:val="0"/>
          <w14:ligatures w14:val="none"/>
        </w:rPr>
        <w:t>Group 2 (Protein-Deficient Control):</w:t>
      </w:r>
      <w:r w:rsidRPr="00A937B2">
        <w:rPr>
          <w:rFonts w:ascii="Times New Roman" w:eastAsia="Times New Roman" w:hAnsi="Times New Roman" w:cs="Times New Roman"/>
          <w:kern w:val="0"/>
          <w14:ligatures w14:val="none"/>
        </w:rPr>
        <w:t xml:space="preserve"> Low-protein diet (5% casein).</w:t>
      </w:r>
    </w:p>
    <w:p w14:paraId="41EB7867" w14:textId="77777777" w:rsidR="00A937B2" w:rsidRPr="00A937B2" w:rsidRDefault="00A937B2" w:rsidP="00A937B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b/>
          <w:bCs/>
          <w:kern w:val="0"/>
          <w14:ligatures w14:val="none"/>
        </w:rPr>
        <w:t>Group 3 (PD + Moringa):</w:t>
      </w:r>
      <w:r w:rsidRPr="00A937B2">
        <w:rPr>
          <w:rFonts w:ascii="Times New Roman" w:eastAsia="Times New Roman" w:hAnsi="Times New Roman" w:cs="Times New Roman"/>
          <w:kern w:val="0"/>
          <w14:ligatures w14:val="none"/>
        </w:rPr>
        <w:t xml:space="preserve"> Low-protein diet + </w:t>
      </w:r>
      <w:r w:rsidRPr="00A937B2">
        <w:rPr>
          <w:rFonts w:ascii="Times New Roman" w:eastAsia="Times New Roman" w:hAnsi="Times New Roman" w:cs="Times New Roman"/>
          <w:i/>
          <w:iCs/>
          <w:kern w:val="0"/>
          <w14:ligatures w14:val="none"/>
        </w:rPr>
        <w:t>Moringa oleifera</w:t>
      </w:r>
      <w:r w:rsidRPr="00A937B2">
        <w:rPr>
          <w:rFonts w:ascii="Times New Roman" w:eastAsia="Times New Roman" w:hAnsi="Times New Roman" w:cs="Times New Roman"/>
          <w:kern w:val="0"/>
          <w14:ligatures w14:val="none"/>
        </w:rPr>
        <w:t xml:space="preserve"> extract (400 mg/kg/day).</w:t>
      </w:r>
    </w:p>
    <w:p w14:paraId="0176D712" w14:textId="77777777" w:rsidR="00A937B2" w:rsidRPr="00A937B2" w:rsidRDefault="00A937B2" w:rsidP="00A937B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b/>
          <w:bCs/>
          <w:kern w:val="0"/>
          <w14:ligatures w14:val="none"/>
        </w:rPr>
        <w:t xml:space="preserve">Group 4 (PD + </w:t>
      </w:r>
      <w:proofErr w:type="spellStart"/>
      <w:r w:rsidRPr="00A937B2">
        <w:rPr>
          <w:rFonts w:ascii="Times New Roman" w:eastAsia="Times New Roman" w:hAnsi="Times New Roman" w:cs="Times New Roman"/>
          <w:b/>
          <w:bCs/>
          <w:kern w:val="0"/>
          <w14:ligatures w14:val="none"/>
        </w:rPr>
        <w:t>Gongronema</w:t>
      </w:r>
      <w:proofErr w:type="spellEnd"/>
      <w:r w:rsidRPr="00A937B2">
        <w:rPr>
          <w:rFonts w:ascii="Times New Roman" w:eastAsia="Times New Roman" w:hAnsi="Times New Roman" w:cs="Times New Roman"/>
          <w:b/>
          <w:bCs/>
          <w:kern w:val="0"/>
          <w14:ligatures w14:val="none"/>
        </w:rPr>
        <w:t>):</w:t>
      </w:r>
      <w:r w:rsidRPr="00A937B2">
        <w:rPr>
          <w:rFonts w:ascii="Times New Roman" w:eastAsia="Times New Roman" w:hAnsi="Times New Roman" w:cs="Times New Roman"/>
          <w:kern w:val="0"/>
          <w14:ligatures w14:val="none"/>
        </w:rPr>
        <w:t xml:space="preserve"> Low-protein diet + </w:t>
      </w:r>
      <w:proofErr w:type="spellStart"/>
      <w:r w:rsidRPr="00A937B2">
        <w:rPr>
          <w:rFonts w:ascii="Times New Roman" w:eastAsia="Times New Roman" w:hAnsi="Times New Roman" w:cs="Times New Roman"/>
          <w:i/>
          <w:iCs/>
          <w:kern w:val="0"/>
          <w14:ligatures w14:val="none"/>
        </w:rPr>
        <w:t>Gongronema</w:t>
      </w:r>
      <w:proofErr w:type="spellEnd"/>
      <w:r w:rsidRPr="00A937B2">
        <w:rPr>
          <w:rFonts w:ascii="Times New Roman" w:eastAsia="Times New Roman" w:hAnsi="Times New Roman" w:cs="Times New Roman"/>
          <w:i/>
          <w:iCs/>
          <w:kern w:val="0"/>
          <w14:ligatures w14:val="none"/>
        </w:rPr>
        <w:t xml:space="preserve"> </w:t>
      </w:r>
      <w:proofErr w:type="spellStart"/>
      <w:r w:rsidRPr="00A937B2">
        <w:rPr>
          <w:rFonts w:ascii="Times New Roman" w:eastAsia="Times New Roman" w:hAnsi="Times New Roman" w:cs="Times New Roman"/>
          <w:i/>
          <w:iCs/>
          <w:kern w:val="0"/>
          <w14:ligatures w14:val="none"/>
        </w:rPr>
        <w:t>latifolium</w:t>
      </w:r>
      <w:proofErr w:type="spellEnd"/>
      <w:r w:rsidRPr="00A937B2">
        <w:rPr>
          <w:rFonts w:ascii="Times New Roman" w:eastAsia="Times New Roman" w:hAnsi="Times New Roman" w:cs="Times New Roman"/>
          <w:kern w:val="0"/>
          <w14:ligatures w14:val="none"/>
        </w:rPr>
        <w:t xml:space="preserve"> extract (400 mg/kg/day).</w:t>
      </w:r>
    </w:p>
    <w:p w14:paraId="4725843D" w14:textId="77777777" w:rsidR="00A937B2" w:rsidRPr="00A937B2" w:rsidRDefault="00A937B2" w:rsidP="00A937B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b/>
          <w:bCs/>
          <w:kern w:val="0"/>
          <w14:ligatures w14:val="none"/>
        </w:rPr>
        <w:t>Group 5 (PD + Combined Extract):</w:t>
      </w:r>
      <w:r w:rsidRPr="00A937B2">
        <w:rPr>
          <w:rFonts w:ascii="Times New Roman" w:eastAsia="Times New Roman" w:hAnsi="Times New Roman" w:cs="Times New Roman"/>
          <w:kern w:val="0"/>
          <w14:ligatures w14:val="none"/>
        </w:rPr>
        <w:t xml:space="preserve"> Low-protein diet + </w:t>
      </w:r>
      <w:r w:rsidRPr="00A937B2">
        <w:rPr>
          <w:rFonts w:ascii="Times New Roman" w:eastAsia="Times New Roman" w:hAnsi="Times New Roman" w:cs="Times New Roman"/>
          <w:i/>
          <w:iCs/>
          <w:kern w:val="0"/>
          <w14:ligatures w14:val="none"/>
        </w:rPr>
        <w:t>Moringa oleifera</w:t>
      </w:r>
      <w:r w:rsidRPr="00A937B2">
        <w:rPr>
          <w:rFonts w:ascii="Times New Roman" w:eastAsia="Times New Roman" w:hAnsi="Times New Roman" w:cs="Times New Roman"/>
          <w:kern w:val="0"/>
          <w14:ligatures w14:val="none"/>
        </w:rPr>
        <w:t xml:space="preserve"> and </w:t>
      </w:r>
      <w:proofErr w:type="spellStart"/>
      <w:r w:rsidRPr="00A937B2">
        <w:rPr>
          <w:rFonts w:ascii="Times New Roman" w:eastAsia="Times New Roman" w:hAnsi="Times New Roman" w:cs="Times New Roman"/>
          <w:i/>
          <w:iCs/>
          <w:kern w:val="0"/>
          <w14:ligatures w14:val="none"/>
        </w:rPr>
        <w:t>Gongronema</w:t>
      </w:r>
      <w:proofErr w:type="spellEnd"/>
      <w:r w:rsidRPr="00A937B2">
        <w:rPr>
          <w:rFonts w:ascii="Times New Roman" w:eastAsia="Times New Roman" w:hAnsi="Times New Roman" w:cs="Times New Roman"/>
          <w:i/>
          <w:iCs/>
          <w:kern w:val="0"/>
          <w14:ligatures w14:val="none"/>
        </w:rPr>
        <w:t xml:space="preserve"> </w:t>
      </w:r>
      <w:proofErr w:type="spellStart"/>
      <w:r w:rsidRPr="00A937B2">
        <w:rPr>
          <w:rFonts w:ascii="Times New Roman" w:eastAsia="Times New Roman" w:hAnsi="Times New Roman" w:cs="Times New Roman"/>
          <w:i/>
          <w:iCs/>
          <w:kern w:val="0"/>
          <w14:ligatures w14:val="none"/>
        </w:rPr>
        <w:t>latifolium</w:t>
      </w:r>
      <w:proofErr w:type="spellEnd"/>
      <w:r w:rsidRPr="00A937B2">
        <w:rPr>
          <w:rFonts w:ascii="Times New Roman" w:eastAsia="Times New Roman" w:hAnsi="Times New Roman" w:cs="Times New Roman"/>
          <w:kern w:val="0"/>
          <w14:ligatures w14:val="none"/>
        </w:rPr>
        <w:t xml:space="preserve"> (200 mg/kg each/day).</w:t>
      </w:r>
    </w:p>
    <w:p w14:paraId="054EE292" w14:textId="77777777" w:rsidR="00A937B2" w:rsidRPr="00A937B2" w:rsidRDefault="00A937B2" w:rsidP="00A937B2">
      <w:pPr>
        <w:spacing w:before="100" w:beforeAutospacing="1" w:after="100" w:afterAutospacing="1"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Treatment lasted for 28 consecutive days via oral gavage using a sterile cannula.</w:t>
      </w:r>
    </w:p>
    <w:p w14:paraId="3E56A1C7" w14:textId="77777777" w:rsidR="00A937B2" w:rsidRPr="00A937B2" w:rsidRDefault="00A937B2" w:rsidP="00A937B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937B2">
        <w:rPr>
          <w:rFonts w:ascii="Times New Roman" w:eastAsia="Times New Roman" w:hAnsi="Times New Roman" w:cs="Times New Roman"/>
          <w:b/>
          <w:bCs/>
          <w:kern w:val="0"/>
          <w:sz w:val="27"/>
          <w:szCs w:val="27"/>
          <w14:ligatures w14:val="none"/>
        </w:rPr>
        <w:t>Preparation of Plant Extracts</w:t>
      </w:r>
    </w:p>
    <w:p w14:paraId="1C89259D" w14:textId="77777777" w:rsidR="00A937B2" w:rsidRPr="00A937B2" w:rsidRDefault="00A937B2" w:rsidP="00A937B2">
      <w:pPr>
        <w:spacing w:before="100" w:beforeAutospacing="1" w:after="100" w:afterAutospacing="1"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 xml:space="preserve">Fresh leaves of </w:t>
      </w:r>
      <w:r w:rsidRPr="00A937B2">
        <w:rPr>
          <w:rFonts w:ascii="Times New Roman" w:eastAsia="Times New Roman" w:hAnsi="Times New Roman" w:cs="Times New Roman"/>
          <w:i/>
          <w:iCs/>
          <w:kern w:val="0"/>
          <w14:ligatures w14:val="none"/>
        </w:rPr>
        <w:t>Moringa oleifera</w:t>
      </w:r>
      <w:r w:rsidRPr="00A937B2">
        <w:rPr>
          <w:rFonts w:ascii="Times New Roman" w:eastAsia="Times New Roman" w:hAnsi="Times New Roman" w:cs="Times New Roman"/>
          <w:kern w:val="0"/>
          <w14:ligatures w14:val="none"/>
        </w:rPr>
        <w:t xml:space="preserve"> and </w:t>
      </w:r>
      <w:proofErr w:type="spellStart"/>
      <w:r w:rsidRPr="00A937B2">
        <w:rPr>
          <w:rFonts w:ascii="Times New Roman" w:eastAsia="Times New Roman" w:hAnsi="Times New Roman" w:cs="Times New Roman"/>
          <w:i/>
          <w:iCs/>
          <w:kern w:val="0"/>
          <w14:ligatures w14:val="none"/>
        </w:rPr>
        <w:t>Gongronema</w:t>
      </w:r>
      <w:proofErr w:type="spellEnd"/>
      <w:r w:rsidRPr="00A937B2">
        <w:rPr>
          <w:rFonts w:ascii="Times New Roman" w:eastAsia="Times New Roman" w:hAnsi="Times New Roman" w:cs="Times New Roman"/>
          <w:i/>
          <w:iCs/>
          <w:kern w:val="0"/>
          <w14:ligatures w14:val="none"/>
        </w:rPr>
        <w:t xml:space="preserve"> </w:t>
      </w:r>
      <w:proofErr w:type="spellStart"/>
      <w:r w:rsidRPr="00A937B2">
        <w:rPr>
          <w:rFonts w:ascii="Times New Roman" w:eastAsia="Times New Roman" w:hAnsi="Times New Roman" w:cs="Times New Roman"/>
          <w:i/>
          <w:iCs/>
          <w:kern w:val="0"/>
          <w14:ligatures w14:val="none"/>
        </w:rPr>
        <w:t>latifolium</w:t>
      </w:r>
      <w:proofErr w:type="spellEnd"/>
      <w:r w:rsidRPr="00A937B2">
        <w:rPr>
          <w:rFonts w:ascii="Times New Roman" w:eastAsia="Times New Roman" w:hAnsi="Times New Roman" w:cs="Times New Roman"/>
          <w:kern w:val="0"/>
          <w14:ligatures w14:val="none"/>
        </w:rPr>
        <w:t xml:space="preserve"> were authenticated at the Department of Botany, [Insert institution], and voucher specimens (MO-002 and GL-007) were deposited. The leaves were washed, air-dried at room temperature, and ground into fine powder. Aqueous extracts were prepared by cold maceration in distilled water (1:10 w/v) for 48 hours with occasional stirring. The mixtures were filtered using Whatman No.1 filter paper, and filtrates were concentrated using a rotary evaporator at 40°C and stored at 4°C until use.</w:t>
      </w:r>
    </w:p>
    <w:p w14:paraId="5474B51A" w14:textId="77777777" w:rsidR="00A937B2" w:rsidRPr="00A937B2" w:rsidRDefault="00A937B2" w:rsidP="00A937B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937B2">
        <w:rPr>
          <w:rFonts w:ascii="Times New Roman" w:eastAsia="Times New Roman" w:hAnsi="Times New Roman" w:cs="Times New Roman"/>
          <w:b/>
          <w:bCs/>
          <w:kern w:val="0"/>
          <w:sz w:val="27"/>
          <w:szCs w:val="27"/>
          <w14:ligatures w14:val="none"/>
        </w:rPr>
        <w:t>Biochemical Assays</w:t>
      </w:r>
    </w:p>
    <w:p w14:paraId="1C5481B6" w14:textId="77777777" w:rsidR="00A937B2" w:rsidRPr="00A937B2" w:rsidRDefault="00A937B2" w:rsidP="00A937B2">
      <w:pPr>
        <w:spacing w:before="100" w:beforeAutospacing="1" w:after="100" w:afterAutospacing="1"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At the end of the treatment, rats were fasted overnight and anesthetized using intraperitoneal ketamine (80 mg/kg) and xylazine (10 mg/kg). Blood samples were collected via cardiac puncture. Serum was separated by centrifugation (3000 rpm, 15 min) and analyzed for:</w:t>
      </w:r>
    </w:p>
    <w:p w14:paraId="7100DFBB" w14:textId="77777777" w:rsidR="00A937B2" w:rsidRPr="00A937B2" w:rsidRDefault="00A937B2" w:rsidP="00A937B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b/>
          <w:bCs/>
          <w:kern w:val="0"/>
          <w14:ligatures w14:val="none"/>
        </w:rPr>
        <w:t>Alanine aminotransferase (ALT)</w:t>
      </w:r>
    </w:p>
    <w:p w14:paraId="4994071D" w14:textId="77777777" w:rsidR="00A937B2" w:rsidRPr="00A937B2" w:rsidRDefault="00A937B2" w:rsidP="00A937B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b/>
          <w:bCs/>
          <w:kern w:val="0"/>
          <w14:ligatures w14:val="none"/>
        </w:rPr>
        <w:t>Aspartate aminotransferase (AST)</w:t>
      </w:r>
    </w:p>
    <w:p w14:paraId="4EE1B8E1" w14:textId="77777777" w:rsidR="00A937B2" w:rsidRPr="00A937B2" w:rsidRDefault="00A937B2" w:rsidP="00A937B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b/>
          <w:bCs/>
          <w:kern w:val="0"/>
          <w14:ligatures w14:val="none"/>
        </w:rPr>
        <w:t>Alkaline phosphatase (ALP)</w:t>
      </w:r>
    </w:p>
    <w:p w14:paraId="447E654E" w14:textId="77777777" w:rsidR="00A937B2" w:rsidRPr="00A937B2" w:rsidRDefault="00A937B2" w:rsidP="00A937B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b/>
          <w:bCs/>
          <w:kern w:val="0"/>
          <w14:ligatures w14:val="none"/>
        </w:rPr>
        <w:t>Total bilirubin</w:t>
      </w:r>
    </w:p>
    <w:p w14:paraId="40014BCF" w14:textId="77777777" w:rsidR="00A937B2" w:rsidRPr="00A937B2" w:rsidRDefault="00A937B2" w:rsidP="00A937B2">
      <w:pPr>
        <w:spacing w:before="100" w:beforeAutospacing="1" w:after="100" w:afterAutospacing="1"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Assays were conducted using diagnostic enzymatic kits (Randox Laboratories, UK) according to the manufacturer’s instructions, based on the Reitman and Frankel method (1957).</w:t>
      </w:r>
    </w:p>
    <w:p w14:paraId="0CC62250" w14:textId="77777777" w:rsidR="00A937B2" w:rsidRPr="00A937B2" w:rsidRDefault="00A937B2" w:rsidP="00A937B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937B2">
        <w:rPr>
          <w:rFonts w:ascii="Times New Roman" w:eastAsia="Times New Roman" w:hAnsi="Times New Roman" w:cs="Times New Roman"/>
          <w:b/>
          <w:bCs/>
          <w:kern w:val="0"/>
          <w:sz w:val="27"/>
          <w:szCs w:val="27"/>
          <w14:ligatures w14:val="none"/>
        </w:rPr>
        <w:t>Hematological Analysis</w:t>
      </w:r>
    </w:p>
    <w:p w14:paraId="281F0FEF" w14:textId="77777777" w:rsidR="00A937B2" w:rsidRPr="00A937B2" w:rsidRDefault="00A937B2" w:rsidP="00A937B2">
      <w:pPr>
        <w:spacing w:before="100" w:beforeAutospacing="1" w:after="100" w:afterAutospacing="1"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Whole blood samples collected in EDTA tubes were analyzed using an automated hematology analyzer (Sysmex XT-1800i, Sysmex Corporation, Japan) for:</w:t>
      </w:r>
    </w:p>
    <w:p w14:paraId="4AB3187E" w14:textId="77777777" w:rsidR="00A937B2" w:rsidRPr="00A937B2" w:rsidRDefault="00A937B2" w:rsidP="00A937B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Hemoglobin concentration (Hb)</w:t>
      </w:r>
    </w:p>
    <w:p w14:paraId="53BF7D5A" w14:textId="77777777" w:rsidR="00A937B2" w:rsidRPr="00A937B2" w:rsidRDefault="00A937B2" w:rsidP="00A937B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Red blood cell count (RBC)</w:t>
      </w:r>
    </w:p>
    <w:p w14:paraId="7438CEE4" w14:textId="77777777" w:rsidR="00A937B2" w:rsidRPr="00A937B2" w:rsidRDefault="00A937B2" w:rsidP="00A937B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White blood cell count (WBC)</w:t>
      </w:r>
    </w:p>
    <w:p w14:paraId="426601EE" w14:textId="77777777" w:rsidR="00A937B2" w:rsidRPr="00A937B2" w:rsidRDefault="00A937B2" w:rsidP="00A937B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Platelet count</w:t>
      </w:r>
    </w:p>
    <w:p w14:paraId="5E64E019" w14:textId="77777777" w:rsidR="00A937B2" w:rsidRPr="00A937B2" w:rsidRDefault="00A937B2" w:rsidP="00A937B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937B2">
        <w:rPr>
          <w:rFonts w:ascii="Times New Roman" w:eastAsia="Times New Roman" w:hAnsi="Times New Roman" w:cs="Times New Roman"/>
          <w:b/>
          <w:bCs/>
          <w:kern w:val="0"/>
          <w:sz w:val="27"/>
          <w:szCs w:val="27"/>
          <w14:ligatures w14:val="none"/>
        </w:rPr>
        <w:t>Histopathological Examination</w:t>
      </w:r>
    </w:p>
    <w:p w14:paraId="5EF61AB6" w14:textId="77777777" w:rsidR="00A937B2" w:rsidRPr="00A937B2" w:rsidRDefault="00A937B2" w:rsidP="00A937B2">
      <w:pPr>
        <w:spacing w:before="100" w:beforeAutospacing="1" w:after="100" w:afterAutospacing="1"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lastRenderedPageBreak/>
        <w:t>Liver tissues were harvested and fixed in 10% neutral buffered formalin, processed using routine paraffin embedding techniques, sectioned at 5 </w:t>
      </w:r>
      <w:proofErr w:type="spellStart"/>
      <w:r w:rsidRPr="00A937B2">
        <w:rPr>
          <w:rFonts w:ascii="Times New Roman" w:eastAsia="Times New Roman" w:hAnsi="Times New Roman" w:cs="Times New Roman"/>
          <w:kern w:val="0"/>
          <w14:ligatures w14:val="none"/>
        </w:rPr>
        <w:t>μm</w:t>
      </w:r>
      <w:proofErr w:type="spellEnd"/>
      <w:r w:rsidRPr="00A937B2">
        <w:rPr>
          <w:rFonts w:ascii="Times New Roman" w:eastAsia="Times New Roman" w:hAnsi="Times New Roman" w:cs="Times New Roman"/>
          <w:kern w:val="0"/>
          <w14:ligatures w14:val="none"/>
        </w:rPr>
        <w:t xml:space="preserve"> thickness, and stained with hematoxylin and eosin (H&amp;E). Microscopic evaluation was performed under a light microscope (×400 magnification), and images were captured using a digital photomicroscope (Leica Microsystems, Germany). Histological scoring of inflammation and necrosis followed a semi-quantitative grading scale adapted from </w:t>
      </w:r>
      <w:proofErr w:type="spellStart"/>
      <w:r w:rsidRPr="00A937B2">
        <w:rPr>
          <w:rFonts w:ascii="Times New Roman" w:eastAsia="Times New Roman" w:hAnsi="Times New Roman" w:cs="Times New Roman"/>
          <w:kern w:val="0"/>
          <w14:ligatures w14:val="none"/>
        </w:rPr>
        <w:t>Klaunig</w:t>
      </w:r>
      <w:proofErr w:type="spellEnd"/>
      <w:r w:rsidRPr="00A937B2">
        <w:rPr>
          <w:rFonts w:ascii="Times New Roman" w:eastAsia="Times New Roman" w:hAnsi="Times New Roman" w:cs="Times New Roman"/>
          <w:kern w:val="0"/>
          <w14:ligatures w14:val="none"/>
        </w:rPr>
        <w:t xml:space="preserve"> et al. (2011).</w:t>
      </w:r>
    </w:p>
    <w:p w14:paraId="226BAD15" w14:textId="77777777" w:rsidR="00A937B2" w:rsidRPr="00A937B2" w:rsidRDefault="00A937B2" w:rsidP="00A937B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937B2">
        <w:rPr>
          <w:rFonts w:ascii="Times New Roman" w:eastAsia="Times New Roman" w:hAnsi="Times New Roman" w:cs="Times New Roman"/>
          <w:b/>
          <w:bCs/>
          <w:kern w:val="0"/>
          <w:sz w:val="27"/>
          <w:szCs w:val="27"/>
          <w14:ligatures w14:val="none"/>
        </w:rPr>
        <w:t>Statistical Analysis</w:t>
      </w:r>
    </w:p>
    <w:p w14:paraId="6568C3A8" w14:textId="7F07AC2F" w:rsidR="00A937B2" w:rsidRPr="00A937B2" w:rsidRDefault="00A937B2" w:rsidP="00A937B2">
      <w:pPr>
        <w:spacing w:before="100" w:beforeAutospacing="1" w:after="100" w:afterAutospacing="1"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 xml:space="preserve">All data were expressed as mean ± standard deviation (SD). Statistical analyses were performed using GraphPad Prism version 9.0. One-way analysis of variance (ANOVA) followed by Tukey’s multiple comparison post hoc test was used to assess intergroup differences. Significance was considered at </w:t>
      </w:r>
      <w:r w:rsidRPr="00A937B2">
        <w:rPr>
          <w:rFonts w:ascii="Times New Roman" w:eastAsia="Times New Roman" w:hAnsi="Times New Roman" w:cs="Times New Roman"/>
          <w:i/>
          <w:iCs/>
          <w:kern w:val="0"/>
          <w14:ligatures w14:val="none"/>
        </w:rPr>
        <w:t>p</w:t>
      </w:r>
      <w:r w:rsidRPr="00A937B2">
        <w:rPr>
          <w:rFonts w:ascii="Times New Roman" w:eastAsia="Times New Roman" w:hAnsi="Times New Roman" w:cs="Times New Roman"/>
          <w:kern w:val="0"/>
          <w14:ligatures w14:val="none"/>
        </w:rPr>
        <w:t xml:space="preserve"> &lt; 0.05.</w:t>
      </w:r>
    </w:p>
    <w:p w14:paraId="7F26E6C9" w14:textId="77777777" w:rsidR="00A937B2" w:rsidRPr="00A937B2" w:rsidRDefault="00A937B2" w:rsidP="00A937B2">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937B2">
        <w:rPr>
          <w:rFonts w:ascii="Times New Roman" w:eastAsia="Times New Roman" w:hAnsi="Times New Roman" w:cs="Times New Roman"/>
          <w:b/>
          <w:bCs/>
          <w:kern w:val="0"/>
          <w:sz w:val="36"/>
          <w:szCs w:val="36"/>
          <w14:ligatures w14:val="none"/>
        </w:rPr>
        <w:t>RESULTS</w:t>
      </w:r>
    </w:p>
    <w:p w14:paraId="1270964C" w14:textId="77777777" w:rsidR="00A937B2" w:rsidRPr="00A937B2" w:rsidRDefault="00A937B2" w:rsidP="00A937B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937B2">
        <w:rPr>
          <w:rFonts w:ascii="Times New Roman" w:eastAsia="Times New Roman" w:hAnsi="Times New Roman" w:cs="Times New Roman"/>
          <w:b/>
          <w:bCs/>
          <w:kern w:val="0"/>
          <w:sz w:val="27"/>
          <w:szCs w:val="27"/>
          <w14:ligatures w14:val="none"/>
        </w:rPr>
        <w:t>Liver Function Biomarkers</w:t>
      </w:r>
    </w:p>
    <w:p w14:paraId="04429D08" w14:textId="77777777" w:rsidR="00A937B2" w:rsidRPr="00A937B2" w:rsidRDefault="00A937B2" w:rsidP="00A937B2">
      <w:pPr>
        <w:spacing w:before="100" w:beforeAutospacing="1" w:after="100" w:afterAutospacing="1"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The protein-deficient control group exhibited significant elevations in serum ALT, AST, ALP, and total bilirubin compared to the normal control (</w:t>
      </w:r>
      <w:r w:rsidRPr="00A937B2">
        <w:rPr>
          <w:rFonts w:ascii="Times New Roman" w:eastAsia="Times New Roman" w:hAnsi="Times New Roman" w:cs="Times New Roman"/>
          <w:i/>
          <w:iCs/>
          <w:kern w:val="0"/>
          <w14:ligatures w14:val="none"/>
        </w:rPr>
        <w:t>p</w:t>
      </w:r>
      <w:r w:rsidRPr="00A937B2">
        <w:rPr>
          <w:rFonts w:ascii="Times New Roman" w:eastAsia="Times New Roman" w:hAnsi="Times New Roman" w:cs="Times New Roman"/>
          <w:kern w:val="0"/>
          <w14:ligatures w14:val="none"/>
        </w:rPr>
        <w:t xml:space="preserve"> &lt; 0.05), indicating hepatic dysfunction (Table 1). Treatment with </w:t>
      </w:r>
      <w:r w:rsidRPr="00A937B2">
        <w:rPr>
          <w:rFonts w:ascii="Times New Roman" w:eastAsia="Times New Roman" w:hAnsi="Times New Roman" w:cs="Times New Roman"/>
          <w:i/>
          <w:iCs/>
          <w:kern w:val="0"/>
          <w14:ligatures w14:val="none"/>
        </w:rPr>
        <w:t>Moringa oleifera</w:t>
      </w:r>
      <w:r w:rsidRPr="00A937B2">
        <w:rPr>
          <w:rFonts w:ascii="Times New Roman" w:eastAsia="Times New Roman" w:hAnsi="Times New Roman" w:cs="Times New Roman"/>
          <w:kern w:val="0"/>
          <w14:ligatures w14:val="none"/>
        </w:rPr>
        <w:t xml:space="preserve"> significantly reduced these enzyme levels compared to the protein-deficient group (</w:t>
      </w:r>
      <w:r w:rsidRPr="00A937B2">
        <w:rPr>
          <w:rFonts w:ascii="Times New Roman" w:eastAsia="Times New Roman" w:hAnsi="Times New Roman" w:cs="Times New Roman"/>
          <w:i/>
          <w:iCs/>
          <w:kern w:val="0"/>
          <w14:ligatures w14:val="none"/>
        </w:rPr>
        <w:t>p</w:t>
      </w:r>
      <w:r w:rsidRPr="00A937B2">
        <w:rPr>
          <w:rFonts w:ascii="Times New Roman" w:eastAsia="Times New Roman" w:hAnsi="Times New Roman" w:cs="Times New Roman"/>
          <w:kern w:val="0"/>
          <w14:ligatures w14:val="none"/>
        </w:rPr>
        <w:t xml:space="preserve"> &lt; 0.05). </w:t>
      </w:r>
      <w:proofErr w:type="spellStart"/>
      <w:r w:rsidRPr="00A937B2">
        <w:rPr>
          <w:rFonts w:ascii="Times New Roman" w:eastAsia="Times New Roman" w:hAnsi="Times New Roman" w:cs="Times New Roman"/>
          <w:i/>
          <w:iCs/>
          <w:kern w:val="0"/>
          <w14:ligatures w14:val="none"/>
        </w:rPr>
        <w:t>Gongronema</w:t>
      </w:r>
      <w:proofErr w:type="spellEnd"/>
      <w:r w:rsidRPr="00A937B2">
        <w:rPr>
          <w:rFonts w:ascii="Times New Roman" w:eastAsia="Times New Roman" w:hAnsi="Times New Roman" w:cs="Times New Roman"/>
          <w:i/>
          <w:iCs/>
          <w:kern w:val="0"/>
          <w14:ligatures w14:val="none"/>
        </w:rPr>
        <w:t xml:space="preserve"> </w:t>
      </w:r>
      <w:proofErr w:type="spellStart"/>
      <w:r w:rsidRPr="00A937B2">
        <w:rPr>
          <w:rFonts w:ascii="Times New Roman" w:eastAsia="Times New Roman" w:hAnsi="Times New Roman" w:cs="Times New Roman"/>
          <w:i/>
          <w:iCs/>
          <w:kern w:val="0"/>
          <w14:ligatures w14:val="none"/>
        </w:rPr>
        <w:t>latifolium</w:t>
      </w:r>
      <w:proofErr w:type="spellEnd"/>
      <w:r w:rsidRPr="00A937B2">
        <w:rPr>
          <w:rFonts w:ascii="Times New Roman" w:eastAsia="Times New Roman" w:hAnsi="Times New Roman" w:cs="Times New Roman"/>
          <w:kern w:val="0"/>
          <w14:ligatures w14:val="none"/>
        </w:rPr>
        <w:t xml:space="preserve"> produced moderate but significant reductions, while the combined extract group demonstrated the most substantial normalization of liver function markers, nearly restoring values to control levels.</w:t>
      </w:r>
    </w:p>
    <w:p w14:paraId="0A8EF0F6" w14:textId="77777777" w:rsidR="00A937B2" w:rsidRPr="00A937B2" w:rsidRDefault="00A937B2" w:rsidP="00A937B2">
      <w:pPr>
        <w:spacing w:beforeAutospacing="1" w:after="100" w:afterAutospacing="1"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b/>
          <w:bCs/>
          <w:kern w:val="0"/>
          <w14:ligatures w14:val="none"/>
        </w:rPr>
        <w:t>Table 1.</w:t>
      </w:r>
      <w:r w:rsidRPr="00A937B2">
        <w:rPr>
          <w:rFonts w:ascii="Times New Roman" w:eastAsia="Times New Roman" w:hAnsi="Times New Roman" w:cs="Times New Roman"/>
          <w:kern w:val="0"/>
          <w14:ligatures w14:val="none"/>
        </w:rPr>
        <w:t xml:space="preserve"> Liver Function Biomarkers (Mean ± SD, </w:t>
      </w:r>
      <w:r w:rsidRPr="00A937B2">
        <w:rPr>
          <w:rFonts w:ascii="Times New Roman" w:eastAsia="Times New Roman" w:hAnsi="Times New Roman" w:cs="Times New Roman"/>
          <w:i/>
          <w:iCs/>
          <w:kern w:val="0"/>
          <w14:ligatures w14:val="none"/>
        </w:rPr>
        <w:t>n</w:t>
      </w:r>
      <w:r w:rsidRPr="00A937B2">
        <w:rPr>
          <w:rFonts w:ascii="Times New Roman" w:eastAsia="Times New Roman" w:hAnsi="Times New Roman" w:cs="Times New Roman"/>
          <w:kern w:val="0"/>
          <w14:ligatures w14:val="none"/>
        </w:rPr>
        <w:t xml:space="preserve"> = 6)</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64"/>
        <w:gridCol w:w="1003"/>
        <w:gridCol w:w="1676"/>
        <w:gridCol w:w="1141"/>
        <w:gridCol w:w="1544"/>
        <w:gridCol w:w="1832"/>
      </w:tblGrid>
      <w:tr w:rsidR="00A937B2" w:rsidRPr="00A937B2" w14:paraId="5ED23DD4" w14:textId="77777777" w:rsidTr="00A937B2">
        <w:trPr>
          <w:tblHeader/>
          <w:tblCellSpacing w:w="15" w:type="dxa"/>
        </w:trPr>
        <w:tc>
          <w:tcPr>
            <w:tcW w:w="0" w:type="auto"/>
            <w:vAlign w:val="center"/>
            <w:hideMark/>
          </w:tcPr>
          <w:p w14:paraId="28BEB18F" w14:textId="77777777" w:rsidR="00A937B2" w:rsidRPr="00A937B2" w:rsidRDefault="00A937B2" w:rsidP="00A937B2">
            <w:pPr>
              <w:spacing w:after="0" w:line="240" w:lineRule="auto"/>
              <w:jc w:val="center"/>
              <w:rPr>
                <w:rFonts w:ascii="Times New Roman" w:eastAsia="Times New Roman" w:hAnsi="Times New Roman" w:cs="Times New Roman"/>
                <w:b/>
                <w:bCs/>
                <w:kern w:val="0"/>
                <w14:ligatures w14:val="none"/>
              </w:rPr>
            </w:pPr>
            <w:r w:rsidRPr="00A937B2">
              <w:rPr>
                <w:rFonts w:ascii="Times New Roman" w:eastAsia="Times New Roman" w:hAnsi="Times New Roman" w:cs="Times New Roman"/>
                <w:b/>
                <w:bCs/>
                <w:kern w:val="0"/>
                <w14:ligatures w14:val="none"/>
              </w:rPr>
              <w:t>Parameter</w:t>
            </w:r>
          </w:p>
        </w:tc>
        <w:tc>
          <w:tcPr>
            <w:tcW w:w="0" w:type="auto"/>
            <w:vAlign w:val="center"/>
            <w:hideMark/>
          </w:tcPr>
          <w:p w14:paraId="36AE8A86" w14:textId="77777777" w:rsidR="00A937B2" w:rsidRPr="00A937B2" w:rsidRDefault="00A937B2" w:rsidP="00A937B2">
            <w:pPr>
              <w:spacing w:after="0" w:line="240" w:lineRule="auto"/>
              <w:jc w:val="center"/>
              <w:rPr>
                <w:rFonts w:ascii="Times New Roman" w:eastAsia="Times New Roman" w:hAnsi="Times New Roman" w:cs="Times New Roman"/>
                <w:b/>
                <w:bCs/>
                <w:kern w:val="0"/>
                <w14:ligatures w14:val="none"/>
              </w:rPr>
            </w:pPr>
            <w:r w:rsidRPr="00A937B2">
              <w:rPr>
                <w:rFonts w:ascii="Times New Roman" w:eastAsia="Times New Roman" w:hAnsi="Times New Roman" w:cs="Times New Roman"/>
                <w:b/>
                <w:bCs/>
                <w:kern w:val="0"/>
                <w14:ligatures w14:val="none"/>
              </w:rPr>
              <w:t>Control</w:t>
            </w:r>
          </w:p>
        </w:tc>
        <w:tc>
          <w:tcPr>
            <w:tcW w:w="0" w:type="auto"/>
            <w:vAlign w:val="center"/>
            <w:hideMark/>
          </w:tcPr>
          <w:p w14:paraId="61050CC5" w14:textId="77777777" w:rsidR="00A937B2" w:rsidRPr="00A937B2" w:rsidRDefault="00A937B2" w:rsidP="00A937B2">
            <w:pPr>
              <w:spacing w:after="0" w:line="240" w:lineRule="auto"/>
              <w:jc w:val="center"/>
              <w:rPr>
                <w:rFonts w:ascii="Times New Roman" w:eastAsia="Times New Roman" w:hAnsi="Times New Roman" w:cs="Times New Roman"/>
                <w:b/>
                <w:bCs/>
                <w:kern w:val="0"/>
                <w14:ligatures w14:val="none"/>
              </w:rPr>
            </w:pPr>
            <w:r w:rsidRPr="00A937B2">
              <w:rPr>
                <w:rFonts w:ascii="Times New Roman" w:eastAsia="Times New Roman" w:hAnsi="Times New Roman" w:cs="Times New Roman"/>
                <w:b/>
                <w:bCs/>
                <w:kern w:val="0"/>
                <w14:ligatures w14:val="none"/>
              </w:rPr>
              <w:t>Protein-Deficient</w:t>
            </w:r>
          </w:p>
        </w:tc>
        <w:tc>
          <w:tcPr>
            <w:tcW w:w="0" w:type="auto"/>
            <w:vAlign w:val="center"/>
            <w:hideMark/>
          </w:tcPr>
          <w:p w14:paraId="19C7D675" w14:textId="77777777" w:rsidR="00A937B2" w:rsidRPr="00A937B2" w:rsidRDefault="00A937B2" w:rsidP="00A937B2">
            <w:pPr>
              <w:spacing w:after="0" w:line="240" w:lineRule="auto"/>
              <w:jc w:val="center"/>
              <w:rPr>
                <w:rFonts w:ascii="Times New Roman" w:eastAsia="Times New Roman" w:hAnsi="Times New Roman" w:cs="Times New Roman"/>
                <w:b/>
                <w:bCs/>
                <w:kern w:val="0"/>
                <w14:ligatures w14:val="none"/>
              </w:rPr>
            </w:pPr>
            <w:r w:rsidRPr="00A937B2">
              <w:rPr>
                <w:rFonts w:ascii="Times New Roman" w:eastAsia="Times New Roman" w:hAnsi="Times New Roman" w:cs="Times New Roman"/>
                <w:b/>
                <w:bCs/>
                <w:kern w:val="0"/>
                <w14:ligatures w14:val="none"/>
              </w:rPr>
              <w:t>+Moringa</w:t>
            </w:r>
          </w:p>
        </w:tc>
        <w:tc>
          <w:tcPr>
            <w:tcW w:w="0" w:type="auto"/>
            <w:vAlign w:val="center"/>
            <w:hideMark/>
          </w:tcPr>
          <w:p w14:paraId="227B07C5" w14:textId="77777777" w:rsidR="00A937B2" w:rsidRPr="00A937B2" w:rsidRDefault="00A937B2" w:rsidP="00A937B2">
            <w:pPr>
              <w:spacing w:after="0" w:line="240" w:lineRule="auto"/>
              <w:jc w:val="center"/>
              <w:rPr>
                <w:rFonts w:ascii="Times New Roman" w:eastAsia="Times New Roman" w:hAnsi="Times New Roman" w:cs="Times New Roman"/>
                <w:b/>
                <w:bCs/>
                <w:kern w:val="0"/>
                <w14:ligatures w14:val="none"/>
              </w:rPr>
            </w:pPr>
            <w:r w:rsidRPr="00A937B2">
              <w:rPr>
                <w:rFonts w:ascii="Times New Roman" w:eastAsia="Times New Roman" w:hAnsi="Times New Roman" w:cs="Times New Roman"/>
                <w:b/>
                <w:bCs/>
                <w:kern w:val="0"/>
                <w14:ligatures w14:val="none"/>
              </w:rPr>
              <w:t>+</w:t>
            </w:r>
            <w:proofErr w:type="spellStart"/>
            <w:r w:rsidRPr="00A937B2">
              <w:rPr>
                <w:rFonts w:ascii="Times New Roman" w:eastAsia="Times New Roman" w:hAnsi="Times New Roman" w:cs="Times New Roman"/>
                <w:b/>
                <w:bCs/>
                <w:kern w:val="0"/>
                <w14:ligatures w14:val="none"/>
              </w:rPr>
              <w:t>Gongronema</w:t>
            </w:r>
            <w:proofErr w:type="spellEnd"/>
          </w:p>
        </w:tc>
        <w:tc>
          <w:tcPr>
            <w:tcW w:w="0" w:type="auto"/>
            <w:vAlign w:val="center"/>
            <w:hideMark/>
          </w:tcPr>
          <w:p w14:paraId="64E5CC0F" w14:textId="77777777" w:rsidR="00A937B2" w:rsidRPr="00A937B2" w:rsidRDefault="00A937B2" w:rsidP="00A937B2">
            <w:pPr>
              <w:spacing w:after="0" w:line="240" w:lineRule="auto"/>
              <w:jc w:val="center"/>
              <w:rPr>
                <w:rFonts w:ascii="Times New Roman" w:eastAsia="Times New Roman" w:hAnsi="Times New Roman" w:cs="Times New Roman"/>
                <w:b/>
                <w:bCs/>
                <w:kern w:val="0"/>
                <w14:ligatures w14:val="none"/>
              </w:rPr>
            </w:pPr>
            <w:r w:rsidRPr="00A937B2">
              <w:rPr>
                <w:rFonts w:ascii="Times New Roman" w:eastAsia="Times New Roman" w:hAnsi="Times New Roman" w:cs="Times New Roman"/>
                <w:b/>
                <w:bCs/>
                <w:kern w:val="0"/>
                <w14:ligatures w14:val="none"/>
              </w:rPr>
              <w:t>Combined Extract</w:t>
            </w:r>
          </w:p>
        </w:tc>
      </w:tr>
      <w:tr w:rsidR="00A937B2" w:rsidRPr="00A937B2" w14:paraId="6B9B63B5" w14:textId="77777777" w:rsidTr="00A937B2">
        <w:trPr>
          <w:tblCellSpacing w:w="15" w:type="dxa"/>
        </w:trPr>
        <w:tc>
          <w:tcPr>
            <w:tcW w:w="0" w:type="auto"/>
            <w:vAlign w:val="center"/>
            <w:hideMark/>
          </w:tcPr>
          <w:p w14:paraId="429ADAD0" w14:textId="77777777" w:rsidR="00A937B2" w:rsidRPr="00A937B2" w:rsidRDefault="00A937B2" w:rsidP="00A937B2">
            <w:pPr>
              <w:spacing w:after="0"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ALT (U/L)</w:t>
            </w:r>
          </w:p>
        </w:tc>
        <w:tc>
          <w:tcPr>
            <w:tcW w:w="0" w:type="auto"/>
            <w:vAlign w:val="center"/>
            <w:hideMark/>
          </w:tcPr>
          <w:p w14:paraId="49C92D83" w14:textId="77777777" w:rsidR="00A937B2" w:rsidRPr="00A937B2" w:rsidRDefault="00A937B2" w:rsidP="00A937B2">
            <w:pPr>
              <w:spacing w:after="0"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35.2 ± 3.1</w:t>
            </w:r>
          </w:p>
        </w:tc>
        <w:tc>
          <w:tcPr>
            <w:tcW w:w="0" w:type="auto"/>
            <w:vAlign w:val="center"/>
            <w:hideMark/>
          </w:tcPr>
          <w:p w14:paraId="45E3CD29" w14:textId="77777777" w:rsidR="00A937B2" w:rsidRPr="00A937B2" w:rsidRDefault="00A937B2" w:rsidP="00A937B2">
            <w:pPr>
              <w:spacing w:after="0"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78.5 ± 5.6*</w:t>
            </w:r>
          </w:p>
        </w:tc>
        <w:tc>
          <w:tcPr>
            <w:tcW w:w="0" w:type="auto"/>
            <w:vAlign w:val="center"/>
            <w:hideMark/>
          </w:tcPr>
          <w:p w14:paraId="4F427E2D" w14:textId="77777777" w:rsidR="00A937B2" w:rsidRPr="00A937B2" w:rsidRDefault="00A937B2" w:rsidP="00A937B2">
            <w:pPr>
              <w:spacing w:after="0"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40.3 ± 4.2#</w:t>
            </w:r>
          </w:p>
        </w:tc>
        <w:tc>
          <w:tcPr>
            <w:tcW w:w="0" w:type="auto"/>
            <w:vAlign w:val="center"/>
            <w:hideMark/>
          </w:tcPr>
          <w:p w14:paraId="44EF6DD9" w14:textId="77777777" w:rsidR="00A937B2" w:rsidRPr="00A937B2" w:rsidRDefault="00A937B2" w:rsidP="00A937B2">
            <w:pPr>
              <w:spacing w:after="0"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55.7 ± 5.0#</w:t>
            </w:r>
          </w:p>
        </w:tc>
        <w:tc>
          <w:tcPr>
            <w:tcW w:w="0" w:type="auto"/>
            <w:vAlign w:val="center"/>
            <w:hideMark/>
          </w:tcPr>
          <w:p w14:paraId="3055EE15" w14:textId="77777777" w:rsidR="00A937B2" w:rsidRPr="00A937B2" w:rsidRDefault="00A937B2" w:rsidP="00A937B2">
            <w:pPr>
              <w:spacing w:after="0"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38.9 ± 3.8#</w:t>
            </w:r>
          </w:p>
        </w:tc>
      </w:tr>
      <w:tr w:rsidR="00A937B2" w:rsidRPr="00A937B2" w14:paraId="65D9C432" w14:textId="77777777" w:rsidTr="00A937B2">
        <w:trPr>
          <w:tblCellSpacing w:w="15" w:type="dxa"/>
        </w:trPr>
        <w:tc>
          <w:tcPr>
            <w:tcW w:w="0" w:type="auto"/>
            <w:vAlign w:val="center"/>
            <w:hideMark/>
          </w:tcPr>
          <w:p w14:paraId="434D0CEA" w14:textId="77777777" w:rsidR="00A937B2" w:rsidRPr="00A937B2" w:rsidRDefault="00A937B2" w:rsidP="00A937B2">
            <w:pPr>
              <w:spacing w:after="0"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AST (U/L)</w:t>
            </w:r>
          </w:p>
        </w:tc>
        <w:tc>
          <w:tcPr>
            <w:tcW w:w="0" w:type="auto"/>
            <w:vAlign w:val="center"/>
            <w:hideMark/>
          </w:tcPr>
          <w:p w14:paraId="7DF55814" w14:textId="77777777" w:rsidR="00A937B2" w:rsidRPr="00A937B2" w:rsidRDefault="00A937B2" w:rsidP="00A937B2">
            <w:pPr>
              <w:spacing w:after="0"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42.7 ± 4.0</w:t>
            </w:r>
          </w:p>
        </w:tc>
        <w:tc>
          <w:tcPr>
            <w:tcW w:w="0" w:type="auto"/>
            <w:vAlign w:val="center"/>
            <w:hideMark/>
          </w:tcPr>
          <w:p w14:paraId="4840E6C2" w14:textId="77777777" w:rsidR="00A937B2" w:rsidRPr="00A937B2" w:rsidRDefault="00A937B2" w:rsidP="00A937B2">
            <w:pPr>
              <w:spacing w:after="0"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90.2 ± 7.4*</w:t>
            </w:r>
          </w:p>
        </w:tc>
        <w:tc>
          <w:tcPr>
            <w:tcW w:w="0" w:type="auto"/>
            <w:vAlign w:val="center"/>
            <w:hideMark/>
          </w:tcPr>
          <w:p w14:paraId="7CE1851A" w14:textId="77777777" w:rsidR="00A937B2" w:rsidRPr="00A937B2" w:rsidRDefault="00A937B2" w:rsidP="00A937B2">
            <w:pPr>
              <w:spacing w:after="0"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44.9 ± 3.9#</w:t>
            </w:r>
          </w:p>
        </w:tc>
        <w:tc>
          <w:tcPr>
            <w:tcW w:w="0" w:type="auto"/>
            <w:vAlign w:val="center"/>
            <w:hideMark/>
          </w:tcPr>
          <w:p w14:paraId="72BC3479" w14:textId="77777777" w:rsidR="00A937B2" w:rsidRPr="00A937B2" w:rsidRDefault="00A937B2" w:rsidP="00A937B2">
            <w:pPr>
              <w:spacing w:after="0"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62.1 ± 5.5#</w:t>
            </w:r>
          </w:p>
        </w:tc>
        <w:tc>
          <w:tcPr>
            <w:tcW w:w="0" w:type="auto"/>
            <w:vAlign w:val="center"/>
            <w:hideMark/>
          </w:tcPr>
          <w:p w14:paraId="3935F3E1" w14:textId="77777777" w:rsidR="00A937B2" w:rsidRPr="00A937B2" w:rsidRDefault="00A937B2" w:rsidP="00A937B2">
            <w:pPr>
              <w:spacing w:after="0"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41.5 ± 3.6#</w:t>
            </w:r>
          </w:p>
        </w:tc>
      </w:tr>
      <w:tr w:rsidR="00A937B2" w:rsidRPr="00A937B2" w14:paraId="243073ED" w14:textId="77777777" w:rsidTr="00A937B2">
        <w:trPr>
          <w:tblCellSpacing w:w="15" w:type="dxa"/>
        </w:trPr>
        <w:tc>
          <w:tcPr>
            <w:tcW w:w="0" w:type="auto"/>
            <w:vAlign w:val="center"/>
            <w:hideMark/>
          </w:tcPr>
          <w:p w14:paraId="6E489A9D" w14:textId="77777777" w:rsidR="00A937B2" w:rsidRPr="00A937B2" w:rsidRDefault="00A937B2" w:rsidP="00A937B2">
            <w:pPr>
              <w:spacing w:after="0"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ALP (U/L)</w:t>
            </w:r>
          </w:p>
        </w:tc>
        <w:tc>
          <w:tcPr>
            <w:tcW w:w="0" w:type="auto"/>
            <w:vAlign w:val="center"/>
            <w:hideMark/>
          </w:tcPr>
          <w:p w14:paraId="72605AD0" w14:textId="77777777" w:rsidR="00A937B2" w:rsidRPr="00A937B2" w:rsidRDefault="00A937B2" w:rsidP="00A937B2">
            <w:pPr>
              <w:spacing w:after="0"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90.3 ± 6.8</w:t>
            </w:r>
          </w:p>
        </w:tc>
        <w:tc>
          <w:tcPr>
            <w:tcW w:w="0" w:type="auto"/>
            <w:vAlign w:val="center"/>
            <w:hideMark/>
          </w:tcPr>
          <w:p w14:paraId="7588DF69" w14:textId="77777777" w:rsidR="00A937B2" w:rsidRPr="00A937B2" w:rsidRDefault="00A937B2" w:rsidP="00A937B2">
            <w:pPr>
              <w:spacing w:after="0"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145.6 ± 9.8*</w:t>
            </w:r>
          </w:p>
        </w:tc>
        <w:tc>
          <w:tcPr>
            <w:tcW w:w="0" w:type="auto"/>
            <w:vAlign w:val="center"/>
            <w:hideMark/>
          </w:tcPr>
          <w:p w14:paraId="1EEFB71B" w14:textId="77777777" w:rsidR="00A937B2" w:rsidRPr="00A937B2" w:rsidRDefault="00A937B2" w:rsidP="00A937B2">
            <w:pPr>
              <w:spacing w:after="0"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98.5 ± 7.1#</w:t>
            </w:r>
          </w:p>
        </w:tc>
        <w:tc>
          <w:tcPr>
            <w:tcW w:w="0" w:type="auto"/>
            <w:vAlign w:val="center"/>
            <w:hideMark/>
          </w:tcPr>
          <w:p w14:paraId="6D50594D" w14:textId="77777777" w:rsidR="00A937B2" w:rsidRPr="00A937B2" w:rsidRDefault="00A937B2" w:rsidP="00A937B2">
            <w:pPr>
              <w:spacing w:after="0"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120.3 ± 8.4#</w:t>
            </w:r>
          </w:p>
        </w:tc>
        <w:tc>
          <w:tcPr>
            <w:tcW w:w="0" w:type="auto"/>
            <w:vAlign w:val="center"/>
            <w:hideMark/>
          </w:tcPr>
          <w:p w14:paraId="3E7EDEA7" w14:textId="77777777" w:rsidR="00A937B2" w:rsidRPr="00A937B2" w:rsidRDefault="00A937B2" w:rsidP="00A937B2">
            <w:pPr>
              <w:spacing w:after="0"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94.7 ± 6.7#</w:t>
            </w:r>
          </w:p>
        </w:tc>
      </w:tr>
      <w:tr w:rsidR="00A937B2" w:rsidRPr="00A937B2" w14:paraId="2DDEA683" w14:textId="77777777" w:rsidTr="00A937B2">
        <w:trPr>
          <w:tblCellSpacing w:w="15" w:type="dxa"/>
        </w:trPr>
        <w:tc>
          <w:tcPr>
            <w:tcW w:w="0" w:type="auto"/>
            <w:vAlign w:val="center"/>
            <w:hideMark/>
          </w:tcPr>
          <w:p w14:paraId="71DC1AF8" w14:textId="77777777" w:rsidR="00A937B2" w:rsidRPr="00A937B2" w:rsidRDefault="00A937B2" w:rsidP="00A937B2">
            <w:pPr>
              <w:spacing w:after="0"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Total Bilirubin (mg/dL)</w:t>
            </w:r>
          </w:p>
        </w:tc>
        <w:tc>
          <w:tcPr>
            <w:tcW w:w="0" w:type="auto"/>
            <w:vAlign w:val="center"/>
            <w:hideMark/>
          </w:tcPr>
          <w:p w14:paraId="24038E10" w14:textId="77777777" w:rsidR="00A937B2" w:rsidRPr="00A937B2" w:rsidRDefault="00A937B2" w:rsidP="00A937B2">
            <w:pPr>
              <w:spacing w:after="0"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0.9 ± 0.1</w:t>
            </w:r>
          </w:p>
        </w:tc>
        <w:tc>
          <w:tcPr>
            <w:tcW w:w="0" w:type="auto"/>
            <w:vAlign w:val="center"/>
            <w:hideMark/>
          </w:tcPr>
          <w:p w14:paraId="376DB9EE" w14:textId="77777777" w:rsidR="00A937B2" w:rsidRPr="00A937B2" w:rsidRDefault="00A937B2" w:rsidP="00A937B2">
            <w:pPr>
              <w:spacing w:after="0"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2.2 ± 0.3*</w:t>
            </w:r>
          </w:p>
        </w:tc>
        <w:tc>
          <w:tcPr>
            <w:tcW w:w="0" w:type="auto"/>
            <w:vAlign w:val="center"/>
            <w:hideMark/>
          </w:tcPr>
          <w:p w14:paraId="0782A932" w14:textId="77777777" w:rsidR="00A937B2" w:rsidRPr="00A937B2" w:rsidRDefault="00A937B2" w:rsidP="00A937B2">
            <w:pPr>
              <w:spacing w:after="0"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1.1 ± 0.2#</w:t>
            </w:r>
          </w:p>
        </w:tc>
        <w:tc>
          <w:tcPr>
            <w:tcW w:w="0" w:type="auto"/>
            <w:vAlign w:val="center"/>
            <w:hideMark/>
          </w:tcPr>
          <w:p w14:paraId="3AA18C73" w14:textId="77777777" w:rsidR="00A937B2" w:rsidRPr="00A937B2" w:rsidRDefault="00A937B2" w:rsidP="00A937B2">
            <w:pPr>
              <w:spacing w:after="0"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1.6 ± 0.2#</w:t>
            </w:r>
          </w:p>
        </w:tc>
        <w:tc>
          <w:tcPr>
            <w:tcW w:w="0" w:type="auto"/>
            <w:vAlign w:val="center"/>
            <w:hideMark/>
          </w:tcPr>
          <w:p w14:paraId="6295F4D6" w14:textId="77777777" w:rsidR="00A937B2" w:rsidRPr="00A937B2" w:rsidRDefault="00A937B2" w:rsidP="00A937B2">
            <w:pPr>
              <w:spacing w:after="0"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1.0 ± 0.1#</w:t>
            </w:r>
          </w:p>
        </w:tc>
      </w:tr>
    </w:tbl>
    <w:p w14:paraId="02E9DC69" w14:textId="49B4E7AD" w:rsidR="00A937B2" w:rsidRPr="00A937B2" w:rsidRDefault="00A937B2" w:rsidP="00A937B2">
      <w:pPr>
        <w:spacing w:before="100" w:beforeAutospacing="1" w:after="100" w:afterAutospacing="1"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 xml:space="preserve">*Significantly different from Control, </w:t>
      </w:r>
      <w:r w:rsidRPr="00A937B2">
        <w:rPr>
          <w:rFonts w:ascii="Times New Roman" w:eastAsia="Times New Roman" w:hAnsi="Times New Roman" w:cs="Times New Roman"/>
          <w:i/>
          <w:iCs/>
          <w:kern w:val="0"/>
          <w14:ligatures w14:val="none"/>
        </w:rPr>
        <w:t>p</w:t>
      </w:r>
      <w:r w:rsidRPr="00A937B2">
        <w:rPr>
          <w:rFonts w:ascii="Times New Roman" w:eastAsia="Times New Roman" w:hAnsi="Times New Roman" w:cs="Times New Roman"/>
          <w:kern w:val="0"/>
          <w14:ligatures w14:val="none"/>
        </w:rPr>
        <w:t xml:space="preserve"> &lt; 0.05</w:t>
      </w:r>
      <w:r w:rsidRPr="00A937B2">
        <w:rPr>
          <w:rFonts w:ascii="Times New Roman" w:eastAsia="Times New Roman" w:hAnsi="Times New Roman" w:cs="Times New Roman"/>
          <w:kern w:val="0"/>
          <w14:ligatures w14:val="none"/>
        </w:rPr>
        <w:br/>
        <w:t xml:space="preserve">#Significantly different from Protein-Deficient, </w:t>
      </w:r>
      <w:r w:rsidRPr="00A937B2">
        <w:rPr>
          <w:rFonts w:ascii="Times New Roman" w:eastAsia="Times New Roman" w:hAnsi="Times New Roman" w:cs="Times New Roman"/>
          <w:i/>
          <w:iCs/>
          <w:kern w:val="0"/>
          <w14:ligatures w14:val="none"/>
        </w:rPr>
        <w:t>p</w:t>
      </w:r>
      <w:r w:rsidRPr="00A937B2">
        <w:rPr>
          <w:rFonts w:ascii="Times New Roman" w:eastAsia="Times New Roman" w:hAnsi="Times New Roman" w:cs="Times New Roman"/>
          <w:kern w:val="0"/>
          <w14:ligatures w14:val="none"/>
        </w:rPr>
        <w:t xml:space="preserve"> &lt; 0.05</w:t>
      </w:r>
    </w:p>
    <w:p w14:paraId="60B94F8E" w14:textId="77777777" w:rsidR="00A937B2" w:rsidRPr="00A937B2" w:rsidRDefault="00A937B2" w:rsidP="00A937B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937B2">
        <w:rPr>
          <w:rFonts w:ascii="Times New Roman" w:eastAsia="Times New Roman" w:hAnsi="Times New Roman" w:cs="Times New Roman"/>
          <w:b/>
          <w:bCs/>
          <w:kern w:val="0"/>
          <w:sz w:val="27"/>
          <w:szCs w:val="27"/>
          <w14:ligatures w14:val="none"/>
        </w:rPr>
        <w:t>Hematological Parameters</w:t>
      </w:r>
    </w:p>
    <w:p w14:paraId="402DE942" w14:textId="77777777" w:rsidR="00A937B2" w:rsidRPr="00A937B2" w:rsidRDefault="00A937B2" w:rsidP="00A937B2">
      <w:pPr>
        <w:spacing w:before="100" w:beforeAutospacing="1" w:after="100" w:afterAutospacing="1"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lastRenderedPageBreak/>
        <w:t>Protein deficiency significantly reduced Hb, RBC, WBC, and platelet counts compared to control (</w:t>
      </w:r>
      <w:r w:rsidRPr="00A937B2">
        <w:rPr>
          <w:rFonts w:ascii="Times New Roman" w:eastAsia="Times New Roman" w:hAnsi="Times New Roman" w:cs="Times New Roman"/>
          <w:i/>
          <w:iCs/>
          <w:kern w:val="0"/>
          <w14:ligatures w14:val="none"/>
        </w:rPr>
        <w:t>p</w:t>
      </w:r>
      <w:r w:rsidRPr="00A937B2">
        <w:rPr>
          <w:rFonts w:ascii="Times New Roman" w:eastAsia="Times New Roman" w:hAnsi="Times New Roman" w:cs="Times New Roman"/>
          <w:kern w:val="0"/>
          <w14:ligatures w14:val="none"/>
        </w:rPr>
        <w:t xml:space="preserve"> &lt; 0.05). While </w:t>
      </w:r>
      <w:r w:rsidRPr="00A937B2">
        <w:rPr>
          <w:rFonts w:ascii="Times New Roman" w:eastAsia="Times New Roman" w:hAnsi="Times New Roman" w:cs="Times New Roman"/>
          <w:i/>
          <w:iCs/>
          <w:kern w:val="0"/>
          <w14:ligatures w14:val="none"/>
        </w:rPr>
        <w:t>Moringa oleifera</w:t>
      </w:r>
      <w:r w:rsidRPr="00A937B2">
        <w:rPr>
          <w:rFonts w:ascii="Times New Roman" w:eastAsia="Times New Roman" w:hAnsi="Times New Roman" w:cs="Times New Roman"/>
          <w:kern w:val="0"/>
          <w14:ligatures w14:val="none"/>
        </w:rPr>
        <w:t xml:space="preserve"> treatment yielded moderate improvements, </w:t>
      </w:r>
      <w:proofErr w:type="spellStart"/>
      <w:r w:rsidRPr="00A937B2">
        <w:rPr>
          <w:rFonts w:ascii="Times New Roman" w:eastAsia="Times New Roman" w:hAnsi="Times New Roman" w:cs="Times New Roman"/>
          <w:i/>
          <w:iCs/>
          <w:kern w:val="0"/>
          <w14:ligatures w14:val="none"/>
        </w:rPr>
        <w:t>Gongronema</w:t>
      </w:r>
      <w:proofErr w:type="spellEnd"/>
      <w:r w:rsidRPr="00A937B2">
        <w:rPr>
          <w:rFonts w:ascii="Times New Roman" w:eastAsia="Times New Roman" w:hAnsi="Times New Roman" w:cs="Times New Roman"/>
          <w:i/>
          <w:iCs/>
          <w:kern w:val="0"/>
          <w14:ligatures w14:val="none"/>
        </w:rPr>
        <w:t xml:space="preserve"> </w:t>
      </w:r>
      <w:proofErr w:type="spellStart"/>
      <w:r w:rsidRPr="00A937B2">
        <w:rPr>
          <w:rFonts w:ascii="Times New Roman" w:eastAsia="Times New Roman" w:hAnsi="Times New Roman" w:cs="Times New Roman"/>
          <w:i/>
          <w:iCs/>
          <w:kern w:val="0"/>
          <w14:ligatures w14:val="none"/>
        </w:rPr>
        <w:t>latifolium</w:t>
      </w:r>
      <w:proofErr w:type="spellEnd"/>
      <w:r w:rsidRPr="00A937B2">
        <w:rPr>
          <w:rFonts w:ascii="Times New Roman" w:eastAsia="Times New Roman" w:hAnsi="Times New Roman" w:cs="Times New Roman"/>
          <w:kern w:val="0"/>
          <w14:ligatures w14:val="none"/>
        </w:rPr>
        <w:t xml:space="preserve"> significantly improved all hematological indices (</w:t>
      </w:r>
      <w:r w:rsidRPr="00A937B2">
        <w:rPr>
          <w:rFonts w:ascii="Times New Roman" w:eastAsia="Times New Roman" w:hAnsi="Times New Roman" w:cs="Times New Roman"/>
          <w:i/>
          <w:iCs/>
          <w:kern w:val="0"/>
          <w14:ligatures w14:val="none"/>
        </w:rPr>
        <w:t>p</w:t>
      </w:r>
      <w:r w:rsidRPr="00A937B2">
        <w:rPr>
          <w:rFonts w:ascii="Times New Roman" w:eastAsia="Times New Roman" w:hAnsi="Times New Roman" w:cs="Times New Roman"/>
          <w:kern w:val="0"/>
          <w14:ligatures w14:val="none"/>
        </w:rPr>
        <w:t xml:space="preserve"> &lt; 0.05). The combined extract group showed the greatest enhancement across all parameters, approaching normal control values (Table 2).</w:t>
      </w:r>
    </w:p>
    <w:p w14:paraId="3C5A5E52" w14:textId="77777777" w:rsidR="00A937B2" w:rsidRPr="00A937B2" w:rsidRDefault="00A937B2" w:rsidP="00A937B2">
      <w:pPr>
        <w:spacing w:beforeAutospacing="1" w:after="100" w:afterAutospacing="1"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b/>
          <w:bCs/>
          <w:kern w:val="0"/>
          <w14:ligatures w14:val="none"/>
        </w:rPr>
        <w:t>Table 2.</w:t>
      </w:r>
      <w:r w:rsidRPr="00A937B2">
        <w:rPr>
          <w:rFonts w:ascii="Times New Roman" w:eastAsia="Times New Roman" w:hAnsi="Times New Roman" w:cs="Times New Roman"/>
          <w:kern w:val="0"/>
          <w14:ligatures w14:val="none"/>
        </w:rPr>
        <w:t xml:space="preserve"> Hematological Indices (Mean ± SD, </w:t>
      </w:r>
      <w:r w:rsidRPr="00A937B2">
        <w:rPr>
          <w:rFonts w:ascii="Times New Roman" w:eastAsia="Times New Roman" w:hAnsi="Times New Roman" w:cs="Times New Roman"/>
          <w:i/>
          <w:iCs/>
          <w:kern w:val="0"/>
          <w14:ligatures w14:val="none"/>
        </w:rPr>
        <w:t>n</w:t>
      </w:r>
      <w:r w:rsidRPr="00A937B2">
        <w:rPr>
          <w:rFonts w:ascii="Times New Roman" w:eastAsia="Times New Roman" w:hAnsi="Times New Roman" w:cs="Times New Roman"/>
          <w:kern w:val="0"/>
          <w14:ligatures w14:val="none"/>
        </w:rPr>
        <w:t xml:space="preserve"> = 6)</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19"/>
        <w:gridCol w:w="1025"/>
        <w:gridCol w:w="1784"/>
        <w:gridCol w:w="1149"/>
        <w:gridCol w:w="1544"/>
        <w:gridCol w:w="1939"/>
      </w:tblGrid>
      <w:tr w:rsidR="00A937B2" w:rsidRPr="00A937B2" w14:paraId="024D178A" w14:textId="77777777" w:rsidTr="00A937B2">
        <w:trPr>
          <w:tblHeader/>
          <w:tblCellSpacing w:w="15" w:type="dxa"/>
        </w:trPr>
        <w:tc>
          <w:tcPr>
            <w:tcW w:w="0" w:type="auto"/>
            <w:vAlign w:val="center"/>
            <w:hideMark/>
          </w:tcPr>
          <w:p w14:paraId="71E1455B" w14:textId="77777777" w:rsidR="00A937B2" w:rsidRPr="00A937B2" w:rsidRDefault="00A937B2" w:rsidP="00A937B2">
            <w:pPr>
              <w:spacing w:after="0" w:line="240" w:lineRule="auto"/>
              <w:jc w:val="center"/>
              <w:rPr>
                <w:rFonts w:ascii="Times New Roman" w:eastAsia="Times New Roman" w:hAnsi="Times New Roman" w:cs="Times New Roman"/>
                <w:b/>
                <w:bCs/>
                <w:kern w:val="0"/>
                <w14:ligatures w14:val="none"/>
              </w:rPr>
            </w:pPr>
            <w:r w:rsidRPr="00A937B2">
              <w:rPr>
                <w:rFonts w:ascii="Times New Roman" w:eastAsia="Times New Roman" w:hAnsi="Times New Roman" w:cs="Times New Roman"/>
                <w:b/>
                <w:bCs/>
                <w:kern w:val="0"/>
                <w14:ligatures w14:val="none"/>
              </w:rPr>
              <w:t>Parameter</w:t>
            </w:r>
          </w:p>
        </w:tc>
        <w:tc>
          <w:tcPr>
            <w:tcW w:w="0" w:type="auto"/>
            <w:vAlign w:val="center"/>
            <w:hideMark/>
          </w:tcPr>
          <w:p w14:paraId="6A2E9E88" w14:textId="77777777" w:rsidR="00A937B2" w:rsidRPr="00A937B2" w:rsidRDefault="00A937B2" w:rsidP="00A937B2">
            <w:pPr>
              <w:spacing w:after="0" w:line="240" w:lineRule="auto"/>
              <w:jc w:val="center"/>
              <w:rPr>
                <w:rFonts w:ascii="Times New Roman" w:eastAsia="Times New Roman" w:hAnsi="Times New Roman" w:cs="Times New Roman"/>
                <w:b/>
                <w:bCs/>
                <w:kern w:val="0"/>
                <w14:ligatures w14:val="none"/>
              </w:rPr>
            </w:pPr>
            <w:r w:rsidRPr="00A937B2">
              <w:rPr>
                <w:rFonts w:ascii="Times New Roman" w:eastAsia="Times New Roman" w:hAnsi="Times New Roman" w:cs="Times New Roman"/>
                <w:b/>
                <w:bCs/>
                <w:kern w:val="0"/>
                <w14:ligatures w14:val="none"/>
              </w:rPr>
              <w:t>Control</w:t>
            </w:r>
          </w:p>
        </w:tc>
        <w:tc>
          <w:tcPr>
            <w:tcW w:w="0" w:type="auto"/>
            <w:vAlign w:val="center"/>
            <w:hideMark/>
          </w:tcPr>
          <w:p w14:paraId="1984A598" w14:textId="77777777" w:rsidR="00A937B2" w:rsidRPr="00A937B2" w:rsidRDefault="00A937B2" w:rsidP="00A937B2">
            <w:pPr>
              <w:spacing w:after="0" w:line="240" w:lineRule="auto"/>
              <w:jc w:val="center"/>
              <w:rPr>
                <w:rFonts w:ascii="Times New Roman" w:eastAsia="Times New Roman" w:hAnsi="Times New Roman" w:cs="Times New Roman"/>
                <w:b/>
                <w:bCs/>
                <w:kern w:val="0"/>
                <w14:ligatures w14:val="none"/>
              </w:rPr>
            </w:pPr>
            <w:r w:rsidRPr="00A937B2">
              <w:rPr>
                <w:rFonts w:ascii="Times New Roman" w:eastAsia="Times New Roman" w:hAnsi="Times New Roman" w:cs="Times New Roman"/>
                <w:b/>
                <w:bCs/>
                <w:kern w:val="0"/>
                <w14:ligatures w14:val="none"/>
              </w:rPr>
              <w:t>Protein-Deficient</w:t>
            </w:r>
          </w:p>
        </w:tc>
        <w:tc>
          <w:tcPr>
            <w:tcW w:w="0" w:type="auto"/>
            <w:vAlign w:val="center"/>
            <w:hideMark/>
          </w:tcPr>
          <w:p w14:paraId="10D17810" w14:textId="77777777" w:rsidR="00A937B2" w:rsidRPr="00A937B2" w:rsidRDefault="00A937B2" w:rsidP="00A937B2">
            <w:pPr>
              <w:spacing w:after="0" w:line="240" w:lineRule="auto"/>
              <w:jc w:val="center"/>
              <w:rPr>
                <w:rFonts w:ascii="Times New Roman" w:eastAsia="Times New Roman" w:hAnsi="Times New Roman" w:cs="Times New Roman"/>
                <w:b/>
                <w:bCs/>
                <w:kern w:val="0"/>
                <w14:ligatures w14:val="none"/>
              </w:rPr>
            </w:pPr>
            <w:r w:rsidRPr="00A937B2">
              <w:rPr>
                <w:rFonts w:ascii="Times New Roman" w:eastAsia="Times New Roman" w:hAnsi="Times New Roman" w:cs="Times New Roman"/>
                <w:b/>
                <w:bCs/>
                <w:kern w:val="0"/>
                <w14:ligatures w14:val="none"/>
              </w:rPr>
              <w:t>+Moringa</w:t>
            </w:r>
          </w:p>
        </w:tc>
        <w:tc>
          <w:tcPr>
            <w:tcW w:w="0" w:type="auto"/>
            <w:vAlign w:val="center"/>
            <w:hideMark/>
          </w:tcPr>
          <w:p w14:paraId="4EF7A7FF" w14:textId="77777777" w:rsidR="00A937B2" w:rsidRPr="00A937B2" w:rsidRDefault="00A937B2" w:rsidP="00A937B2">
            <w:pPr>
              <w:spacing w:after="0" w:line="240" w:lineRule="auto"/>
              <w:jc w:val="center"/>
              <w:rPr>
                <w:rFonts w:ascii="Times New Roman" w:eastAsia="Times New Roman" w:hAnsi="Times New Roman" w:cs="Times New Roman"/>
                <w:b/>
                <w:bCs/>
                <w:kern w:val="0"/>
                <w14:ligatures w14:val="none"/>
              </w:rPr>
            </w:pPr>
            <w:r w:rsidRPr="00A937B2">
              <w:rPr>
                <w:rFonts w:ascii="Times New Roman" w:eastAsia="Times New Roman" w:hAnsi="Times New Roman" w:cs="Times New Roman"/>
                <w:b/>
                <w:bCs/>
                <w:kern w:val="0"/>
                <w14:ligatures w14:val="none"/>
              </w:rPr>
              <w:t>+</w:t>
            </w:r>
            <w:proofErr w:type="spellStart"/>
            <w:r w:rsidRPr="00A937B2">
              <w:rPr>
                <w:rFonts w:ascii="Times New Roman" w:eastAsia="Times New Roman" w:hAnsi="Times New Roman" w:cs="Times New Roman"/>
                <w:b/>
                <w:bCs/>
                <w:kern w:val="0"/>
                <w14:ligatures w14:val="none"/>
              </w:rPr>
              <w:t>Gongronema</w:t>
            </w:r>
            <w:proofErr w:type="spellEnd"/>
          </w:p>
        </w:tc>
        <w:tc>
          <w:tcPr>
            <w:tcW w:w="0" w:type="auto"/>
            <w:vAlign w:val="center"/>
            <w:hideMark/>
          </w:tcPr>
          <w:p w14:paraId="0DF4C598" w14:textId="77777777" w:rsidR="00A937B2" w:rsidRPr="00A937B2" w:rsidRDefault="00A937B2" w:rsidP="00A937B2">
            <w:pPr>
              <w:spacing w:after="0" w:line="240" w:lineRule="auto"/>
              <w:jc w:val="center"/>
              <w:rPr>
                <w:rFonts w:ascii="Times New Roman" w:eastAsia="Times New Roman" w:hAnsi="Times New Roman" w:cs="Times New Roman"/>
                <w:b/>
                <w:bCs/>
                <w:kern w:val="0"/>
                <w14:ligatures w14:val="none"/>
              </w:rPr>
            </w:pPr>
            <w:r w:rsidRPr="00A937B2">
              <w:rPr>
                <w:rFonts w:ascii="Times New Roman" w:eastAsia="Times New Roman" w:hAnsi="Times New Roman" w:cs="Times New Roman"/>
                <w:b/>
                <w:bCs/>
                <w:kern w:val="0"/>
                <w14:ligatures w14:val="none"/>
              </w:rPr>
              <w:t>Combined Extract</w:t>
            </w:r>
          </w:p>
        </w:tc>
      </w:tr>
      <w:tr w:rsidR="00A937B2" w:rsidRPr="00A937B2" w14:paraId="726D1123" w14:textId="77777777" w:rsidTr="00A937B2">
        <w:trPr>
          <w:tblCellSpacing w:w="15" w:type="dxa"/>
        </w:trPr>
        <w:tc>
          <w:tcPr>
            <w:tcW w:w="0" w:type="auto"/>
            <w:vAlign w:val="center"/>
            <w:hideMark/>
          </w:tcPr>
          <w:p w14:paraId="628CA8E7" w14:textId="77777777" w:rsidR="00A937B2" w:rsidRPr="00A937B2" w:rsidRDefault="00A937B2" w:rsidP="00A937B2">
            <w:pPr>
              <w:spacing w:after="0"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Hemoglobin (g/dL)</w:t>
            </w:r>
          </w:p>
        </w:tc>
        <w:tc>
          <w:tcPr>
            <w:tcW w:w="0" w:type="auto"/>
            <w:vAlign w:val="center"/>
            <w:hideMark/>
          </w:tcPr>
          <w:p w14:paraId="4938805C" w14:textId="77777777" w:rsidR="00A937B2" w:rsidRPr="00A937B2" w:rsidRDefault="00A937B2" w:rsidP="00A937B2">
            <w:pPr>
              <w:spacing w:after="0"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14.6 ± 0.7</w:t>
            </w:r>
          </w:p>
        </w:tc>
        <w:tc>
          <w:tcPr>
            <w:tcW w:w="0" w:type="auto"/>
            <w:vAlign w:val="center"/>
            <w:hideMark/>
          </w:tcPr>
          <w:p w14:paraId="17A11D1F" w14:textId="77777777" w:rsidR="00A937B2" w:rsidRPr="00A937B2" w:rsidRDefault="00A937B2" w:rsidP="00A937B2">
            <w:pPr>
              <w:spacing w:after="0"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9.0 ± 0.6*</w:t>
            </w:r>
          </w:p>
        </w:tc>
        <w:tc>
          <w:tcPr>
            <w:tcW w:w="0" w:type="auto"/>
            <w:vAlign w:val="center"/>
            <w:hideMark/>
          </w:tcPr>
          <w:p w14:paraId="1AE6DD9E" w14:textId="77777777" w:rsidR="00A937B2" w:rsidRPr="00A937B2" w:rsidRDefault="00A937B2" w:rsidP="00A937B2">
            <w:pPr>
              <w:spacing w:after="0"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11.2 ± 0.7#</w:t>
            </w:r>
          </w:p>
        </w:tc>
        <w:tc>
          <w:tcPr>
            <w:tcW w:w="0" w:type="auto"/>
            <w:vAlign w:val="center"/>
            <w:hideMark/>
          </w:tcPr>
          <w:p w14:paraId="25D0C872" w14:textId="77777777" w:rsidR="00A937B2" w:rsidRPr="00A937B2" w:rsidRDefault="00A937B2" w:rsidP="00A937B2">
            <w:pPr>
              <w:spacing w:after="0"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12.9 ± 0.8#</w:t>
            </w:r>
          </w:p>
        </w:tc>
        <w:tc>
          <w:tcPr>
            <w:tcW w:w="0" w:type="auto"/>
            <w:vAlign w:val="center"/>
            <w:hideMark/>
          </w:tcPr>
          <w:p w14:paraId="55A69348" w14:textId="77777777" w:rsidR="00A937B2" w:rsidRPr="00A937B2" w:rsidRDefault="00A937B2" w:rsidP="00A937B2">
            <w:pPr>
              <w:spacing w:after="0"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13.5 ± 0.6#</w:t>
            </w:r>
          </w:p>
        </w:tc>
      </w:tr>
      <w:tr w:rsidR="00A937B2" w:rsidRPr="00A937B2" w14:paraId="44CC2905" w14:textId="77777777" w:rsidTr="00A937B2">
        <w:trPr>
          <w:tblCellSpacing w:w="15" w:type="dxa"/>
        </w:trPr>
        <w:tc>
          <w:tcPr>
            <w:tcW w:w="0" w:type="auto"/>
            <w:vAlign w:val="center"/>
            <w:hideMark/>
          </w:tcPr>
          <w:p w14:paraId="5D375FB4" w14:textId="77777777" w:rsidR="00A937B2" w:rsidRPr="00A937B2" w:rsidRDefault="00A937B2" w:rsidP="00A937B2">
            <w:pPr>
              <w:spacing w:after="0"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RBC (×10⁶/µL)</w:t>
            </w:r>
          </w:p>
        </w:tc>
        <w:tc>
          <w:tcPr>
            <w:tcW w:w="0" w:type="auto"/>
            <w:vAlign w:val="center"/>
            <w:hideMark/>
          </w:tcPr>
          <w:p w14:paraId="305F5D20" w14:textId="77777777" w:rsidR="00A937B2" w:rsidRPr="00A937B2" w:rsidRDefault="00A937B2" w:rsidP="00A937B2">
            <w:pPr>
              <w:spacing w:after="0"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7.9 ± 0.5</w:t>
            </w:r>
          </w:p>
        </w:tc>
        <w:tc>
          <w:tcPr>
            <w:tcW w:w="0" w:type="auto"/>
            <w:vAlign w:val="center"/>
            <w:hideMark/>
          </w:tcPr>
          <w:p w14:paraId="55845B35" w14:textId="77777777" w:rsidR="00A937B2" w:rsidRPr="00A937B2" w:rsidRDefault="00A937B2" w:rsidP="00A937B2">
            <w:pPr>
              <w:spacing w:after="0"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5.0 ± 0.4*</w:t>
            </w:r>
          </w:p>
        </w:tc>
        <w:tc>
          <w:tcPr>
            <w:tcW w:w="0" w:type="auto"/>
            <w:vAlign w:val="center"/>
            <w:hideMark/>
          </w:tcPr>
          <w:p w14:paraId="51ABDE23" w14:textId="77777777" w:rsidR="00A937B2" w:rsidRPr="00A937B2" w:rsidRDefault="00A937B2" w:rsidP="00A937B2">
            <w:pPr>
              <w:spacing w:after="0"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6.0 ± 0.5#</w:t>
            </w:r>
          </w:p>
        </w:tc>
        <w:tc>
          <w:tcPr>
            <w:tcW w:w="0" w:type="auto"/>
            <w:vAlign w:val="center"/>
            <w:hideMark/>
          </w:tcPr>
          <w:p w14:paraId="4975D568" w14:textId="77777777" w:rsidR="00A937B2" w:rsidRPr="00A937B2" w:rsidRDefault="00A937B2" w:rsidP="00A937B2">
            <w:pPr>
              <w:spacing w:after="0"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7.1 ± 0.4#</w:t>
            </w:r>
          </w:p>
        </w:tc>
        <w:tc>
          <w:tcPr>
            <w:tcW w:w="0" w:type="auto"/>
            <w:vAlign w:val="center"/>
            <w:hideMark/>
          </w:tcPr>
          <w:p w14:paraId="4888D7D0" w14:textId="77777777" w:rsidR="00A937B2" w:rsidRPr="00A937B2" w:rsidRDefault="00A937B2" w:rsidP="00A937B2">
            <w:pPr>
              <w:spacing w:after="0"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7.4 ± 0.4#</w:t>
            </w:r>
          </w:p>
        </w:tc>
      </w:tr>
      <w:tr w:rsidR="00A937B2" w:rsidRPr="00A937B2" w14:paraId="67394D03" w14:textId="77777777" w:rsidTr="00A937B2">
        <w:trPr>
          <w:tblCellSpacing w:w="15" w:type="dxa"/>
        </w:trPr>
        <w:tc>
          <w:tcPr>
            <w:tcW w:w="0" w:type="auto"/>
            <w:vAlign w:val="center"/>
            <w:hideMark/>
          </w:tcPr>
          <w:p w14:paraId="674E7237" w14:textId="77777777" w:rsidR="00A937B2" w:rsidRPr="00A937B2" w:rsidRDefault="00A937B2" w:rsidP="00A937B2">
            <w:pPr>
              <w:spacing w:after="0"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WBC (×10³/µL)</w:t>
            </w:r>
          </w:p>
        </w:tc>
        <w:tc>
          <w:tcPr>
            <w:tcW w:w="0" w:type="auto"/>
            <w:vAlign w:val="center"/>
            <w:hideMark/>
          </w:tcPr>
          <w:p w14:paraId="47809A2C" w14:textId="77777777" w:rsidR="00A937B2" w:rsidRPr="00A937B2" w:rsidRDefault="00A937B2" w:rsidP="00A937B2">
            <w:pPr>
              <w:spacing w:after="0"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8.4 ± 0.6</w:t>
            </w:r>
          </w:p>
        </w:tc>
        <w:tc>
          <w:tcPr>
            <w:tcW w:w="0" w:type="auto"/>
            <w:vAlign w:val="center"/>
            <w:hideMark/>
          </w:tcPr>
          <w:p w14:paraId="2BA75CEE" w14:textId="77777777" w:rsidR="00A937B2" w:rsidRPr="00A937B2" w:rsidRDefault="00A937B2" w:rsidP="00A937B2">
            <w:pPr>
              <w:spacing w:after="0"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5.2 ± 0.5*</w:t>
            </w:r>
          </w:p>
        </w:tc>
        <w:tc>
          <w:tcPr>
            <w:tcW w:w="0" w:type="auto"/>
            <w:vAlign w:val="center"/>
            <w:hideMark/>
          </w:tcPr>
          <w:p w14:paraId="4EA4F339" w14:textId="77777777" w:rsidR="00A937B2" w:rsidRPr="00A937B2" w:rsidRDefault="00A937B2" w:rsidP="00A937B2">
            <w:pPr>
              <w:spacing w:after="0"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6.4 ± 0.6#</w:t>
            </w:r>
          </w:p>
        </w:tc>
        <w:tc>
          <w:tcPr>
            <w:tcW w:w="0" w:type="auto"/>
            <w:vAlign w:val="center"/>
            <w:hideMark/>
          </w:tcPr>
          <w:p w14:paraId="2913A69A" w14:textId="77777777" w:rsidR="00A937B2" w:rsidRPr="00A937B2" w:rsidRDefault="00A937B2" w:rsidP="00A937B2">
            <w:pPr>
              <w:spacing w:after="0"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7.8 ± 0.5#</w:t>
            </w:r>
          </w:p>
        </w:tc>
        <w:tc>
          <w:tcPr>
            <w:tcW w:w="0" w:type="auto"/>
            <w:vAlign w:val="center"/>
            <w:hideMark/>
          </w:tcPr>
          <w:p w14:paraId="71EB3410" w14:textId="77777777" w:rsidR="00A937B2" w:rsidRPr="00A937B2" w:rsidRDefault="00A937B2" w:rsidP="00A937B2">
            <w:pPr>
              <w:spacing w:after="0"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8.1 ± 0.5#</w:t>
            </w:r>
          </w:p>
        </w:tc>
      </w:tr>
      <w:tr w:rsidR="00A937B2" w:rsidRPr="00A937B2" w14:paraId="5B0240D0" w14:textId="77777777" w:rsidTr="00A937B2">
        <w:trPr>
          <w:tblCellSpacing w:w="15" w:type="dxa"/>
        </w:trPr>
        <w:tc>
          <w:tcPr>
            <w:tcW w:w="0" w:type="auto"/>
            <w:vAlign w:val="center"/>
            <w:hideMark/>
          </w:tcPr>
          <w:p w14:paraId="1C4C4808" w14:textId="77777777" w:rsidR="00A937B2" w:rsidRPr="00A937B2" w:rsidRDefault="00A937B2" w:rsidP="00A937B2">
            <w:pPr>
              <w:spacing w:after="0"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Platelet (×10³/µL)</w:t>
            </w:r>
          </w:p>
        </w:tc>
        <w:tc>
          <w:tcPr>
            <w:tcW w:w="0" w:type="auto"/>
            <w:vAlign w:val="center"/>
            <w:hideMark/>
          </w:tcPr>
          <w:p w14:paraId="35740983" w14:textId="77777777" w:rsidR="00A937B2" w:rsidRPr="00A937B2" w:rsidRDefault="00A937B2" w:rsidP="00A937B2">
            <w:pPr>
              <w:spacing w:after="0"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312 ± 21</w:t>
            </w:r>
          </w:p>
        </w:tc>
        <w:tc>
          <w:tcPr>
            <w:tcW w:w="0" w:type="auto"/>
            <w:vAlign w:val="center"/>
            <w:hideMark/>
          </w:tcPr>
          <w:p w14:paraId="3F9DBFAE" w14:textId="77777777" w:rsidR="00A937B2" w:rsidRPr="00A937B2" w:rsidRDefault="00A937B2" w:rsidP="00A937B2">
            <w:pPr>
              <w:spacing w:after="0"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208 ± 17*</w:t>
            </w:r>
          </w:p>
        </w:tc>
        <w:tc>
          <w:tcPr>
            <w:tcW w:w="0" w:type="auto"/>
            <w:vAlign w:val="center"/>
            <w:hideMark/>
          </w:tcPr>
          <w:p w14:paraId="21CF4EEE" w14:textId="77777777" w:rsidR="00A937B2" w:rsidRPr="00A937B2" w:rsidRDefault="00A937B2" w:rsidP="00A937B2">
            <w:pPr>
              <w:spacing w:after="0"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250 ± 19#</w:t>
            </w:r>
          </w:p>
        </w:tc>
        <w:tc>
          <w:tcPr>
            <w:tcW w:w="0" w:type="auto"/>
            <w:vAlign w:val="center"/>
            <w:hideMark/>
          </w:tcPr>
          <w:p w14:paraId="2913B656" w14:textId="77777777" w:rsidR="00A937B2" w:rsidRPr="00A937B2" w:rsidRDefault="00A937B2" w:rsidP="00A937B2">
            <w:pPr>
              <w:spacing w:after="0"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290 ± 20#</w:t>
            </w:r>
          </w:p>
        </w:tc>
        <w:tc>
          <w:tcPr>
            <w:tcW w:w="0" w:type="auto"/>
            <w:vAlign w:val="center"/>
            <w:hideMark/>
          </w:tcPr>
          <w:p w14:paraId="7446CBB8" w14:textId="77777777" w:rsidR="00A937B2" w:rsidRPr="00A937B2" w:rsidRDefault="00A937B2" w:rsidP="00A937B2">
            <w:pPr>
              <w:spacing w:after="0"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300 ± 22#</w:t>
            </w:r>
          </w:p>
        </w:tc>
      </w:tr>
    </w:tbl>
    <w:p w14:paraId="60ED9150" w14:textId="700387FC" w:rsidR="00A937B2" w:rsidRPr="00A937B2" w:rsidRDefault="00A937B2" w:rsidP="00A937B2">
      <w:pPr>
        <w:spacing w:before="100" w:beforeAutospacing="1" w:after="100" w:afterAutospacing="1"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 xml:space="preserve">*Significantly different from Control, </w:t>
      </w:r>
      <w:r w:rsidRPr="00A937B2">
        <w:rPr>
          <w:rFonts w:ascii="Times New Roman" w:eastAsia="Times New Roman" w:hAnsi="Times New Roman" w:cs="Times New Roman"/>
          <w:i/>
          <w:iCs/>
          <w:kern w:val="0"/>
          <w14:ligatures w14:val="none"/>
        </w:rPr>
        <w:t>p</w:t>
      </w:r>
      <w:r w:rsidRPr="00A937B2">
        <w:rPr>
          <w:rFonts w:ascii="Times New Roman" w:eastAsia="Times New Roman" w:hAnsi="Times New Roman" w:cs="Times New Roman"/>
          <w:kern w:val="0"/>
          <w14:ligatures w14:val="none"/>
        </w:rPr>
        <w:t xml:space="preserve"> &lt; 0.05</w:t>
      </w:r>
      <w:r w:rsidRPr="00A937B2">
        <w:rPr>
          <w:rFonts w:ascii="Times New Roman" w:eastAsia="Times New Roman" w:hAnsi="Times New Roman" w:cs="Times New Roman"/>
          <w:kern w:val="0"/>
          <w14:ligatures w14:val="none"/>
        </w:rPr>
        <w:br/>
        <w:t xml:space="preserve">#Significantly different from Protein-Deficient, </w:t>
      </w:r>
      <w:r w:rsidRPr="00A937B2">
        <w:rPr>
          <w:rFonts w:ascii="Times New Roman" w:eastAsia="Times New Roman" w:hAnsi="Times New Roman" w:cs="Times New Roman"/>
          <w:i/>
          <w:iCs/>
          <w:kern w:val="0"/>
          <w14:ligatures w14:val="none"/>
        </w:rPr>
        <w:t>p</w:t>
      </w:r>
      <w:r w:rsidRPr="00A937B2">
        <w:rPr>
          <w:rFonts w:ascii="Times New Roman" w:eastAsia="Times New Roman" w:hAnsi="Times New Roman" w:cs="Times New Roman"/>
          <w:kern w:val="0"/>
          <w14:ligatures w14:val="none"/>
        </w:rPr>
        <w:t xml:space="preserve"> &lt; 0.05</w:t>
      </w:r>
    </w:p>
    <w:p w14:paraId="14EC9118" w14:textId="77777777" w:rsidR="00A937B2" w:rsidRPr="00A937B2" w:rsidRDefault="00A937B2" w:rsidP="00A937B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937B2">
        <w:rPr>
          <w:rFonts w:ascii="Times New Roman" w:eastAsia="Times New Roman" w:hAnsi="Times New Roman" w:cs="Times New Roman"/>
          <w:b/>
          <w:bCs/>
          <w:kern w:val="0"/>
          <w:sz w:val="27"/>
          <w:szCs w:val="27"/>
          <w14:ligatures w14:val="none"/>
        </w:rPr>
        <w:t>Histopathological Observations</w:t>
      </w:r>
    </w:p>
    <w:p w14:paraId="5286FB4B" w14:textId="77777777" w:rsidR="00A937B2" w:rsidRPr="00A937B2" w:rsidRDefault="00A937B2" w:rsidP="00A937B2">
      <w:pPr>
        <w:spacing w:before="100" w:beforeAutospacing="1" w:after="100" w:afterAutospacing="1"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 xml:space="preserve">Histological analysis of liver sections revealed preserved hepatic lobular structure with normal hepatocytes in the control group. Protein-deficient rats showed hepatocyte degeneration, vacuolation, sinusoidal congestion, and moderate portal inflammation. </w:t>
      </w:r>
      <w:r w:rsidRPr="00A937B2">
        <w:rPr>
          <w:rFonts w:ascii="Times New Roman" w:eastAsia="Times New Roman" w:hAnsi="Times New Roman" w:cs="Times New Roman"/>
          <w:i/>
          <w:iCs/>
          <w:kern w:val="0"/>
          <w14:ligatures w14:val="none"/>
        </w:rPr>
        <w:t>Moringa oleifera</w:t>
      </w:r>
      <w:r w:rsidRPr="00A937B2">
        <w:rPr>
          <w:rFonts w:ascii="Times New Roman" w:eastAsia="Times New Roman" w:hAnsi="Times New Roman" w:cs="Times New Roman"/>
          <w:kern w:val="0"/>
          <w14:ligatures w14:val="none"/>
        </w:rPr>
        <w:t xml:space="preserve"> mitigated these changes with marked architectural restoration and minimal necrosis. </w:t>
      </w:r>
      <w:proofErr w:type="spellStart"/>
      <w:r w:rsidRPr="00A937B2">
        <w:rPr>
          <w:rFonts w:ascii="Times New Roman" w:eastAsia="Times New Roman" w:hAnsi="Times New Roman" w:cs="Times New Roman"/>
          <w:i/>
          <w:iCs/>
          <w:kern w:val="0"/>
          <w14:ligatures w14:val="none"/>
        </w:rPr>
        <w:t>Gongronema</w:t>
      </w:r>
      <w:proofErr w:type="spellEnd"/>
      <w:r w:rsidRPr="00A937B2">
        <w:rPr>
          <w:rFonts w:ascii="Times New Roman" w:eastAsia="Times New Roman" w:hAnsi="Times New Roman" w:cs="Times New Roman"/>
          <w:i/>
          <w:iCs/>
          <w:kern w:val="0"/>
          <w14:ligatures w14:val="none"/>
        </w:rPr>
        <w:t xml:space="preserve"> </w:t>
      </w:r>
      <w:proofErr w:type="spellStart"/>
      <w:r w:rsidRPr="00A937B2">
        <w:rPr>
          <w:rFonts w:ascii="Times New Roman" w:eastAsia="Times New Roman" w:hAnsi="Times New Roman" w:cs="Times New Roman"/>
          <w:i/>
          <w:iCs/>
          <w:kern w:val="0"/>
          <w14:ligatures w14:val="none"/>
        </w:rPr>
        <w:t>latifolium</w:t>
      </w:r>
      <w:proofErr w:type="spellEnd"/>
      <w:r w:rsidRPr="00A937B2">
        <w:rPr>
          <w:rFonts w:ascii="Times New Roman" w:eastAsia="Times New Roman" w:hAnsi="Times New Roman" w:cs="Times New Roman"/>
          <w:kern w:val="0"/>
          <w14:ligatures w14:val="none"/>
        </w:rPr>
        <w:t xml:space="preserve"> treatment showed moderate protection with some residual inflammatory features. The combined extract group exhibited near-normal hepatic morphology, indicating synergistic hepatoprotective efficacy (Figure 1).</w:t>
      </w:r>
    </w:p>
    <w:p w14:paraId="740B0253" w14:textId="1FB412E4" w:rsidR="00D04290" w:rsidRPr="00D04290" w:rsidRDefault="00D04290" w:rsidP="00D04290">
      <w:pPr>
        <w:spacing w:after="0" w:line="240" w:lineRule="auto"/>
        <w:rPr>
          <w:rFonts w:ascii="Times New Roman" w:eastAsia="Times New Roman" w:hAnsi="Times New Roman" w:cs="Times New Roman"/>
          <w:kern w:val="0"/>
          <w14:ligatures w14:val="none"/>
        </w:rPr>
      </w:pPr>
    </w:p>
    <w:p w14:paraId="0AF9C244" w14:textId="77777777" w:rsidR="00A937B2" w:rsidRPr="00A937B2" w:rsidRDefault="00A937B2" w:rsidP="00A937B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937B2">
        <w:rPr>
          <w:rFonts w:ascii="Times New Roman" w:eastAsia="Times New Roman" w:hAnsi="Times New Roman" w:cs="Times New Roman"/>
          <w:b/>
          <w:bCs/>
          <w:kern w:val="0"/>
          <w:sz w:val="27"/>
          <w:szCs w:val="27"/>
          <w14:ligatures w14:val="none"/>
        </w:rPr>
        <w:t>Discussion</w:t>
      </w:r>
    </w:p>
    <w:p w14:paraId="2A9E6872" w14:textId="0C6832E3" w:rsidR="00A937B2" w:rsidRPr="00A937B2" w:rsidRDefault="00A937B2" w:rsidP="00A937B2">
      <w:pPr>
        <w:spacing w:before="100" w:beforeAutospacing="1" w:after="100" w:afterAutospacing="1"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This study corroborates earlier findings that protein-energy malnutrition induces significant hepatic injury and hematological disturbances, likely through mechanisms involving oxidative stress, impaired redox signaling, and inflammatory responses (</w:t>
      </w:r>
      <w:proofErr w:type="spellStart"/>
      <w:r w:rsidRPr="00A937B2">
        <w:rPr>
          <w:rFonts w:ascii="Times New Roman" w:eastAsia="Times New Roman" w:hAnsi="Times New Roman" w:cs="Times New Roman"/>
          <w:kern w:val="0"/>
          <w14:ligatures w14:val="none"/>
        </w:rPr>
        <w:t>Klaunig</w:t>
      </w:r>
      <w:proofErr w:type="spellEnd"/>
      <w:r w:rsidRPr="00A937B2">
        <w:rPr>
          <w:rFonts w:ascii="Times New Roman" w:eastAsia="Times New Roman" w:hAnsi="Times New Roman" w:cs="Times New Roman"/>
          <w:kern w:val="0"/>
          <w14:ligatures w14:val="none"/>
        </w:rPr>
        <w:t xml:space="preserve"> et al., 2011;). Elevated serum levels of liver enzymes and bilirubin in PEM-exposed rats indicate hepatocellular necrosis and intrahepatic cholestasis, affirming the sensitivity of the liver to nutritional insults.</w:t>
      </w:r>
    </w:p>
    <w:p w14:paraId="1A19AAAB" w14:textId="77777777" w:rsidR="00A937B2" w:rsidRPr="00A937B2" w:rsidRDefault="00A937B2" w:rsidP="00A937B2">
      <w:pPr>
        <w:spacing w:before="100" w:beforeAutospacing="1" w:after="100" w:afterAutospacing="1"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 xml:space="preserve">Treatment with </w:t>
      </w:r>
      <w:r w:rsidRPr="00A937B2">
        <w:rPr>
          <w:rFonts w:ascii="Times New Roman" w:eastAsia="Times New Roman" w:hAnsi="Times New Roman" w:cs="Times New Roman"/>
          <w:b/>
          <w:bCs/>
          <w:kern w:val="0"/>
          <w14:ligatures w14:val="none"/>
        </w:rPr>
        <w:t>Moringa oleifera</w:t>
      </w:r>
      <w:r w:rsidRPr="00A937B2">
        <w:rPr>
          <w:rFonts w:ascii="Times New Roman" w:eastAsia="Times New Roman" w:hAnsi="Times New Roman" w:cs="Times New Roman"/>
          <w:kern w:val="0"/>
          <w14:ligatures w14:val="none"/>
        </w:rPr>
        <w:t xml:space="preserve"> significantly mitigated hepatic damage, as evidenced by normalized liver enzymes and preserved hepatic architecture. This aligns with previous reports attributing Moringa's hepatoprotective effects to its polyphenol-rich profile and ability to modulate antioxidant enzymes (Anzano et al., 2022; Kim et al., 2022; Kou et al., 2018). Notably, the activation of Nrf2-mediated antioxidant defense pathways, as described by Kim et al. (2022) and </w:t>
      </w:r>
      <w:proofErr w:type="spellStart"/>
      <w:r w:rsidRPr="00A937B2">
        <w:rPr>
          <w:rFonts w:ascii="Times New Roman" w:eastAsia="Times New Roman" w:hAnsi="Times New Roman" w:cs="Times New Roman"/>
          <w:kern w:val="0"/>
          <w14:ligatures w14:val="none"/>
        </w:rPr>
        <w:t>Mundkar</w:t>
      </w:r>
      <w:proofErr w:type="spellEnd"/>
      <w:r w:rsidRPr="00A937B2">
        <w:rPr>
          <w:rFonts w:ascii="Times New Roman" w:eastAsia="Times New Roman" w:hAnsi="Times New Roman" w:cs="Times New Roman"/>
          <w:kern w:val="0"/>
          <w14:ligatures w14:val="none"/>
        </w:rPr>
        <w:t xml:space="preserve"> et al. (2022), may underpin the observed hepatocellular protection. Furthermore, </w:t>
      </w:r>
      <w:r w:rsidRPr="00A937B2">
        <w:rPr>
          <w:rFonts w:ascii="Times New Roman" w:eastAsia="Times New Roman" w:hAnsi="Times New Roman" w:cs="Times New Roman"/>
          <w:kern w:val="0"/>
          <w14:ligatures w14:val="none"/>
        </w:rPr>
        <w:lastRenderedPageBreak/>
        <w:t xml:space="preserve">Moringa's isothiocyanates, as shown by </w:t>
      </w:r>
      <w:proofErr w:type="spellStart"/>
      <w:r w:rsidRPr="00A937B2">
        <w:rPr>
          <w:rFonts w:ascii="Times New Roman" w:eastAsia="Times New Roman" w:hAnsi="Times New Roman" w:cs="Times New Roman"/>
          <w:kern w:val="0"/>
          <w14:ligatures w14:val="none"/>
        </w:rPr>
        <w:t>Giacoppo</w:t>
      </w:r>
      <w:proofErr w:type="spellEnd"/>
      <w:r w:rsidRPr="00A937B2">
        <w:rPr>
          <w:rFonts w:ascii="Times New Roman" w:eastAsia="Times New Roman" w:hAnsi="Times New Roman" w:cs="Times New Roman"/>
          <w:kern w:val="0"/>
          <w14:ligatures w14:val="none"/>
        </w:rPr>
        <w:t xml:space="preserve"> et al. (2017), may contribute to its anti-inflammatory properties, suppressing neuroinflammation and systemic oxidative stress—mechanisms also relevant to hepatic recovery.</w:t>
      </w:r>
    </w:p>
    <w:p w14:paraId="65B52003" w14:textId="32ABFC81" w:rsidR="00A937B2" w:rsidRPr="00A937B2" w:rsidRDefault="00A937B2" w:rsidP="00A937B2">
      <w:pPr>
        <w:spacing w:before="100" w:beforeAutospacing="1" w:after="100" w:afterAutospacing="1"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Histologically, Moringa-treated rats demonstrated hepatocyte regeneration with minimal steatosis, possibly due to the bioactive compounds such as quercetin and chlorogenic acid that improve lipid metabolism and ROS scavenging (</w:t>
      </w:r>
      <w:proofErr w:type="spellStart"/>
      <w:r w:rsidRPr="00A937B2">
        <w:rPr>
          <w:rFonts w:ascii="Times New Roman" w:eastAsia="Times New Roman" w:hAnsi="Times New Roman" w:cs="Times New Roman"/>
          <w:kern w:val="0"/>
          <w14:ligatures w14:val="none"/>
        </w:rPr>
        <w:t>Masarkar</w:t>
      </w:r>
      <w:proofErr w:type="spellEnd"/>
      <w:r w:rsidRPr="00A937B2">
        <w:rPr>
          <w:rFonts w:ascii="Times New Roman" w:eastAsia="Times New Roman" w:hAnsi="Times New Roman" w:cs="Times New Roman"/>
          <w:kern w:val="0"/>
          <w14:ligatures w14:val="none"/>
        </w:rPr>
        <w:t xml:space="preserve"> et al., 2023). Its application in wound healing (Pagano et al., 2020) and antimicrobial food preservation (Sharma et al., 2020) further reflects its systemic therapeutic value.</w:t>
      </w:r>
    </w:p>
    <w:p w14:paraId="7099EE46" w14:textId="3271D92B" w:rsidR="00A937B2" w:rsidRPr="00A937B2" w:rsidRDefault="00A937B2" w:rsidP="00A937B2">
      <w:p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A937B2">
        <w:rPr>
          <w:rFonts w:ascii="Times New Roman" w:eastAsia="Times New Roman" w:hAnsi="Times New Roman" w:cs="Times New Roman"/>
          <w:b/>
          <w:bCs/>
          <w:kern w:val="0"/>
          <w14:ligatures w14:val="none"/>
        </w:rPr>
        <w:t>Gongronema</w:t>
      </w:r>
      <w:proofErr w:type="spellEnd"/>
      <w:r w:rsidRPr="00A937B2">
        <w:rPr>
          <w:rFonts w:ascii="Times New Roman" w:eastAsia="Times New Roman" w:hAnsi="Times New Roman" w:cs="Times New Roman"/>
          <w:b/>
          <w:bCs/>
          <w:kern w:val="0"/>
          <w14:ligatures w14:val="none"/>
        </w:rPr>
        <w:t xml:space="preserve"> </w:t>
      </w:r>
      <w:proofErr w:type="spellStart"/>
      <w:r w:rsidRPr="00A937B2">
        <w:rPr>
          <w:rFonts w:ascii="Times New Roman" w:eastAsia="Times New Roman" w:hAnsi="Times New Roman" w:cs="Times New Roman"/>
          <w:b/>
          <w:bCs/>
          <w:kern w:val="0"/>
          <w14:ligatures w14:val="none"/>
        </w:rPr>
        <w:t>latifolium</w:t>
      </w:r>
      <w:proofErr w:type="spellEnd"/>
      <w:r w:rsidRPr="00A937B2">
        <w:rPr>
          <w:rFonts w:ascii="Times New Roman" w:eastAsia="Times New Roman" w:hAnsi="Times New Roman" w:cs="Times New Roman"/>
          <w:kern w:val="0"/>
          <w14:ligatures w14:val="none"/>
        </w:rPr>
        <w:t>, on the other hand, exhibited superior enhancement in hematological indices. This may be attributed to its flavonoids and saponins, which have been implicated in bone marrow stimulation, erythropoiesis, and leukopoiesis (</w:t>
      </w:r>
      <w:proofErr w:type="spellStart"/>
      <w:r w:rsidR="00954D78">
        <w:rPr>
          <w:rFonts w:ascii="Times New Roman" w:eastAsia="Times New Roman" w:hAnsi="Times New Roman" w:cs="Times New Roman"/>
          <w:kern w:val="0"/>
          <w14:ligatures w14:val="none"/>
        </w:rPr>
        <w:t>Antai</w:t>
      </w:r>
      <w:proofErr w:type="spellEnd"/>
      <w:r w:rsidRPr="00A937B2">
        <w:rPr>
          <w:rFonts w:ascii="Times New Roman" w:eastAsia="Times New Roman" w:hAnsi="Times New Roman" w:cs="Times New Roman"/>
          <w:kern w:val="0"/>
          <w14:ligatures w14:val="none"/>
        </w:rPr>
        <w:t xml:space="preserve"> et al., 200</w:t>
      </w:r>
      <w:r w:rsidR="00954D78">
        <w:rPr>
          <w:rFonts w:ascii="Times New Roman" w:eastAsia="Times New Roman" w:hAnsi="Times New Roman" w:cs="Times New Roman"/>
          <w:kern w:val="0"/>
          <w14:ligatures w14:val="none"/>
        </w:rPr>
        <w:t>9</w:t>
      </w:r>
      <w:r w:rsidRPr="00A937B2">
        <w:rPr>
          <w:rFonts w:ascii="Times New Roman" w:eastAsia="Times New Roman" w:hAnsi="Times New Roman" w:cs="Times New Roman"/>
          <w:kern w:val="0"/>
          <w14:ligatures w14:val="none"/>
        </w:rPr>
        <w:t>;). These phytochemicals likely counteract oxidative stress-induced bone marrow suppression, thereby promoting hematopoietic recovery. While Moringa has shown some hematopoietic activity (</w:t>
      </w:r>
      <w:proofErr w:type="spellStart"/>
      <w:r w:rsidRPr="00A937B2">
        <w:rPr>
          <w:rFonts w:ascii="Times New Roman" w:eastAsia="Times New Roman" w:hAnsi="Times New Roman" w:cs="Times New Roman"/>
          <w:kern w:val="0"/>
          <w14:ligatures w14:val="none"/>
        </w:rPr>
        <w:t>Tuorkey</w:t>
      </w:r>
      <w:proofErr w:type="spellEnd"/>
      <w:r w:rsidRPr="00A937B2">
        <w:rPr>
          <w:rFonts w:ascii="Times New Roman" w:eastAsia="Times New Roman" w:hAnsi="Times New Roman" w:cs="Times New Roman"/>
          <w:kern w:val="0"/>
          <w14:ligatures w14:val="none"/>
        </w:rPr>
        <w:t xml:space="preserve">, 2020; </w:t>
      </w:r>
      <w:proofErr w:type="spellStart"/>
      <w:r w:rsidRPr="00A937B2">
        <w:rPr>
          <w:rFonts w:ascii="Times New Roman" w:eastAsia="Times New Roman" w:hAnsi="Times New Roman" w:cs="Times New Roman"/>
          <w:kern w:val="0"/>
          <w14:ligatures w14:val="none"/>
        </w:rPr>
        <w:t>Omodanisi</w:t>
      </w:r>
      <w:proofErr w:type="spellEnd"/>
      <w:r w:rsidRPr="00A937B2">
        <w:rPr>
          <w:rFonts w:ascii="Times New Roman" w:eastAsia="Times New Roman" w:hAnsi="Times New Roman" w:cs="Times New Roman"/>
          <w:kern w:val="0"/>
          <w14:ligatures w14:val="none"/>
        </w:rPr>
        <w:t xml:space="preserve"> et al., 2017), the greater effect of </w:t>
      </w:r>
      <w:proofErr w:type="spellStart"/>
      <w:r w:rsidRPr="00A937B2">
        <w:rPr>
          <w:rFonts w:ascii="Times New Roman" w:eastAsia="Times New Roman" w:hAnsi="Times New Roman" w:cs="Times New Roman"/>
          <w:kern w:val="0"/>
          <w14:ligatures w14:val="none"/>
        </w:rPr>
        <w:t>Gongronema</w:t>
      </w:r>
      <w:proofErr w:type="spellEnd"/>
      <w:r w:rsidRPr="00A937B2">
        <w:rPr>
          <w:rFonts w:ascii="Times New Roman" w:eastAsia="Times New Roman" w:hAnsi="Times New Roman" w:cs="Times New Roman"/>
          <w:kern w:val="0"/>
          <w14:ligatures w14:val="none"/>
        </w:rPr>
        <w:t xml:space="preserve"> in this regard suggests plant-specific differences in bioactivity.</w:t>
      </w:r>
    </w:p>
    <w:p w14:paraId="5C56F5CE" w14:textId="77777777" w:rsidR="00A937B2" w:rsidRPr="00A937B2" w:rsidRDefault="00A937B2" w:rsidP="00A937B2">
      <w:pPr>
        <w:spacing w:before="100" w:beforeAutospacing="1" w:after="100" w:afterAutospacing="1"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 xml:space="preserve">Interestingly, the </w:t>
      </w:r>
      <w:r w:rsidRPr="00A937B2">
        <w:rPr>
          <w:rFonts w:ascii="Times New Roman" w:eastAsia="Times New Roman" w:hAnsi="Times New Roman" w:cs="Times New Roman"/>
          <w:b/>
          <w:bCs/>
          <w:kern w:val="0"/>
          <w14:ligatures w14:val="none"/>
        </w:rPr>
        <w:t>combined extract treatment</w:t>
      </w:r>
      <w:r w:rsidRPr="00A937B2">
        <w:rPr>
          <w:rFonts w:ascii="Times New Roman" w:eastAsia="Times New Roman" w:hAnsi="Times New Roman" w:cs="Times New Roman"/>
          <w:kern w:val="0"/>
          <w14:ligatures w14:val="none"/>
        </w:rPr>
        <w:t xml:space="preserve"> yielded the most favorable outcomes in both liver and blood parameters. This synergism may arise from the complementary mechanisms of Moringa’s antioxidative and anti-inflammatory actions and </w:t>
      </w:r>
      <w:proofErr w:type="spellStart"/>
      <w:r w:rsidRPr="00A937B2">
        <w:rPr>
          <w:rFonts w:ascii="Times New Roman" w:eastAsia="Times New Roman" w:hAnsi="Times New Roman" w:cs="Times New Roman"/>
          <w:kern w:val="0"/>
          <w14:ligatures w14:val="none"/>
        </w:rPr>
        <w:t>Gongronema’s</w:t>
      </w:r>
      <w:proofErr w:type="spellEnd"/>
      <w:r w:rsidRPr="00A937B2">
        <w:rPr>
          <w:rFonts w:ascii="Times New Roman" w:eastAsia="Times New Roman" w:hAnsi="Times New Roman" w:cs="Times New Roman"/>
          <w:kern w:val="0"/>
          <w14:ligatures w14:val="none"/>
        </w:rPr>
        <w:t xml:space="preserve"> marrow-stimulating properties (</w:t>
      </w:r>
      <w:proofErr w:type="spellStart"/>
      <w:r w:rsidRPr="00A937B2">
        <w:rPr>
          <w:rFonts w:ascii="Times New Roman" w:eastAsia="Times New Roman" w:hAnsi="Times New Roman" w:cs="Times New Roman"/>
          <w:kern w:val="0"/>
          <w14:ligatures w14:val="none"/>
        </w:rPr>
        <w:t>Omodanisi</w:t>
      </w:r>
      <w:proofErr w:type="spellEnd"/>
      <w:r w:rsidRPr="00A937B2">
        <w:rPr>
          <w:rFonts w:ascii="Times New Roman" w:eastAsia="Times New Roman" w:hAnsi="Times New Roman" w:cs="Times New Roman"/>
          <w:kern w:val="0"/>
          <w14:ligatures w14:val="none"/>
        </w:rPr>
        <w:t xml:space="preserve"> et al., 2017; </w:t>
      </w:r>
      <w:proofErr w:type="spellStart"/>
      <w:r w:rsidRPr="00A937B2">
        <w:rPr>
          <w:rFonts w:ascii="Times New Roman" w:eastAsia="Times New Roman" w:hAnsi="Times New Roman" w:cs="Times New Roman"/>
          <w:kern w:val="0"/>
          <w14:ligatures w14:val="none"/>
        </w:rPr>
        <w:t>Masarkar</w:t>
      </w:r>
      <w:proofErr w:type="spellEnd"/>
      <w:r w:rsidRPr="00A937B2">
        <w:rPr>
          <w:rFonts w:ascii="Times New Roman" w:eastAsia="Times New Roman" w:hAnsi="Times New Roman" w:cs="Times New Roman"/>
          <w:kern w:val="0"/>
          <w14:ligatures w14:val="none"/>
        </w:rPr>
        <w:t xml:space="preserve"> et al., 2023). Such botanical combinations may offer holistic strategies for addressing multifaceted consequences of malnutrition.</w:t>
      </w:r>
    </w:p>
    <w:p w14:paraId="0F20BBC7" w14:textId="77777777" w:rsidR="00A937B2" w:rsidRPr="00A937B2" w:rsidRDefault="00A937B2" w:rsidP="00A937B2">
      <w:pPr>
        <w:spacing w:before="100" w:beforeAutospacing="1" w:after="100" w:afterAutospacing="1" w:line="240" w:lineRule="auto"/>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While these results are promising, this study is limited by its short duration and lack of detailed molecular analyses. Future studies should include gene expression profiling of antioxidant and inflammatory markers, as well as explore the clinical translational potential in human populations suffering from PEM. Additionally, exploration of neuroprotective effects—such as those reported by Zhou et al. (2018) and Wright (2020)—may broaden the therapeutic applicability of these extracts.</w:t>
      </w:r>
    </w:p>
    <w:p w14:paraId="6A87F3D9" w14:textId="37993101" w:rsidR="00D04290" w:rsidRPr="00D04290" w:rsidRDefault="00D04290" w:rsidP="00D04290">
      <w:pPr>
        <w:spacing w:before="100" w:beforeAutospacing="1" w:after="100" w:afterAutospacing="1" w:line="240" w:lineRule="auto"/>
        <w:rPr>
          <w:rFonts w:ascii="Times New Roman" w:eastAsia="Times New Roman" w:hAnsi="Times New Roman" w:cs="Times New Roman"/>
          <w:kern w:val="0"/>
          <w14:ligatures w14:val="none"/>
        </w:rPr>
      </w:pPr>
      <w:r w:rsidRPr="00D04290">
        <w:rPr>
          <w:rFonts w:ascii="Times New Roman" w:eastAsia="Times New Roman" w:hAnsi="Times New Roman" w:cs="Times New Roman"/>
          <w:kern w:val="0"/>
          <w14:ligatures w14:val="none"/>
        </w:rPr>
        <w:t>.</w:t>
      </w:r>
    </w:p>
    <w:p w14:paraId="08A0534E" w14:textId="5907876F" w:rsidR="00D04290" w:rsidRPr="00A937B2" w:rsidRDefault="00D04290" w:rsidP="00A937B2">
      <w:pPr>
        <w:spacing w:after="0" w:line="240" w:lineRule="auto"/>
        <w:rPr>
          <w:rFonts w:ascii="Times New Roman" w:eastAsia="Times New Roman" w:hAnsi="Times New Roman" w:cs="Times New Roman"/>
          <w:kern w:val="0"/>
          <w14:ligatures w14:val="none"/>
        </w:rPr>
      </w:pPr>
    </w:p>
    <w:p w14:paraId="4BBC916D" w14:textId="77777777" w:rsidR="00A937B2" w:rsidRDefault="00A937B2" w:rsidP="00A937B2">
      <w:pPr>
        <w:pStyle w:val="NormalWeb"/>
      </w:pPr>
      <w:r>
        <w:rPr>
          <w:rStyle w:val="Strong"/>
          <w:rFonts w:eastAsiaTheme="majorEastAsia"/>
        </w:rPr>
        <w:t>Conclusion</w:t>
      </w:r>
    </w:p>
    <w:p w14:paraId="1C23E80E" w14:textId="77777777" w:rsidR="00A937B2" w:rsidRDefault="00A937B2" w:rsidP="00A937B2">
      <w:pPr>
        <w:pStyle w:val="NormalWeb"/>
      </w:pPr>
      <w:r>
        <w:t xml:space="preserve">This study demonstrates that </w:t>
      </w:r>
      <w:r>
        <w:rPr>
          <w:rStyle w:val="Emphasis"/>
          <w:rFonts w:eastAsiaTheme="majorEastAsia"/>
        </w:rPr>
        <w:t>Moringa oleifera</w:t>
      </w:r>
      <w:r>
        <w:t xml:space="preserve"> and </w:t>
      </w:r>
      <w:proofErr w:type="spellStart"/>
      <w:r>
        <w:rPr>
          <w:rStyle w:val="Emphasis"/>
          <w:rFonts w:eastAsiaTheme="majorEastAsia"/>
        </w:rPr>
        <w:t>Gongronema</w:t>
      </w:r>
      <w:proofErr w:type="spellEnd"/>
      <w:r>
        <w:rPr>
          <w:rStyle w:val="Emphasis"/>
          <w:rFonts w:eastAsiaTheme="majorEastAsia"/>
        </w:rPr>
        <w:t xml:space="preserve"> </w:t>
      </w:r>
      <w:proofErr w:type="spellStart"/>
      <w:r>
        <w:rPr>
          <w:rStyle w:val="Emphasis"/>
          <w:rFonts w:eastAsiaTheme="majorEastAsia"/>
        </w:rPr>
        <w:t>latifolium</w:t>
      </w:r>
      <w:proofErr w:type="spellEnd"/>
      <w:r>
        <w:t xml:space="preserve"> exert distinct but complementary protective effects against protein-deficiency-induced hepatic and hematological dysfunctions in Wistar rats. Protein malnutrition significantly impaired liver function and hematopoiesis, as evidenced by elevated liver enzymes, hyperbilirubinemia, and reductions in hemoglobin, red blood cell, white blood cell, and platelet counts. Treatment with </w:t>
      </w:r>
      <w:r>
        <w:rPr>
          <w:rStyle w:val="Emphasis"/>
          <w:rFonts w:eastAsiaTheme="majorEastAsia"/>
        </w:rPr>
        <w:t>Moringa oleifera</w:t>
      </w:r>
      <w:r>
        <w:t xml:space="preserve"> notably ameliorated hepatic injury and preserved liver histoarchitecture, highlighting its potent hepatoprotective potential. Conversely, </w:t>
      </w:r>
      <w:proofErr w:type="spellStart"/>
      <w:r>
        <w:rPr>
          <w:rStyle w:val="Emphasis"/>
          <w:rFonts w:eastAsiaTheme="majorEastAsia"/>
        </w:rPr>
        <w:t>Gongronema</w:t>
      </w:r>
      <w:proofErr w:type="spellEnd"/>
      <w:r>
        <w:rPr>
          <w:rStyle w:val="Emphasis"/>
          <w:rFonts w:eastAsiaTheme="majorEastAsia"/>
        </w:rPr>
        <w:t xml:space="preserve"> </w:t>
      </w:r>
      <w:proofErr w:type="spellStart"/>
      <w:r>
        <w:rPr>
          <w:rStyle w:val="Emphasis"/>
          <w:rFonts w:eastAsiaTheme="majorEastAsia"/>
        </w:rPr>
        <w:t>latifolium</w:t>
      </w:r>
      <w:proofErr w:type="spellEnd"/>
      <w:r>
        <w:t xml:space="preserve"> markedly restored hematological indices, suggesting its stimulatory effect on hematopoietic recovery. Importantly, the combined administration of both extracts yielded synergistic benefits, offering near-complete </w:t>
      </w:r>
      <w:r>
        <w:lastRenderedPageBreak/>
        <w:t>restoration of biochemical and histological parameters to normal levels. These findings support the therapeutic promise of these botanicals—individually and in combination—as a natural, cost-effective intervention for mitigating the systemic complications of protein malnutrition. Further studies are recommended to explore the mechanistic pathways and clinical relevance of these effects in humans.</w:t>
      </w:r>
    </w:p>
    <w:p w14:paraId="20F0AA1A" w14:textId="09BDA701" w:rsidR="00D04290" w:rsidRPr="00D04290" w:rsidRDefault="00D04290" w:rsidP="00D04290">
      <w:pPr>
        <w:spacing w:after="0" w:line="240" w:lineRule="auto"/>
        <w:rPr>
          <w:rFonts w:ascii="Times New Roman" w:eastAsia="Times New Roman" w:hAnsi="Times New Roman" w:cs="Times New Roman"/>
          <w:kern w:val="0"/>
          <w14:ligatures w14:val="none"/>
        </w:rPr>
      </w:pPr>
    </w:p>
    <w:p w14:paraId="1D19116D" w14:textId="77777777" w:rsidR="002370BD" w:rsidRDefault="002370BD" w:rsidP="002370BD">
      <w:pPr>
        <w:spacing w:before="100" w:beforeAutospacing="1" w:after="100" w:afterAutospacing="1" w:line="240" w:lineRule="auto"/>
        <w:rPr>
          <w:rFonts w:ascii="Times New Roman" w:eastAsia="Times New Roman" w:hAnsi="Times New Roman" w:cs="Times New Roman"/>
          <w:b/>
          <w:bCs/>
          <w:kern w:val="0"/>
          <w14:ligatures w14:val="none"/>
        </w:rPr>
      </w:pPr>
      <w:r w:rsidRPr="002370BD">
        <w:rPr>
          <w:rFonts w:ascii="Times New Roman" w:eastAsia="Times New Roman" w:hAnsi="Times New Roman" w:cs="Times New Roman"/>
          <w:b/>
          <w:bCs/>
          <w:kern w:val="0"/>
          <w14:ligatures w14:val="none"/>
        </w:rPr>
        <w:t>References</w:t>
      </w:r>
    </w:p>
    <w:p w14:paraId="595EB516" w14:textId="4ACA9C52" w:rsidR="008D6DD4" w:rsidRPr="008D6DD4" w:rsidRDefault="008D6DD4" w:rsidP="002370BD">
      <w:p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744EF5">
        <w:rPr>
          <w:rFonts w:ascii="Times New Roman" w:eastAsia="Times New Roman" w:hAnsi="Times New Roman" w:cs="Times New Roman"/>
          <w:kern w:val="0"/>
          <w14:ligatures w14:val="none"/>
        </w:rPr>
        <w:t>Amakiri</w:t>
      </w:r>
      <w:proofErr w:type="spellEnd"/>
      <w:r w:rsidRPr="00744EF5">
        <w:rPr>
          <w:rFonts w:ascii="Times New Roman" w:eastAsia="Times New Roman" w:hAnsi="Times New Roman" w:cs="Times New Roman"/>
          <w:kern w:val="0"/>
          <w14:ligatures w14:val="none"/>
        </w:rPr>
        <w:t xml:space="preserve">, O. K., </w:t>
      </w:r>
      <w:proofErr w:type="spellStart"/>
      <w:r w:rsidRPr="00744EF5">
        <w:rPr>
          <w:rFonts w:ascii="Times New Roman" w:eastAsia="Times New Roman" w:hAnsi="Times New Roman" w:cs="Times New Roman"/>
          <w:kern w:val="0"/>
          <w14:ligatures w14:val="none"/>
        </w:rPr>
        <w:t>Ezekwe</w:t>
      </w:r>
      <w:proofErr w:type="spellEnd"/>
      <w:r w:rsidRPr="00744EF5">
        <w:rPr>
          <w:rFonts w:ascii="Times New Roman" w:eastAsia="Times New Roman" w:hAnsi="Times New Roman" w:cs="Times New Roman"/>
          <w:kern w:val="0"/>
          <w14:ligatures w14:val="none"/>
        </w:rPr>
        <w:t xml:space="preserve">, A. S., &amp; </w:t>
      </w:r>
      <w:proofErr w:type="spellStart"/>
      <w:r w:rsidRPr="00744EF5">
        <w:rPr>
          <w:rFonts w:ascii="Times New Roman" w:eastAsia="Times New Roman" w:hAnsi="Times New Roman" w:cs="Times New Roman"/>
          <w:kern w:val="0"/>
          <w14:ligatures w14:val="none"/>
        </w:rPr>
        <w:t>Wokocha</w:t>
      </w:r>
      <w:proofErr w:type="spellEnd"/>
      <w:r w:rsidRPr="00744EF5">
        <w:rPr>
          <w:rFonts w:ascii="Times New Roman" w:eastAsia="Times New Roman" w:hAnsi="Times New Roman" w:cs="Times New Roman"/>
          <w:kern w:val="0"/>
          <w14:ligatures w14:val="none"/>
        </w:rPr>
        <w:t xml:space="preserve">, P. G. (2024). Phytochemical profile and bioactive compounds in aqueous seed extract of </w:t>
      </w:r>
      <w:proofErr w:type="spellStart"/>
      <w:r w:rsidRPr="00744EF5">
        <w:rPr>
          <w:rFonts w:ascii="Times New Roman" w:eastAsia="Times New Roman" w:hAnsi="Times New Roman" w:cs="Times New Roman"/>
          <w:kern w:val="0"/>
          <w14:ligatures w14:val="none"/>
        </w:rPr>
        <w:t>Irvingia</w:t>
      </w:r>
      <w:proofErr w:type="spellEnd"/>
      <w:r w:rsidRPr="00744EF5">
        <w:rPr>
          <w:rFonts w:ascii="Times New Roman" w:eastAsia="Times New Roman" w:hAnsi="Times New Roman" w:cs="Times New Roman"/>
          <w:kern w:val="0"/>
          <w14:ligatures w14:val="none"/>
        </w:rPr>
        <w:t xml:space="preserve"> </w:t>
      </w:r>
      <w:proofErr w:type="spellStart"/>
      <w:r w:rsidRPr="00744EF5">
        <w:rPr>
          <w:rFonts w:ascii="Times New Roman" w:eastAsia="Times New Roman" w:hAnsi="Times New Roman" w:cs="Times New Roman"/>
          <w:kern w:val="0"/>
          <w14:ligatures w14:val="none"/>
        </w:rPr>
        <w:t>gabonensis</w:t>
      </w:r>
      <w:proofErr w:type="spellEnd"/>
      <w:r w:rsidRPr="00744EF5">
        <w:rPr>
          <w:rFonts w:ascii="Times New Roman" w:eastAsia="Times New Roman" w:hAnsi="Times New Roman" w:cs="Times New Roman"/>
          <w:kern w:val="0"/>
          <w14:ligatures w14:val="none"/>
        </w:rPr>
        <w:t xml:space="preserve">: A GC-MS analysis. Asian Journal of Research in Biochemistry, 14(6), 138–143. </w:t>
      </w:r>
      <w:hyperlink r:id="rId7" w:tgtFrame="_new" w:history="1">
        <w:r w:rsidRPr="00744EF5">
          <w:rPr>
            <w:rFonts w:ascii="Times New Roman" w:eastAsia="Times New Roman" w:hAnsi="Times New Roman" w:cs="Times New Roman"/>
            <w:color w:val="0000FF"/>
            <w:kern w:val="0"/>
            <w:u w:val="single"/>
            <w14:ligatures w14:val="none"/>
          </w:rPr>
          <w:t>https://doi.org/10.9734/ajrb/2024/v14i6336</w:t>
        </w:r>
      </w:hyperlink>
    </w:p>
    <w:p w14:paraId="44B9B7EB" w14:textId="20B18E9B" w:rsidR="00954D78" w:rsidRPr="002370BD" w:rsidRDefault="00954D78" w:rsidP="002370BD">
      <w:pPr>
        <w:spacing w:before="100" w:beforeAutospacing="1" w:after="100" w:afterAutospacing="1" w:line="240" w:lineRule="auto"/>
        <w:rPr>
          <w:rFonts w:ascii="Times New Roman" w:eastAsia="Times New Roman" w:hAnsi="Times New Roman" w:cs="Times New Roman"/>
          <w:kern w:val="0"/>
          <w14:ligatures w14:val="none"/>
        </w:rPr>
      </w:pPr>
      <w:proofErr w:type="spellStart"/>
      <w:r>
        <w:rPr>
          <w:rStyle w:val="Strong"/>
        </w:rPr>
        <w:t>Antai</w:t>
      </w:r>
      <w:proofErr w:type="spellEnd"/>
      <w:r>
        <w:rPr>
          <w:rStyle w:val="Strong"/>
        </w:rPr>
        <w:t xml:space="preserve">, A. B., Ofem, O. E., </w:t>
      </w:r>
      <w:proofErr w:type="spellStart"/>
      <w:r>
        <w:rPr>
          <w:rStyle w:val="Strong"/>
        </w:rPr>
        <w:t>Ikpi</w:t>
      </w:r>
      <w:proofErr w:type="spellEnd"/>
      <w:r>
        <w:rPr>
          <w:rStyle w:val="Strong"/>
        </w:rPr>
        <w:t xml:space="preserve">, D. E., </w:t>
      </w:r>
      <w:proofErr w:type="spellStart"/>
      <w:r>
        <w:rPr>
          <w:rStyle w:val="Strong"/>
        </w:rPr>
        <w:t>Ukafia</w:t>
      </w:r>
      <w:proofErr w:type="spellEnd"/>
      <w:r>
        <w:rPr>
          <w:rStyle w:val="Strong"/>
        </w:rPr>
        <w:t xml:space="preserve">, S., &amp; </w:t>
      </w:r>
      <w:proofErr w:type="spellStart"/>
      <w:r>
        <w:rPr>
          <w:rStyle w:val="Strong"/>
        </w:rPr>
        <w:t>Agiang</w:t>
      </w:r>
      <w:proofErr w:type="spellEnd"/>
      <w:r>
        <w:rPr>
          <w:rStyle w:val="Strong"/>
        </w:rPr>
        <w:t>, E. A.</w:t>
      </w:r>
      <w:r>
        <w:t xml:space="preserve"> (2009). Phytochemistry and some </w:t>
      </w:r>
      <w:proofErr w:type="spellStart"/>
      <w:r>
        <w:t>haematological</w:t>
      </w:r>
      <w:proofErr w:type="spellEnd"/>
      <w:r>
        <w:t xml:space="preserve"> changes following oral administration of ethanolic root extract of </w:t>
      </w:r>
      <w:proofErr w:type="spellStart"/>
      <w:r>
        <w:rPr>
          <w:rStyle w:val="Emphasis"/>
        </w:rPr>
        <w:t>Gongronema</w:t>
      </w:r>
      <w:proofErr w:type="spellEnd"/>
      <w:r>
        <w:rPr>
          <w:rStyle w:val="Emphasis"/>
        </w:rPr>
        <w:t xml:space="preserve"> </w:t>
      </w:r>
      <w:proofErr w:type="spellStart"/>
      <w:r>
        <w:rPr>
          <w:rStyle w:val="Emphasis"/>
        </w:rPr>
        <w:t>latifolium</w:t>
      </w:r>
      <w:proofErr w:type="spellEnd"/>
      <w:r>
        <w:t xml:space="preserve"> in rats. </w:t>
      </w:r>
      <w:r>
        <w:rPr>
          <w:rStyle w:val="Emphasis"/>
        </w:rPr>
        <w:t>Nigerian Journal of Physiological Sciences, 24</w:t>
      </w:r>
      <w:r>
        <w:t>(1), 79–83. https://doi.org/10.4314/njps.v24i1.46388</w:t>
      </w:r>
    </w:p>
    <w:p w14:paraId="070B9172" w14:textId="77777777" w:rsidR="00954D78" w:rsidRDefault="00954D78" w:rsidP="00954D78">
      <w:pPr>
        <w:spacing w:before="100" w:beforeAutospacing="1" w:after="100" w:afterAutospacing="1" w:line="240" w:lineRule="auto"/>
        <w:rPr>
          <w:rFonts w:ascii="Times New Roman" w:eastAsia="Times New Roman" w:hAnsi="Times New Roman" w:cs="Times New Roman"/>
          <w:kern w:val="0"/>
          <w14:ligatures w14:val="none"/>
        </w:rPr>
      </w:pPr>
      <w:r w:rsidRPr="00954D78">
        <w:rPr>
          <w:rFonts w:ascii="Times New Roman" w:eastAsia="Times New Roman" w:hAnsi="Times New Roman" w:cs="Times New Roman"/>
          <w:b/>
          <w:bCs/>
          <w:kern w:val="0"/>
          <w14:ligatures w14:val="none"/>
        </w:rPr>
        <w:t xml:space="preserve">Anzano, A., de Falco, B., Ammar, M., Ricciardelli, A., Grauso, L., Sabbah, M., Capparelli, R., &amp; </w:t>
      </w:r>
      <w:proofErr w:type="spellStart"/>
      <w:r w:rsidRPr="00954D78">
        <w:rPr>
          <w:rFonts w:ascii="Times New Roman" w:eastAsia="Times New Roman" w:hAnsi="Times New Roman" w:cs="Times New Roman"/>
          <w:b/>
          <w:bCs/>
          <w:kern w:val="0"/>
          <w14:ligatures w14:val="none"/>
        </w:rPr>
        <w:t>Lanzotti</w:t>
      </w:r>
      <w:proofErr w:type="spellEnd"/>
      <w:r w:rsidRPr="00954D78">
        <w:rPr>
          <w:rFonts w:ascii="Times New Roman" w:eastAsia="Times New Roman" w:hAnsi="Times New Roman" w:cs="Times New Roman"/>
          <w:b/>
          <w:bCs/>
          <w:kern w:val="0"/>
          <w14:ligatures w14:val="none"/>
        </w:rPr>
        <w:t>, V.</w:t>
      </w:r>
      <w:r w:rsidRPr="00954D78">
        <w:rPr>
          <w:rFonts w:ascii="Times New Roman" w:eastAsia="Times New Roman" w:hAnsi="Times New Roman" w:cs="Times New Roman"/>
          <w:kern w:val="0"/>
          <w14:ligatures w14:val="none"/>
        </w:rPr>
        <w:t xml:space="preserve"> (2022). Chemical analysis and antimicrobial activity of </w:t>
      </w:r>
      <w:r w:rsidRPr="00954D78">
        <w:rPr>
          <w:rFonts w:ascii="Times New Roman" w:eastAsia="Times New Roman" w:hAnsi="Times New Roman" w:cs="Times New Roman"/>
          <w:i/>
          <w:iCs/>
          <w:kern w:val="0"/>
          <w14:ligatures w14:val="none"/>
        </w:rPr>
        <w:t>Moringa oleifera</w:t>
      </w:r>
      <w:r w:rsidRPr="00954D78">
        <w:rPr>
          <w:rFonts w:ascii="Times New Roman" w:eastAsia="Times New Roman" w:hAnsi="Times New Roman" w:cs="Times New Roman"/>
          <w:kern w:val="0"/>
          <w14:ligatures w14:val="none"/>
        </w:rPr>
        <w:t xml:space="preserve"> Lam. leaves and seeds. </w:t>
      </w:r>
      <w:r w:rsidRPr="00954D78">
        <w:rPr>
          <w:rFonts w:ascii="Times New Roman" w:eastAsia="Times New Roman" w:hAnsi="Times New Roman" w:cs="Times New Roman"/>
          <w:i/>
          <w:iCs/>
          <w:kern w:val="0"/>
          <w14:ligatures w14:val="none"/>
        </w:rPr>
        <w:t>Molecules, 27</w:t>
      </w:r>
      <w:r w:rsidRPr="00954D78">
        <w:rPr>
          <w:rFonts w:ascii="Times New Roman" w:eastAsia="Times New Roman" w:hAnsi="Times New Roman" w:cs="Times New Roman"/>
          <w:kern w:val="0"/>
          <w14:ligatures w14:val="none"/>
        </w:rPr>
        <w:t xml:space="preserve">(24), 8920. </w:t>
      </w:r>
      <w:hyperlink r:id="rId8" w:tgtFrame="_new" w:history="1">
        <w:r w:rsidRPr="00954D78">
          <w:rPr>
            <w:rFonts w:ascii="Times New Roman" w:eastAsia="Times New Roman" w:hAnsi="Times New Roman" w:cs="Times New Roman"/>
            <w:color w:val="0000FF"/>
            <w:kern w:val="0"/>
            <w:u w:val="single"/>
            <w14:ligatures w14:val="none"/>
          </w:rPr>
          <w:t>https://doi.org/10.3390/molecules27248920</w:t>
        </w:r>
      </w:hyperlink>
    </w:p>
    <w:p w14:paraId="7AE5FE6B" w14:textId="59B70640" w:rsidR="008D6DD4" w:rsidRPr="00954D78" w:rsidRDefault="008D6DD4" w:rsidP="00954D78">
      <w:p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744EF5">
        <w:rPr>
          <w:rFonts w:ascii="Times New Roman" w:eastAsia="Times New Roman" w:hAnsi="Times New Roman" w:cs="Times New Roman"/>
          <w:kern w:val="0"/>
          <w14:ligatures w14:val="none"/>
        </w:rPr>
        <w:t>Ezekwe</w:t>
      </w:r>
      <w:proofErr w:type="spellEnd"/>
      <w:r w:rsidRPr="00744EF5">
        <w:rPr>
          <w:rFonts w:ascii="Times New Roman" w:eastAsia="Times New Roman" w:hAnsi="Times New Roman" w:cs="Times New Roman"/>
          <w:kern w:val="0"/>
          <w14:ligatures w14:val="none"/>
        </w:rPr>
        <w:t xml:space="preserve">, A. S., </w:t>
      </w:r>
      <w:proofErr w:type="spellStart"/>
      <w:r w:rsidRPr="00744EF5">
        <w:rPr>
          <w:rFonts w:ascii="Times New Roman" w:eastAsia="Times New Roman" w:hAnsi="Times New Roman" w:cs="Times New Roman"/>
          <w:kern w:val="0"/>
          <w14:ligatures w14:val="none"/>
        </w:rPr>
        <w:t>Wokocha</w:t>
      </w:r>
      <w:proofErr w:type="spellEnd"/>
      <w:r w:rsidRPr="00744EF5">
        <w:rPr>
          <w:rFonts w:ascii="Times New Roman" w:eastAsia="Times New Roman" w:hAnsi="Times New Roman" w:cs="Times New Roman"/>
          <w:kern w:val="0"/>
          <w14:ligatures w14:val="none"/>
        </w:rPr>
        <w:t xml:space="preserve">, P. G., </w:t>
      </w:r>
      <w:proofErr w:type="spellStart"/>
      <w:r w:rsidRPr="00744EF5">
        <w:rPr>
          <w:rFonts w:ascii="Times New Roman" w:eastAsia="Times New Roman" w:hAnsi="Times New Roman" w:cs="Times New Roman"/>
          <w:kern w:val="0"/>
          <w14:ligatures w14:val="none"/>
        </w:rPr>
        <w:t>Amakiri</w:t>
      </w:r>
      <w:proofErr w:type="spellEnd"/>
      <w:r w:rsidRPr="00744EF5">
        <w:rPr>
          <w:rFonts w:ascii="Times New Roman" w:eastAsia="Times New Roman" w:hAnsi="Times New Roman" w:cs="Times New Roman"/>
          <w:kern w:val="0"/>
          <w14:ligatures w14:val="none"/>
        </w:rPr>
        <w:t xml:space="preserve">, O. K., Achor, M. T., &amp; </w:t>
      </w:r>
      <w:proofErr w:type="spellStart"/>
      <w:r w:rsidRPr="00744EF5">
        <w:rPr>
          <w:rFonts w:ascii="Times New Roman" w:eastAsia="Times New Roman" w:hAnsi="Times New Roman" w:cs="Times New Roman"/>
          <w:kern w:val="0"/>
          <w14:ligatures w14:val="none"/>
        </w:rPr>
        <w:t>Fubara</w:t>
      </w:r>
      <w:proofErr w:type="spellEnd"/>
      <w:r w:rsidRPr="00744EF5">
        <w:rPr>
          <w:rFonts w:ascii="Times New Roman" w:eastAsia="Times New Roman" w:hAnsi="Times New Roman" w:cs="Times New Roman"/>
          <w:kern w:val="0"/>
          <w14:ligatures w14:val="none"/>
        </w:rPr>
        <w:t xml:space="preserve">, B. N. (2024). Comparative effects of aqueous leaf extracts of Vernonia amygdalina and seed extract of </w:t>
      </w:r>
      <w:proofErr w:type="spellStart"/>
      <w:r w:rsidRPr="00744EF5">
        <w:rPr>
          <w:rFonts w:ascii="Times New Roman" w:eastAsia="Times New Roman" w:hAnsi="Times New Roman" w:cs="Times New Roman"/>
          <w:kern w:val="0"/>
          <w14:ligatures w14:val="none"/>
        </w:rPr>
        <w:t>Irvingia</w:t>
      </w:r>
      <w:proofErr w:type="spellEnd"/>
      <w:r w:rsidRPr="00744EF5">
        <w:rPr>
          <w:rFonts w:ascii="Times New Roman" w:eastAsia="Times New Roman" w:hAnsi="Times New Roman" w:cs="Times New Roman"/>
          <w:kern w:val="0"/>
          <w14:ligatures w14:val="none"/>
        </w:rPr>
        <w:t xml:space="preserve"> </w:t>
      </w:r>
      <w:proofErr w:type="spellStart"/>
      <w:r w:rsidRPr="00744EF5">
        <w:rPr>
          <w:rFonts w:ascii="Times New Roman" w:eastAsia="Times New Roman" w:hAnsi="Times New Roman" w:cs="Times New Roman"/>
          <w:kern w:val="0"/>
          <w14:ligatures w14:val="none"/>
        </w:rPr>
        <w:t>gabonensis</w:t>
      </w:r>
      <w:proofErr w:type="spellEnd"/>
      <w:r w:rsidRPr="00744EF5">
        <w:rPr>
          <w:rFonts w:ascii="Times New Roman" w:eastAsia="Times New Roman" w:hAnsi="Times New Roman" w:cs="Times New Roman"/>
          <w:kern w:val="0"/>
          <w14:ligatures w14:val="none"/>
        </w:rPr>
        <w:t xml:space="preserve"> in alloxan-induced diabetic rats. Asian Journal of Biotechnology and Genetic Engineering, 7(2), 367–378. </w:t>
      </w:r>
      <w:hyperlink r:id="rId9" w:tgtFrame="_new" w:history="1">
        <w:r w:rsidRPr="00744EF5">
          <w:rPr>
            <w:rFonts w:ascii="Times New Roman" w:eastAsia="Times New Roman" w:hAnsi="Times New Roman" w:cs="Times New Roman"/>
            <w:color w:val="0000FF"/>
            <w:kern w:val="0"/>
            <w:u w:val="single"/>
            <w14:ligatures w14:val="none"/>
          </w:rPr>
          <w:t>https://doi.org/10.9734/ajbge/2024/v7i2155</w:t>
        </w:r>
      </w:hyperlink>
    </w:p>
    <w:p w14:paraId="61D789D2" w14:textId="77777777" w:rsidR="00954D78" w:rsidRPr="00954D78" w:rsidRDefault="00954D78" w:rsidP="00954D78">
      <w:p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954D78">
        <w:rPr>
          <w:rFonts w:ascii="Times New Roman" w:eastAsia="Times New Roman" w:hAnsi="Times New Roman" w:cs="Times New Roman"/>
          <w:b/>
          <w:bCs/>
          <w:kern w:val="0"/>
          <w14:ligatures w14:val="none"/>
        </w:rPr>
        <w:t>Giacoppo</w:t>
      </w:r>
      <w:proofErr w:type="spellEnd"/>
      <w:r w:rsidRPr="00954D78">
        <w:rPr>
          <w:rFonts w:ascii="Times New Roman" w:eastAsia="Times New Roman" w:hAnsi="Times New Roman" w:cs="Times New Roman"/>
          <w:b/>
          <w:bCs/>
          <w:kern w:val="0"/>
          <w14:ligatures w14:val="none"/>
        </w:rPr>
        <w:t xml:space="preserve">, S., Rajan, T. S., De Nicola, G. R., Iori, R., Rollin, P., </w:t>
      </w:r>
      <w:proofErr w:type="spellStart"/>
      <w:r w:rsidRPr="00954D78">
        <w:rPr>
          <w:rFonts w:ascii="Times New Roman" w:eastAsia="Times New Roman" w:hAnsi="Times New Roman" w:cs="Times New Roman"/>
          <w:b/>
          <w:bCs/>
          <w:kern w:val="0"/>
          <w14:ligatures w14:val="none"/>
        </w:rPr>
        <w:t>Bramanti</w:t>
      </w:r>
      <w:proofErr w:type="spellEnd"/>
      <w:r w:rsidRPr="00954D78">
        <w:rPr>
          <w:rFonts w:ascii="Times New Roman" w:eastAsia="Times New Roman" w:hAnsi="Times New Roman" w:cs="Times New Roman"/>
          <w:b/>
          <w:bCs/>
          <w:kern w:val="0"/>
          <w14:ligatures w14:val="none"/>
        </w:rPr>
        <w:t>, P., &amp; Mazzon, E.</w:t>
      </w:r>
      <w:r w:rsidRPr="00954D78">
        <w:rPr>
          <w:rFonts w:ascii="Times New Roman" w:eastAsia="Times New Roman" w:hAnsi="Times New Roman" w:cs="Times New Roman"/>
          <w:kern w:val="0"/>
          <w14:ligatures w14:val="none"/>
        </w:rPr>
        <w:t xml:space="preserve"> (2017). The isothiocyanate isolated from </w:t>
      </w:r>
      <w:r w:rsidRPr="00954D78">
        <w:rPr>
          <w:rFonts w:ascii="Times New Roman" w:eastAsia="Times New Roman" w:hAnsi="Times New Roman" w:cs="Times New Roman"/>
          <w:i/>
          <w:iCs/>
          <w:kern w:val="0"/>
          <w14:ligatures w14:val="none"/>
        </w:rPr>
        <w:t>Moringa oleifera</w:t>
      </w:r>
      <w:r w:rsidRPr="00954D78">
        <w:rPr>
          <w:rFonts w:ascii="Times New Roman" w:eastAsia="Times New Roman" w:hAnsi="Times New Roman" w:cs="Times New Roman"/>
          <w:kern w:val="0"/>
          <w14:ligatures w14:val="none"/>
        </w:rPr>
        <w:t xml:space="preserve"> shows potent anti-inflammatory activity in the treatment of murine subacute Parkinson’s disease. </w:t>
      </w:r>
      <w:r w:rsidRPr="00954D78">
        <w:rPr>
          <w:rFonts w:ascii="Times New Roman" w:eastAsia="Times New Roman" w:hAnsi="Times New Roman" w:cs="Times New Roman"/>
          <w:i/>
          <w:iCs/>
          <w:kern w:val="0"/>
          <w14:ligatures w14:val="none"/>
        </w:rPr>
        <w:t>Rejuvenation Research, 20</w:t>
      </w:r>
      <w:r w:rsidRPr="00954D78">
        <w:rPr>
          <w:rFonts w:ascii="Times New Roman" w:eastAsia="Times New Roman" w:hAnsi="Times New Roman" w:cs="Times New Roman"/>
          <w:kern w:val="0"/>
          <w14:ligatures w14:val="none"/>
        </w:rPr>
        <w:t xml:space="preserve">(1), 50–63. </w:t>
      </w:r>
      <w:hyperlink r:id="rId10" w:tgtFrame="_new" w:history="1">
        <w:r w:rsidRPr="00954D78">
          <w:rPr>
            <w:rFonts w:ascii="Times New Roman" w:eastAsia="Times New Roman" w:hAnsi="Times New Roman" w:cs="Times New Roman"/>
            <w:color w:val="0000FF"/>
            <w:kern w:val="0"/>
            <w:u w:val="single"/>
            <w14:ligatures w14:val="none"/>
          </w:rPr>
          <w:t>https://doi.org/10.1089/rej.2016.1828</w:t>
        </w:r>
      </w:hyperlink>
    </w:p>
    <w:p w14:paraId="24CF1B1A" w14:textId="77777777" w:rsidR="00954D78" w:rsidRPr="00954D78" w:rsidRDefault="00954D78" w:rsidP="00954D78">
      <w:pPr>
        <w:spacing w:before="100" w:beforeAutospacing="1" w:after="100" w:afterAutospacing="1" w:line="240" w:lineRule="auto"/>
        <w:rPr>
          <w:rFonts w:ascii="Times New Roman" w:eastAsia="Times New Roman" w:hAnsi="Times New Roman" w:cs="Times New Roman"/>
          <w:kern w:val="0"/>
          <w14:ligatures w14:val="none"/>
        </w:rPr>
      </w:pPr>
      <w:r w:rsidRPr="00954D78">
        <w:rPr>
          <w:rFonts w:ascii="Times New Roman" w:eastAsia="Times New Roman" w:hAnsi="Times New Roman" w:cs="Times New Roman"/>
          <w:b/>
          <w:bCs/>
          <w:kern w:val="0"/>
          <w14:ligatures w14:val="none"/>
        </w:rPr>
        <w:t>Kim, C. G., Chang, S. N., Park, S. M., Hwang, B. S., Kang, S. A., &amp; Kim, K. S.</w:t>
      </w:r>
      <w:r w:rsidRPr="00954D78">
        <w:rPr>
          <w:rFonts w:ascii="Times New Roman" w:eastAsia="Times New Roman" w:hAnsi="Times New Roman" w:cs="Times New Roman"/>
          <w:kern w:val="0"/>
          <w14:ligatures w14:val="none"/>
        </w:rPr>
        <w:t xml:space="preserve"> (2022). </w:t>
      </w:r>
      <w:r w:rsidRPr="00954D78">
        <w:rPr>
          <w:rFonts w:ascii="Times New Roman" w:eastAsia="Times New Roman" w:hAnsi="Times New Roman" w:cs="Times New Roman"/>
          <w:i/>
          <w:iCs/>
          <w:kern w:val="0"/>
          <w14:ligatures w14:val="none"/>
        </w:rPr>
        <w:t>Moringa oleifera</w:t>
      </w:r>
      <w:r w:rsidRPr="00954D78">
        <w:rPr>
          <w:rFonts w:ascii="Times New Roman" w:eastAsia="Times New Roman" w:hAnsi="Times New Roman" w:cs="Times New Roman"/>
          <w:kern w:val="0"/>
          <w14:ligatures w14:val="none"/>
        </w:rPr>
        <w:t xml:space="preserve"> mitigates ethanol-induced oxidative stress, fatty degeneration and hepatic steatosis by promoting Nrf2 in mice. </w:t>
      </w:r>
      <w:r w:rsidRPr="00954D78">
        <w:rPr>
          <w:rFonts w:ascii="Times New Roman" w:eastAsia="Times New Roman" w:hAnsi="Times New Roman" w:cs="Times New Roman"/>
          <w:i/>
          <w:iCs/>
          <w:kern w:val="0"/>
          <w14:ligatures w14:val="none"/>
        </w:rPr>
        <w:t>Phytomedicine, 100</w:t>
      </w:r>
      <w:r w:rsidRPr="00954D78">
        <w:rPr>
          <w:rFonts w:ascii="Times New Roman" w:eastAsia="Times New Roman" w:hAnsi="Times New Roman" w:cs="Times New Roman"/>
          <w:kern w:val="0"/>
          <w14:ligatures w14:val="none"/>
        </w:rPr>
        <w:t xml:space="preserve">, 154037. </w:t>
      </w:r>
      <w:hyperlink r:id="rId11" w:tgtFrame="_new" w:history="1">
        <w:r w:rsidRPr="00954D78">
          <w:rPr>
            <w:rFonts w:ascii="Times New Roman" w:eastAsia="Times New Roman" w:hAnsi="Times New Roman" w:cs="Times New Roman"/>
            <w:color w:val="0000FF"/>
            <w:kern w:val="0"/>
            <w:u w:val="single"/>
            <w14:ligatures w14:val="none"/>
          </w:rPr>
          <w:t>https://doi.org/10.1016/j.phymed.2022.154037</w:t>
        </w:r>
      </w:hyperlink>
    </w:p>
    <w:p w14:paraId="384F77CF" w14:textId="77777777" w:rsidR="00954D78" w:rsidRPr="00954D78" w:rsidRDefault="00954D78" w:rsidP="00954D78">
      <w:p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954D78">
        <w:rPr>
          <w:rFonts w:ascii="Times New Roman" w:eastAsia="Times New Roman" w:hAnsi="Times New Roman" w:cs="Times New Roman"/>
          <w:b/>
          <w:bCs/>
          <w:kern w:val="0"/>
          <w14:ligatures w14:val="none"/>
        </w:rPr>
        <w:t>Klaunig</w:t>
      </w:r>
      <w:proofErr w:type="spellEnd"/>
      <w:r w:rsidRPr="00954D78">
        <w:rPr>
          <w:rFonts w:ascii="Times New Roman" w:eastAsia="Times New Roman" w:hAnsi="Times New Roman" w:cs="Times New Roman"/>
          <w:b/>
          <w:bCs/>
          <w:kern w:val="0"/>
          <w14:ligatures w14:val="none"/>
        </w:rPr>
        <w:t>, J. E., Wang, Z., Pu, X., &amp; Zhou, S.</w:t>
      </w:r>
      <w:r w:rsidRPr="00954D78">
        <w:rPr>
          <w:rFonts w:ascii="Times New Roman" w:eastAsia="Times New Roman" w:hAnsi="Times New Roman" w:cs="Times New Roman"/>
          <w:kern w:val="0"/>
          <w14:ligatures w14:val="none"/>
        </w:rPr>
        <w:t xml:space="preserve"> (2011). Oxidative stress and oxidative damage in chemical carcinogenesis. </w:t>
      </w:r>
      <w:r w:rsidRPr="00954D78">
        <w:rPr>
          <w:rFonts w:ascii="Times New Roman" w:eastAsia="Times New Roman" w:hAnsi="Times New Roman" w:cs="Times New Roman"/>
          <w:i/>
          <w:iCs/>
          <w:kern w:val="0"/>
          <w14:ligatures w14:val="none"/>
        </w:rPr>
        <w:t>Toxicology and Applied Pharmacology, 254</w:t>
      </w:r>
      <w:r w:rsidRPr="00954D78">
        <w:rPr>
          <w:rFonts w:ascii="Times New Roman" w:eastAsia="Times New Roman" w:hAnsi="Times New Roman" w:cs="Times New Roman"/>
          <w:kern w:val="0"/>
          <w14:ligatures w14:val="none"/>
        </w:rPr>
        <w:t xml:space="preserve">(2), 86–99. </w:t>
      </w:r>
      <w:hyperlink r:id="rId12" w:tgtFrame="_new" w:history="1">
        <w:r w:rsidRPr="00954D78">
          <w:rPr>
            <w:rFonts w:ascii="Times New Roman" w:eastAsia="Times New Roman" w:hAnsi="Times New Roman" w:cs="Times New Roman"/>
            <w:color w:val="0000FF"/>
            <w:kern w:val="0"/>
            <w:u w:val="single"/>
            <w14:ligatures w14:val="none"/>
          </w:rPr>
          <w:t>https://doi.org/10.1016/j.taap.2009.11.028</w:t>
        </w:r>
      </w:hyperlink>
    </w:p>
    <w:p w14:paraId="5BB3FEFD" w14:textId="77777777" w:rsidR="00954D78" w:rsidRPr="00954D78" w:rsidRDefault="00954D78" w:rsidP="00954D78">
      <w:pPr>
        <w:spacing w:before="100" w:beforeAutospacing="1" w:after="100" w:afterAutospacing="1" w:line="240" w:lineRule="auto"/>
        <w:rPr>
          <w:rFonts w:ascii="Times New Roman" w:eastAsia="Times New Roman" w:hAnsi="Times New Roman" w:cs="Times New Roman"/>
          <w:kern w:val="0"/>
          <w14:ligatures w14:val="none"/>
        </w:rPr>
      </w:pPr>
      <w:r w:rsidRPr="00954D78">
        <w:rPr>
          <w:rFonts w:ascii="Times New Roman" w:eastAsia="Times New Roman" w:hAnsi="Times New Roman" w:cs="Times New Roman"/>
          <w:b/>
          <w:bCs/>
          <w:kern w:val="0"/>
          <w14:ligatures w14:val="none"/>
        </w:rPr>
        <w:t xml:space="preserve">Kou, X., Li, B., </w:t>
      </w:r>
      <w:proofErr w:type="spellStart"/>
      <w:r w:rsidRPr="00954D78">
        <w:rPr>
          <w:rFonts w:ascii="Times New Roman" w:eastAsia="Times New Roman" w:hAnsi="Times New Roman" w:cs="Times New Roman"/>
          <w:b/>
          <w:bCs/>
          <w:kern w:val="0"/>
          <w14:ligatures w14:val="none"/>
        </w:rPr>
        <w:t>Olayanju</w:t>
      </w:r>
      <w:proofErr w:type="spellEnd"/>
      <w:r w:rsidRPr="00954D78">
        <w:rPr>
          <w:rFonts w:ascii="Times New Roman" w:eastAsia="Times New Roman" w:hAnsi="Times New Roman" w:cs="Times New Roman"/>
          <w:b/>
          <w:bCs/>
          <w:kern w:val="0"/>
          <w14:ligatures w14:val="none"/>
        </w:rPr>
        <w:t>, J. B., Drake, J. M., &amp; Chen, N.</w:t>
      </w:r>
      <w:r w:rsidRPr="00954D78">
        <w:rPr>
          <w:rFonts w:ascii="Times New Roman" w:eastAsia="Times New Roman" w:hAnsi="Times New Roman" w:cs="Times New Roman"/>
          <w:kern w:val="0"/>
          <w14:ligatures w14:val="none"/>
        </w:rPr>
        <w:t xml:space="preserve"> (2018). Nutraceutical or pharmacological potential of </w:t>
      </w:r>
      <w:r w:rsidRPr="00954D78">
        <w:rPr>
          <w:rFonts w:ascii="Times New Roman" w:eastAsia="Times New Roman" w:hAnsi="Times New Roman" w:cs="Times New Roman"/>
          <w:i/>
          <w:iCs/>
          <w:kern w:val="0"/>
          <w14:ligatures w14:val="none"/>
        </w:rPr>
        <w:t>Moringa oleifera</w:t>
      </w:r>
      <w:r w:rsidRPr="00954D78">
        <w:rPr>
          <w:rFonts w:ascii="Times New Roman" w:eastAsia="Times New Roman" w:hAnsi="Times New Roman" w:cs="Times New Roman"/>
          <w:kern w:val="0"/>
          <w14:ligatures w14:val="none"/>
        </w:rPr>
        <w:t xml:space="preserve"> Lam. </w:t>
      </w:r>
      <w:r w:rsidRPr="00954D78">
        <w:rPr>
          <w:rFonts w:ascii="Times New Roman" w:eastAsia="Times New Roman" w:hAnsi="Times New Roman" w:cs="Times New Roman"/>
          <w:i/>
          <w:iCs/>
          <w:kern w:val="0"/>
          <w14:ligatures w14:val="none"/>
        </w:rPr>
        <w:t>Nutrients, 10</w:t>
      </w:r>
      <w:r w:rsidRPr="00954D78">
        <w:rPr>
          <w:rFonts w:ascii="Times New Roman" w:eastAsia="Times New Roman" w:hAnsi="Times New Roman" w:cs="Times New Roman"/>
          <w:kern w:val="0"/>
          <w14:ligatures w14:val="none"/>
        </w:rPr>
        <w:t xml:space="preserve">(3), 343. </w:t>
      </w:r>
      <w:hyperlink r:id="rId13" w:tgtFrame="_new" w:history="1">
        <w:r w:rsidRPr="00954D78">
          <w:rPr>
            <w:rFonts w:ascii="Times New Roman" w:eastAsia="Times New Roman" w:hAnsi="Times New Roman" w:cs="Times New Roman"/>
            <w:color w:val="0000FF"/>
            <w:kern w:val="0"/>
            <w:u w:val="single"/>
            <w14:ligatures w14:val="none"/>
          </w:rPr>
          <w:t>https://doi.org/10.3390/nu10030343</w:t>
        </w:r>
      </w:hyperlink>
    </w:p>
    <w:p w14:paraId="234A11FE" w14:textId="77777777" w:rsidR="00954D78" w:rsidRPr="00954D78" w:rsidRDefault="00954D78" w:rsidP="00954D78">
      <w:p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954D78">
        <w:rPr>
          <w:rFonts w:ascii="Times New Roman" w:eastAsia="Times New Roman" w:hAnsi="Times New Roman" w:cs="Times New Roman"/>
          <w:b/>
          <w:bCs/>
          <w:kern w:val="0"/>
          <w14:ligatures w14:val="none"/>
        </w:rPr>
        <w:lastRenderedPageBreak/>
        <w:t>Masarkar</w:t>
      </w:r>
      <w:proofErr w:type="spellEnd"/>
      <w:r w:rsidRPr="00954D78">
        <w:rPr>
          <w:rFonts w:ascii="Times New Roman" w:eastAsia="Times New Roman" w:hAnsi="Times New Roman" w:cs="Times New Roman"/>
          <w:b/>
          <w:bCs/>
          <w:kern w:val="0"/>
          <w14:ligatures w14:val="none"/>
        </w:rPr>
        <w:t>, N., Ray, S. K., Saleem, Z., &amp; Mukherjee, S.</w:t>
      </w:r>
      <w:r w:rsidRPr="00954D78">
        <w:rPr>
          <w:rFonts w:ascii="Times New Roman" w:eastAsia="Times New Roman" w:hAnsi="Times New Roman" w:cs="Times New Roman"/>
          <w:kern w:val="0"/>
          <w14:ligatures w14:val="none"/>
        </w:rPr>
        <w:t xml:space="preserve"> (2023). Potential anti-cancer activity of </w:t>
      </w:r>
      <w:r w:rsidRPr="00954D78">
        <w:rPr>
          <w:rFonts w:ascii="Times New Roman" w:eastAsia="Times New Roman" w:hAnsi="Times New Roman" w:cs="Times New Roman"/>
          <w:i/>
          <w:iCs/>
          <w:kern w:val="0"/>
          <w14:ligatures w14:val="none"/>
        </w:rPr>
        <w:t>Moringa oleifera</w:t>
      </w:r>
      <w:r w:rsidRPr="00954D78">
        <w:rPr>
          <w:rFonts w:ascii="Times New Roman" w:eastAsia="Times New Roman" w:hAnsi="Times New Roman" w:cs="Times New Roman"/>
          <w:kern w:val="0"/>
          <w14:ligatures w14:val="none"/>
        </w:rPr>
        <w:t xml:space="preserve">–derived bioactive compounds targeting hypoxia-inducible factor 1 alpha in breast cancer. </w:t>
      </w:r>
      <w:r w:rsidRPr="00954D78">
        <w:rPr>
          <w:rFonts w:ascii="Times New Roman" w:eastAsia="Times New Roman" w:hAnsi="Times New Roman" w:cs="Times New Roman"/>
          <w:i/>
          <w:iCs/>
          <w:kern w:val="0"/>
          <w14:ligatures w14:val="none"/>
        </w:rPr>
        <w:t>Journal of Complementary &amp; Integrative Medicine, 18</w:t>
      </w:r>
      <w:r w:rsidRPr="00954D78">
        <w:rPr>
          <w:rFonts w:ascii="Times New Roman" w:eastAsia="Times New Roman" w:hAnsi="Times New Roman" w:cs="Times New Roman"/>
          <w:kern w:val="0"/>
          <w14:ligatures w14:val="none"/>
        </w:rPr>
        <w:t xml:space="preserve">. </w:t>
      </w:r>
      <w:hyperlink r:id="rId14" w:tgtFrame="_new" w:history="1">
        <w:r w:rsidRPr="00954D78">
          <w:rPr>
            <w:rFonts w:ascii="Times New Roman" w:eastAsia="Times New Roman" w:hAnsi="Times New Roman" w:cs="Times New Roman"/>
            <w:color w:val="0000FF"/>
            <w:kern w:val="0"/>
            <w:u w:val="single"/>
            <w14:ligatures w14:val="none"/>
          </w:rPr>
          <w:t>https://doi.org/10.1515/jcim-2023-0182</w:t>
        </w:r>
      </w:hyperlink>
    </w:p>
    <w:p w14:paraId="6BA10E32" w14:textId="77777777" w:rsidR="00954D78" w:rsidRPr="00954D78" w:rsidRDefault="00954D78" w:rsidP="00954D78">
      <w:p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954D78">
        <w:rPr>
          <w:rFonts w:ascii="Times New Roman" w:eastAsia="Times New Roman" w:hAnsi="Times New Roman" w:cs="Times New Roman"/>
          <w:b/>
          <w:bCs/>
          <w:kern w:val="0"/>
          <w14:ligatures w14:val="none"/>
        </w:rPr>
        <w:t>Mundkar</w:t>
      </w:r>
      <w:proofErr w:type="spellEnd"/>
      <w:r w:rsidRPr="00954D78">
        <w:rPr>
          <w:rFonts w:ascii="Times New Roman" w:eastAsia="Times New Roman" w:hAnsi="Times New Roman" w:cs="Times New Roman"/>
          <w:b/>
          <w:bCs/>
          <w:kern w:val="0"/>
          <w14:ligatures w14:val="none"/>
        </w:rPr>
        <w:t xml:space="preserve">, M., </w:t>
      </w:r>
      <w:proofErr w:type="spellStart"/>
      <w:r w:rsidRPr="00954D78">
        <w:rPr>
          <w:rFonts w:ascii="Times New Roman" w:eastAsia="Times New Roman" w:hAnsi="Times New Roman" w:cs="Times New Roman"/>
          <w:b/>
          <w:bCs/>
          <w:kern w:val="0"/>
          <w14:ligatures w14:val="none"/>
        </w:rPr>
        <w:t>Bijalwan</w:t>
      </w:r>
      <w:proofErr w:type="spellEnd"/>
      <w:r w:rsidRPr="00954D78">
        <w:rPr>
          <w:rFonts w:ascii="Times New Roman" w:eastAsia="Times New Roman" w:hAnsi="Times New Roman" w:cs="Times New Roman"/>
          <w:b/>
          <w:bCs/>
          <w:kern w:val="0"/>
          <w14:ligatures w14:val="none"/>
        </w:rPr>
        <w:t>, A., Soni, D., &amp; Kumar, P.</w:t>
      </w:r>
      <w:r w:rsidRPr="00954D78">
        <w:rPr>
          <w:rFonts w:ascii="Times New Roman" w:eastAsia="Times New Roman" w:hAnsi="Times New Roman" w:cs="Times New Roman"/>
          <w:kern w:val="0"/>
          <w14:ligatures w14:val="none"/>
        </w:rPr>
        <w:t xml:space="preserve"> (2022). Neuroprotective potential of </w:t>
      </w:r>
      <w:r w:rsidRPr="00954D78">
        <w:rPr>
          <w:rFonts w:ascii="Times New Roman" w:eastAsia="Times New Roman" w:hAnsi="Times New Roman" w:cs="Times New Roman"/>
          <w:i/>
          <w:iCs/>
          <w:kern w:val="0"/>
          <w14:ligatures w14:val="none"/>
        </w:rPr>
        <w:t>Moringa oleifera</w:t>
      </w:r>
      <w:r w:rsidRPr="00954D78">
        <w:rPr>
          <w:rFonts w:ascii="Times New Roman" w:eastAsia="Times New Roman" w:hAnsi="Times New Roman" w:cs="Times New Roman"/>
          <w:kern w:val="0"/>
          <w14:ligatures w14:val="none"/>
        </w:rPr>
        <w:t xml:space="preserve"> mediated by NF-</w:t>
      </w:r>
      <w:proofErr w:type="spellStart"/>
      <w:r w:rsidRPr="00954D78">
        <w:rPr>
          <w:rFonts w:ascii="Times New Roman" w:eastAsia="Times New Roman" w:hAnsi="Times New Roman" w:cs="Times New Roman"/>
          <w:kern w:val="0"/>
          <w14:ligatures w14:val="none"/>
        </w:rPr>
        <w:t>κB</w:t>
      </w:r>
      <w:proofErr w:type="spellEnd"/>
      <w:r w:rsidRPr="00954D78">
        <w:rPr>
          <w:rFonts w:ascii="Times New Roman" w:eastAsia="Times New Roman" w:hAnsi="Times New Roman" w:cs="Times New Roman"/>
          <w:kern w:val="0"/>
          <w14:ligatures w14:val="none"/>
        </w:rPr>
        <w:t xml:space="preserve">/Nrf2/HO-1 signaling pathway: A review. </w:t>
      </w:r>
      <w:r w:rsidRPr="00954D78">
        <w:rPr>
          <w:rFonts w:ascii="Times New Roman" w:eastAsia="Times New Roman" w:hAnsi="Times New Roman" w:cs="Times New Roman"/>
          <w:i/>
          <w:iCs/>
          <w:kern w:val="0"/>
          <w14:ligatures w14:val="none"/>
        </w:rPr>
        <w:t>Journal of Food Biochemistry, 46</w:t>
      </w:r>
      <w:r w:rsidRPr="00954D78">
        <w:rPr>
          <w:rFonts w:ascii="Times New Roman" w:eastAsia="Times New Roman" w:hAnsi="Times New Roman" w:cs="Times New Roman"/>
          <w:kern w:val="0"/>
          <w14:ligatures w14:val="none"/>
        </w:rPr>
        <w:t xml:space="preserve">(12), e14451. </w:t>
      </w:r>
      <w:hyperlink r:id="rId15" w:tgtFrame="_new" w:history="1">
        <w:r w:rsidRPr="00954D78">
          <w:rPr>
            <w:rFonts w:ascii="Times New Roman" w:eastAsia="Times New Roman" w:hAnsi="Times New Roman" w:cs="Times New Roman"/>
            <w:color w:val="0000FF"/>
            <w:kern w:val="0"/>
            <w:u w:val="single"/>
            <w14:ligatures w14:val="none"/>
          </w:rPr>
          <w:t>https://doi.org/10.1111/jfbc.14451</w:t>
        </w:r>
      </w:hyperlink>
    </w:p>
    <w:p w14:paraId="1CAA7499" w14:textId="77777777" w:rsidR="00954D78" w:rsidRPr="00954D78" w:rsidRDefault="00954D78" w:rsidP="00954D78">
      <w:p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954D78">
        <w:rPr>
          <w:rFonts w:ascii="Times New Roman" w:eastAsia="Times New Roman" w:hAnsi="Times New Roman" w:cs="Times New Roman"/>
          <w:b/>
          <w:bCs/>
          <w:kern w:val="0"/>
          <w14:ligatures w14:val="none"/>
        </w:rPr>
        <w:t>Omodanisi</w:t>
      </w:r>
      <w:proofErr w:type="spellEnd"/>
      <w:r w:rsidRPr="00954D78">
        <w:rPr>
          <w:rFonts w:ascii="Times New Roman" w:eastAsia="Times New Roman" w:hAnsi="Times New Roman" w:cs="Times New Roman"/>
          <w:b/>
          <w:bCs/>
          <w:kern w:val="0"/>
          <w14:ligatures w14:val="none"/>
        </w:rPr>
        <w:t xml:space="preserve">, E. I., Aboua, Y. G., </w:t>
      </w:r>
      <w:proofErr w:type="spellStart"/>
      <w:r w:rsidRPr="00954D78">
        <w:rPr>
          <w:rFonts w:ascii="Times New Roman" w:eastAsia="Times New Roman" w:hAnsi="Times New Roman" w:cs="Times New Roman"/>
          <w:b/>
          <w:bCs/>
          <w:kern w:val="0"/>
          <w14:ligatures w14:val="none"/>
        </w:rPr>
        <w:t>Oguntibeju</w:t>
      </w:r>
      <w:proofErr w:type="spellEnd"/>
      <w:r w:rsidRPr="00954D78">
        <w:rPr>
          <w:rFonts w:ascii="Times New Roman" w:eastAsia="Times New Roman" w:hAnsi="Times New Roman" w:cs="Times New Roman"/>
          <w:b/>
          <w:bCs/>
          <w:kern w:val="0"/>
          <w14:ligatures w14:val="none"/>
        </w:rPr>
        <w:t xml:space="preserve">, O. O., &amp; </w:t>
      </w:r>
      <w:proofErr w:type="spellStart"/>
      <w:r w:rsidRPr="00954D78">
        <w:rPr>
          <w:rFonts w:ascii="Times New Roman" w:eastAsia="Times New Roman" w:hAnsi="Times New Roman" w:cs="Times New Roman"/>
          <w:b/>
          <w:bCs/>
          <w:kern w:val="0"/>
          <w14:ligatures w14:val="none"/>
        </w:rPr>
        <w:t>Lamuela-Raventós</w:t>
      </w:r>
      <w:proofErr w:type="spellEnd"/>
      <w:r w:rsidRPr="00954D78">
        <w:rPr>
          <w:rFonts w:ascii="Times New Roman" w:eastAsia="Times New Roman" w:hAnsi="Times New Roman" w:cs="Times New Roman"/>
          <w:b/>
          <w:bCs/>
          <w:kern w:val="0"/>
          <w14:ligatures w14:val="none"/>
        </w:rPr>
        <w:t>, R. M.</w:t>
      </w:r>
      <w:r w:rsidRPr="00954D78">
        <w:rPr>
          <w:rFonts w:ascii="Times New Roman" w:eastAsia="Times New Roman" w:hAnsi="Times New Roman" w:cs="Times New Roman"/>
          <w:kern w:val="0"/>
          <w14:ligatures w14:val="none"/>
        </w:rPr>
        <w:t xml:space="preserve"> (2017). Assessment of the anti-</w:t>
      </w:r>
      <w:proofErr w:type="spellStart"/>
      <w:r w:rsidRPr="00954D78">
        <w:rPr>
          <w:rFonts w:ascii="Times New Roman" w:eastAsia="Times New Roman" w:hAnsi="Times New Roman" w:cs="Times New Roman"/>
          <w:kern w:val="0"/>
          <w14:ligatures w14:val="none"/>
        </w:rPr>
        <w:t>hyperglycaemic</w:t>
      </w:r>
      <w:proofErr w:type="spellEnd"/>
      <w:r w:rsidRPr="00954D78">
        <w:rPr>
          <w:rFonts w:ascii="Times New Roman" w:eastAsia="Times New Roman" w:hAnsi="Times New Roman" w:cs="Times New Roman"/>
          <w:kern w:val="0"/>
          <w14:ligatures w14:val="none"/>
        </w:rPr>
        <w:t xml:space="preserve">, anti-inflammatory and antioxidant activities of the methanol extract of </w:t>
      </w:r>
      <w:r w:rsidRPr="00954D78">
        <w:rPr>
          <w:rFonts w:ascii="Times New Roman" w:eastAsia="Times New Roman" w:hAnsi="Times New Roman" w:cs="Times New Roman"/>
          <w:i/>
          <w:iCs/>
          <w:kern w:val="0"/>
          <w14:ligatures w14:val="none"/>
        </w:rPr>
        <w:t>Moringa oleifera</w:t>
      </w:r>
      <w:r w:rsidRPr="00954D78">
        <w:rPr>
          <w:rFonts w:ascii="Times New Roman" w:eastAsia="Times New Roman" w:hAnsi="Times New Roman" w:cs="Times New Roman"/>
          <w:kern w:val="0"/>
          <w14:ligatures w14:val="none"/>
        </w:rPr>
        <w:t xml:space="preserve"> in diabetes-induced nephrotoxic male Wistar rats. </w:t>
      </w:r>
      <w:r w:rsidRPr="00954D78">
        <w:rPr>
          <w:rFonts w:ascii="Times New Roman" w:eastAsia="Times New Roman" w:hAnsi="Times New Roman" w:cs="Times New Roman"/>
          <w:i/>
          <w:iCs/>
          <w:kern w:val="0"/>
          <w14:ligatures w14:val="none"/>
        </w:rPr>
        <w:t>Molecules, 22</w:t>
      </w:r>
      <w:r w:rsidRPr="00954D78">
        <w:rPr>
          <w:rFonts w:ascii="Times New Roman" w:eastAsia="Times New Roman" w:hAnsi="Times New Roman" w:cs="Times New Roman"/>
          <w:kern w:val="0"/>
          <w14:ligatures w14:val="none"/>
        </w:rPr>
        <w:t xml:space="preserve">(4), 439. </w:t>
      </w:r>
      <w:hyperlink r:id="rId16" w:tgtFrame="_new" w:history="1">
        <w:r w:rsidRPr="00954D78">
          <w:rPr>
            <w:rFonts w:ascii="Times New Roman" w:eastAsia="Times New Roman" w:hAnsi="Times New Roman" w:cs="Times New Roman"/>
            <w:color w:val="0000FF"/>
            <w:kern w:val="0"/>
            <w:u w:val="single"/>
            <w14:ligatures w14:val="none"/>
          </w:rPr>
          <w:t>https://doi.org/10.3390/molecules22040439</w:t>
        </w:r>
      </w:hyperlink>
    </w:p>
    <w:p w14:paraId="5247E2BB" w14:textId="77777777" w:rsidR="00954D78" w:rsidRPr="00954D78" w:rsidRDefault="00954D78" w:rsidP="00954D78">
      <w:pPr>
        <w:spacing w:before="100" w:beforeAutospacing="1" w:after="100" w:afterAutospacing="1" w:line="240" w:lineRule="auto"/>
        <w:rPr>
          <w:rFonts w:ascii="Times New Roman" w:eastAsia="Times New Roman" w:hAnsi="Times New Roman" w:cs="Times New Roman"/>
          <w:kern w:val="0"/>
          <w14:ligatures w14:val="none"/>
        </w:rPr>
      </w:pPr>
      <w:r w:rsidRPr="00954D78">
        <w:rPr>
          <w:rFonts w:ascii="Times New Roman" w:eastAsia="Times New Roman" w:hAnsi="Times New Roman" w:cs="Times New Roman"/>
          <w:b/>
          <w:bCs/>
          <w:kern w:val="0"/>
          <w14:ligatures w14:val="none"/>
        </w:rPr>
        <w:t xml:space="preserve">Pagano, C., </w:t>
      </w:r>
      <w:proofErr w:type="spellStart"/>
      <w:r w:rsidRPr="00954D78">
        <w:rPr>
          <w:rFonts w:ascii="Times New Roman" w:eastAsia="Times New Roman" w:hAnsi="Times New Roman" w:cs="Times New Roman"/>
          <w:b/>
          <w:bCs/>
          <w:kern w:val="0"/>
          <w14:ligatures w14:val="none"/>
        </w:rPr>
        <w:t>Perioli</w:t>
      </w:r>
      <w:proofErr w:type="spellEnd"/>
      <w:r w:rsidRPr="00954D78">
        <w:rPr>
          <w:rFonts w:ascii="Times New Roman" w:eastAsia="Times New Roman" w:hAnsi="Times New Roman" w:cs="Times New Roman"/>
          <w:b/>
          <w:bCs/>
          <w:kern w:val="0"/>
          <w14:ligatures w14:val="none"/>
        </w:rPr>
        <w:t xml:space="preserve">, L., Baiocchi, C., </w:t>
      </w:r>
      <w:proofErr w:type="spellStart"/>
      <w:r w:rsidRPr="00954D78">
        <w:rPr>
          <w:rFonts w:ascii="Times New Roman" w:eastAsia="Times New Roman" w:hAnsi="Times New Roman" w:cs="Times New Roman"/>
          <w:b/>
          <w:bCs/>
          <w:kern w:val="0"/>
          <w14:ligatures w14:val="none"/>
        </w:rPr>
        <w:t>Bartoccini</w:t>
      </w:r>
      <w:proofErr w:type="spellEnd"/>
      <w:r w:rsidRPr="00954D78">
        <w:rPr>
          <w:rFonts w:ascii="Times New Roman" w:eastAsia="Times New Roman" w:hAnsi="Times New Roman" w:cs="Times New Roman"/>
          <w:b/>
          <w:bCs/>
          <w:kern w:val="0"/>
          <w14:ligatures w14:val="none"/>
        </w:rPr>
        <w:t>, A., Beccari, T., &amp; Blasi, F.</w:t>
      </w:r>
      <w:r w:rsidRPr="00954D78">
        <w:rPr>
          <w:rFonts w:ascii="Times New Roman" w:eastAsia="Times New Roman" w:hAnsi="Times New Roman" w:cs="Times New Roman"/>
          <w:kern w:val="0"/>
          <w14:ligatures w14:val="none"/>
        </w:rPr>
        <w:t xml:space="preserve"> (2020). Preparation and characterization of polymeric microparticles loaded with </w:t>
      </w:r>
      <w:r w:rsidRPr="00954D78">
        <w:rPr>
          <w:rFonts w:ascii="Times New Roman" w:eastAsia="Times New Roman" w:hAnsi="Times New Roman" w:cs="Times New Roman"/>
          <w:i/>
          <w:iCs/>
          <w:kern w:val="0"/>
          <w14:ligatures w14:val="none"/>
        </w:rPr>
        <w:t>Moringa oleifera</w:t>
      </w:r>
      <w:r w:rsidRPr="00954D78">
        <w:rPr>
          <w:rFonts w:ascii="Times New Roman" w:eastAsia="Times New Roman" w:hAnsi="Times New Roman" w:cs="Times New Roman"/>
          <w:kern w:val="0"/>
          <w14:ligatures w14:val="none"/>
        </w:rPr>
        <w:t xml:space="preserve"> leaf extract for exuding wound treatment. </w:t>
      </w:r>
      <w:r w:rsidRPr="00954D78">
        <w:rPr>
          <w:rFonts w:ascii="Times New Roman" w:eastAsia="Times New Roman" w:hAnsi="Times New Roman" w:cs="Times New Roman"/>
          <w:i/>
          <w:iCs/>
          <w:kern w:val="0"/>
          <w14:ligatures w14:val="none"/>
        </w:rPr>
        <w:t>International Journal of Pharmaceutics, 587</w:t>
      </w:r>
      <w:r w:rsidRPr="00954D78">
        <w:rPr>
          <w:rFonts w:ascii="Times New Roman" w:eastAsia="Times New Roman" w:hAnsi="Times New Roman" w:cs="Times New Roman"/>
          <w:kern w:val="0"/>
          <w14:ligatures w14:val="none"/>
        </w:rPr>
        <w:t xml:space="preserve">, 119700. </w:t>
      </w:r>
      <w:hyperlink r:id="rId17" w:tgtFrame="_new" w:history="1">
        <w:r w:rsidRPr="00954D78">
          <w:rPr>
            <w:rFonts w:ascii="Times New Roman" w:eastAsia="Times New Roman" w:hAnsi="Times New Roman" w:cs="Times New Roman"/>
            <w:color w:val="0000FF"/>
            <w:kern w:val="0"/>
            <w:u w:val="single"/>
            <w14:ligatures w14:val="none"/>
          </w:rPr>
          <w:t>https://doi.org/10.1016/j.ijpharm.2020.119700</w:t>
        </w:r>
      </w:hyperlink>
    </w:p>
    <w:p w14:paraId="2AD1EEE9" w14:textId="77777777" w:rsidR="00954D78" w:rsidRPr="00954D78" w:rsidRDefault="00954D78" w:rsidP="00954D78">
      <w:pPr>
        <w:spacing w:before="100" w:beforeAutospacing="1" w:after="100" w:afterAutospacing="1" w:line="240" w:lineRule="auto"/>
        <w:rPr>
          <w:rFonts w:ascii="Times New Roman" w:eastAsia="Times New Roman" w:hAnsi="Times New Roman" w:cs="Times New Roman"/>
          <w:kern w:val="0"/>
          <w14:ligatures w14:val="none"/>
        </w:rPr>
      </w:pPr>
      <w:r w:rsidRPr="00954D78">
        <w:rPr>
          <w:rFonts w:ascii="Times New Roman" w:eastAsia="Times New Roman" w:hAnsi="Times New Roman" w:cs="Times New Roman"/>
          <w:b/>
          <w:bCs/>
          <w:kern w:val="0"/>
          <w14:ligatures w14:val="none"/>
        </w:rPr>
        <w:t>Reitman, S., &amp; Frankel, S.</w:t>
      </w:r>
      <w:r w:rsidRPr="00954D78">
        <w:rPr>
          <w:rFonts w:ascii="Times New Roman" w:eastAsia="Times New Roman" w:hAnsi="Times New Roman" w:cs="Times New Roman"/>
          <w:kern w:val="0"/>
          <w14:ligatures w14:val="none"/>
        </w:rPr>
        <w:t xml:space="preserve"> (1957). A colorimetric method for the determination of serum glutamic </w:t>
      </w:r>
      <w:proofErr w:type="spellStart"/>
      <w:r w:rsidRPr="00954D78">
        <w:rPr>
          <w:rFonts w:ascii="Times New Roman" w:eastAsia="Times New Roman" w:hAnsi="Times New Roman" w:cs="Times New Roman"/>
          <w:kern w:val="0"/>
          <w14:ligatures w14:val="none"/>
        </w:rPr>
        <w:t>oxalacetic</w:t>
      </w:r>
      <w:proofErr w:type="spellEnd"/>
      <w:r w:rsidRPr="00954D78">
        <w:rPr>
          <w:rFonts w:ascii="Times New Roman" w:eastAsia="Times New Roman" w:hAnsi="Times New Roman" w:cs="Times New Roman"/>
          <w:kern w:val="0"/>
          <w14:ligatures w14:val="none"/>
        </w:rPr>
        <w:t xml:space="preserve"> and glutamic pyruvic transaminases. </w:t>
      </w:r>
      <w:r w:rsidRPr="00954D78">
        <w:rPr>
          <w:rFonts w:ascii="Times New Roman" w:eastAsia="Times New Roman" w:hAnsi="Times New Roman" w:cs="Times New Roman"/>
          <w:i/>
          <w:iCs/>
          <w:kern w:val="0"/>
          <w14:ligatures w14:val="none"/>
        </w:rPr>
        <w:t>American Journal of Clinical Pathology, 28</w:t>
      </w:r>
      <w:r w:rsidRPr="00954D78">
        <w:rPr>
          <w:rFonts w:ascii="Times New Roman" w:eastAsia="Times New Roman" w:hAnsi="Times New Roman" w:cs="Times New Roman"/>
          <w:kern w:val="0"/>
          <w14:ligatures w14:val="none"/>
        </w:rPr>
        <w:t xml:space="preserve">(1), 56–63. </w:t>
      </w:r>
      <w:hyperlink r:id="rId18" w:tgtFrame="_new" w:history="1">
        <w:r w:rsidRPr="00954D78">
          <w:rPr>
            <w:rFonts w:ascii="Times New Roman" w:eastAsia="Times New Roman" w:hAnsi="Times New Roman" w:cs="Times New Roman"/>
            <w:color w:val="0000FF"/>
            <w:kern w:val="0"/>
            <w:u w:val="single"/>
            <w14:ligatures w14:val="none"/>
          </w:rPr>
          <w:t>https://doi.org/10.1093/ajcp/28.1.56</w:t>
        </w:r>
      </w:hyperlink>
    </w:p>
    <w:p w14:paraId="52C7255A" w14:textId="77777777" w:rsidR="00954D78" w:rsidRPr="00954D78" w:rsidRDefault="00954D78" w:rsidP="00954D78">
      <w:pPr>
        <w:spacing w:before="100" w:beforeAutospacing="1" w:after="100" w:afterAutospacing="1" w:line="240" w:lineRule="auto"/>
        <w:rPr>
          <w:rFonts w:ascii="Times New Roman" w:eastAsia="Times New Roman" w:hAnsi="Times New Roman" w:cs="Times New Roman"/>
          <w:kern w:val="0"/>
          <w14:ligatures w14:val="none"/>
        </w:rPr>
      </w:pPr>
      <w:r w:rsidRPr="00954D78">
        <w:rPr>
          <w:rFonts w:ascii="Times New Roman" w:eastAsia="Times New Roman" w:hAnsi="Times New Roman" w:cs="Times New Roman"/>
          <w:b/>
          <w:bCs/>
          <w:kern w:val="0"/>
          <w14:ligatures w14:val="none"/>
        </w:rPr>
        <w:t xml:space="preserve">Sharma, P., </w:t>
      </w:r>
      <w:proofErr w:type="spellStart"/>
      <w:r w:rsidRPr="00954D78">
        <w:rPr>
          <w:rFonts w:ascii="Times New Roman" w:eastAsia="Times New Roman" w:hAnsi="Times New Roman" w:cs="Times New Roman"/>
          <w:b/>
          <w:bCs/>
          <w:kern w:val="0"/>
          <w14:ligatures w14:val="none"/>
        </w:rPr>
        <w:t>Wichaphon</w:t>
      </w:r>
      <w:proofErr w:type="spellEnd"/>
      <w:r w:rsidRPr="00954D78">
        <w:rPr>
          <w:rFonts w:ascii="Times New Roman" w:eastAsia="Times New Roman" w:hAnsi="Times New Roman" w:cs="Times New Roman"/>
          <w:b/>
          <w:bCs/>
          <w:kern w:val="0"/>
          <w14:ligatures w14:val="none"/>
        </w:rPr>
        <w:t xml:space="preserve">, J., &amp; </w:t>
      </w:r>
      <w:proofErr w:type="spellStart"/>
      <w:r w:rsidRPr="00954D78">
        <w:rPr>
          <w:rFonts w:ascii="Times New Roman" w:eastAsia="Times New Roman" w:hAnsi="Times New Roman" w:cs="Times New Roman"/>
          <w:b/>
          <w:bCs/>
          <w:kern w:val="0"/>
          <w14:ligatures w14:val="none"/>
        </w:rPr>
        <w:t>Klangpetch</w:t>
      </w:r>
      <w:proofErr w:type="spellEnd"/>
      <w:r w:rsidRPr="00954D78">
        <w:rPr>
          <w:rFonts w:ascii="Times New Roman" w:eastAsia="Times New Roman" w:hAnsi="Times New Roman" w:cs="Times New Roman"/>
          <w:b/>
          <w:bCs/>
          <w:kern w:val="0"/>
          <w14:ligatures w14:val="none"/>
        </w:rPr>
        <w:t>, W.</w:t>
      </w:r>
      <w:r w:rsidRPr="00954D78">
        <w:rPr>
          <w:rFonts w:ascii="Times New Roman" w:eastAsia="Times New Roman" w:hAnsi="Times New Roman" w:cs="Times New Roman"/>
          <w:kern w:val="0"/>
          <w14:ligatures w14:val="none"/>
        </w:rPr>
        <w:t xml:space="preserve"> (2020). Antimicrobial and antioxidant activities of defatted </w:t>
      </w:r>
      <w:r w:rsidRPr="00954D78">
        <w:rPr>
          <w:rFonts w:ascii="Times New Roman" w:eastAsia="Times New Roman" w:hAnsi="Times New Roman" w:cs="Times New Roman"/>
          <w:i/>
          <w:iCs/>
          <w:kern w:val="0"/>
          <w14:ligatures w14:val="none"/>
        </w:rPr>
        <w:t>Moringa oleifera</w:t>
      </w:r>
      <w:r w:rsidRPr="00954D78">
        <w:rPr>
          <w:rFonts w:ascii="Times New Roman" w:eastAsia="Times New Roman" w:hAnsi="Times New Roman" w:cs="Times New Roman"/>
          <w:kern w:val="0"/>
          <w14:ligatures w14:val="none"/>
        </w:rPr>
        <w:t xml:space="preserve"> seed meal extract obtained by ultrasound assisted extraction and application as a natural antimicrobial coating for raw chicken sausages. </w:t>
      </w:r>
      <w:r w:rsidRPr="00954D78">
        <w:rPr>
          <w:rFonts w:ascii="Times New Roman" w:eastAsia="Times New Roman" w:hAnsi="Times New Roman" w:cs="Times New Roman"/>
          <w:i/>
          <w:iCs/>
          <w:kern w:val="0"/>
          <w14:ligatures w14:val="none"/>
        </w:rPr>
        <w:t>International Journal of Food Microbiology, 332</w:t>
      </w:r>
      <w:r w:rsidRPr="00954D78">
        <w:rPr>
          <w:rFonts w:ascii="Times New Roman" w:eastAsia="Times New Roman" w:hAnsi="Times New Roman" w:cs="Times New Roman"/>
          <w:kern w:val="0"/>
          <w14:ligatures w14:val="none"/>
        </w:rPr>
        <w:t xml:space="preserve">, 108770. </w:t>
      </w:r>
      <w:hyperlink r:id="rId19" w:tgtFrame="_new" w:history="1">
        <w:r w:rsidRPr="00954D78">
          <w:rPr>
            <w:rFonts w:ascii="Times New Roman" w:eastAsia="Times New Roman" w:hAnsi="Times New Roman" w:cs="Times New Roman"/>
            <w:color w:val="0000FF"/>
            <w:kern w:val="0"/>
            <w:u w:val="single"/>
            <w14:ligatures w14:val="none"/>
          </w:rPr>
          <w:t>https://doi.org/10.1016/j.ijfoodmicro.2020.108770</w:t>
        </w:r>
      </w:hyperlink>
    </w:p>
    <w:p w14:paraId="3CF0DD30" w14:textId="77777777" w:rsidR="00954D78" w:rsidRPr="00954D78" w:rsidRDefault="00954D78" w:rsidP="00954D78">
      <w:pPr>
        <w:spacing w:before="100" w:beforeAutospacing="1" w:after="100" w:afterAutospacing="1" w:line="240" w:lineRule="auto"/>
        <w:rPr>
          <w:rFonts w:ascii="Times New Roman" w:eastAsia="Times New Roman" w:hAnsi="Times New Roman" w:cs="Times New Roman"/>
          <w:kern w:val="0"/>
          <w14:ligatures w14:val="none"/>
        </w:rPr>
      </w:pPr>
      <w:r w:rsidRPr="00954D78">
        <w:rPr>
          <w:rFonts w:ascii="Times New Roman" w:eastAsia="Times New Roman" w:hAnsi="Times New Roman" w:cs="Times New Roman"/>
          <w:b/>
          <w:bCs/>
          <w:kern w:val="0"/>
          <w14:ligatures w14:val="none"/>
        </w:rPr>
        <w:t>Singh, M., Singh, S., &amp; Verma, D.</w:t>
      </w:r>
      <w:r w:rsidRPr="00954D78">
        <w:rPr>
          <w:rFonts w:ascii="Times New Roman" w:eastAsia="Times New Roman" w:hAnsi="Times New Roman" w:cs="Times New Roman"/>
          <w:kern w:val="0"/>
          <w14:ligatures w14:val="none"/>
        </w:rPr>
        <w:t xml:space="preserve"> (2020). Morphological and </w:t>
      </w:r>
      <w:proofErr w:type="spellStart"/>
      <w:r w:rsidRPr="00954D78">
        <w:rPr>
          <w:rFonts w:ascii="Times New Roman" w:eastAsia="Times New Roman" w:hAnsi="Times New Roman" w:cs="Times New Roman"/>
          <w:kern w:val="0"/>
          <w14:ligatures w14:val="none"/>
        </w:rPr>
        <w:t>pharmacognostical</w:t>
      </w:r>
      <w:proofErr w:type="spellEnd"/>
      <w:r w:rsidRPr="00954D78">
        <w:rPr>
          <w:rFonts w:ascii="Times New Roman" w:eastAsia="Times New Roman" w:hAnsi="Times New Roman" w:cs="Times New Roman"/>
          <w:kern w:val="0"/>
          <w14:ligatures w14:val="none"/>
        </w:rPr>
        <w:t xml:space="preserve"> evaluation of </w:t>
      </w:r>
      <w:r w:rsidRPr="00954D78">
        <w:rPr>
          <w:rFonts w:ascii="Times New Roman" w:eastAsia="Times New Roman" w:hAnsi="Times New Roman" w:cs="Times New Roman"/>
          <w:i/>
          <w:iCs/>
          <w:kern w:val="0"/>
          <w14:ligatures w14:val="none"/>
        </w:rPr>
        <w:t>Moringa oleifera</w:t>
      </w:r>
      <w:r w:rsidRPr="00954D78">
        <w:rPr>
          <w:rFonts w:ascii="Times New Roman" w:eastAsia="Times New Roman" w:hAnsi="Times New Roman" w:cs="Times New Roman"/>
          <w:kern w:val="0"/>
          <w14:ligatures w14:val="none"/>
        </w:rPr>
        <w:t xml:space="preserve"> Lam. (</w:t>
      </w:r>
      <w:proofErr w:type="spellStart"/>
      <w:r w:rsidRPr="00954D78">
        <w:rPr>
          <w:rFonts w:ascii="Times New Roman" w:eastAsia="Times New Roman" w:hAnsi="Times New Roman" w:cs="Times New Roman"/>
          <w:kern w:val="0"/>
          <w14:ligatures w14:val="none"/>
        </w:rPr>
        <w:t>Moringaceae</w:t>
      </w:r>
      <w:proofErr w:type="spellEnd"/>
      <w:r w:rsidRPr="00954D78">
        <w:rPr>
          <w:rFonts w:ascii="Times New Roman" w:eastAsia="Times New Roman" w:hAnsi="Times New Roman" w:cs="Times New Roman"/>
          <w:kern w:val="0"/>
          <w14:ligatures w14:val="none"/>
        </w:rPr>
        <w:t xml:space="preserve">): A plant with high medicinal value in tropical and subtropical parts of the world. </w:t>
      </w:r>
      <w:r w:rsidRPr="00954D78">
        <w:rPr>
          <w:rFonts w:ascii="Times New Roman" w:eastAsia="Times New Roman" w:hAnsi="Times New Roman" w:cs="Times New Roman"/>
          <w:i/>
          <w:iCs/>
          <w:kern w:val="0"/>
          <w14:ligatures w14:val="none"/>
        </w:rPr>
        <w:t>Pharmacognosy Reviews, 14</w:t>
      </w:r>
      <w:r w:rsidRPr="00954D78">
        <w:rPr>
          <w:rFonts w:ascii="Times New Roman" w:eastAsia="Times New Roman" w:hAnsi="Times New Roman" w:cs="Times New Roman"/>
          <w:kern w:val="0"/>
          <w14:ligatures w14:val="none"/>
        </w:rPr>
        <w:t>(28), 138–183.</w:t>
      </w:r>
    </w:p>
    <w:p w14:paraId="7F625F10" w14:textId="77777777" w:rsidR="00954D78" w:rsidRPr="00954D78" w:rsidRDefault="00954D78" w:rsidP="00954D78">
      <w:p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954D78">
        <w:rPr>
          <w:rFonts w:ascii="Times New Roman" w:eastAsia="Times New Roman" w:hAnsi="Times New Roman" w:cs="Times New Roman"/>
          <w:b/>
          <w:bCs/>
          <w:kern w:val="0"/>
          <w14:ligatures w14:val="none"/>
        </w:rPr>
        <w:t>Tuorkey</w:t>
      </w:r>
      <w:proofErr w:type="spellEnd"/>
      <w:r w:rsidRPr="00954D78">
        <w:rPr>
          <w:rFonts w:ascii="Times New Roman" w:eastAsia="Times New Roman" w:hAnsi="Times New Roman" w:cs="Times New Roman"/>
          <w:b/>
          <w:bCs/>
          <w:kern w:val="0"/>
          <w14:ligatures w14:val="none"/>
        </w:rPr>
        <w:t>, M. J.</w:t>
      </w:r>
      <w:r w:rsidRPr="00954D78">
        <w:rPr>
          <w:rFonts w:ascii="Times New Roman" w:eastAsia="Times New Roman" w:hAnsi="Times New Roman" w:cs="Times New Roman"/>
          <w:kern w:val="0"/>
          <w14:ligatures w14:val="none"/>
        </w:rPr>
        <w:t xml:space="preserve"> (2020). Effects of </w:t>
      </w:r>
      <w:r w:rsidRPr="00954D78">
        <w:rPr>
          <w:rFonts w:ascii="Times New Roman" w:eastAsia="Times New Roman" w:hAnsi="Times New Roman" w:cs="Times New Roman"/>
          <w:i/>
          <w:iCs/>
          <w:kern w:val="0"/>
          <w14:ligatures w14:val="none"/>
        </w:rPr>
        <w:t>Moringa oleifera</w:t>
      </w:r>
      <w:r w:rsidRPr="00954D78">
        <w:rPr>
          <w:rFonts w:ascii="Times New Roman" w:eastAsia="Times New Roman" w:hAnsi="Times New Roman" w:cs="Times New Roman"/>
          <w:kern w:val="0"/>
          <w14:ligatures w14:val="none"/>
        </w:rPr>
        <w:t xml:space="preserve"> aqueous leaf extract in alloxan-induced diabetic mice. </w:t>
      </w:r>
      <w:r w:rsidRPr="00954D78">
        <w:rPr>
          <w:rFonts w:ascii="Times New Roman" w:eastAsia="Times New Roman" w:hAnsi="Times New Roman" w:cs="Times New Roman"/>
          <w:i/>
          <w:iCs/>
          <w:kern w:val="0"/>
          <w14:ligatures w14:val="none"/>
        </w:rPr>
        <w:t>Interventional Medicine &amp; Applied Science, 8</w:t>
      </w:r>
      <w:r w:rsidRPr="00954D78">
        <w:rPr>
          <w:rFonts w:ascii="Times New Roman" w:eastAsia="Times New Roman" w:hAnsi="Times New Roman" w:cs="Times New Roman"/>
          <w:kern w:val="0"/>
          <w14:ligatures w14:val="none"/>
        </w:rPr>
        <w:t>(3), 109–126.</w:t>
      </w:r>
    </w:p>
    <w:p w14:paraId="7BE5E6D7" w14:textId="77777777" w:rsidR="00954D78" w:rsidRPr="00954D78" w:rsidRDefault="00954D78" w:rsidP="00954D78">
      <w:pPr>
        <w:spacing w:before="100" w:beforeAutospacing="1" w:after="100" w:afterAutospacing="1" w:line="240" w:lineRule="auto"/>
        <w:rPr>
          <w:rFonts w:ascii="Times New Roman" w:eastAsia="Times New Roman" w:hAnsi="Times New Roman" w:cs="Times New Roman"/>
          <w:kern w:val="0"/>
          <w14:ligatures w14:val="none"/>
        </w:rPr>
      </w:pPr>
      <w:r w:rsidRPr="00954D78">
        <w:rPr>
          <w:rFonts w:ascii="Times New Roman" w:eastAsia="Times New Roman" w:hAnsi="Times New Roman" w:cs="Times New Roman"/>
          <w:b/>
          <w:bCs/>
          <w:kern w:val="0"/>
          <w14:ligatures w14:val="none"/>
        </w:rPr>
        <w:t>Wright, A. F.</w:t>
      </w:r>
      <w:r w:rsidRPr="00954D78">
        <w:rPr>
          <w:rFonts w:ascii="Times New Roman" w:eastAsia="Times New Roman" w:hAnsi="Times New Roman" w:cs="Times New Roman"/>
          <w:kern w:val="0"/>
          <w14:ligatures w14:val="none"/>
        </w:rPr>
        <w:t xml:space="preserve"> (2022). Role of the transcription factor Nrf2 and redox balance in Parkinson’s disease. </w:t>
      </w:r>
      <w:r w:rsidRPr="00954D78">
        <w:rPr>
          <w:rFonts w:ascii="Times New Roman" w:eastAsia="Times New Roman" w:hAnsi="Times New Roman" w:cs="Times New Roman"/>
          <w:i/>
          <w:iCs/>
          <w:kern w:val="0"/>
          <w14:ligatures w14:val="none"/>
        </w:rPr>
        <w:t>Frontiers in Pharmacology, 13</w:t>
      </w:r>
      <w:r w:rsidRPr="00954D78">
        <w:rPr>
          <w:rFonts w:ascii="Times New Roman" w:eastAsia="Times New Roman" w:hAnsi="Times New Roman" w:cs="Times New Roman"/>
          <w:kern w:val="0"/>
          <w14:ligatures w14:val="none"/>
        </w:rPr>
        <w:t xml:space="preserve">, 919233. </w:t>
      </w:r>
      <w:hyperlink r:id="rId20" w:tgtFrame="_new" w:history="1">
        <w:r w:rsidRPr="00954D78">
          <w:rPr>
            <w:rFonts w:ascii="Times New Roman" w:eastAsia="Times New Roman" w:hAnsi="Times New Roman" w:cs="Times New Roman"/>
            <w:color w:val="0000FF"/>
            <w:kern w:val="0"/>
            <w:u w:val="single"/>
            <w14:ligatures w14:val="none"/>
          </w:rPr>
          <w:t>https://doi.org/10.3389/fphar.2022.919233</w:t>
        </w:r>
      </w:hyperlink>
    </w:p>
    <w:p w14:paraId="3DD5B407" w14:textId="77777777" w:rsidR="00954D78" w:rsidRPr="00954D78" w:rsidRDefault="00954D78" w:rsidP="00954D78">
      <w:pPr>
        <w:spacing w:before="100" w:beforeAutospacing="1" w:after="100" w:afterAutospacing="1" w:line="240" w:lineRule="auto"/>
        <w:rPr>
          <w:rFonts w:ascii="Times New Roman" w:eastAsia="Times New Roman" w:hAnsi="Times New Roman" w:cs="Times New Roman"/>
          <w:kern w:val="0"/>
          <w14:ligatures w14:val="none"/>
        </w:rPr>
      </w:pPr>
      <w:r w:rsidRPr="00954D78">
        <w:rPr>
          <w:rFonts w:ascii="Times New Roman" w:eastAsia="Times New Roman" w:hAnsi="Times New Roman" w:cs="Times New Roman"/>
          <w:b/>
          <w:bCs/>
          <w:kern w:val="0"/>
          <w14:ligatures w14:val="none"/>
        </w:rPr>
        <w:t>Zhou, J., Yang, W. S., Suo, D. Q., Li, Y., Peng, L., &amp; Xu, L. X.</w:t>
      </w:r>
      <w:r w:rsidRPr="00954D78">
        <w:rPr>
          <w:rFonts w:ascii="Times New Roman" w:eastAsia="Times New Roman" w:hAnsi="Times New Roman" w:cs="Times New Roman"/>
          <w:kern w:val="0"/>
          <w14:ligatures w14:val="none"/>
        </w:rPr>
        <w:t xml:space="preserve"> (2018). </w:t>
      </w:r>
      <w:r w:rsidRPr="00954D78">
        <w:rPr>
          <w:rFonts w:ascii="Times New Roman" w:eastAsia="Times New Roman" w:hAnsi="Times New Roman" w:cs="Times New Roman"/>
          <w:i/>
          <w:iCs/>
          <w:kern w:val="0"/>
          <w14:ligatures w14:val="none"/>
        </w:rPr>
        <w:t>Moringa oleifera</w:t>
      </w:r>
      <w:r w:rsidRPr="00954D78">
        <w:rPr>
          <w:rFonts w:ascii="Times New Roman" w:eastAsia="Times New Roman" w:hAnsi="Times New Roman" w:cs="Times New Roman"/>
          <w:kern w:val="0"/>
          <w14:ligatures w14:val="none"/>
        </w:rPr>
        <w:t xml:space="preserve"> seed extract alleviates scopolamine-induced learning and memory impairment in mice. </w:t>
      </w:r>
      <w:r w:rsidRPr="00954D78">
        <w:rPr>
          <w:rFonts w:ascii="Times New Roman" w:eastAsia="Times New Roman" w:hAnsi="Times New Roman" w:cs="Times New Roman"/>
          <w:i/>
          <w:iCs/>
          <w:kern w:val="0"/>
          <w14:ligatures w14:val="none"/>
        </w:rPr>
        <w:t>Frontiers in Pharmacology, 9</w:t>
      </w:r>
      <w:r w:rsidRPr="00954D78">
        <w:rPr>
          <w:rFonts w:ascii="Times New Roman" w:eastAsia="Times New Roman" w:hAnsi="Times New Roman" w:cs="Times New Roman"/>
          <w:kern w:val="0"/>
          <w14:ligatures w14:val="none"/>
        </w:rPr>
        <w:t xml:space="preserve">, 389. </w:t>
      </w:r>
      <w:hyperlink r:id="rId21" w:tgtFrame="_new" w:history="1">
        <w:r w:rsidRPr="00954D78">
          <w:rPr>
            <w:rFonts w:ascii="Times New Roman" w:eastAsia="Times New Roman" w:hAnsi="Times New Roman" w:cs="Times New Roman"/>
            <w:color w:val="0000FF"/>
            <w:kern w:val="0"/>
            <w:u w:val="single"/>
            <w14:ligatures w14:val="none"/>
          </w:rPr>
          <w:t>https://doi.org/10.3389/fphar.2018.00389</w:t>
        </w:r>
      </w:hyperlink>
    </w:p>
    <w:p w14:paraId="603E226D" w14:textId="77777777" w:rsidR="00C653CA" w:rsidRDefault="00C653CA" w:rsidP="00954D78">
      <w:pPr>
        <w:spacing w:before="100" w:beforeAutospacing="1" w:after="100" w:afterAutospacing="1" w:line="240" w:lineRule="auto"/>
      </w:pPr>
    </w:p>
    <w:sectPr w:rsidR="00C653CA">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C11A5" w14:textId="77777777" w:rsidR="00492722" w:rsidRDefault="00492722" w:rsidP="00326147">
      <w:pPr>
        <w:spacing w:after="0" w:line="240" w:lineRule="auto"/>
      </w:pPr>
      <w:r>
        <w:separator/>
      </w:r>
    </w:p>
  </w:endnote>
  <w:endnote w:type="continuationSeparator" w:id="0">
    <w:p w14:paraId="1B3A78B0" w14:textId="77777777" w:rsidR="00492722" w:rsidRDefault="00492722" w:rsidP="00326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49FA3" w14:textId="77777777" w:rsidR="00326147" w:rsidRDefault="003261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AAED8" w14:textId="77777777" w:rsidR="00326147" w:rsidRDefault="003261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70EB9" w14:textId="77777777" w:rsidR="00326147" w:rsidRDefault="00326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27B2F" w14:textId="77777777" w:rsidR="00492722" w:rsidRDefault="00492722" w:rsidP="00326147">
      <w:pPr>
        <w:spacing w:after="0" w:line="240" w:lineRule="auto"/>
      </w:pPr>
      <w:r>
        <w:separator/>
      </w:r>
    </w:p>
  </w:footnote>
  <w:footnote w:type="continuationSeparator" w:id="0">
    <w:p w14:paraId="2991AD70" w14:textId="77777777" w:rsidR="00492722" w:rsidRDefault="00492722" w:rsidP="00326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6513F" w14:textId="2ACADE65" w:rsidR="00326147" w:rsidRDefault="00326147">
    <w:pPr>
      <w:pStyle w:val="Header"/>
    </w:pPr>
    <w:r>
      <w:rPr>
        <w:noProof/>
      </w:rPr>
      <w:pict w14:anchorId="72F7E2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3911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1E9BE" w14:textId="74307CF7" w:rsidR="00326147" w:rsidRDefault="00326147">
    <w:pPr>
      <w:pStyle w:val="Header"/>
    </w:pPr>
    <w:r>
      <w:rPr>
        <w:noProof/>
      </w:rPr>
      <w:pict w14:anchorId="17BE22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3911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22621" w14:textId="24898051" w:rsidR="00326147" w:rsidRDefault="00326147">
    <w:pPr>
      <w:pStyle w:val="Header"/>
    </w:pPr>
    <w:r>
      <w:rPr>
        <w:noProof/>
      </w:rPr>
      <w:pict w14:anchorId="04073B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3910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E0205"/>
    <w:multiLevelType w:val="multilevel"/>
    <w:tmpl w:val="3B8A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11F20"/>
    <w:multiLevelType w:val="multilevel"/>
    <w:tmpl w:val="AE30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6D5956"/>
    <w:multiLevelType w:val="multilevel"/>
    <w:tmpl w:val="1122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4D2538"/>
    <w:multiLevelType w:val="multilevel"/>
    <w:tmpl w:val="363AC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651252"/>
    <w:multiLevelType w:val="multilevel"/>
    <w:tmpl w:val="FD565DEA"/>
    <w:lvl w:ilvl="0">
      <w:start w:val="1"/>
      <w:numFmt w:val="decimal"/>
      <w:lvlText w:val="%1."/>
      <w:lvlJc w:val="left"/>
      <w:pPr>
        <w:tabs>
          <w:tab w:val="num" w:pos="1170"/>
        </w:tabs>
        <w:ind w:left="11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7817076">
    <w:abstractNumId w:val="3"/>
  </w:num>
  <w:num w:numId="2" w16cid:durableId="619143938">
    <w:abstractNumId w:val="2"/>
  </w:num>
  <w:num w:numId="3" w16cid:durableId="102962728">
    <w:abstractNumId w:val="0"/>
  </w:num>
  <w:num w:numId="4" w16cid:durableId="391001675">
    <w:abstractNumId w:val="1"/>
  </w:num>
  <w:num w:numId="5" w16cid:durableId="9845087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9B0"/>
    <w:rsid w:val="0007333C"/>
    <w:rsid w:val="00076258"/>
    <w:rsid w:val="002370BD"/>
    <w:rsid w:val="00320B46"/>
    <w:rsid w:val="00326147"/>
    <w:rsid w:val="00331F80"/>
    <w:rsid w:val="00492722"/>
    <w:rsid w:val="00504418"/>
    <w:rsid w:val="0059771D"/>
    <w:rsid w:val="00617EE2"/>
    <w:rsid w:val="007459A6"/>
    <w:rsid w:val="007B64FF"/>
    <w:rsid w:val="00814353"/>
    <w:rsid w:val="008D6DD4"/>
    <w:rsid w:val="00954D78"/>
    <w:rsid w:val="00965799"/>
    <w:rsid w:val="009A1E86"/>
    <w:rsid w:val="00A937B2"/>
    <w:rsid w:val="00AE0EE7"/>
    <w:rsid w:val="00B0068D"/>
    <w:rsid w:val="00B752E2"/>
    <w:rsid w:val="00B96059"/>
    <w:rsid w:val="00BB19B0"/>
    <w:rsid w:val="00C513D3"/>
    <w:rsid w:val="00C653CA"/>
    <w:rsid w:val="00D04290"/>
    <w:rsid w:val="00D25EB4"/>
    <w:rsid w:val="00DD026A"/>
    <w:rsid w:val="00EE6B05"/>
    <w:rsid w:val="00EE6F89"/>
    <w:rsid w:val="00F80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63A1E"/>
  <w15:chartTrackingRefBased/>
  <w15:docId w15:val="{2D5DB5EB-FD5D-46CF-A4F7-3D7A8CF5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19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19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19B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19B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19B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19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19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19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19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9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19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19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19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19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19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19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19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19B0"/>
    <w:rPr>
      <w:rFonts w:eastAsiaTheme="majorEastAsia" w:cstheme="majorBidi"/>
      <w:color w:val="272727" w:themeColor="text1" w:themeTint="D8"/>
    </w:rPr>
  </w:style>
  <w:style w:type="paragraph" w:styleId="Title">
    <w:name w:val="Title"/>
    <w:basedOn w:val="Normal"/>
    <w:next w:val="Normal"/>
    <w:link w:val="TitleChar"/>
    <w:uiPriority w:val="10"/>
    <w:qFormat/>
    <w:rsid w:val="00BB19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9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19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19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19B0"/>
    <w:pPr>
      <w:spacing w:before="160"/>
      <w:jc w:val="center"/>
    </w:pPr>
    <w:rPr>
      <w:i/>
      <w:iCs/>
      <w:color w:val="404040" w:themeColor="text1" w:themeTint="BF"/>
    </w:rPr>
  </w:style>
  <w:style w:type="character" w:customStyle="1" w:styleId="QuoteChar">
    <w:name w:val="Quote Char"/>
    <w:basedOn w:val="DefaultParagraphFont"/>
    <w:link w:val="Quote"/>
    <w:uiPriority w:val="29"/>
    <w:rsid w:val="00BB19B0"/>
    <w:rPr>
      <w:i/>
      <w:iCs/>
      <w:color w:val="404040" w:themeColor="text1" w:themeTint="BF"/>
    </w:rPr>
  </w:style>
  <w:style w:type="paragraph" w:styleId="ListParagraph">
    <w:name w:val="List Paragraph"/>
    <w:basedOn w:val="Normal"/>
    <w:uiPriority w:val="34"/>
    <w:qFormat/>
    <w:rsid w:val="00BB19B0"/>
    <w:pPr>
      <w:ind w:left="720"/>
      <w:contextualSpacing/>
    </w:pPr>
  </w:style>
  <w:style w:type="character" w:styleId="IntenseEmphasis">
    <w:name w:val="Intense Emphasis"/>
    <w:basedOn w:val="DefaultParagraphFont"/>
    <w:uiPriority w:val="21"/>
    <w:qFormat/>
    <w:rsid w:val="00BB19B0"/>
    <w:rPr>
      <w:i/>
      <w:iCs/>
      <w:color w:val="2F5496" w:themeColor="accent1" w:themeShade="BF"/>
    </w:rPr>
  </w:style>
  <w:style w:type="paragraph" w:styleId="IntenseQuote">
    <w:name w:val="Intense Quote"/>
    <w:basedOn w:val="Normal"/>
    <w:next w:val="Normal"/>
    <w:link w:val="IntenseQuoteChar"/>
    <w:uiPriority w:val="30"/>
    <w:qFormat/>
    <w:rsid w:val="00BB19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19B0"/>
    <w:rPr>
      <w:i/>
      <w:iCs/>
      <w:color w:val="2F5496" w:themeColor="accent1" w:themeShade="BF"/>
    </w:rPr>
  </w:style>
  <w:style w:type="character" w:styleId="IntenseReference">
    <w:name w:val="Intense Reference"/>
    <w:basedOn w:val="DefaultParagraphFont"/>
    <w:uiPriority w:val="32"/>
    <w:qFormat/>
    <w:rsid w:val="00BB19B0"/>
    <w:rPr>
      <w:b/>
      <w:bCs/>
      <w:smallCaps/>
      <w:color w:val="2F5496" w:themeColor="accent1" w:themeShade="BF"/>
      <w:spacing w:val="5"/>
    </w:rPr>
  </w:style>
  <w:style w:type="paragraph" w:styleId="NormalWeb">
    <w:name w:val="Normal (Web)"/>
    <w:basedOn w:val="Normal"/>
    <w:uiPriority w:val="99"/>
    <w:unhideWhenUsed/>
    <w:rsid w:val="0096579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65799"/>
    <w:rPr>
      <w:b/>
      <w:bCs/>
    </w:rPr>
  </w:style>
  <w:style w:type="character" w:styleId="Emphasis">
    <w:name w:val="Emphasis"/>
    <w:basedOn w:val="DefaultParagraphFont"/>
    <w:uiPriority w:val="20"/>
    <w:qFormat/>
    <w:rsid w:val="00965799"/>
    <w:rPr>
      <w:i/>
      <w:iCs/>
    </w:rPr>
  </w:style>
  <w:style w:type="character" w:styleId="Hyperlink">
    <w:name w:val="Hyperlink"/>
    <w:basedOn w:val="DefaultParagraphFont"/>
    <w:uiPriority w:val="99"/>
    <w:unhideWhenUsed/>
    <w:rsid w:val="00B752E2"/>
    <w:rPr>
      <w:color w:val="0563C1" w:themeColor="hyperlink"/>
      <w:u w:val="single"/>
    </w:rPr>
  </w:style>
  <w:style w:type="character" w:styleId="UnresolvedMention">
    <w:name w:val="Unresolved Mention"/>
    <w:basedOn w:val="DefaultParagraphFont"/>
    <w:uiPriority w:val="99"/>
    <w:semiHidden/>
    <w:unhideWhenUsed/>
    <w:rsid w:val="00B752E2"/>
    <w:rPr>
      <w:color w:val="605E5C"/>
      <w:shd w:val="clear" w:color="auto" w:fill="E1DFDD"/>
    </w:rPr>
  </w:style>
  <w:style w:type="paragraph" w:styleId="Header">
    <w:name w:val="header"/>
    <w:basedOn w:val="Normal"/>
    <w:link w:val="HeaderChar"/>
    <w:uiPriority w:val="99"/>
    <w:unhideWhenUsed/>
    <w:rsid w:val="00326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147"/>
  </w:style>
  <w:style w:type="paragraph" w:styleId="Footer">
    <w:name w:val="footer"/>
    <w:basedOn w:val="Normal"/>
    <w:link w:val="FooterChar"/>
    <w:uiPriority w:val="99"/>
    <w:unhideWhenUsed/>
    <w:rsid w:val="00326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05303">
      <w:bodyDiv w:val="1"/>
      <w:marLeft w:val="0"/>
      <w:marRight w:val="0"/>
      <w:marTop w:val="0"/>
      <w:marBottom w:val="0"/>
      <w:divBdr>
        <w:top w:val="none" w:sz="0" w:space="0" w:color="auto"/>
        <w:left w:val="none" w:sz="0" w:space="0" w:color="auto"/>
        <w:bottom w:val="none" w:sz="0" w:space="0" w:color="auto"/>
        <w:right w:val="none" w:sz="0" w:space="0" w:color="auto"/>
      </w:divBdr>
    </w:div>
    <w:div w:id="202598025">
      <w:bodyDiv w:val="1"/>
      <w:marLeft w:val="0"/>
      <w:marRight w:val="0"/>
      <w:marTop w:val="0"/>
      <w:marBottom w:val="0"/>
      <w:divBdr>
        <w:top w:val="none" w:sz="0" w:space="0" w:color="auto"/>
        <w:left w:val="none" w:sz="0" w:space="0" w:color="auto"/>
        <w:bottom w:val="none" w:sz="0" w:space="0" w:color="auto"/>
        <w:right w:val="none" w:sz="0" w:space="0" w:color="auto"/>
      </w:divBdr>
    </w:div>
    <w:div w:id="396633457">
      <w:bodyDiv w:val="1"/>
      <w:marLeft w:val="0"/>
      <w:marRight w:val="0"/>
      <w:marTop w:val="0"/>
      <w:marBottom w:val="0"/>
      <w:divBdr>
        <w:top w:val="none" w:sz="0" w:space="0" w:color="auto"/>
        <w:left w:val="none" w:sz="0" w:space="0" w:color="auto"/>
        <w:bottom w:val="none" w:sz="0" w:space="0" w:color="auto"/>
        <w:right w:val="none" w:sz="0" w:space="0" w:color="auto"/>
      </w:divBdr>
    </w:div>
    <w:div w:id="473066767">
      <w:bodyDiv w:val="1"/>
      <w:marLeft w:val="0"/>
      <w:marRight w:val="0"/>
      <w:marTop w:val="0"/>
      <w:marBottom w:val="0"/>
      <w:divBdr>
        <w:top w:val="none" w:sz="0" w:space="0" w:color="auto"/>
        <w:left w:val="none" w:sz="0" w:space="0" w:color="auto"/>
        <w:bottom w:val="none" w:sz="0" w:space="0" w:color="auto"/>
        <w:right w:val="none" w:sz="0" w:space="0" w:color="auto"/>
      </w:divBdr>
    </w:div>
    <w:div w:id="609699219">
      <w:bodyDiv w:val="1"/>
      <w:marLeft w:val="0"/>
      <w:marRight w:val="0"/>
      <w:marTop w:val="0"/>
      <w:marBottom w:val="0"/>
      <w:divBdr>
        <w:top w:val="none" w:sz="0" w:space="0" w:color="auto"/>
        <w:left w:val="none" w:sz="0" w:space="0" w:color="auto"/>
        <w:bottom w:val="none" w:sz="0" w:space="0" w:color="auto"/>
        <w:right w:val="none" w:sz="0" w:space="0" w:color="auto"/>
      </w:divBdr>
      <w:divsChild>
        <w:div w:id="536820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840424">
          <w:marLeft w:val="0"/>
          <w:marRight w:val="0"/>
          <w:marTop w:val="0"/>
          <w:marBottom w:val="0"/>
          <w:divBdr>
            <w:top w:val="none" w:sz="0" w:space="0" w:color="auto"/>
            <w:left w:val="none" w:sz="0" w:space="0" w:color="auto"/>
            <w:bottom w:val="none" w:sz="0" w:space="0" w:color="auto"/>
            <w:right w:val="none" w:sz="0" w:space="0" w:color="auto"/>
          </w:divBdr>
          <w:divsChild>
            <w:div w:id="1104153662">
              <w:marLeft w:val="0"/>
              <w:marRight w:val="0"/>
              <w:marTop w:val="0"/>
              <w:marBottom w:val="0"/>
              <w:divBdr>
                <w:top w:val="none" w:sz="0" w:space="0" w:color="auto"/>
                <w:left w:val="none" w:sz="0" w:space="0" w:color="auto"/>
                <w:bottom w:val="none" w:sz="0" w:space="0" w:color="auto"/>
                <w:right w:val="none" w:sz="0" w:space="0" w:color="auto"/>
              </w:divBdr>
            </w:div>
          </w:divsChild>
        </w:div>
        <w:div w:id="1297907067">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7444">
          <w:marLeft w:val="0"/>
          <w:marRight w:val="0"/>
          <w:marTop w:val="0"/>
          <w:marBottom w:val="0"/>
          <w:divBdr>
            <w:top w:val="none" w:sz="0" w:space="0" w:color="auto"/>
            <w:left w:val="none" w:sz="0" w:space="0" w:color="auto"/>
            <w:bottom w:val="none" w:sz="0" w:space="0" w:color="auto"/>
            <w:right w:val="none" w:sz="0" w:space="0" w:color="auto"/>
          </w:divBdr>
          <w:divsChild>
            <w:div w:id="711152747">
              <w:marLeft w:val="0"/>
              <w:marRight w:val="0"/>
              <w:marTop w:val="0"/>
              <w:marBottom w:val="0"/>
              <w:divBdr>
                <w:top w:val="none" w:sz="0" w:space="0" w:color="auto"/>
                <w:left w:val="none" w:sz="0" w:space="0" w:color="auto"/>
                <w:bottom w:val="none" w:sz="0" w:space="0" w:color="auto"/>
                <w:right w:val="none" w:sz="0" w:space="0" w:color="auto"/>
              </w:divBdr>
            </w:div>
          </w:divsChild>
        </w:div>
        <w:div w:id="1594900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384795">
      <w:bodyDiv w:val="1"/>
      <w:marLeft w:val="0"/>
      <w:marRight w:val="0"/>
      <w:marTop w:val="0"/>
      <w:marBottom w:val="0"/>
      <w:divBdr>
        <w:top w:val="none" w:sz="0" w:space="0" w:color="auto"/>
        <w:left w:val="none" w:sz="0" w:space="0" w:color="auto"/>
        <w:bottom w:val="none" w:sz="0" w:space="0" w:color="auto"/>
        <w:right w:val="none" w:sz="0" w:space="0" w:color="auto"/>
      </w:divBdr>
    </w:div>
    <w:div w:id="708067468">
      <w:bodyDiv w:val="1"/>
      <w:marLeft w:val="0"/>
      <w:marRight w:val="0"/>
      <w:marTop w:val="0"/>
      <w:marBottom w:val="0"/>
      <w:divBdr>
        <w:top w:val="none" w:sz="0" w:space="0" w:color="auto"/>
        <w:left w:val="none" w:sz="0" w:space="0" w:color="auto"/>
        <w:bottom w:val="none" w:sz="0" w:space="0" w:color="auto"/>
        <w:right w:val="none" w:sz="0" w:space="0" w:color="auto"/>
      </w:divBdr>
    </w:div>
    <w:div w:id="726299924">
      <w:bodyDiv w:val="1"/>
      <w:marLeft w:val="0"/>
      <w:marRight w:val="0"/>
      <w:marTop w:val="0"/>
      <w:marBottom w:val="0"/>
      <w:divBdr>
        <w:top w:val="none" w:sz="0" w:space="0" w:color="auto"/>
        <w:left w:val="none" w:sz="0" w:space="0" w:color="auto"/>
        <w:bottom w:val="none" w:sz="0" w:space="0" w:color="auto"/>
        <w:right w:val="none" w:sz="0" w:space="0" w:color="auto"/>
      </w:divBdr>
      <w:divsChild>
        <w:div w:id="272327368">
          <w:marLeft w:val="0"/>
          <w:marRight w:val="0"/>
          <w:marTop w:val="0"/>
          <w:marBottom w:val="0"/>
          <w:divBdr>
            <w:top w:val="none" w:sz="0" w:space="0" w:color="auto"/>
            <w:left w:val="none" w:sz="0" w:space="0" w:color="auto"/>
            <w:bottom w:val="none" w:sz="0" w:space="0" w:color="auto"/>
            <w:right w:val="none" w:sz="0" w:space="0" w:color="auto"/>
          </w:divBdr>
          <w:divsChild>
            <w:div w:id="566651291">
              <w:marLeft w:val="0"/>
              <w:marRight w:val="0"/>
              <w:marTop w:val="0"/>
              <w:marBottom w:val="0"/>
              <w:divBdr>
                <w:top w:val="none" w:sz="0" w:space="0" w:color="auto"/>
                <w:left w:val="none" w:sz="0" w:space="0" w:color="auto"/>
                <w:bottom w:val="none" w:sz="0" w:space="0" w:color="auto"/>
                <w:right w:val="none" w:sz="0" w:space="0" w:color="auto"/>
              </w:divBdr>
              <w:divsChild>
                <w:div w:id="272978624">
                  <w:marLeft w:val="0"/>
                  <w:marRight w:val="0"/>
                  <w:marTop w:val="0"/>
                  <w:marBottom w:val="0"/>
                  <w:divBdr>
                    <w:top w:val="none" w:sz="0" w:space="0" w:color="auto"/>
                    <w:left w:val="none" w:sz="0" w:space="0" w:color="auto"/>
                    <w:bottom w:val="none" w:sz="0" w:space="0" w:color="auto"/>
                    <w:right w:val="none" w:sz="0" w:space="0" w:color="auto"/>
                  </w:divBdr>
                  <w:divsChild>
                    <w:div w:id="975261982">
                      <w:marLeft w:val="0"/>
                      <w:marRight w:val="0"/>
                      <w:marTop w:val="0"/>
                      <w:marBottom w:val="0"/>
                      <w:divBdr>
                        <w:top w:val="none" w:sz="0" w:space="0" w:color="auto"/>
                        <w:left w:val="none" w:sz="0" w:space="0" w:color="auto"/>
                        <w:bottom w:val="none" w:sz="0" w:space="0" w:color="auto"/>
                        <w:right w:val="none" w:sz="0" w:space="0" w:color="auto"/>
                      </w:divBdr>
                      <w:divsChild>
                        <w:div w:id="2130276151">
                          <w:marLeft w:val="0"/>
                          <w:marRight w:val="0"/>
                          <w:marTop w:val="0"/>
                          <w:marBottom w:val="0"/>
                          <w:divBdr>
                            <w:top w:val="none" w:sz="0" w:space="0" w:color="auto"/>
                            <w:left w:val="none" w:sz="0" w:space="0" w:color="auto"/>
                            <w:bottom w:val="none" w:sz="0" w:space="0" w:color="auto"/>
                            <w:right w:val="none" w:sz="0" w:space="0" w:color="auto"/>
                          </w:divBdr>
                          <w:divsChild>
                            <w:div w:id="992678703">
                              <w:marLeft w:val="0"/>
                              <w:marRight w:val="0"/>
                              <w:marTop w:val="0"/>
                              <w:marBottom w:val="0"/>
                              <w:divBdr>
                                <w:top w:val="none" w:sz="0" w:space="0" w:color="auto"/>
                                <w:left w:val="none" w:sz="0" w:space="0" w:color="auto"/>
                                <w:bottom w:val="none" w:sz="0" w:space="0" w:color="auto"/>
                                <w:right w:val="none" w:sz="0" w:space="0" w:color="auto"/>
                              </w:divBdr>
                              <w:divsChild>
                                <w:div w:id="57560621">
                                  <w:marLeft w:val="0"/>
                                  <w:marRight w:val="0"/>
                                  <w:marTop w:val="0"/>
                                  <w:marBottom w:val="0"/>
                                  <w:divBdr>
                                    <w:top w:val="none" w:sz="0" w:space="0" w:color="auto"/>
                                    <w:left w:val="none" w:sz="0" w:space="0" w:color="auto"/>
                                    <w:bottom w:val="none" w:sz="0" w:space="0" w:color="auto"/>
                                    <w:right w:val="none" w:sz="0" w:space="0" w:color="auto"/>
                                  </w:divBdr>
                                  <w:divsChild>
                                    <w:div w:id="19348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759672">
      <w:bodyDiv w:val="1"/>
      <w:marLeft w:val="0"/>
      <w:marRight w:val="0"/>
      <w:marTop w:val="0"/>
      <w:marBottom w:val="0"/>
      <w:divBdr>
        <w:top w:val="none" w:sz="0" w:space="0" w:color="auto"/>
        <w:left w:val="none" w:sz="0" w:space="0" w:color="auto"/>
        <w:bottom w:val="none" w:sz="0" w:space="0" w:color="auto"/>
        <w:right w:val="none" w:sz="0" w:space="0" w:color="auto"/>
      </w:divBdr>
      <w:divsChild>
        <w:div w:id="112672371">
          <w:marLeft w:val="0"/>
          <w:marRight w:val="0"/>
          <w:marTop w:val="0"/>
          <w:marBottom w:val="0"/>
          <w:divBdr>
            <w:top w:val="none" w:sz="0" w:space="0" w:color="auto"/>
            <w:left w:val="none" w:sz="0" w:space="0" w:color="auto"/>
            <w:bottom w:val="none" w:sz="0" w:space="0" w:color="auto"/>
            <w:right w:val="none" w:sz="0" w:space="0" w:color="auto"/>
          </w:divBdr>
          <w:divsChild>
            <w:div w:id="1194533951">
              <w:marLeft w:val="0"/>
              <w:marRight w:val="0"/>
              <w:marTop w:val="0"/>
              <w:marBottom w:val="0"/>
              <w:divBdr>
                <w:top w:val="none" w:sz="0" w:space="0" w:color="auto"/>
                <w:left w:val="none" w:sz="0" w:space="0" w:color="auto"/>
                <w:bottom w:val="none" w:sz="0" w:space="0" w:color="auto"/>
                <w:right w:val="none" w:sz="0" w:space="0" w:color="auto"/>
              </w:divBdr>
            </w:div>
          </w:divsChild>
        </w:div>
        <w:div w:id="380055743">
          <w:marLeft w:val="0"/>
          <w:marRight w:val="0"/>
          <w:marTop w:val="0"/>
          <w:marBottom w:val="0"/>
          <w:divBdr>
            <w:top w:val="none" w:sz="0" w:space="0" w:color="auto"/>
            <w:left w:val="none" w:sz="0" w:space="0" w:color="auto"/>
            <w:bottom w:val="none" w:sz="0" w:space="0" w:color="auto"/>
            <w:right w:val="none" w:sz="0" w:space="0" w:color="auto"/>
          </w:divBdr>
          <w:divsChild>
            <w:div w:id="30274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37142">
      <w:bodyDiv w:val="1"/>
      <w:marLeft w:val="0"/>
      <w:marRight w:val="0"/>
      <w:marTop w:val="0"/>
      <w:marBottom w:val="0"/>
      <w:divBdr>
        <w:top w:val="none" w:sz="0" w:space="0" w:color="auto"/>
        <w:left w:val="none" w:sz="0" w:space="0" w:color="auto"/>
        <w:bottom w:val="none" w:sz="0" w:space="0" w:color="auto"/>
        <w:right w:val="none" w:sz="0" w:space="0" w:color="auto"/>
      </w:divBdr>
    </w:div>
    <w:div w:id="1590507209">
      <w:bodyDiv w:val="1"/>
      <w:marLeft w:val="0"/>
      <w:marRight w:val="0"/>
      <w:marTop w:val="0"/>
      <w:marBottom w:val="0"/>
      <w:divBdr>
        <w:top w:val="none" w:sz="0" w:space="0" w:color="auto"/>
        <w:left w:val="none" w:sz="0" w:space="0" w:color="auto"/>
        <w:bottom w:val="none" w:sz="0" w:space="0" w:color="auto"/>
        <w:right w:val="none" w:sz="0" w:space="0" w:color="auto"/>
      </w:divBdr>
    </w:div>
    <w:div w:id="183228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molecules27248920" TargetMode="External"/><Relationship Id="rId13" Type="http://schemas.openxmlformats.org/officeDocument/2006/relationships/hyperlink" Target="https://doi.org/10.3390/nu10030343" TargetMode="External"/><Relationship Id="rId18" Type="http://schemas.openxmlformats.org/officeDocument/2006/relationships/hyperlink" Target="https://doi.org/10.1093/ajcp/28.1.56"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doi.org/10.3389/fphar.2018.00389" TargetMode="External"/><Relationship Id="rId7" Type="http://schemas.openxmlformats.org/officeDocument/2006/relationships/hyperlink" Target="https://doi.org/10.9734/ajrb/2024/v14i6336" TargetMode="External"/><Relationship Id="rId12" Type="http://schemas.openxmlformats.org/officeDocument/2006/relationships/hyperlink" Target="https://doi.org/10.1016/j.taap.2009.11.028" TargetMode="External"/><Relationship Id="rId17" Type="http://schemas.openxmlformats.org/officeDocument/2006/relationships/hyperlink" Target="https://doi.org/10.1016/j.ijpharm.2020.119700"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oi.org/10.3390/molecules22040439" TargetMode="External"/><Relationship Id="rId20" Type="http://schemas.openxmlformats.org/officeDocument/2006/relationships/hyperlink" Target="https://doi.org/10.3389/fphar.2022.91923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phymed.2022.154037"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111/jfbc.14451"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oi.org/10.1089/rej.2016.1828" TargetMode="External"/><Relationship Id="rId19" Type="http://schemas.openxmlformats.org/officeDocument/2006/relationships/hyperlink" Target="https://doi.org/10.1016/j.ijfoodmicro.2020.108770" TargetMode="External"/><Relationship Id="rId4" Type="http://schemas.openxmlformats.org/officeDocument/2006/relationships/webSettings" Target="webSettings.xml"/><Relationship Id="rId9" Type="http://schemas.openxmlformats.org/officeDocument/2006/relationships/hyperlink" Target="https://doi.org/10.9734/ajbge/2024/v7i2155" TargetMode="External"/><Relationship Id="rId14" Type="http://schemas.openxmlformats.org/officeDocument/2006/relationships/hyperlink" Target="https://doi.org/10.1515/jcim-2023-0182"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8</Pages>
  <Words>3222</Words>
  <Characters>18372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gift wokocha</dc:creator>
  <cp:keywords/>
  <dc:description/>
  <cp:lastModifiedBy>Editor-22</cp:lastModifiedBy>
  <cp:revision>15</cp:revision>
  <dcterms:created xsi:type="dcterms:W3CDTF">2025-06-06T18:58:00Z</dcterms:created>
  <dcterms:modified xsi:type="dcterms:W3CDTF">2025-06-13T10:12:00Z</dcterms:modified>
</cp:coreProperties>
</file>