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3F75" w14:textId="77777777" w:rsidR="00DC6567" w:rsidRPr="00D41C6B" w:rsidRDefault="00DC6567" w:rsidP="00DC6567">
      <w:pPr>
        <w:autoSpaceDE w:val="0"/>
        <w:autoSpaceDN w:val="0"/>
        <w:adjustRightInd w:val="0"/>
        <w:jc w:val="right"/>
        <w:rPr>
          <w:rFonts w:ascii="Arial" w:eastAsiaTheme="minorHAnsi" w:hAnsi="Arial" w:cs="Arial"/>
          <w:b/>
          <w:bCs/>
          <w:sz w:val="36"/>
          <w:szCs w:val="36"/>
          <w:lang w:val="en-US"/>
          <w14:ligatures w14:val="standardContextual"/>
        </w:rPr>
      </w:pPr>
      <w:r w:rsidRPr="00D41C6B">
        <w:rPr>
          <w:rFonts w:ascii="Arial" w:eastAsiaTheme="minorHAnsi" w:hAnsi="Arial" w:cs="Arial"/>
          <w:b/>
          <w:bCs/>
          <w:sz w:val="36"/>
          <w:szCs w:val="36"/>
          <w:lang w:val="en-US"/>
          <w14:ligatures w14:val="standardContextual"/>
        </w:rPr>
        <w:t xml:space="preserve">Evaluation of Public Service Quality Using the SERVQUAL Model: Case Study of Bank </w:t>
      </w:r>
      <w:proofErr w:type="spellStart"/>
      <w:r w:rsidRPr="00D41C6B">
        <w:rPr>
          <w:rFonts w:ascii="Arial" w:eastAsiaTheme="minorHAnsi" w:hAnsi="Arial" w:cs="Arial"/>
          <w:b/>
          <w:bCs/>
          <w:sz w:val="36"/>
          <w:szCs w:val="36"/>
          <w:lang w:val="en-US"/>
          <w14:ligatures w14:val="standardContextual"/>
        </w:rPr>
        <w:t>Mandiri</w:t>
      </w:r>
      <w:proofErr w:type="spellEnd"/>
      <w:r w:rsidRPr="00D41C6B">
        <w:rPr>
          <w:rFonts w:ascii="Arial" w:eastAsiaTheme="minorHAnsi" w:hAnsi="Arial" w:cs="Arial"/>
          <w:b/>
          <w:bCs/>
          <w:sz w:val="36"/>
          <w:szCs w:val="36"/>
          <w:lang w:val="en-US"/>
          <w14:ligatures w14:val="standardContextual"/>
        </w:rPr>
        <w:t xml:space="preserve"> KCP </w:t>
      </w:r>
      <w:proofErr w:type="spellStart"/>
      <w:r w:rsidRPr="00D41C6B">
        <w:rPr>
          <w:rFonts w:ascii="Arial" w:eastAsiaTheme="minorHAnsi" w:hAnsi="Arial" w:cs="Arial"/>
          <w:b/>
          <w:bCs/>
          <w:sz w:val="36"/>
          <w:szCs w:val="36"/>
          <w:lang w:val="en-US"/>
          <w14:ligatures w14:val="standardContextual"/>
        </w:rPr>
        <w:t>Paguyaman</w:t>
      </w:r>
      <w:proofErr w:type="spellEnd"/>
      <w:r w:rsidRPr="00D41C6B">
        <w:rPr>
          <w:rFonts w:ascii="Arial" w:eastAsiaTheme="minorHAnsi" w:hAnsi="Arial" w:cs="Arial"/>
          <w:b/>
          <w:bCs/>
          <w:sz w:val="36"/>
          <w:szCs w:val="36"/>
          <w:lang w:val="en-US"/>
          <w14:ligatures w14:val="standardContextual"/>
        </w:rPr>
        <w:t xml:space="preserve"> Gorontalo Regency, Indonesia</w:t>
      </w:r>
    </w:p>
    <w:p w14:paraId="677A6DA7" w14:textId="77777777" w:rsidR="00DC6567" w:rsidRPr="00D41C6B" w:rsidRDefault="00DC6567" w:rsidP="00DC6567">
      <w:pPr>
        <w:autoSpaceDE w:val="0"/>
        <w:autoSpaceDN w:val="0"/>
        <w:adjustRightInd w:val="0"/>
        <w:rPr>
          <w:rFonts w:ascii="AppleSystemUIFont" w:eastAsiaTheme="minorHAnsi" w:hAnsi="AppleSystemUIFont" w:cs="AppleSystemUIFont"/>
          <w:sz w:val="26"/>
          <w:szCs w:val="26"/>
          <w:lang w:val="en-US"/>
          <w14:ligatures w14:val="standardContextual"/>
        </w:rPr>
      </w:pPr>
    </w:p>
    <w:p w14:paraId="6048E6C9" w14:textId="77777777" w:rsidR="00792A91" w:rsidRDefault="00792A91" w:rsidP="000D68E2">
      <w:pPr>
        <w:autoSpaceDE w:val="0"/>
        <w:autoSpaceDN w:val="0"/>
        <w:adjustRightInd w:val="0"/>
        <w:jc w:val="center"/>
        <w:rPr>
          <w:rFonts w:ascii="Arial" w:hAnsi="Arial" w:cs="Arial"/>
          <w:b/>
          <w:bCs/>
          <w:i/>
          <w:sz w:val="18"/>
          <w:szCs w:val="18"/>
          <w:lang w:val="en-US"/>
        </w:rPr>
      </w:pPr>
    </w:p>
    <w:p w14:paraId="2A89073E" w14:textId="07D70E36" w:rsidR="00E70FD7" w:rsidRPr="00D41C6B" w:rsidRDefault="00E70FD7" w:rsidP="000D68E2">
      <w:pPr>
        <w:autoSpaceDE w:val="0"/>
        <w:autoSpaceDN w:val="0"/>
        <w:adjustRightInd w:val="0"/>
        <w:jc w:val="center"/>
        <w:rPr>
          <w:rFonts w:ascii="Arial" w:hAnsi="Arial" w:cs="Arial"/>
          <w:b/>
          <w:bCs/>
          <w:i/>
          <w:sz w:val="18"/>
          <w:szCs w:val="18"/>
          <w:lang w:val="en-US"/>
        </w:rPr>
      </w:pPr>
      <w:r>
        <w:rPr>
          <w:rFonts w:ascii="Arial" w:hAnsi="Arial" w:cs="Arial"/>
          <w:b/>
          <w:bCs/>
          <w:i/>
          <w:sz w:val="18"/>
          <w:szCs w:val="18"/>
          <w:lang w:val="en-US"/>
        </w:rPr>
        <w:t xml:space="preserve"> </w:t>
      </w:r>
    </w:p>
    <w:p w14:paraId="17A5E369" w14:textId="77777777" w:rsidR="000D68E2" w:rsidRPr="00D41C6B" w:rsidRDefault="000D68E2" w:rsidP="000D68E2">
      <w:pPr>
        <w:autoSpaceDE w:val="0"/>
        <w:autoSpaceDN w:val="0"/>
        <w:adjustRightInd w:val="0"/>
        <w:jc w:val="center"/>
        <w:rPr>
          <w:rFonts w:ascii="Arial" w:eastAsiaTheme="minorHAnsi" w:hAnsi="Arial" w:cs="Arial"/>
          <w:b/>
          <w:bCs/>
          <w:sz w:val="18"/>
          <w:szCs w:val="18"/>
          <w:lang w:val="en-US"/>
          <w14:ligatures w14:val="standardContextual"/>
        </w:rPr>
      </w:pPr>
    </w:p>
    <w:p w14:paraId="5211F00F" w14:textId="77777777" w:rsidR="000D68E2" w:rsidRPr="00D41C6B" w:rsidRDefault="00DC6567" w:rsidP="000D68E2">
      <w:pPr>
        <w:autoSpaceDE w:val="0"/>
        <w:autoSpaceDN w:val="0"/>
        <w:adjustRightInd w:val="0"/>
        <w:jc w:val="center"/>
        <w:rPr>
          <w:rFonts w:ascii="Arial" w:eastAsiaTheme="minorHAnsi" w:hAnsi="Arial" w:cs="Arial"/>
          <w:b/>
          <w:bCs/>
          <w:sz w:val="18"/>
          <w:szCs w:val="18"/>
          <w:lang w:val="en-US"/>
          <w14:ligatures w14:val="standardContextual"/>
        </w:rPr>
      </w:pPr>
      <w:r w:rsidRPr="00D41C6B">
        <w:rPr>
          <w:rFonts w:ascii="Arial" w:eastAsiaTheme="minorHAnsi" w:hAnsi="Arial" w:cs="Arial"/>
          <w:b/>
          <w:bCs/>
          <w:sz w:val="18"/>
          <w:szCs w:val="18"/>
          <w:lang w:val="en-US"/>
          <w14:ligatures w14:val="standardContextual"/>
        </w:rPr>
        <w:t xml:space="preserve">ABSTRACT </w:t>
      </w:r>
    </w:p>
    <w:p w14:paraId="15336324" w14:textId="77777777" w:rsidR="000D68E2" w:rsidRPr="00D41C6B" w:rsidRDefault="00DC6567" w:rsidP="000D68E2">
      <w:pPr>
        <w:autoSpaceDE w:val="0"/>
        <w:autoSpaceDN w:val="0"/>
        <w:adjustRightInd w:val="0"/>
        <w:jc w:val="both"/>
        <w:rPr>
          <w:rFonts w:ascii="Arial" w:eastAsiaTheme="minorHAnsi" w:hAnsi="Arial" w:cs="Arial"/>
          <w:sz w:val="18"/>
          <w:szCs w:val="18"/>
          <w:lang w:val="en-US"/>
          <w14:ligatures w14:val="standardContextual"/>
        </w:rPr>
      </w:pPr>
      <w:r w:rsidRPr="00D41C6B">
        <w:rPr>
          <w:rFonts w:ascii="Arial" w:eastAsiaTheme="minorHAnsi" w:hAnsi="Arial" w:cs="Arial"/>
          <w:sz w:val="18"/>
          <w:szCs w:val="18"/>
          <w:lang w:val="en-US"/>
          <w14:ligatures w14:val="standardContextual"/>
        </w:rPr>
        <w:t xml:space="preserve">This study aims to evaluate the quality of public services at Bank </w:t>
      </w:r>
      <w:proofErr w:type="spellStart"/>
      <w:r w:rsidRPr="00D41C6B">
        <w:rPr>
          <w:rFonts w:ascii="Arial" w:eastAsiaTheme="minorHAnsi" w:hAnsi="Arial" w:cs="Arial"/>
          <w:sz w:val="18"/>
          <w:szCs w:val="18"/>
          <w:lang w:val="en-US"/>
          <w14:ligatures w14:val="standardContextual"/>
        </w:rPr>
        <w:t>Mandiri</w:t>
      </w:r>
      <w:proofErr w:type="spellEnd"/>
      <w:r w:rsidRPr="00D41C6B">
        <w:rPr>
          <w:rFonts w:ascii="Arial" w:eastAsiaTheme="minorHAnsi" w:hAnsi="Arial" w:cs="Arial"/>
          <w:sz w:val="18"/>
          <w:szCs w:val="18"/>
          <w:lang w:val="en-US"/>
          <w14:ligatures w14:val="standardContextual"/>
        </w:rPr>
        <w:t xml:space="preserve"> KCP </w:t>
      </w:r>
      <w:proofErr w:type="spellStart"/>
      <w:r w:rsidRPr="00D41C6B">
        <w:rPr>
          <w:rFonts w:ascii="Arial" w:eastAsiaTheme="minorHAnsi" w:hAnsi="Arial" w:cs="Arial"/>
          <w:sz w:val="18"/>
          <w:szCs w:val="18"/>
          <w:lang w:val="en-US"/>
          <w14:ligatures w14:val="standardContextual"/>
        </w:rPr>
        <w:t>Paguyaman</w:t>
      </w:r>
      <w:proofErr w:type="spellEnd"/>
      <w:r w:rsidRPr="00D41C6B">
        <w:rPr>
          <w:rFonts w:ascii="Arial" w:eastAsiaTheme="minorHAnsi" w:hAnsi="Arial" w:cs="Arial"/>
          <w:sz w:val="18"/>
          <w:szCs w:val="18"/>
          <w:lang w:val="en-US"/>
          <w14:ligatures w14:val="standardContextual"/>
        </w:rPr>
        <w:t xml:space="preserve"> in Gorontalo Regency using the SERVQUAL approach, which covers five main dimensions: tangibles, empathy, responsiveness, reliability, and assurance. This study is motivated by the success of bank branches in rural areas in building customer loyalty despite facing infrastructure and human resources limitations. This study employs a descriptive qualitative design with a case study approach. Informants were selected purposively based on their direct experience with bank services, and data were collected through in-depth interviews, participatory observation, and documentation, then </w:t>
      </w:r>
      <w:proofErr w:type="spellStart"/>
      <w:r w:rsidRPr="00D41C6B">
        <w:rPr>
          <w:rFonts w:ascii="Arial" w:eastAsiaTheme="minorHAnsi" w:hAnsi="Arial" w:cs="Arial"/>
          <w:sz w:val="18"/>
          <w:szCs w:val="18"/>
          <w:lang w:val="en-US"/>
          <w14:ligatures w14:val="standardContextual"/>
        </w:rPr>
        <w:t>analysed</w:t>
      </w:r>
      <w:proofErr w:type="spellEnd"/>
      <w:r w:rsidRPr="00D41C6B">
        <w:rPr>
          <w:rFonts w:ascii="Arial" w:eastAsiaTheme="minorHAnsi" w:hAnsi="Arial" w:cs="Arial"/>
          <w:sz w:val="18"/>
          <w:szCs w:val="18"/>
          <w:lang w:val="en-US"/>
          <w14:ligatures w14:val="standardContextual"/>
        </w:rPr>
        <w:t xml:space="preserve"> thematically using the Miles and Huberman model. The results indicate that all SERVQUAL dimensions have been implemented fairly well, but there is still room for improvement. The tangible dimension indicates adequate physical facilities but is not optimal for comfort. Empathy is reflected in positive personal interactions but is not yet fully inclusive for vulnerable groups. Responsiveness is assessed as quick under normal conditions but unprepared to handle complex situations. Reliability shows consistency in basic services, but there is inconsistency in product information. Assurance guarantees transaction security, though interpersonal communication aspects must be strengthened. In conclusion, the quality of public service at Bank </w:t>
      </w:r>
      <w:proofErr w:type="spellStart"/>
      <w:r w:rsidRPr="00D41C6B">
        <w:rPr>
          <w:rFonts w:ascii="Arial" w:eastAsiaTheme="minorHAnsi" w:hAnsi="Arial" w:cs="Arial"/>
          <w:sz w:val="18"/>
          <w:szCs w:val="18"/>
          <w:lang w:val="en-US"/>
          <w14:ligatures w14:val="standardContextual"/>
        </w:rPr>
        <w:t>Mandiri</w:t>
      </w:r>
      <w:proofErr w:type="spellEnd"/>
      <w:r w:rsidRPr="00D41C6B">
        <w:rPr>
          <w:rFonts w:ascii="Arial" w:eastAsiaTheme="minorHAnsi" w:hAnsi="Arial" w:cs="Arial"/>
          <w:sz w:val="18"/>
          <w:szCs w:val="18"/>
          <w:lang w:val="en-US"/>
          <w14:ligatures w14:val="standardContextual"/>
        </w:rPr>
        <w:t xml:space="preserve"> KCP </w:t>
      </w:r>
      <w:proofErr w:type="spellStart"/>
      <w:r w:rsidRPr="00D41C6B">
        <w:rPr>
          <w:rFonts w:ascii="Arial" w:eastAsiaTheme="minorHAnsi" w:hAnsi="Arial" w:cs="Arial"/>
          <w:sz w:val="18"/>
          <w:szCs w:val="18"/>
          <w:lang w:val="en-US"/>
          <w14:ligatures w14:val="standardContextual"/>
        </w:rPr>
        <w:t>Paguyaman</w:t>
      </w:r>
      <w:proofErr w:type="spellEnd"/>
      <w:r w:rsidRPr="00D41C6B">
        <w:rPr>
          <w:rFonts w:ascii="Arial" w:eastAsiaTheme="minorHAnsi" w:hAnsi="Arial" w:cs="Arial"/>
          <w:sz w:val="18"/>
          <w:szCs w:val="18"/>
          <w:lang w:val="en-US"/>
          <w14:ligatures w14:val="standardContextual"/>
        </w:rPr>
        <w:t xml:space="preserve"> has reached a good level but is not yet ideal. Strategic recommendations include empathy-based staff training and educational communication, improvements to main service facilities, and strengthening the digital system for real-time complaint handling to achieve adaptive, trustworthy, and socially just public service.</w:t>
      </w:r>
    </w:p>
    <w:p w14:paraId="6F6F20EF" w14:textId="77777777" w:rsidR="00DC6567" w:rsidRPr="00D41C6B" w:rsidRDefault="00DC6567" w:rsidP="000D68E2">
      <w:pPr>
        <w:autoSpaceDE w:val="0"/>
        <w:autoSpaceDN w:val="0"/>
        <w:adjustRightInd w:val="0"/>
        <w:jc w:val="both"/>
        <w:rPr>
          <w:rFonts w:ascii="Arial" w:eastAsiaTheme="minorHAnsi" w:hAnsi="Arial" w:cs="Arial"/>
          <w:b/>
          <w:bCs/>
          <w:i/>
          <w:iCs/>
          <w:sz w:val="18"/>
          <w:szCs w:val="18"/>
          <w:lang w:val="en-US"/>
          <w14:ligatures w14:val="standardContextual"/>
        </w:rPr>
      </w:pPr>
    </w:p>
    <w:p w14:paraId="154F6E42" w14:textId="77777777" w:rsidR="00C72427" w:rsidRPr="00D41C6B" w:rsidRDefault="00D41C6B" w:rsidP="000D68E2">
      <w:pPr>
        <w:jc w:val="both"/>
        <w:outlineLvl w:val="2"/>
        <w:rPr>
          <w:rFonts w:ascii="Arial" w:hAnsi="Arial" w:cs="Arial"/>
          <w:b/>
          <w:bCs/>
          <w:sz w:val="20"/>
          <w:szCs w:val="20"/>
          <w:lang w:val="en-US"/>
        </w:rPr>
      </w:pPr>
      <w:r w:rsidRPr="00D41C6B">
        <w:rPr>
          <w:rFonts w:ascii="Arial" w:eastAsiaTheme="minorHAnsi" w:hAnsi="Arial" w:cs="Arial"/>
          <w:b/>
          <w:bCs/>
          <w:i/>
          <w:iCs/>
          <w:sz w:val="18"/>
          <w:szCs w:val="18"/>
          <w:lang w:val="en-US"/>
          <w14:ligatures w14:val="standardContextual"/>
        </w:rPr>
        <w:t xml:space="preserve">Keywords: </w:t>
      </w:r>
      <w:proofErr w:type="spellStart"/>
      <w:r w:rsidRPr="00D41C6B">
        <w:rPr>
          <w:rFonts w:ascii="Arial" w:eastAsiaTheme="minorHAnsi" w:hAnsi="Arial" w:cs="Arial"/>
          <w:b/>
          <w:bCs/>
          <w:i/>
          <w:iCs/>
          <w:sz w:val="18"/>
          <w:szCs w:val="18"/>
          <w:lang w:val="en-US"/>
          <w14:ligatures w14:val="standardContextual"/>
        </w:rPr>
        <w:t>Servqual</w:t>
      </w:r>
      <w:proofErr w:type="spellEnd"/>
      <w:r w:rsidRPr="00D41C6B">
        <w:rPr>
          <w:rFonts w:ascii="Arial" w:eastAsiaTheme="minorHAnsi" w:hAnsi="Arial" w:cs="Arial"/>
          <w:b/>
          <w:bCs/>
          <w:i/>
          <w:iCs/>
          <w:sz w:val="18"/>
          <w:szCs w:val="18"/>
          <w:lang w:val="en-US"/>
          <w14:ligatures w14:val="standardContextual"/>
        </w:rPr>
        <w:t xml:space="preserve">; Public service; Bank </w:t>
      </w:r>
      <w:proofErr w:type="spellStart"/>
      <w:r w:rsidRPr="00D41C6B">
        <w:rPr>
          <w:rFonts w:ascii="Arial" w:eastAsiaTheme="minorHAnsi" w:hAnsi="Arial" w:cs="Arial"/>
          <w:b/>
          <w:bCs/>
          <w:i/>
          <w:iCs/>
          <w:sz w:val="18"/>
          <w:szCs w:val="18"/>
          <w:lang w:val="en-US"/>
          <w14:ligatures w14:val="standardContextual"/>
        </w:rPr>
        <w:t>Mandiri</w:t>
      </w:r>
      <w:proofErr w:type="spellEnd"/>
      <w:r w:rsidRPr="00D41C6B">
        <w:rPr>
          <w:rFonts w:ascii="Arial" w:eastAsiaTheme="minorHAnsi" w:hAnsi="Arial" w:cs="Arial"/>
          <w:b/>
          <w:bCs/>
          <w:i/>
          <w:iCs/>
          <w:sz w:val="18"/>
          <w:szCs w:val="18"/>
          <w:lang w:val="en-US"/>
          <w14:ligatures w14:val="standardContextual"/>
        </w:rPr>
        <w:t xml:space="preserve">, </w:t>
      </w:r>
      <w:proofErr w:type="spellStart"/>
      <w:r w:rsidRPr="00D41C6B">
        <w:rPr>
          <w:rFonts w:ascii="Arial" w:eastAsiaTheme="minorHAnsi" w:hAnsi="Arial" w:cs="Arial"/>
          <w:b/>
          <w:bCs/>
          <w:i/>
          <w:iCs/>
          <w:sz w:val="18"/>
          <w:szCs w:val="18"/>
          <w:lang w:val="en-US"/>
          <w14:ligatures w14:val="standardContextual"/>
        </w:rPr>
        <w:t>Paguyaman</w:t>
      </w:r>
      <w:proofErr w:type="spellEnd"/>
    </w:p>
    <w:p w14:paraId="23459027" w14:textId="77777777" w:rsidR="000D68E2" w:rsidRPr="00D41C6B" w:rsidRDefault="000D68E2" w:rsidP="000D68E2">
      <w:pPr>
        <w:jc w:val="both"/>
        <w:outlineLvl w:val="2"/>
        <w:rPr>
          <w:rFonts w:ascii="Arial" w:hAnsi="Arial" w:cs="Arial"/>
          <w:b/>
          <w:bCs/>
          <w:sz w:val="20"/>
          <w:szCs w:val="20"/>
          <w:lang w:val="en-US"/>
        </w:rPr>
      </w:pPr>
    </w:p>
    <w:p w14:paraId="3EB7E828" w14:textId="77777777" w:rsidR="000D68E2" w:rsidRPr="00D41C6B" w:rsidRDefault="000D68E2" w:rsidP="009B2121">
      <w:pPr>
        <w:jc w:val="both"/>
        <w:outlineLvl w:val="2"/>
        <w:rPr>
          <w:rFonts w:ascii="Arial" w:hAnsi="Arial" w:cs="Arial"/>
          <w:b/>
          <w:bCs/>
          <w:sz w:val="20"/>
          <w:szCs w:val="20"/>
          <w:lang w:val="en-US"/>
        </w:rPr>
      </w:pPr>
    </w:p>
    <w:p w14:paraId="30522504" w14:textId="77777777" w:rsidR="002C7BF6" w:rsidRDefault="002C7BF6" w:rsidP="009B2121">
      <w:pPr>
        <w:jc w:val="both"/>
        <w:outlineLvl w:val="2"/>
        <w:rPr>
          <w:rFonts w:ascii="Arial" w:hAnsi="Arial" w:cs="Arial"/>
          <w:b/>
          <w:bCs/>
          <w:sz w:val="20"/>
          <w:szCs w:val="20"/>
          <w:lang w:val="en-US"/>
        </w:rPr>
      </w:pPr>
      <w:r>
        <w:rPr>
          <w:rFonts w:ascii="Arial" w:hAnsi="Arial" w:cs="Arial"/>
          <w:b/>
          <w:bCs/>
          <w:sz w:val="20"/>
          <w:szCs w:val="20"/>
          <w:lang w:val="en-US"/>
        </w:rPr>
        <w:t>1. INTRODUCTION</w:t>
      </w:r>
    </w:p>
    <w:p w14:paraId="5A62E62A" w14:textId="77777777" w:rsidR="009B2121" w:rsidRPr="00D41C6B" w:rsidRDefault="009B2121" w:rsidP="009B2121">
      <w:pPr>
        <w:jc w:val="both"/>
        <w:rPr>
          <w:rFonts w:ascii="Arial" w:hAnsi="Arial" w:cs="Arial"/>
          <w:sz w:val="20"/>
          <w:szCs w:val="20"/>
          <w:lang w:val="en-US"/>
        </w:rPr>
      </w:pPr>
    </w:p>
    <w:p w14:paraId="1F24BFB0" w14:textId="77777777" w:rsidR="00D41C6B" w:rsidRPr="00D41C6B" w:rsidRDefault="002C7BF6" w:rsidP="00D41C6B">
      <w:pPr>
        <w:autoSpaceDE w:val="0"/>
        <w:autoSpaceDN w:val="0"/>
        <w:adjustRightInd w:val="0"/>
        <w:jc w:val="both"/>
        <w:rPr>
          <w:rFonts w:ascii="Arial" w:eastAsiaTheme="minorHAnsi" w:hAnsi="Arial" w:cs="Arial"/>
          <w:sz w:val="20"/>
          <w:szCs w:val="20"/>
          <w:lang w:val="en-US"/>
          <w14:ligatures w14:val="standardContextual"/>
        </w:rPr>
      </w:pPr>
      <w:r>
        <w:rPr>
          <w:rFonts w:ascii="Arial" w:eastAsiaTheme="minorHAnsi" w:hAnsi="Arial" w:cs="Arial"/>
          <w:sz w:val="20"/>
          <w:szCs w:val="20"/>
          <w:lang w:val="en-US"/>
          <w14:ligatures w14:val="standardContextual"/>
        </w:rPr>
        <w:tab/>
      </w:r>
      <w:r w:rsidR="00D41C6B" w:rsidRPr="00D41C6B">
        <w:rPr>
          <w:rFonts w:ascii="Arial" w:eastAsiaTheme="minorHAnsi" w:hAnsi="Arial" w:cs="Arial"/>
          <w:sz w:val="20"/>
          <w:szCs w:val="20"/>
          <w:lang w:val="en-US"/>
          <w14:ligatures w14:val="standardContextual"/>
        </w:rPr>
        <w:t xml:space="preserve">The banking sector must adapt dynamically to increasingly complex and competitive external environmental changes. Fierce competition among financial institutions demands improvements in service quality oriented towards customer satisfaction as the primary basis for maintaining business continuity (Kotler &amp; Armstrong, 2008). In the Indonesian context, the banking sector functions as a financial institution and a key driver of national economic growth. The bank’s intermediary function—collecting public funds in deposits and </w:t>
      </w:r>
      <w:proofErr w:type="spellStart"/>
      <w:r w:rsidR="00D41C6B" w:rsidRPr="00D41C6B">
        <w:rPr>
          <w:rFonts w:ascii="Arial" w:eastAsiaTheme="minorHAnsi" w:hAnsi="Arial" w:cs="Arial"/>
          <w:sz w:val="20"/>
          <w:szCs w:val="20"/>
          <w:lang w:val="en-US"/>
          <w14:ligatures w14:val="standardContextual"/>
        </w:rPr>
        <w:t>channelling</w:t>
      </w:r>
      <w:proofErr w:type="spellEnd"/>
      <w:r w:rsidR="00D41C6B" w:rsidRPr="00D41C6B">
        <w:rPr>
          <w:rFonts w:ascii="Arial" w:eastAsiaTheme="minorHAnsi" w:hAnsi="Arial" w:cs="Arial"/>
          <w:sz w:val="20"/>
          <w:szCs w:val="20"/>
          <w:lang w:val="en-US"/>
          <w14:ligatures w14:val="standardContextual"/>
        </w:rPr>
        <w:t xml:space="preserve"> them back as loans—is the primary foundation for driving economic activity (Law No. 10 of 1998).</w:t>
      </w:r>
    </w:p>
    <w:p w14:paraId="5FDA8207" w14:textId="77777777" w:rsidR="00D41C6B" w:rsidRPr="00D41C6B" w:rsidRDefault="00D41C6B" w:rsidP="00D41C6B">
      <w:pPr>
        <w:autoSpaceDE w:val="0"/>
        <w:autoSpaceDN w:val="0"/>
        <w:adjustRightInd w:val="0"/>
        <w:jc w:val="both"/>
        <w:rPr>
          <w:rFonts w:ascii="Arial" w:eastAsiaTheme="minorHAnsi" w:hAnsi="Arial" w:cs="Arial"/>
          <w:sz w:val="20"/>
          <w:szCs w:val="20"/>
          <w:lang w:val="en-US"/>
          <w14:ligatures w14:val="standardContextual"/>
        </w:rPr>
      </w:pPr>
      <w:r w:rsidRPr="00D41C6B">
        <w:rPr>
          <w:rFonts w:ascii="Arial" w:eastAsiaTheme="minorHAnsi" w:hAnsi="Arial" w:cs="Arial"/>
          <w:sz w:val="20"/>
          <w:szCs w:val="20"/>
          <w:lang w:val="en-US"/>
          <w14:ligatures w14:val="standardContextual"/>
        </w:rPr>
        <w:tab/>
        <w:t>Quality public service is a strategic instrument for maintaining customer loyalty. A bank’s success in building public trust is primarily determined by the quality of service provided, both conventionally and through digital channels (</w:t>
      </w:r>
      <w:proofErr w:type="spellStart"/>
      <w:r w:rsidRPr="00D41C6B">
        <w:rPr>
          <w:rFonts w:ascii="Arial" w:eastAsiaTheme="minorHAnsi" w:hAnsi="Arial" w:cs="Arial"/>
          <w:sz w:val="20"/>
          <w:szCs w:val="20"/>
          <w:lang w:val="en-US"/>
          <w14:ligatures w14:val="standardContextual"/>
        </w:rPr>
        <w:t>Rusdiana</w:t>
      </w:r>
      <w:proofErr w:type="spellEnd"/>
      <w:r w:rsidRPr="00D41C6B">
        <w:rPr>
          <w:rFonts w:ascii="Arial" w:eastAsiaTheme="minorHAnsi" w:hAnsi="Arial" w:cs="Arial"/>
          <w:sz w:val="20"/>
          <w:szCs w:val="20"/>
          <w:lang w:val="en-US"/>
          <w14:ligatures w14:val="standardContextual"/>
        </w:rPr>
        <w:t xml:space="preserve"> et al., 2023). Therefore, superior service must be designed based on operational standards and a deep understanding of customer needs, expectations, and preferences.</w:t>
      </w:r>
      <w:r>
        <w:rPr>
          <w:rFonts w:ascii="Arial" w:eastAsiaTheme="minorHAnsi" w:hAnsi="Arial" w:cs="Arial"/>
          <w:sz w:val="20"/>
          <w:szCs w:val="20"/>
          <w:lang w:val="en-US"/>
          <w14:ligatures w14:val="standardContextual"/>
        </w:rPr>
        <w:t xml:space="preserve"> </w:t>
      </w:r>
    </w:p>
    <w:p w14:paraId="5CBB1E22" w14:textId="77777777" w:rsidR="00D41C6B" w:rsidRPr="00437187" w:rsidRDefault="00D41C6B" w:rsidP="00437187">
      <w:pPr>
        <w:jc w:val="both"/>
        <w:rPr>
          <w:rFonts w:ascii="Arial" w:eastAsiaTheme="minorHAnsi" w:hAnsi="Arial" w:cs="Arial"/>
          <w:sz w:val="20"/>
          <w:szCs w:val="20"/>
          <w:lang w:val="en-US"/>
          <w14:ligatures w14:val="standardContextual"/>
        </w:rPr>
      </w:pPr>
      <w:r w:rsidRPr="00D41C6B">
        <w:rPr>
          <w:rFonts w:ascii="Arial" w:eastAsiaTheme="minorHAnsi" w:hAnsi="Arial" w:cs="Arial"/>
          <w:sz w:val="20"/>
          <w:szCs w:val="20"/>
          <w:lang w:val="en-US"/>
          <w14:ligatures w14:val="standardContextual"/>
        </w:rPr>
        <w:tab/>
        <w:t>Literature development indicates that service quality significantly influences customer satisfaction and loyalty. The SERVQUAL model developed by Parasuraman, Zeithaml, and Berry has become the primary reference for assessing service quality dimensions based on five key indicators: tangibles, empathy, responsiveness, reliability, and assurance (</w:t>
      </w:r>
      <w:proofErr w:type="spellStart"/>
      <w:r w:rsidRPr="00D41C6B">
        <w:rPr>
          <w:rFonts w:ascii="Arial" w:eastAsiaTheme="minorHAnsi" w:hAnsi="Arial" w:cs="Arial"/>
          <w:sz w:val="20"/>
          <w:szCs w:val="20"/>
          <w:lang w:val="en-US"/>
          <w14:ligatures w14:val="standardContextual"/>
        </w:rPr>
        <w:t>Sasono</w:t>
      </w:r>
      <w:proofErr w:type="spellEnd"/>
      <w:r w:rsidRPr="00D41C6B">
        <w:rPr>
          <w:rFonts w:ascii="Arial" w:eastAsiaTheme="minorHAnsi" w:hAnsi="Arial" w:cs="Arial"/>
          <w:sz w:val="20"/>
          <w:szCs w:val="20"/>
          <w:lang w:val="en-US"/>
          <w14:ligatures w14:val="standardContextual"/>
        </w:rPr>
        <w:t xml:space="preserve"> et al., 2024; </w:t>
      </w:r>
      <w:proofErr w:type="spellStart"/>
      <w:r w:rsidRPr="00D41C6B">
        <w:rPr>
          <w:rFonts w:ascii="Arial" w:eastAsiaTheme="minorHAnsi" w:hAnsi="Arial" w:cs="Arial"/>
          <w:sz w:val="20"/>
          <w:szCs w:val="20"/>
          <w:lang w:val="en-US"/>
          <w14:ligatures w14:val="standardContextual"/>
        </w:rPr>
        <w:t>Sinollah</w:t>
      </w:r>
      <w:proofErr w:type="spellEnd"/>
      <w:r w:rsidRPr="00D41C6B">
        <w:rPr>
          <w:rFonts w:ascii="Arial" w:eastAsiaTheme="minorHAnsi" w:hAnsi="Arial" w:cs="Arial"/>
          <w:sz w:val="20"/>
          <w:szCs w:val="20"/>
          <w:lang w:val="en-US"/>
          <w14:ligatures w14:val="standardContextual"/>
        </w:rPr>
        <w:t xml:space="preserve"> &amp; </w:t>
      </w:r>
      <w:proofErr w:type="spellStart"/>
      <w:r w:rsidRPr="00D41C6B">
        <w:rPr>
          <w:rFonts w:ascii="Arial" w:eastAsiaTheme="minorHAnsi" w:hAnsi="Arial" w:cs="Arial"/>
          <w:sz w:val="20"/>
          <w:szCs w:val="20"/>
          <w:lang w:val="en-US"/>
          <w14:ligatures w14:val="standardContextual"/>
        </w:rPr>
        <w:t>Masruro</w:t>
      </w:r>
      <w:proofErr w:type="spellEnd"/>
      <w:r w:rsidRPr="00D41C6B">
        <w:rPr>
          <w:rFonts w:ascii="Arial" w:eastAsiaTheme="minorHAnsi" w:hAnsi="Arial" w:cs="Arial"/>
          <w:sz w:val="20"/>
          <w:szCs w:val="20"/>
          <w:lang w:val="en-US"/>
          <w14:ligatures w14:val="standardContextual"/>
        </w:rPr>
        <w:t>, 2019). Additionally, in the context of digital services, the E-S-QUAL model by Kenova and Jonason is also frequently used, which evaluates service quality based on efficiency, fulfilment of promises, system availability, privacy, and digital interface design (</w:t>
      </w:r>
      <w:proofErr w:type="spellStart"/>
      <w:r w:rsidRPr="00D41C6B">
        <w:rPr>
          <w:rFonts w:ascii="Arial" w:eastAsiaTheme="minorHAnsi" w:hAnsi="Arial" w:cs="Arial"/>
          <w:sz w:val="20"/>
          <w:szCs w:val="20"/>
          <w:lang w:val="en-US"/>
          <w14:ligatures w14:val="standardContextual"/>
        </w:rPr>
        <w:t>Mahulae</w:t>
      </w:r>
      <w:proofErr w:type="spellEnd"/>
      <w:r w:rsidRPr="00D41C6B">
        <w:rPr>
          <w:rFonts w:ascii="Arial" w:eastAsiaTheme="minorHAnsi" w:hAnsi="Arial" w:cs="Arial"/>
          <w:sz w:val="20"/>
          <w:szCs w:val="20"/>
          <w:lang w:val="en-US"/>
          <w14:ligatures w14:val="standardContextual"/>
        </w:rPr>
        <w:t xml:space="preserve"> &amp; </w:t>
      </w:r>
      <w:proofErr w:type="spellStart"/>
      <w:r w:rsidRPr="00D41C6B">
        <w:rPr>
          <w:rFonts w:ascii="Arial" w:eastAsiaTheme="minorHAnsi" w:hAnsi="Arial" w:cs="Arial"/>
          <w:sz w:val="20"/>
          <w:szCs w:val="20"/>
          <w:lang w:val="en-US"/>
          <w14:ligatures w14:val="standardContextual"/>
        </w:rPr>
        <w:t>Sholikhah</w:t>
      </w:r>
      <w:proofErr w:type="spellEnd"/>
      <w:r w:rsidRPr="00D41C6B">
        <w:rPr>
          <w:rFonts w:ascii="Arial" w:eastAsiaTheme="minorHAnsi" w:hAnsi="Arial" w:cs="Arial"/>
          <w:sz w:val="20"/>
          <w:szCs w:val="20"/>
          <w:lang w:val="en-US"/>
          <w14:ligatures w14:val="standardContextual"/>
        </w:rPr>
        <w:t>, 2024).</w:t>
      </w:r>
      <w:r w:rsidRPr="00D41C6B">
        <w:rPr>
          <w:rFonts w:ascii="Arial" w:eastAsiaTheme="minorHAnsi" w:hAnsi="Arial" w:cs="Arial"/>
          <w:sz w:val="20"/>
          <w:szCs w:val="20"/>
          <w:lang w:val="en-US"/>
          <w14:ligatures w14:val="standardContextual"/>
        </w:rPr>
        <w:tab/>
        <w:t xml:space="preserve">Several empirical studies have confirmed the positive relationship between service quality and customer loyalty (Hanum et al., 2023; </w:t>
      </w:r>
      <w:proofErr w:type="spellStart"/>
      <w:r w:rsidRPr="00D41C6B">
        <w:rPr>
          <w:rFonts w:ascii="Arial" w:eastAsiaTheme="minorHAnsi" w:hAnsi="Arial" w:cs="Arial"/>
          <w:sz w:val="20"/>
          <w:szCs w:val="20"/>
          <w:lang w:val="en-US"/>
          <w14:ligatures w14:val="standardContextual"/>
        </w:rPr>
        <w:t>Ferawati</w:t>
      </w:r>
      <w:proofErr w:type="spellEnd"/>
      <w:r w:rsidRPr="00D41C6B">
        <w:rPr>
          <w:rFonts w:ascii="Arial" w:eastAsiaTheme="minorHAnsi" w:hAnsi="Arial" w:cs="Arial"/>
          <w:sz w:val="20"/>
          <w:szCs w:val="20"/>
          <w:lang w:val="en-US"/>
          <w14:ligatures w14:val="standardContextual"/>
        </w:rPr>
        <w:t xml:space="preserve"> et al., 2023). Good service creates satisfaction and fosters strong emotional bonds </w:t>
      </w:r>
      <w:r w:rsidRPr="00437187">
        <w:rPr>
          <w:rFonts w:ascii="Arial" w:eastAsiaTheme="minorHAnsi" w:hAnsi="Arial" w:cs="Arial"/>
          <w:sz w:val="20"/>
          <w:szCs w:val="20"/>
          <w:lang w:val="en-US"/>
          <w14:ligatures w14:val="standardContextual"/>
        </w:rPr>
        <w:t xml:space="preserve">between customers and the </w:t>
      </w:r>
      <w:proofErr w:type="spellStart"/>
      <w:r w:rsidRPr="00437187">
        <w:rPr>
          <w:rFonts w:ascii="Arial" w:eastAsiaTheme="minorHAnsi" w:hAnsi="Arial" w:cs="Arial"/>
          <w:sz w:val="20"/>
          <w:szCs w:val="20"/>
          <w:lang w:val="en-US"/>
          <w14:ligatures w14:val="standardContextual"/>
        </w:rPr>
        <w:t>organisation</w:t>
      </w:r>
      <w:proofErr w:type="spellEnd"/>
      <w:r w:rsidRPr="00437187">
        <w:rPr>
          <w:rFonts w:ascii="Arial" w:eastAsiaTheme="minorHAnsi" w:hAnsi="Arial" w:cs="Arial"/>
          <w:sz w:val="20"/>
          <w:szCs w:val="20"/>
          <w:lang w:val="en-US"/>
          <w14:ligatures w14:val="standardContextual"/>
        </w:rPr>
        <w:t>. This is particularly important in highly competitive business environments like the banking industry.</w:t>
      </w:r>
    </w:p>
    <w:p w14:paraId="117FE528" w14:textId="77777777" w:rsidR="00437187" w:rsidRPr="00437187" w:rsidRDefault="009B2121" w:rsidP="00437187">
      <w:pPr>
        <w:autoSpaceDE w:val="0"/>
        <w:autoSpaceDN w:val="0"/>
        <w:adjustRightInd w:val="0"/>
        <w:jc w:val="both"/>
        <w:rPr>
          <w:rFonts w:ascii="Arial" w:eastAsiaTheme="minorHAnsi" w:hAnsi="Arial" w:cs="Arial"/>
          <w:sz w:val="20"/>
          <w:szCs w:val="20"/>
          <w:lang w:val="en-US"/>
          <w14:ligatures w14:val="standardContextual"/>
        </w:rPr>
      </w:pPr>
      <w:r w:rsidRPr="00437187">
        <w:rPr>
          <w:rFonts w:ascii="Arial" w:hAnsi="Arial" w:cs="Arial"/>
          <w:sz w:val="20"/>
          <w:szCs w:val="20"/>
          <w:lang w:val="en-US"/>
        </w:rPr>
        <w:tab/>
      </w:r>
      <w:r w:rsidR="00437187" w:rsidRPr="00437187">
        <w:rPr>
          <w:rFonts w:ascii="Arial" w:eastAsiaTheme="minorHAnsi" w:hAnsi="Arial" w:cs="Arial"/>
          <w:sz w:val="20"/>
          <w:szCs w:val="20"/>
          <w:lang w:val="en-US"/>
          <w14:ligatures w14:val="standardContextual"/>
        </w:rPr>
        <w:t xml:space="preserve">Previous studies have generally focused on large banks operating in urban areas with complete infrastructure and abundant human resources. Studies on how bank branches in suburban or rural areas can maintain high service quality despite limited facilities and personnel are still minimal. One interesting </w:t>
      </w:r>
      <w:r w:rsidR="00437187" w:rsidRPr="00437187">
        <w:rPr>
          <w:rFonts w:ascii="Arial" w:eastAsiaTheme="minorHAnsi" w:hAnsi="Arial" w:cs="Arial"/>
          <w:sz w:val="20"/>
          <w:szCs w:val="20"/>
          <w:lang w:val="en-US"/>
          <w14:ligatures w14:val="standardContextual"/>
        </w:rPr>
        <w:lastRenderedPageBreak/>
        <w:t xml:space="preserve">example is Bank </w:t>
      </w:r>
      <w:proofErr w:type="spellStart"/>
      <w:r w:rsidR="00437187" w:rsidRPr="00437187">
        <w:rPr>
          <w:rFonts w:ascii="Arial" w:eastAsiaTheme="minorHAnsi" w:hAnsi="Arial" w:cs="Arial"/>
          <w:sz w:val="20"/>
          <w:szCs w:val="20"/>
          <w:lang w:val="en-US"/>
          <w14:ligatures w14:val="standardContextual"/>
        </w:rPr>
        <w:t>Mandiri</w:t>
      </w:r>
      <w:proofErr w:type="spellEnd"/>
      <w:r w:rsidR="00437187" w:rsidRPr="00437187">
        <w:rPr>
          <w:rFonts w:ascii="Arial" w:eastAsiaTheme="minorHAnsi" w:hAnsi="Arial" w:cs="Arial"/>
          <w:sz w:val="20"/>
          <w:szCs w:val="20"/>
          <w:lang w:val="en-US"/>
          <w14:ligatures w14:val="standardContextual"/>
        </w:rPr>
        <w:t xml:space="preserve"> KCP </w:t>
      </w:r>
      <w:proofErr w:type="spellStart"/>
      <w:r w:rsidR="00437187" w:rsidRPr="00437187">
        <w:rPr>
          <w:rFonts w:ascii="Arial" w:eastAsiaTheme="minorHAnsi" w:hAnsi="Arial" w:cs="Arial"/>
          <w:sz w:val="20"/>
          <w:szCs w:val="20"/>
          <w:lang w:val="en-US"/>
          <w14:ligatures w14:val="standardContextual"/>
        </w:rPr>
        <w:t>Paguyaman</w:t>
      </w:r>
      <w:proofErr w:type="spellEnd"/>
      <w:r w:rsidR="00437187" w:rsidRPr="00437187">
        <w:rPr>
          <w:rFonts w:ascii="Arial" w:eastAsiaTheme="minorHAnsi" w:hAnsi="Arial" w:cs="Arial"/>
          <w:sz w:val="20"/>
          <w:szCs w:val="20"/>
          <w:lang w:val="en-US"/>
          <w14:ligatures w14:val="standardContextual"/>
        </w:rPr>
        <w:t xml:space="preserve"> in Gorontalo Regency, which has shown significant growth in the number of customers and use of the </w:t>
      </w:r>
      <w:proofErr w:type="spellStart"/>
      <w:r w:rsidR="00437187" w:rsidRPr="00437187">
        <w:rPr>
          <w:rFonts w:ascii="Arial" w:eastAsiaTheme="minorHAnsi" w:hAnsi="Arial" w:cs="Arial"/>
          <w:sz w:val="20"/>
          <w:szCs w:val="20"/>
          <w:lang w:val="en-US"/>
          <w14:ligatures w14:val="standardContextual"/>
        </w:rPr>
        <w:t>Livin</w:t>
      </w:r>
      <w:proofErr w:type="spellEnd"/>
      <w:r w:rsidR="00437187" w:rsidRPr="00437187">
        <w:rPr>
          <w:rFonts w:ascii="Arial" w:eastAsiaTheme="minorHAnsi" w:hAnsi="Arial" w:cs="Arial"/>
          <w:sz w:val="20"/>
          <w:szCs w:val="20"/>
          <w:lang w:val="en-US"/>
          <w14:ligatures w14:val="standardContextual"/>
        </w:rPr>
        <w:t xml:space="preserve">’ by </w:t>
      </w:r>
      <w:proofErr w:type="spellStart"/>
      <w:r w:rsidR="00437187" w:rsidRPr="00437187">
        <w:rPr>
          <w:rFonts w:ascii="Arial" w:eastAsiaTheme="minorHAnsi" w:hAnsi="Arial" w:cs="Arial"/>
          <w:sz w:val="20"/>
          <w:szCs w:val="20"/>
          <w:lang w:val="en-US"/>
          <w14:ligatures w14:val="standardContextual"/>
        </w:rPr>
        <w:t>Mandiri</w:t>
      </w:r>
      <w:proofErr w:type="spellEnd"/>
      <w:r w:rsidR="00437187" w:rsidRPr="00437187">
        <w:rPr>
          <w:rFonts w:ascii="Arial" w:eastAsiaTheme="minorHAnsi" w:hAnsi="Arial" w:cs="Arial"/>
          <w:sz w:val="20"/>
          <w:szCs w:val="20"/>
          <w:lang w:val="en-US"/>
          <w14:ligatures w14:val="standardContextual"/>
        </w:rPr>
        <w:t xml:space="preserve"> digital application despite operating in an area far from the city center and with limited physical facilities (</w:t>
      </w:r>
      <w:proofErr w:type="spellStart"/>
      <w:r w:rsidR="00437187" w:rsidRPr="00437187">
        <w:rPr>
          <w:rFonts w:ascii="Arial" w:eastAsiaTheme="minorHAnsi" w:hAnsi="Arial" w:cs="Arial"/>
          <w:sz w:val="20"/>
          <w:szCs w:val="20"/>
          <w:lang w:val="en-US"/>
          <w14:ligatures w14:val="standardContextual"/>
        </w:rPr>
        <w:t>Irsyad</w:t>
      </w:r>
      <w:proofErr w:type="spellEnd"/>
      <w:r w:rsidR="00437187" w:rsidRPr="00437187">
        <w:rPr>
          <w:rFonts w:ascii="Arial" w:eastAsiaTheme="minorHAnsi" w:hAnsi="Arial" w:cs="Arial"/>
          <w:sz w:val="20"/>
          <w:szCs w:val="20"/>
          <w:lang w:val="en-US"/>
          <w14:ligatures w14:val="standardContextual"/>
        </w:rPr>
        <w:t xml:space="preserve"> et al., 2024).</w:t>
      </w:r>
    </w:p>
    <w:p w14:paraId="7286EB19" w14:textId="77777777" w:rsidR="00437187" w:rsidRPr="00437187" w:rsidRDefault="00437187" w:rsidP="00437187">
      <w:pPr>
        <w:autoSpaceDE w:val="0"/>
        <w:autoSpaceDN w:val="0"/>
        <w:adjustRightInd w:val="0"/>
        <w:jc w:val="both"/>
        <w:rPr>
          <w:rFonts w:ascii="Arial" w:eastAsiaTheme="minorHAnsi" w:hAnsi="Arial" w:cs="Arial"/>
          <w:sz w:val="20"/>
          <w:szCs w:val="20"/>
          <w:lang w:val="en-US"/>
          <w14:ligatures w14:val="standardContextual"/>
        </w:rPr>
      </w:pPr>
      <w:r w:rsidRPr="00437187">
        <w:rPr>
          <w:rFonts w:ascii="Arial" w:eastAsiaTheme="minorHAnsi" w:hAnsi="Arial" w:cs="Arial"/>
          <w:sz w:val="20"/>
          <w:szCs w:val="20"/>
          <w:lang w:val="en-US"/>
          <w14:ligatures w14:val="standardContextual"/>
        </w:rPr>
        <w:tab/>
        <w:t xml:space="preserve">This phenomenon indicates the presence of specific service dimensions that constitute this branch’s competitive advantage, raising research questions worthy of further exploration. Additionally, despite the growth in digital application usage, according to data from the Top Brand Award 2025, the </w:t>
      </w:r>
      <w:proofErr w:type="spellStart"/>
      <w:r w:rsidRPr="00437187">
        <w:rPr>
          <w:rFonts w:ascii="Arial" w:eastAsiaTheme="minorHAnsi" w:hAnsi="Arial" w:cs="Arial"/>
          <w:sz w:val="20"/>
          <w:szCs w:val="20"/>
          <w:lang w:val="en-US"/>
          <w14:ligatures w14:val="standardContextual"/>
        </w:rPr>
        <w:t>Livin</w:t>
      </w:r>
      <w:proofErr w:type="spellEnd"/>
      <w:r w:rsidRPr="00437187">
        <w:rPr>
          <w:rFonts w:ascii="Arial" w:eastAsiaTheme="minorHAnsi" w:hAnsi="Arial" w:cs="Arial"/>
          <w:sz w:val="20"/>
          <w:szCs w:val="20"/>
          <w:lang w:val="en-US"/>
          <w14:ligatures w14:val="standardContextual"/>
        </w:rPr>
        <w:t xml:space="preserve">’ by </w:t>
      </w:r>
      <w:proofErr w:type="spellStart"/>
      <w:r w:rsidRPr="00437187">
        <w:rPr>
          <w:rFonts w:ascii="Arial" w:eastAsiaTheme="minorHAnsi" w:hAnsi="Arial" w:cs="Arial"/>
          <w:sz w:val="20"/>
          <w:szCs w:val="20"/>
          <w:lang w:val="en-US"/>
          <w14:ligatures w14:val="standardContextual"/>
        </w:rPr>
        <w:t>Mandiri</w:t>
      </w:r>
      <w:proofErr w:type="spellEnd"/>
      <w:r w:rsidRPr="00437187">
        <w:rPr>
          <w:rFonts w:ascii="Arial" w:eastAsiaTheme="minorHAnsi" w:hAnsi="Arial" w:cs="Arial"/>
          <w:sz w:val="20"/>
          <w:szCs w:val="20"/>
          <w:lang w:val="en-US"/>
          <w14:ligatures w14:val="standardContextual"/>
        </w:rPr>
        <w:t xml:space="preserve"> application still ranks below other bank digital applications, such as BRImo and BCA Mobile, regarding top-of-mind awareness and national brand commitment.</w:t>
      </w:r>
    </w:p>
    <w:p w14:paraId="3CF6076F" w14:textId="77777777" w:rsidR="00437187" w:rsidRPr="00437187" w:rsidRDefault="00437187" w:rsidP="00437187">
      <w:pPr>
        <w:jc w:val="both"/>
        <w:rPr>
          <w:rFonts w:ascii="Arial" w:hAnsi="Arial" w:cs="Arial"/>
          <w:sz w:val="20"/>
          <w:szCs w:val="20"/>
          <w:lang w:val="en-US"/>
        </w:rPr>
      </w:pPr>
      <w:r w:rsidRPr="00437187">
        <w:rPr>
          <w:rFonts w:ascii="Arial" w:eastAsiaTheme="minorHAnsi" w:hAnsi="Arial" w:cs="Arial"/>
          <w:sz w:val="20"/>
          <w:szCs w:val="20"/>
          <w:lang w:val="en-US"/>
          <w14:ligatures w14:val="standardContextual"/>
        </w:rPr>
        <w:tab/>
        <w:t xml:space="preserve">This study uses a conceptual framework based on the SERVQUAL (Services Quality) model as the primary measurement tool for assessing public service quality in the banking sector, specifically at Bank </w:t>
      </w:r>
      <w:proofErr w:type="spellStart"/>
      <w:r w:rsidRPr="00437187">
        <w:rPr>
          <w:rFonts w:ascii="Arial" w:eastAsiaTheme="minorHAnsi" w:hAnsi="Arial" w:cs="Arial"/>
          <w:sz w:val="20"/>
          <w:szCs w:val="20"/>
          <w:lang w:val="en-US"/>
          <w14:ligatures w14:val="standardContextual"/>
        </w:rPr>
        <w:t>Mandiri</w:t>
      </w:r>
      <w:proofErr w:type="spellEnd"/>
      <w:r w:rsidRPr="00437187">
        <w:rPr>
          <w:rFonts w:ascii="Arial" w:eastAsiaTheme="minorHAnsi" w:hAnsi="Arial" w:cs="Arial"/>
          <w:sz w:val="20"/>
          <w:szCs w:val="20"/>
          <w:lang w:val="en-US"/>
          <w14:ligatures w14:val="standardContextual"/>
        </w:rPr>
        <w:t xml:space="preserve"> KCP </w:t>
      </w:r>
      <w:proofErr w:type="spellStart"/>
      <w:r w:rsidRPr="00437187">
        <w:rPr>
          <w:rFonts w:ascii="Arial" w:eastAsiaTheme="minorHAnsi" w:hAnsi="Arial" w:cs="Arial"/>
          <w:sz w:val="20"/>
          <w:szCs w:val="20"/>
          <w:lang w:val="en-US"/>
          <w14:ligatures w14:val="standardContextual"/>
        </w:rPr>
        <w:t>Paguyaman</w:t>
      </w:r>
      <w:proofErr w:type="spellEnd"/>
      <w:r w:rsidRPr="00437187">
        <w:rPr>
          <w:rFonts w:ascii="Arial" w:eastAsiaTheme="minorHAnsi" w:hAnsi="Arial" w:cs="Arial"/>
          <w:sz w:val="20"/>
          <w:szCs w:val="20"/>
          <w:lang w:val="en-US"/>
          <w14:ligatures w14:val="standardContextual"/>
        </w:rPr>
        <w:t xml:space="preserve">. The use of this model is based on various considerations from previous research. For example, </w:t>
      </w:r>
      <w:proofErr w:type="spellStart"/>
      <w:r w:rsidRPr="00437187">
        <w:rPr>
          <w:rFonts w:ascii="Arial" w:eastAsiaTheme="minorHAnsi" w:hAnsi="Arial" w:cs="Arial"/>
          <w:sz w:val="20"/>
          <w:szCs w:val="20"/>
          <w:lang w:val="en-US"/>
          <w14:ligatures w14:val="standardContextual"/>
        </w:rPr>
        <w:t>Ladhari</w:t>
      </w:r>
      <w:proofErr w:type="spellEnd"/>
      <w:r w:rsidRPr="00437187">
        <w:rPr>
          <w:rFonts w:ascii="Arial" w:eastAsiaTheme="minorHAnsi" w:hAnsi="Arial" w:cs="Arial"/>
          <w:sz w:val="20"/>
          <w:szCs w:val="20"/>
          <w:lang w:val="en-US"/>
          <w14:ligatures w14:val="standardContextual"/>
        </w:rPr>
        <w:t xml:space="preserve"> (2009) states that this model is widely used to diagnose service quality, including banking. Shi and Shang (2020), Hoque et al. (2023), Al-Omari (2020), and Shi and Shang (2020) state that the SERVQUAL model is flexible and valid in various public service contexts; provides a systematic framework for measuring the gap between user expectations and perceptions; can be used in strategic decision-making to improve service quality in the education, health, and administrative services sectors; and directly contributes to user satisfaction and loyalty.</w:t>
      </w:r>
      <w:r w:rsidR="006152BD" w:rsidRPr="00437187">
        <w:rPr>
          <w:rFonts w:ascii="Arial" w:hAnsi="Arial" w:cs="Arial"/>
          <w:sz w:val="20"/>
          <w:szCs w:val="20"/>
          <w:lang w:val="en-US"/>
        </w:rPr>
        <w:tab/>
      </w:r>
    </w:p>
    <w:p w14:paraId="4587EFC9" w14:textId="77777777" w:rsidR="00274D06" w:rsidRPr="00D41C6B" w:rsidRDefault="00437187" w:rsidP="00437187">
      <w:pPr>
        <w:jc w:val="both"/>
        <w:rPr>
          <w:rFonts w:ascii="Arial" w:hAnsi="Arial" w:cs="Arial"/>
          <w:b/>
          <w:bCs/>
          <w:sz w:val="20"/>
          <w:szCs w:val="20"/>
          <w:lang w:val="en-US"/>
        </w:rPr>
      </w:pPr>
      <w:r w:rsidRPr="00437187">
        <w:rPr>
          <w:rFonts w:ascii="Arial" w:hAnsi="Arial" w:cs="Arial"/>
          <w:sz w:val="20"/>
          <w:szCs w:val="20"/>
          <w:lang w:val="en-US"/>
        </w:rPr>
        <w:tab/>
        <w:t xml:space="preserve">The uniqueness or novelty of this study lies in its geographical focus and institutional context. This study highlights the empirical reality of a bank branch in a rural area that has succeeded in demonstrating high public service performance despite limited resources. In general, this study aims to evaluate the quality of public services at Bank </w:t>
      </w:r>
      <w:proofErr w:type="spellStart"/>
      <w:r w:rsidRPr="00437187">
        <w:rPr>
          <w:rFonts w:ascii="Arial" w:hAnsi="Arial" w:cs="Arial"/>
          <w:sz w:val="20"/>
          <w:szCs w:val="20"/>
          <w:lang w:val="en-US"/>
        </w:rPr>
        <w:t>Mandiri</w:t>
      </w:r>
      <w:proofErr w:type="spellEnd"/>
      <w:r w:rsidRPr="00437187">
        <w:rPr>
          <w:rFonts w:ascii="Arial" w:hAnsi="Arial" w:cs="Arial"/>
          <w:sz w:val="20"/>
          <w:szCs w:val="20"/>
          <w:lang w:val="en-US"/>
        </w:rPr>
        <w:t xml:space="preserve"> KCP </w:t>
      </w:r>
      <w:proofErr w:type="spellStart"/>
      <w:r w:rsidRPr="00437187">
        <w:rPr>
          <w:rFonts w:ascii="Arial" w:hAnsi="Arial" w:cs="Arial"/>
          <w:sz w:val="20"/>
          <w:szCs w:val="20"/>
          <w:lang w:val="en-US"/>
        </w:rPr>
        <w:t>Paguyaman</w:t>
      </w:r>
      <w:proofErr w:type="spellEnd"/>
      <w:r w:rsidRPr="00437187">
        <w:rPr>
          <w:rFonts w:ascii="Arial" w:hAnsi="Arial" w:cs="Arial"/>
          <w:sz w:val="20"/>
          <w:szCs w:val="20"/>
          <w:lang w:val="en-US"/>
        </w:rPr>
        <w:t xml:space="preserve"> using the SERVQUAL approach and to </w:t>
      </w:r>
      <w:proofErr w:type="spellStart"/>
      <w:r w:rsidRPr="00437187">
        <w:rPr>
          <w:rFonts w:ascii="Arial" w:hAnsi="Arial" w:cs="Arial"/>
          <w:sz w:val="20"/>
          <w:szCs w:val="20"/>
          <w:lang w:val="en-US"/>
        </w:rPr>
        <w:t>analyse</w:t>
      </w:r>
      <w:proofErr w:type="spellEnd"/>
      <w:r w:rsidRPr="00437187">
        <w:rPr>
          <w:rFonts w:ascii="Arial" w:hAnsi="Arial" w:cs="Arial"/>
          <w:sz w:val="20"/>
          <w:szCs w:val="20"/>
          <w:lang w:val="en-US"/>
        </w:rPr>
        <w:t xml:space="preserve"> it critically.</w:t>
      </w:r>
    </w:p>
    <w:p w14:paraId="0B06D048" w14:textId="77777777" w:rsidR="00274D06" w:rsidRPr="00D41C6B" w:rsidRDefault="00274D06" w:rsidP="009B2121">
      <w:pPr>
        <w:jc w:val="both"/>
        <w:rPr>
          <w:rFonts w:ascii="Arial" w:hAnsi="Arial" w:cs="Arial"/>
          <w:b/>
          <w:bCs/>
          <w:sz w:val="20"/>
          <w:szCs w:val="20"/>
          <w:lang w:val="en-US"/>
        </w:rPr>
      </w:pPr>
    </w:p>
    <w:p w14:paraId="1F7120F7" w14:textId="77777777" w:rsidR="00437187" w:rsidRPr="002C7BF6" w:rsidRDefault="00437187" w:rsidP="00437187">
      <w:pPr>
        <w:autoSpaceDE w:val="0"/>
        <w:autoSpaceDN w:val="0"/>
        <w:adjustRightInd w:val="0"/>
        <w:rPr>
          <w:rFonts w:ascii="Arial" w:eastAsiaTheme="minorHAnsi" w:hAnsi="Arial" w:cs="Arial"/>
          <w:b/>
          <w:bCs/>
          <w:sz w:val="20"/>
          <w:szCs w:val="20"/>
          <w:lang w:val="en-US"/>
          <w14:ligatures w14:val="standardContextual"/>
        </w:rPr>
      </w:pPr>
      <w:r w:rsidRPr="002C7BF6">
        <w:rPr>
          <w:rFonts w:ascii="Arial" w:eastAsiaTheme="minorHAnsi" w:hAnsi="Arial" w:cs="Arial"/>
          <w:b/>
          <w:bCs/>
          <w:sz w:val="20"/>
          <w:szCs w:val="20"/>
          <w:lang w:val="en-US"/>
          <w14:ligatures w14:val="standardContextual"/>
        </w:rPr>
        <w:t>2. METHODOLOGY</w:t>
      </w:r>
    </w:p>
    <w:p w14:paraId="520A7028" w14:textId="77777777" w:rsidR="00437187" w:rsidRPr="00FB453A" w:rsidRDefault="00437187" w:rsidP="00437187">
      <w:pPr>
        <w:autoSpaceDE w:val="0"/>
        <w:autoSpaceDN w:val="0"/>
        <w:adjustRightInd w:val="0"/>
        <w:rPr>
          <w:rFonts w:ascii="Arial" w:eastAsiaTheme="minorHAnsi" w:hAnsi="Arial" w:cs="Arial"/>
          <w:sz w:val="20"/>
          <w:szCs w:val="20"/>
          <w:lang w:val="en-US"/>
          <w14:ligatures w14:val="standardContextual"/>
        </w:rPr>
      </w:pPr>
    </w:p>
    <w:p w14:paraId="757D92DB" w14:textId="77777777" w:rsidR="00437187" w:rsidRPr="00FB453A" w:rsidRDefault="00437187" w:rsidP="003F5B21">
      <w:pPr>
        <w:autoSpaceDE w:val="0"/>
        <w:autoSpaceDN w:val="0"/>
        <w:adjustRightInd w:val="0"/>
        <w:jc w:val="both"/>
        <w:rPr>
          <w:rFonts w:ascii="Arial" w:eastAsiaTheme="minorHAnsi" w:hAnsi="Arial" w:cs="Arial"/>
          <w:sz w:val="20"/>
          <w:szCs w:val="20"/>
          <w:lang w:val="en-US"/>
          <w14:ligatures w14:val="standardContextual"/>
        </w:rPr>
      </w:pPr>
      <w:r w:rsidRPr="00FB453A">
        <w:rPr>
          <w:rFonts w:ascii="Arial" w:eastAsiaTheme="minorHAnsi" w:hAnsi="Arial" w:cs="Arial"/>
          <w:sz w:val="20"/>
          <w:szCs w:val="20"/>
          <w:lang w:val="en-US"/>
          <w14:ligatures w14:val="standardContextual"/>
        </w:rPr>
        <w:t xml:space="preserve">This study was conducted at Bank </w:t>
      </w:r>
      <w:proofErr w:type="spellStart"/>
      <w:r w:rsidRPr="00FB453A">
        <w:rPr>
          <w:rFonts w:ascii="Arial" w:eastAsiaTheme="minorHAnsi" w:hAnsi="Arial" w:cs="Arial"/>
          <w:sz w:val="20"/>
          <w:szCs w:val="20"/>
          <w:lang w:val="en-US"/>
          <w14:ligatures w14:val="standardContextual"/>
        </w:rPr>
        <w:t>Mandiri</w:t>
      </w:r>
      <w:proofErr w:type="spellEnd"/>
      <w:r w:rsidRPr="00FB453A">
        <w:rPr>
          <w:rFonts w:ascii="Arial" w:eastAsiaTheme="minorHAnsi" w:hAnsi="Arial" w:cs="Arial"/>
          <w:sz w:val="20"/>
          <w:szCs w:val="20"/>
          <w:lang w:val="en-US"/>
          <w14:ligatures w14:val="standardContextual"/>
        </w:rPr>
        <w:t xml:space="preserve"> </w:t>
      </w:r>
      <w:proofErr w:type="spellStart"/>
      <w:r w:rsidRPr="00FB453A">
        <w:rPr>
          <w:rFonts w:ascii="Arial" w:eastAsiaTheme="minorHAnsi" w:hAnsi="Arial" w:cs="Arial"/>
          <w:sz w:val="20"/>
          <w:szCs w:val="20"/>
          <w:lang w:val="en-US"/>
          <w14:ligatures w14:val="standardContextual"/>
        </w:rPr>
        <w:t>Paguyaman</w:t>
      </w:r>
      <w:proofErr w:type="spellEnd"/>
      <w:r w:rsidRPr="00FB453A">
        <w:rPr>
          <w:rFonts w:ascii="Arial" w:eastAsiaTheme="minorHAnsi" w:hAnsi="Arial" w:cs="Arial"/>
          <w:sz w:val="20"/>
          <w:szCs w:val="20"/>
          <w:lang w:val="en-US"/>
          <w14:ligatures w14:val="standardContextual"/>
        </w:rPr>
        <w:t xml:space="preserve"> Service Unit in </w:t>
      </w:r>
      <w:proofErr w:type="spellStart"/>
      <w:r w:rsidRPr="00FB453A">
        <w:rPr>
          <w:rFonts w:ascii="Arial" w:eastAsiaTheme="minorHAnsi" w:hAnsi="Arial" w:cs="Arial"/>
          <w:sz w:val="20"/>
          <w:szCs w:val="20"/>
          <w:lang w:val="en-US"/>
          <w14:ligatures w14:val="standardContextual"/>
        </w:rPr>
        <w:t>Boliyohuto</w:t>
      </w:r>
      <w:proofErr w:type="spellEnd"/>
      <w:r w:rsidRPr="00FB453A">
        <w:rPr>
          <w:rFonts w:ascii="Arial" w:eastAsiaTheme="minorHAnsi" w:hAnsi="Arial" w:cs="Arial"/>
          <w:sz w:val="20"/>
          <w:szCs w:val="20"/>
          <w:lang w:val="en-US"/>
          <w14:ligatures w14:val="standardContextual"/>
        </w:rPr>
        <w:t xml:space="preserve"> Subdistrict, which was purposively selected based on the relevance of the location to the research topic. The location selection considered the community’s social, cultural, and economic characteristics aligned with the research objectives (</w:t>
      </w:r>
      <w:proofErr w:type="spellStart"/>
      <w:r w:rsidRPr="00FB453A">
        <w:rPr>
          <w:rFonts w:ascii="Arial" w:eastAsiaTheme="minorHAnsi" w:hAnsi="Arial" w:cs="Arial"/>
          <w:sz w:val="20"/>
          <w:szCs w:val="20"/>
          <w:lang w:val="en-US"/>
          <w14:ligatures w14:val="standardContextual"/>
        </w:rPr>
        <w:t>Sugiyono</w:t>
      </w:r>
      <w:proofErr w:type="spellEnd"/>
      <w:r w:rsidRPr="00FB453A">
        <w:rPr>
          <w:rFonts w:ascii="Arial" w:eastAsiaTheme="minorHAnsi" w:hAnsi="Arial" w:cs="Arial"/>
          <w:sz w:val="20"/>
          <w:szCs w:val="20"/>
          <w:lang w:val="en-US"/>
          <w14:ligatures w14:val="standardContextual"/>
        </w:rPr>
        <w:t xml:space="preserve">, 2019). This location was deemed representative in providing in-depth and contextual information on the studied phenomenon. This research used a descriptive qualitative design with a case study approach. This approach was chosen because it allowed the researcher to explore the informants’ meanings, experiences, and social realities in their natural context (Creswell &amp; Poth, 2018). </w:t>
      </w:r>
    </w:p>
    <w:p w14:paraId="6D77E413" w14:textId="77777777" w:rsidR="00437187" w:rsidRPr="00FB453A" w:rsidRDefault="00437187" w:rsidP="003F5B21">
      <w:pPr>
        <w:autoSpaceDE w:val="0"/>
        <w:autoSpaceDN w:val="0"/>
        <w:adjustRightInd w:val="0"/>
        <w:jc w:val="both"/>
        <w:rPr>
          <w:rFonts w:ascii="Arial" w:eastAsiaTheme="minorHAnsi" w:hAnsi="Arial" w:cs="Arial"/>
          <w:sz w:val="20"/>
          <w:szCs w:val="20"/>
          <w:lang w:val="en-US"/>
          <w14:ligatures w14:val="standardContextual"/>
        </w:rPr>
      </w:pPr>
      <w:r w:rsidRPr="00FB453A">
        <w:rPr>
          <w:rFonts w:ascii="Arial" w:eastAsiaTheme="minorHAnsi" w:hAnsi="Arial" w:cs="Arial"/>
          <w:sz w:val="20"/>
          <w:szCs w:val="20"/>
          <w:lang w:val="en-US"/>
          <w14:ligatures w14:val="standardContextual"/>
        </w:rPr>
        <w:tab/>
        <w:t>The primary instrument in this study is the researcher, who serves as the key instrument in the data collection and interpretation process. Additionally, semi-structured interview guidelines and observation sheets are used to maintain consistency in questions and record findings in the field (Miles, Huberman, &amp; Saldaña, 2014). The interview guidelines were developed based on theoretical indicators from the literature review and validated substantively by methodology experts.</w:t>
      </w:r>
    </w:p>
    <w:p w14:paraId="2B75AB4F" w14:textId="77777777" w:rsidR="00437187" w:rsidRPr="00FB453A" w:rsidRDefault="00437187" w:rsidP="003F5B21">
      <w:pPr>
        <w:autoSpaceDE w:val="0"/>
        <w:autoSpaceDN w:val="0"/>
        <w:adjustRightInd w:val="0"/>
        <w:jc w:val="both"/>
        <w:rPr>
          <w:rFonts w:ascii="Arial" w:eastAsiaTheme="minorHAnsi" w:hAnsi="Arial" w:cs="Arial"/>
          <w:sz w:val="20"/>
          <w:szCs w:val="20"/>
          <w:lang w:val="en-US"/>
          <w14:ligatures w14:val="standardContextual"/>
        </w:rPr>
      </w:pPr>
      <w:r w:rsidRPr="00FB453A">
        <w:rPr>
          <w:rFonts w:ascii="Arial" w:eastAsiaTheme="minorHAnsi" w:hAnsi="Arial" w:cs="Arial"/>
          <w:sz w:val="20"/>
          <w:szCs w:val="20"/>
          <w:lang w:val="en-US"/>
          <w14:ligatures w14:val="standardContextual"/>
        </w:rPr>
        <w:t>Informants in this study were selected purposively based on specific criteria aligned with the research objectives. The criteria include (1) having direct knowledge or experience related to the phenomenon being studied, (2) being willing to provide information openly, and (3) being able to reflect on the social reality of their community (Patton, 2015). The number of informants was determined based on data saturation when the data obtained showed a recurring pattern, and there was no new significant information.</w:t>
      </w:r>
    </w:p>
    <w:p w14:paraId="5C39B9A8" w14:textId="77777777" w:rsidR="00437187" w:rsidRPr="00FB453A" w:rsidRDefault="00437187" w:rsidP="003F5B21">
      <w:pPr>
        <w:autoSpaceDE w:val="0"/>
        <w:autoSpaceDN w:val="0"/>
        <w:adjustRightInd w:val="0"/>
        <w:jc w:val="both"/>
        <w:rPr>
          <w:rFonts w:ascii="Arial" w:eastAsiaTheme="minorHAnsi" w:hAnsi="Arial" w:cs="Arial"/>
          <w:sz w:val="20"/>
          <w:szCs w:val="20"/>
          <w:lang w:val="en-US"/>
          <w14:ligatures w14:val="standardContextual"/>
        </w:rPr>
      </w:pPr>
      <w:r w:rsidRPr="00FB453A">
        <w:rPr>
          <w:rFonts w:ascii="Arial" w:eastAsiaTheme="minorHAnsi" w:hAnsi="Arial" w:cs="Arial"/>
          <w:sz w:val="20"/>
          <w:szCs w:val="20"/>
          <w:lang w:val="en-US"/>
          <w14:ligatures w14:val="standardContextual"/>
        </w:rPr>
        <w:tab/>
        <w:t>The data collection process used three main techniques: in-depth interviews, participatory observation, and documentation study. The data collection process began with initial observation to understand the field context, followed by focused interviews with key informants and the collection of relevant documents such as activity reports, local policies, and statistical data (Creswell, 2013). Source triangulation, method triangulation, and time triangulation techniques were employed to enhance data validity. Source triangulation involves comparing data from various informants; method triangulation involves comparing the results of interviews, observations, and documentation. In contrast, time triangulation was used to ensure data collection consistency at different times (Denzin, 2012). This technique aims to strengthen the validity of the results and avoid single perception bias.</w:t>
      </w:r>
    </w:p>
    <w:p w14:paraId="2D945892" w14:textId="77777777" w:rsidR="00437187" w:rsidRPr="00FB453A" w:rsidRDefault="00437187" w:rsidP="003F5B21">
      <w:pPr>
        <w:autoSpaceDE w:val="0"/>
        <w:autoSpaceDN w:val="0"/>
        <w:adjustRightInd w:val="0"/>
        <w:jc w:val="both"/>
        <w:rPr>
          <w:rFonts w:ascii="Arial" w:eastAsiaTheme="minorHAnsi" w:hAnsi="Arial" w:cs="Arial"/>
          <w:sz w:val="20"/>
          <w:szCs w:val="20"/>
          <w:lang w:val="en-US"/>
          <w14:ligatures w14:val="standardContextual"/>
        </w:rPr>
      </w:pPr>
      <w:r w:rsidRPr="00FB453A">
        <w:rPr>
          <w:rFonts w:ascii="Arial" w:eastAsiaTheme="minorHAnsi" w:hAnsi="Arial" w:cs="Arial"/>
          <w:sz w:val="20"/>
          <w:szCs w:val="20"/>
          <w:lang w:val="en-US"/>
          <w14:ligatures w14:val="standardContextual"/>
        </w:rPr>
        <w:t xml:space="preserve">Data analysis was conducted thematically using Miles and Huberman’s interactive approach, which includes three main stages: data reduction, data presentation, and conclusion drawing (Miles et al., 2014). Data collected from interviews were transcribed verbatim, coded based on emerging themes, and then </w:t>
      </w:r>
      <w:proofErr w:type="spellStart"/>
      <w:r w:rsidRPr="00FB453A">
        <w:rPr>
          <w:rFonts w:ascii="Arial" w:eastAsiaTheme="minorHAnsi" w:hAnsi="Arial" w:cs="Arial"/>
          <w:sz w:val="20"/>
          <w:szCs w:val="20"/>
          <w:lang w:val="en-US"/>
          <w14:ligatures w14:val="standardContextual"/>
        </w:rPr>
        <w:t>analysed</w:t>
      </w:r>
      <w:proofErr w:type="spellEnd"/>
      <w:r w:rsidRPr="00FB453A">
        <w:rPr>
          <w:rFonts w:ascii="Arial" w:eastAsiaTheme="minorHAnsi" w:hAnsi="Arial" w:cs="Arial"/>
          <w:sz w:val="20"/>
          <w:szCs w:val="20"/>
          <w:lang w:val="en-US"/>
          <w14:ligatures w14:val="standardContextual"/>
        </w:rPr>
        <w:t xml:space="preserve"> inductively to identify patterns of meaning. The validity of the results was validated through member checks with informants and discussions with peers to enhance the credibility of the findings.</w:t>
      </w:r>
    </w:p>
    <w:p w14:paraId="2F169A27" w14:textId="77777777" w:rsidR="00437187" w:rsidRPr="00FB453A" w:rsidRDefault="00437187" w:rsidP="003F5B21">
      <w:pPr>
        <w:autoSpaceDE w:val="0"/>
        <w:autoSpaceDN w:val="0"/>
        <w:adjustRightInd w:val="0"/>
        <w:jc w:val="both"/>
        <w:rPr>
          <w:rFonts w:ascii="Arial" w:eastAsiaTheme="minorHAnsi" w:hAnsi="Arial" w:cs="Arial"/>
          <w:sz w:val="20"/>
          <w:szCs w:val="20"/>
          <w:lang w:val="en-US"/>
          <w14:ligatures w14:val="standardContextual"/>
        </w:rPr>
      </w:pPr>
    </w:p>
    <w:p w14:paraId="11249E17" w14:textId="77777777" w:rsidR="00437187" w:rsidRDefault="00437187" w:rsidP="00437187">
      <w:pPr>
        <w:autoSpaceDE w:val="0"/>
        <w:autoSpaceDN w:val="0"/>
        <w:adjustRightInd w:val="0"/>
        <w:rPr>
          <w:rFonts w:ascii="Arial" w:eastAsiaTheme="minorHAnsi" w:hAnsi="Arial" w:cs="Arial"/>
          <w:b/>
          <w:bCs/>
          <w:sz w:val="22"/>
          <w:szCs w:val="22"/>
          <w:lang w:val="en-US"/>
          <w14:ligatures w14:val="standardContextual"/>
        </w:rPr>
      </w:pPr>
      <w:r w:rsidRPr="003F5B21">
        <w:rPr>
          <w:rFonts w:ascii="Arial" w:eastAsiaTheme="minorHAnsi" w:hAnsi="Arial" w:cs="Arial"/>
          <w:b/>
          <w:bCs/>
          <w:sz w:val="22"/>
          <w:szCs w:val="22"/>
          <w:lang w:val="en-US"/>
          <w14:ligatures w14:val="standardContextual"/>
        </w:rPr>
        <w:t xml:space="preserve">3. RESULTS AND DISCUSSION </w:t>
      </w:r>
    </w:p>
    <w:p w14:paraId="44D19C9D" w14:textId="77777777" w:rsidR="00D0042C" w:rsidRDefault="00D0042C" w:rsidP="00437187">
      <w:pPr>
        <w:autoSpaceDE w:val="0"/>
        <w:autoSpaceDN w:val="0"/>
        <w:adjustRightInd w:val="0"/>
        <w:rPr>
          <w:rFonts w:ascii="Arial" w:eastAsiaTheme="minorHAnsi" w:hAnsi="Arial" w:cs="Arial"/>
          <w:b/>
          <w:bCs/>
          <w:sz w:val="22"/>
          <w:szCs w:val="22"/>
          <w:lang w:val="en-US"/>
          <w14:ligatures w14:val="standardContextual"/>
        </w:rPr>
      </w:pPr>
    </w:p>
    <w:p w14:paraId="38721F15" w14:textId="77777777" w:rsidR="00D0042C" w:rsidRPr="003F5B21" w:rsidRDefault="00D0042C" w:rsidP="00D0042C">
      <w:pPr>
        <w:autoSpaceDE w:val="0"/>
        <w:autoSpaceDN w:val="0"/>
        <w:adjustRightInd w:val="0"/>
        <w:jc w:val="center"/>
        <w:rPr>
          <w:rFonts w:ascii="Arial" w:eastAsiaTheme="minorHAnsi" w:hAnsi="Arial" w:cs="Arial"/>
          <w:b/>
          <w:bCs/>
          <w:sz w:val="22"/>
          <w:szCs w:val="22"/>
          <w:lang w:val="en-US"/>
          <w14:ligatures w14:val="standardContextual"/>
        </w:rPr>
      </w:pPr>
      <w:r w:rsidRPr="00D0042C">
        <w:rPr>
          <w:rFonts w:ascii="Arial" w:eastAsiaTheme="minorHAnsi" w:hAnsi="Arial" w:cs="Arial"/>
          <w:b/>
          <w:bCs/>
          <w:sz w:val="22"/>
          <w:szCs w:val="22"/>
          <w:lang w:val="en-US"/>
          <w14:ligatures w14:val="standardContextual"/>
        </w:rPr>
        <w:t xml:space="preserve">Table 1. </w:t>
      </w:r>
      <w:r w:rsidR="002A7769">
        <w:rPr>
          <w:rFonts w:ascii="Arial" w:eastAsiaTheme="minorHAnsi" w:hAnsi="Arial" w:cs="Arial"/>
          <w:b/>
          <w:bCs/>
          <w:sz w:val="22"/>
          <w:szCs w:val="22"/>
          <w:lang w:val="en-US"/>
          <w14:ligatures w14:val="standardContextual"/>
        </w:rPr>
        <w:t xml:space="preserve"> </w:t>
      </w:r>
      <w:r w:rsidRPr="00D0042C">
        <w:rPr>
          <w:rFonts w:ascii="Arial" w:eastAsiaTheme="minorHAnsi" w:hAnsi="Arial" w:cs="Arial"/>
          <w:b/>
          <w:bCs/>
          <w:sz w:val="22"/>
          <w:szCs w:val="22"/>
          <w:lang w:val="en-US"/>
          <w14:ligatures w14:val="standardContextual"/>
        </w:rPr>
        <w:t>Results of field interviews</w:t>
      </w:r>
    </w:p>
    <w:p w14:paraId="0D1F3FA0" w14:textId="77777777" w:rsidR="009B2121" w:rsidRPr="00FB453A" w:rsidRDefault="009B2121" w:rsidP="000D68E2">
      <w:pPr>
        <w:jc w:val="center"/>
        <w:rPr>
          <w:rFonts w:ascii="Arial" w:hAnsi="Arial" w:cs="Arial"/>
          <w:sz w:val="20"/>
          <w:szCs w:val="20"/>
          <w:lang w:val="en-US"/>
        </w:rPr>
      </w:pPr>
    </w:p>
    <w:tbl>
      <w:tblPr>
        <w:tblW w:w="9464" w:type="dxa"/>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2093"/>
        <w:gridCol w:w="7371"/>
      </w:tblGrid>
      <w:tr w:rsidR="003F5B21" w:rsidRPr="003F5B21" w14:paraId="6F4B603D" w14:textId="77777777" w:rsidTr="00B665BA">
        <w:tc>
          <w:tcPr>
            <w:tcW w:w="209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2D88C2F" w14:textId="77777777" w:rsidR="003F5B21" w:rsidRPr="003F5B21" w:rsidRDefault="003F5B21" w:rsidP="003F5B21">
            <w:pPr>
              <w:pStyle w:val="Heading3"/>
              <w:ind w:left="360"/>
              <w:rPr>
                <w:rFonts w:ascii="Arial" w:hAnsi="Arial" w:cs="Arial"/>
                <w:color w:val="000000" w:themeColor="text1"/>
                <w:sz w:val="20"/>
                <w:szCs w:val="20"/>
              </w:rPr>
            </w:pPr>
            <w:r w:rsidRPr="003F5B21">
              <w:rPr>
                <w:rStyle w:val="Strong"/>
                <w:rFonts w:ascii="Arial" w:hAnsi="Arial" w:cs="Arial"/>
                <w:b w:val="0"/>
                <w:bCs w:val="0"/>
                <w:color w:val="000000" w:themeColor="text1"/>
                <w:sz w:val="20"/>
                <w:szCs w:val="20"/>
              </w:rPr>
              <w:t>Aspects Examined</w:t>
            </w:r>
          </w:p>
        </w:tc>
        <w:tc>
          <w:tcPr>
            <w:tcW w:w="737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48869D3F" w14:textId="77777777" w:rsidR="003F5B21" w:rsidRPr="003F5B21" w:rsidRDefault="003F5B21" w:rsidP="00B665BA">
            <w:pPr>
              <w:autoSpaceDE w:val="0"/>
              <w:autoSpaceDN w:val="0"/>
              <w:adjustRightInd w:val="0"/>
              <w:jc w:val="center"/>
              <w:rPr>
                <w:rFonts w:ascii="Arial" w:eastAsiaTheme="minorHAnsi" w:hAnsi="Arial" w:cs="Arial"/>
                <w:color w:val="000000" w:themeColor="text1"/>
                <w:sz w:val="20"/>
                <w:szCs w:val="20"/>
                <w:lang w:val="en-US"/>
                <w14:ligatures w14:val="standardContextual"/>
              </w:rPr>
            </w:pPr>
            <w:r w:rsidRPr="003F5B21">
              <w:rPr>
                <w:rFonts w:ascii="Arial" w:eastAsiaTheme="minorHAnsi" w:hAnsi="Arial" w:cs="Arial"/>
                <w:b/>
                <w:bCs/>
                <w:color w:val="000000" w:themeColor="text1"/>
                <w:sz w:val="20"/>
                <w:szCs w:val="20"/>
                <w:lang w:val="en-US"/>
                <w14:ligatures w14:val="standardContextual"/>
              </w:rPr>
              <w:t>INTERVIEW SUMMARY</w:t>
            </w:r>
          </w:p>
        </w:tc>
      </w:tr>
      <w:tr w:rsidR="003F5B21" w:rsidRPr="003F5B21" w14:paraId="7B967C86" w14:textId="77777777" w:rsidTr="00C436B6">
        <w:tblPrEx>
          <w:tblBorders>
            <w:top w:val="none" w:sz="0" w:space="0" w:color="auto"/>
          </w:tblBorders>
        </w:tblPrEx>
        <w:tc>
          <w:tcPr>
            <w:tcW w:w="209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9B7F9A6" w14:textId="77777777" w:rsidR="003F5B21" w:rsidRPr="003F5B21" w:rsidRDefault="003F5B21" w:rsidP="003F5B21">
            <w:pPr>
              <w:pStyle w:val="NormalWeb"/>
              <w:ind w:left="360"/>
              <w:rPr>
                <w:rFonts w:ascii="Arial" w:hAnsi="Arial" w:cs="Arial"/>
                <w:color w:val="000000" w:themeColor="text1"/>
                <w:sz w:val="20"/>
                <w:szCs w:val="20"/>
              </w:rPr>
            </w:pPr>
            <w:r w:rsidRPr="003F5B21">
              <w:rPr>
                <w:rFonts w:ascii="Arial" w:hAnsi="Arial" w:cs="Arial"/>
                <w:color w:val="000000" w:themeColor="text1"/>
                <w:sz w:val="20"/>
                <w:szCs w:val="20"/>
              </w:rPr>
              <w:t>Tangible</w:t>
            </w:r>
          </w:p>
        </w:tc>
        <w:tc>
          <w:tcPr>
            <w:tcW w:w="737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1F127F3" w14:textId="77777777" w:rsidR="003F5B21" w:rsidRPr="003F5B21" w:rsidRDefault="003F5B21" w:rsidP="00B665BA">
            <w:pPr>
              <w:autoSpaceDE w:val="0"/>
              <w:autoSpaceDN w:val="0"/>
              <w:adjustRightInd w:val="0"/>
              <w:jc w:val="both"/>
              <w:rPr>
                <w:rFonts w:ascii="Arial" w:eastAsiaTheme="minorHAnsi" w:hAnsi="Arial" w:cs="Arial"/>
                <w:color w:val="000000" w:themeColor="text1"/>
                <w:sz w:val="20"/>
                <w:szCs w:val="20"/>
                <w:lang w:val="en-US"/>
                <w14:ligatures w14:val="standardContextual"/>
              </w:rPr>
            </w:pPr>
            <w:r w:rsidRPr="003F5B21">
              <w:rPr>
                <w:rFonts w:ascii="Arial" w:hAnsi="Arial" w:cs="Arial"/>
                <w:color w:val="000000" w:themeColor="text1"/>
                <w:sz w:val="20"/>
                <w:szCs w:val="20"/>
              </w:rPr>
              <w:t>Physical facilities such as waiting rooms, ATMs, and air conditioning are generally adequate and contribute to customer comfort; however, improvements are still needed in the air conditioning system, toilet capacity, and parking space.</w:t>
            </w:r>
          </w:p>
        </w:tc>
      </w:tr>
      <w:tr w:rsidR="003F5B21" w:rsidRPr="003F5B21" w14:paraId="1305CB5B" w14:textId="77777777" w:rsidTr="00C436B6">
        <w:tblPrEx>
          <w:tblBorders>
            <w:top w:val="none" w:sz="0" w:space="0" w:color="auto"/>
          </w:tblBorders>
        </w:tblPrEx>
        <w:tc>
          <w:tcPr>
            <w:tcW w:w="209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7342C6B" w14:textId="77777777" w:rsidR="003F5B21" w:rsidRPr="003F5B21" w:rsidRDefault="003F5B21" w:rsidP="003F5B21">
            <w:pPr>
              <w:pStyle w:val="NormalWeb"/>
              <w:ind w:left="360"/>
              <w:rPr>
                <w:rFonts w:ascii="Arial" w:hAnsi="Arial" w:cs="Arial"/>
                <w:color w:val="000000" w:themeColor="text1"/>
                <w:sz w:val="20"/>
                <w:szCs w:val="20"/>
              </w:rPr>
            </w:pPr>
            <w:r w:rsidRPr="003F5B21">
              <w:rPr>
                <w:rFonts w:ascii="Arial" w:hAnsi="Arial" w:cs="Arial"/>
                <w:color w:val="000000" w:themeColor="text1"/>
                <w:sz w:val="20"/>
                <w:szCs w:val="20"/>
              </w:rPr>
              <w:t>Empathy</w:t>
            </w:r>
          </w:p>
        </w:tc>
        <w:tc>
          <w:tcPr>
            <w:tcW w:w="737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798FBF0" w14:textId="77777777" w:rsidR="003F5B21" w:rsidRPr="003F5B21" w:rsidRDefault="003F5B21" w:rsidP="00B665BA">
            <w:pPr>
              <w:autoSpaceDE w:val="0"/>
              <w:autoSpaceDN w:val="0"/>
              <w:adjustRightInd w:val="0"/>
              <w:jc w:val="both"/>
              <w:rPr>
                <w:rFonts w:ascii="Arial" w:eastAsiaTheme="minorHAnsi" w:hAnsi="Arial" w:cs="Arial"/>
                <w:color w:val="000000" w:themeColor="text1"/>
                <w:sz w:val="20"/>
                <w:szCs w:val="20"/>
                <w:lang w:val="en-US"/>
                <w14:ligatures w14:val="standardContextual"/>
              </w:rPr>
            </w:pPr>
            <w:r w:rsidRPr="003F5B21">
              <w:rPr>
                <w:rFonts w:ascii="Arial" w:hAnsi="Arial" w:cs="Arial"/>
                <w:color w:val="000000" w:themeColor="text1"/>
                <w:sz w:val="20"/>
                <w:szCs w:val="20"/>
              </w:rPr>
              <w:t>The staff demonstrate a high level of empathy, personal attention, and positive interactions that foster good relationships with customers; nevertheless, a more personalized approach still requires enhancement.</w:t>
            </w:r>
          </w:p>
        </w:tc>
      </w:tr>
      <w:tr w:rsidR="003F5B21" w:rsidRPr="003F5B21" w14:paraId="30857531" w14:textId="77777777" w:rsidTr="00C436B6">
        <w:tblPrEx>
          <w:tblBorders>
            <w:top w:val="none" w:sz="0" w:space="0" w:color="auto"/>
          </w:tblBorders>
        </w:tblPrEx>
        <w:tc>
          <w:tcPr>
            <w:tcW w:w="209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0571921" w14:textId="77777777" w:rsidR="003F5B21" w:rsidRPr="003F5B21" w:rsidRDefault="003F5B21" w:rsidP="003F5B21">
            <w:pPr>
              <w:pStyle w:val="NormalWeb"/>
              <w:ind w:left="360"/>
              <w:rPr>
                <w:rFonts w:ascii="Arial" w:hAnsi="Arial" w:cs="Arial"/>
                <w:color w:val="000000" w:themeColor="text1"/>
                <w:sz w:val="20"/>
                <w:szCs w:val="20"/>
              </w:rPr>
            </w:pPr>
            <w:r w:rsidRPr="003F5B21">
              <w:rPr>
                <w:rFonts w:ascii="Arial" w:hAnsi="Arial" w:cs="Arial"/>
                <w:color w:val="000000" w:themeColor="text1"/>
                <w:sz w:val="20"/>
                <w:szCs w:val="20"/>
              </w:rPr>
              <w:t>Responsiveness</w:t>
            </w:r>
          </w:p>
        </w:tc>
        <w:tc>
          <w:tcPr>
            <w:tcW w:w="737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86BF43D" w14:textId="77777777" w:rsidR="003F5B21" w:rsidRPr="003F5B21" w:rsidRDefault="003F5B21" w:rsidP="00B665BA">
            <w:pPr>
              <w:autoSpaceDE w:val="0"/>
              <w:autoSpaceDN w:val="0"/>
              <w:adjustRightInd w:val="0"/>
              <w:jc w:val="both"/>
              <w:rPr>
                <w:rFonts w:ascii="Arial" w:eastAsiaTheme="minorHAnsi" w:hAnsi="Arial" w:cs="Arial"/>
                <w:color w:val="000000" w:themeColor="text1"/>
                <w:sz w:val="20"/>
                <w:szCs w:val="20"/>
                <w:lang w:val="en-US"/>
                <w14:ligatures w14:val="standardContextual"/>
              </w:rPr>
            </w:pPr>
            <w:r w:rsidRPr="003F5B21">
              <w:rPr>
                <w:rFonts w:ascii="Arial" w:hAnsi="Arial" w:cs="Arial"/>
                <w:color w:val="000000" w:themeColor="text1"/>
                <w:sz w:val="20"/>
                <w:szCs w:val="20"/>
              </w:rPr>
              <w:t>The speed of service is highly satisfactory, supported by competent and responsive staff; responses to complaints are also commendable, although further improvement is needed in handling complex situations.</w:t>
            </w:r>
          </w:p>
        </w:tc>
      </w:tr>
      <w:tr w:rsidR="003F5B21" w:rsidRPr="003F5B21" w14:paraId="01160C5A" w14:textId="77777777" w:rsidTr="00C436B6">
        <w:tblPrEx>
          <w:tblBorders>
            <w:top w:val="none" w:sz="0" w:space="0" w:color="auto"/>
          </w:tblBorders>
        </w:tblPrEx>
        <w:tc>
          <w:tcPr>
            <w:tcW w:w="209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AEDB903" w14:textId="77777777" w:rsidR="003F5B21" w:rsidRPr="003F5B21" w:rsidRDefault="003F5B21" w:rsidP="003F5B21">
            <w:pPr>
              <w:pStyle w:val="NormalWeb"/>
              <w:ind w:left="360"/>
              <w:rPr>
                <w:rFonts w:ascii="Arial" w:hAnsi="Arial" w:cs="Arial"/>
                <w:color w:val="000000" w:themeColor="text1"/>
                <w:sz w:val="20"/>
                <w:szCs w:val="20"/>
              </w:rPr>
            </w:pPr>
            <w:r w:rsidRPr="003F5B21">
              <w:rPr>
                <w:rFonts w:ascii="Arial" w:hAnsi="Arial" w:cs="Arial"/>
                <w:color w:val="000000" w:themeColor="text1"/>
                <w:sz w:val="20"/>
                <w:szCs w:val="20"/>
              </w:rPr>
              <w:t>Reliability</w:t>
            </w:r>
          </w:p>
        </w:tc>
        <w:tc>
          <w:tcPr>
            <w:tcW w:w="737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CDF6441" w14:textId="77777777" w:rsidR="003F5B21" w:rsidRPr="003F5B21" w:rsidRDefault="003F5B21" w:rsidP="00B665BA">
            <w:pPr>
              <w:autoSpaceDE w:val="0"/>
              <w:autoSpaceDN w:val="0"/>
              <w:adjustRightInd w:val="0"/>
              <w:jc w:val="both"/>
              <w:rPr>
                <w:rFonts w:ascii="Arial" w:eastAsiaTheme="minorHAnsi" w:hAnsi="Arial" w:cs="Arial"/>
                <w:color w:val="000000" w:themeColor="text1"/>
                <w:sz w:val="20"/>
                <w:szCs w:val="20"/>
                <w:lang w:val="en-US"/>
                <w14:ligatures w14:val="standardContextual"/>
              </w:rPr>
            </w:pPr>
            <w:r w:rsidRPr="003F5B21">
              <w:rPr>
                <w:rFonts w:ascii="Arial" w:hAnsi="Arial" w:cs="Arial"/>
                <w:color w:val="000000" w:themeColor="text1"/>
                <w:sz w:val="20"/>
                <w:szCs w:val="20"/>
              </w:rPr>
              <w:t>Service delivery is accurate, reliable, and punctual; however, there are still challenges regarding specific knowledge of banking products, which necessitate further training.</w:t>
            </w:r>
          </w:p>
        </w:tc>
      </w:tr>
      <w:tr w:rsidR="003F5B21" w:rsidRPr="003F5B21" w14:paraId="24070959" w14:textId="77777777" w:rsidTr="00D0042C">
        <w:trPr>
          <w:trHeight w:val="1103"/>
        </w:trPr>
        <w:tc>
          <w:tcPr>
            <w:tcW w:w="209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5E47A0A" w14:textId="77777777" w:rsidR="003F5B21" w:rsidRPr="003F5B21" w:rsidRDefault="003F5B21" w:rsidP="003F5B21">
            <w:pPr>
              <w:pStyle w:val="NormalWeb"/>
              <w:ind w:left="360"/>
              <w:rPr>
                <w:rFonts w:ascii="Arial" w:hAnsi="Arial" w:cs="Arial"/>
                <w:color w:val="000000" w:themeColor="text1"/>
                <w:sz w:val="20"/>
                <w:szCs w:val="20"/>
              </w:rPr>
            </w:pPr>
            <w:r w:rsidRPr="003F5B21">
              <w:rPr>
                <w:rFonts w:ascii="Arial" w:hAnsi="Arial" w:cs="Arial"/>
                <w:color w:val="000000" w:themeColor="text1"/>
                <w:sz w:val="20"/>
                <w:szCs w:val="20"/>
              </w:rPr>
              <w:t>Assurance</w:t>
            </w:r>
          </w:p>
        </w:tc>
        <w:tc>
          <w:tcPr>
            <w:tcW w:w="737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92AA4F4" w14:textId="77777777" w:rsidR="003F5B21" w:rsidRPr="00D0042C" w:rsidRDefault="003F5B21" w:rsidP="00B665BA">
            <w:pPr>
              <w:pStyle w:val="NormalWeb"/>
              <w:jc w:val="both"/>
              <w:rPr>
                <w:rFonts w:ascii="Arial" w:hAnsi="Arial" w:cs="Arial"/>
                <w:color w:val="000000" w:themeColor="text1"/>
                <w:sz w:val="20"/>
                <w:szCs w:val="20"/>
              </w:rPr>
            </w:pPr>
            <w:r w:rsidRPr="003F5B21">
              <w:rPr>
                <w:rFonts w:ascii="Arial" w:hAnsi="Arial" w:cs="Arial"/>
                <w:color w:val="000000" w:themeColor="text1"/>
                <w:sz w:val="20"/>
                <w:szCs w:val="20"/>
              </w:rPr>
              <w:t>Standard Operating Procedures (SOPs) have been generally implemented, supported by staff's commitment to security and compliance; nonetheless, some customers perceive the interaction as lacking empathy and being rushed, indicating a need for improved interpersonal communication.</w:t>
            </w:r>
          </w:p>
        </w:tc>
      </w:tr>
    </w:tbl>
    <w:p w14:paraId="3CFE539B" w14:textId="77777777" w:rsidR="000D68E2" w:rsidRPr="00D41C6B" w:rsidRDefault="00D0042C" w:rsidP="00C436B6">
      <w:pPr>
        <w:jc w:val="both"/>
        <w:rPr>
          <w:rFonts w:ascii="Arial" w:hAnsi="Arial" w:cs="Arial"/>
          <w:b/>
          <w:bCs/>
          <w:sz w:val="22"/>
          <w:szCs w:val="22"/>
          <w:lang w:val="en-US"/>
        </w:rPr>
      </w:pPr>
      <w:r>
        <w:rPr>
          <w:rFonts w:ascii="Arial" w:hAnsi="Arial" w:cs="Arial"/>
          <w:i/>
          <w:iCs/>
          <w:sz w:val="22"/>
          <w:szCs w:val="22"/>
          <w:lang w:val="en-US"/>
        </w:rPr>
        <w:t>Source</w:t>
      </w:r>
      <w:r w:rsidR="000D68E2" w:rsidRPr="00D41C6B">
        <w:rPr>
          <w:rFonts w:ascii="Arial" w:hAnsi="Arial" w:cs="Arial"/>
          <w:i/>
          <w:iCs/>
          <w:sz w:val="22"/>
          <w:szCs w:val="22"/>
          <w:lang w:val="en-US"/>
        </w:rPr>
        <w:t xml:space="preserve">: </w:t>
      </w:r>
      <w:r>
        <w:rPr>
          <w:rFonts w:ascii="Arial" w:hAnsi="Arial" w:cs="Arial"/>
          <w:i/>
          <w:iCs/>
          <w:sz w:val="22"/>
          <w:szCs w:val="22"/>
          <w:lang w:val="en-US"/>
        </w:rPr>
        <w:t>Primer data</w:t>
      </w:r>
    </w:p>
    <w:p w14:paraId="03DA2499" w14:textId="77777777" w:rsidR="00D0042C" w:rsidRDefault="00D0042C" w:rsidP="00C436B6">
      <w:pPr>
        <w:jc w:val="both"/>
        <w:rPr>
          <w:rFonts w:ascii="Arial" w:hAnsi="Arial" w:cs="Arial"/>
          <w:b/>
          <w:bCs/>
          <w:sz w:val="22"/>
          <w:szCs w:val="22"/>
          <w:lang w:val="en-US"/>
        </w:rPr>
      </w:pPr>
    </w:p>
    <w:p w14:paraId="62BAB967" w14:textId="77777777" w:rsidR="00D0042C" w:rsidRPr="00D0042C" w:rsidRDefault="00D0042C" w:rsidP="00D0042C">
      <w:pPr>
        <w:autoSpaceDE w:val="0"/>
        <w:autoSpaceDN w:val="0"/>
        <w:adjustRightInd w:val="0"/>
        <w:jc w:val="both"/>
        <w:rPr>
          <w:rFonts w:ascii="Arial" w:eastAsiaTheme="minorHAnsi" w:hAnsi="Arial" w:cs="Arial"/>
          <w:b/>
          <w:bCs/>
          <w:sz w:val="20"/>
          <w:szCs w:val="20"/>
          <w:lang w:val="en-US"/>
          <w14:ligatures w14:val="standardContextual"/>
        </w:rPr>
      </w:pPr>
      <w:r w:rsidRPr="00D0042C">
        <w:rPr>
          <w:rFonts w:ascii="Arial" w:eastAsiaTheme="minorHAnsi" w:hAnsi="Arial" w:cs="Arial"/>
          <w:b/>
          <w:bCs/>
          <w:sz w:val="20"/>
          <w:szCs w:val="20"/>
          <w:lang w:val="en-US"/>
          <w14:ligatures w14:val="standardContextual"/>
        </w:rPr>
        <w:t>Discussion</w:t>
      </w:r>
    </w:p>
    <w:p w14:paraId="30678A9F" w14:textId="77777777" w:rsidR="00D0042C" w:rsidRPr="00D0042C" w:rsidRDefault="00D0042C" w:rsidP="00D0042C">
      <w:pPr>
        <w:autoSpaceDE w:val="0"/>
        <w:autoSpaceDN w:val="0"/>
        <w:adjustRightInd w:val="0"/>
        <w:jc w:val="both"/>
        <w:rPr>
          <w:rFonts w:ascii="Arial" w:eastAsiaTheme="minorHAnsi" w:hAnsi="Arial" w:cs="Arial"/>
          <w:b/>
          <w:bCs/>
          <w:sz w:val="20"/>
          <w:szCs w:val="20"/>
          <w:lang w:val="en-US"/>
          <w14:ligatures w14:val="standardContextual"/>
        </w:rPr>
      </w:pPr>
    </w:p>
    <w:p w14:paraId="0F3DC650" w14:textId="77777777" w:rsidR="00D0042C" w:rsidRPr="00D0042C" w:rsidRDefault="00D0042C" w:rsidP="00D0042C">
      <w:pPr>
        <w:autoSpaceDE w:val="0"/>
        <w:autoSpaceDN w:val="0"/>
        <w:adjustRightInd w:val="0"/>
        <w:jc w:val="both"/>
        <w:rPr>
          <w:rFonts w:ascii="Arial" w:eastAsiaTheme="minorHAnsi" w:hAnsi="Arial" w:cs="Arial"/>
          <w:b/>
          <w:bCs/>
          <w:sz w:val="20"/>
          <w:szCs w:val="20"/>
          <w:lang w:val="en-US"/>
          <w14:ligatures w14:val="standardContextual"/>
        </w:rPr>
      </w:pPr>
      <w:r w:rsidRPr="00D0042C">
        <w:rPr>
          <w:rFonts w:ascii="Arial" w:eastAsiaTheme="minorHAnsi" w:hAnsi="Arial" w:cs="Arial"/>
          <w:b/>
          <w:bCs/>
          <w:sz w:val="20"/>
          <w:szCs w:val="20"/>
          <w:lang w:val="en-US"/>
          <w14:ligatures w14:val="standardContextual"/>
        </w:rPr>
        <w:t>1. Tangible (Physical Evidence)</w:t>
      </w:r>
    </w:p>
    <w:p w14:paraId="4FEDA8A7" w14:textId="77777777" w:rsidR="00D0042C" w:rsidRPr="00D0042C" w:rsidRDefault="00D0042C" w:rsidP="00D0042C">
      <w:pPr>
        <w:autoSpaceDE w:val="0"/>
        <w:autoSpaceDN w:val="0"/>
        <w:adjustRightInd w:val="0"/>
        <w:jc w:val="both"/>
        <w:rPr>
          <w:rFonts w:ascii="Arial" w:eastAsiaTheme="minorHAnsi" w:hAnsi="Arial" w:cs="Arial"/>
          <w:sz w:val="20"/>
          <w:szCs w:val="20"/>
          <w:lang w:val="en-US"/>
          <w14:ligatures w14:val="standardContextual"/>
        </w:rPr>
      </w:pPr>
    </w:p>
    <w:p w14:paraId="6B6BF458" w14:textId="77777777" w:rsidR="00D0042C" w:rsidRPr="00D0042C" w:rsidRDefault="00D0042C" w:rsidP="00D0042C">
      <w:pPr>
        <w:autoSpaceDE w:val="0"/>
        <w:autoSpaceDN w:val="0"/>
        <w:adjustRightInd w:val="0"/>
        <w:jc w:val="both"/>
        <w:rPr>
          <w:rFonts w:ascii="Arial" w:eastAsiaTheme="minorHAnsi" w:hAnsi="Arial" w:cs="Arial"/>
          <w:sz w:val="20"/>
          <w:szCs w:val="20"/>
          <w:lang w:val="en-US"/>
          <w14:ligatures w14:val="standardContextual"/>
        </w:rPr>
      </w:pPr>
      <w:r>
        <w:rPr>
          <w:rFonts w:ascii="Arial" w:eastAsiaTheme="minorHAnsi" w:hAnsi="Arial" w:cs="Arial"/>
          <w:sz w:val="20"/>
          <w:szCs w:val="20"/>
          <w:lang w:val="en-US"/>
          <w14:ligatures w14:val="standardContextual"/>
        </w:rPr>
        <w:tab/>
      </w:r>
      <w:r w:rsidRPr="00D0042C">
        <w:rPr>
          <w:rFonts w:ascii="Arial" w:eastAsiaTheme="minorHAnsi" w:hAnsi="Arial" w:cs="Arial"/>
          <w:sz w:val="20"/>
          <w:szCs w:val="20"/>
          <w:lang w:val="en-US"/>
          <w14:ligatures w14:val="standardContextual"/>
        </w:rPr>
        <w:t xml:space="preserve">The tangible dimension of public services includes physical elements that can be observed and felt directly by customers, such as the appearance of the building, cleanliness, comfort of the space, and the completeness of service support facilities. At Bank </w:t>
      </w:r>
      <w:proofErr w:type="spellStart"/>
      <w:r w:rsidRPr="00D0042C">
        <w:rPr>
          <w:rFonts w:ascii="Arial" w:eastAsiaTheme="minorHAnsi" w:hAnsi="Arial" w:cs="Arial"/>
          <w:sz w:val="20"/>
          <w:szCs w:val="20"/>
          <w:lang w:val="en-US"/>
          <w14:ligatures w14:val="standardContextual"/>
        </w:rPr>
        <w:t>Mandiri</w:t>
      </w:r>
      <w:proofErr w:type="spellEnd"/>
      <w:r w:rsidRPr="00D0042C">
        <w:rPr>
          <w:rFonts w:ascii="Arial" w:eastAsiaTheme="minorHAnsi" w:hAnsi="Arial" w:cs="Arial"/>
          <w:sz w:val="20"/>
          <w:szCs w:val="20"/>
          <w:lang w:val="en-US"/>
          <w14:ligatures w14:val="standardContextual"/>
        </w:rPr>
        <w:t xml:space="preserve"> KCP </w:t>
      </w:r>
      <w:proofErr w:type="spellStart"/>
      <w:r w:rsidRPr="00D0042C">
        <w:rPr>
          <w:rFonts w:ascii="Arial" w:eastAsiaTheme="minorHAnsi" w:hAnsi="Arial" w:cs="Arial"/>
          <w:sz w:val="20"/>
          <w:szCs w:val="20"/>
          <w:lang w:val="en-US"/>
          <w14:ligatures w14:val="standardContextual"/>
        </w:rPr>
        <w:t>Paguyaman</w:t>
      </w:r>
      <w:proofErr w:type="spellEnd"/>
      <w:r w:rsidRPr="00D0042C">
        <w:rPr>
          <w:rFonts w:ascii="Arial" w:eastAsiaTheme="minorHAnsi" w:hAnsi="Arial" w:cs="Arial"/>
          <w:sz w:val="20"/>
          <w:szCs w:val="20"/>
          <w:lang w:val="en-US"/>
          <w14:ligatures w14:val="standardContextual"/>
        </w:rPr>
        <w:t>, aspects such as comfortable waiting rooms, the availability of ATMs, and well-functioning air conditioning have created a positive initial perception of service quality. However, limitations in facilities, such as cramped toilets and minimal parking space, can undermine the institution’s image of professionalism and preparedness, especially during peak customer visitation periods. The case of customers struggling to wait with children in a cramped space without enough seating and access to clean toilets demonstrates how physical deficiencies can directly impact customer satisfaction.</w:t>
      </w:r>
    </w:p>
    <w:p w14:paraId="2789C077" w14:textId="77777777" w:rsidR="00D0042C" w:rsidRPr="00D0042C" w:rsidRDefault="00D0042C" w:rsidP="00D0042C">
      <w:pPr>
        <w:autoSpaceDE w:val="0"/>
        <w:autoSpaceDN w:val="0"/>
        <w:adjustRightInd w:val="0"/>
        <w:jc w:val="both"/>
        <w:rPr>
          <w:rFonts w:ascii="Arial" w:eastAsiaTheme="minorHAnsi" w:hAnsi="Arial" w:cs="Arial"/>
          <w:sz w:val="20"/>
          <w:szCs w:val="20"/>
          <w:lang w:val="en-US"/>
          <w14:ligatures w14:val="standardContextual"/>
        </w:rPr>
      </w:pPr>
      <w:r>
        <w:rPr>
          <w:rFonts w:ascii="Arial" w:eastAsiaTheme="minorHAnsi" w:hAnsi="Arial" w:cs="Arial"/>
          <w:sz w:val="20"/>
          <w:szCs w:val="20"/>
          <w:lang w:val="en-US"/>
          <w14:ligatures w14:val="standardContextual"/>
        </w:rPr>
        <w:tab/>
      </w:r>
      <w:r w:rsidRPr="00D0042C">
        <w:rPr>
          <w:rFonts w:ascii="Arial" w:eastAsiaTheme="minorHAnsi" w:hAnsi="Arial" w:cs="Arial"/>
          <w:sz w:val="20"/>
          <w:szCs w:val="20"/>
          <w:lang w:val="en-US"/>
          <w14:ligatures w14:val="standardContextual"/>
        </w:rPr>
        <w:t>This finding reinforces the classic argument from Zeithaml et al. (1990) and Agyapong (2011) that the physical (tangible) dimension is a key indicator in assessing overall service quality. Al-Hawari’s (2008) study further emphasizes that banking institutions prioritizing a modern, clean, and comfortable physical appearance tend to have higher customer satisfaction and loyalty. In public banking, physical elements reflect aesthetics and represent efficiency, accountability, and the organization’s ability to provide reliable service.</w:t>
      </w:r>
    </w:p>
    <w:p w14:paraId="6AA96FAB" w14:textId="77777777" w:rsidR="00D0042C" w:rsidRDefault="006152BD" w:rsidP="006152BD">
      <w:pPr>
        <w:autoSpaceDE w:val="0"/>
        <w:autoSpaceDN w:val="0"/>
        <w:adjustRightInd w:val="0"/>
        <w:jc w:val="both"/>
        <w:rPr>
          <w:rFonts w:ascii="Arial" w:eastAsiaTheme="minorHAnsi" w:hAnsi="Arial" w:cs="Arial"/>
          <w:sz w:val="20"/>
          <w:szCs w:val="20"/>
          <w:lang w:val="en-US"/>
          <w14:ligatures w14:val="standardContextual"/>
        </w:rPr>
      </w:pPr>
      <w:r w:rsidRPr="00D41C6B">
        <w:rPr>
          <w:rFonts w:ascii="Arial" w:eastAsiaTheme="minorHAnsi" w:hAnsi="Arial" w:cs="Arial"/>
          <w:sz w:val="20"/>
          <w:szCs w:val="20"/>
          <w:lang w:val="en-US"/>
          <w14:ligatures w14:val="standardContextual"/>
        </w:rPr>
        <w:tab/>
      </w:r>
      <w:r w:rsidR="00D0042C" w:rsidRPr="00D0042C">
        <w:rPr>
          <w:rFonts w:ascii="Arial" w:eastAsiaTheme="minorHAnsi" w:hAnsi="Arial" w:cs="Arial"/>
          <w:sz w:val="20"/>
          <w:szCs w:val="20"/>
          <w:lang w:val="en-US"/>
          <w14:ligatures w14:val="standardContextual"/>
        </w:rPr>
        <w:t xml:space="preserve">Recent research by Shi and Shang (2020) found that customer perceptions of tangible elements greatly influence trust and perceived value, especially in the financial services sector, which has high expectations for physical comfort and security standards. First impressions formed through visuals and environmental comfort directly influence how customers assess the integrity of public service institutions. Meanwhile, Hoque et al. (2023) </w:t>
      </w:r>
      <w:proofErr w:type="spellStart"/>
      <w:r w:rsidR="00D0042C" w:rsidRPr="00D0042C">
        <w:rPr>
          <w:rFonts w:ascii="Arial" w:eastAsiaTheme="minorHAnsi" w:hAnsi="Arial" w:cs="Arial"/>
          <w:sz w:val="20"/>
          <w:szCs w:val="20"/>
          <w:lang w:val="en-US"/>
          <w14:ligatures w14:val="standardContextual"/>
        </w:rPr>
        <w:t>emphasise</w:t>
      </w:r>
      <w:proofErr w:type="spellEnd"/>
      <w:r w:rsidR="00D0042C" w:rsidRPr="00D0042C">
        <w:rPr>
          <w:rFonts w:ascii="Arial" w:eastAsiaTheme="minorHAnsi" w:hAnsi="Arial" w:cs="Arial"/>
          <w:sz w:val="20"/>
          <w:szCs w:val="20"/>
          <w:lang w:val="en-US"/>
          <w14:ligatures w14:val="standardContextual"/>
        </w:rPr>
        <w:t xml:space="preserve"> that tangible aspects should be developed within the framework of service design thinking, which considers customers’ emotional and functional needs. In this context, interactive waiting areas, child-friendly facilities, and informative signage can serve as catalysts to strengthen an inclusive and adaptive service experience that aligns with customer dynamics.</w:t>
      </w:r>
    </w:p>
    <w:p w14:paraId="012DD62E" w14:textId="77777777" w:rsidR="00D0042C" w:rsidRDefault="006152BD" w:rsidP="007A54DF">
      <w:pPr>
        <w:autoSpaceDE w:val="0"/>
        <w:autoSpaceDN w:val="0"/>
        <w:adjustRightInd w:val="0"/>
        <w:jc w:val="both"/>
        <w:rPr>
          <w:rFonts w:ascii="Arial" w:eastAsiaTheme="minorHAnsi" w:hAnsi="Arial" w:cs="Arial"/>
          <w:sz w:val="20"/>
          <w:szCs w:val="20"/>
          <w:lang w:val="en-US"/>
          <w14:ligatures w14:val="standardContextual"/>
        </w:rPr>
      </w:pPr>
      <w:r w:rsidRPr="00D41C6B">
        <w:rPr>
          <w:rFonts w:ascii="Arial" w:eastAsiaTheme="minorHAnsi" w:hAnsi="Arial" w:cs="Arial"/>
          <w:sz w:val="20"/>
          <w:szCs w:val="20"/>
          <w:lang w:val="en-US"/>
          <w14:ligatures w14:val="standardContextual"/>
        </w:rPr>
        <w:lastRenderedPageBreak/>
        <w:tab/>
      </w:r>
      <w:r w:rsidR="00D0042C" w:rsidRPr="00D0042C">
        <w:rPr>
          <w:rFonts w:ascii="Arial" w:eastAsiaTheme="minorHAnsi" w:hAnsi="Arial" w:cs="Arial"/>
          <w:sz w:val="20"/>
          <w:szCs w:val="20"/>
          <w:lang w:val="en-US"/>
          <w14:ligatures w14:val="standardContextual"/>
        </w:rPr>
        <w:t>According to Al-Omari (2020), tangibles are crucial in creating a public service image, especially in institutions that deal directly with the broader community. A mismatch between expectations of physical facilities and the reality on the ground risks creating negative service encounters, lowering perceptions of reliability and empathy towards the institution, even if the quality of employee interactions remains good. Therefore, within the framework of public service quality, the tangible dimension is not merely an additional element but the primary foundation that shapes expectations, satisfaction, and customer loyalty. Improvements to long-neglected physical elements such as toilets, parking areas, and ergonomically designed waiting rooms will directly impact perceptions of institutional professionalism and create a public service image that is responsive and oriented toward community needs.</w:t>
      </w:r>
    </w:p>
    <w:p w14:paraId="567E5B22" w14:textId="77777777" w:rsidR="00D0042C" w:rsidRDefault="00D0042C" w:rsidP="007A54DF">
      <w:pPr>
        <w:autoSpaceDE w:val="0"/>
        <w:autoSpaceDN w:val="0"/>
        <w:adjustRightInd w:val="0"/>
        <w:jc w:val="both"/>
        <w:rPr>
          <w:rFonts w:ascii="Arial" w:eastAsiaTheme="minorHAnsi" w:hAnsi="Arial" w:cs="Arial"/>
          <w:sz w:val="20"/>
          <w:szCs w:val="20"/>
          <w:lang w:val="en-US"/>
          <w14:ligatures w14:val="standardContextual"/>
        </w:rPr>
      </w:pPr>
    </w:p>
    <w:p w14:paraId="487AF893" w14:textId="77777777" w:rsidR="007A54DF" w:rsidRPr="00D41C6B" w:rsidRDefault="007A54DF" w:rsidP="007A54DF">
      <w:pPr>
        <w:autoSpaceDE w:val="0"/>
        <w:autoSpaceDN w:val="0"/>
        <w:adjustRightInd w:val="0"/>
        <w:jc w:val="both"/>
        <w:rPr>
          <w:rFonts w:ascii="Arial" w:eastAsiaTheme="minorHAnsi" w:hAnsi="Arial" w:cs="Arial"/>
          <w:sz w:val="20"/>
          <w:szCs w:val="20"/>
          <w:lang w:val="en-US"/>
          <w14:ligatures w14:val="standardContextual"/>
        </w:rPr>
      </w:pPr>
      <w:r w:rsidRPr="00D41C6B">
        <w:rPr>
          <w:rFonts w:ascii="Arial" w:eastAsiaTheme="minorHAnsi" w:hAnsi="Arial" w:cs="Arial"/>
          <w:b/>
          <w:bCs/>
          <w:sz w:val="20"/>
          <w:szCs w:val="20"/>
          <w:lang w:val="en-US"/>
          <w14:ligatures w14:val="standardContextual"/>
        </w:rPr>
        <w:t>2. Empathy</w:t>
      </w:r>
    </w:p>
    <w:p w14:paraId="309F00CF" w14:textId="77777777" w:rsidR="007A54DF" w:rsidRPr="00D41C6B" w:rsidRDefault="007A54DF" w:rsidP="007A54DF">
      <w:pPr>
        <w:autoSpaceDE w:val="0"/>
        <w:autoSpaceDN w:val="0"/>
        <w:adjustRightInd w:val="0"/>
        <w:jc w:val="both"/>
        <w:rPr>
          <w:rFonts w:ascii="Arial" w:eastAsiaTheme="minorHAnsi" w:hAnsi="Arial" w:cs="Arial"/>
          <w:sz w:val="20"/>
          <w:szCs w:val="20"/>
          <w:lang w:val="en-US"/>
          <w14:ligatures w14:val="standardContextual"/>
        </w:rPr>
      </w:pPr>
    </w:p>
    <w:p w14:paraId="5EEEE422" w14:textId="77777777" w:rsidR="00736479" w:rsidRPr="00736479" w:rsidRDefault="00736479" w:rsidP="00736479">
      <w:pPr>
        <w:autoSpaceDE w:val="0"/>
        <w:autoSpaceDN w:val="0"/>
        <w:adjustRightInd w:val="0"/>
        <w:jc w:val="both"/>
        <w:rPr>
          <w:rFonts w:ascii="Arial" w:eastAsiaTheme="minorHAnsi" w:hAnsi="Arial" w:cs="Arial"/>
          <w:sz w:val="20"/>
          <w:szCs w:val="20"/>
          <w:lang w:val="en-US"/>
          <w14:ligatures w14:val="standardContextual"/>
        </w:rPr>
      </w:pPr>
      <w:r>
        <w:rPr>
          <w:rFonts w:ascii="Arial" w:eastAsiaTheme="minorHAnsi" w:hAnsi="Arial" w:cs="Arial"/>
          <w:sz w:val="20"/>
          <w:szCs w:val="20"/>
          <w:lang w:val="en-US"/>
          <w14:ligatures w14:val="standardContextual"/>
        </w:rPr>
        <w:tab/>
      </w:r>
      <w:r w:rsidRPr="00736479">
        <w:rPr>
          <w:rFonts w:ascii="Arial" w:eastAsiaTheme="minorHAnsi" w:hAnsi="Arial" w:cs="Arial"/>
          <w:sz w:val="20"/>
          <w:szCs w:val="20"/>
          <w:lang w:val="en-US"/>
          <w14:ligatures w14:val="standardContextual"/>
        </w:rPr>
        <w:t xml:space="preserve">Empathy in public service reflects an individual’s attention, understanding, and willingness to understand each customer’s unique needs and circumstances. At Bank </w:t>
      </w:r>
      <w:proofErr w:type="spellStart"/>
      <w:r w:rsidRPr="00736479">
        <w:rPr>
          <w:rFonts w:ascii="Arial" w:eastAsiaTheme="minorHAnsi" w:hAnsi="Arial" w:cs="Arial"/>
          <w:sz w:val="20"/>
          <w:szCs w:val="20"/>
          <w:lang w:val="en-US"/>
          <w14:ligatures w14:val="standardContextual"/>
        </w:rPr>
        <w:t>Mandiri</w:t>
      </w:r>
      <w:proofErr w:type="spellEnd"/>
      <w:r w:rsidRPr="00736479">
        <w:rPr>
          <w:rFonts w:ascii="Arial" w:eastAsiaTheme="minorHAnsi" w:hAnsi="Arial" w:cs="Arial"/>
          <w:sz w:val="20"/>
          <w:szCs w:val="20"/>
          <w:lang w:val="en-US"/>
          <w14:ligatures w14:val="standardContextual"/>
        </w:rPr>
        <w:t xml:space="preserve"> KCP </w:t>
      </w:r>
      <w:proofErr w:type="spellStart"/>
      <w:r w:rsidRPr="00736479">
        <w:rPr>
          <w:rFonts w:ascii="Arial" w:eastAsiaTheme="minorHAnsi" w:hAnsi="Arial" w:cs="Arial"/>
          <w:sz w:val="20"/>
          <w:szCs w:val="20"/>
          <w:lang w:val="en-US"/>
          <w14:ligatures w14:val="standardContextual"/>
        </w:rPr>
        <w:t>Paguyaman</w:t>
      </w:r>
      <w:proofErr w:type="spellEnd"/>
      <w:r w:rsidRPr="00736479">
        <w:rPr>
          <w:rFonts w:ascii="Arial" w:eastAsiaTheme="minorHAnsi" w:hAnsi="Arial" w:cs="Arial"/>
          <w:sz w:val="20"/>
          <w:szCs w:val="20"/>
          <w:lang w:val="en-US"/>
          <w14:ligatures w14:val="standardContextual"/>
        </w:rPr>
        <w:t xml:space="preserve">, the presence of friendly staff who greet customers politely and try to </w:t>
      </w:r>
      <w:proofErr w:type="spellStart"/>
      <w:r w:rsidRPr="00736479">
        <w:rPr>
          <w:rFonts w:ascii="Arial" w:eastAsiaTheme="minorHAnsi" w:hAnsi="Arial" w:cs="Arial"/>
          <w:sz w:val="20"/>
          <w:szCs w:val="20"/>
          <w:lang w:val="en-US"/>
          <w14:ligatures w14:val="standardContextual"/>
        </w:rPr>
        <w:t>recognise</w:t>
      </w:r>
      <w:proofErr w:type="spellEnd"/>
      <w:r w:rsidRPr="00736479">
        <w:rPr>
          <w:rFonts w:ascii="Arial" w:eastAsiaTheme="minorHAnsi" w:hAnsi="Arial" w:cs="Arial"/>
          <w:sz w:val="20"/>
          <w:szCs w:val="20"/>
          <w:lang w:val="en-US"/>
          <w14:ligatures w14:val="standardContextual"/>
        </w:rPr>
        <w:t xml:space="preserve"> their personal needs has become a positive indicator of empathy. However, the implementation of empathy is not yet entirely consistent, as evidenced by the rigidity in communication approaches, especially towards elderly customers or those less familiar with digital services. For example, in one case, an elderly customer experienced confusion while using an ATM and had to wait a considerable amount before receiving assistance. This highlights a lack of proactivity and flexibility in responding to vulnerable customer groups.</w:t>
      </w:r>
    </w:p>
    <w:p w14:paraId="0DB2CB84" w14:textId="77777777" w:rsidR="00736479" w:rsidRDefault="00736479" w:rsidP="00736479">
      <w:pPr>
        <w:autoSpaceDE w:val="0"/>
        <w:autoSpaceDN w:val="0"/>
        <w:adjustRightInd w:val="0"/>
        <w:jc w:val="both"/>
        <w:rPr>
          <w:rFonts w:ascii="Arial" w:eastAsiaTheme="minorHAnsi" w:hAnsi="Arial" w:cs="Arial"/>
          <w:sz w:val="20"/>
          <w:szCs w:val="20"/>
          <w:lang w:val="en-US"/>
          <w14:ligatures w14:val="standardContextual"/>
        </w:rPr>
      </w:pPr>
      <w:r w:rsidRPr="00736479">
        <w:rPr>
          <w:rFonts w:ascii="Arial" w:eastAsiaTheme="minorHAnsi" w:hAnsi="Arial" w:cs="Arial"/>
          <w:sz w:val="20"/>
          <w:szCs w:val="20"/>
          <w:lang w:val="en-US"/>
          <w14:ligatures w14:val="standardContextual"/>
        </w:rPr>
        <w:tab/>
        <w:t xml:space="preserve">Previous literature has emphasized the importance of empathy in the context of public services. Hussain et al. (2015) found that empathy significantly increases customer satisfaction in South Asian banks, especially in cultures prioritizing social interaction. Mohsan et al. (2011) also emphasized that warmth in personal interactions can build long-term loyalty, making empathy the foundation of sustainable customer relationships. In a broader context, Al-Omari (2020) emphasized that empathy is a key element in building public trust, especially in the public sector, which is vulnerable to negative perceptions of bureaucracy. He states that services that are not only fast but also caring strengthen the public’s perception of institutional fairness and responsiveness. If empathy is not consistently implemented, especially towards groups with limitations (e.g., the elderly, people with disabilities, or individuals with low digital literacy), public institutions may be perceived as elitist and non-inclusive. Furthermore, Shi and Shang (2020) argue that empathy in financial services means understanding customer complaints and predicting their emotional needs in system-based interactions. In the era of service </w:t>
      </w:r>
      <w:proofErr w:type="spellStart"/>
      <w:r w:rsidRPr="00736479">
        <w:rPr>
          <w:rFonts w:ascii="Arial" w:eastAsiaTheme="minorHAnsi" w:hAnsi="Arial" w:cs="Arial"/>
          <w:sz w:val="20"/>
          <w:szCs w:val="20"/>
          <w:lang w:val="en-US"/>
          <w14:ligatures w14:val="standardContextual"/>
        </w:rPr>
        <w:t>digitalisation</w:t>
      </w:r>
      <w:proofErr w:type="spellEnd"/>
      <w:r w:rsidRPr="00736479">
        <w:rPr>
          <w:rFonts w:ascii="Arial" w:eastAsiaTheme="minorHAnsi" w:hAnsi="Arial" w:cs="Arial"/>
          <w:sz w:val="20"/>
          <w:szCs w:val="20"/>
          <w:lang w:val="en-US"/>
          <w14:ligatures w14:val="standardContextual"/>
        </w:rPr>
        <w:t>, rigid front-office systems and emotionally untrained staff have the potential to create service detachment, where customers feel unheard and unappreciated on a personal level.</w:t>
      </w:r>
    </w:p>
    <w:p w14:paraId="1F362E4B" w14:textId="77777777" w:rsidR="007A54DF" w:rsidRPr="00D41C6B" w:rsidRDefault="00D10D83" w:rsidP="00736479">
      <w:pPr>
        <w:autoSpaceDE w:val="0"/>
        <w:autoSpaceDN w:val="0"/>
        <w:adjustRightInd w:val="0"/>
        <w:jc w:val="both"/>
        <w:rPr>
          <w:rFonts w:ascii="Arial" w:eastAsiaTheme="minorHAnsi" w:hAnsi="Arial" w:cs="Arial"/>
          <w:sz w:val="20"/>
          <w:szCs w:val="20"/>
          <w:lang w:val="en-US"/>
          <w14:ligatures w14:val="standardContextual"/>
        </w:rPr>
      </w:pPr>
      <w:r w:rsidRPr="00D41C6B">
        <w:rPr>
          <w:rFonts w:ascii="Arial" w:eastAsiaTheme="minorHAnsi" w:hAnsi="Arial" w:cs="Arial"/>
          <w:sz w:val="20"/>
          <w:szCs w:val="20"/>
          <w:lang w:val="en-US"/>
          <w14:ligatures w14:val="standardContextual"/>
        </w:rPr>
        <w:tab/>
      </w:r>
      <w:r w:rsidR="00736479" w:rsidRPr="00736479">
        <w:rPr>
          <w:rFonts w:ascii="Arial" w:eastAsiaTheme="minorHAnsi" w:hAnsi="Arial" w:cs="Arial"/>
          <w:sz w:val="20"/>
          <w:szCs w:val="20"/>
          <w:lang w:val="en-US"/>
          <w14:ligatures w14:val="standardContextual"/>
        </w:rPr>
        <w:t xml:space="preserve">This is reinforced by Hoque et al. (2023), who </w:t>
      </w:r>
      <w:proofErr w:type="spellStart"/>
      <w:r w:rsidR="00736479" w:rsidRPr="00736479">
        <w:rPr>
          <w:rFonts w:ascii="Arial" w:eastAsiaTheme="minorHAnsi" w:hAnsi="Arial" w:cs="Arial"/>
          <w:sz w:val="20"/>
          <w:szCs w:val="20"/>
          <w:lang w:val="en-US"/>
          <w14:ligatures w14:val="standardContextual"/>
        </w:rPr>
        <w:t>emphasise</w:t>
      </w:r>
      <w:proofErr w:type="spellEnd"/>
      <w:r w:rsidR="00736479" w:rsidRPr="00736479">
        <w:rPr>
          <w:rFonts w:ascii="Arial" w:eastAsiaTheme="minorHAnsi" w:hAnsi="Arial" w:cs="Arial"/>
          <w:sz w:val="20"/>
          <w:szCs w:val="20"/>
          <w:lang w:val="en-US"/>
          <w14:ligatures w14:val="standardContextual"/>
        </w:rPr>
        <w:t xml:space="preserve"> the importance of empathetic service design, namely the integration of technical and affective skills in public service interactions. They highlight that empathy should be a human resource training design principle, not merely an individual attribute. This approach enables service staff to tailor communication to customers’ varying levels of understanding, thereby preventing the growing digital exclusion amid the shift toward digital-first public services. Thus, empathy in public service is not merely about politeness but reflects an institution’s readiness to adopt principles of inclusivity and social justice. In the context of Bank </w:t>
      </w:r>
      <w:proofErr w:type="spellStart"/>
      <w:r w:rsidR="00736479" w:rsidRPr="00736479">
        <w:rPr>
          <w:rFonts w:ascii="Arial" w:eastAsiaTheme="minorHAnsi" w:hAnsi="Arial" w:cs="Arial"/>
          <w:sz w:val="20"/>
          <w:szCs w:val="20"/>
          <w:lang w:val="en-US"/>
          <w14:ligatures w14:val="standardContextual"/>
        </w:rPr>
        <w:t>Mandiri</w:t>
      </w:r>
      <w:proofErr w:type="spellEnd"/>
      <w:r w:rsidR="00736479" w:rsidRPr="00736479">
        <w:rPr>
          <w:rFonts w:ascii="Arial" w:eastAsiaTheme="minorHAnsi" w:hAnsi="Arial" w:cs="Arial"/>
          <w:sz w:val="20"/>
          <w:szCs w:val="20"/>
          <w:lang w:val="en-US"/>
          <w14:ligatures w14:val="standardContextual"/>
        </w:rPr>
        <w:t xml:space="preserve"> KCP </w:t>
      </w:r>
      <w:proofErr w:type="spellStart"/>
      <w:r w:rsidR="00736479" w:rsidRPr="00736479">
        <w:rPr>
          <w:rFonts w:ascii="Arial" w:eastAsiaTheme="minorHAnsi" w:hAnsi="Arial" w:cs="Arial"/>
          <w:sz w:val="20"/>
          <w:szCs w:val="20"/>
          <w:lang w:val="en-US"/>
          <w14:ligatures w14:val="standardContextual"/>
        </w:rPr>
        <w:t>Paguyaman</w:t>
      </w:r>
      <w:proofErr w:type="spellEnd"/>
      <w:r w:rsidR="00736479" w:rsidRPr="00736479">
        <w:rPr>
          <w:rFonts w:ascii="Arial" w:eastAsiaTheme="minorHAnsi" w:hAnsi="Arial" w:cs="Arial"/>
          <w:sz w:val="20"/>
          <w:szCs w:val="20"/>
          <w:lang w:val="en-US"/>
          <w14:ligatures w14:val="standardContextual"/>
        </w:rPr>
        <w:t>, empathetic communication training, a mentoring system for the elderly, and special service officers for vulnerable groups are strategies that can be implemented to build a more responsive, humane, and adaptive service in line with societal dynamics.</w:t>
      </w:r>
    </w:p>
    <w:p w14:paraId="7C9AB495" w14:textId="77777777" w:rsidR="007A54DF" w:rsidRPr="00D41C6B" w:rsidRDefault="007A54DF" w:rsidP="007A54DF">
      <w:pPr>
        <w:autoSpaceDE w:val="0"/>
        <w:autoSpaceDN w:val="0"/>
        <w:adjustRightInd w:val="0"/>
        <w:jc w:val="both"/>
        <w:rPr>
          <w:rFonts w:ascii="Arial" w:eastAsiaTheme="minorHAnsi" w:hAnsi="Arial" w:cs="Arial"/>
          <w:sz w:val="20"/>
          <w:szCs w:val="20"/>
          <w:lang w:val="en-US"/>
          <w14:ligatures w14:val="standardContextual"/>
        </w:rPr>
      </w:pPr>
    </w:p>
    <w:p w14:paraId="560EA0F4" w14:textId="77777777" w:rsidR="007A54DF" w:rsidRPr="00D41C6B" w:rsidRDefault="007A54DF" w:rsidP="007A54DF">
      <w:pPr>
        <w:autoSpaceDE w:val="0"/>
        <w:autoSpaceDN w:val="0"/>
        <w:adjustRightInd w:val="0"/>
        <w:jc w:val="both"/>
        <w:rPr>
          <w:rFonts w:ascii="Arial" w:eastAsiaTheme="minorHAnsi" w:hAnsi="Arial" w:cs="Arial"/>
          <w:b/>
          <w:bCs/>
          <w:sz w:val="20"/>
          <w:szCs w:val="20"/>
          <w:lang w:val="en-US"/>
          <w14:ligatures w14:val="standardContextual"/>
        </w:rPr>
      </w:pPr>
      <w:r w:rsidRPr="00D41C6B">
        <w:rPr>
          <w:rFonts w:ascii="Arial" w:eastAsiaTheme="minorHAnsi" w:hAnsi="Arial" w:cs="Arial"/>
          <w:b/>
          <w:bCs/>
          <w:sz w:val="20"/>
          <w:szCs w:val="20"/>
          <w:lang w:val="en-US"/>
          <w14:ligatures w14:val="standardContextual"/>
        </w:rPr>
        <w:t>3. Responsiveness</w:t>
      </w:r>
    </w:p>
    <w:p w14:paraId="0A418EFB" w14:textId="77777777" w:rsidR="007A54DF" w:rsidRPr="00D41C6B" w:rsidRDefault="007A54DF" w:rsidP="007A54DF">
      <w:pPr>
        <w:autoSpaceDE w:val="0"/>
        <w:autoSpaceDN w:val="0"/>
        <w:adjustRightInd w:val="0"/>
        <w:jc w:val="both"/>
        <w:rPr>
          <w:rFonts w:ascii="Arial" w:eastAsiaTheme="minorHAnsi" w:hAnsi="Arial" w:cs="Arial"/>
          <w:sz w:val="20"/>
          <w:szCs w:val="20"/>
          <w:lang w:val="en-US"/>
          <w14:ligatures w14:val="standardContextual"/>
        </w:rPr>
      </w:pPr>
    </w:p>
    <w:p w14:paraId="1016DA99" w14:textId="77777777" w:rsidR="00736479" w:rsidRPr="00736479" w:rsidRDefault="007A54DF" w:rsidP="00736479">
      <w:pPr>
        <w:autoSpaceDE w:val="0"/>
        <w:autoSpaceDN w:val="0"/>
        <w:adjustRightInd w:val="0"/>
        <w:jc w:val="both"/>
        <w:rPr>
          <w:rFonts w:ascii="Arial" w:eastAsiaTheme="minorHAnsi" w:hAnsi="Arial" w:cs="Arial"/>
          <w:sz w:val="20"/>
          <w:szCs w:val="20"/>
          <w:lang w:val="en-US"/>
          <w14:ligatures w14:val="standardContextual"/>
        </w:rPr>
      </w:pPr>
      <w:r w:rsidRPr="00D41C6B">
        <w:rPr>
          <w:rFonts w:ascii="Arial" w:eastAsiaTheme="minorHAnsi" w:hAnsi="Arial" w:cs="Arial"/>
          <w:sz w:val="20"/>
          <w:szCs w:val="20"/>
          <w:lang w:val="en-US"/>
          <w14:ligatures w14:val="standardContextual"/>
        </w:rPr>
        <w:tab/>
      </w:r>
      <w:r w:rsidR="00736479" w:rsidRPr="00736479">
        <w:rPr>
          <w:rFonts w:ascii="Arial" w:eastAsiaTheme="minorHAnsi" w:hAnsi="Arial" w:cs="Arial"/>
          <w:sz w:val="20"/>
          <w:szCs w:val="20"/>
          <w:lang w:val="en-US"/>
          <w14:ligatures w14:val="standardContextual"/>
        </w:rPr>
        <w:t xml:space="preserve">Responsiveness is a crucial indicator in assessing the readiness and speed of public service institutions in providing assistance and responding to customer requests or complaints. At Bank </w:t>
      </w:r>
      <w:proofErr w:type="spellStart"/>
      <w:r w:rsidR="00736479" w:rsidRPr="00736479">
        <w:rPr>
          <w:rFonts w:ascii="Arial" w:eastAsiaTheme="minorHAnsi" w:hAnsi="Arial" w:cs="Arial"/>
          <w:sz w:val="20"/>
          <w:szCs w:val="20"/>
          <w:lang w:val="en-US"/>
          <w14:ligatures w14:val="standardContextual"/>
        </w:rPr>
        <w:t>Mandiri</w:t>
      </w:r>
      <w:proofErr w:type="spellEnd"/>
      <w:r w:rsidR="00736479" w:rsidRPr="00736479">
        <w:rPr>
          <w:rFonts w:ascii="Arial" w:eastAsiaTheme="minorHAnsi" w:hAnsi="Arial" w:cs="Arial"/>
          <w:sz w:val="20"/>
          <w:szCs w:val="20"/>
          <w:lang w:val="en-US"/>
          <w14:ligatures w14:val="standardContextual"/>
        </w:rPr>
        <w:t xml:space="preserve"> KCP </w:t>
      </w:r>
      <w:proofErr w:type="spellStart"/>
      <w:r w:rsidR="00736479" w:rsidRPr="00736479">
        <w:rPr>
          <w:rFonts w:ascii="Arial" w:eastAsiaTheme="minorHAnsi" w:hAnsi="Arial" w:cs="Arial"/>
          <w:sz w:val="20"/>
          <w:szCs w:val="20"/>
          <w:lang w:val="en-US"/>
          <w14:ligatures w14:val="standardContextual"/>
        </w:rPr>
        <w:t>Paguyaman</w:t>
      </w:r>
      <w:proofErr w:type="spellEnd"/>
      <w:r w:rsidR="00736479" w:rsidRPr="00736479">
        <w:rPr>
          <w:rFonts w:ascii="Arial" w:eastAsiaTheme="minorHAnsi" w:hAnsi="Arial" w:cs="Arial"/>
          <w:sz w:val="20"/>
          <w:szCs w:val="20"/>
          <w:lang w:val="en-US"/>
          <w14:ligatures w14:val="standardContextual"/>
        </w:rPr>
        <w:t>, most customers expressed satisfaction with the timeliness of service in standard situations. However, there are still weaknesses in responding to unexpected or irregular events, such as digital transaction errors, where a customer has to wait more than two days to receive verification and resolution. Such delays can create a negative perception of the institution’s efficiency and commitment to service quality.</w:t>
      </w:r>
    </w:p>
    <w:p w14:paraId="57CCE7E3" w14:textId="77777777" w:rsidR="00736479" w:rsidRPr="00736479" w:rsidRDefault="00736479" w:rsidP="00736479">
      <w:pPr>
        <w:autoSpaceDE w:val="0"/>
        <w:autoSpaceDN w:val="0"/>
        <w:adjustRightInd w:val="0"/>
        <w:jc w:val="both"/>
        <w:rPr>
          <w:rFonts w:ascii="Arial" w:eastAsiaTheme="minorHAnsi" w:hAnsi="Arial" w:cs="Arial"/>
          <w:sz w:val="20"/>
          <w:szCs w:val="20"/>
          <w:lang w:val="en-US"/>
          <w14:ligatures w14:val="standardContextual"/>
        </w:rPr>
      </w:pPr>
      <w:r w:rsidRPr="00736479">
        <w:rPr>
          <w:rFonts w:ascii="Arial" w:eastAsiaTheme="minorHAnsi" w:hAnsi="Arial" w:cs="Arial"/>
          <w:sz w:val="20"/>
          <w:szCs w:val="20"/>
          <w:lang w:val="en-US"/>
          <w14:ligatures w14:val="standardContextual"/>
        </w:rPr>
        <w:tab/>
        <w:t xml:space="preserve">These findings are consistent with a study by </w:t>
      </w:r>
      <w:proofErr w:type="spellStart"/>
      <w:r w:rsidRPr="00736479">
        <w:rPr>
          <w:rFonts w:ascii="Arial" w:eastAsiaTheme="minorHAnsi" w:hAnsi="Arial" w:cs="Arial"/>
          <w:sz w:val="20"/>
          <w:szCs w:val="20"/>
          <w:lang w:val="en-US"/>
          <w14:ligatures w14:val="standardContextual"/>
        </w:rPr>
        <w:t>Ladhari</w:t>
      </w:r>
      <w:proofErr w:type="spellEnd"/>
      <w:r w:rsidRPr="00736479">
        <w:rPr>
          <w:rFonts w:ascii="Arial" w:eastAsiaTheme="minorHAnsi" w:hAnsi="Arial" w:cs="Arial"/>
          <w:sz w:val="20"/>
          <w:szCs w:val="20"/>
          <w:lang w:val="en-US"/>
          <w14:ligatures w14:val="standardContextual"/>
        </w:rPr>
        <w:t xml:space="preserve"> (2009), which states that response speed is the primary determinant of customer satisfaction, especially in service industries such as banking, which </w:t>
      </w:r>
      <w:r w:rsidRPr="00736479">
        <w:rPr>
          <w:rFonts w:ascii="Arial" w:eastAsiaTheme="minorHAnsi" w:hAnsi="Arial" w:cs="Arial"/>
          <w:sz w:val="20"/>
          <w:szCs w:val="20"/>
          <w:lang w:val="en-US"/>
          <w14:ligatures w14:val="standardContextual"/>
        </w:rPr>
        <w:lastRenderedPageBreak/>
        <w:t xml:space="preserve">require real-time and error-free services. Munusamy et al. (2010) also </w:t>
      </w:r>
      <w:proofErr w:type="spellStart"/>
      <w:r w:rsidRPr="00736479">
        <w:rPr>
          <w:rFonts w:ascii="Arial" w:eastAsiaTheme="minorHAnsi" w:hAnsi="Arial" w:cs="Arial"/>
          <w:sz w:val="20"/>
          <w:szCs w:val="20"/>
          <w:lang w:val="en-US"/>
          <w14:ligatures w14:val="standardContextual"/>
        </w:rPr>
        <w:t>emphasise</w:t>
      </w:r>
      <w:proofErr w:type="spellEnd"/>
      <w:r w:rsidRPr="00736479">
        <w:rPr>
          <w:rFonts w:ascii="Arial" w:eastAsiaTheme="minorHAnsi" w:hAnsi="Arial" w:cs="Arial"/>
          <w:sz w:val="20"/>
          <w:szCs w:val="20"/>
          <w:lang w:val="en-US"/>
          <w14:ligatures w14:val="standardContextual"/>
        </w:rPr>
        <w:t xml:space="preserve"> that a swift response to customer complaints reflects the institution’s professionalism and integrity, directly correlating with customer loyalty and retention.</w:t>
      </w:r>
    </w:p>
    <w:p w14:paraId="6AE8D42B" w14:textId="77777777" w:rsidR="00736479" w:rsidRPr="00736479" w:rsidRDefault="00736479" w:rsidP="00736479">
      <w:pPr>
        <w:autoSpaceDE w:val="0"/>
        <w:autoSpaceDN w:val="0"/>
        <w:adjustRightInd w:val="0"/>
        <w:jc w:val="both"/>
        <w:rPr>
          <w:rFonts w:ascii="Arial" w:eastAsiaTheme="minorHAnsi" w:hAnsi="Arial" w:cs="Arial"/>
          <w:sz w:val="20"/>
          <w:szCs w:val="20"/>
          <w:lang w:val="en-US"/>
          <w14:ligatures w14:val="standardContextual"/>
        </w:rPr>
      </w:pPr>
      <w:r w:rsidRPr="00736479">
        <w:rPr>
          <w:rFonts w:ascii="Arial" w:eastAsiaTheme="minorHAnsi" w:hAnsi="Arial" w:cs="Arial"/>
          <w:sz w:val="20"/>
          <w:szCs w:val="20"/>
          <w:lang w:val="en-US"/>
          <w14:ligatures w14:val="standardContextual"/>
        </w:rPr>
        <w:t>In a more recent study, Al-Omari (2020) explains that responsiveness is not only about speed but also reflects the capacity of public institutions to actively manage public expectations and perceptions. Responsive service indicates that institutions have adaptive internal mechanisms and can maintain credibility amid increasing demands for transparency and accountability.</w:t>
      </w:r>
    </w:p>
    <w:p w14:paraId="01205442" w14:textId="77777777" w:rsidR="00736479" w:rsidRDefault="00736479" w:rsidP="00736479">
      <w:pPr>
        <w:autoSpaceDE w:val="0"/>
        <w:autoSpaceDN w:val="0"/>
        <w:adjustRightInd w:val="0"/>
        <w:jc w:val="both"/>
        <w:rPr>
          <w:rFonts w:ascii="Arial" w:eastAsiaTheme="minorHAnsi" w:hAnsi="Arial" w:cs="Arial"/>
          <w:sz w:val="20"/>
          <w:szCs w:val="20"/>
          <w:lang w:val="en-US"/>
          <w14:ligatures w14:val="standardContextual"/>
        </w:rPr>
      </w:pPr>
      <w:r w:rsidRPr="00736479">
        <w:rPr>
          <w:rFonts w:ascii="Arial" w:eastAsiaTheme="minorHAnsi" w:hAnsi="Arial" w:cs="Arial"/>
          <w:sz w:val="20"/>
          <w:szCs w:val="20"/>
          <w:lang w:val="en-US"/>
          <w14:ligatures w14:val="standardContextual"/>
        </w:rPr>
        <w:tab/>
        <w:t xml:space="preserve">Furthermore, Shi and Shang (2020) highlight that in the digital age, responsiveness must include speed and consistency of response across channels—face-to-face services, call </w:t>
      </w:r>
      <w:proofErr w:type="spellStart"/>
      <w:r w:rsidRPr="00736479">
        <w:rPr>
          <w:rFonts w:ascii="Arial" w:eastAsiaTheme="minorHAnsi" w:hAnsi="Arial" w:cs="Arial"/>
          <w:sz w:val="20"/>
          <w:szCs w:val="20"/>
          <w:lang w:val="en-US"/>
          <w14:ligatures w14:val="standardContextual"/>
        </w:rPr>
        <w:t>centres</w:t>
      </w:r>
      <w:proofErr w:type="spellEnd"/>
      <w:r w:rsidRPr="00736479">
        <w:rPr>
          <w:rFonts w:ascii="Arial" w:eastAsiaTheme="minorHAnsi" w:hAnsi="Arial" w:cs="Arial"/>
          <w:sz w:val="20"/>
          <w:szCs w:val="20"/>
          <w:lang w:val="en-US"/>
          <w14:ligatures w14:val="standardContextual"/>
        </w:rPr>
        <w:t>, or digital platforms such as apps and social media. Discrepancies between customer expectations of response speed and reality often trigger service disappointment, which, in the long run, can lower the perceived value of the institution’s overall service. Hoque et al. (2023) reinforce this view by stating that improving responsiveness needs to be built by integrating a customer-centric complaint management system that supports quick, transparent, and documented problem resolution. They suggest simulation-based training for staff to strengthen staff responsiveness in complex scenarios, such as system failures, ATM service issues, or digital balance errors.</w:t>
      </w:r>
    </w:p>
    <w:p w14:paraId="504D2B56" w14:textId="77777777" w:rsidR="007A54DF" w:rsidRPr="00D41C6B" w:rsidRDefault="00736479" w:rsidP="00225374">
      <w:pPr>
        <w:autoSpaceDE w:val="0"/>
        <w:autoSpaceDN w:val="0"/>
        <w:adjustRightInd w:val="0"/>
        <w:jc w:val="both"/>
        <w:rPr>
          <w:rFonts w:ascii="Arial" w:eastAsiaTheme="minorHAnsi" w:hAnsi="Arial" w:cs="Arial"/>
          <w:sz w:val="20"/>
          <w:szCs w:val="20"/>
          <w:lang w:val="en-US"/>
          <w14:ligatures w14:val="standardContextual"/>
        </w:rPr>
      </w:pPr>
      <w:r>
        <w:rPr>
          <w:rFonts w:ascii="Arial" w:eastAsiaTheme="minorHAnsi" w:hAnsi="Arial" w:cs="Arial"/>
          <w:sz w:val="20"/>
          <w:szCs w:val="20"/>
          <w:lang w:val="en-US"/>
          <w14:ligatures w14:val="standardContextual"/>
        </w:rPr>
        <w:tab/>
      </w:r>
      <w:r w:rsidRPr="00736479">
        <w:rPr>
          <w:rFonts w:ascii="Arial" w:eastAsiaTheme="minorHAnsi" w:hAnsi="Arial" w:cs="Arial"/>
          <w:sz w:val="20"/>
          <w:szCs w:val="20"/>
          <w:lang w:val="en-US"/>
          <w14:ligatures w14:val="standardContextual"/>
        </w:rPr>
        <w:t xml:space="preserve">Thus, responsiveness in public services is not only a matter of technical speed but also about attitude, adaptability, and systematic problem-handling. In the context of Bank </w:t>
      </w:r>
      <w:proofErr w:type="spellStart"/>
      <w:r w:rsidRPr="00736479">
        <w:rPr>
          <w:rFonts w:ascii="Arial" w:eastAsiaTheme="minorHAnsi" w:hAnsi="Arial" w:cs="Arial"/>
          <w:sz w:val="20"/>
          <w:szCs w:val="20"/>
          <w:lang w:val="en-US"/>
          <w14:ligatures w14:val="standardContextual"/>
        </w:rPr>
        <w:t>Mandiri</w:t>
      </w:r>
      <w:proofErr w:type="spellEnd"/>
      <w:r w:rsidRPr="00736479">
        <w:rPr>
          <w:rFonts w:ascii="Arial" w:eastAsiaTheme="minorHAnsi" w:hAnsi="Arial" w:cs="Arial"/>
          <w:sz w:val="20"/>
          <w:szCs w:val="20"/>
          <w:lang w:val="en-US"/>
          <w14:ligatures w14:val="standardContextual"/>
        </w:rPr>
        <w:t xml:space="preserve"> KCP </w:t>
      </w:r>
      <w:proofErr w:type="spellStart"/>
      <w:r w:rsidRPr="00736479">
        <w:rPr>
          <w:rFonts w:ascii="Arial" w:eastAsiaTheme="minorHAnsi" w:hAnsi="Arial" w:cs="Arial"/>
          <w:sz w:val="20"/>
          <w:szCs w:val="20"/>
          <w:lang w:val="en-US"/>
          <w14:ligatures w14:val="standardContextual"/>
        </w:rPr>
        <w:t>Paguyaman</w:t>
      </w:r>
      <w:proofErr w:type="spellEnd"/>
      <w:r w:rsidRPr="00736479">
        <w:rPr>
          <w:rFonts w:ascii="Arial" w:eastAsiaTheme="minorHAnsi" w:hAnsi="Arial" w:cs="Arial"/>
          <w:sz w:val="20"/>
          <w:szCs w:val="20"/>
          <w:lang w:val="en-US"/>
          <w14:ligatures w14:val="standardContextual"/>
        </w:rPr>
        <w:t>, establishing a technology-based reporting and complaint-handling system that is directly connected to the internal verification team can be a strategic solution. Additionally, case-based service training and strengthening service recovery procedures will enhance the public's perception of the institution's commitment to resolving issues quickly and professionally.</w:t>
      </w:r>
    </w:p>
    <w:p w14:paraId="3B846766" w14:textId="77777777" w:rsidR="007A54DF" w:rsidRPr="00D41C6B" w:rsidRDefault="007A54DF" w:rsidP="007A54DF">
      <w:pPr>
        <w:autoSpaceDE w:val="0"/>
        <w:autoSpaceDN w:val="0"/>
        <w:adjustRightInd w:val="0"/>
        <w:jc w:val="both"/>
        <w:rPr>
          <w:rFonts w:ascii="Arial" w:eastAsiaTheme="minorHAnsi" w:hAnsi="Arial" w:cs="Arial"/>
          <w:sz w:val="20"/>
          <w:szCs w:val="20"/>
          <w:lang w:val="en-US"/>
          <w14:ligatures w14:val="standardContextual"/>
        </w:rPr>
      </w:pPr>
      <w:r w:rsidRPr="00D41C6B">
        <w:rPr>
          <w:rFonts w:ascii="Arial" w:eastAsiaTheme="minorHAnsi" w:hAnsi="Arial" w:cs="Arial"/>
          <w:b/>
          <w:bCs/>
          <w:sz w:val="20"/>
          <w:szCs w:val="20"/>
          <w:lang w:val="en-US"/>
          <w14:ligatures w14:val="standardContextual"/>
        </w:rPr>
        <w:t xml:space="preserve">4. Reliability </w:t>
      </w:r>
    </w:p>
    <w:p w14:paraId="617F7B3C" w14:textId="77777777" w:rsidR="007A54DF" w:rsidRPr="00D41C6B" w:rsidRDefault="007A54DF" w:rsidP="007A54DF">
      <w:pPr>
        <w:autoSpaceDE w:val="0"/>
        <w:autoSpaceDN w:val="0"/>
        <w:adjustRightInd w:val="0"/>
        <w:jc w:val="both"/>
        <w:rPr>
          <w:rFonts w:ascii="Arial" w:eastAsiaTheme="minorHAnsi" w:hAnsi="Arial" w:cs="Arial"/>
          <w:sz w:val="20"/>
          <w:szCs w:val="20"/>
          <w:lang w:val="en-US"/>
          <w14:ligatures w14:val="standardContextual"/>
        </w:rPr>
      </w:pPr>
    </w:p>
    <w:p w14:paraId="72A79C10" w14:textId="77777777" w:rsidR="002C7BF6" w:rsidRPr="002C7BF6" w:rsidRDefault="007A54DF" w:rsidP="002C7BF6">
      <w:pPr>
        <w:autoSpaceDE w:val="0"/>
        <w:autoSpaceDN w:val="0"/>
        <w:adjustRightInd w:val="0"/>
        <w:jc w:val="both"/>
        <w:rPr>
          <w:rFonts w:ascii="Arial" w:eastAsiaTheme="minorHAnsi" w:hAnsi="Arial" w:cs="Arial"/>
          <w:sz w:val="20"/>
          <w:szCs w:val="20"/>
          <w:lang w:val="en-US"/>
          <w14:ligatures w14:val="standardContextual"/>
        </w:rPr>
      </w:pPr>
      <w:r w:rsidRPr="00D41C6B">
        <w:rPr>
          <w:rFonts w:ascii="Arial" w:eastAsiaTheme="minorHAnsi" w:hAnsi="Arial" w:cs="Arial"/>
          <w:sz w:val="20"/>
          <w:szCs w:val="20"/>
          <w:lang w:val="en-US"/>
          <w14:ligatures w14:val="standardContextual"/>
        </w:rPr>
        <w:tab/>
      </w:r>
      <w:r w:rsidR="002C7BF6" w:rsidRPr="002C7BF6">
        <w:rPr>
          <w:rFonts w:ascii="Arial" w:eastAsiaTheme="minorHAnsi" w:hAnsi="Arial" w:cs="Arial"/>
          <w:sz w:val="20"/>
          <w:szCs w:val="20"/>
          <w:lang w:val="en-US"/>
          <w14:ligatures w14:val="standardContextual"/>
        </w:rPr>
        <w:t xml:space="preserve">Reliability describes the consistency and accuracy of an institution in providing services as promised. Bank </w:t>
      </w:r>
      <w:proofErr w:type="spellStart"/>
      <w:r w:rsidR="002C7BF6" w:rsidRPr="002C7BF6">
        <w:rPr>
          <w:rFonts w:ascii="Arial" w:eastAsiaTheme="minorHAnsi" w:hAnsi="Arial" w:cs="Arial"/>
          <w:sz w:val="20"/>
          <w:szCs w:val="20"/>
          <w:lang w:val="en-US"/>
          <w14:ligatures w14:val="standardContextual"/>
        </w:rPr>
        <w:t>Mandiri</w:t>
      </w:r>
      <w:proofErr w:type="spellEnd"/>
      <w:r w:rsidR="002C7BF6" w:rsidRPr="002C7BF6">
        <w:rPr>
          <w:rFonts w:ascii="Arial" w:eastAsiaTheme="minorHAnsi" w:hAnsi="Arial" w:cs="Arial"/>
          <w:sz w:val="20"/>
          <w:szCs w:val="20"/>
          <w:lang w:val="en-US"/>
          <w14:ligatures w14:val="standardContextual"/>
        </w:rPr>
        <w:t xml:space="preserve"> KCP </w:t>
      </w:r>
      <w:proofErr w:type="spellStart"/>
      <w:r w:rsidR="002C7BF6" w:rsidRPr="002C7BF6">
        <w:rPr>
          <w:rFonts w:ascii="Arial" w:eastAsiaTheme="minorHAnsi" w:hAnsi="Arial" w:cs="Arial"/>
          <w:sz w:val="20"/>
          <w:szCs w:val="20"/>
          <w:lang w:val="en-US"/>
          <w14:ligatures w14:val="standardContextual"/>
        </w:rPr>
        <w:t>Paguyaman</w:t>
      </w:r>
      <w:proofErr w:type="spellEnd"/>
      <w:r w:rsidR="002C7BF6" w:rsidRPr="002C7BF6">
        <w:rPr>
          <w:rFonts w:ascii="Arial" w:eastAsiaTheme="minorHAnsi" w:hAnsi="Arial" w:cs="Arial"/>
          <w:sz w:val="20"/>
          <w:szCs w:val="20"/>
          <w:lang w:val="en-US"/>
          <w14:ligatures w14:val="standardContextual"/>
        </w:rPr>
        <w:t xml:space="preserve"> is reliable in basic services such as transactions, account opening, and balance information. However, the lack of staff understanding of new products (e.g. investment or micro-business credit) indicates a gap in information reliability. For example, an MSME customer who asked about KUR facilities received inconsistent information from two staff members. According to Kang et al. (2002), reliability contributes significantly to customer trust and satisfaction in the service sector. A similar thing was emphasized by Siddiqi (2011), who found that information accuracy and process consistency increased customer loyalty. This finding is reinforced by Shi and Shang (2020), who revealed that reliability is not only about the consistency of physical services but also includes cognitive accuracy—namely, the ability of staff to provide correct and relevant information, especially in knowledge-based services such as financial products. In this context, staff failure to deliver consistent information can reduce customer trust in the institution and indicate weaknesses in internal knowledge management.</w:t>
      </w:r>
    </w:p>
    <w:p w14:paraId="231B07E7" w14:textId="77777777" w:rsidR="002C7BF6" w:rsidRDefault="002C7BF6" w:rsidP="002C7BF6">
      <w:pPr>
        <w:autoSpaceDE w:val="0"/>
        <w:autoSpaceDN w:val="0"/>
        <w:adjustRightInd w:val="0"/>
        <w:jc w:val="both"/>
        <w:rPr>
          <w:rFonts w:ascii="Arial" w:eastAsiaTheme="minorHAnsi" w:hAnsi="Arial" w:cs="Arial"/>
          <w:sz w:val="20"/>
          <w:szCs w:val="20"/>
          <w:lang w:val="en-US"/>
          <w14:ligatures w14:val="standardContextual"/>
        </w:rPr>
      </w:pPr>
      <w:r>
        <w:rPr>
          <w:rFonts w:ascii="Arial" w:eastAsiaTheme="minorHAnsi" w:hAnsi="Arial" w:cs="Arial"/>
          <w:sz w:val="20"/>
          <w:szCs w:val="20"/>
          <w:lang w:val="en-US"/>
          <w14:ligatures w14:val="standardContextual"/>
        </w:rPr>
        <w:tab/>
      </w:r>
      <w:r w:rsidRPr="002C7BF6">
        <w:rPr>
          <w:rFonts w:ascii="Arial" w:eastAsiaTheme="minorHAnsi" w:hAnsi="Arial" w:cs="Arial"/>
          <w:sz w:val="20"/>
          <w:szCs w:val="20"/>
          <w:lang w:val="en-US"/>
          <w14:ligatures w14:val="standardContextual"/>
        </w:rPr>
        <w:t>Furthermore, Hoque et al. (2023) stated that reliability in financial services is greatly influenced by the institution’s ability to ensure service delivery standardization, where staff training, information system updates, and managerial supervision are the main determinants. They highlighted that in retail banking services, information deviation—such as different answers from two staff members to the same question—is a strong indicator of suboptimal dissemination and synchronization of institutional knowledge. Therefore, the reliability quality is assessed from the results and the uniform and accurate delivery process.</w:t>
      </w:r>
      <w:r w:rsidR="0008157B" w:rsidRPr="002C7BF6">
        <w:rPr>
          <w:rFonts w:ascii="Arial" w:eastAsiaTheme="minorHAnsi" w:hAnsi="Arial" w:cs="Arial"/>
          <w:sz w:val="20"/>
          <w:szCs w:val="20"/>
          <w:lang w:val="en-US"/>
          <w14:ligatures w14:val="standardContextual"/>
        </w:rPr>
        <w:tab/>
      </w:r>
    </w:p>
    <w:p w14:paraId="5F0AE695" w14:textId="77777777" w:rsidR="007A54DF" w:rsidRPr="002C7BF6" w:rsidRDefault="002C7BF6" w:rsidP="0008157B">
      <w:pPr>
        <w:autoSpaceDE w:val="0"/>
        <w:autoSpaceDN w:val="0"/>
        <w:adjustRightInd w:val="0"/>
        <w:jc w:val="both"/>
        <w:rPr>
          <w:rFonts w:ascii="Arial" w:eastAsiaTheme="minorHAnsi" w:hAnsi="Arial" w:cs="Arial"/>
          <w:b/>
          <w:bCs/>
          <w:sz w:val="20"/>
          <w:szCs w:val="20"/>
          <w:lang w:val="en-US"/>
          <w14:ligatures w14:val="standardContextual"/>
        </w:rPr>
      </w:pPr>
      <w:r>
        <w:rPr>
          <w:rFonts w:ascii="Arial" w:eastAsiaTheme="minorHAnsi" w:hAnsi="Arial" w:cs="Arial"/>
          <w:sz w:val="20"/>
          <w:szCs w:val="20"/>
          <w:lang w:val="en-US"/>
          <w14:ligatures w14:val="standardContextual"/>
        </w:rPr>
        <w:tab/>
      </w:r>
      <w:r w:rsidRPr="002C7BF6">
        <w:rPr>
          <w:rFonts w:ascii="Arial" w:eastAsiaTheme="minorHAnsi" w:hAnsi="Arial" w:cs="Arial"/>
          <w:sz w:val="20"/>
          <w:szCs w:val="20"/>
          <w:lang w:val="en-US"/>
          <w14:ligatures w14:val="standardContextual"/>
        </w:rPr>
        <w:t xml:space="preserve">Al-Omari (2020) emphasized that customer perceptions of reliability are also formed from the clarity of procedures and transparency of information provided. In their study, service procedures that were not systematically socialized to staff caused a gap in expectations between customers and institutions, ultimately reducing the quality of customer experience. In the case of Bank </w:t>
      </w:r>
      <w:proofErr w:type="spellStart"/>
      <w:r w:rsidRPr="002C7BF6">
        <w:rPr>
          <w:rFonts w:ascii="Arial" w:eastAsiaTheme="minorHAnsi" w:hAnsi="Arial" w:cs="Arial"/>
          <w:sz w:val="20"/>
          <w:szCs w:val="20"/>
          <w:lang w:val="en-US"/>
          <w14:ligatures w14:val="standardContextual"/>
        </w:rPr>
        <w:t>Mandiri</w:t>
      </w:r>
      <w:proofErr w:type="spellEnd"/>
      <w:r w:rsidRPr="002C7BF6">
        <w:rPr>
          <w:rFonts w:ascii="Arial" w:eastAsiaTheme="minorHAnsi" w:hAnsi="Arial" w:cs="Arial"/>
          <w:sz w:val="20"/>
          <w:szCs w:val="20"/>
          <w:lang w:val="en-US"/>
          <w14:ligatures w14:val="standardContextual"/>
        </w:rPr>
        <w:t xml:space="preserve"> KCP </w:t>
      </w:r>
      <w:proofErr w:type="spellStart"/>
      <w:r w:rsidRPr="002C7BF6">
        <w:rPr>
          <w:rFonts w:ascii="Arial" w:eastAsiaTheme="minorHAnsi" w:hAnsi="Arial" w:cs="Arial"/>
          <w:sz w:val="20"/>
          <w:szCs w:val="20"/>
          <w:lang w:val="en-US"/>
          <w14:ligatures w14:val="standardContextual"/>
        </w:rPr>
        <w:t>Paguyaman</w:t>
      </w:r>
      <w:proofErr w:type="spellEnd"/>
      <w:r w:rsidRPr="002C7BF6">
        <w:rPr>
          <w:rFonts w:ascii="Arial" w:eastAsiaTheme="minorHAnsi" w:hAnsi="Arial" w:cs="Arial"/>
          <w:sz w:val="20"/>
          <w:szCs w:val="20"/>
          <w:lang w:val="en-US"/>
          <w14:ligatures w14:val="standardContextual"/>
        </w:rPr>
        <w:t>, the inconsistency of information about KUR reflects the need for an adaptive training system responsive to the dynamics of banking products. Therefore, reliability is important in public services because any deviation from procedures can reduce the institution’s credibility. Therefore, conducting continuous training, internal information updates, and regular service audits is important. This effort aligns with the knowledge-based service reliability approach by Shi and Shang (2020), which emphasizes that reliable service quality can only be achieved through integration between human training and sophisticated information systems.</w:t>
      </w:r>
    </w:p>
    <w:p w14:paraId="403CCEC6" w14:textId="77777777" w:rsidR="007A54DF" w:rsidRPr="00D41C6B" w:rsidRDefault="007A54DF" w:rsidP="007A54DF">
      <w:pPr>
        <w:autoSpaceDE w:val="0"/>
        <w:autoSpaceDN w:val="0"/>
        <w:adjustRightInd w:val="0"/>
        <w:jc w:val="both"/>
        <w:rPr>
          <w:rFonts w:ascii="Arial" w:eastAsiaTheme="minorHAnsi" w:hAnsi="Arial" w:cs="Arial"/>
          <w:sz w:val="20"/>
          <w:szCs w:val="20"/>
          <w:lang w:val="en-US"/>
          <w14:ligatures w14:val="standardContextual"/>
        </w:rPr>
      </w:pPr>
      <w:r w:rsidRPr="00D41C6B">
        <w:rPr>
          <w:rFonts w:ascii="Arial" w:eastAsiaTheme="minorHAnsi" w:hAnsi="Arial" w:cs="Arial"/>
          <w:b/>
          <w:bCs/>
          <w:sz w:val="20"/>
          <w:szCs w:val="20"/>
          <w:lang w:val="en-US"/>
          <w14:ligatures w14:val="standardContextual"/>
        </w:rPr>
        <w:t xml:space="preserve">5. Assurance </w:t>
      </w:r>
    </w:p>
    <w:p w14:paraId="77D56A4D" w14:textId="77777777" w:rsidR="00736479" w:rsidRPr="00736479" w:rsidRDefault="007A54DF" w:rsidP="00736479">
      <w:pPr>
        <w:autoSpaceDE w:val="0"/>
        <w:autoSpaceDN w:val="0"/>
        <w:adjustRightInd w:val="0"/>
        <w:jc w:val="both"/>
        <w:rPr>
          <w:rFonts w:ascii="Arial" w:eastAsiaTheme="minorHAnsi" w:hAnsi="Arial" w:cs="Arial"/>
          <w:sz w:val="20"/>
          <w:szCs w:val="20"/>
          <w:lang w:val="en-US"/>
          <w14:ligatures w14:val="standardContextual"/>
        </w:rPr>
      </w:pPr>
      <w:r w:rsidRPr="00D41C6B">
        <w:rPr>
          <w:rFonts w:ascii="Arial" w:eastAsiaTheme="minorHAnsi" w:hAnsi="Arial" w:cs="Arial"/>
          <w:sz w:val="20"/>
          <w:szCs w:val="20"/>
          <w:lang w:val="en-US"/>
          <w14:ligatures w14:val="standardContextual"/>
        </w:rPr>
        <w:tab/>
      </w:r>
      <w:r w:rsidR="00736479" w:rsidRPr="00736479">
        <w:rPr>
          <w:rFonts w:ascii="Arial" w:eastAsiaTheme="minorHAnsi" w:hAnsi="Arial" w:cs="Arial"/>
          <w:sz w:val="20"/>
          <w:szCs w:val="20"/>
          <w:lang w:val="en-US"/>
          <w14:ligatures w14:val="standardContextual"/>
        </w:rPr>
        <w:t xml:space="preserve">Assurance relates to the ability of staff to </w:t>
      </w:r>
      <w:proofErr w:type="spellStart"/>
      <w:r w:rsidR="00736479" w:rsidRPr="00736479">
        <w:rPr>
          <w:rFonts w:ascii="Arial" w:eastAsiaTheme="minorHAnsi" w:hAnsi="Arial" w:cs="Arial"/>
          <w:sz w:val="20"/>
          <w:szCs w:val="20"/>
          <w:lang w:val="en-US"/>
          <w14:ligatures w14:val="standardContextual"/>
        </w:rPr>
        <w:t>instil</w:t>
      </w:r>
      <w:proofErr w:type="spellEnd"/>
      <w:r w:rsidR="00736479" w:rsidRPr="00736479">
        <w:rPr>
          <w:rFonts w:ascii="Arial" w:eastAsiaTheme="minorHAnsi" w:hAnsi="Arial" w:cs="Arial"/>
          <w:sz w:val="20"/>
          <w:szCs w:val="20"/>
          <w:lang w:val="en-US"/>
          <w14:ligatures w14:val="standardContextual"/>
        </w:rPr>
        <w:t xml:space="preserve"> a sense of security, trust and confidence in the service. Bank </w:t>
      </w:r>
      <w:proofErr w:type="spellStart"/>
      <w:r w:rsidR="00736479" w:rsidRPr="00736479">
        <w:rPr>
          <w:rFonts w:ascii="Arial" w:eastAsiaTheme="minorHAnsi" w:hAnsi="Arial" w:cs="Arial"/>
          <w:sz w:val="20"/>
          <w:szCs w:val="20"/>
          <w:lang w:val="en-US"/>
          <w14:ligatures w14:val="standardContextual"/>
        </w:rPr>
        <w:t>Mandiri</w:t>
      </w:r>
      <w:proofErr w:type="spellEnd"/>
      <w:r w:rsidR="00736479" w:rsidRPr="00736479">
        <w:rPr>
          <w:rFonts w:ascii="Arial" w:eastAsiaTheme="minorHAnsi" w:hAnsi="Arial" w:cs="Arial"/>
          <w:sz w:val="20"/>
          <w:szCs w:val="20"/>
          <w:lang w:val="en-US"/>
          <w14:ligatures w14:val="standardContextual"/>
        </w:rPr>
        <w:t xml:space="preserve"> KCP </w:t>
      </w:r>
      <w:proofErr w:type="spellStart"/>
      <w:r w:rsidR="00736479" w:rsidRPr="00736479">
        <w:rPr>
          <w:rFonts w:ascii="Arial" w:eastAsiaTheme="minorHAnsi" w:hAnsi="Arial" w:cs="Arial"/>
          <w:sz w:val="20"/>
          <w:szCs w:val="20"/>
          <w:lang w:val="en-US"/>
          <w14:ligatures w14:val="standardContextual"/>
        </w:rPr>
        <w:t>Paguyaman</w:t>
      </w:r>
      <w:proofErr w:type="spellEnd"/>
      <w:r w:rsidR="00736479" w:rsidRPr="00736479">
        <w:rPr>
          <w:rFonts w:ascii="Arial" w:eastAsiaTheme="minorHAnsi" w:hAnsi="Arial" w:cs="Arial"/>
          <w:sz w:val="20"/>
          <w:szCs w:val="20"/>
          <w:lang w:val="en-US"/>
          <w14:ligatures w14:val="standardContextual"/>
        </w:rPr>
        <w:t xml:space="preserve"> has generally implemented SOPs that guarantee transaction security and data protection. However, some customers have reported too formal and rushed interactions </w:t>
      </w:r>
      <w:r w:rsidR="00736479" w:rsidRPr="00736479">
        <w:rPr>
          <w:rFonts w:ascii="Arial" w:eastAsiaTheme="minorHAnsi" w:hAnsi="Arial" w:cs="Arial"/>
          <w:sz w:val="20"/>
          <w:szCs w:val="20"/>
          <w:lang w:val="en-US"/>
          <w14:ligatures w14:val="standardContextual"/>
        </w:rPr>
        <w:lastRenderedPageBreak/>
        <w:t>without detailed explanations, especially in large transactions. For example, customers who want to open a deposit account feel they do not understand the risks sufficiently because the staff’s explanations are rushed. In a study by Wang et al. (2003), assurance is associated with the professionalism, knowledge, and polite attitude of bank staff, which influence customer satisfaction.</w:t>
      </w:r>
    </w:p>
    <w:p w14:paraId="515C0D26" w14:textId="77777777" w:rsidR="00736479" w:rsidRDefault="00736479" w:rsidP="00736479">
      <w:pPr>
        <w:autoSpaceDE w:val="0"/>
        <w:autoSpaceDN w:val="0"/>
        <w:adjustRightInd w:val="0"/>
        <w:jc w:val="both"/>
        <w:rPr>
          <w:rFonts w:ascii="Arial" w:eastAsiaTheme="minorHAnsi" w:hAnsi="Arial" w:cs="Arial"/>
          <w:sz w:val="20"/>
          <w:szCs w:val="20"/>
          <w:lang w:val="en-US"/>
          <w14:ligatures w14:val="standardContextual"/>
        </w:rPr>
      </w:pPr>
      <w:r>
        <w:rPr>
          <w:rFonts w:ascii="Arial" w:eastAsiaTheme="minorHAnsi" w:hAnsi="Arial" w:cs="Arial"/>
          <w:sz w:val="20"/>
          <w:szCs w:val="20"/>
          <w:lang w:val="en-US"/>
          <w14:ligatures w14:val="standardContextual"/>
        </w:rPr>
        <w:tab/>
      </w:r>
      <w:r w:rsidRPr="00736479">
        <w:rPr>
          <w:rFonts w:ascii="Arial" w:eastAsiaTheme="minorHAnsi" w:hAnsi="Arial" w:cs="Arial"/>
          <w:sz w:val="20"/>
          <w:szCs w:val="20"/>
          <w:lang w:val="en-US"/>
          <w14:ligatures w14:val="standardContextual"/>
        </w:rPr>
        <w:t xml:space="preserve">Additionally, Yap et al. (2012) </w:t>
      </w:r>
      <w:proofErr w:type="spellStart"/>
      <w:r w:rsidRPr="00736479">
        <w:rPr>
          <w:rFonts w:ascii="Arial" w:eastAsiaTheme="minorHAnsi" w:hAnsi="Arial" w:cs="Arial"/>
          <w:sz w:val="20"/>
          <w:szCs w:val="20"/>
          <w:lang w:val="en-US"/>
          <w14:ligatures w14:val="standardContextual"/>
        </w:rPr>
        <w:t>emphasise</w:t>
      </w:r>
      <w:proofErr w:type="spellEnd"/>
      <w:r w:rsidRPr="00736479">
        <w:rPr>
          <w:rFonts w:ascii="Arial" w:eastAsiaTheme="minorHAnsi" w:hAnsi="Arial" w:cs="Arial"/>
          <w:sz w:val="20"/>
          <w:szCs w:val="20"/>
          <w:lang w:val="en-US"/>
          <w14:ligatures w14:val="standardContextual"/>
        </w:rPr>
        <w:t xml:space="preserve"> that customers’ trust in the institution’s integrity depends on interpersonal quality and the credibility of information. This finding is reinforced by Shi and Shang (2020), who explain that the assurance aspect covers the systemic protection of information security and the perceived competence of staff in conveying complex information in a convincing and easily understandable manner. In this context, overly rapid or impersonal communication can disrupt trust formation, especially in high-value services such as deposits or investments.</w:t>
      </w:r>
    </w:p>
    <w:p w14:paraId="53714A56" w14:textId="77777777" w:rsidR="002C7BF6" w:rsidRDefault="0008157B" w:rsidP="002C7BF6">
      <w:pPr>
        <w:autoSpaceDE w:val="0"/>
        <w:autoSpaceDN w:val="0"/>
        <w:adjustRightInd w:val="0"/>
        <w:jc w:val="both"/>
        <w:rPr>
          <w:rFonts w:ascii="Arial" w:eastAsiaTheme="minorHAnsi" w:hAnsi="Arial" w:cs="Arial"/>
          <w:sz w:val="20"/>
          <w:szCs w:val="20"/>
          <w:lang w:val="en-US"/>
          <w14:ligatures w14:val="standardContextual"/>
        </w:rPr>
      </w:pPr>
      <w:r w:rsidRPr="00D41C6B">
        <w:rPr>
          <w:rFonts w:ascii="Arial" w:eastAsiaTheme="minorHAnsi" w:hAnsi="Arial" w:cs="Arial"/>
          <w:i/>
          <w:iCs/>
          <w:sz w:val="20"/>
          <w:szCs w:val="20"/>
          <w:lang w:val="en-US"/>
          <w14:ligatures w14:val="standardContextual"/>
        </w:rPr>
        <w:tab/>
      </w:r>
      <w:r w:rsidR="002C7BF6" w:rsidRPr="002C7BF6">
        <w:rPr>
          <w:rFonts w:ascii="Arial" w:eastAsiaTheme="minorHAnsi" w:hAnsi="Arial" w:cs="Arial"/>
          <w:sz w:val="20"/>
          <w:szCs w:val="20"/>
          <w:lang w:val="en-US"/>
          <w14:ligatures w14:val="standardContextual"/>
        </w:rPr>
        <w:t xml:space="preserve">Hoque et al. (2023) added that assurance reflects the emotional dimension of service quality, where interpersonal communication skills, empathy, and consistent professionalism influence trust-building interactions. In their study, rushed or merely formal communication reduced customer emotional trust, even when technical procedures were carried out correctly. Therefore, it is important not to rely solely on systemic security and written SOPs but also to foster a service culture that emphasizes relational trust and a consultative approach. Furthermore, Al-Omari (2020) emphasized that assurance is closely related to the perception of an institution’s legitimacy in the eyes of the public. In their services, institutions such as public banks must prioritize information transparency and an educational approach so customers feel valued as partners, not just objects of transactions. </w:t>
      </w:r>
    </w:p>
    <w:p w14:paraId="3C3DB5C9" w14:textId="77777777" w:rsidR="002C7BF6" w:rsidRDefault="002C7BF6" w:rsidP="002C7BF6">
      <w:pPr>
        <w:autoSpaceDE w:val="0"/>
        <w:autoSpaceDN w:val="0"/>
        <w:adjustRightInd w:val="0"/>
        <w:jc w:val="both"/>
        <w:rPr>
          <w:rFonts w:ascii="Arial" w:eastAsiaTheme="minorHAnsi" w:hAnsi="Arial" w:cs="Arial"/>
          <w:sz w:val="20"/>
          <w:szCs w:val="20"/>
          <w:lang w:val="en-US"/>
          <w14:ligatures w14:val="standardContextual"/>
        </w:rPr>
      </w:pPr>
      <w:r>
        <w:rPr>
          <w:rFonts w:ascii="Arial" w:eastAsiaTheme="minorHAnsi" w:hAnsi="Arial" w:cs="Arial"/>
          <w:sz w:val="20"/>
          <w:szCs w:val="20"/>
          <w:lang w:val="en-US"/>
          <w14:ligatures w14:val="standardContextual"/>
        </w:rPr>
        <w:tab/>
      </w:r>
      <w:r w:rsidRPr="002C7BF6">
        <w:rPr>
          <w:rFonts w:ascii="Arial" w:eastAsiaTheme="minorHAnsi" w:hAnsi="Arial" w:cs="Arial"/>
          <w:sz w:val="20"/>
          <w:szCs w:val="20"/>
          <w:lang w:val="en-US"/>
          <w14:ligatures w14:val="standardContextual"/>
        </w:rPr>
        <w:t xml:space="preserve">In the case of Bank </w:t>
      </w:r>
      <w:proofErr w:type="spellStart"/>
      <w:r w:rsidRPr="002C7BF6">
        <w:rPr>
          <w:rFonts w:ascii="Arial" w:eastAsiaTheme="minorHAnsi" w:hAnsi="Arial" w:cs="Arial"/>
          <w:sz w:val="20"/>
          <w:szCs w:val="20"/>
          <w:lang w:val="en-US"/>
          <w14:ligatures w14:val="standardContextual"/>
        </w:rPr>
        <w:t>Mandiri</w:t>
      </w:r>
      <w:proofErr w:type="spellEnd"/>
      <w:r w:rsidRPr="002C7BF6">
        <w:rPr>
          <w:rFonts w:ascii="Arial" w:eastAsiaTheme="minorHAnsi" w:hAnsi="Arial" w:cs="Arial"/>
          <w:sz w:val="20"/>
          <w:szCs w:val="20"/>
          <w:lang w:val="en-US"/>
          <w14:ligatures w14:val="standardContextual"/>
        </w:rPr>
        <w:t xml:space="preserve"> KCP </w:t>
      </w:r>
      <w:proofErr w:type="spellStart"/>
      <w:r w:rsidRPr="002C7BF6">
        <w:rPr>
          <w:rFonts w:ascii="Arial" w:eastAsiaTheme="minorHAnsi" w:hAnsi="Arial" w:cs="Arial"/>
          <w:sz w:val="20"/>
          <w:szCs w:val="20"/>
          <w:lang w:val="en-US"/>
          <w14:ligatures w14:val="standardContextual"/>
        </w:rPr>
        <w:t>Paguyaman</w:t>
      </w:r>
      <w:proofErr w:type="spellEnd"/>
      <w:r w:rsidRPr="002C7BF6">
        <w:rPr>
          <w:rFonts w:ascii="Arial" w:eastAsiaTheme="minorHAnsi" w:hAnsi="Arial" w:cs="Arial"/>
          <w:sz w:val="20"/>
          <w:szCs w:val="20"/>
          <w:lang w:val="en-US"/>
          <w14:ligatures w14:val="standardContextual"/>
        </w:rPr>
        <w:t>, the lack of an in-depth explanation of deposit services reflects weaknesses in customer engagement. It indicates the need for special training in conveying financial information in a personal, inclusive, and educational manner. Thus, assurance is a crucial aspect of public services because it concerns the legitimacy of institutions as public servants. Strengthening this aspect is not only done by maintaining the security of systems and procedures but also requires training in interpersonal communication, service ethics, and a systematic customer education-based approach. In line with the concept of knowledge-based assurance explained by Shi and Shang (2020), long-term success in building customer trust lies in the synergy between technical capacity, communication skills, and humanistic service culture.</w:t>
      </w:r>
      <w:r w:rsidR="00DC0341" w:rsidRPr="002C7BF6">
        <w:rPr>
          <w:rFonts w:ascii="Arial" w:eastAsiaTheme="minorHAnsi" w:hAnsi="Arial" w:cs="Arial"/>
          <w:sz w:val="20"/>
          <w:szCs w:val="20"/>
          <w:lang w:val="en-US"/>
          <w14:ligatures w14:val="standardContextual"/>
        </w:rPr>
        <w:tab/>
      </w:r>
    </w:p>
    <w:p w14:paraId="2673B31E" w14:textId="77777777" w:rsidR="002C7BF6" w:rsidRDefault="002C7BF6" w:rsidP="002C7BF6">
      <w:pPr>
        <w:autoSpaceDE w:val="0"/>
        <w:autoSpaceDN w:val="0"/>
        <w:adjustRightInd w:val="0"/>
        <w:jc w:val="both"/>
        <w:rPr>
          <w:rFonts w:ascii="Arial" w:eastAsiaTheme="minorHAnsi" w:hAnsi="Arial" w:cs="Arial"/>
          <w:sz w:val="20"/>
          <w:szCs w:val="20"/>
          <w:lang w:val="en-US"/>
          <w14:ligatures w14:val="standardContextual"/>
        </w:rPr>
      </w:pPr>
      <w:r>
        <w:rPr>
          <w:rFonts w:ascii="Arial" w:eastAsiaTheme="minorHAnsi" w:hAnsi="Arial" w:cs="Arial"/>
          <w:sz w:val="20"/>
          <w:szCs w:val="20"/>
          <w:lang w:val="en-US"/>
          <w14:ligatures w14:val="standardContextual"/>
        </w:rPr>
        <w:tab/>
      </w:r>
      <w:r w:rsidRPr="002C7BF6">
        <w:rPr>
          <w:rFonts w:ascii="Arial" w:eastAsiaTheme="minorHAnsi" w:hAnsi="Arial" w:cs="Arial"/>
          <w:sz w:val="20"/>
          <w:szCs w:val="20"/>
          <w:lang w:val="en-US"/>
          <w14:ligatures w14:val="standardContextual"/>
        </w:rPr>
        <w:t>The description of the tangible-to-assurance dimensions indicates a structural dissonance between the readiness of physical infrastructure and affective skills in public services. The deficit of essential facilities, low sensitivity to vulnerable groups, inconsistent information and minimal educational interactions reflect the lack of internalization of user-centered service orientation. This condition reflects the weak integration of service systems, HR competencies, and public value-based service ethos. Therefore, strategic renewal must be focused on strengthening empathetic training based on inclusivity, digitalization of real-time complaint handling systems, standardization of information based on knowledge management systems, and development of interactive educational communication. This synergy is a prerequisite for institutions to realize adaptive, trustworthy, and socially just services.</w:t>
      </w:r>
    </w:p>
    <w:p w14:paraId="3FAB4A3C" w14:textId="77777777" w:rsidR="002C7BF6" w:rsidRDefault="002C7BF6" w:rsidP="002C7BF6">
      <w:pPr>
        <w:autoSpaceDE w:val="0"/>
        <w:autoSpaceDN w:val="0"/>
        <w:adjustRightInd w:val="0"/>
        <w:jc w:val="both"/>
        <w:rPr>
          <w:rFonts w:ascii="Arial" w:eastAsiaTheme="minorHAnsi" w:hAnsi="Arial" w:cs="Arial"/>
          <w:sz w:val="20"/>
          <w:szCs w:val="20"/>
          <w:lang w:val="en-US"/>
          <w14:ligatures w14:val="standardContextual"/>
        </w:rPr>
      </w:pPr>
    </w:p>
    <w:p w14:paraId="294BAC73" w14:textId="77777777" w:rsidR="00736479" w:rsidRPr="00736479" w:rsidRDefault="00736479" w:rsidP="002C7BF6">
      <w:pPr>
        <w:autoSpaceDE w:val="0"/>
        <w:autoSpaceDN w:val="0"/>
        <w:adjustRightInd w:val="0"/>
        <w:jc w:val="both"/>
        <w:rPr>
          <w:rFonts w:ascii="Arial" w:hAnsi="Arial" w:cs="Arial"/>
          <w:b/>
          <w:bCs/>
          <w:sz w:val="22"/>
          <w:szCs w:val="22"/>
          <w:lang w:val="en-US"/>
        </w:rPr>
      </w:pPr>
      <w:r w:rsidRPr="00736479">
        <w:rPr>
          <w:rFonts w:ascii="Arial" w:hAnsi="Arial" w:cs="Arial"/>
          <w:b/>
          <w:bCs/>
          <w:sz w:val="22"/>
          <w:szCs w:val="22"/>
          <w:lang w:val="en-US"/>
        </w:rPr>
        <w:t>4. CONCLUSION</w:t>
      </w:r>
    </w:p>
    <w:p w14:paraId="57238AA6" w14:textId="77777777" w:rsidR="00736479" w:rsidRPr="00736479" w:rsidRDefault="00736479" w:rsidP="00736479">
      <w:pPr>
        <w:jc w:val="both"/>
        <w:outlineLvl w:val="1"/>
        <w:rPr>
          <w:rFonts w:ascii="Arial" w:hAnsi="Arial" w:cs="Arial"/>
          <w:b/>
          <w:bCs/>
          <w:sz w:val="20"/>
          <w:szCs w:val="20"/>
          <w:lang w:val="en-US"/>
        </w:rPr>
      </w:pPr>
    </w:p>
    <w:p w14:paraId="098AD81A" w14:textId="77777777" w:rsidR="007A54DF" w:rsidRDefault="00736479" w:rsidP="00736479">
      <w:pPr>
        <w:jc w:val="both"/>
        <w:outlineLvl w:val="1"/>
        <w:rPr>
          <w:rFonts w:ascii="Arial" w:hAnsi="Arial" w:cs="Arial"/>
          <w:sz w:val="20"/>
          <w:szCs w:val="20"/>
          <w:lang w:val="en-US"/>
        </w:rPr>
      </w:pPr>
      <w:r>
        <w:rPr>
          <w:rFonts w:ascii="Arial" w:hAnsi="Arial" w:cs="Arial"/>
          <w:sz w:val="20"/>
          <w:szCs w:val="20"/>
          <w:lang w:val="en-US"/>
        </w:rPr>
        <w:tab/>
      </w:r>
      <w:r w:rsidRPr="00736479">
        <w:rPr>
          <w:rFonts w:ascii="Arial" w:hAnsi="Arial" w:cs="Arial"/>
          <w:sz w:val="20"/>
          <w:szCs w:val="20"/>
          <w:lang w:val="en-US"/>
        </w:rPr>
        <w:t>Based on the description in the previous section, it can be concluded that the five dimensions of service</w:t>
      </w:r>
      <w:r w:rsidR="00B665BA">
        <w:rPr>
          <w:rFonts w:ascii="Arial" w:hAnsi="Arial" w:cs="Arial"/>
          <w:sz w:val="20"/>
          <w:szCs w:val="20"/>
          <w:lang w:val="en-US"/>
        </w:rPr>
        <w:t xml:space="preserve"> </w:t>
      </w:r>
      <w:r w:rsidRPr="00736479">
        <w:rPr>
          <w:rFonts w:ascii="Arial" w:hAnsi="Arial" w:cs="Arial"/>
          <w:sz w:val="20"/>
          <w:szCs w:val="20"/>
          <w:lang w:val="en-US"/>
        </w:rPr>
        <w:t>tangible, empathy, responsiveness, reliability, and assurance—show fairly good performance but still leave room for improvement. The physical aspects are adequate but limited to essential facilities; staff empathy is strong but not yet fully inclusive; responsiveness is relatively quick but not yet optimal in complex situations; reliability is good, but there are still inconsistencies in information; and assurance is sufficiently convincing, though interpersonal communication still needs improvement. Based on these results, key recommendations include empathy-based staff training and educational communication, improvements to core service facilities, and strengthening the real-time digital complaint-handling system. Integration between technical, affective, and systemic competencies is key to adaptive, trustworthy, and socially just public service.</w:t>
      </w:r>
    </w:p>
    <w:p w14:paraId="1E210544" w14:textId="77777777" w:rsidR="001A22B9" w:rsidRDefault="001A22B9" w:rsidP="00736479">
      <w:pPr>
        <w:jc w:val="both"/>
        <w:outlineLvl w:val="1"/>
        <w:rPr>
          <w:rFonts w:ascii="Arial" w:hAnsi="Arial" w:cs="Arial"/>
          <w:sz w:val="20"/>
          <w:szCs w:val="20"/>
          <w:lang w:val="en-US"/>
        </w:rPr>
      </w:pPr>
    </w:p>
    <w:p w14:paraId="1B78BBC8" w14:textId="77777777" w:rsidR="001A22B9" w:rsidRDefault="001A22B9" w:rsidP="00736479">
      <w:pPr>
        <w:jc w:val="both"/>
        <w:outlineLvl w:val="1"/>
        <w:rPr>
          <w:rFonts w:ascii="Arial" w:hAnsi="Arial" w:cs="Arial"/>
          <w:sz w:val="20"/>
          <w:szCs w:val="20"/>
          <w:lang w:val="en-US"/>
        </w:rPr>
      </w:pPr>
    </w:p>
    <w:p w14:paraId="26CA7F31" w14:textId="77777777" w:rsidR="001A22B9" w:rsidRPr="001A22B9" w:rsidRDefault="001A22B9" w:rsidP="001A22B9">
      <w:pPr>
        <w:spacing w:after="200" w:line="276" w:lineRule="auto"/>
        <w:jc w:val="both"/>
        <w:outlineLvl w:val="0"/>
        <w:rPr>
          <w:rFonts w:ascii="Arial" w:hAnsi="Arial" w:cs="Arial"/>
          <w:sz w:val="22"/>
          <w:szCs w:val="22"/>
          <w:lang w:val="en-GB" w:eastAsia="en-GB"/>
        </w:rPr>
      </w:pPr>
      <w:r w:rsidRPr="001A22B9">
        <w:rPr>
          <w:rFonts w:ascii="Arial" w:hAnsi="Arial" w:cs="Arial"/>
          <w:b/>
          <w:bCs/>
          <w:sz w:val="22"/>
          <w:szCs w:val="22"/>
          <w:lang w:val="en-GB" w:eastAsia="en-GB"/>
        </w:rPr>
        <w:t>COMPETING INTERESTS DISCLAIMER:</w:t>
      </w:r>
    </w:p>
    <w:p w14:paraId="417E3A44" w14:textId="77777777" w:rsidR="001A22B9" w:rsidRPr="001A22B9" w:rsidRDefault="001A22B9" w:rsidP="001A22B9">
      <w:pPr>
        <w:spacing w:after="200" w:line="276" w:lineRule="auto"/>
        <w:rPr>
          <w:rFonts w:ascii="Calibri" w:hAnsi="Calibri"/>
          <w:sz w:val="22"/>
          <w:szCs w:val="22"/>
          <w:lang w:val="en-GB" w:eastAsia="en-GB"/>
        </w:rPr>
      </w:pPr>
      <w:r w:rsidRPr="001A22B9">
        <w:rPr>
          <w:rFonts w:ascii="Calibri" w:hAnsi="Calibri"/>
          <w:sz w:val="22"/>
          <w:szCs w:val="22"/>
          <w:lang w:val="en-GB" w:eastAsia="en-GB"/>
        </w:rPr>
        <w:lastRenderedPageBreak/>
        <w:t>Authors have declared that they have no known competing financial interests OR non-financial interests OR personal relationships that could have appeared to influence the work reported in this paper.</w:t>
      </w:r>
    </w:p>
    <w:p w14:paraId="228E16C6" w14:textId="77777777" w:rsidR="001A22B9" w:rsidRPr="001A22B9" w:rsidRDefault="001A22B9" w:rsidP="001A22B9">
      <w:pPr>
        <w:spacing w:after="200" w:line="276" w:lineRule="auto"/>
        <w:rPr>
          <w:rFonts w:ascii="Calibri" w:hAnsi="Calibri"/>
          <w:sz w:val="22"/>
          <w:szCs w:val="22"/>
          <w:lang w:val="en-GB" w:eastAsia="en-GB"/>
        </w:rPr>
      </w:pPr>
    </w:p>
    <w:p w14:paraId="400C7C20" w14:textId="77777777" w:rsidR="001A22B9" w:rsidRPr="001A22B9" w:rsidRDefault="001A22B9" w:rsidP="001A22B9">
      <w:pPr>
        <w:spacing w:after="200" w:line="276" w:lineRule="auto"/>
        <w:rPr>
          <w:rFonts w:ascii="Calibri" w:hAnsi="Calibri"/>
          <w:sz w:val="22"/>
          <w:szCs w:val="22"/>
          <w:lang w:val="en-GB" w:eastAsia="en-GB"/>
        </w:rPr>
      </w:pPr>
    </w:p>
    <w:p w14:paraId="0BA30E9C" w14:textId="77777777" w:rsidR="001A22B9" w:rsidRPr="00736479" w:rsidRDefault="001A22B9" w:rsidP="00736479">
      <w:pPr>
        <w:jc w:val="both"/>
        <w:outlineLvl w:val="1"/>
        <w:rPr>
          <w:rFonts w:ascii="Arial" w:hAnsi="Arial" w:cs="Arial"/>
          <w:sz w:val="20"/>
          <w:szCs w:val="20"/>
          <w:lang w:val="en-US"/>
        </w:rPr>
      </w:pPr>
    </w:p>
    <w:p w14:paraId="2E911019" w14:textId="77777777" w:rsidR="002A7769" w:rsidRDefault="002A7769" w:rsidP="0043117A">
      <w:pPr>
        <w:jc w:val="both"/>
        <w:rPr>
          <w:rFonts w:ascii="Arial" w:hAnsi="Arial" w:cs="Arial"/>
          <w:b/>
          <w:bCs/>
          <w:sz w:val="20"/>
          <w:szCs w:val="20"/>
          <w:lang w:val="en-US"/>
        </w:rPr>
      </w:pPr>
    </w:p>
    <w:p w14:paraId="0E2360D5" w14:textId="77777777" w:rsidR="002A7769" w:rsidRDefault="002A7769" w:rsidP="0043117A">
      <w:pPr>
        <w:jc w:val="both"/>
        <w:rPr>
          <w:rFonts w:ascii="Arial" w:hAnsi="Arial" w:cs="Arial"/>
          <w:b/>
          <w:bCs/>
          <w:sz w:val="20"/>
          <w:szCs w:val="20"/>
          <w:lang w:val="en-US"/>
        </w:rPr>
      </w:pPr>
    </w:p>
    <w:p w14:paraId="7E46855F" w14:textId="77777777" w:rsidR="002A7769" w:rsidRDefault="002A7769" w:rsidP="0043117A">
      <w:pPr>
        <w:jc w:val="both"/>
        <w:rPr>
          <w:rFonts w:ascii="Arial" w:hAnsi="Arial" w:cs="Arial"/>
          <w:b/>
          <w:bCs/>
          <w:sz w:val="20"/>
          <w:szCs w:val="20"/>
          <w:lang w:val="en-US"/>
        </w:rPr>
      </w:pPr>
    </w:p>
    <w:p w14:paraId="72777DFA" w14:textId="77777777" w:rsidR="002A7769" w:rsidRDefault="002A7769" w:rsidP="0043117A">
      <w:pPr>
        <w:jc w:val="both"/>
        <w:rPr>
          <w:rFonts w:ascii="Arial" w:hAnsi="Arial" w:cs="Arial"/>
          <w:b/>
          <w:bCs/>
          <w:sz w:val="20"/>
          <w:szCs w:val="20"/>
          <w:lang w:val="en-US"/>
        </w:rPr>
      </w:pPr>
    </w:p>
    <w:p w14:paraId="6D28D262" w14:textId="77777777" w:rsidR="002A7769" w:rsidRDefault="002A7769" w:rsidP="0043117A">
      <w:pPr>
        <w:jc w:val="both"/>
        <w:rPr>
          <w:rFonts w:ascii="Arial" w:hAnsi="Arial" w:cs="Arial"/>
          <w:b/>
          <w:bCs/>
          <w:sz w:val="20"/>
          <w:szCs w:val="20"/>
          <w:lang w:val="en-US"/>
        </w:rPr>
      </w:pPr>
    </w:p>
    <w:p w14:paraId="521BEF77" w14:textId="77777777" w:rsidR="002A7769" w:rsidRDefault="002A7769" w:rsidP="0043117A">
      <w:pPr>
        <w:jc w:val="both"/>
        <w:rPr>
          <w:rFonts w:ascii="Arial" w:hAnsi="Arial" w:cs="Arial"/>
          <w:b/>
          <w:bCs/>
          <w:sz w:val="20"/>
          <w:szCs w:val="20"/>
          <w:lang w:val="en-US"/>
        </w:rPr>
      </w:pPr>
    </w:p>
    <w:p w14:paraId="14BE776F" w14:textId="77777777" w:rsidR="0043117A" w:rsidRPr="00D41C6B" w:rsidRDefault="0043117A" w:rsidP="0043117A">
      <w:pPr>
        <w:jc w:val="both"/>
        <w:rPr>
          <w:rFonts w:ascii="Arial" w:hAnsi="Arial" w:cs="Arial"/>
          <w:b/>
          <w:bCs/>
          <w:sz w:val="20"/>
          <w:szCs w:val="20"/>
          <w:lang w:val="en-US"/>
        </w:rPr>
      </w:pPr>
      <w:r w:rsidRPr="00D41C6B">
        <w:rPr>
          <w:rFonts w:ascii="Arial" w:hAnsi="Arial" w:cs="Arial"/>
          <w:b/>
          <w:bCs/>
          <w:sz w:val="20"/>
          <w:szCs w:val="20"/>
          <w:lang w:val="en-US"/>
        </w:rPr>
        <w:t>REFERENCE</w:t>
      </w:r>
    </w:p>
    <w:p w14:paraId="69F89093" w14:textId="77777777" w:rsidR="0043117A" w:rsidRPr="00D41C6B" w:rsidRDefault="0043117A" w:rsidP="0043117A">
      <w:pPr>
        <w:jc w:val="both"/>
        <w:rPr>
          <w:rFonts w:ascii="Arial" w:hAnsi="Arial" w:cs="Arial"/>
          <w:b/>
          <w:bCs/>
          <w:sz w:val="20"/>
          <w:szCs w:val="20"/>
          <w:lang w:val="en-US"/>
        </w:rPr>
      </w:pPr>
    </w:p>
    <w:p w14:paraId="7FCF3A87" w14:textId="77777777" w:rsidR="0043117A" w:rsidRPr="00D41C6B" w:rsidRDefault="0043117A" w:rsidP="0043117A">
      <w:pPr>
        <w:autoSpaceDE w:val="0"/>
        <w:autoSpaceDN w:val="0"/>
        <w:adjustRightInd w:val="0"/>
        <w:ind w:left="1134" w:hanging="1134"/>
        <w:jc w:val="both"/>
        <w:rPr>
          <w:rFonts w:ascii="Arial" w:eastAsiaTheme="minorHAnsi" w:hAnsi="Arial" w:cs="Arial"/>
          <w:sz w:val="20"/>
          <w:szCs w:val="20"/>
          <w:lang w:val="en-US"/>
          <w14:ligatures w14:val="standardContextual"/>
        </w:rPr>
      </w:pPr>
      <w:r w:rsidRPr="00D41C6B">
        <w:rPr>
          <w:rFonts w:ascii="Arial" w:eastAsiaTheme="minorHAnsi" w:hAnsi="Arial" w:cs="Arial"/>
          <w:sz w:val="20"/>
          <w:szCs w:val="20"/>
          <w:lang w:val="en-US"/>
          <w14:ligatures w14:val="standardContextual"/>
        </w:rPr>
        <w:t xml:space="preserve">Al-Hawari, M. A. (2008). Automated service quality as a predictor of customers’ commitment: A practical study within the UAE retail banking context. </w:t>
      </w:r>
      <w:r w:rsidRPr="00D41C6B">
        <w:rPr>
          <w:rFonts w:ascii="Arial" w:eastAsiaTheme="minorHAnsi" w:hAnsi="Arial" w:cs="Arial"/>
          <w:i/>
          <w:iCs/>
          <w:sz w:val="20"/>
          <w:szCs w:val="20"/>
          <w:lang w:val="en-US"/>
          <w14:ligatures w14:val="standardContextual"/>
        </w:rPr>
        <w:t>The Journal of Financial Services Marketing, 13</w:t>
      </w:r>
      <w:r w:rsidRPr="00D41C6B">
        <w:rPr>
          <w:rFonts w:ascii="Arial" w:eastAsiaTheme="minorHAnsi" w:hAnsi="Arial" w:cs="Arial"/>
          <w:sz w:val="20"/>
          <w:szCs w:val="20"/>
          <w:lang w:val="en-US"/>
          <w14:ligatures w14:val="standardContextual"/>
        </w:rPr>
        <w:t>(2), 177–190. https://doi.org/10.1057/palgrave.fsm.4760075</w:t>
      </w:r>
    </w:p>
    <w:p w14:paraId="4C055929" w14:textId="77777777" w:rsidR="0043117A" w:rsidRPr="00D41C6B" w:rsidRDefault="0043117A" w:rsidP="0043117A">
      <w:pPr>
        <w:autoSpaceDE w:val="0"/>
        <w:autoSpaceDN w:val="0"/>
        <w:adjustRightInd w:val="0"/>
        <w:ind w:left="1134" w:hanging="1134"/>
        <w:jc w:val="both"/>
        <w:rPr>
          <w:rFonts w:ascii="Arial" w:eastAsiaTheme="minorHAnsi" w:hAnsi="Arial" w:cs="Arial"/>
          <w:sz w:val="20"/>
          <w:szCs w:val="20"/>
          <w:lang w:val="en-US"/>
          <w14:ligatures w14:val="standardContextual"/>
        </w:rPr>
      </w:pPr>
      <w:r w:rsidRPr="00D41C6B">
        <w:rPr>
          <w:rFonts w:ascii="Arial" w:eastAsiaTheme="minorHAnsi" w:hAnsi="Arial" w:cs="Arial"/>
          <w:sz w:val="20"/>
          <w:szCs w:val="20"/>
          <w:lang w:val="en-US"/>
          <w14:ligatures w14:val="standardContextual"/>
        </w:rPr>
        <w:t xml:space="preserve">Al-Omari, K. (2020). Assessing public service quality: The SERVQUAL approach in public sector context. </w:t>
      </w:r>
      <w:r w:rsidRPr="00D41C6B">
        <w:rPr>
          <w:rFonts w:ascii="Arial" w:eastAsiaTheme="minorHAnsi" w:hAnsi="Arial" w:cs="Arial"/>
          <w:i/>
          <w:iCs/>
          <w:sz w:val="20"/>
          <w:szCs w:val="20"/>
          <w:lang w:val="en-US"/>
          <w14:ligatures w14:val="standardContextual"/>
        </w:rPr>
        <w:t>International Journal of Public Sector Performance Management, 6</w:t>
      </w:r>
      <w:r w:rsidRPr="00D41C6B">
        <w:rPr>
          <w:rFonts w:ascii="Arial" w:eastAsiaTheme="minorHAnsi" w:hAnsi="Arial" w:cs="Arial"/>
          <w:sz w:val="20"/>
          <w:szCs w:val="20"/>
          <w:lang w:val="en-US"/>
          <w14:ligatures w14:val="standardContextual"/>
        </w:rPr>
        <w:t>(1), 1–20. https://doi.org/10.1504/IJPSPM.2020.104839</w:t>
      </w:r>
    </w:p>
    <w:p w14:paraId="043A4726" w14:textId="77777777" w:rsidR="0043117A" w:rsidRPr="00D41C6B" w:rsidRDefault="0043117A" w:rsidP="0043117A">
      <w:pPr>
        <w:autoSpaceDE w:val="0"/>
        <w:autoSpaceDN w:val="0"/>
        <w:adjustRightInd w:val="0"/>
        <w:ind w:left="1134" w:hanging="1134"/>
        <w:jc w:val="both"/>
        <w:rPr>
          <w:rFonts w:ascii="Arial" w:eastAsiaTheme="minorHAnsi" w:hAnsi="Arial" w:cs="Arial"/>
          <w:sz w:val="20"/>
          <w:szCs w:val="20"/>
          <w:lang w:val="en-US"/>
          <w14:ligatures w14:val="standardContextual"/>
        </w:rPr>
      </w:pPr>
      <w:r w:rsidRPr="00D41C6B">
        <w:rPr>
          <w:rFonts w:ascii="Arial" w:eastAsiaTheme="minorHAnsi" w:hAnsi="Arial" w:cs="Arial"/>
          <w:sz w:val="20"/>
          <w:szCs w:val="20"/>
          <w:lang w:val="en-US"/>
          <w14:ligatures w14:val="standardContextual"/>
        </w:rPr>
        <w:t xml:space="preserve">Creswell, J. W. (2013). </w:t>
      </w:r>
      <w:r w:rsidRPr="00D41C6B">
        <w:rPr>
          <w:rFonts w:ascii="Arial" w:eastAsiaTheme="minorHAnsi" w:hAnsi="Arial" w:cs="Arial"/>
          <w:i/>
          <w:iCs/>
          <w:sz w:val="20"/>
          <w:szCs w:val="20"/>
          <w:lang w:val="en-US"/>
          <w14:ligatures w14:val="standardContextual"/>
        </w:rPr>
        <w:t>Qualitative inquiry and research design: Choosing among five approaches</w:t>
      </w:r>
      <w:r w:rsidRPr="00D41C6B">
        <w:rPr>
          <w:rFonts w:ascii="Arial" w:eastAsiaTheme="minorHAnsi" w:hAnsi="Arial" w:cs="Arial"/>
          <w:sz w:val="20"/>
          <w:szCs w:val="20"/>
          <w:lang w:val="en-US"/>
          <w14:ligatures w14:val="standardContextual"/>
        </w:rPr>
        <w:t xml:space="preserve"> (3rd ed.). SAGE Publications.</w:t>
      </w:r>
    </w:p>
    <w:p w14:paraId="4AC83AB2" w14:textId="77777777" w:rsidR="0043117A" w:rsidRPr="00D41C6B" w:rsidRDefault="0043117A" w:rsidP="0043117A">
      <w:pPr>
        <w:autoSpaceDE w:val="0"/>
        <w:autoSpaceDN w:val="0"/>
        <w:adjustRightInd w:val="0"/>
        <w:ind w:left="1134" w:hanging="1134"/>
        <w:jc w:val="both"/>
        <w:rPr>
          <w:rFonts w:ascii="Arial" w:eastAsiaTheme="minorHAnsi" w:hAnsi="Arial" w:cs="Arial"/>
          <w:sz w:val="20"/>
          <w:szCs w:val="20"/>
          <w:lang w:val="en-US"/>
          <w14:ligatures w14:val="standardContextual"/>
        </w:rPr>
      </w:pPr>
      <w:r w:rsidRPr="00D41C6B">
        <w:rPr>
          <w:rFonts w:ascii="Arial" w:eastAsiaTheme="minorHAnsi" w:hAnsi="Arial" w:cs="Arial"/>
          <w:sz w:val="20"/>
          <w:szCs w:val="20"/>
          <w:lang w:val="en-US"/>
          <w14:ligatures w14:val="standardContextual"/>
        </w:rPr>
        <w:t xml:space="preserve">Creswell, J. W., &amp; Poth, C. N. (2018). </w:t>
      </w:r>
      <w:r w:rsidRPr="00D41C6B">
        <w:rPr>
          <w:rFonts w:ascii="Arial" w:eastAsiaTheme="minorHAnsi" w:hAnsi="Arial" w:cs="Arial"/>
          <w:i/>
          <w:iCs/>
          <w:sz w:val="20"/>
          <w:szCs w:val="20"/>
          <w:lang w:val="en-US"/>
          <w14:ligatures w14:val="standardContextual"/>
        </w:rPr>
        <w:t>Qualitative inquiry and research design: Choosing among five approaches</w:t>
      </w:r>
      <w:r w:rsidRPr="00D41C6B">
        <w:rPr>
          <w:rFonts w:ascii="Arial" w:eastAsiaTheme="minorHAnsi" w:hAnsi="Arial" w:cs="Arial"/>
          <w:sz w:val="20"/>
          <w:szCs w:val="20"/>
          <w:lang w:val="en-US"/>
          <w14:ligatures w14:val="standardContextual"/>
        </w:rPr>
        <w:t xml:space="preserve"> (4th ed.). SAGE Publications.</w:t>
      </w:r>
    </w:p>
    <w:p w14:paraId="7E8099D9" w14:textId="77777777" w:rsidR="0043117A" w:rsidRPr="00D41C6B" w:rsidRDefault="0043117A" w:rsidP="0043117A">
      <w:pPr>
        <w:autoSpaceDE w:val="0"/>
        <w:autoSpaceDN w:val="0"/>
        <w:adjustRightInd w:val="0"/>
        <w:ind w:left="1134" w:hanging="1134"/>
        <w:jc w:val="both"/>
        <w:rPr>
          <w:rFonts w:ascii="Arial" w:eastAsiaTheme="minorHAnsi" w:hAnsi="Arial" w:cs="Arial"/>
          <w:sz w:val="20"/>
          <w:szCs w:val="20"/>
          <w:lang w:val="en-US"/>
          <w14:ligatures w14:val="standardContextual"/>
        </w:rPr>
      </w:pPr>
      <w:r w:rsidRPr="00D41C6B">
        <w:rPr>
          <w:rFonts w:ascii="Arial" w:eastAsiaTheme="minorHAnsi" w:hAnsi="Arial" w:cs="Arial"/>
          <w:sz w:val="20"/>
          <w:szCs w:val="20"/>
          <w:lang w:val="en-US"/>
          <w14:ligatures w14:val="standardContextual"/>
        </w:rPr>
        <w:t xml:space="preserve">Denzin, N. K. (2012). </w:t>
      </w:r>
      <w:r w:rsidRPr="00D41C6B">
        <w:rPr>
          <w:rFonts w:ascii="Arial" w:eastAsiaTheme="minorHAnsi" w:hAnsi="Arial" w:cs="Arial"/>
          <w:i/>
          <w:iCs/>
          <w:sz w:val="20"/>
          <w:szCs w:val="20"/>
          <w:lang w:val="en-US"/>
          <w14:ligatures w14:val="standardContextual"/>
        </w:rPr>
        <w:t>The research act: A theoretical introduction to sociological methods</w:t>
      </w:r>
      <w:r w:rsidRPr="00D41C6B">
        <w:rPr>
          <w:rFonts w:ascii="Arial" w:eastAsiaTheme="minorHAnsi" w:hAnsi="Arial" w:cs="Arial"/>
          <w:sz w:val="20"/>
          <w:szCs w:val="20"/>
          <w:lang w:val="en-US"/>
          <w14:ligatures w14:val="standardContextual"/>
        </w:rPr>
        <w:t>. Transaction Publishers.</w:t>
      </w:r>
    </w:p>
    <w:p w14:paraId="269B1C36" w14:textId="77777777" w:rsidR="0043117A" w:rsidRPr="00D41C6B" w:rsidRDefault="0043117A" w:rsidP="0043117A">
      <w:pPr>
        <w:autoSpaceDE w:val="0"/>
        <w:autoSpaceDN w:val="0"/>
        <w:adjustRightInd w:val="0"/>
        <w:ind w:left="1134" w:hanging="1134"/>
        <w:jc w:val="both"/>
        <w:rPr>
          <w:rFonts w:ascii="Arial" w:eastAsiaTheme="minorHAnsi" w:hAnsi="Arial" w:cs="Arial"/>
          <w:sz w:val="20"/>
          <w:szCs w:val="20"/>
          <w:lang w:val="en-US"/>
          <w14:ligatures w14:val="standardContextual"/>
        </w:rPr>
      </w:pPr>
      <w:proofErr w:type="spellStart"/>
      <w:r w:rsidRPr="00D41C6B">
        <w:rPr>
          <w:rFonts w:ascii="Arial" w:eastAsiaTheme="minorHAnsi" w:hAnsi="Arial" w:cs="Arial"/>
          <w:sz w:val="20"/>
          <w:szCs w:val="20"/>
          <w:lang w:val="en-US"/>
          <w14:ligatures w14:val="standardContextual"/>
        </w:rPr>
        <w:t>Ferawati</w:t>
      </w:r>
      <w:proofErr w:type="spellEnd"/>
      <w:r w:rsidRPr="00D41C6B">
        <w:rPr>
          <w:rFonts w:ascii="Arial" w:eastAsiaTheme="minorHAnsi" w:hAnsi="Arial" w:cs="Arial"/>
          <w:sz w:val="20"/>
          <w:szCs w:val="20"/>
          <w:lang w:val="en-US"/>
          <w14:ligatures w14:val="standardContextual"/>
        </w:rPr>
        <w:t xml:space="preserve">, L., Fauzi, A., &amp; </w:t>
      </w:r>
      <w:proofErr w:type="spellStart"/>
      <w:r w:rsidRPr="00D41C6B">
        <w:rPr>
          <w:rFonts w:ascii="Arial" w:eastAsiaTheme="minorHAnsi" w:hAnsi="Arial" w:cs="Arial"/>
          <w:sz w:val="20"/>
          <w:szCs w:val="20"/>
          <w:lang w:val="en-US"/>
          <w14:ligatures w14:val="standardContextual"/>
        </w:rPr>
        <w:t>Riyadi</w:t>
      </w:r>
      <w:proofErr w:type="spellEnd"/>
      <w:r w:rsidRPr="00D41C6B">
        <w:rPr>
          <w:rFonts w:ascii="Arial" w:eastAsiaTheme="minorHAnsi" w:hAnsi="Arial" w:cs="Arial"/>
          <w:sz w:val="20"/>
          <w:szCs w:val="20"/>
          <w:lang w:val="en-US"/>
          <w14:ligatures w14:val="standardContextual"/>
        </w:rPr>
        <w:t xml:space="preserve">, S. (2023). The effect of service quality on customer loyalty: A study on digital banking users. </w:t>
      </w:r>
      <w:proofErr w:type="spellStart"/>
      <w:r w:rsidRPr="00D41C6B">
        <w:rPr>
          <w:rFonts w:ascii="Arial" w:eastAsiaTheme="minorHAnsi" w:hAnsi="Arial" w:cs="Arial"/>
          <w:i/>
          <w:iCs/>
          <w:sz w:val="20"/>
          <w:szCs w:val="20"/>
          <w:lang w:val="en-US"/>
          <w14:ligatures w14:val="standardContextual"/>
        </w:rPr>
        <w:t>Jurnal</w:t>
      </w:r>
      <w:proofErr w:type="spellEnd"/>
      <w:r w:rsidRPr="00D41C6B">
        <w:rPr>
          <w:rFonts w:ascii="Arial" w:eastAsiaTheme="minorHAnsi" w:hAnsi="Arial" w:cs="Arial"/>
          <w:i/>
          <w:iCs/>
          <w:sz w:val="20"/>
          <w:szCs w:val="20"/>
          <w:lang w:val="en-US"/>
          <w14:ligatures w14:val="standardContextual"/>
        </w:rPr>
        <w:t xml:space="preserve"> Ekonomi dan </w:t>
      </w:r>
      <w:proofErr w:type="spellStart"/>
      <w:r w:rsidRPr="00D41C6B">
        <w:rPr>
          <w:rFonts w:ascii="Arial" w:eastAsiaTheme="minorHAnsi" w:hAnsi="Arial" w:cs="Arial"/>
          <w:i/>
          <w:iCs/>
          <w:sz w:val="20"/>
          <w:szCs w:val="20"/>
          <w:lang w:val="en-US"/>
          <w14:ligatures w14:val="standardContextual"/>
        </w:rPr>
        <w:t>Bisnis</w:t>
      </w:r>
      <w:proofErr w:type="spellEnd"/>
      <w:r w:rsidRPr="00D41C6B">
        <w:rPr>
          <w:rFonts w:ascii="Arial" w:eastAsiaTheme="minorHAnsi" w:hAnsi="Arial" w:cs="Arial"/>
          <w:i/>
          <w:iCs/>
          <w:sz w:val="20"/>
          <w:szCs w:val="20"/>
          <w:lang w:val="en-US"/>
          <w14:ligatures w14:val="standardContextual"/>
        </w:rPr>
        <w:t xml:space="preserve"> Digital, 5</w:t>
      </w:r>
      <w:r w:rsidRPr="00D41C6B">
        <w:rPr>
          <w:rFonts w:ascii="Arial" w:eastAsiaTheme="minorHAnsi" w:hAnsi="Arial" w:cs="Arial"/>
          <w:sz w:val="20"/>
          <w:szCs w:val="20"/>
          <w:lang w:val="en-US"/>
          <w14:ligatures w14:val="standardContextual"/>
        </w:rPr>
        <w:t>(1), 15–25.</w:t>
      </w:r>
    </w:p>
    <w:p w14:paraId="2795F931" w14:textId="77777777" w:rsidR="0043117A" w:rsidRPr="00D41C6B" w:rsidRDefault="0043117A" w:rsidP="0043117A">
      <w:pPr>
        <w:autoSpaceDE w:val="0"/>
        <w:autoSpaceDN w:val="0"/>
        <w:adjustRightInd w:val="0"/>
        <w:ind w:left="1134" w:hanging="1134"/>
        <w:jc w:val="both"/>
        <w:rPr>
          <w:rFonts w:ascii="Arial" w:eastAsiaTheme="minorHAnsi" w:hAnsi="Arial" w:cs="Arial"/>
          <w:sz w:val="20"/>
          <w:szCs w:val="20"/>
          <w:lang w:val="en-US"/>
          <w14:ligatures w14:val="standardContextual"/>
        </w:rPr>
      </w:pPr>
      <w:r w:rsidRPr="00D41C6B">
        <w:rPr>
          <w:rFonts w:ascii="Arial" w:eastAsiaTheme="minorHAnsi" w:hAnsi="Arial" w:cs="Arial"/>
          <w:sz w:val="20"/>
          <w:szCs w:val="20"/>
          <w:lang w:val="en-US"/>
          <w14:ligatures w14:val="standardContextual"/>
        </w:rPr>
        <w:t xml:space="preserve">Hanum, F., Widodo, B., &amp; </w:t>
      </w:r>
      <w:proofErr w:type="spellStart"/>
      <w:r w:rsidRPr="00D41C6B">
        <w:rPr>
          <w:rFonts w:ascii="Arial" w:eastAsiaTheme="minorHAnsi" w:hAnsi="Arial" w:cs="Arial"/>
          <w:sz w:val="20"/>
          <w:szCs w:val="20"/>
          <w:lang w:val="en-US"/>
          <w14:ligatures w14:val="standardContextual"/>
        </w:rPr>
        <w:t>Septiadi</w:t>
      </w:r>
      <w:proofErr w:type="spellEnd"/>
      <w:r w:rsidRPr="00D41C6B">
        <w:rPr>
          <w:rFonts w:ascii="Arial" w:eastAsiaTheme="minorHAnsi" w:hAnsi="Arial" w:cs="Arial"/>
          <w:sz w:val="20"/>
          <w:szCs w:val="20"/>
          <w:lang w:val="en-US"/>
          <w14:ligatures w14:val="standardContextual"/>
        </w:rPr>
        <w:t xml:space="preserve">, D. (2023). </w:t>
      </w:r>
      <w:proofErr w:type="spellStart"/>
      <w:r w:rsidRPr="00D41C6B">
        <w:rPr>
          <w:rFonts w:ascii="Arial" w:eastAsiaTheme="minorHAnsi" w:hAnsi="Arial" w:cs="Arial"/>
          <w:sz w:val="20"/>
          <w:szCs w:val="20"/>
          <w:lang w:val="en-US"/>
          <w14:ligatures w14:val="standardContextual"/>
        </w:rPr>
        <w:t>Pengaruh</w:t>
      </w:r>
      <w:proofErr w:type="spellEnd"/>
      <w:r w:rsidRPr="00D41C6B">
        <w:rPr>
          <w:rFonts w:ascii="Arial" w:eastAsiaTheme="minorHAnsi" w:hAnsi="Arial" w:cs="Arial"/>
          <w:sz w:val="20"/>
          <w:szCs w:val="20"/>
          <w:lang w:val="en-US"/>
          <w14:ligatures w14:val="standardContextual"/>
        </w:rPr>
        <w:t xml:space="preserve"> </w:t>
      </w:r>
      <w:proofErr w:type="spellStart"/>
      <w:r w:rsidRPr="00D41C6B">
        <w:rPr>
          <w:rFonts w:ascii="Arial" w:eastAsiaTheme="minorHAnsi" w:hAnsi="Arial" w:cs="Arial"/>
          <w:sz w:val="20"/>
          <w:szCs w:val="20"/>
          <w:lang w:val="en-US"/>
          <w14:ligatures w14:val="standardContextual"/>
        </w:rPr>
        <w:t>kualitas</w:t>
      </w:r>
      <w:proofErr w:type="spellEnd"/>
      <w:r w:rsidRPr="00D41C6B">
        <w:rPr>
          <w:rFonts w:ascii="Arial" w:eastAsiaTheme="minorHAnsi" w:hAnsi="Arial" w:cs="Arial"/>
          <w:sz w:val="20"/>
          <w:szCs w:val="20"/>
          <w:lang w:val="en-US"/>
          <w14:ligatures w14:val="standardContextual"/>
        </w:rPr>
        <w:t xml:space="preserve"> </w:t>
      </w:r>
      <w:proofErr w:type="spellStart"/>
      <w:r w:rsidRPr="00D41C6B">
        <w:rPr>
          <w:rFonts w:ascii="Arial" w:eastAsiaTheme="minorHAnsi" w:hAnsi="Arial" w:cs="Arial"/>
          <w:sz w:val="20"/>
          <w:szCs w:val="20"/>
          <w:lang w:val="en-US"/>
          <w14:ligatures w14:val="standardContextual"/>
        </w:rPr>
        <w:t>pelayanan</w:t>
      </w:r>
      <w:proofErr w:type="spellEnd"/>
      <w:r w:rsidRPr="00D41C6B">
        <w:rPr>
          <w:rFonts w:ascii="Arial" w:eastAsiaTheme="minorHAnsi" w:hAnsi="Arial" w:cs="Arial"/>
          <w:sz w:val="20"/>
          <w:szCs w:val="20"/>
          <w:lang w:val="en-US"/>
          <w14:ligatures w14:val="standardContextual"/>
        </w:rPr>
        <w:t xml:space="preserve"> </w:t>
      </w:r>
      <w:proofErr w:type="spellStart"/>
      <w:r w:rsidRPr="00D41C6B">
        <w:rPr>
          <w:rFonts w:ascii="Arial" w:eastAsiaTheme="minorHAnsi" w:hAnsi="Arial" w:cs="Arial"/>
          <w:sz w:val="20"/>
          <w:szCs w:val="20"/>
          <w:lang w:val="en-US"/>
          <w14:ligatures w14:val="standardContextual"/>
        </w:rPr>
        <w:t>terhadap</w:t>
      </w:r>
      <w:proofErr w:type="spellEnd"/>
      <w:r w:rsidRPr="00D41C6B">
        <w:rPr>
          <w:rFonts w:ascii="Arial" w:eastAsiaTheme="minorHAnsi" w:hAnsi="Arial" w:cs="Arial"/>
          <w:sz w:val="20"/>
          <w:szCs w:val="20"/>
          <w:lang w:val="en-US"/>
          <w14:ligatures w14:val="standardContextual"/>
        </w:rPr>
        <w:t xml:space="preserve"> </w:t>
      </w:r>
      <w:proofErr w:type="spellStart"/>
      <w:r w:rsidRPr="00D41C6B">
        <w:rPr>
          <w:rFonts w:ascii="Arial" w:eastAsiaTheme="minorHAnsi" w:hAnsi="Arial" w:cs="Arial"/>
          <w:sz w:val="20"/>
          <w:szCs w:val="20"/>
          <w:lang w:val="en-US"/>
          <w14:ligatures w14:val="standardContextual"/>
        </w:rPr>
        <w:t>loyalitas</w:t>
      </w:r>
      <w:proofErr w:type="spellEnd"/>
      <w:r w:rsidRPr="00D41C6B">
        <w:rPr>
          <w:rFonts w:ascii="Arial" w:eastAsiaTheme="minorHAnsi" w:hAnsi="Arial" w:cs="Arial"/>
          <w:sz w:val="20"/>
          <w:szCs w:val="20"/>
          <w:lang w:val="en-US"/>
          <w14:ligatures w14:val="standardContextual"/>
        </w:rPr>
        <w:t xml:space="preserve"> </w:t>
      </w:r>
      <w:proofErr w:type="spellStart"/>
      <w:r w:rsidRPr="00D41C6B">
        <w:rPr>
          <w:rFonts w:ascii="Arial" w:eastAsiaTheme="minorHAnsi" w:hAnsi="Arial" w:cs="Arial"/>
          <w:sz w:val="20"/>
          <w:szCs w:val="20"/>
          <w:lang w:val="en-US"/>
          <w14:ligatures w14:val="standardContextual"/>
        </w:rPr>
        <w:t>nasabah</w:t>
      </w:r>
      <w:proofErr w:type="spellEnd"/>
      <w:r w:rsidRPr="00D41C6B">
        <w:rPr>
          <w:rFonts w:ascii="Arial" w:eastAsiaTheme="minorHAnsi" w:hAnsi="Arial" w:cs="Arial"/>
          <w:sz w:val="20"/>
          <w:szCs w:val="20"/>
          <w:lang w:val="en-US"/>
          <w14:ligatures w14:val="standardContextual"/>
        </w:rPr>
        <w:t xml:space="preserve"> bank syariah: </w:t>
      </w:r>
      <w:proofErr w:type="spellStart"/>
      <w:r w:rsidRPr="00D41C6B">
        <w:rPr>
          <w:rFonts w:ascii="Arial" w:eastAsiaTheme="minorHAnsi" w:hAnsi="Arial" w:cs="Arial"/>
          <w:sz w:val="20"/>
          <w:szCs w:val="20"/>
          <w:lang w:val="en-US"/>
          <w14:ligatures w14:val="standardContextual"/>
        </w:rPr>
        <w:t>Perspektif</w:t>
      </w:r>
      <w:proofErr w:type="spellEnd"/>
      <w:r w:rsidRPr="00D41C6B">
        <w:rPr>
          <w:rFonts w:ascii="Arial" w:eastAsiaTheme="minorHAnsi" w:hAnsi="Arial" w:cs="Arial"/>
          <w:sz w:val="20"/>
          <w:szCs w:val="20"/>
          <w:lang w:val="en-US"/>
          <w14:ligatures w14:val="standardContextual"/>
        </w:rPr>
        <w:t xml:space="preserve"> </w:t>
      </w:r>
      <w:proofErr w:type="spellStart"/>
      <w:r w:rsidRPr="00D41C6B">
        <w:rPr>
          <w:rFonts w:ascii="Arial" w:eastAsiaTheme="minorHAnsi" w:hAnsi="Arial" w:cs="Arial"/>
          <w:sz w:val="20"/>
          <w:szCs w:val="20"/>
          <w:lang w:val="en-US"/>
          <w14:ligatures w14:val="standardContextual"/>
        </w:rPr>
        <w:t>digitalisasi</w:t>
      </w:r>
      <w:proofErr w:type="spellEnd"/>
      <w:r w:rsidRPr="00D41C6B">
        <w:rPr>
          <w:rFonts w:ascii="Arial" w:eastAsiaTheme="minorHAnsi" w:hAnsi="Arial" w:cs="Arial"/>
          <w:sz w:val="20"/>
          <w:szCs w:val="20"/>
          <w:lang w:val="en-US"/>
          <w14:ligatures w14:val="standardContextual"/>
        </w:rPr>
        <w:t xml:space="preserve"> </w:t>
      </w:r>
      <w:proofErr w:type="spellStart"/>
      <w:r w:rsidRPr="00D41C6B">
        <w:rPr>
          <w:rFonts w:ascii="Arial" w:eastAsiaTheme="minorHAnsi" w:hAnsi="Arial" w:cs="Arial"/>
          <w:sz w:val="20"/>
          <w:szCs w:val="20"/>
          <w:lang w:val="en-US"/>
          <w14:ligatures w14:val="standardContextual"/>
        </w:rPr>
        <w:t>layanan</w:t>
      </w:r>
      <w:proofErr w:type="spellEnd"/>
      <w:r w:rsidRPr="00D41C6B">
        <w:rPr>
          <w:rFonts w:ascii="Arial" w:eastAsiaTheme="minorHAnsi" w:hAnsi="Arial" w:cs="Arial"/>
          <w:sz w:val="20"/>
          <w:szCs w:val="20"/>
          <w:lang w:val="en-US"/>
          <w14:ligatures w14:val="standardContextual"/>
        </w:rPr>
        <w:t xml:space="preserve">. </w:t>
      </w:r>
      <w:proofErr w:type="spellStart"/>
      <w:r w:rsidRPr="00D41C6B">
        <w:rPr>
          <w:rFonts w:ascii="Arial" w:eastAsiaTheme="minorHAnsi" w:hAnsi="Arial" w:cs="Arial"/>
          <w:i/>
          <w:iCs/>
          <w:sz w:val="20"/>
          <w:szCs w:val="20"/>
          <w:lang w:val="en-US"/>
          <w14:ligatures w14:val="standardContextual"/>
        </w:rPr>
        <w:t>Jurnal</w:t>
      </w:r>
      <w:proofErr w:type="spellEnd"/>
      <w:r w:rsidRPr="00D41C6B">
        <w:rPr>
          <w:rFonts w:ascii="Arial" w:eastAsiaTheme="minorHAnsi" w:hAnsi="Arial" w:cs="Arial"/>
          <w:i/>
          <w:iCs/>
          <w:sz w:val="20"/>
          <w:szCs w:val="20"/>
          <w:lang w:val="en-US"/>
          <w14:ligatures w14:val="standardContextual"/>
        </w:rPr>
        <w:t xml:space="preserve"> Riset Ekonomi dan </w:t>
      </w:r>
      <w:proofErr w:type="spellStart"/>
      <w:r w:rsidRPr="00D41C6B">
        <w:rPr>
          <w:rFonts w:ascii="Arial" w:eastAsiaTheme="minorHAnsi" w:hAnsi="Arial" w:cs="Arial"/>
          <w:i/>
          <w:iCs/>
          <w:sz w:val="20"/>
          <w:szCs w:val="20"/>
          <w:lang w:val="en-US"/>
          <w14:ligatures w14:val="standardContextual"/>
        </w:rPr>
        <w:t>Bisnis</w:t>
      </w:r>
      <w:proofErr w:type="spellEnd"/>
      <w:r w:rsidRPr="00D41C6B">
        <w:rPr>
          <w:rFonts w:ascii="Arial" w:eastAsiaTheme="minorHAnsi" w:hAnsi="Arial" w:cs="Arial"/>
          <w:i/>
          <w:iCs/>
          <w:sz w:val="20"/>
          <w:szCs w:val="20"/>
          <w:lang w:val="en-US"/>
          <w14:ligatures w14:val="standardContextual"/>
        </w:rPr>
        <w:t>, 11</w:t>
      </w:r>
      <w:r w:rsidRPr="00D41C6B">
        <w:rPr>
          <w:rFonts w:ascii="Arial" w:eastAsiaTheme="minorHAnsi" w:hAnsi="Arial" w:cs="Arial"/>
          <w:sz w:val="20"/>
          <w:szCs w:val="20"/>
          <w:lang w:val="en-US"/>
          <w14:ligatures w14:val="standardContextual"/>
        </w:rPr>
        <w:t>(2), 135–145.</w:t>
      </w:r>
    </w:p>
    <w:p w14:paraId="3F85A1C5" w14:textId="77777777" w:rsidR="0043117A" w:rsidRPr="00D41C6B" w:rsidRDefault="0043117A" w:rsidP="0043117A">
      <w:pPr>
        <w:autoSpaceDE w:val="0"/>
        <w:autoSpaceDN w:val="0"/>
        <w:adjustRightInd w:val="0"/>
        <w:ind w:left="1134" w:hanging="1134"/>
        <w:jc w:val="both"/>
        <w:rPr>
          <w:rFonts w:ascii="Arial" w:eastAsiaTheme="minorHAnsi" w:hAnsi="Arial" w:cs="Arial"/>
          <w:sz w:val="20"/>
          <w:szCs w:val="20"/>
          <w:lang w:val="en-US"/>
          <w14:ligatures w14:val="standardContextual"/>
        </w:rPr>
      </w:pPr>
      <w:r w:rsidRPr="00D41C6B">
        <w:rPr>
          <w:rFonts w:ascii="Arial" w:eastAsiaTheme="minorHAnsi" w:hAnsi="Arial" w:cs="Arial"/>
          <w:sz w:val="20"/>
          <w:szCs w:val="20"/>
          <w:lang w:val="en-US"/>
          <w14:ligatures w14:val="standardContextual"/>
        </w:rPr>
        <w:t xml:space="preserve">Hoque, M. E., Rahman, M. M., &amp; Karim, M. R. (2023). Rethinking service quality in digital public sector: Integration of SERVQUAL and technology acceptance perspectives. </w:t>
      </w:r>
      <w:r w:rsidRPr="00D41C6B">
        <w:rPr>
          <w:rFonts w:ascii="Arial" w:eastAsiaTheme="minorHAnsi" w:hAnsi="Arial" w:cs="Arial"/>
          <w:i/>
          <w:iCs/>
          <w:sz w:val="20"/>
          <w:szCs w:val="20"/>
          <w:lang w:val="en-US"/>
          <w14:ligatures w14:val="standardContextual"/>
        </w:rPr>
        <w:t>Government Information Quarterly, 40</w:t>
      </w:r>
      <w:r w:rsidRPr="00D41C6B">
        <w:rPr>
          <w:rFonts w:ascii="Arial" w:eastAsiaTheme="minorHAnsi" w:hAnsi="Arial" w:cs="Arial"/>
          <w:sz w:val="20"/>
          <w:szCs w:val="20"/>
          <w:lang w:val="en-US"/>
          <w14:ligatures w14:val="standardContextual"/>
        </w:rPr>
        <w:t>(1), 101765. https://doi.org/10.1016/j.giq.2022.101765</w:t>
      </w:r>
    </w:p>
    <w:p w14:paraId="049BDBA9" w14:textId="77777777" w:rsidR="0043117A" w:rsidRPr="00D41C6B" w:rsidRDefault="0043117A" w:rsidP="0043117A">
      <w:pPr>
        <w:autoSpaceDE w:val="0"/>
        <w:autoSpaceDN w:val="0"/>
        <w:adjustRightInd w:val="0"/>
        <w:ind w:left="1134" w:hanging="1134"/>
        <w:jc w:val="both"/>
        <w:rPr>
          <w:rFonts w:ascii="Arial" w:eastAsiaTheme="minorHAnsi" w:hAnsi="Arial" w:cs="Arial"/>
          <w:sz w:val="20"/>
          <w:szCs w:val="20"/>
          <w:lang w:val="en-US"/>
          <w14:ligatures w14:val="standardContextual"/>
        </w:rPr>
      </w:pPr>
      <w:r w:rsidRPr="00D41C6B">
        <w:rPr>
          <w:rFonts w:ascii="Arial" w:eastAsiaTheme="minorHAnsi" w:hAnsi="Arial" w:cs="Arial"/>
          <w:sz w:val="20"/>
          <w:szCs w:val="20"/>
          <w:lang w:val="en-US"/>
          <w14:ligatures w14:val="standardContextual"/>
        </w:rPr>
        <w:t xml:space="preserve">Hussain, R. I., Al Nasser, A., &amp; Hussain, Y. K. (2015). Service quality and customer satisfaction of a UAE-based airline: An empirical investigation. </w:t>
      </w:r>
      <w:r w:rsidRPr="00D41C6B">
        <w:rPr>
          <w:rFonts w:ascii="Arial" w:eastAsiaTheme="minorHAnsi" w:hAnsi="Arial" w:cs="Arial"/>
          <w:i/>
          <w:iCs/>
          <w:sz w:val="20"/>
          <w:szCs w:val="20"/>
          <w:lang w:val="en-US"/>
          <w14:ligatures w14:val="standardContextual"/>
        </w:rPr>
        <w:t>Journal of Air Transport Management, 42</w:t>
      </w:r>
      <w:r w:rsidRPr="00D41C6B">
        <w:rPr>
          <w:rFonts w:ascii="Arial" w:eastAsiaTheme="minorHAnsi" w:hAnsi="Arial" w:cs="Arial"/>
          <w:sz w:val="20"/>
          <w:szCs w:val="20"/>
          <w:lang w:val="en-US"/>
          <w14:ligatures w14:val="standardContextual"/>
        </w:rPr>
        <w:t>, 167–175. https://doi.org/10.1016/j.jairtraman.2014.10.001</w:t>
      </w:r>
    </w:p>
    <w:p w14:paraId="6A4694BE" w14:textId="77777777" w:rsidR="0043117A" w:rsidRPr="00D41C6B" w:rsidRDefault="0043117A" w:rsidP="0043117A">
      <w:pPr>
        <w:autoSpaceDE w:val="0"/>
        <w:autoSpaceDN w:val="0"/>
        <w:adjustRightInd w:val="0"/>
        <w:ind w:left="1134" w:hanging="1134"/>
        <w:jc w:val="both"/>
        <w:rPr>
          <w:rFonts w:ascii="Arial" w:eastAsiaTheme="minorHAnsi" w:hAnsi="Arial" w:cs="Arial"/>
          <w:sz w:val="20"/>
          <w:szCs w:val="20"/>
          <w:lang w:val="en-US"/>
          <w14:ligatures w14:val="standardContextual"/>
        </w:rPr>
      </w:pPr>
      <w:proofErr w:type="spellStart"/>
      <w:r w:rsidRPr="00D41C6B">
        <w:rPr>
          <w:rFonts w:ascii="Arial" w:eastAsiaTheme="minorHAnsi" w:hAnsi="Arial" w:cs="Arial"/>
          <w:sz w:val="20"/>
          <w:szCs w:val="20"/>
          <w:lang w:val="en-US"/>
          <w14:ligatures w14:val="standardContextual"/>
        </w:rPr>
        <w:t>Irsyad</w:t>
      </w:r>
      <w:proofErr w:type="spellEnd"/>
      <w:r w:rsidRPr="00D41C6B">
        <w:rPr>
          <w:rFonts w:ascii="Arial" w:eastAsiaTheme="minorHAnsi" w:hAnsi="Arial" w:cs="Arial"/>
          <w:sz w:val="20"/>
          <w:szCs w:val="20"/>
          <w:lang w:val="en-US"/>
          <w14:ligatures w14:val="standardContextual"/>
        </w:rPr>
        <w:t xml:space="preserve">, A. F., Darwis, M., &amp; Ramli, R. (2024). Peran digital banking </w:t>
      </w:r>
      <w:proofErr w:type="spellStart"/>
      <w:r w:rsidRPr="00D41C6B">
        <w:rPr>
          <w:rFonts w:ascii="Arial" w:eastAsiaTheme="minorHAnsi" w:hAnsi="Arial" w:cs="Arial"/>
          <w:sz w:val="20"/>
          <w:szCs w:val="20"/>
          <w:lang w:val="en-US"/>
          <w14:ligatures w14:val="standardContextual"/>
        </w:rPr>
        <w:t>dalam</w:t>
      </w:r>
      <w:proofErr w:type="spellEnd"/>
      <w:r w:rsidRPr="00D41C6B">
        <w:rPr>
          <w:rFonts w:ascii="Arial" w:eastAsiaTheme="minorHAnsi" w:hAnsi="Arial" w:cs="Arial"/>
          <w:sz w:val="20"/>
          <w:szCs w:val="20"/>
          <w:lang w:val="en-US"/>
          <w14:ligatures w14:val="standardContextual"/>
        </w:rPr>
        <w:t xml:space="preserve"> </w:t>
      </w:r>
      <w:proofErr w:type="spellStart"/>
      <w:r w:rsidRPr="00D41C6B">
        <w:rPr>
          <w:rFonts w:ascii="Arial" w:eastAsiaTheme="minorHAnsi" w:hAnsi="Arial" w:cs="Arial"/>
          <w:sz w:val="20"/>
          <w:szCs w:val="20"/>
          <w:lang w:val="en-US"/>
          <w14:ligatures w14:val="standardContextual"/>
        </w:rPr>
        <w:t>meningkatkan</w:t>
      </w:r>
      <w:proofErr w:type="spellEnd"/>
      <w:r w:rsidRPr="00D41C6B">
        <w:rPr>
          <w:rFonts w:ascii="Arial" w:eastAsiaTheme="minorHAnsi" w:hAnsi="Arial" w:cs="Arial"/>
          <w:sz w:val="20"/>
          <w:szCs w:val="20"/>
          <w:lang w:val="en-US"/>
          <w14:ligatures w14:val="standardContextual"/>
        </w:rPr>
        <w:t xml:space="preserve"> </w:t>
      </w:r>
      <w:proofErr w:type="spellStart"/>
      <w:r w:rsidRPr="00D41C6B">
        <w:rPr>
          <w:rFonts w:ascii="Arial" w:eastAsiaTheme="minorHAnsi" w:hAnsi="Arial" w:cs="Arial"/>
          <w:sz w:val="20"/>
          <w:szCs w:val="20"/>
          <w:lang w:val="en-US"/>
          <w14:ligatures w14:val="standardContextual"/>
        </w:rPr>
        <w:t>inklusi</w:t>
      </w:r>
      <w:proofErr w:type="spellEnd"/>
      <w:r w:rsidRPr="00D41C6B">
        <w:rPr>
          <w:rFonts w:ascii="Arial" w:eastAsiaTheme="minorHAnsi" w:hAnsi="Arial" w:cs="Arial"/>
          <w:sz w:val="20"/>
          <w:szCs w:val="20"/>
          <w:lang w:val="en-US"/>
          <w14:ligatures w14:val="standardContextual"/>
        </w:rPr>
        <w:t xml:space="preserve"> </w:t>
      </w:r>
      <w:proofErr w:type="spellStart"/>
      <w:r w:rsidRPr="00D41C6B">
        <w:rPr>
          <w:rFonts w:ascii="Arial" w:eastAsiaTheme="minorHAnsi" w:hAnsi="Arial" w:cs="Arial"/>
          <w:sz w:val="20"/>
          <w:szCs w:val="20"/>
          <w:lang w:val="en-US"/>
          <w14:ligatures w14:val="standardContextual"/>
        </w:rPr>
        <w:t>keuangan</w:t>
      </w:r>
      <w:proofErr w:type="spellEnd"/>
      <w:r w:rsidRPr="00D41C6B">
        <w:rPr>
          <w:rFonts w:ascii="Arial" w:eastAsiaTheme="minorHAnsi" w:hAnsi="Arial" w:cs="Arial"/>
          <w:sz w:val="20"/>
          <w:szCs w:val="20"/>
          <w:lang w:val="en-US"/>
          <w14:ligatures w14:val="standardContextual"/>
        </w:rPr>
        <w:t xml:space="preserve"> di </w:t>
      </w:r>
      <w:proofErr w:type="spellStart"/>
      <w:r w:rsidRPr="00D41C6B">
        <w:rPr>
          <w:rFonts w:ascii="Arial" w:eastAsiaTheme="minorHAnsi" w:hAnsi="Arial" w:cs="Arial"/>
          <w:sz w:val="20"/>
          <w:szCs w:val="20"/>
          <w:lang w:val="en-US"/>
          <w14:ligatures w14:val="standardContextual"/>
        </w:rPr>
        <w:t>daerah</w:t>
      </w:r>
      <w:proofErr w:type="spellEnd"/>
      <w:r w:rsidRPr="00D41C6B">
        <w:rPr>
          <w:rFonts w:ascii="Arial" w:eastAsiaTheme="minorHAnsi" w:hAnsi="Arial" w:cs="Arial"/>
          <w:sz w:val="20"/>
          <w:szCs w:val="20"/>
          <w:lang w:val="en-US"/>
          <w14:ligatures w14:val="standardContextual"/>
        </w:rPr>
        <w:t xml:space="preserve"> </w:t>
      </w:r>
      <w:proofErr w:type="spellStart"/>
      <w:r w:rsidRPr="00D41C6B">
        <w:rPr>
          <w:rFonts w:ascii="Arial" w:eastAsiaTheme="minorHAnsi" w:hAnsi="Arial" w:cs="Arial"/>
          <w:sz w:val="20"/>
          <w:szCs w:val="20"/>
          <w:lang w:val="en-US"/>
          <w14:ligatures w14:val="standardContextual"/>
        </w:rPr>
        <w:t>terpencil</w:t>
      </w:r>
      <w:proofErr w:type="spellEnd"/>
      <w:r w:rsidRPr="00D41C6B">
        <w:rPr>
          <w:rFonts w:ascii="Arial" w:eastAsiaTheme="minorHAnsi" w:hAnsi="Arial" w:cs="Arial"/>
          <w:sz w:val="20"/>
          <w:szCs w:val="20"/>
          <w:lang w:val="en-US"/>
          <w14:ligatures w14:val="standardContextual"/>
        </w:rPr>
        <w:t xml:space="preserve">: Studi </w:t>
      </w:r>
      <w:proofErr w:type="spellStart"/>
      <w:r w:rsidRPr="00D41C6B">
        <w:rPr>
          <w:rFonts w:ascii="Arial" w:eastAsiaTheme="minorHAnsi" w:hAnsi="Arial" w:cs="Arial"/>
          <w:sz w:val="20"/>
          <w:szCs w:val="20"/>
          <w:lang w:val="en-US"/>
          <w14:ligatures w14:val="standardContextual"/>
        </w:rPr>
        <w:t>kasus</w:t>
      </w:r>
      <w:proofErr w:type="spellEnd"/>
      <w:r w:rsidRPr="00D41C6B">
        <w:rPr>
          <w:rFonts w:ascii="Arial" w:eastAsiaTheme="minorHAnsi" w:hAnsi="Arial" w:cs="Arial"/>
          <w:sz w:val="20"/>
          <w:szCs w:val="20"/>
          <w:lang w:val="en-US"/>
          <w14:ligatures w14:val="standardContextual"/>
        </w:rPr>
        <w:t xml:space="preserve"> </w:t>
      </w:r>
      <w:proofErr w:type="spellStart"/>
      <w:r w:rsidRPr="00D41C6B">
        <w:rPr>
          <w:rFonts w:ascii="Arial" w:eastAsiaTheme="minorHAnsi" w:hAnsi="Arial" w:cs="Arial"/>
          <w:sz w:val="20"/>
          <w:szCs w:val="20"/>
          <w:lang w:val="en-US"/>
          <w14:ligatures w14:val="standardContextual"/>
        </w:rPr>
        <w:t>aplikasi</w:t>
      </w:r>
      <w:proofErr w:type="spellEnd"/>
      <w:r w:rsidRPr="00D41C6B">
        <w:rPr>
          <w:rFonts w:ascii="Arial" w:eastAsiaTheme="minorHAnsi" w:hAnsi="Arial" w:cs="Arial"/>
          <w:sz w:val="20"/>
          <w:szCs w:val="20"/>
          <w:lang w:val="en-US"/>
          <w14:ligatures w14:val="standardContextual"/>
        </w:rPr>
        <w:t xml:space="preserve"> </w:t>
      </w:r>
      <w:proofErr w:type="spellStart"/>
      <w:r w:rsidRPr="00D41C6B">
        <w:rPr>
          <w:rFonts w:ascii="Arial" w:eastAsiaTheme="minorHAnsi" w:hAnsi="Arial" w:cs="Arial"/>
          <w:sz w:val="20"/>
          <w:szCs w:val="20"/>
          <w:lang w:val="en-US"/>
          <w14:ligatures w14:val="standardContextual"/>
        </w:rPr>
        <w:t>Livin</w:t>
      </w:r>
      <w:proofErr w:type="spellEnd"/>
      <w:r w:rsidRPr="00D41C6B">
        <w:rPr>
          <w:rFonts w:ascii="Arial" w:eastAsiaTheme="minorHAnsi" w:hAnsi="Arial" w:cs="Arial"/>
          <w:sz w:val="20"/>
          <w:szCs w:val="20"/>
          <w:lang w:val="en-US"/>
          <w14:ligatures w14:val="standardContextual"/>
        </w:rPr>
        <w:t xml:space="preserve">' by </w:t>
      </w:r>
      <w:proofErr w:type="spellStart"/>
      <w:r w:rsidRPr="00D41C6B">
        <w:rPr>
          <w:rFonts w:ascii="Arial" w:eastAsiaTheme="minorHAnsi" w:hAnsi="Arial" w:cs="Arial"/>
          <w:sz w:val="20"/>
          <w:szCs w:val="20"/>
          <w:lang w:val="en-US"/>
          <w14:ligatures w14:val="standardContextual"/>
        </w:rPr>
        <w:t>Mandiri</w:t>
      </w:r>
      <w:proofErr w:type="spellEnd"/>
      <w:r w:rsidRPr="00D41C6B">
        <w:rPr>
          <w:rFonts w:ascii="Arial" w:eastAsiaTheme="minorHAnsi" w:hAnsi="Arial" w:cs="Arial"/>
          <w:sz w:val="20"/>
          <w:szCs w:val="20"/>
          <w:lang w:val="en-US"/>
          <w14:ligatures w14:val="standardContextual"/>
        </w:rPr>
        <w:t xml:space="preserve">. </w:t>
      </w:r>
      <w:proofErr w:type="spellStart"/>
      <w:r w:rsidRPr="00D41C6B">
        <w:rPr>
          <w:rFonts w:ascii="Arial" w:eastAsiaTheme="minorHAnsi" w:hAnsi="Arial" w:cs="Arial"/>
          <w:i/>
          <w:iCs/>
          <w:sz w:val="20"/>
          <w:szCs w:val="20"/>
          <w:lang w:val="en-US"/>
          <w14:ligatures w14:val="standardContextual"/>
        </w:rPr>
        <w:t>Jurnal</w:t>
      </w:r>
      <w:proofErr w:type="spellEnd"/>
      <w:r w:rsidRPr="00D41C6B">
        <w:rPr>
          <w:rFonts w:ascii="Arial" w:eastAsiaTheme="minorHAnsi" w:hAnsi="Arial" w:cs="Arial"/>
          <w:i/>
          <w:iCs/>
          <w:sz w:val="20"/>
          <w:szCs w:val="20"/>
          <w:lang w:val="en-US"/>
          <w14:ligatures w14:val="standardContextual"/>
        </w:rPr>
        <w:t xml:space="preserve"> Ekonomi Digital dan </w:t>
      </w:r>
      <w:proofErr w:type="spellStart"/>
      <w:r w:rsidRPr="00D41C6B">
        <w:rPr>
          <w:rFonts w:ascii="Arial" w:eastAsiaTheme="minorHAnsi" w:hAnsi="Arial" w:cs="Arial"/>
          <w:i/>
          <w:iCs/>
          <w:sz w:val="20"/>
          <w:szCs w:val="20"/>
          <w:lang w:val="en-US"/>
          <w14:ligatures w14:val="standardContextual"/>
        </w:rPr>
        <w:t>Inklusi</w:t>
      </w:r>
      <w:proofErr w:type="spellEnd"/>
      <w:r w:rsidRPr="00D41C6B">
        <w:rPr>
          <w:rFonts w:ascii="Arial" w:eastAsiaTheme="minorHAnsi" w:hAnsi="Arial" w:cs="Arial"/>
          <w:i/>
          <w:iCs/>
          <w:sz w:val="20"/>
          <w:szCs w:val="20"/>
          <w:lang w:val="en-US"/>
          <w14:ligatures w14:val="standardContextual"/>
        </w:rPr>
        <w:t xml:space="preserve"> </w:t>
      </w:r>
      <w:proofErr w:type="spellStart"/>
      <w:r w:rsidRPr="00D41C6B">
        <w:rPr>
          <w:rFonts w:ascii="Arial" w:eastAsiaTheme="minorHAnsi" w:hAnsi="Arial" w:cs="Arial"/>
          <w:i/>
          <w:iCs/>
          <w:sz w:val="20"/>
          <w:szCs w:val="20"/>
          <w:lang w:val="en-US"/>
          <w14:ligatures w14:val="standardContextual"/>
        </w:rPr>
        <w:t>Keuangan</w:t>
      </w:r>
      <w:proofErr w:type="spellEnd"/>
      <w:r w:rsidRPr="00D41C6B">
        <w:rPr>
          <w:rFonts w:ascii="Arial" w:eastAsiaTheme="minorHAnsi" w:hAnsi="Arial" w:cs="Arial"/>
          <w:i/>
          <w:iCs/>
          <w:sz w:val="20"/>
          <w:szCs w:val="20"/>
          <w:lang w:val="en-US"/>
          <w14:ligatures w14:val="standardContextual"/>
        </w:rPr>
        <w:t>, 2</w:t>
      </w:r>
      <w:r w:rsidRPr="00D41C6B">
        <w:rPr>
          <w:rFonts w:ascii="Arial" w:eastAsiaTheme="minorHAnsi" w:hAnsi="Arial" w:cs="Arial"/>
          <w:sz w:val="20"/>
          <w:szCs w:val="20"/>
          <w:lang w:val="en-US"/>
          <w14:ligatures w14:val="standardContextual"/>
        </w:rPr>
        <w:t>(1), 55–66.</w:t>
      </w:r>
    </w:p>
    <w:p w14:paraId="30C53FA0" w14:textId="77777777" w:rsidR="0043117A" w:rsidRPr="00D41C6B" w:rsidRDefault="0043117A" w:rsidP="0043117A">
      <w:pPr>
        <w:autoSpaceDE w:val="0"/>
        <w:autoSpaceDN w:val="0"/>
        <w:adjustRightInd w:val="0"/>
        <w:ind w:left="1134" w:hanging="1134"/>
        <w:jc w:val="both"/>
        <w:rPr>
          <w:rFonts w:ascii="Arial" w:eastAsiaTheme="minorHAnsi" w:hAnsi="Arial" w:cs="Arial"/>
          <w:sz w:val="20"/>
          <w:szCs w:val="20"/>
          <w:lang w:val="en-US"/>
          <w14:ligatures w14:val="standardContextual"/>
        </w:rPr>
      </w:pPr>
      <w:r w:rsidRPr="00D41C6B">
        <w:rPr>
          <w:rFonts w:ascii="Arial" w:eastAsiaTheme="minorHAnsi" w:hAnsi="Arial" w:cs="Arial"/>
          <w:sz w:val="20"/>
          <w:szCs w:val="20"/>
          <w:lang w:val="en-US"/>
          <w14:ligatures w14:val="standardContextual"/>
        </w:rPr>
        <w:t xml:space="preserve">Kang, G. D., &amp; James, J. (2002). Service quality dimensions: An examination of Grönroos’s service quality model. </w:t>
      </w:r>
      <w:r w:rsidRPr="00D41C6B">
        <w:rPr>
          <w:rFonts w:ascii="Arial" w:eastAsiaTheme="minorHAnsi" w:hAnsi="Arial" w:cs="Arial"/>
          <w:i/>
          <w:iCs/>
          <w:sz w:val="20"/>
          <w:szCs w:val="20"/>
          <w:lang w:val="en-US"/>
          <w14:ligatures w14:val="standardContextual"/>
        </w:rPr>
        <w:t>Managing Service Quality: An International Journal, 14</w:t>
      </w:r>
      <w:r w:rsidRPr="00D41C6B">
        <w:rPr>
          <w:rFonts w:ascii="Arial" w:eastAsiaTheme="minorHAnsi" w:hAnsi="Arial" w:cs="Arial"/>
          <w:sz w:val="20"/>
          <w:szCs w:val="20"/>
          <w:lang w:val="en-US"/>
          <w14:ligatures w14:val="standardContextual"/>
        </w:rPr>
        <w:t>(4), 266–277. https://doi.org/10.1108/09604520410546958</w:t>
      </w:r>
    </w:p>
    <w:p w14:paraId="1A26A79B" w14:textId="77777777" w:rsidR="0043117A" w:rsidRPr="00D41C6B" w:rsidRDefault="0043117A" w:rsidP="0043117A">
      <w:pPr>
        <w:autoSpaceDE w:val="0"/>
        <w:autoSpaceDN w:val="0"/>
        <w:adjustRightInd w:val="0"/>
        <w:ind w:left="1134" w:hanging="1134"/>
        <w:jc w:val="both"/>
        <w:rPr>
          <w:rFonts w:ascii="Arial" w:eastAsiaTheme="minorHAnsi" w:hAnsi="Arial" w:cs="Arial"/>
          <w:sz w:val="20"/>
          <w:szCs w:val="20"/>
          <w:lang w:val="en-US"/>
          <w14:ligatures w14:val="standardContextual"/>
        </w:rPr>
      </w:pPr>
      <w:r w:rsidRPr="00D41C6B">
        <w:rPr>
          <w:rFonts w:ascii="Arial" w:eastAsiaTheme="minorHAnsi" w:hAnsi="Arial" w:cs="Arial"/>
          <w:sz w:val="20"/>
          <w:szCs w:val="20"/>
          <w:lang w:val="en-US"/>
          <w14:ligatures w14:val="standardContextual"/>
        </w:rPr>
        <w:t xml:space="preserve">Kotler, P., &amp; Armstrong, G. (2008). </w:t>
      </w:r>
      <w:r w:rsidRPr="00D41C6B">
        <w:rPr>
          <w:rFonts w:ascii="Arial" w:eastAsiaTheme="minorHAnsi" w:hAnsi="Arial" w:cs="Arial"/>
          <w:i/>
          <w:iCs/>
          <w:sz w:val="20"/>
          <w:szCs w:val="20"/>
          <w:lang w:val="en-US"/>
          <w14:ligatures w14:val="standardContextual"/>
        </w:rPr>
        <w:t>Principles of marketing</w:t>
      </w:r>
      <w:r w:rsidRPr="00D41C6B">
        <w:rPr>
          <w:rFonts w:ascii="Arial" w:eastAsiaTheme="minorHAnsi" w:hAnsi="Arial" w:cs="Arial"/>
          <w:sz w:val="20"/>
          <w:szCs w:val="20"/>
          <w:lang w:val="en-US"/>
          <w14:ligatures w14:val="standardContextual"/>
        </w:rPr>
        <w:t xml:space="preserve"> (12th ed.). Pearson Education.</w:t>
      </w:r>
    </w:p>
    <w:p w14:paraId="57F8ADEA" w14:textId="77777777" w:rsidR="0043117A" w:rsidRPr="00D41C6B" w:rsidRDefault="0043117A" w:rsidP="0043117A">
      <w:pPr>
        <w:autoSpaceDE w:val="0"/>
        <w:autoSpaceDN w:val="0"/>
        <w:adjustRightInd w:val="0"/>
        <w:ind w:left="1134" w:hanging="1134"/>
        <w:jc w:val="both"/>
        <w:rPr>
          <w:rFonts w:ascii="Arial" w:eastAsiaTheme="minorHAnsi" w:hAnsi="Arial" w:cs="Arial"/>
          <w:sz w:val="20"/>
          <w:szCs w:val="20"/>
          <w:lang w:val="en-US"/>
          <w14:ligatures w14:val="standardContextual"/>
        </w:rPr>
      </w:pPr>
      <w:proofErr w:type="spellStart"/>
      <w:r w:rsidRPr="00D41C6B">
        <w:rPr>
          <w:rFonts w:ascii="Arial" w:eastAsiaTheme="minorHAnsi" w:hAnsi="Arial" w:cs="Arial"/>
          <w:sz w:val="20"/>
          <w:szCs w:val="20"/>
          <w:lang w:val="en-US"/>
          <w14:ligatures w14:val="standardContextual"/>
        </w:rPr>
        <w:t>Ladhari</w:t>
      </w:r>
      <w:proofErr w:type="spellEnd"/>
      <w:r w:rsidRPr="00D41C6B">
        <w:rPr>
          <w:rFonts w:ascii="Arial" w:eastAsiaTheme="minorHAnsi" w:hAnsi="Arial" w:cs="Arial"/>
          <w:sz w:val="20"/>
          <w:szCs w:val="20"/>
          <w:lang w:val="en-US"/>
          <w14:ligatures w14:val="standardContextual"/>
        </w:rPr>
        <w:t xml:space="preserve">, R. (2009). A review of twenty years of SERVQUAL research. </w:t>
      </w:r>
      <w:r w:rsidRPr="00D41C6B">
        <w:rPr>
          <w:rFonts w:ascii="Arial" w:eastAsiaTheme="minorHAnsi" w:hAnsi="Arial" w:cs="Arial"/>
          <w:i/>
          <w:iCs/>
          <w:sz w:val="20"/>
          <w:szCs w:val="20"/>
          <w:lang w:val="en-US"/>
          <w14:ligatures w14:val="standardContextual"/>
        </w:rPr>
        <w:t>International Journal of Quality and Service Sciences, 1</w:t>
      </w:r>
      <w:r w:rsidRPr="00D41C6B">
        <w:rPr>
          <w:rFonts w:ascii="Arial" w:eastAsiaTheme="minorHAnsi" w:hAnsi="Arial" w:cs="Arial"/>
          <w:sz w:val="20"/>
          <w:szCs w:val="20"/>
          <w:lang w:val="en-US"/>
          <w14:ligatures w14:val="standardContextual"/>
        </w:rPr>
        <w:t>(2), 172–198. https://doi.org/10.1108/17566690910971445</w:t>
      </w:r>
    </w:p>
    <w:p w14:paraId="7A34C438" w14:textId="77777777" w:rsidR="0043117A" w:rsidRPr="00D41C6B" w:rsidRDefault="0043117A" w:rsidP="0043117A">
      <w:pPr>
        <w:autoSpaceDE w:val="0"/>
        <w:autoSpaceDN w:val="0"/>
        <w:adjustRightInd w:val="0"/>
        <w:ind w:left="1134" w:hanging="1134"/>
        <w:jc w:val="both"/>
        <w:rPr>
          <w:rFonts w:ascii="Arial" w:eastAsiaTheme="minorHAnsi" w:hAnsi="Arial" w:cs="Arial"/>
          <w:sz w:val="20"/>
          <w:szCs w:val="20"/>
          <w:lang w:val="en-US"/>
          <w14:ligatures w14:val="standardContextual"/>
        </w:rPr>
      </w:pPr>
      <w:proofErr w:type="spellStart"/>
      <w:r w:rsidRPr="00D41C6B">
        <w:rPr>
          <w:rFonts w:ascii="Arial" w:eastAsiaTheme="minorHAnsi" w:hAnsi="Arial" w:cs="Arial"/>
          <w:sz w:val="20"/>
          <w:szCs w:val="20"/>
          <w:lang w:val="en-US"/>
          <w14:ligatures w14:val="standardContextual"/>
        </w:rPr>
        <w:t>Mahulae</w:t>
      </w:r>
      <w:proofErr w:type="spellEnd"/>
      <w:r w:rsidRPr="00D41C6B">
        <w:rPr>
          <w:rFonts w:ascii="Arial" w:eastAsiaTheme="minorHAnsi" w:hAnsi="Arial" w:cs="Arial"/>
          <w:sz w:val="20"/>
          <w:szCs w:val="20"/>
          <w:lang w:val="en-US"/>
          <w14:ligatures w14:val="standardContextual"/>
        </w:rPr>
        <w:t xml:space="preserve">, R. A., &amp; </w:t>
      </w:r>
      <w:proofErr w:type="spellStart"/>
      <w:r w:rsidRPr="00D41C6B">
        <w:rPr>
          <w:rFonts w:ascii="Arial" w:eastAsiaTheme="minorHAnsi" w:hAnsi="Arial" w:cs="Arial"/>
          <w:sz w:val="20"/>
          <w:szCs w:val="20"/>
          <w:lang w:val="en-US"/>
          <w14:ligatures w14:val="standardContextual"/>
        </w:rPr>
        <w:t>Sholikhah</w:t>
      </w:r>
      <w:proofErr w:type="spellEnd"/>
      <w:r w:rsidRPr="00D41C6B">
        <w:rPr>
          <w:rFonts w:ascii="Arial" w:eastAsiaTheme="minorHAnsi" w:hAnsi="Arial" w:cs="Arial"/>
          <w:sz w:val="20"/>
          <w:szCs w:val="20"/>
          <w:lang w:val="en-US"/>
          <w14:ligatures w14:val="standardContextual"/>
        </w:rPr>
        <w:t xml:space="preserve">, M. (2024). </w:t>
      </w:r>
      <w:proofErr w:type="spellStart"/>
      <w:r w:rsidRPr="00D41C6B">
        <w:rPr>
          <w:rFonts w:ascii="Arial" w:eastAsiaTheme="minorHAnsi" w:hAnsi="Arial" w:cs="Arial"/>
          <w:sz w:val="20"/>
          <w:szCs w:val="20"/>
          <w:lang w:val="en-US"/>
          <w14:ligatures w14:val="standardContextual"/>
        </w:rPr>
        <w:t>Kualitas</w:t>
      </w:r>
      <w:proofErr w:type="spellEnd"/>
      <w:r w:rsidRPr="00D41C6B">
        <w:rPr>
          <w:rFonts w:ascii="Arial" w:eastAsiaTheme="minorHAnsi" w:hAnsi="Arial" w:cs="Arial"/>
          <w:sz w:val="20"/>
          <w:szCs w:val="20"/>
          <w:lang w:val="en-US"/>
          <w14:ligatures w14:val="standardContextual"/>
        </w:rPr>
        <w:t xml:space="preserve"> </w:t>
      </w:r>
      <w:proofErr w:type="spellStart"/>
      <w:r w:rsidRPr="00D41C6B">
        <w:rPr>
          <w:rFonts w:ascii="Arial" w:eastAsiaTheme="minorHAnsi" w:hAnsi="Arial" w:cs="Arial"/>
          <w:sz w:val="20"/>
          <w:szCs w:val="20"/>
          <w:lang w:val="en-US"/>
          <w14:ligatures w14:val="standardContextual"/>
        </w:rPr>
        <w:t>layanan</w:t>
      </w:r>
      <w:proofErr w:type="spellEnd"/>
      <w:r w:rsidRPr="00D41C6B">
        <w:rPr>
          <w:rFonts w:ascii="Arial" w:eastAsiaTheme="minorHAnsi" w:hAnsi="Arial" w:cs="Arial"/>
          <w:sz w:val="20"/>
          <w:szCs w:val="20"/>
          <w:lang w:val="en-US"/>
          <w14:ligatures w14:val="standardContextual"/>
        </w:rPr>
        <w:t xml:space="preserve"> digital banking </w:t>
      </w:r>
      <w:proofErr w:type="spellStart"/>
      <w:r w:rsidRPr="00D41C6B">
        <w:rPr>
          <w:rFonts w:ascii="Arial" w:eastAsiaTheme="minorHAnsi" w:hAnsi="Arial" w:cs="Arial"/>
          <w:sz w:val="20"/>
          <w:szCs w:val="20"/>
          <w:lang w:val="en-US"/>
          <w14:ligatures w14:val="standardContextual"/>
        </w:rPr>
        <w:t>berbasis</w:t>
      </w:r>
      <w:proofErr w:type="spellEnd"/>
      <w:r w:rsidRPr="00D41C6B">
        <w:rPr>
          <w:rFonts w:ascii="Arial" w:eastAsiaTheme="minorHAnsi" w:hAnsi="Arial" w:cs="Arial"/>
          <w:sz w:val="20"/>
          <w:szCs w:val="20"/>
          <w:lang w:val="en-US"/>
          <w14:ligatures w14:val="standardContextual"/>
        </w:rPr>
        <w:t xml:space="preserve"> E-S-QUAL: Studi pada </w:t>
      </w:r>
      <w:proofErr w:type="spellStart"/>
      <w:r w:rsidRPr="00D41C6B">
        <w:rPr>
          <w:rFonts w:ascii="Arial" w:eastAsiaTheme="minorHAnsi" w:hAnsi="Arial" w:cs="Arial"/>
          <w:sz w:val="20"/>
          <w:szCs w:val="20"/>
          <w:lang w:val="en-US"/>
          <w14:ligatures w14:val="standardContextual"/>
        </w:rPr>
        <w:t>generasi</w:t>
      </w:r>
      <w:proofErr w:type="spellEnd"/>
      <w:r w:rsidRPr="00D41C6B">
        <w:rPr>
          <w:rFonts w:ascii="Arial" w:eastAsiaTheme="minorHAnsi" w:hAnsi="Arial" w:cs="Arial"/>
          <w:sz w:val="20"/>
          <w:szCs w:val="20"/>
          <w:lang w:val="en-US"/>
          <w14:ligatures w14:val="standardContextual"/>
        </w:rPr>
        <w:t xml:space="preserve"> Z </w:t>
      </w:r>
      <w:proofErr w:type="spellStart"/>
      <w:r w:rsidRPr="00D41C6B">
        <w:rPr>
          <w:rFonts w:ascii="Arial" w:eastAsiaTheme="minorHAnsi" w:hAnsi="Arial" w:cs="Arial"/>
          <w:sz w:val="20"/>
          <w:szCs w:val="20"/>
          <w:lang w:val="en-US"/>
          <w14:ligatures w14:val="standardContextual"/>
        </w:rPr>
        <w:t>pengguna</w:t>
      </w:r>
      <w:proofErr w:type="spellEnd"/>
      <w:r w:rsidRPr="00D41C6B">
        <w:rPr>
          <w:rFonts w:ascii="Arial" w:eastAsiaTheme="minorHAnsi" w:hAnsi="Arial" w:cs="Arial"/>
          <w:sz w:val="20"/>
          <w:szCs w:val="20"/>
          <w:lang w:val="en-US"/>
          <w14:ligatures w14:val="standardContextual"/>
        </w:rPr>
        <w:t xml:space="preserve"> mobile banking. </w:t>
      </w:r>
      <w:proofErr w:type="spellStart"/>
      <w:r w:rsidRPr="00D41C6B">
        <w:rPr>
          <w:rFonts w:ascii="Arial" w:eastAsiaTheme="minorHAnsi" w:hAnsi="Arial" w:cs="Arial"/>
          <w:i/>
          <w:iCs/>
          <w:sz w:val="20"/>
          <w:szCs w:val="20"/>
          <w:lang w:val="en-US"/>
          <w14:ligatures w14:val="standardContextual"/>
        </w:rPr>
        <w:t>Jurnal</w:t>
      </w:r>
      <w:proofErr w:type="spellEnd"/>
      <w:r w:rsidRPr="00D41C6B">
        <w:rPr>
          <w:rFonts w:ascii="Arial" w:eastAsiaTheme="minorHAnsi" w:hAnsi="Arial" w:cs="Arial"/>
          <w:i/>
          <w:iCs/>
          <w:sz w:val="20"/>
          <w:szCs w:val="20"/>
          <w:lang w:val="en-US"/>
          <w14:ligatures w14:val="standardContextual"/>
        </w:rPr>
        <w:t xml:space="preserve"> </w:t>
      </w:r>
      <w:proofErr w:type="spellStart"/>
      <w:r w:rsidRPr="00D41C6B">
        <w:rPr>
          <w:rFonts w:ascii="Arial" w:eastAsiaTheme="minorHAnsi" w:hAnsi="Arial" w:cs="Arial"/>
          <w:i/>
          <w:iCs/>
          <w:sz w:val="20"/>
          <w:szCs w:val="20"/>
          <w:lang w:val="en-US"/>
          <w14:ligatures w14:val="standardContextual"/>
        </w:rPr>
        <w:t>Manajemen</w:t>
      </w:r>
      <w:proofErr w:type="spellEnd"/>
      <w:r w:rsidRPr="00D41C6B">
        <w:rPr>
          <w:rFonts w:ascii="Arial" w:eastAsiaTheme="minorHAnsi" w:hAnsi="Arial" w:cs="Arial"/>
          <w:i/>
          <w:iCs/>
          <w:sz w:val="20"/>
          <w:szCs w:val="20"/>
          <w:lang w:val="en-US"/>
          <w14:ligatures w14:val="standardContextual"/>
        </w:rPr>
        <w:t xml:space="preserve"> </w:t>
      </w:r>
      <w:proofErr w:type="spellStart"/>
      <w:r w:rsidRPr="00D41C6B">
        <w:rPr>
          <w:rFonts w:ascii="Arial" w:eastAsiaTheme="minorHAnsi" w:hAnsi="Arial" w:cs="Arial"/>
          <w:i/>
          <w:iCs/>
          <w:sz w:val="20"/>
          <w:szCs w:val="20"/>
          <w:lang w:val="en-US"/>
          <w14:ligatures w14:val="standardContextual"/>
        </w:rPr>
        <w:t>Teknologi</w:t>
      </w:r>
      <w:proofErr w:type="spellEnd"/>
      <w:r w:rsidRPr="00D41C6B">
        <w:rPr>
          <w:rFonts w:ascii="Arial" w:eastAsiaTheme="minorHAnsi" w:hAnsi="Arial" w:cs="Arial"/>
          <w:i/>
          <w:iCs/>
          <w:sz w:val="20"/>
          <w:szCs w:val="20"/>
          <w:lang w:val="en-US"/>
          <w14:ligatures w14:val="standardContextual"/>
        </w:rPr>
        <w:t>, 22</w:t>
      </w:r>
      <w:r w:rsidRPr="00D41C6B">
        <w:rPr>
          <w:rFonts w:ascii="Arial" w:eastAsiaTheme="minorHAnsi" w:hAnsi="Arial" w:cs="Arial"/>
          <w:sz w:val="20"/>
          <w:szCs w:val="20"/>
          <w:lang w:val="en-US"/>
          <w14:ligatures w14:val="standardContextual"/>
        </w:rPr>
        <w:t>(1), 51–60.</w:t>
      </w:r>
    </w:p>
    <w:p w14:paraId="55588CDB" w14:textId="77777777" w:rsidR="0043117A" w:rsidRPr="00D41C6B" w:rsidRDefault="0043117A" w:rsidP="0043117A">
      <w:pPr>
        <w:autoSpaceDE w:val="0"/>
        <w:autoSpaceDN w:val="0"/>
        <w:adjustRightInd w:val="0"/>
        <w:ind w:left="1134" w:hanging="1134"/>
        <w:jc w:val="both"/>
        <w:rPr>
          <w:rFonts w:ascii="Arial" w:eastAsiaTheme="minorHAnsi" w:hAnsi="Arial" w:cs="Arial"/>
          <w:sz w:val="20"/>
          <w:szCs w:val="20"/>
          <w:lang w:val="en-US"/>
          <w14:ligatures w14:val="standardContextual"/>
        </w:rPr>
      </w:pPr>
      <w:r w:rsidRPr="00D41C6B">
        <w:rPr>
          <w:rFonts w:ascii="Arial" w:eastAsiaTheme="minorHAnsi" w:hAnsi="Arial" w:cs="Arial"/>
          <w:sz w:val="20"/>
          <w:szCs w:val="20"/>
          <w:lang w:val="en-US"/>
          <w14:ligatures w14:val="standardContextual"/>
        </w:rPr>
        <w:t xml:space="preserve">Miles, M. B., Huberman, A. M., &amp; Saldaña, J. (2014). </w:t>
      </w:r>
      <w:r w:rsidRPr="00D41C6B">
        <w:rPr>
          <w:rFonts w:ascii="Arial" w:eastAsiaTheme="minorHAnsi" w:hAnsi="Arial" w:cs="Arial"/>
          <w:i/>
          <w:iCs/>
          <w:sz w:val="20"/>
          <w:szCs w:val="20"/>
          <w:lang w:val="en-US"/>
          <w14:ligatures w14:val="standardContextual"/>
        </w:rPr>
        <w:t>Qualitative data analysis: A methods sourcebook</w:t>
      </w:r>
      <w:r w:rsidRPr="00D41C6B">
        <w:rPr>
          <w:rFonts w:ascii="Arial" w:eastAsiaTheme="minorHAnsi" w:hAnsi="Arial" w:cs="Arial"/>
          <w:sz w:val="20"/>
          <w:szCs w:val="20"/>
          <w:lang w:val="en-US"/>
          <w14:ligatures w14:val="standardContextual"/>
        </w:rPr>
        <w:t xml:space="preserve"> (3rd ed.). SAGE Publications.</w:t>
      </w:r>
    </w:p>
    <w:p w14:paraId="412098C8" w14:textId="77777777" w:rsidR="0043117A" w:rsidRPr="00D41C6B" w:rsidRDefault="0043117A" w:rsidP="0043117A">
      <w:pPr>
        <w:autoSpaceDE w:val="0"/>
        <w:autoSpaceDN w:val="0"/>
        <w:adjustRightInd w:val="0"/>
        <w:ind w:left="1134" w:hanging="1134"/>
        <w:jc w:val="both"/>
        <w:rPr>
          <w:rFonts w:ascii="Arial" w:eastAsiaTheme="minorHAnsi" w:hAnsi="Arial" w:cs="Arial"/>
          <w:sz w:val="20"/>
          <w:szCs w:val="20"/>
          <w:lang w:val="en-US"/>
          <w14:ligatures w14:val="standardContextual"/>
        </w:rPr>
      </w:pPr>
      <w:r w:rsidRPr="00D41C6B">
        <w:rPr>
          <w:rFonts w:ascii="Arial" w:eastAsiaTheme="minorHAnsi" w:hAnsi="Arial" w:cs="Arial"/>
          <w:sz w:val="20"/>
          <w:szCs w:val="20"/>
          <w:lang w:val="en-US"/>
          <w14:ligatures w14:val="standardContextual"/>
        </w:rPr>
        <w:t xml:space="preserve">Mohsan, F., Nawaz, M. M., Khan, M. S., Shaukat, Z., &amp; Aslam, N. (2011). Impact of customer satisfaction on customer loyalty and intentions to switch: Evidence from banking sector of Pakistan. </w:t>
      </w:r>
      <w:r w:rsidRPr="00D41C6B">
        <w:rPr>
          <w:rFonts w:ascii="Arial" w:eastAsiaTheme="minorHAnsi" w:hAnsi="Arial" w:cs="Arial"/>
          <w:i/>
          <w:iCs/>
          <w:sz w:val="20"/>
          <w:szCs w:val="20"/>
          <w:lang w:val="en-US"/>
          <w14:ligatures w14:val="standardContextual"/>
        </w:rPr>
        <w:t>International Journal of Business and Social Science, 2</w:t>
      </w:r>
      <w:r w:rsidRPr="00D41C6B">
        <w:rPr>
          <w:rFonts w:ascii="Arial" w:eastAsiaTheme="minorHAnsi" w:hAnsi="Arial" w:cs="Arial"/>
          <w:sz w:val="20"/>
          <w:szCs w:val="20"/>
          <w:lang w:val="en-US"/>
          <w14:ligatures w14:val="standardContextual"/>
        </w:rPr>
        <w:t>(16), 263–270.</w:t>
      </w:r>
    </w:p>
    <w:p w14:paraId="1A9207BA" w14:textId="77777777" w:rsidR="0043117A" w:rsidRPr="00D41C6B" w:rsidRDefault="0043117A" w:rsidP="0043117A">
      <w:pPr>
        <w:autoSpaceDE w:val="0"/>
        <w:autoSpaceDN w:val="0"/>
        <w:adjustRightInd w:val="0"/>
        <w:ind w:left="1134" w:hanging="1134"/>
        <w:jc w:val="both"/>
        <w:rPr>
          <w:rFonts w:ascii="Arial" w:eastAsiaTheme="minorHAnsi" w:hAnsi="Arial" w:cs="Arial"/>
          <w:sz w:val="20"/>
          <w:szCs w:val="20"/>
          <w:lang w:val="en-US"/>
          <w14:ligatures w14:val="standardContextual"/>
        </w:rPr>
      </w:pPr>
      <w:r w:rsidRPr="00D41C6B">
        <w:rPr>
          <w:rFonts w:ascii="Arial" w:eastAsiaTheme="minorHAnsi" w:hAnsi="Arial" w:cs="Arial"/>
          <w:sz w:val="20"/>
          <w:szCs w:val="20"/>
          <w:lang w:val="en-US"/>
          <w14:ligatures w14:val="standardContextual"/>
        </w:rPr>
        <w:lastRenderedPageBreak/>
        <w:t xml:space="preserve">Munusamy, J., Chelliah, S., &amp; Mun, H. W. (2010). Service quality delivery and its impact on customer satisfaction in the banking sector in Malaysia. </w:t>
      </w:r>
      <w:r w:rsidRPr="00D41C6B">
        <w:rPr>
          <w:rFonts w:ascii="Arial" w:eastAsiaTheme="minorHAnsi" w:hAnsi="Arial" w:cs="Arial"/>
          <w:i/>
          <w:iCs/>
          <w:sz w:val="20"/>
          <w:szCs w:val="20"/>
          <w:lang w:val="en-US"/>
          <w14:ligatures w14:val="standardContextual"/>
        </w:rPr>
        <w:t>International Journal of Innovation, Management and Technology, 1</w:t>
      </w:r>
      <w:r w:rsidRPr="00D41C6B">
        <w:rPr>
          <w:rFonts w:ascii="Arial" w:eastAsiaTheme="minorHAnsi" w:hAnsi="Arial" w:cs="Arial"/>
          <w:sz w:val="20"/>
          <w:szCs w:val="20"/>
          <w:lang w:val="en-US"/>
          <w14:ligatures w14:val="standardContextual"/>
        </w:rPr>
        <w:t>(4), 398–404.</w:t>
      </w:r>
    </w:p>
    <w:p w14:paraId="6F3F2097" w14:textId="77777777" w:rsidR="0043117A" w:rsidRPr="00D41C6B" w:rsidRDefault="0043117A" w:rsidP="0043117A">
      <w:pPr>
        <w:autoSpaceDE w:val="0"/>
        <w:autoSpaceDN w:val="0"/>
        <w:adjustRightInd w:val="0"/>
        <w:ind w:left="1134" w:hanging="1134"/>
        <w:jc w:val="both"/>
        <w:rPr>
          <w:rFonts w:ascii="Arial" w:eastAsiaTheme="minorHAnsi" w:hAnsi="Arial" w:cs="Arial"/>
          <w:sz w:val="20"/>
          <w:szCs w:val="20"/>
          <w:lang w:val="en-US"/>
          <w14:ligatures w14:val="standardContextual"/>
        </w:rPr>
      </w:pPr>
      <w:r w:rsidRPr="00D41C6B">
        <w:rPr>
          <w:rFonts w:ascii="Arial" w:eastAsiaTheme="minorHAnsi" w:hAnsi="Arial" w:cs="Arial"/>
          <w:sz w:val="20"/>
          <w:szCs w:val="20"/>
          <w:lang w:val="en-US"/>
          <w14:ligatures w14:val="standardContextual"/>
        </w:rPr>
        <w:t xml:space="preserve">Parasuraman, A., Zeithaml, V. A., &amp; Berry, L. L. (1988). SERVQUAL: A multiple-item scale for measuring consumer perceptions of service quality. </w:t>
      </w:r>
      <w:r w:rsidRPr="00D41C6B">
        <w:rPr>
          <w:rFonts w:ascii="Arial" w:eastAsiaTheme="minorHAnsi" w:hAnsi="Arial" w:cs="Arial"/>
          <w:i/>
          <w:iCs/>
          <w:sz w:val="20"/>
          <w:szCs w:val="20"/>
          <w:lang w:val="en-US"/>
          <w14:ligatures w14:val="standardContextual"/>
        </w:rPr>
        <w:t>Journal of Retailing, 64</w:t>
      </w:r>
      <w:r w:rsidRPr="00D41C6B">
        <w:rPr>
          <w:rFonts w:ascii="Arial" w:eastAsiaTheme="minorHAnsi" w:hAnsi="Arial" w:cs="Arial"/>
          <w:sz w:val="20"/>
          <w:szCs w:val="20"/>
          <w:lang w:val="en-US"/>
          <w14:ligatures w14:val="standardContextual"/>
        </w:rPr>
        <w:t>(1), 12–40.</w:t>
      </w:r>
    </w:p>
    <w:p w14:paraId="63D23FA2" w14:textId="77777777" w:rsidR="0043117A" w:rsidRPr="00D41C6B" w:rsidRDefault="0043117A" w:rsidP="0043117A">
      <w:pPr>
        <w:autoSpaceDE w:val="0"/>
        <w:autoSpaceDN w:val="0"/>
        <w:adjustRightInd w:val="0"/>
        <w:ind w:left="1134" w:hanging="1134"/>
        <w:jc w:val="both"/>
        <w:rPr>
          <w:rFonts w:ascii="Arial" w:eastAsiaTheme="minorHAnsi" w:hAnsi="Arial" w:cs="Arial"/>
          <w:sz w:val="20"/>
          <w:szCs w:val="20"/>
          <w:lang w:val="en-US"/>
          <w14:ligatures w14:val="standardContextual"/>
        </w:rPr>
      </w:pPr>
      <w:r w:rsidRPr="00D41C6B">
        <w:rPr>
          <w:rFonts w:ascii="Arial" w:eastAsiaTheme="minorHAnsi" w:hAnsi="Arial" w:cs="Arial"/>
          <w:sz w:val="20"/>
          <w:szCs w:val="20"/>
          <w:lang w:val="en-US"/>
          <w14:ligatures w14:val="standardContextual"/>
        </w:rPr>
        <w:t xml:space="preserve">Patton, M. Q. (2015). </w:t>
      </w:r>
      <w:r w:rsidRPr="00D41C6B">
        <w:rPr>
          <w:rFonts w:ascii="Arial" w:eastAsiaTheme="minorHAnsi" w:hAnsi="Arial" w:cs="Arial"/>
          <w:i/>
          <w:iCs/>
          <w:sz w:val="20"/>
          <w:szCs w:val="20"/>
          <w:lang w:val="en-US"/>
          <w14:ligatures w14:val="standardContextual"/>
        </w:rPr>
        <w:t>Qualitative research &amp; evaluation methods: Integrating theory and practice</w:t>
      </w:r>
      <w:r w:rsidRPr="00D41C6B">
        <w:rPr>
          <w:rFonts w:ascii="Arial" w:eastAsiaTheme="minorHAnsi" w:hAnsi="Arial" w:cs="Arial"/>
          <w:sz w:val="20"/>
          <w:szCs w:val="20"/>
          <w:lang w:val="en-US"/>
          <w14:ligatures w14:val="standardContextual"/>
        </w:rPr>
        <w:t xml:space="preserve"> (4th ed.). SAGE Publications.</w:t>
      </w:r>
    </w:p>
    <w:p w14:paraId="13E01095" w14:textId="77777777" w:rsidR="0043117A" w:rsidRPr="00D41C6B" w:rsidRDefault="0043117A" w:rsidP="0043117A">
      <w:pPr>
        <w:autoSpaceDE w:val="0"/>
        <w:autoSpaceDN w:val="0"/>
        <w:adjustRightInd w:val="0"/>
        <w:ind w:left="1134" w:hanging="1134"/>
        <w:jc w:val="both"/>
        <w:rPr>
          <w:rFonts w:ascii="Arial" w:eastAsiaTheme="minorHAnsi" w:hAnsi="Arial" w:cs="Arial"/>
          <w:sz w:val="20"/>
          <w:szCs w:val="20"/>
          <w:lang w:val="en-US"/>
          <w14:ligatures w14:val="standardContextual"/>
        </w:rPr>
      </w:pPr>
      <w:proofErr w:type="spellStart"/>
      <w:r w:rsidRPr="00D41C6B">
        <w:rPr>
          <w:rFonts w:ascii="Arial" w:eastAsiaTheme="minorHAnsi" w:hAnsi="Arial" w:cs="Arial"/>
          <w:sz w:val="20"/>
          <w:szCs w:val="20"/>
          <w:lang w:val="en-US"/>
          <w14:ligatures w14:val="standardContextual"/>
        </w:rPr>
        <w:t>Rusdiana</w:t>
      </w:r>
      <w:proofErr w:type="spellEnd"/>
      <w:r w:rsidRPr="00D41C6B">
        <w:rPr>
          <w:rFonts w:ascii="Arial" w:eastAsiaTheme="minorHAnsi" w:hAnsi="Arial" w:cs="Arial"/>
          <w:sz w:val="20"/>
          <w:szCs w:val="20"/>
          <w:lang w:val="en-US"/>
          <w14:ligatures w14:val="standardContextual"/>
        </w:rPr>
        <w:t xml:space="preserve">, R., Abdullah, H., &amp; Ningsih, D. R. (2023). Digital banking service quality and customer loyalty in Indonesia: A mediating role of satisfaction. </w:t>
      </w:r>
      <w:proofErr w:type="spellStart"/>
      <w:r w:rsidRPr="00D41C6B">
        <w:rPr>
          <w:rFonts w:ascii="Arial" w:eastAsiaTheme="minorHAnsi" w:hAnsi="Arial" w:cs="Arial"/>
          <w:i/>
          <w:iCs/>
          <w:sz w:val="20"/>
          <w:szCs w:val="20"/>
          <w:lang w:val="en-US"/>
          <w14:ligatures w14:val="standardContextual"/>
        </w:rPr>
        <w:t>Jurnal</w:t>
      </w:r>
      <w:proofErr w:type="spellEnd"/>
      <w:r w:rsidRPr="00D41C6B">
        <w:rPr>
          <w:rFonts w:ascii="Arial" w:eastAsiaTheme="minorHAnsi" w:hAnsi="Arial" w:cs="Arial"/>
          <w:i/>
          <w:iCs/>
          <w:sz w:val="20"/>
          <w:szCs w:val="20"/>
          <w:lang w:val="en-US"/>
          <w14:ligatures w14:val="standardContextual"/>
        </w:rPr>
        <w:t xml:space="preserve"> </w:t>
      </w:r>
      <w:proofErr w:type="spellStart"/>
      <w:r w:rsidRPr="00D41C6B">
        <w:rPr>
          <w:rFonts w:ascii="Arial" w:eastAsiaTheme="minorHAnsi" w:hAnsi="Arial" w:cs="Arial"/>
          <w:i/>
          <w:iCs/>
          <w:sz w:val="20"/>
          <w:szCs w:val="20"/>
          <w:lang w:val="en-US"/>
          <w14:ligatures w14:val="standardContextual"/>
        </w:rPr>
        <w:t>Ilmiah</w:t>
      </w:r>
      <w:proofErr w:type="spellEnd"/>
      <w:r w:rsidRPr="00D41C6B">
        <w:rPr>
          <w:rFonts w:ascii="Arial" w:eastAsiaTheme="minorHAnsi" w:hAnsi="Arial" w:cs="Arial"/>
          <w:i/>
          <w:iCs/>
          <w:sz w:val="20"/>
          <w:szCs w:val="20"/>
          <w:lang w:val="en-US"/>
          <w14:ligatures w14:val="standardContextual"/>
        </w:rPr>
        <w:t xml:space="preserve"> </w:t>
      </w:r>
      <w:proofErr w:type="spellStart"/>
      <w:r w:rsidRPr="00D41C6B">
        <w:rPr>
          <w:rFonts w:ascii="Arial" w:eastAsiaTheme="minorHAnsi" w:hAnsi="Arial" w:cs="Arial"/>
          <w:i/>
          <w:iCs/>
          <w:sz w:val="20"/>
          <w:szCs w:val="20"/>
          <w:lang w:val="en-US"/>
          <w14:ligatures w14:val="standardContextual"/>
        </w:rPr>
        <w:t>Manajemen</w:t>
      </w:r>
      <w:proofErr w:type="spellEnd"/>
      <w:r w:rsidRPr="00D41C6B">
        <w:rPr>
          <w:rFonts w:ascii="Arial" w:eastAsiaTheme="minorHAnsi" w:hAnsi="Arial" w:cs="Arial"/>
          <w:i/>
          <w:iCs/>
          <w:sz w:val="20"/>
          <w:szCs w:val="20"/>
          <w:lang w:val="en-US"/>
          <w14:ligatures w14:val="standardContextual"/>
        </w:rPr>
        <w:t xml:space="preserve"> dan </w:t>
      </w:r>
      <w:proofErr w:type="spellStart"/>
      <w:r w:rsidRPr="00D41C6B">
        <w:rPr>
          <w:rFonts w:ascii="Arial" w:eastAsiaTheme="minorHAnsi" w:hAnsi="Arial" w:cs="Arial"/>
          <w:i/>
          <w:iCs/>
          <w:sz w:val="20"/>
          <w:szCs w:val="20"/>
          <w:lang w:val="en-US"/>
          <w14:ligatures w14:val="standardContextual"/>
        </w:rPr>
        <w:t>Bisnis</w:t>
      </w:r>
      <w:proofErr w:type="spellEnd"/>
      <w:r w:rsidRPr="00D41C6B">
        <w:rPr>
          <w:rFonts w:ascii="Arial" w:eastAsiaTheme="minorHAnsi" w:hAnsi="Arial" w:cs="Arial"/>
          <w:i/>
          <w:iCs/>
          <w:sz w:val="20"/>
          <w:szCs w:val="20"/>
          <w:lang w:val="en-US"/>
          <w14:ligatures w14:val="standardContextual"/>
        </w:rPr>
        <w:t>, 24</w:t>
      </w:r>
      <w:r w:rsidRPr="00D41C6B">
        <w:rPr>
          <w:rFonts w:ascii="Arial" w:eastAsiaTheme="minorHAnsi" w:hAnsi="Arial" w:cs="Arial"/>
          <w:sz w:val="20"/>
          <w:szCs w:val="20"/>
          <w:lang w:val="en-US"/>
          <w14:ligatures w14:val="standardContextual"/>
        </w:rPr>
        <w:t>(1), 97–112.</w:t>
      </w:r>
    </w:p>
    <w:p w14:paraId="15E8D8BB" w14:textId="77777777" w:rsidR="0043117A" w:rsidRPr="00D41C6B" w:rsidRDefault="0043117A" w:rsidP="0043117A">
      <w:pPr>
        <w:autoSpaceDE w:val="0"/>
        <w:autoSpaceDN w:val="0"/>
        <w:adjustRightInd w:val="0"/>
        <w:ind w:left="1134" w:hanging="1134"/>
        <w:jc w:val="both"/>
        <w:rPr>
          <w:rFonts w:ascii="Arial" w:eastAsiaTheme="minorHAnsi" w:hAnsi="Arial" w:cs="Arial"/>
          <w:sz w:val="20"/>
          <w:szCs w:val="20"/>
          <w:lang w:val="en-US"/>
          <w14:ligatures w14:val="standardContextual"/>
        </w:rPr>
      </w:pPr>
      <w:proofErr w:type="spellStart"/>
      <w:r w:rsidRPr="00D41C6B">
        <w:rPr>
          <w:rFonts w:ascii="Arial" w:eastAsiaTheme="minorHAnsi" w:hAnsi="Arial" w:cs="Arial"/>
          <w:sz w:val="20"/>
          <w:szCs w:val="20"/>
          <w:lang w:val="en-US"/>
          <w14:ligatures w14:val="standardContextual"/>
        </w:rPr>
        <w:t>Sasono</w:t>
      </w:r>
      <w:proofErr w:type="spellEnd"/>
      <w:r w:rsidRPr="00D41C6B">
        <w:rPr>
          <w:rFonts w:ascii="Arial" w:eastAsiaTheme="minorHAnsi" w:hAnsi="Arial" w:cs="Arial"/>
          <w:sz w:val="20"/>
          <w:szCs w:val="20"/>
          <w:lang w:val="en-US"/>
          <w14:ligatures w14:val="standardContextual"/>
        </w:rPr>
        <w:t xml:space="preserve">, I., </w:t>
      </w:r>
      <w:proofErr w:type="spellStart"/>
      <w:r w:rsidRPr="00D41C6B">
        <w:rPr>
          <w:rFonts w:ascii="Arial" w:eastAsiaTheme="minorHAnsi" w:hAnsi="Arial" w:cs="Arial"/>
          <w:sz w:val="20"/>
          <w:szCs w:val="20"/>
          <w:lang w:val="en-US"/>
          <w14:ligatures w14:val="standardContextual"/>
        </w:rPr>
        <w:t>Anggraini</w:t>
      </w:r>
      <w:proofErr w:type="spellEnd"/>
      <w:r w:rsidRPr="00D41C6B">
        <w:rPr>
          <w:rFonts w:ascii="Arial" w:eastAsiaTheme="minorHAnsi" w:hAnsi="Arial" w:cs="Arial"/>
          <w:sz w:val="20"/>
          <w:szCs w:val="20"/>
          <w:lang w:val="en-US"/>
          <w14:ligatures w14:val="standardContextual"/>
        </w:rPr>
        <w:t xml:space="preserve">, R. P., &amp; </w:t>
      </w:r>
      <w:proofErr w:type="spellStart"/>
      <w:r w:rsidRPr="00D41C6B">
        <w:rPr>
          <w:rFonts w:ascii="Arial" w:eastAsiaTheme="minorHAnsi" w:hAnsi="Arial" w:cs="Arial"/>
          <w:sz w:val="20"/>
          <w:szCs w:val="20"/>
          <w:lang w:val="en-US"/>
          <w14:ligatures w14:val="standardContextual"/>
        </w:rPr>
        <w:t>Purnamasari</w:t>
      </w:r>
      <w:proofErr w:type="spellEnd"/>
      <w:r w:rsidRPr="00D41C6B">
        <w:rPr>
          <w:rFonts w:ascii="Arial" w:eastAsiaTheme="minorHAnsi" w:hAnsi="Arial" w:cs="Arial"/>
          <w:sz w:val="20"/>
          <w:szCs w:val="20"/>
          <w:lang w:val="en-US"/>
          <w14:ligatures w14:val="standardContextual"/>
        </w:rPr>
        <w:t xml:space="preserve">, R. (2024). </w:t>
      </w:r>
      <w:proofErr w:type="spellStart"/>
      <w:r w:rsidRPr="00D41C6B">
        <w:rPr>
          <w:rFonts w:ascii="Arial" w:eastAsiaTheme="minorHAnsi" w:hAnsi="Arial" w:cs="Arial"/>
          <w:sz w:val="20"/>
          <w:szCs w:val="20"/>
          <w:lang w:val="en-US"/>
          <w14:ligatures w14:val="standardContextual"/>
        </w:rPr>
        <w:t>Analisis</w:t>
      </w:r>
      <w:proofErr w:type="spellEnd"/>
      <w:r w:rsidRPr="00D41C6B">
        <w:rPr>
          <w:rFonts w:ascii="Arial" w:eastAsiaTheme="minorHAnsi" w:hAnsi="Arial" w:cs="Arial"/>
          <w:sz w:val="20"/>
          <w:szCs w:val="20"/>
          <w:lang w:val="en-US"/>
          <w14:ligatures w14:val="standardContextual"/>
        </w:rPr>
        <w:t xml:space="preserve"> </w:t>
      </w:r>
      <w:proofErr w:type="spellStart"/>
      <w:r w:rsidRPr="00D41C6B">
        <w:rPr>
          <w:rFonts w:ascii="Arial" w:eastAsiaTheme="minorHAnsi" w:hAnsi="Arial" w:cs="Arial"/>
          <w:sz w:val="20"/>
          <w:szCs w:val="20"/>
          <w:lang w:val="en-US"/>
          <w14:ligatures w14:val="standardContextual"/>
        </w:rPr>
        <w:t>kualitas</w:t>
      </w:r>
      <w:proofErr w:type="spellEnd"/>
      <w:r w:rsidRPr="00D41C6B">
        <w:rPr>
          <w:rFonts w:ascii="Arial" w:eastAsiaTheme="minorHAnsi" w:hAnsi="Arial" w:cs="Arial"/>
          <w:sz w:val="20"/>
          <w:szCs w:val="20"/>
          <w:lang w:val="en-US"/>
          <w14:ligatures w14:val="standardContextual"/>
        </w:rPr>
        <w:t xml:space="preserve"> </w:t>
      </w:r>
      <w:proofErr w:type="spellStart"/>
      <w:r w:rsidRPr="00D41C6B">
        <w:rPr>
          <w:rFonts w:ascii="Arial" w:eastAsiaTheme="minorHAnsi" w:hAnsi="Arial" w:cs="Arial"/>
          <w:sz w:val="20"/>
          <w:szCs w:val="20"/>
          <w:lang w:val="en-US"/>
          <w14:ligatures w14:val="standardContextual"/>
        </w:rPr>
        <w:t>pelayanan</w:t>
      </w:r>
      <w:proofErr w:type="spellEnd"/>
      <w:r w:rsidRPr="00D41C6B">
        <w:rPr>
          <w:rFonts w:ascii="Arial" w:eastAsiaTheme="minorHAnsi" w:hAnsi="Arial" w:cs="Arial"/>
          <w:sz w:val="20"/>
          <w:szCs w:val="20"/>
          <w:lang w:val="en-US"/>
          <w14:ligatures w14:val="standardContextual"/>
        </w:rPr>
        <w:t xml:space="preserve"> bank syariah </w:t>
      </w:r>
      <w:proofErr w:type="spellStart"/>
      <w:r w:rsidRPr="00D41C6B">
        <w:rPr>
          <w:rFonts w:ascii="Arial" w:eastAsiaTheme="minorHAnsi" w:hAnsi="Arial" w:cs="Arial"/>
          <w:sz w:val="20"/>
          <w:szCs w:val="20"/>
          <w:lang w:val="en-US"/>
          <w14:ligatures w14:val="standardContextual"/>
        </w:rPr>
        <w:t>menggunakan</w:t>
      </w:r>
      <w:proofErr w:type="spellEnd"/>
      <w:r w:rsidRPr="00D41C6B">
        <w:rPr>
          <w:rFonts w:ascii="Arial" w:eastAsiaTheme="minorHAnsi" w:hAnsi="Arial" w:cs="Arial"/>
          <w:sz w:val="20"/>
          <w:szCs w:val="20"/>
          <w:lang w:val="en-US"/>
          <w14:ligatures w14:val="standardContextual"/>
        </w:rPr>
        <w:t xml:space="preserve"> </w:t>
      </w:r>
      <w:proofErr w:type="spellStart"/>
      <w:r w:rsidRPr="00D41C6B">
        <w:rPr>
          <w:rFonts w:ascii="Arial" w:eastAsiaTheme="minorHAnsi" w:hAnsi="Arial" w:cs="Arial"/>
          <w:sz w:val="20"/>
          <w:szCs w:val="20"/>
          <w:lang w:val="en-US"/>
          <w14:ligatures w14:val="standardContextual"/>
        </w:rPr>
        <w:t>metode</w:t>
      </w:r>
      <w:proofErr w:type="spellEnd"/>
      <w:r w:rsidRPr="00D41C6B">
        <w:rPr>
          <w:rFonts w:ascii="Arial" w:eastAsiaTheme="minorHAnsi" w:hAnsi="Arial" w:cs="Arial"/>
          <w:sz w:val="20"/>
          <w:szCs w:val="20"/>
          <w:lang w:val="en-US"/>
          <w14:ligatures w14:val="standardContextual"/>
        </w:rPr>
        <w:t xml:space="preserve"> SERVQUAL. </w:t>
      </w:r>
      <w:proofErr w:type="spellStart"/>
      <w:r w:rsidRPr="00D41C6B">
        <w:rPr>
          <w:rFonts w:ascii="Arial" w:eastAsiaTheme="minorHAnsi" w:hAnsi="Arial" w:cs="Arial"/>
          <w:i/>
          <w:iCs/>
          <w:sz w:val="20"/>
          <w:szCs w:val="20"/>
          <w:lang w:val="en-US"/>
          <w14:ligatures w14:val="standardContextual"/>
        </w:rPr>
        <w:t>Jurnal</w:t>
      </w:r>
      <w:proofErr w:type="spellEnd"/>
      <w:r w:rsidRPr="00D41C6B">
        <w:rPr>
          <w:rFonts w:ascii="Arial" w:eastAsiaTheme="minorHAnsi" w:hAnsi="Arial" w:cs="Arial"/>
          <w:i/>
          <w:iCs/>
          <w:sz w:val="20"/>
          <w:szCs w:val="20"/>
          <w:lang w:val="en-US"/>
          <w14:ligatures w14:val="standardContextual"/>
        </w:rPr>
        <w:t xml:space="preserve"> Ekonomi dan </w:t>
      </w:r>
      <w:proofErr w:type="spellStart"/>
      <w:r w:rsidRPr="00D41C6B">
        <w:rPr>
          <w:rFonts w:ascii="Arial" w:eastAsiaTheme="minorHAnsi" w:hAnsi="Arial" w:cs="Arial"/>
          <w:i/>
          <w:iCs/>
          <w:sz w:val="20"/>
          <w:szCs w:val="20"/>
          <w:lang w:val="en-US"/>
          <w14:ligatures w14:val="standardContextual"/>
        </w:rPr>
        <w:t>Keuangan</w:t>
      </w:r>
      <w:proofErr w:type="spellEnd"/>
      <w:r w:rsidRPr="00D41C6B">
        <w:rPr>
          <w:rFonts w:ascii="Arial" w:eastAsiaTheme="minorHAnsi" w:hAnsi="Arial" w:cs="Arial"/>
          <w:i/>
          <w:iCs/>
          <w:sz w:val="20"/>
          <w:szCs w:val="20"/>
          <w:lang w:val="en-US"/>
          <w14:ligatures w14:val="standardContextual"/>
        </w:rPr>
        <w:t xml:space="preserve"> Islam, 10</w:t>
      </w:r>
      <w:r w:rsidRPr="00D41C6B">
        <w:rPr>
          <w:rFonts w:ascii="Arial" w:eastAsiaTheme="minorHAnsi" w:hAnsi="Arial" w:cs="Arial"/>
          <w:sz w:val="20"/>
          <w:szCs w:val="20"/>
          <w:lang w:val="en-US"/>
          <w14:ligatures w14:val="standardContextual"/>
        </w:rPr>
        <w:t>(1), 33–45.</w:t>
      </w:r>
    </w:p>
    <w:p w14:paraId="20CF450B" w14:textId="77777777" w:rsidR="0043117A" w:rsidRPr="00D41C6B" w:rsidRDefault="0043117A" w:rsidP="0043117A">
      <w:pPr>
        <w:autoSpaceDE w:val="0"/>
        <w:autoSpaceDN w:val="0"/>
        <w:adjustRightInd w:val="0"/>
        <w:ind w:left="1134" w:hanging="1134"/>
        <w:jc w:val="both"/>
        <w:rPr>
          <w:rFonts w:ascii="Arial" w:eastAsiaTheme="minorHAnsi" w:hAnsi="Arial" w:cs="Arial"/>
          <w:sz w:val="20"/>
          <w:szCs w:val="20"/>
          <w:lang w:val="en-US"/>
          <w14:ligatures w14:val="standardContextual"/>
        </w:rPr>
      </w:pPr>
      <w:r w:rsidRPr="00D41C6B">
        <w:rPr>
          <w:rFonts w:ascii="Arial" w:eastAsiaTheme="minorHAnsi" w:hAnsi="Arial" w:cs="Arial"/>
          <w:sz w:val="20"/>
          <w:szCs w:val="20"/>
          <w:lang w:val="en-US"/>
          <w14:ligatures w14:val="standardContextual"/>
        </w:rPr>
        <w:t xml:space="preserve">Shi, Y., &amp; Shang, W. (2020). Public service quality evaluation using extended SERVQUAL: A case study in the Chinese financial sector. </w:t>
      </w:r>
      <w:r w:rsidRPr="00D41C6B">
        <w:rPr>
          <w:rFonts w:ascii="Arial" w:eastAsiaTheme="minorHAnsi" w:hAnsi="Arial" w:cs="Arial"/>
          <w:i/>
          <w:iCs/>
          <w:sz w:val="20"/>
          <w:szCs w:val="20"/>
          <w:lang w:val="en-US"/>
          <w14:ligatures w14:val="standardContextual"/>
        </w:rPr>
        <w:t>Public Performance &amp; Management Review, 43</w:t>
      </w:r>
      <w:r w:rsidRPr="00D41C6B">
        <w:rPr>
          <w:rFonts w:ascii="Arial" w:eastAsiaTheme="minorHAnsi" w:hAnsi="Arial" w:cs="Arial"/>
          <w:sz w:val="20"/>
          <w:szCs w:val="20"/>
          <w:lang w:val="en-US"/>
          <w14:ligatures w14:val="standardContextual"/>
        </w:rPr>
        <w:t>(1), 136–158. https://doi.org/10.1080/15309576.2019.1604385</w:t>
      </w:r>
    </w:p>
    <w:p w14:paraId="4A9878EF" w14:textId="77777777" w:rsidR="0043117A" w:rsidRPr="00D41C6B" w:rsidRDefault="0043117A" w:rsidP="0043117A">
      <w:pPr>
        <w:autoSpaceDE w:val="0"/>
        <w:autoSpaceDN w:val="0"/>
        <w:adjustRightInd w:val="0"/>
        <w:ind w:left="1134" w:hanging="1134"/>
        <w:jc w:val="both"/>
        <w:rPr>
          <w:rFonts w:ascii="Arial" w:eastAsiaTheme="minorHAnsi" w:hAnsi="Arial" w:cs="Arial"/>
          <w:sz w:val="20"/>
          <w:szCs w:val="20"/>
          <w:lang w:val="en-US"/>
          <w14:ligatures w14:val="standardContextual"/>
        </w:rPr>
      </w:pPr>
      <w:r w:rsidRPr="00D41C6B">
        <w:rPr>
          <w:rFonts w:ascii="Arial" w:eastAsiaTheme="minorHAnsi" w:hAnsi="Arial" w:cs="Arial"/>
          <w:sz w:val="20"/>
          <w:szCs w:val="20"/>
          <w:lang w:val="en-US"/>
          <w14:ligatures w14:val="standardContextual"/>
        </w:rPr>
        <w:t xml:space="preserve">Siddiqi, K. O. (2011). Interrelations between service quality attributes, customer satisfaction and customer loyalty in the retail banking sector in Bangladesh. </w:t>
      </w:r>
      <w:r w:rsidRPr="00D41C6B">
        <w:rPr>
          <w:rFonts w:ascii="Arial" w:eastAsiaTheme="minorHAnsi" w:hAnsi="Arial" w:cs="Arial"/>
          <w:i/>
          <w:iCs/>
          <w:sz w:val="20"/>
          <w:szCs w:val="20"/>
          <w:lang w:val="en-US"/>
          <w14:ligatures w14:val="standardContextual"/>
        </w:rPr>
        <w:t>International Journal of Business and Management, 6</w:t>
      </w:r>
      <w:r w:rsidRPr="00D41C6B">
        <w:rPr>
          <w:rFonts w:ascii="Arial" w:eastAsiaTheme="minorHAnsi" w:hAnsi="Arial" w:cs="Arial"/>
          <w:sz w:val="20"/>
          <w:szCs w:val="20"/>
          <w:lang w:val="en-US"/>
          <w14:ligatures w14:val="standardContextual"/>
        </w:rPr>
        <w:t>(3), 12–36. https://doi.org/10.5539/ijbm.v6n3p12</w:t>
      </w:r>
    </w:p>
    <w:p w14:paraId="56643CAB" w14:textId="77777777" w:rsidR="0043117A" w:rsidRPr="00D41C6B" w:rsidRDefault="0043117A" w:rsidP="0043117A">
      <w:pPr>
        <w:autoSpaceDE w:val="0"/>
        <w:autoSpaceDN w:val="0"/>
        <w:adjustRightInd w:val="0"/>
        <w:ind w:left="1134" w:hanging="1134"/>
        <w:jc w:val="both"/>
        <w:rPr>
          <w:rFonts w:ascii="Arial" w:eastAsiaTheme="minorHAnsi" w:hAnsi="Arial" w:cs="Arial"/>
          <w:sz w:val="20"/>
          <w:szCs w:val="20"/>
          <w:lang w:val="en-US"/>
          <w14:ligatures w14:val="standardContextual"/>
        </w:rPr>
      </w:pPr>
      <w:proofErr w:type="spellStart"/>
      <w:r w:rsidRPr="00D41C6B">
        <w:rPr>
          <w:rFonts w:ascii="Arial" w:eastAsiaTheme="minorHAnsi" w:hAnsi="Arial" w:cs="Arial"/>
          <w:sz w:val="20"/>
          <w:szCs w:val="20"/>
          <w:lang w:val="en-US"/>
          <w14:ligatures w14:val="standardContextual"/>
        </w:rPr>
        <w:t>Sinollah</w:t>
      </w:r>
      <w:proofErr w:type="spellEnd"/>
      <w:r w:rsidRPr="00D41C6B">
        <w:rPr>
          <w:rFonts w:ascii="Arial" w:eastAsiaTheme="minorHAnsi" w:hAnsi="Arial" w:cs="Arial"/>
          <w:sz w:val="20"/>
          <w:szCs w:val="20"/>
          <w:lang w:val="en-US"/>
          <w14:ligatures w14:val="standardContextual"/>
        </w:rPr>
        <w:t xml:space="preserve">, S., &amp; </w:t>
      </w:r>
      <w:proofErr w:type="spellStart"/>
      <w:r w:rsidRPr="00D41C6B">
        <w:rPr>
          <w:rFonts w:ascii="Arial" w:eastAsiaTheme="minorHAnsi" w:hAnsi="Arial" w:cs="Arial"/>
          <w:sz w:val="20"/>
          <w:szCs w:val="20"/>
          <w:lang w:val="en-US"/>
          <w14:ligatures w14:val="standardContextual"/>
        </w:rPr>
        <w:t>Masruro</w:t>
      </w:r>
      <w:proofErr w:type="spellEnd"/>
      <w:r w:rsidRPr="00D41C6B">
        <w:rPr>
          <w:rFonts w:ascii="Arial" w:eastAsiaTheme="minorHAnsi" w:hAnsi="Arial" w:cs="Arial"/>
          <w:sz w:val="20"/>
          <w:szCs w:val="20"/>
          <w:lang w:val="en-US"/>
          <w14:ligatures w14:val="standardContextual"/>
        </w:rPr>
        <w:t xml:space="preserve">, A. (2019). </w:t>
      </w:r>
      <w:proofErr w:type="spellStart"/>
      <w:r w:rsidRPr="00D41C6B">
        <w:rPr>
          <w:rFonts w:ascii="Arial" w:eastAsiaTheme="minorHAnsi" w:hAnsi="Arial" w:cs="Arial"/>
          <w:sz w:val="20"/>
          <w:szCs w:val="20"/>
          <w:lang w:val="en-US"/>
          <w14:ligatures w14:val="standardContextual"/>
        </w:rPr>
        <w:t>Pengaruh</w:t>
      </w:r>
      <w:proofErr w:type="spellEnd"/>
      <w:r w:rsidRPr="00D41C6B">
        <w:rPr>
          <w:rFonts w:ascii="Arial" w:eastAsiaTheme="minorHAnsi" w:hAnsi="Arial" w:cs="Arial"/>
          <w:sz w:val="20"/>
          <w:szCs w:val="20"/>
          <w:lang w:val="en-US"/>
          <w14:ligatures w14:val="standardContextual"/>
        </w:rPr>
        <w:t xml:space="preserve"> </w:t>
      </w:r>
      <w:proofErr w:type="spellStart"/>
      <w:r w:rsidRPr="00D41C6B">
        <w:rPr>
          <w:rFonts w:ascii="Arial" w:eastAsiaTheme="minorHAnsi" w:hAnsi="Arial" w:cs="Arial"/>
          <w:sz w:val="20"/>
          <w:szCs w:val="20"/>
          <w:lang w:val="en-US"/>
          <w14:ligatures w14:val="standardContextual"/>
        </w:rPr>
        <w:t>kualitas</w:t>
      </w:r>
      <w:proofErr w:type="spellEnd"/>
      <w:r w:rsidRPr="00D41C6B">
        <w:rPr>
          <w:rFonts w:ascii="Arial" w:eastAsiaTheme="minorHAnsi" w:hAnsi="Arial" w:cs="Arial"/>
          <w:sz w:val="20"/>
          <w:szCs w:val="20"/>
          <w:lang w:val="en-US"/>
          <w14:ligatures w14:val="standardContextual"/>
        </w:rPr>
        <w:t xml:space="preserve"> </w:t>
      </w:r>
      <w:proofErr w:type="spellStart"/>
      <w:r w:rsidRPr="00D41C6B">
        <w:rPr>
          <w:rFonts w:ascii="Arial" w:eastAsiaTheme="minorHAnsi" w:hAnsi="Arial" w:cs="Arial"/>
          <w:sz w:val="20"/>
          <w:szCs w:val="20"/>
          <w:lang w:val="en-US"/>
          <w14:ligatures w14:val="standardContextual"/>
        </w:rPr>
        <w:t>pelayanan</w:t>
      </w:r>
      <w:proofErr w:type="spellEnd"/>
      <w:r w:rsidRPr="00D41C6B">
        <w:rPr>
          <w:rFonts w:ascii="Arial" w:eastAsiaTheme="minorHAnsi" w:hAnsi="Arial" w:cs="Arial"/>
          <w:sz w:val="20"/>
          <w:szCs w:val="20"/>
          <w:lang w:val="en-US"/>
          <w14:ligatures w14:val="standardContextual"/>
        </w:rPr>
        <w:t xml:space="preserve"> </w:t>
      </w:r>
      <w:proofErr w:type="spellStart"/>
      <w:r w:rsidRPr="00D41C6B">
        <w:rPr>
          <w:rFonts w:ascii="Arial" w:eastAsiaTheme="minorHAnsi" w:hAnsi="Arial" w:cs="Arial"/>
          <w:sz w:val="20"/>
          <w:szCs w:val="20"/>
          <w:lang w:val="en-US"/>
          <w14:ligatures w14:val="standardContextual"/>
        </w:rPr>
        <w:t>terhadap</w:t>
      </w:r>
      <w:proofErr w:type="spellEnd"/>
      <w:r w:rsidRPr="00D41C6B">
        <w:rPr>
          <w:rFonts w:ascii="Arial" w:eastAsiaTheme="minorHAnsi" w:hAnsi="Arial" w:cs="Arial"/>
          <w:sz w:val="20"/>
          <w:szCs w:val="20"/>
          <w:lang w:val="en-US"/>
          <w14:ligatures w14:val="standardContextual"/>
        </w:rPr>
        <w:t xml:space="preserve"> </w:t>
      </w:r>
      <w:proofErr w:type="spellStart"/>
      <w:r w:rsidRPr="00D41C6B">
        <w:rPr>
          <w:rFonts w:ascii="Arial" w:eastAsiaTheme="minorHAnsi" w:hAnsi="Arial" w:cs="Arial"/>
          <w:sz w:val="20"/>
          <w:szCs w:val="20"/>
          <w:lang w:val="en-US"/>
          <w14:ligatures w14:val="standardContextual"/>
        </w:rPr>
        <w:t>kepuasan</w:t>
      </w:r>
      <w:proofErr w:type="spellEnd"/>
      <w:r w:rsidRPr="00D41C6B">
        <w:rPr>
          <w:rFonts w:ascii="Arial" w:eastAsiaTheme="minorHAnsi" w:hAnsi="Arial" w:cs="Arial"/>
          <w:sz w:val="20"/>
          <w:szCs w:val="20"/>
          <w:lang w:val="en-US"/>
          <w14:ligatures w14:val="standardContextual"/>
        </w:rPr>
        <w:t xml:space="preserve"> dan </w:t>
      </w:r>
      <w:proofErr w:type="spellStart"/>
      <w:r w:rsidRPr="00D41C6B">
        <w:rPr>
          <w:rFonts w:ascii="Arial" w:eastAsiaTheme="minorHAnsi" w:hAnsi="Arial" w:cs="Arial"/>
          <w:sz w:val="20"/>
          <w:szCs w:val="20"/>
          <w:lang w:val="en-US"/>
          <w14:ligatures w14:val="standardContextual"/>
        </w:rPr>
        <w:t>loyalitas</w:t>
      </w:r>
      <w:proofErr w:type="spellEnd"/>
      <w:r w:rsidRPr="00D41C6B">
        <w:rPr>
          <w:rFonts w:ascii="Arial" w:eastAsiaTheme="minorHAnsi" w:hAnsi="Arial" w:cs="Arial"/>
          <w:sz w:val="20"/>
          <w:szCs w:val="20"/>
          <w:lang w:val="en-US"/>
          <w14:ligatures w14:val="standardContextual"/>
        </w:rPr>
        <w:t xml:space="preserve"> </w:t>
      </w:r>
      <w:proofErr w:type="spellStart"/>
      <w:r w:rsidRPr="00D41C6B">
        <w:rPr>
          <w:rFonts w:ascii="Arial" w:eastAsiaTheme="minorHAnsi" w:hAnsi="Arial" w:cs="Arial"/>
          <w:sz w:val="20"/>
          <w:szCs w:val="20"/>
          <w:lang w:val="en-US"/>
          <w14:ligatures w14:val="standardContextual"/>
        </w:rPr>
        <w:t>nasabah</w:t>
      </w:r>
      <w:proofErr w:type="spellEnd"/>
      <w:r w:rsidRPr="00D41C6B">
        <w:rPr>
          <w:rFonts w:ascii="Arial" w:eastAsiaTheme="minorHAnsi" w:hAnsi="Arial" w:cs="Arial"/>
          <w:sz w:val="20"/>
          <w:szCs w:val="20"/>
          <w:lang w:val="en-US"/>
          <w14:ligatures w14:val="standardContextual"/>
        </w:rPr>
        <w:t xml:space="preserve"> bank. </w:t>
      </w:r>
      <w:proofErr w:type="spellStart"/>
      <w:r w:rsidRPr="00D41C6B">
        <w:rPr>
          <w:rFonts w:ascii="Arial" w:eastAsiaTheme="minorHAnsi" w:hAnsi="Arial" w:cs="Arial"/>
          <w:i/>
          <w:iCs/>
          <w:sz w:val="20"/>
          <w:szCs w:val="20"/>
          <w:lang w:val="en-US"/>
          <w14:ligatures w14:val="standardContextual"/>
        </w:rPr>
        <w:t>Jurnal</w:t>
      </w:r>
      <w:proofErr w:type="spellEnd"/>
      <w:r w:rsidRPr="00D41C6B">
        <w:rPr>
          <w:rFonts w:ascii="Arial" w:eastAsiaTheme="minorHAnsi" w:hAnsi="Arial" w:cs="Arial"/>
          <w:i/>
          <w:iCs/>
          <w:sz w:val="20"/>
          <w:szCs w:val="20"/>
          <w:lang w:val="en-US"/>
          <w14:ligatures w14:val="standardContextual"/>
        </w:rPr>
        <w:t xml:space="preserve"> </w:t>
      </w:r>
      <w:proofErr w:type="spellStart"/>
      <w:r w:rsidRPr="00D41C6B">
        <w:rPr>
          <w:rFonts w:ascii="Arial" w:eastAsiaTheme="minorHAnsi" w:hAnsi="Arial" w:cs="Arial"/>
          <w:i/>
          <w:iCs/>
          <w:sz w:val="20"/>
          <w:szCs w:val="20"/>
          <w:lang w:val="en-US"/>
          <w14:ligatures w14:val="standardContextual"/>
        </w:rPr>
        <w:t>Ilmu</w:t>
      </w:r>
      <w:proofErr w:type="spellEnd"/>
      <w:r w:rsidRPr="00D41C6B">
        <w:rPr>
          <w:rFonts w:ascii="Arial" w:eastAsiaTheme="minorHAnsi" w:hAnsi="Arial" w:cs="Arial"/>
          <w:i/>
          <w:iCs/>
          <w:sz w:val="20"/>
          <w:szCs w:val="20"/>
          <w:lang w:val="en-US"/>
          <w14:ligatures w14:val="standardContextual"/>
        </w:rPr>
        <w:t xml:space="preserve"> </w:t>
      </w:r>
      <w:proofErr w:type="spellStart"/>
      <w:r w:rsidRPr="00D41C6B">
        <w:rPr>
          <w:rFonts w:ascii="Arial" w:eastAsiaTheme="minorHAnsi" w:hAnsi="Arial" w:cs="Arial"/>
          <w:i/>
          <w:iCs/>
          <w:sz w:val="20"/>
          <w:szCs w:val="20"/>
          <w:lang w:val="en-US"/>
          <w14:ligatures w14:val="standardContextual"/>
        </w:rPr>
        <w:t>Manajemen</w:t>
      </w:r>
      <w:proofErr w:type="spellEnd"/>
      <w:r w:rsidRPr="00D41C6B">
        <w:rPr>
          <w:rFonts w:ascii="Arial" w:eastAsiaTheme="minorHAnsi" w:hAnsi="Arial" w:cs="Arial"/>
          <w:i/>
          <w:iCs/>
          <w:sz w:val="20"/>
          <w:szCs w:val="20"/>
          <w:lang w:val="en-US"/>
          <w14:ligatures w14:val="standardContextual"/>
        </w:rPr>
        <w:t>, 7</w:t>
      </w:r>
      <w:r w:rsidRPr="00D41C6B">
        <w:rPr>
          <w:rFonts w:ascii="Arial" w:eastAsiaTheme="minorHAnsi" w:hAnsi="Arial" w:cs="Arial"/>
          <w:sz w:val="20"/>
          <w:szCs w:val="20"/>
          <w:lang w:val="en-US"/>
          <w14:ligatures w14:val="standardContextual"/>
        </w:rPr>
        <w:t>(2), 145–159.</w:t>
      </w:r>
    </w:p>
    <w:p w14:paraId="5E784FC6" w14:textId="77777777" w:rsidR="0043117A" w:rsidRPr="00D41C6B" w:rsidRDefault="0043117A" w:rsidP="0043117A">
      <w:pPr>
        <w:autoSpaceDE w:val="0"/>
        <w:autoSpaceDN w:val="0"/>
        <w:adjustRightInd w:val="0"/>
        <w:ind w:left="1134" w:hanging="1134"/>
        <w:jc w:val="both"/>
        <w:rPr>
          <w:rFonts w:ascii="Arial" w:eastAsiaTheme="minorHAnsi" w:hAnsi="Arial" w:cs="Arial"/>
          <w:sz w:val="20"/>
          <w:szCs w:val="20"/>
          <w:lang w:val="en-US"/>
          <w14:ligatures w14:val="standardContextual"/>
        </w:rPr>
      </w:pPr>
      <w:proofErr w:type="spellStart"/>
      <w:r w:rsidRPr="00D41C6B">
        <w:rPr>
          <w:rFonts w:ascii="Arial" w:eastAsiaTheme="minorHAnsi" w:hAnsi="Arial" w:cs="Arial"/>
          <w:sz w:val="20"/>
          <w:szCs w:val="20"/>
          <w:lang w:val="en-US"/>
          <w14:ligatures w14:val="standardContextual"/>
        </w:rPr>
        <w:t>Sugiyono</w:t>
      </w:r>
      <w:proofErr w:type="spellEnd"/>
      <w:r w:rsidRPr="00D41C6B">
        <w:rPr>
          <w:rFonts w:ascii="Arial" w:eastAsiaTheme="minorHAnsi" w:hAnsi="Arial" w:cs="Arial"/>
          <w:sz w:val="20"/>
          <w:szCs w:val="20"/>
          <w:lang w:val="en-US"/>
          <w14:ligatures w14:val="standardContextual"/>
        </w:rPr>
        <w:t xml:space="preserve">. (2019). </w:t>
      </w:r>
      <w:r w:rsidRPr="00D41C6B">
        <w:rPr>
          <w:rFonts w:ascii="Arial" w:eastAsiaTheme="minorHAnsi" w:hAnsi="Arial" w:cs="Arial"/>
          <w:i/>
          <w:iCs/>
          <w:sz w:val="20"/>
          <w:szCs w:val="20"/>
          <w:lang w:val="en-US"/>
          <w14:ligatures w14:val="standardContextual"/>
        </w:rPr>
        <w:t xml:space="preserve">Metode </w:t>
      </w:r>
      <w:proofErr w:type="spellStart"/>
      <w:r w:rsidRPr="00D41C6B">
        <w:rPr>
          <w:rFonts w:ascii="Arial" w:eastAsiaTheme="minorHAnsi" w:hAnsi="Arial" w:cs="Arial"/>
          <w:i/>
          <w:iCs/>
          <w:sz w:val="20"/>
          <w:szCs w:val="20"/>
          <w:lang w:val="en-US"/>
          <w14:ligatures w14:val="standardContextual"/>
        </w:rPr>
        <w:t>penelitian</w:t>
      </w:r>
      <w:proofErr w:type="spellEnd"/>
      <w:r w:rsidRPr="00D41C6B">
        <w:rPr>
          <w:rFonts w:ascii="Arial" w:eastAsiaTheme="minorHAnsi" w:hAnsi="Arial" w:cs="Arial"/>
          <w:i/>
          <w:iCs/>
          <w:sz w:val="20"/>
          <w:szCs w:val="20"/>
          <w:lang w:val="en-US"/>
          <w14:ligatures w14:val="standardContextual"/>
        </w:rPr>
        <w:t xml:space="preserve"> </w:t>
      </w:r>
      <w:proofErr w:type="spellStart"/>
      <w:r w:rsidRPr="00D41C6B">
        <w:rPr>
          <w:rFonts w:ascii="Arial" w:eastAsiaTheme="minorHAnsi" w:hAnsi="Arial" w:cs="Arial"/>
          <w:i/>
          <w:iCs/>
          <w:sz w:val="20"/>
          <w:szCs w:val="20"/>
          <w:lang w:val="en-US"/>
          <w14:ligatures w14:val="standardContextual"/>
        </w:rPr>
        <w:t>kualitatif</w:t>
      </w:r>
      <w:proofErr w:type="spellEnd"/>
      <w:r w:rsidRPr="00D41C6B">
        <w:rPr>
          <w:rFonts w:ascii="Arial" w:eastAsiaTheme="minorHAnsi" w:hAnsi="Arial" w:cs="Arial"/>
          <w:i/>
          <w:iCs/>
          <w:sz w:val="20"/>
          <w:szCs w:val="20"/>
          <w:lang w:val="en-US"/>
          <w14:ligatures w14:val="standardContextual"/>
        </w:rPr>
        <w:t xml:space="preserve">, </w:t>
      </w:r>
      <w:proofErr w:type="spellStart"/>
      <w:r w:rsidRPr="00D41C6B">
        <w:rPr>
          <w:rFonts w:ascii="Arial" w:eastAsiaTheme="minorHAnsi" w:hAnsi="Arial" w:cs="Arial"/>
          <w:i/>
          <w:iCs/>
          <w:sz w:val="20"/>
          <w:szCs w:val="20"/>
          <w:lang w:val="en-US"/>
          <w14:ligatures w14:val="standardContextual"/>
        </w:rPr>
        <w:t>kuantitatif</w:t>
      </w:r>
      <w:proofErr w:type="spellEnd"/>
      <w:r w:rsidRPr="00D41C6B">
        <w:rPr>
          <w:rFonts w:ascii="Arial" w:eastAsiaTheme="minorHAnsi" w:hAnsi="Arial" w:cs="Arial"/>
          <w:i/>
          <w:iCs/>
          <w:sz w:val="20"/>
          <w:szCs w:val="20"/>
          <w:lang w:val="en-US"/>
          <w14:ligatures w14:val="standardContextual"/>
        </w:rPr>
        <w:t>, dan R&amp;D</w:t>
      </w:r>
      <w:r w:rsidRPr="00D41C6B">
        <w:rPr>
          <w:rFonts w:ascii="Arial" w:eastAsiaTheme="minorHAnsi" w:hAnsi="Arial" w:cs="Arial"/>
          <w:sz w:val="20"/>
          <w:szCs w:val="20"/>
          <w:lang w:val="en-US"/>
          <w14:ligatures w14:val="standardContextual"/>
        </w:rPr>
        <w:t xml:space="preserve"> (2nd ed.). </w:t>
      </w:r>
      <w:proofErr w:type="spellStart"/>
      <w:r w:rsidRPr="00D41C6B">
        <w:rPr>
          <w:rFonts w:ascii="Arial" w:eastAsiaTheme="minorHAnsi" w:hAnsi="Arial" w:cs="Arial"/>
          <w:sz w:val="20"/>
          <w:szCs w:val="20"/>
          <w:lang w:val="en-US"/>
          <w14:ligatures w14:val="standardContextual"/>
        </w:rPr>
        <w:t>Alfabeta</w:t>
      </w:r>
      <w:proofErr w:type="spellEnd"/>
      <w:r w:rsidRPr="00D41C6B">
        <w:rPr>
          <w:rFonts w:ascii="Arial" w:eastAsiaTheme="minorHAnsi" w:hAnsi="Arial" w:cs="Arial"/>
          <w:sz w:val="20"/>
          <w:szCs w:val="20"/>
          <w:lang w:val="en-US"/>
          <w14:ligatures w14:val="standardContextual"/>
        </w:rPr>
        <w:t>.</w:t>
      </w:r>
    </w:p>
    <w:p w14:paraId="48994F19" w14:textId="77777777" w:rsidR="0043117A" w:rsidRPr="00D41C6B" w:rsidRDefault="0043117A" w:rsidP="0043117A">
      <w:pPr>
        <w:autoSpaceDE w:val="0"/>
        <w:autoSpaceDN w:val="0"/>
        <w:adjustRightInd w:val="0"/>
        <w:ind w:left="1134" w:hanging="1134"/>
        <w:jc w:val="both"/>
        <w:rPr>
          <w:rFonts w:ascii="Arial" w:eastAsiaTheme="minorHAnsi" w:hAnsi="Arial" w:cs="Arial"/>
          <w:sz w:val="20"/>
          <w:szCs w:val="20"/>
          <w:lang w:val="en-US"/>
          <w14:ligatures w14:val="standardContextual"/>
        </w:rPr>
      </w:pPr>
      <w:proofErr w:type="spellStart"/>
      <w:r w:rsidRPr="00D41C6B">
        <w:rPr>
          <w:rFonts w:ascii="Arial" w:eastAsiaTheme="minorHAnsi" w:hAnsi="Arial" w:cs="Arial"/>
          <w:sz w:val="20"/>
          <w:szCs w:val="20"/>
          <w:lang w:val="en-US"/>
          <w14:ligatures w14:val="standardContextual"/>
        </w:rPr>
        <w:t>Undang-Undang</w:t>
      </w:r>
      <w:proofErr w:type="spellEnd"/>
      <w:r w:rsidRPr="00D41C6B">
        <w:rPr>
          <w:rFonts w:ascii="Arial" w:eastAsiaTheme="minorHAnsi" w:hAnsi="Arial" w:cs="Arial"/>
          <w:sz w:val="20"/>
          <w:szCs w:val="20"/>
          <w:lang w:val="en-US"/>
          <w14:ligatures w14:val="standardContextual"/>
        </w:rPr>
        <w:t xml:space="preserve"> Republik Indonesia No. 10 </w:t>
      </w:r>
      <w:proofErr w:type="spellStart"/>
      <w:r w:rsidRPr="00D41C6B">
        <w:rPr>
          <w:rFonts w:ascii="Arial" w:eastAsiaTheme="minorHAnsi" w:hAnsi="Arial" w:cs="Arial"/>
          <w:sz w:val="20"/>
          <w:szCs w:val="20"/>
          <w:lang w:val="en-US"/>
          <w14:ligatures w14:val="standardContextual"/>
        </w:rPr>
        <w:t>Tahun</w:t>
      </w:r>
      <w:proofErr w:type="spellEnd"/>
      <w:r w:rsidRPr="00D41C6B">
        <w:rPr>
          <w:rFonts w:ascii="Arial" w:eastAsiaTheme="minorHAnsi" w:hAnsi="Arial" w:cs="Arial"/>
          <w:sz w:val="20"/>
          <w:szCs w:val="20"/>
          <w:lang w:val="en-US"/>
          <w14:ligatures w14:val="standardContextual"/>
        </w:rPr>
        <w:t xml:space="preserve"> 1998 </w:t>
      </w:r>
      <w:proofErr w:type="spellStart"/>
      <w:r w:rsidRPr="00D41C6B">
        <w:rPr>
          <w:rFonts w:ascii="Arial" w:eastAsiaTheme="minorHAnsi" w:hAnsi="Arial" w:cs="Arial"/>
          <w:sz w:val="20"/>
          <w:szCs w:val="20"/>
          <w:lang w:val="en-US"/>
          <w14:ligatures w14:val="standardContextual"/>
        </w:rPr>
        <w:t>tentang</w:t>
      </w:r>
      <w:proofErr w:type="spellEnd"/>
      <w:r w:rsidRPr="00D41C6B">
        <w:rPr>
          <w:rFonts w:ascii="Arial" w:eastAsiaTheme="minorHAnsi" w:hAnsi="Arial" w:cs="Arial"/>
          <w:sz w:val="20"/>
          <w:szCs w:val="20"/>
          <w:lang w:val="en-US"/>
          <w14:ligatures w14:val="standardContextual"/>
        </w:rPr>
        <w:t xml:space="preserve"> </w:t>
      </w:r>
      <w:proofErr w:type="spellStart"/>
      <w:r w:rsidRPr="00D41C6B">
        <w:rPr>
          <w:rFonts w:ascii="Arial" w:eastAsiaTheme="minorHAnsi" w:hAnsi="Arial" w:cs="Arial"/>
          <w:sz w:val="20"/>
          <w:szCs w:val="20"/>
          <w:lang w:val="en-US"/>
          <w14:ligatures w14:val="standardContextual"/>
        </w:rPr>
        <w:t>Perubahan</w:t>
      </w:r>
      <w:proofErr w:type="spellEnd"/>
      <w:r w:rsidRPr="00D41C6B">
        <w:rPr>
          <w:rFonts w:ascii="Arial" w:eastAsiaTheme="minorHAnsi" w:hAnsi="Arial" w:cs="Arial"/>
          <w:sz w:val="20"/>
          <w:szCs w:val="20"/>
          <w:lang w:val="en-US"/>
          <w14:ligatures w14:val="standardContextual"/>
        </w:rPr>
        <w:t xml:space="preserve"> </w:t>
      </w:r>
      <w:proofErr w:type="spellStart"/>
      <w:r w:rsidRPr="00D41C6B">
        <w:rPr>
          <w:rFonts w:ascii="Arial" w:eastAsiaTheme="minorHAnsi" w:hAnsi="Arial" w:cs="Arial"/>
          <w:sz w:val="20"/>
          <w:szCs w:val="20"/>
          <w:lang w:val="en-US"/>
          <w14:ligatures w14:val="standardContextual"/>
        </w:rPr>
        <w:t>atas</w:t>
      </w:r>
      <w:proofErr w:type="spellEnd"/>
      <w:r w:rsidRPr="00D41C6B">
        <w:rPr>
          <w:rFonts w:ascii="Arial" w:eastAsiaTheme="minorHAnsi" w:hAnsi="Arial" w:cs="Arial"/>
          <w:sz w:val="20"/>
          <w:szCs w:val="20"/>
          <w:lang w:val="en-US"/>
          <w14:ligatures w14:val="standardContextual"/>
        </w:rPr>
        <w:t xml:space="preserve"> UU No. 7 </w:t>
      </w:r>
      <w:proofErr w:type="spellStart"/>
      <w:r w:rsidRPr="00D41C6B">
        <w:rPr>
          <w:rFonts w:ascii="Arial" w:eastAsiaTheme="minorHAnsi" w:hAnsi="Arial" w:cs="Arial"/>
          <w:sz w:val="20"/>
          <w:szCs w:val="20"/>
          <w:lang w:val="en-US"/>
          <w14:ligatures w14:val="standardContextual"/>
        </w:rPr>
        <w:t>Tahun</w:t>
      </w:r>
      <w:proofErr w:type="spellEnd"/>
      <w:r w:rsidRPr="00D41C6B">
        <w:rPr>
          <w:rFonts w:ascii="Arial" w:eastAsiaTheme="minorHAnsi" w:hAnsi="Arial" w:cs="Arial"/>
          <w:sz w:val="20"/>
          <w:szCs w:val="20"/>
          <w:lang w:val="en-US"/>
          <w14:ligatures w14:val="standardContextual"/>
        </w:rPr>
        <w:t xml:space="preserve"> 1992 </w:t>
      </w:r>
      <w:proofErr w:type="spellStart"/>
      <w:r w:rsidRPr="00D41C6B">
        <w:rPr>
          <w:rFonts w:ascii="Arial" w:eastAsiaTheme="minorHAnsi" w:hAnsi="Arial" w:cs="Arial"/>
          <w:sz w:val="20"/>
          <w:szCs w:val="20"/>
          <w:lang w:val="en-US"/>
          <w14:ligatures w14:val="standardContextual"/>
        </w:rPr>
        <w:t>tentang</w:t>
      </w:r>
      <w:proofErr w:type="spellEnd"/>
      <w:r w:rsidRPr="00D41C6B">
        <w:rPr>
          <w:rFonts w:ascii="Arial" w:eastAsiaTheme="minorHAnsi" w:hAnsi="Arial" w:cs="Arial"/>
          <w:sz w:val="20"/>
          <w:szCs w:val="20"/>
          <w:lang w:val="en-US"/>
          <w14:ligatures w14:val="standardContextual"/>
        </w:rPr>
        <w:t xml:space="preserve"> </w:t>
      </w:r>
      <w:proofErr w:type="spellStart"/>
      <w:r w:rsidRPr="00D41C6B">
        <w:rPr>
          <w:rFonts w:ascii="Arial" w:eastAsiaTheme="minorHAnsi" w:hAnsi="Arial" w:cs="Arial"/>
          <w:sz w:val="20"/>
          <w:szCs w:val="20"/>
          <w:lang w:val="en-US"/>
          <w14:ligatures w14:val="standardContextual"/>
        </w:rPr>
        <w:t>Perbankan</w:t>
      </w:r>
      <w:proofErr w:type="spellEnd"/>
      <w:r w:rsidRPr="00D41C6B">
        <w:rPr>
          <w:rFonts w:ascii="Arial" w:eastAsiaTheme="minorHAnsi" w:hAnsi="Arial" w:cs="Arial"/>
          <w:sz w:val="20"/>
          <w:szCs w:val="20"/>
          <w:lang w:val="en-US"/>
          <w14:ligatures w14:val="standardContextual"/>
        </w:rPr>
        <w:t xml:space="preserve">. </w:t>
      </w:r>
      <w:proofErr w:type="spellStart"/>
      <w:r w:rsidRPr="00D41C6B">
        <w:rPr>
          <w:rFonts w:ascii="Arial" w:eastAsiaTheme="minorHAnsi" w:hAnsi="Arial" w:cs="Arial"/>
          <w:sz w:val="20"/>
          <w:szCs w:val="20"/>
          <w:lang w:val="en-US"/>
          <w14:ligatures w14:val="standardContextual"/>
        </w:rPr>
        <w:t>Lembaran</w:t>
      </w:r>
      <w:proofErr w:type="spellEnd"/>
      <w:r w:rsidRPr="00D41C6B">
        <w:rPr>
          <w:rFonts w:ascii="Arial" w:eastAsiaTheme="minorHAnsi" w:hAnsi="Arial" w:cs="Arial"/>
          <w:sz w:val="20"/>
          <w:szCs w:val="20"/>
          <w:lang w:val="en-US"/>
          <w14:ligatures w14:val="standardContextual"/>
        </w:rPr>
        <w:t xml:space="preserve"> Negara RI </w:t>
      </w:r>
      <w:proofErr w:type="spellStart"/>
      <w:r w:rsidRPr="00D41C6B">
        <w:rPr>
          <w:rFonts w:ascii="Arial" w:eastAsiaTheme="minorHAnsi" w:hAnsi="Arial" w:cs="Arial"/>
          <w:sz w:val="20"/>
          <w:szCs w:val="20"/>
          <w:lang w:val="en-US"/>
          <w14:ligatures w14:val="standardContextual"/>
        </w:rPr>
        <w:t>Tahun</w:t>
      </w:r>
      <w:proofErr w:type="spellEnd"/>
      <w:r w:rsidRPr="00D41C6B">
        <w:rPr>
          <w:rFonts w:ascii="Arial" w:eastAsiaTheme="minorHAnsi" w:hAnsi="Arial" w:cs="Arial"/>
          <w:sz w:val="20"/>
          <w:szCs w:val="20"/>
          <w:lang w:val="en-US"/>
          <w14:ligatures w14:val="standardContextual"/>
        </w:rPr>
        <w:t xml:space="preserve"> 1998 </w:t>
      </w:r>
      <w:proofErr w:type="spellStart"/>
      <w:r w:rsidRPr="00D41C6B">
        <w:rPr>
          <w:rFonts w:ascii="Arial" w:eastAsiaTheme="minorHAnsi" w:hAnsi="Arial" w:cs="Arial"/>
          <w:sz w:val="20"/>
          <w:szCs w:val="20"/>
          <w:lang w:val="en-US"/>
          <w14:ligatures w14:val="standardContextual"/>
        </w:rPr>
        <w:t>Nomor</w:t>
      </w:r>
      <w:proofErr w:type="spellEnd"/>
      <w:r w:rsidRPr="00D41C6B">
        <w:rPr>
          <w:rFonts w:ascii="Arial" w:eastAsiaTheme="minorHAnsi" w:hAnsi="Arial" w:cs="Arial"/>
          <w:sz w:val="20"/>
          <w:szCs w:val="20"/>
          <w:lang w:val="en-US"/>
          <w14:ligatures w14:val="standardContextual"/>
        </w:rPr>
        <w:t xml:space="preserve"> 182.</w:t>
      </w:r>
    </w:p>
    <w:p w14:paraId="3C7C48B3" w14:textId="77777777" w:rsidR="0043117A" w:rsidRPr="00D41C6B" w:rsidRDefault="0043117A" w:rsidP="0043117A">
      <w:pPr>
        <w:autoSpaceDE w:val="0"/>
        <w:autoSpaceDN w:val="0"/>
        <w:adjustRightInd w:val="0"/>
        <w:ind w:left="1134" w:hanging="1134"/>
        <w:jc w:val="both"/>
        <w:rPr>
          <w:rFonts w:ascii="Arial" w:eastAsiaTheme="minorHAnsi" w:hAnsi="Arial" w:cs="Arial"/>
          <w:sz w:val="20"/>
          <w:szCs w:val="20"/>
          <w:lang w:val="en-US"/>
          <w14:ligatures w14:val="standardContextual"/>
        </w:rPr>
      </w:pPr>
      <w:r w:rsidRPr="00D41C6B">
        <w:rPr>
          <w:rFonts w:ascii="Arial" w:eastAsiaTheme="minorHAnsi" w:hAnsi="Arial" w:cs="Arial"/>
          <w:sz w:val="20"/>
          <w:szCs w:val="20"/>
          <w:lang w:val="en-US"/>
          <w14:ligatures w14:val="standardContextual"/>
        </w:rPr>
        <w:t xml:space="preserve">Wang, Y., Lo, H. P., &amp; Yang, Y. (2004). An integrated framework for service quality, customer value, satisfaction: Evidence from China's telecommunication industry. </w:t>
      </w:r>
      <w:r w:rsidRPr="00D41C6B">
        <w:rPr>
          <w:rFonts w:ascii="Arial" w:eastAsiaTheme="minorHAnsi" w:hAnsi="Arial" w:cs="Arial"/>
          <w:i/>
          <w:iCs/>
          <w:sz w:val="20"/>
          <w:szCs w:val="20"/>
          <w:lang w:val="en-US"/>
          <w14:ligatures w14:val="standardContextual"/>
        </w:rPr>
        <w:t>Information Systems Frontiers, 6</w:t>
      </w:r>
      <w:r w:rsidRPr="00D41C6B">
        <w:rPr>
          <w:rFonts w:ascii="Arial" w:eastAsiaTheme="minorHAnsi" w:hAnsi="Arial" w:cs="Arial"/>
          <w:sz w:val="20"/>
          <w:szCs w:val="20"/>
          <w:lang w:val="en-US"/>
          <w14:ligatures w14:val="standardContextual"/>
        </w:rPr>
        <w:t>(4), 325–340. https://doi.org/10.1023/B:ISFI.0000046375.72726.67</w:t>
      </w:r>
    </w:p>
    <w:p w14:paraId="06FDD3F9" w14:textId="77777777" w:rsidR="0043117A" w:rsidRPr="00D41C6B" w:rsidRDefault="0043117A" w:rsidP="0043117A">
      <w:pPr>
        <w:autoSpaceDE w:val="0"/>
        <w:autoSpaceDN w:val="0"/>
        <w:adjustRightInd w:val="0"/>
        <w:ind w:left="1134" w:hanging="1134"/>
        <w:jc w:val="both"/>
        <w:rPr>
          <w:rFonts w:ascii="Arial" w:eastAsiaTheme="minorHAnsi" w:hAnsi="Arial" w:cs="Arial"/>
          <w:sz w:val="20"/>
          <w:szCs w:val="20"/>
          <w:lang w:val="en-US"/>
          <w14:ligatures w14:val="standardContextual"/>
        </w:rPr>
      </w:pPr>
      <w:r w:rsidRPr="00D41C6B">
        <w:rPr>
          <w:rFonts w:ascii="Arial" w:eastAsiaTheme="minorHAnsi" w:hAnsi="Arial" w:cs="Arial"/>
          <w:sz w:val="20"/>
          <w:szCs w:val="20"/>
          <w:lang w:val="en-US"/>
          <w14:ligatures w14:val="standardContextual"/>
        </w:rPr>
        <w:t xml:space="preserve">Yap, B. W., Ramayah, T., &amp; </w:t>
      </w:r>
      <w:proofErr w:type="spellStart"/>
      <w:r w:rsidRPr="00D41C6B">
        <w:rPr>
          <w:rFonts w:ascii="Arial" w:eastAsiaTheme="minorHAnsi" w:hAnsi="Arial" w:cs="Arial"/>
          <w:sz w:val="20"/>
          <w:szCs w:val="20"/>
          <w:lang w:val="en-US"/>
          <w14:ligatures w14:val="standardContextual"/>
        </w:rPr>
        <w:t>Shahidan</w:t>
      </w:r>
      <w:proofErr w:type="spellEnd"/>
      <w:r w:rsidRPr="00D41C6B">
        <w:rPr>
          <w:rFonts w:ascii="Arial" w:eastAsiaTheme="minorHAnsi" w:hAnsi="Arial" w:cs="Arial"/>
          <w:sz w:val="20"/>
          <w:szCs w:val="20"/>
          <w:lang w:val="en-US"/>
          <w14:ligatures w14:val="standardContextual"/>
        </w:rPr>
        <w:t xml:space="preserve">, W. N. W. (2012). Satisfaction and trust on customer loyalty: A PLS approach. </w:t>
      </w:r>
      <w:r w:rsidRPr="00D41C6B">
        <w:rPr>
          <w:rFonts w:ascii="Arial" w:eastAsiaTheme="minorHAnsi" w:hAnsi="Arial" w:cs="Arial"/>
          <w:i/>
          <w:iCs/>
          <w:sz w:val="20"/>
          <w:szCs w:val="20"/>
          <w:lang w:val="en-US"/>
          <w14:ligatures w14:val="standardContextual"/>
        </w:rPr>
        <w:t>Business Strategy Series, 13</w:t>
      </w:r>
      <w:r w:rsidRPr="00D41C6B">
        <w:rPr>
          <w:rFonts w:ascii="Arial" w:eastAsiaTheme="minorHAnsi" w:hAnsi="Arial" w:cs="Arial"/>
          <w:sz w:val="20"/>
          <w:szCs w:val="20"/>
          <w:lang w:val="en-US"/>
          <w14:ligatures w14:val="standardContextual"/>
        </w:rPr>
        <w:t>(4), 154–167. https://doi.org/10.1108/17515631211246221</w:t>
      </w:r>
    </w:p>
    <w:p w14:paraId="52B99BDF" w14:textId="77777777" w:rsidR="0043117A" w:rsidRPr="00D41C6B" w:rsidRDefault="0043117A" w:rsidP="0043117A">
      <w:pPr>
        <w:ind w:left="1134" w:hanging="1134"/>
        <w:jc w:val="both"/>
        <w:rPr>
          <w:rFonts w:ascii="Arial" w:hAnsi="Arial" w:cs="Arial"/>
          <w:b/>
          <w:bCs/>
          <w:sz w:val="20"/>
          <w:szCs w:val="20"/>
          <w:lang w:val="en-US"/>
        </w:rPr>
      </w:pPr>
    </w:p>
    <w:p w14:paraId="359D9E7E" w14:textId="77777777" w:rsidR="00A4413B" w:rsidRPr="00D41C6B" w:rsidRDefault="00A4413B" w:rsidP="0043117A">
      <w:pPr>
        <w:pStyle w:val="NormalWeb"/>
        <w:spacing w:before="0" w:beforeAutospacing="0" w:after="0" w:afterAutospacing="0"/>
        <w:ind w:left="1276" w:hanging="1276"/>
        <w:jc w:val="both"/>
        <w:rPr>
          <w:rFonts w:ascii="Arial" w:hAnsi="Arial" w:cs="Arial"/>
          <w:sz w:val="20"/>
          <w:szCs w:val="20"/>
          <w:lang w:val="en-US"/>
        </w:rPr>
      </w:pPr>
    </w:p>
    <w:sectPr w:rsidR="00A4413B" w:rsidRPr="00D41C6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0302D" w14:textId="77777777" w:rsidR="007025DA" w:rsidRDefault="007025DA" w:rsidP="007A54DF">
      <w:r>
        <w:separator/>
      </w:r>
    </w:p>
  </w:endnote>
  <w:endnote w:type="continuationSeparator" w:id="0">
    <w:p w14:paraId="78D1BB4A" w14:textId="77777777" w:rsidR="007025DA" w:rsidRDefault="007025DA" w:rsidP="007A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D85B" w14:textId="77777777" w:rsidR="00792A91" w:rsidRDefault="00792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8CD7" w14:textId="77777777" w:rsidR="00792A91" w:rsidRDefault="00792A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AEDB" w14:textId="77777777" w:rsidR="00792A91" w:rsidRDefault="00792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F70DF" w14:textId="77777777" w:rsidR="007025DA" w:rsidRDefault="007025DA" w:rsidP="007A54DF">
      <w:r>
        <w:separator/>
      </w:r>
    </w:p>
  </w:footnote>
  <w:footnote w:type="continuationSeparator" w:id="0">
    <w:p w14:paraId="649937A0" w14:textId="77777777" w:rsidR="007025DA" w:rsidRDefault="007025DA" w:rsidP="007A5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3C808" w14:textId="51920A35" w:rsidR="00792A91" w:rsidRDefault="00792A91">
    <w:pPr>
      <w:pStyle w:val="Header"/>
    </w:pPr>
    <w:r>
      <w:rPr>
        <w:noProof/>
      </w:rPr>
      <w:pict w14:anchorId="7504BB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237110"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601C" w14:textId="30FCCAD1" w:rsidR="00792A91" w:rsidRDefault="00792A91">
    <w:pPr>
      <w:pStyle w:val="Header"/>
    </w:pPr>
    <w:r>
      <w:rPr>
        <w:noProof/>
      </w:rPr>
      <w:pict w14:anchorId="09C3A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237111"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8493" w14:textId="0966E908" w:rsidR="00792A91" w:rsidRDefault="00792A91">
    <w:pPr>
      <w:pStyle w:val="Header"/>
    </w:pPr>
    <w:r>
      <w:rPr>
        <w:noProof/>
      </w:rPr>
      <w:pict w14:anchorId="7169F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237109"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0FB0"/>
    <w:multiLevelType w:val="hybridMultilevel"/>
    <w:tmpl w:val="F280C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A6BAB"/>
    <w:multiLevelType w:val="hybridMultilevel"/>
    <w:tmpl w:val="AB985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42A10"/>
    <w:multiLevelType w:val="hybridMultilevel"/>
    <w:tmpl w:val="A3A2F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DE208F"/>
    <w:multiLevelType w:val="multilevel"/>
    <w:tmpl w:val="97C2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E7C18"/>
    <w:multiLevelType w:val="multilevel"/>
    <w:tmpl w:val="1306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4E16D5"/>
    <w:multiLevelType w:val="multilevel"/>
    <w:tmpl w:val="5C9C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1458F"/>
    <w:multiLevelType w:val="multilevel"/>
    <w:tmpl w:val="68C4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3A17DF"/>
    <w:multiLevelType w:val="multilevel"/>
    <w:tmpl w:val="0B4A6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2A1B5F"/>
    <w:multiLevelType w:val="hybridMultilevel"/>
    <w:tmpl w:val="A0BCF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157868"/>
    <w:multiLevelType w:val="multilevel"/>
    <w:tmpl w:val="E970F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977881"/>
    <w:multiLevelType w:val="multilevel"/>
    <w:tmpl w:val="9292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854022">
    <w:abstractNumId w:val="7"/>
  </w:num>
  <w:num w:numId="2" w16cid:durableId="762265444">
    <w:abstractNumId w:val="9"/>
  </w:num>
  <w:num w:numId="3" w16cid:durableId="313222580">
    <w:abstractNumId w:val="10"/>
  </w:num>
  <w:num w:numId="4" w16cid:durableId="26830465">
    <w:abstractNumId w:val="6"/>
  </w:num>
  <w:num w:numId="5" w16cid:durableId="255788294">
    <w:abstractNumId w:val="8"/>
  </w:num>
  <w:num w:numId="6" w16cid:durableId="192116852">
    <w:abstractNumId w:val="3"/>
  </w:num>
  <w:num w:numId="7" w16cid:durableId="1048073578">
    <w:abstractNumId w:val="0"/>
  </w:num>
  <w:num w:numId="8" w16cid:durableId="81990915">
    <w:abstractNumId w:val="4"/>
  </w:num>
  <w:num w:numId="9" w16cid:durableId="370494399">
    <w:abstractNumId w:val="1"/>
  </w:num>
  <w:num w:numId="10" w16cid:durableId="1811559140">
    <w:abstractNumId w:val="5"/>
  </w:num>
  <w:num w:numId="11" w16cid:durableId="2053187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08"/>
  <w:drawingGridVerticalSpacing w:val="181"/>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21"/>
    <w:rsid w:val="00015A0C"/>
    <w:rsid w:val="0008157B"/>
    <w:rsid w:val="000D68E2"/>
    <w:rsid w:val="000F7142"/>
    <w:rsid w:val="00127CF1"/>
    <w:rsid w:val="00135D8D"/>
    <w:rsid w:val="00153757"/>
    <w:rsid w:val="001A22B9"/>
    <w:rsid w:val="001A53C7"/>
    <w:rsid w:val="00225374"/>
    <w:rsid w:val="002615C2"/>
    <w:rsid w:val="00274D06"/>
    <w:rsid w:val="002A7769"/>
    <w:rsid w:val="002B293B"/>
    <w:rsid w:val="002C7BF6"/>
    <w:rsid w:val="0039363D"/>
    <w:rsid w:val="003F5B21"/>
    <w:rsid w:val="0043117A"/>
    <w:rsid w:val="00437187"/>
    <w:rsid w:val="00441ABB"/>
    <w:rsid w:val="00494341"/>
    <w:rsid w:val="005E5B67"/>
    <w:rsid w:val="006152BD"/>
    <w:rsid w:val="006778AC"/>
    <w:rsid w:val="007025DA"/>
    <w:rsid w:val="00723CE5"/>
    <w:rsid w:val="00736479"/>
    <w:rsid w:val="00792A91"/>
    <w:rsid w:val="007A54DF"/>
    <w:rsid w:val="007B2204"/>
    <w:rsid w:val="009B2121"/>
    <w:rsid w:val="00A4413B"/>
    <w:rsid w:val="00A463DC"/>
    <w:rsid w:val="00A861EB"/>
    <w:rsid w:val="00AB5CB3"/>
    <w:rsid w:val="00AE6FF2"/>
    <w:rsid w:val="00B346DF"/>
    <w:rsid w:val="00B665BA"/>
    <w:rsid w:val="00BD6C14"/>
    <w:rsid w:val="00C0548C"/>
    <w:rsid w:val="00C436B6"/>
    <w:rsid w:val="00C72427"/>
    <w:rsid w:val="00D003CF"/>
    <w:rsid w:val="00D0042C"/>
    <w:rsid w:val="00D10D83"/>
    <w:rsid w:val="00D17A81"/>
    <w:rsid w:val="00D41C6B"/>
    <w:rsid w:val="00D80AC9"/>
    <w:rsid w:val="00DA15A0"/>
    <w:rsid w:val="00DC0341"/>
    <w:rsid w:val="00DC6567"/>
    <w:rsid w:val="00DF1998"/>
    <w:rsid w:val="00E16036"/>
    <w:rsid w:val="00E3581F"/>
    <w:rsid w:val="00E70FD7"/>
    <w:rsid w:val="00EE29E1"/>
    <w:rsid w:val="00F06000"/>
    <w:rsid w:val="00F11108"/>
    <w:rsid w:val="00F83F50"/>
    <w:rsid w:val="00FB453A"/>
    <w:rsid w:val="00FB7A47"/>
    <w:rsid w:val="00FD299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1A08A"/>
  <w15:chartTrackingRefBased/>
  <w15:docId w15:val="{64655B6B-2D60-7546-861A-D1A869C5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2BD"/>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B2121"/>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9B2121"/>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9B2121"/>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9B2121"/>
    <w:pPr>
      <w:keepNext/>
      <w:keepLines/>
      <w:spacing w:before="80" w:after="40"/>
      <w:outlineLvl w:val="3"/>
    </w:pPr>
    <w:rPr>
      <w:rFonts w:asciiTheme="minorHAnsi" w:eastAsiaTheme="majorEastAsia" w:hAnsiTheme="minorHAnsi" w:cstheme="majorBidi"/>
      <w:i/>
      <w:iCs/>
      <w:color w:val="2F5496"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9B2121"/>
    <w:pPr>
      <w:keepNext/>
      <w:keepLines/>
      <w:spacing w:before="80" w:after="40"/>
      <w:outlineLvl w:val="4"/>
    </w:pPr>
    <w:rPr>
      <w:rFonts w:asciiTheme="minorHAnsi" w:eastAsiaTheme="majorEastAsia" w:hAnsiTheme="minorHAnsi" w:cstheme="majorBidi"/>
      <w:color w:val="2F5496"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9B2121"/>
    <w:pPr>
      <w:keepNext/>
      <w:keepLines/>
      <w:spacing w:before="40"/>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9B2121"/>
    <w:pPr>
      <w:keepNext/>
      <w:keepLines/>
      <w:spacing w:before="40"/>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9B2121"/>
    <w:pPr>
      <w:keepNext/>
      <w:keepLines/>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9B2121"/>
    <w:pPr>
      <w:keepNext/>
      <w:keepLines/>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121"/>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rsid w:val="009B2121"/>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rsid w:val="009B2121"/>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9B2121"/>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9B2121"/>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9B2121"/>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9B2121"/>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9B2121"/>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9B2121"/>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9B2121"/>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9B2121"/>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9B2121"/>
    <w:pPr>
      <w:numPr>
        <w:ilvl w:val="1"/>
      </w:numPr>
      <w:spacing w:after="160"/>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9B2121"/>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9B2121"/>
    <w:pPr>
      <w:spacing w:before="160" w:after="160"/>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9B2121"/>
    <w:rPr>
      <w:i/>
      <w:iCs/>
      <w:color w:val="404040" w:themeColor="text1" w:themeTint="BF"/>
      <w:lang w:val="en-US"/>
    </w:rPr>
  </w:style>
  <w:style w:type="paragraph" w:styleId="ListParagraph">
    <w:name w:val="List Paragraph"/>
    <w:basedOn w:val="Normal"/>
    <w:uiPriority w:val="34"/>
    <w:qFormat/>
    <w:rsid w:val="009B2121"/>
    <w:pPr>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9B2121"/>
    <w:rPr>
      <w:i/>
      <w:iCs/>
      <w:color w:val="2F5496" w:themeColor="accent1" w:themeShade="BF"/>
    </w:rPr>
  </w:style>
  <w:style w:type="paragraph" w:styleId="IntenseQuote">
    <w:name w:val="Intense Quote"/>
    <w:basedOn w:val="Normal"/>
    <w:next w:val="Normal"/>
    <w:link w:val="IntenseQuoteChar"/>
    <w:uiPriority w:val="30"/>
    <w:qFormat/>
    <w:rsid w:val="009B212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9B2121"/>
    <w:rPr>
      <w:i/>
      <w:iCs/>
      <w:color w:val="2F5496" w:themeColor="accent1" w:themeShade="BF"/>
      <w:lang w:val="en-US"/>
    </w:rPr>
  </w:style>
  <w:style w:type="character" w:styleId="IntenseReference">
    <w:name w:val="Intense Reference"/>
    <w:basedOn w:val="DefaultParagraphFont"/>
    <w:uiPriority w:val="32"/>
    <w:qFormat/>
    <w:rsid w:val="009B2121"/>
    <w:rPr>
      <w:b/>
      <w:bCs/>
      <w:smallCaps/>
      <w:color w:val="2F5496" w:themeColor="accent1" w:themeShade="BF"/>
      <w:spacing w:val="5"/>
    </w:rPr>
  </w:style>
  <w:style w:type="paragraph" w:styleId="NormalWeb">
    <w:name w:val="Normal (Web)"/>
    <w:basedOn w:val="Normal"/>
    <w:uiPriority w:val="99"/>
    <w:unhideWhenUsed/>
    <w:rsid w:val="009B2121"/>
    <w:pPr>
      <w:spacing w:before="100" w:beforeAutospacing="1" w:after="100" w:afterAutospacing="1"/>
    </w:pPr>
  </w:style>
  <w:style w:type="character" w:styleId="Emphasis">
    <w:name w:val="Emphasis"/>
    <w:basedOn w:val="DefaultParagraphFont"/>
    <w:uiPriority w:val="20"/>
    <w:qFormat/>
    <w:rsid w:val="009B2121"/>
    <w:rPr>
      <w:i/>
      <w:iCs/>
    </w:rPr>
  </w:style>
  <w:style w:type="character" w:styleId="Strong">
    <w:name w:val="Strong"/>
    <w:basedOn w:val="DefaultParagraphFont"/>
    <w:uiPriority w:val="22"/>
    <w:qFormat/>
    <w:rsid w:val="009B2121"/>
    <w:rPr>
      <w:b/>
      <w:bCs/>
    </w:rPr>
  </w:style>
  <w:style w:type="character" w:customStyle="1" w:styleId="overflow-hidden">
    <w:name w:val="overflow-hidden"/>
    <w:basedOn w:val="DefaultParagraphFont"/>
    <w:rsid w:val="00C0548C"/>
  </w:style>
  <w:style w:type="paragraph" w:styleId="Header">
    <w:name w:val="header"/>
    <w:basedOn w:val="Normal"/>
    <w:link w:val="HeaderChar"/>
    <w:uiPriority w:val="99"/>
    <w:unhideWhenUsed/>
    <w:rsid w:val="007A54DF"/>
    <w:pPr>
      <w:tabs>
        <w:tab w:val="center" w:pos="4680"/>
        <w:tab w:val="right" w:pos="9360"/>
      </w:tabs>
    </w:pPr>
  </w:style>
  <w:style w:type="character" w:customStyle="1" w:styleId="HeaderChar">
    <w:name w:val="Header Char"/>
    <w:basedOn w:val="DefaultParagraphFont"/>
    <w:link w:val="Header"/>
    <w:uiPriority w:val="99"/>
    <w:rsid w:val="007A54D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A54DF"/>
    <w:pPr>
      <w:tabs>
        <w:tab w:val="center" w:pos="4680"/>
        <w:tab w:val="right" w:pos="9360"/>
      </w:tabs>
    </w:pPr>
  </w:style>
  <w:style w:type="character" w:customStyle="1" w:styleId="FooterChar">
    <w:name w:val="Footer Char"/>
    <w:basedOn w:val="DefaultParagraphFont"/>
    <w:link w:val="Footer"/>
    <w:uiPriority w:val="99"/>
    <w:rsid w:val="007A54DF"/>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10D83"/>
    <w:rPr>
      <w:color w:val="0563C1" w:themeColor="hyperlink"/>
      <w:u w:val="single"/>
    </w:rPr>
  </w:style>
  <w:style w:type="character" w:styleId="UnresolvedMention">
    <w:name w:val="Unresolved Mention"/>
    <w:basedOn w:val="DefaultParagraphFont"/>
    <w:uiPriority w:val="99"/>
    <w:semiHidden/>
    <w:unhideWhenUsed/>
    <w:rsid w:val="00D10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37220">
      <w:bodyDiv w:val="1"/>
      <w:marLeft w:val="0"/>
      <w:marRight w:val="0"/>
      <w:marTop w:val="0"/>
      <w:marBottom w:val="0"/>
      <w:divBdr>
        <w:top w:val="none" w:sz="0" w:space="0" w:color="auto"/>
        <w:left w:val="none" w:sz="0" w:space="0" w:color="auto"/>
        <w:bottom w:val="none" w:sz="0" w:space="0" w:color="auto"/>
        <w:right w:val="none" w:sz="0" w:space="0" w:color="auto"/>
      </w:divBdr>
    </w:div>
    <w:div w:id="856508315">
      <w:bodyDiv w:val="1"/>
      <w:marLeft w:val="0"/>
      <w:marRight w:val="0"/>
      <w:marTop w:val="0"/>
      <w:marBottom w:val="0"/>
      <w:divBdr>
        <w:top w:val="none" w:sz="0" w:space="0" w:color="auto"/>
        <w:left w:val="none" w:sz="0" w:space="0" w:color="auto"/>
        <w:bottom w:val="none" w:sz="0" w:space="0" w:color="auto"/>
        <w:right w:val="none" w:sz="0" w:space="0" w:color="auto"/>
      </w:divBdr>
    </w:div>
    <w:div w:id="1130826161">
      <w:bodyDiv w:val="1"/>
      <w:marLeft w:val="0"/>
      <w:marRight w:val="0"/>
      <w:marTop w:val="0"/>
      <w:marBottom w:val="0"/>
      <w:divBdr>
        <w:top w:val="none" w:sz="0" w:space="0" w:color="auto"/>
        <w:left w:val="none" w:sz="0" w:space="0" w:color="auto"/>
        <w:bottom w:val="none" w:sz="0" w:space="0" w:color="auto"/>
        <w:right w:val="none" w:sz="0" w:space="0" w:color="auto"/>
      </w:divBdr>
    </w:div>
    <w:div w:id="1477719069">
      <w:bodyDiv w:val="1"/>
      <w:marLeft w:val="0"/>
      <w:marRight w:val="0"/>
      <w:marTop w:val="0"/>
      <w:marBottom w:val="0"/>
      <w:divBdr>
        <w:top w:val="none" w:sz="0" w:space="0" w:color="auto"/>
        <w:left w:val="none" w:sz="0" w:space="0" w:color="auto"/>
        <w:bottom w:val="none" w:sz="0" w:space="0" w:color="auto"/>
        <w:right w:val="none" w:sz="0" w:space="0" w:color="auto"/>
      </w:divBdr>
    </w:div>
    <w:div w:id="1785540780">
      <w:bodyDiv w:val="1"/>
      <w:marLeft w:val="0"/>
      <w:marRight w:val="0"/>
      <w:marTop w:val="0"/>
      <w:marBottom w:val="0"/>
      <w:divBdr>
        <w:top w:val="none" w:sz="0" w:space="0" w:color="auto"/>
        <w:left w:val="none" w:sz="0" w:space="0" w:color="auto"/>
        <w:bottom w:val="none" w:sz="0" w:space="0" w:color="auto"/>
        <w:right w:val="none" w:sz="0" w:space="0" w:color="auto"/>
      </w:divBdr>
      <w:divsChild>
        <w:div w:id="733966520">
          <w:marLeft w:val="0"/>
          <w:marRight w:val="0"/>
          <w:marTop w:val="0"/>
          <w:marBottom w:val="0"/>
          <w:divBdr>
            <w:top w:val="none" w:sz="0" w:space="0" w:color="auto"/>
            <w:left w:val="none" w:sz="0" w:space="0" w:color="auto"/>
            <w:bottom w:val="none" w:sz="0" w:space="0" w:color="auto"/>
            <w:right w:val="none" w:sz="0" w:space="0" w:color="auto"/>
          </w:divBdr>
          <w:divsChild>
            <w:div w:id="1205603040">
              <w:marLeft w:val="0"/>
              <w:marRight w:val="0"/>
              <w:marTop w:val="0"/>
              <w:marBottom w:val="0"/>
              <w:divBdr>
                <w:top w:val="none" w:sz="0" w:space="0" w:color="auto"/>
                <w:left w:val="none" w:sz="0" w:space="0" w:color="auto"/>
                <w:bottom w:val="none" w:sz="0" w:space="0" w:color="auto"/>
                <w:right w:val="none" w:sz="0" w:space="0" w:color="auto"/>
              </w:divBdr>
              <w:divsChild>
                <w:div w:id="389421033">
                  <w:marLeft w:val="0"/>
                  <w:marRight w:val="0"/>
                  <w:marTop w:val="0"/>
                  <w:marBottom w:val="0"/>
                  <w:divBdr>
                    <w:top w:val="none" w:sz="0" w:space="0" w:color="auto"/>
                    <w:left w:val="none" w:sz="0" w:space="0" w:color="auto"/>
                    <w:bottom w:val="none" w:sz="0" w:space="0" w:color="auto"/>
                    <w:right w:val="none" w:sz="0" w:space="0" w:color="auto"/>
                  </w:divBdr>
                  <w:divsChild>
                    <w:div w:id="643437119">
                      <w:marLeft w:val="0"/>
                      <w:marRight w:val="0"/>
                      <w:marTop w:val="0"/>
                      <w:marBottom w:val="0"/>
                      <w:divBdr>
                        <w:top w:val="none" w:sz="0" w:space="0" w:color="auto"/>
                        <w:left w:val="none" w:sz="0" w:space="0" w:color="auto"/>
                        <w:bottom w:val="none" w:sz="0" w:space="0" w:color="auto"/>
                        <w:right w:val="none" w:sz="0" w:space="0" w:color="auto"/>
                      </w:divBdr>
                      <w:divsChild>
                        <w:div w:id="1048606214">
                          <w:marLeft w:val="0"/>
                          <w:marRight w:val="0"/>
                          <w:marTop w:val="0"/>
                          <w:marBottom w:val="0"/>
                          <w:divBdr>
                            <w:top w:val="none" w:sz="0" w:space="0" w:color="auto"/>
                            <w:left w:val="none" w:sz="0" w:space="0" w:color="auto"/>
                            <w:bottom w:val="none" w:sz="0" w:space="0" w:color="auto"/>
                            <w:right w:val="none" w:sz="0" w:space="0" w:color="auto"/>
                          </w:divBdr>
                          <w:divsChild>
                            <w:div w:id="1534687869">
                              <w:marLeft w:val="0"/>
                              <w:marRight w:val="0"/>
                              <w:marTop w:val="0"/>
                              <w:marBottom w:val="0"/>
                              <w:divBdr>
                                <w:top w:val="none" w:sz="0" w:space="0" w:color="auto"/>
                                <w:left w:val="none" w:sz="0" w:space="0" w:color="auto"/>
                                <w:bottom w:val="none" w:sz="0" w:space="0" w:color="auto"/>
                                <w:right w:val="none" w:sz="0" w:space="0" w:color="auto"/>
                              </w:divBdr>
                              <w:divsChild>
                                <w:div w:id="1454204664">
                                  <w:marLeft w:val="0"/>
                                  <w:marRight w:val="0"/>
                                  <w:marTop w:val="0"/>
                                  <w:marBottom w:val="0"/>
                                  <w:divBdr>
                                    <w:top w:val="none" w:sz="0" w:space="0" w:color="auto"/>
                                    <w:left w:val="none" w:sz="0" w:space="0" w:color="auto"/>
                                    <w:bottom w:val="none" w:sz="0" w:space="0" w:color="auto"/>
                                    <w:right w:val="none" w:sz="0" w:space="0" w:color="auto"/>
                                  </w:divBdr>
                                  <w:divsChild>
                                    <w:div w:id="160815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659457">
                          <w:marLeft w:val="0"/>
                          <w:marRight w:val="0"/>
                          <w:marTop w:val="0"/>
                          <w:marBottom w:val="0"/>
                          <w:divBdr>
                            <w:top w:val="none" w:sz="0" w:space="0" w:color="auto"/>
                            <w:left w:val="none" w:sz="0" w:space="0" w:color="auto"/>
                            <w:bottom w:val="none" w:sz="0" w:space="0" w:color="auto"/>
                            <w:right w:val="none" w:sz="0" w:space="0" w:color="auto"/>
                          </w:divBdr>
                          <w:divsChild>
                            <w:div w:id="1795518858">
                              <w:marLeft w:val="0"/>
                              <w:marRight w:val="0"/>
                              <w:marTop w:val="0"/>
                              <w:marBottom w:val="0"/>
                              <w:divBdr>
                                <w:top w:val="none" w:sz="0" w:space="0" w:color="auto"/>
                                <w:left w:val="none" w:sz="0" w:space="0" w:color="auto"/>
                                <w:bottom w:val="none" w:sz="0" w:space="0" w:color="auto"/>
                                <w:right w:val="none" w:sz="0" w:space="0" w:color="auto"/>
                              </w:divBdr>
                              <w:divsChild>
                                <w:div w:id="188170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03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5010</Words>
  <Characters>28560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Editor-22</cp:lastModifiedBy>
  <cp:revision>11</cp:revision>
  <dcterms:created xsi:type="dcterms:W3CDTF">2025-06-10T00:03:00Z</dcterms:created>
  <dcterms:modified xsi:type="dcterms:W3CDTF">2025-06-11T12:00:00Z</dcterms:modified>
</cp:coreProperties>
</file>