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9652790" w14:textId="77777777" w:rsidR="00D43759" w:rsidRPr="00AF463B" w:rsidRDefault="00B15E96" w:rsidP="00B15E96">
      <w:pPr>
        <w:jc w:val="center"/>
        <w:rPr>
          <w:rFonts w:ascii="Arial" w:hAnsi="Arial" w:cs="Arial"/>
          <w:b/>
        </w:rPr>
      </w:pPr>
      <w:r w:rsidRPr="00AF463B">
        <w:rPr>
          <w:rFonts w:ascii="Arial" w:hAnsi="Arial" w:cs="Arial"/>
          <w:b/>
        </w:rPr>
        <w:t>SOCIAL MEDIA AS A TOOL FOR AGRICULTURE: EVALUATING ACCESSIBILITY AND CHALLENGES FACED BY YOUTH FARMERS IN</w:t>
      </w:r>
      <w:r w:rsidRPr="00AF463B">
        <w:rPr>
          <w:rFonts w:ascii="Arial" w:eastAsia="Calibri" w:hAnsi="Arial" w:cs="Arial"/>
          <w:b/>
        </w:rPr>
        <w:t xml:space="preserve"> KYERWA DISTRICT, TANZANIA.</w:t>
      </w:r>
    </w:p>
    <w:p w14:paraId="407580B4" w14:textId="77777777" w:rsidR="00B15E96" w:rsidRDefault="00B15E96" w:rsidP="00B15E96">
      <w:pPr>
        <w:spacing w:after="0"/>
        <w:jc w:val="center"/>
        <w:rPr>
          <w:rFonts w:ascii="Arial" w:hAnsi="Arial" w:cs="Arial"/>
          <w:b/>
          <w:i/>
        </w:rPr>
      </w:pPr>
    </w:p>
    <w:p w14:paraId="71B89B58" w14:textId="77777777" w:rsidR="00A6756E" w:rsidRPr="00AF463B" w:rsidRDefault="00A6756E" w:rsidP="00B15E96">
      <w:pPr>
        <w:spacing w:after="0"/>
        <w:jc w:val="center"/>
        <w:rPr>
          <w:rFonts w:ascii="Arial" w:hAnsi="Arial" w:cs="Arial"/>
          <w:b/>
          <w:i/>
        </w:rPr>
      </w:pPr>
    </w:p>
    <w:p w14:paraId="76D757A6" w14:textId="77777777" w:rsidR="00B15E96" w:rsidRPr="00AF463B" w:rsidRDefault="00B15E96" w:rsidP="00B15E96">
      <w:pPr>
        <w:jc w:val="center"/>
        <w:rPr>
          <w:rFonts w:ascii="Arial" w:hAnsi="Arial" w:cs="Arial"/>
          <w:b/>
          <w:i/>
        </w:rPr>
      </w:pPr>
      <w:r w:rsidRPr="00AF463B">
        <w:rPr>
          <w:rFonts w:ascii="Arial" w:hAnsi="Arial" w:cs="Arial"/>
          <w:b/>
          <w:i/>
        </w:rPr>
        <w:t>ABSTRACT</w:t>
      </w:r>
    </w:p>
    <w:p w14:paraId="3E4A687A" w14:textId="77777777" w:rsidR="008028AF" w:rsidRPr="00A6306F" w:rsidRDefault="008028AF" w:rsidP="00B15E96">
      <w:pPr>
        <w:jc w:val="center"/>
        <w:rPr>
          <w:rFonts w:ascii="Arial" w:hAnsi="Arial" w:cs="Arial"/>
          <w:b/>
        </w:rPr>
      </w:pPr>
    </w:p>
    <w:p w14:paraId="4796DCD2" w14:textId="77777777" w:rsidR="00A6306F" w:rsidRPr="00A6306F" w:rsidRDefault="00A6306F" w:rsidP="00A6306F">
      <w:pPr>
        <w:spacing w:after="0"/>
        <w:jc w:val="both"/>
        <w:rPr>
          <w:rFonts w:ascii="Arial" w:eastAsia="Times New Roman" w:hAnsi="Arial" w:cs="Arial"/>
          <w:kern w:val="32"/>
          <w:lang w:eastAsia="en-GB"/>
        </w:rPr>
      </w:pPr>
      <w:r w:rsidRPr="00A6306F">
        <w:rPr>
          <w:rFonts w:ascii="Arial" w:eastAsia="Times New Roman" w:hAnsi="Arial" w:cs="Arial"/>
          <w:kern w:val="32"/>
          <w:lang w:eastAsia="en-GB"/>
        </w:rPr>
        <w:t xml:space="preserve">This study assessed the accessibility and utilization of agricultural information from social media among youth farmers in </w:t>
      </w:r>
      <w:proofErr w:type="spellStart"/>
      <w:r w:rsidRPr="00A6306F">
        <w:rPr>
          <w:rFonts w:ascii="Arial" w:eastAsia="Times New Roman" w:hAnsi="Arial" w:cs="Arial"/>
          <w:kern w:val="32"/>
          <w:lang w:eastAsia="en-GB"/>
        </w:rPr>
        <w:t>Kyerwa</w:t>
      </w:r>
      <w:proofErr w:type="spellEnd"/>
      <w:r w:rsidRPr="00A6306F">
        <w:rPr>
          <w:rFonts w:ascii="Arial" w:eastAsia="Times New Roman" w:hAnsi="Arial" w:cs="Arial"/>
          <w:kern w:val="32"/>
          <w:lang w:eastAsia="en-GB"/>
        </w:rPr>
        <w:t xml:space="preserve"> District, Tanzania, while also exploring the challenges they face in accessing this information. Employing a mixed-methods research approach, data were collected through structured questionnaires and interviews, yielding a reliability coefficient of 0.89. A cross-sectional design targeted a sample of 104 youth farmers, complemented by insights from key informants, including village and ward executive officers and agricultural extension staff. Participants were selected using purposive sampling from four randomly chosen villages across two wards. Data collection involved self-administered questionnaires, focus group discussions (FGDs), interview schedules, and observation checklists. Quantitative data were analyzed descriptively, while qualitative data were examined </w:t>
      </w:r>
      <w:r w:rsidR="00286EB1" w:rsidRPr="00A6306F">
        <w:rPr>
          <w:rFonts w:ascii="Arial" w:eastAsia="Times New Roman" w:hAnsi="Arial" w:cs="Arial"/>
          <w:kern w:val="32"/>
          <w:lang w:eastAsia="en-GB"/>
        </w:rPr>
        <w:t>thematically. The</w:t>
      </w:r>
      <w:r w:rsidRPr="00A6306F">
        <w:rPr>
          <w:rFonts w:ascii="Arial" w:eastAsia="Times New Roman" w:hAnsi="Arial" w:cs="Arial"/>
          <w:kern w:val="32"/>
          <w:lang w:eastAsia="en-GB"/>
        </w:rPr>
        <w:t xml:space="preserve"> findings reveal substantial engagement with social media, particularly platforms like Facebook and WhatsApp, which serve as vital sources of agricultural information. This engagement aligns with the Uses and Gratifications Theory, suggesting that farmers actively seek these platforms for timely insights and community connection. Additionally, the research draws on Cultivation Theory, indicating that regular exposure to agricultural content can shape farmers' perceptions and practices, potentially enhancing productivity.</w:t>
      </w:r>
      <w:r w:rsidR="00286EB1">
        <w:rPr>
          <w:rFonts w:ascii="Arial" w:eastAsia="Times New Roman" w:hAnsi="Arial" w:cs="Arial"/>
          <w:kern w:val="32"/>
          <w:lang w:eastAsia="en-GB"/>
        </w:rPr>
        <w:t xml:space="preserve"> </w:t>
      </w:r>
      <w:r w:rsidRPr="00A6306F">
        <w:rPr>
          <w:rFonts w:ascii="Arial" w:eastAsia="Times New Roman" w:hAnsi="Arial" w:cs="Arial"/>
          <w:kern w:val="32"/>
          <w:lang w:eastAsia="en-GB"/>
        </w:rPr>
        <w:t xml:space="preserve">The implications for agricultural organizations are significant. There is a pressing need for comprehensive social media strategies that not only disseminate best practices but also foster a collaborative community among farmers. Addressing the underutilization of platforms such as Twitter and LinkedIn can further enhance outreach and inclusivity, ensuring diverse farmer demographics are engaged in the digital </w:t>
      </w:r>
      <w:r w:rsidR="00286EB1" w:rsidRPr="00A6306F">
        <w:rPr>
          <w:rFonts w:ascii="Arial" w:eastAsia="Times New Roman" w:hAnsi="Arial" w:cs="Arial"/>
          <w:kern w:val="32"/>
          <w:lang w:eastAsia="en-GB"/>
        </w:rPr>
        <w:t>conversation. To</w:t>
      </w:r>
      <w:r w:rsidRPr="00A6306F">
        <w:rPr>
          <w:rFonts w:ascii="Arial" w:eastAsia="Times New Roman" w:hAnsi="Arial" w:cs="Arial"/>
          <w:kern w:val="32"/>
          <w:lang w:eastAsia="en-GB"/>
        </w:rPr>
        <w:t xml:space="preserve"> empower farmers effectively, the study recommends targeted training programs focusing on the effective use of various platforms, especially Facebook and WhatsApp. By equipping youth farmers with the necessary skills to navigate these digital spaces, stakeholders can enable informed decision-making, thereby increasing productivity and resilience in a rapidly changing agricultural landscape. Overall, this study underscores the critical role of social media in promoting informed agricultural practices and enhancing community interaction within the farming sector.</w:t>
      </w:r>
    </w:p>
    <w:p w14:paraId="01A24F97" w14:textId="77777777" w:rsidR="00A94D2A" w:rsidRPr="00313DA3" w:rsidRDefault="00A94D2A" w:rsidP="00A94D2A">
      <w:pPr>
        <w:spacing w:after="0"/>
        <w:jc w:val="both"/>
        <w:rPr>
          <w:rFonts w:ascii="Arial" w:eastAsia="Times New Roman" w:hAnsi="Arial" w:cs="Arial"/>
          <w:i/>
          <w:kern w:val="32"/>
          <w:lang w:eastAsia="en-GB"/>
        </w:rPr>
      </w:pPr>
    </w:p>
    <w:p w14:paraId="4AD40B87" w14:textId="77777777" w:rsidR="00A94D2A" w:rsidRDefault="00A94D2A" w:rsidP="007B0840">
      <w:pPr>
        <w:spacing w:after="0"/>
        <w:rPr>
          <w:rFonts w:ascii="Arial" w:hAnsi="Arial" w:cs="Arial"/>
          <w:shd w:val="clear" w:color="auto" w:fill="FFFFFF"/>
        </w:rPr>
      </w:pPr>
      <w:r w:rsidRPr="00313DA3">
        <w:rPr>
          <w:rFonts w:ascii="Arial" w:hAnsi="Arial" w:cs="Arial"/>
          <w:b/>
          <w:shd w:val="clear" w:color="auto" w:fill="FFFFFF"/>
        </w:rPr>
        <w:t>Keywords</w:t>
      </w:r>
      <w:r w:rsidRPr="00313DA3">
        <w:rPr>
          <w:rFonts w:ascii="Arial" w:hAnsi="Arial" w:cs="Arial"/>
          <w:shd w:val="clear" w:color="auto" w:fill="FFFFFF"/>
        </w:rPr>
        <w:t xml:space="preserve">: Youth farmers, Agricultural information, </w:t>
      </w:r>
      <w:r w:rsidR="00C05ECE">
        <w:rPr>
          <w:rFonts w:ascii="Arial" w:hAnsi="Arial" w:cs="Arial"/>
          <w:shd w:val="clear" w:color="auto" w:fill="FFFFFF"/>
        </w:rPr>
        <w:t xml:space="preserve">Accessibility, </w:t>
      </w:r>
      <w:r w:rsidR="007B0840">
        <w:rPr>
          <w:rFonts w:ascii="Arial" w:hAnsi="Arial" w:cs="Arial"/>
          <w:shd w:val="clear" w:color="auto" w:fill="FFFFFF"/>
        </w:rPr>
        <w:t>Utilization</w:t>
      </w:r>
      <w:r w:rsidRPr="00313DA3">
        <w:rPr>
          <w:rFonts w:ascii="Arial" w:hAnsi="Arial" w:cs="Arial"/>
        </w:rPr>
        <w:t xml:space="preserve">, </w:t>
      </w:r>
      <w:r w:rsidR="007B0840">
        <w:rPr>
          <w:rFonts w:ascii="Arial" w:hAnsi="Arial" w:cs="Arial"/>
        </w:rPr>
        <w:t>C</w:t>
      </w:r>
      <w:r w:rsidR="007B0840">
        <w:rPr>
          <w:rFonts w:ascii="Arial" w:hAnsi="Arial" w:cs="Arial"/>
          <w:shd w:val="clear" w:color="auto" w:fill="FFFFFF"/>
        </w:rPr>
        <w:t>hallenges</w:t>
      </w:r>
      <w:r w:rsidR="00C05ECE">
        <w:rPr>
          <w:rFonts w:ascii="Arial" w:hAnsi="Arial" w:cs="Arial"/>
          <w:shd w:val="clear" w:color="auto" w:fill="FFFFFF"/>
        </w:rPr>
        <w:t xml:space="preserve"> and, Social media</w:t>
      </w:r>
    </w:p>
    <w:p w14:paraId="43CB124F" w14:textId="77777777" w:rsidR="00A94D2A" w:rsidRDefault="00A94D2A" w:rsidP="00A94D2A">
      <w:pPr>
        <w:spacing w:after="0"/>
        <w:jc w:val="both"/>
        <w:rPr>
          <w:rFonts w:ascii="Arial" w:hAnsi="Arial" w:cs="Arial"/>
          <w:shd w:val="clear" w:color="auto" w:fill="FFFFFF"/>
        </w:rPr>
      </w:pPr>
    </w:p>
    <w:p w14:paraId="6EC5E406" w14:textId="77777777" w:rsidR="004A7EFD" w:rsidRDefault="004A7EFD" w:rsidP="008028AF">
      <w:pPr>
        <w:rPr>
          <w:rFonts w:ascii="Arial" w:hAnsi="Arial" w:cs="Arial"/>
          <w:b/>
        </w:rPr>
      </w:pPr>
    </w:p>
    <w:p w14:paraId="38C9BC7B" w14:textId="77777777" w:rsidR="008028AF" w:rsidRPr="00AF463B" w:rsidRDefault="008028AF" w:rsidP="008028AF">
      <w:pPr>
        <w:rPr>
          <w:rFonts w:ascii="Arial" w:hAnsi="Arial" w:cs="Arial"/>
          <w:b/>
        </w:rPr>
      </w:pPr>
      <w:r w:rsidRPr="00AF463B">
        <w:rPr>
          <w:rFonts w:ascii="Arial" w:hAnsi="Arial" w:cs="Arial"/>
          <w:b/>
        </w:rPr>
        <w:t xml:space="preserve">1 INTRODUCTION </w:t>
      </w:r>
    </w:p>
    <w:p w14:paraId="2E508FBB" w14:textId="77777777" w:rsidR="008028AF" w:rsidRPr="00AF463B" w:rsidRDefault="008028AF" w:rsidP="008028AF">
      <w:pPr>
        <w:spacing w:after="0"/>
        <w:jc w:val="both"/>
        <w:rPr>
          <w:rFonts w:ascii="Arial" w:hAnsi="Arial" w:cs="Arial"/>
        </w:rPr>
      </w:pPr>
      <w:r w:rsidRPr="00AF463B">
        <w:rPr>
          <w:rFonts w:ascii="Arial" w:hAnsi="Arial" w:cs="Arial"/>
        </w:rPr>
        <w:t>In recent years, social media has emerged as a powerful tool for disseminating information across various sectors, including agriculture. With its ability to facilitate real-time communication and foster communities, platforms like Facebook, Twitter, and Instagram have become critical resources for farmers seeking information on best practices, market trends</w:t>
      </w:r>
      <w:r w:rsidR="0034657C">
        <w:rPr>
          <w:rFonts w:ascii="Arial" w:hAnsi="Arial" w:cs="Arial"/>
        </w:rPr>
        <w:t xml:space="preserve">, and climate conditions </w:t>
      </w:r>
      <w:r w:rsidR="0034657C">
        <w:rPr>
          <w:rFonts w:ascii="Arial" w:hAnsi="Arial" w:cs="Arial"/>
        </w:rPr>
        <w:fldChar w:fldCharType="begin" w:fldLock="1"/>
      </w:r>
      <w:r w:rsidR="00361722">
        <w:rPr>
          <w:rFonts w:ascii="Arial" w:hAnsi="Arial" w:cs="Arial"/>
        </w:rPr>
        <w:instrText>ADDIN CSL_CITATION {"citationItems":[{"id":"ITEM-1","itemData":{"DOI":"10.35337/eijfmr.2019.5406","abstract":"Web-based social networking are in a general sense changing the way we impart, team up, devour, and make. They speak to a standout amongst the most transformative effects of data innovation on business, both inside and outside firm limits. This unique issue was intended to invigorate inventive examinations of the connection between web-based social networking and business change. In this paper I plot a wide research plan for understanding the connections among web-based social networking, business, and society. We put the papers involving the unique issue inside this exploration system and distinguish ranges where additionally inquire about is required. We trust that the adaptable structure we blueprint will help direct future research.","author":[{"dropping-particle":"","family":"Panda","given":"Rajasmita","non-dropping-particle":"","parse-names":false,"suffix":""},{"dropping-particle":"","family":"Sinha","given":"Binod","non-dropping-particle":"","parse-names":false,"suffix":""}],"container-title":"The Online Journal of Distance Education and e-Learning","id":"ITEM-1","issue":"04","issued":{"date-parts":[["2019"]]},"page":"32-37","title":"AN EXPLORATORY STUDY ON IMPACT OF SOCIAL MEDIA ON AGRICULTURE DEVELOPMENT FROM FARMERS GROWTH PERSPECTIVE","type":"article-journal","volume":"05"},"uris":["http://www.mendeley.com/documents/?uuid=e36c8f4f-1489-4958-b0d6-f90532cca576"]}],"mendeley":{"formattedCitation":"(Panda &amp; Sinha, 2019)","plainTextFormattedCitation":"(Panda &amp; Sinha, 2019)","previouslyFormattedCitation":"(Panda &amp; Sinha, 2019)"},"properties":{"noteIndex":0},"schema":"https://github.com/citation-style-language/schema/raw/master/csl-citation.json"}</w:instrText>
      </w:r>
      <w:r w:rsidR="0034657C">
        <w:rPr>
          <w:rFonts w:ascii="Arial" w:hAnsi="Arial" w:cs="Arial"/>
        </w:rPr>
        <w:fldChar w:fldCharType="separate"/>
      </w:r>
      <w:r w:rsidR="0034657C" w:rsidRPr="0034657C">
        <w:rPr>
          <w:rFonts w:ascii="Arial" w:hAnsi="Arial" w:cs="Arial"/>
          <w:noProof/>
        </w:rPr>
        <w:t>(Panda &amp; Sinha, 2019)</w:t>
      </w:r>
      <w:r w:rsidR="0034657C">
        <w:rPr>
          <w:rFonts w:ascii="Arial" w:hAnsi="Arial" w:cs="Arial"/>
        </w:rPr>
        <w:fldChar w:fldCharType="end"/>
      </w:r>
      <w:r w:rsidRPr="00AF463B">
        <w:rPr>
          <w:rFonts w:ascii="Arial" w:hAnsi="Arial" w:cs="Arial"/>
        </w:rPr>
        <w:t>. This trend is particularly evident among youth farmers, who are often more adept at utilizing digital technologies compared to their older co</w:t>
      </w:r>
      <w:r w:rsidR="00361722">
        <w:rPr>
          <w:rFonts w:ascii="Arial" w:hAnsi="Arial" w:cs="Arial"/>
        </w:rPr>
        <w:t xml:space="preserve">unterparts </w:t>
      </w:r>
      <w:r w:rsidR="00361722">
        <w:rPr>
          <w:rFonts w:ascii="Arial" w:hAnsi="Arial" w:cs="Arial"/>
        </w:rPr>
        <w:fldChar w:fldCharType="begin" w:fldLock="1"/>
      </w:r>
      <w:r w:rsidR="00361722">
        <w:rPr>
          <w:rFonts w:ascii="Arial" w:hAnsi="Arial" w:cs="Arial"/>
        </w:rPr>
        <w:instrText>ADDIN CSL_CITATION {"citationItems":[{"id":"ITEM-1","itemData":{"DOI":"10.1080/14735903.2020.1738754","ISSN":"1747762X","abstract":"Agricultural extension in the Global South can benefit greatly from the use of modern information and communication technologies (ICT). Yet, despite two decades of promising experiences, this potential is not fully realized. Here, we review the relevant research literature to inform future investments into agricultural information services that harness the full potential of digital media. We describe a recently emerging innovation agenda that is, in part, a response to the eventual failure of many new agro-advisory initiatives. One important cause of failure has been a focus on pushing certain technologies, rather than responding to the particular communication challenges of potential users. To avoid such bias in designing new services, the new innovation agenda rests on two major foundations: strong user-centredness and problem-orientation. In our review, we first describe how user-centred design methods help in specifying both problems and (digital) solutions in agricultural extension. To inform responses to the communication challenges defined by that analysis, we then describe eight emerging aspects of using ICT for development, and how they can address common deficiencies of agricultural extension. Practical examples from the literature highlight the possibilities and limitations of these innovation directions. Beyond digital design, however, technological innovation requires enabling institutions.","author":[{"dropping-particle":"","family":"Steinke","given":"Jonathan","non-dropping-particle":"","parse-names":false,"suffix":""},{"dropping-particle":"","family":"Etten","given":"Jacob","non-dropping-particle":"van","parse-names":false,"suffix":""},{"dropping-particle":"","family":"Müller","given":"Anna","non-dropping-particle":"","parse-names":false,"suffix":""},{"dropping-particle":"","family":"Ortiz-Crespo","given":"Berta","non-dropping-particle":"","parse-names":false,"suffix":""},{"dropping-particle":"","family":"Gevel","given":"Jeske","non-dropping-particle":"van de","parse-names":false,"suffix":""},{"dropping-particle":"","family":"Silvestri","given":"Silvia","non-dropping-particle":"","parse-names":false,"suffix":""},{"dropping-particle":"","family":"Priebe","given":"Jan","non-dropping-particle":"","parse-names":false,"suffix":""}],"container-title":"International Journal of Agricultural Sustainability","id":"ITEM-1","issue":"5-6","issued":{"date-parts":[["2021"]]},"page":"549-565","publisher":"Taylor &amp; Francis","title":"Tapping the full potential of the digital revolution for agricultural extension: an emerging innovation agenda","type":"article-journal","volume":"19"},"uris":["http://www.mendeley.com/documents/?uuid=659847a1-59fe-4b0c-972f-f1739b4e05c0"]}],"mendeley":{"formattedCitation":"(Steinke et al., 2021)","plainTextFormattedCitation":"(Steinke et al., 2021)","previouslyFormattedCitation":"(Steinke et al., 2021)"},"properties":{"noteIndex":0},"schema":"https://github.com/citation-style-language/schema/raw/master/csl-citation.json"}</w:instrText>
      </w:r>
      <w:r w:rsidR="00361722">
        <w:rPr>
          <w:rFonts w:ascii="Arial" w:hAnsi="Arial" w:cs="Arial"/>
        </w:rPr>
        <w:fldChar w:fldCharType="separate"/>
      </w:r>
      <w:r w:rsidR="00361722" w:rsidRPr="00361722">
        <w:rPr>
          <w:rFonts w:ascii="Arial" w:hAnsi="Arial" w:cs="Arial"/>
          <w:noProof/>
        </w:rPr>
        <w:t xml:space="preserve">(Steinke </w:t>
      </w:r>
      <w:r w:rsidR="00361722" w:rsidRPr="00361722">
        <w:rPr>
          <w:rFonts w:ascii="Arial" w:hAnsi="Arial" w:cs="Arial"/>
          <w:noProof/>
        </w:rPr>
        <w:lastRenderedPageBreak/>
        <w:t>et al., 2021)</w:t>
      </w:r>
      <w:r w:rsidR="00361722">
        <w:rPr>
          <w:rFonts w:ascii="Arial" w:hAnsi="Arial" w:cs="Arial"/>
        </w:rPr>
        <w:fldChar w:fldCharType="end"/>
      </w:r>
      <w:r w:rsidRPr="00AF463B">
        <w:rPr>
          <w:rFonts w:ascii="Arial" w:hAnsi="Arial" w:cs="Arial"/>
        </w:rPr>
        <w:t>. As the global agricultural landscape evolves, understanding how youth farmers access and utilize agricultural information through social media is vital for enhancing agricultural productivity and sustainability.</w:t>
      </w:r>
    </w:p>
    <w:p w14:paraId="63A6B2A0" w14:textId="77777777" w:rsidR="00B942F4" w:rsidRPr="00AF463B" w:rsidRDefault="00B942F4" w:rsidP="008028AF">
      <w:pPr>
        <w:spacing w:after="0"/>
        <w:jc w:val="both"/>
        <w:rPr>
          <w:rFonts w:ascii="Arial" w:hAnsi="Arial" w:cs="Arial"/>
        </w:rPr>
      </w:pPr>
    </w:p>
    <w:p w14:paraId="0D1F9F16" w14:textId="77777777" w:rsidR="008028AF" w:rsidRPr="00AF463B" w:rsidRDefault="008028AF" w:rsidP="008028AF">
      <w:pPr>
        <w:spacing w:after="0"/>
        <w:jc w:val="both"/>
        <w:rPr>
          <w:rFonts w:ascii="Arial" w:hAnsi="Arial" w:cs="Arial"/>
        </w:rPr>
      </w:pPr>
      <w:r w:rsidRPr="00AF463B">
        <w:rPr>
          <w:rFonts w:ascii="Arial" w:hAnsi="Arial" w:cs="Arial"/>
        </w:rPr>
        <w:t>Despite the potential advantages of social media, several challenges hinder effective access to agricultural information for youth farmers. Issues such as digital literacy, internet connectivity, and the overwhelming volume of available information can create barriers to effective utilizati</w:t>
      </w:r>
      <w:r w:rsidR="00361722">
        <w:rPr>
          <w:rFonts w:ascii="Arial" w:hAnsi="Arial" w:cs="Arial"/>
        </w:rPr>
        <w:t xml:space="preserve">on </w:t>
      </w:r>
      <w:r w:rsidR="00361722">
        <w:rPr>
          <w:rFonts w:ascii="Arial" w:hAnsi="Arial" w:cs="Arial"/>
        </w:rPr>
        <w:fldChar w:fldCharType="begin" w:fldLock="1"/>
      </w:r>
      <w:r w:rsidR="00361722">
        <w:rPr>
          <w:rFonts w:ascii="Arial" w:hAnsi="Arial" w:cs="Arial"/>
        </w:rPr>
        <w:instrText>ADDIN CSL_CITATION {"citationItems":[{"id":"ITEM-1","itemData":{"DOI":"10.54183/jssr.v3i2.326","ISSN":"2789441X","abstract":"The digital divide, characterized by disparities in access to and use of technology, presents a significant challenge in education. This study aims to investigate the impact of the digital divide on students' access to technology and its influence on their educational outcomes. A quantitative research methodology was employed, with a sample size of 400 students from diverse educational backgrounds. The study utilized survey questionnaires to gather data on internet access, device ownership, and technology use in education. The findings revealed variations in internet access across different age groups, with younger individuals having higher levels of access compared to older age groups. Additionally, disparities in household internet access were observed between rural and urban areas, with rural areas experiencing lower connectivity. Gender-based differences in personal device ownership were also evident, highlighting potential gender-related digital divides. Moreover, students from low-income households faced lower levels of internet access, indicating a socioeconomic divide in technology access. Additionally, the study emphasizes the importance of establishing technology resource centers in schools and fostering public-private partnerships to bridge the technology gap in education. The study contributes to the existing body of knowledge by providing insights into the digital divide and offering recommendations for addressing this issue in the field of education.","author":[{"dropping-particle":"","family":"Afzal","given":"Arfa","non-dropping-particle":"","parse-names":false,"suffix":""},{"dropping-particle":"","family":"Khan","given":"Saima","non-dropping-particle":"","parse-names":false,"suffix":""},{"dropping-particle":"","family":"Daud","given":"Sana","non-dropping-particle":"","parse-names":false,"suffix":""},{"dropping-particle":"","family":"Ahmad","given":"Zahoor","non-dropping-particle":"","parse-names":false,"suffix":""},{"dropping-particle":"","family":"Butt","given":"Ayesha","non-dropping-particle":"","parse-names":false,"suffix":""}],"container-title":"Journal of Social Sciences Review","id":"ITEM-1","issue":"2","issued":{"date-parts":[["2023"]]},"page":"883-895","title":"Addressing the Digital Divide: Access and Use of Technology in Education","type":"article-journal","volume":"3"},"uris":["http://www.mendeley.com/documents/?uuid=5903bfec-d6ca-4b13-a001-0d10bac10145"]}],"mendeley":{"formattedCitation":"(Afzal et al., 2023)","plainTextFormattedCitation":"(Afzal et al., 2023)","previouslyFormattedCitation":"(Afzal et al., 2023)"},"properties":{"noteIndex":0},"schema":"https://github.com/citation-style-language/schema/raw/master/csl-citation.json"}</w:instrText>
      </w:r>
      <w:r w:rsidR="00361722">
        <w:rPr>
          <w:rFonts w:ascii="Arial" w:hAnsi="Arial" w:cs="Arial"/>
        </w:rPr>
        <w:fldChar w:fldCharType="separate"/>
      </w:r>
      <w:r w:rsidR="00361722" w:rsidRPr="00361722">
        <w:rPr>
          <w:rFonts w:ascii="Arial" w:hAnsi="Arial" w:cs="Arial"/>
          <w:noProof/>
        </w:rPr>
        <w:t>(Afzal et al., 2023)</w:t>
      </w:r>
      <w:r w:rsidR="00361722">
        <w:rPr>
          <w:rFonts w:ascii="Arial" w:hAnsi="Arial" w:cs="Arial"/>
        </w:rPr>
        <w:fldChar w:fldCharType="end"/>
      </w:r>
      <w:r w:rsidRPr="00AF463B">
        <w:rPr>
          <w:rFonts w:ascii="Arial" w:hAnsi="Arial" w:cs="Arial"/>
        </w:rPr>
        <w:t>. Furthermore, misinformation and the lack of credible sources can exacerbate these challenges, leading to poor decision-making in</w:t>
      </w:r>
      <w:r w:rsidR="00305A41">
        <w:rPr>
          <w:rFonts w:ascii="Arial" w:hAnsi="Arial" w:cs="Arial"/>
        </w:rPr>
        <w:t xml:space="preserve"> agricultural practices </w:t>
      </w:r>
      <w:r w:rsidR="00305A41">
        <w:rPr>
          <w:rFonts w:ascii="Arial" w:hAnsi="Arial" w:cs="Arial"/>
        </w:rPr>
        <w:fldChar w:fldCharType="begin" w:fldLock="1"/>
      </w:r>
      <w:r w:rsidR="00305A41">
        <w:rPr>
          <w:rFonts w:ascii="Arial" w:hAnsi="Arial" w:cs="Arial"/>
        </w:rPr>
        <w:instrText>ADDIN CSL_CITATION {"citationItems":[{"id":"ITEM-1","itemData":{"DOI":"10.17705/1CAIS.05240","ISSN":"15293181","abstract":"Social networking sites provide a new means of communication for disseminating cutting-edge agricultural technologies. These are unmediated interaction channels that enable a user to communicate their experience with technology and generate negative or positive attitudes that impact technology adoption decisions. We employ a machine learning approach to analyse users' existing semantic predisposition for technology adoption in agriculture at various operational levels. While developing attitudes toward technology adoption, these semantic tendencies become an important aspect of users' cognitive decision making. The study scrapes user comments and conversations about agritech on Twitter through data mining. The research also explains the important characteristics that enhance attitude building on Twitter and are responsible for reinforcing decision making among information seekers using four machine learning models. Based on the results, the research recommends strategies to managers for better communication with agriculturists and enhancement of users' decision making.","author":[{"dropping-particle":"","family":"Yadav","given":"Jitendra","non-dropping-particle":"","parse-names":false,"suffix":""},{"dropping-particle":"","family":"Yadav","given":"Avikshit","non-dropping-particle":"","parse-names":false,"suffix":""},{"dropping-particle":"","family":"Misra","given":"Madhvendra","non-dropping-particle":"","parse-names":false,"suffix":""},{"dropping-particle":"","family":"Zhou","given":"Jianlong","non-dropping-particle":"","parse-names":false,"suffix":""},{"dropping-particle":"","family":"Rana","given":"Nripendra P.","non-dropping-particle":"","parse-names":false,"suffix":""}],"container-title":"Communications of the Association for Information Systems","id":"ITEM-1","issued":{"date-parts":[["2023"]]},"page":"833-852","title":"Role of Social Media in Technology Adoption for Sustainable Agriculture Practices: Evidence from Twitter Analytics","type":"article-journal","volume":"52"},"uris":["http://www.mendeley.com/documents/?uuid=024e82f4-6498-4967-81d1-21312c863547"]}],"mendeley":{"formattedCitation":"(Yadav et al., 2023)","plainTextFormattedCitation":"(Yadav et al., 2023)","previouslyFormattedCitation":"(Yadav et al., 2023)"},"properties":{"noteIndex":0},"schema":"https://github.com/citation-style-language/schema/raw/master/csl-citation.json"}</w:instrText>
      </w:r>
      <w:r w:rsidR="00305A41">
        <w:rPr>
          <w:rFonts w:ascii="Arial" w:hAnsi="Arial" w:cs="Arial"/>
        </w:rPr>
        <w:fldChar w:fldCharType="separate"/>
      </w:r>
      <w:r w:rsidR="00305A41" w:rsidRPr="00305A41">
        <w:rPr>
          <w:rFonts w:ascii="Arial" w:hAnsi="Arial" w:cs="Arial"/>
          <w:noProof/>
        </w:rPr>
        <w:t>(Yadav et al., 2023)</w:t>
      </w:r>
      <w:r w:rsidR="00305A41">
        <w:rPr>
          <w:rFonts w:ascii="Arial" w:hAnsi="Arial" w:cs="Arial"/>
        </w:rPr>
        <w:fldChar w:fldCharType="end"/>
      </w:r>
      <w:r w:rsidRPr="00AF463B">
        <w:rPr>
          <w:rFonts w:ascii="Arial" w:hAnsi="Arial" w:cs="Arial"/>
        </w:rPr>
        <w:t>. Thus, it becomes imperative to investigate both the accessibility of agricultural information via social media and the specific challenges faced by youth farmers in this context.</w:t>
      </w:r>
    </w:p>
    <w:p w14:paraId="1126C53E" w14:textId="77777777" w:rsidR="00B942F4" w:rsidRPr="00AF463B" w:rsidRDefault="00B942F4" w:rsidP="008028AF">
      <w:pPr>
        <w:spacing w:after="0"/>
        <w:jc w:val="both"/>
        <w:rPr>
          <w:rFonts w:ascii="Arial" w:hAnsi="Arial" w:cs="Arial"/>
        </w:rPr>
      </w:pPr>
    </w:p>
    <w:p w14:paraId="1769A27C" w14:textId="77777777" w:rsidR="008028AF" w:rsidRPr="00AF463B" w:rsidRDefault="008028AF" w:rsidP="008028AF">
      <w:pPr>
        <w:spacing w:after="0"/>
        <w:jc w:val="both"/>
        <w:rPr>
          <w:rFonts w:ascii="Arial" w:hAnsi="Arial" w:cs="Arial"/>
        </w:rPr>
      </w:pPr>
      <w:r w:rsidRPr="00AF463B">
        <w:rPr>
          <w:rFonts w:ascii="Arial" w:hAnsi="Arial" w:cs="Arial"/>
        </w:rPr>
        <w:t>Youth farmers represent a critical demographic in the agricultural sector, as they are often tasked with adopting innovative practices that can address contemporary challenges like climate chan</w:t>
      </w:r>
      <w:r w:rsidR="007A40D4">
        <w:rPr>
          <w:rFonts w:ascii="Arial" w:hAnsi="Arial" w:cs="Arial"/>
        </w:rPr>
        <w:t xml:space="preserve">ge and food security </w:t>
      </w:r>
      <w:r w:rsidR="007A40D4">
        <w:rPr>
          <w:rFonts w:ascii="Arial" w:hAnsi="Arial" w:cs="Arial"/>
        </w:rPr>
        <w:fldChar w:fldCharType="begin" w:fldLock="1"/>
      </w:r>
      <w:r w:rsidR="007A40D4">
        <w:rPr>
          <w:rFonts w:ascii="Arial" w:hAnsi="Arial" w:cs="Arial"/>
        </w:rPr>
        <w:instrText>ADDIN CSL_CITATION {"citationItems":[{"id":"ITEM-1","itemData":{"ISBN":"1815-6797","ISSN":"1815-6797","abstract":"In India, the first SAU was established in 1960 at Pantnagar in Uttar Pradesh. The SAUs were given autonomous status and direct funding from the state governments. They were autonomous organizations with state-wide responsibility for agricultural research, education and training or extension education. The establishment of the SAUs, based on a pattern similar to that of the land-grant universities in the United States, was a landmark in reorganizing and strengthening the agricultural education system in India. These universities became the branches of research under the ICAR and became the partners of the National Agricultural Research System (NARS). The green revolution, with its impressive social and economic impact, witnessed significant contributions from the SAUs, both in terms of trained, scientific work force and the generation of new technologies. However, most of the agricultural universities in India continue to be dominated by top-down, monolithic structures that follow a limited extension mandate. None of the post-Training-and-Visit (T&amp;V) system extension reforms could revitalize it to meet the demands of a changing agricultural context. The profusion of uncensored information through mass media and cyber sources has long-term consequences of generating public distrust and alienation from agriculture. This is attributed to the lack of a proper mechanism for verifying the accuracy and viability of the information transmitted. As in most of the developing countries, transfer of technology remained largely in the domain of the State Department of Agriculture (DOA), and SAUs are mandated to serve only a limited extension role in technology dissemination activities. The paper tries to critically review the extension activities of the SAUs and their Directorates of extension Education in India.","author":[{"dropping-particle":"","family":"FAO","given":"","non-dropping-particle":"","parse-names":false,"suffix":""}],"container-title":"Food and Agriculture Organization of the United Nations Rome, 2017","id":"ITEM-1","issue":"4","issued":{"date-parts":[["2017"]]},"number-of-pages":"1951-1960","title":"The future of food and agriculture: trends and challenges","type":"book","volume":"4"},"uris":["http://www.mendeley.com/documents/?uuid=712d4d53-47ce-4cf2-9560-85d01c353ee0"]}],"mendeley":{"formattedCitation":"(FAO, 2017)","plainTextFormattedCitation":"(FAO, 2017)"},"properties":{"noteIndex":0},"schema":"https://github.com/citation-style-language/schema/raw/master/csl-citation.json"}</w:instrText>
      </w:r>
      <w:r w:rsidR="007A40D4">
        <w:rPr>
          <w:rFonts w:ascii="Arial" w:hAnsi="Arial" w:cs="Arial"/>
        </w:rPr>
        <w:fldChar w:fldCharType="separate"/>
      </w:r>
      <w:r w:rsidR="007A40D4" w:rsidRPr="007A40D4">
        <w:rPr>
          <w:rFonts w:ascii="Arial" w:hAnsi="Arial" w:cs="Arial"/>
          <w:noProof/>
        </w:rPr>
        <w:t>(FAO, 2017)</w:t>
      </w:r>
      <w:r w:rsidR="007A40D4">
        <w:rPr>
          <w:rFonts w:ascii="Arial" w:hAnsi="Arial" w:cs="Arial"/>
        </w:rPr>
        <w:fldChar w:fldCharType="end"/>
      </w:r>
      <w:r w:rsidRPr="00AF463B">
        <w:rPr>
          <w:rFonts w:ascii="Arial" w:hAnsi="Arial" w:cs="Arial"/>
        </w:rPr>
        <w:t>. However, their ability to leverage social media for agricultural information is contingent upon various factors that can either facilitate or impede this process. This research aims to explore these dynamics to provide a nuanced understanding of how social media influences agricultural practices among youth farmers.</w:t>
      </w:r>
    </w:p>
    <w:p w14:paraId="4A8B230C" w14:textId="77777777" w:rsidR="008028AF" w:rsidRPr="00AF463B" w:rsidRDefault="008028AF" w:rsidP="008028AF">
      <w:pPr>
        <w:spacing w:after="0"/>
        <w:jc w:val="both"/>
        <w:rPr>
          <w:rFonts w:ascii="Arial" w:hAnsi="Arial" w:cs="Arial"/>
        </w:rPr>
      </w:pPr>
      <w:r w:rsidRPr="00AF463B">
        <w:rPr>
          <w:rFonts w:ascii="Arial" w:hAnsi="Arial" w:cs="Arial"/>
        </w:rPr>
        <w:t>The role of social media in agriculture extends beyond mere information dissemination; it also serves as a platform for community building and knowledge sharing. As youth farmers engage with peers and experts online, they can exchange valuable insights and experiences that contribute to their learning and deve</w:t>
      </w:r>
      <w:r w:rsidR="00305A41">
        <w:rPr>
          <w:rFonts w:ascii="Arial" w:hAnsi="Arial" w:cs="Arial"/>
        </w:rPr>
        <w:t xml:space="preserve">lopment </w:t>
      </w:r>
      <w:r w:rsidR="00305A41">
        <w:rPr>
          <w:rFonts w:ascii="Arial" w:hAnsi="Arial" w:cs="Arial"/>
        </w:rPr>
        <w:fldChar w:fldCharType="begin" w:fldLock="1"/>
      </w:r>
      <w:r w:rsidR="009F359A">
        <w:rPr>
          <w:rFonts w:ascii="Arial" w:hAnsi="Arial" w:cs="Arial"/>
        </w:rPr>
        <w:instrText>ADDIN CSL_CITATION {"citationItems":[{"id":"ITEM-1","itemData":{"DOI":"10.1016/j.atech.2023.100338","ISSN":"27723755","abstract":"The use of social media platforms has revolutionized the way rural farmers receive information and support from agricultural experts and extension services. However, the role of social media in meeting the information and technological needs of urban rooftop gardeners remains unclear. The study utilizes the Theory of Virtual Community Practice (VCoP) to address this research gap and employs a qualitative, inductive research approach. We investigate the potential of Facebook groups in bridging the extension service gap and addressing the information deficit faced by urban rooftop gardeners. Our study involves extracting data from two Facebook-based VCoPs using CrowdTangle and analysis using ATLAS.ti software. The findings of our study highlight six communication behaviors: supporting outreach, crowdsourcing, knowledge sharing and learning, engaging groups or communities, cooperating, and popularity and promotion. These behaviors provide insights into various aspects of community engagement, interaction, and outcomes. With the help of social media platforms, rooftop gardeners can connect, share experiences, seek advice, and access valuable information on rooftop gardening. This study is the first to explore the potential of Facebook groups in bridging the extension service gap and addressing the information deficit faced by urban rooftop gardeners.","author":[{"dropping-particle":"","family":"Kabir","given":"Khondokar H.","non-dropping-particle":"","parse-names":false,"suffix":""},{"dropping-particle":"","family":"Rahman","given":"Saifur","non-dropping-particle":"","parse-names":false,"suffix":""},{"dropping-particle":"","family":"Hasan","given":"Mohammad Maruf","non-dropping-particle":"","parse-names":false,"suffix":""},{"dropping-particle":"","family":"Chowdhury","given":"Ataharul","non-dropping-particle":"","parse-names":false,"suffix":""},{"dropping-particle":"","family":"Gow","given":"Gordon","non-dropping-particle":"","parse-names":false,"suffix":""}],"container-title":"Smart Agricultural Technology","id":"ITEM-1","issue":"July","issued":{"date-parts":[["2023"]]},"page":"100338","publisher":"Elsevier B.V.","title":"Facebook for digital agricultural extension services: The case of rooftop gardeners in Bangladesh","type":"article-journal","volume":"6"},"uris":["http://www.mendeley.com/documents/?uuid=619f6f37-0d13-445c-b814-aa84efb3f15c"]}],"mendeley":{"formattedCitation":"(Kabir et al., 2023)","plainTextFormattedCitation":"(Kabir et al., 2023)","previouslyFormattedCitation":"(Kabir et al., 2023)"},"properties":{"noteIndex":0},"schema":"https://github.com/citation-style-language/schema/raw/master/csl-citation.json"}</w:instrText>
      </w:r>
      <w:r w:rsidR="00305A41">
        <w:rPr>
          <w:rFonts w:ascii="Arial" w:hAnsi="Arial" w:cs="Arial"/>
        </w:rPr>
        <w:fldChar w:fldCharType="separate"/>
      </w:r>
      <w:r w:rsidR="00305A41" w:rsidRPr="00305A41">
        <w:rPr>
          <w:rFonts w:ascii="Arial" w:hAnsi="Arial" w:cs="Arial"/>
          <w:noProof/>
        </w:rPr>
        <w:t>(Kabir et al., 2023)</w:t>
      </w:r>
      <w:r w:rsidR="00305A41">
        <w:rPr>
          <w:rFonts w:ascii="Arial" w:hAnsi="Arial" w:cs="Arial"/>
        </w:rPr>
        <w:fldChar w:fldCharType="end"/>
      </w:r>
      <w:r w:rsidRPr="00AF463B">
        <w:rPr>
          <w:rFonts w:ascii="Arial" w:hAnsi="Arial" w:cs="Arial"/>
        </w:rPr>
        <w:t xml:space="preserve">. However, the </w:t>
      </w:r>
      <w:r w:rsidR="002029DA" w:rsidRPr="00AF463B">
        <w:rPr>
          <w:rFonts w:ascii="Arial" w:hAnsi="Arial" w:cs="Arial"/>
        </w:rPr>
        <w:t xml:space="preserve">effectiveness of this </w:t>
      </w:r>
      <w:r w:rsidR="00305A41">
        <w:rPr>
          <w:rFonts w:ascii="Arial" w:hAnsi="Arial" w:cs="Arial"/>
        </w:rPr>
        <w:t>knowledge-sharing</w:t>
      </w:r>
      <w:r w:rsidRPr="00AF463B">
        <w:rPr>
          <w:rFonts w:ascii="Arial" w:hAnsi="Arial" w:cs="Arial"/>
        </w:rPr>
        <w:t xml:space="preserve"> process is often undermined by challenges such as inadequate digital skills and access to reliable information. Addressing these issues is crucial for empowering youth farmers to utilize social media effectively.</w:t>
      </w:r>
    </w:p>
    <w:p w14:paraId="56CC5F72" w14:textId="77777777" w:rsidR="00B942F4" w:rsidRPr="00AF463B" w:rsidRDefault="00B942F4" w:rsidP="008028AF">
      <w:pPr>
        <w:spacing w:after="0"/>
        <w:jc w:val="both"/>
        <w:rPr>
          <w:rFonts w:ascii="Arial" w:hAnsi="Arial" w:cs="Arial"/>
        </w:rPr>
      </w:pPr>
    </w:p>
    <w:p w14:paraId="79767B51" w14:textId="77777777" w:rsidR="008028AF" w:rsidRPr="00AF463B" w:rsidRDefault="008028AF" w:rsidP="008028AF">
      <w:pPr>
        <w:spacing w:after="0"/>
        <w:jc w:val="both"/>
        <w:rPr>
          <w:rFonts w:ascii="Arial" w:hAnsi="Arial" w:cs="Arial"/>
        </w:rPr>
      </w:pPr>
      <w:r w:rsidRPr="00AF463B">
        <w:rPr>
          <w:rFonts w:ascii="Arial" w:hAnsi="Arial" w:cs="Arial"/>
        </w:rPr>
        <w:t>Given the rapid digital transformation occurring in agriculture, it is essential to critically examine the intersection of social media and agricultural information access among youth farmers</w:t>
      </w:r>
      <w:r w:rsidR="009F359A">
        <w:rPr>
          <w:rFonts w:ascii="Arial" w:hAnsi="Arial" w:cs="Arial"/>
        </w:rPr>
        <w:t xml:space="preserve"> </w:t>
      </w:r>
      <w:r w:rsidR="009F359A">
        <w:rPr>
          <w:rFonts w:ascii="Arial" w:hAnsi="Arial" w:cs="Arial"/>
        </w:rPr>
        <w:fldChar w:fldCharType="begin" w:fldLock="1"/>
      </w:r>
      <w:r w:rsidR="009F359A">
        <w:rPr>
          <w:rFonts w:ascii="Arial" w:hAnsi="Arial" w:cs="Arial"/>
        </w:rPr>
        <w:instrText>ADDIN CSL_CITATION {"citationItems":[{"id":"ITEM-1","itemData":{"DOI":"10.1016/j.njas.2019.100315","ISSN":"22121307","abstract":"While there is a lot of literature from a natural or technical sciences perspective on different forms of digitalization in agriculture (big data, internet of things, augmented reality, robotics, sensors, 3D printing, system integration, ubiquitous connectivity, artificial intelligence, digital twins, and blockchain among others), social science researchers have recently started investigating different aspects of digital agriculture in relation to farm production systems, value chains and food systems. This has led to a burgeoning but scattered social science body of literature. There is hence lack of overview of how this field of study is developing, and what are established, emerging, and new themes and topics. This is where this article aims to make a contribution, beyond introducing this special issue which presents seventeen articles dealing with social, economic and institutional dynamics of precision farming, digital agriculture, smart farming or agriculture 4.0. An exploratory literature review shows that five thematic clusters of extant social science literature on digitalization in agriculture can be identified: 1) Adoption, uses and adaptation of digital technologies on farm; 2) Effects of digitalization on farmer identity, farmer skills, and farm work; 3) Power, ownership, privacy and ethics in digitalizing agricultural production systems and value chains; 4) Digitalization and agricultural knowledge and innovation systems (AKIS); and 5) Economics and management of digitalized agricultural production systems and value chains. The main contributions of the special issue articles are mapped against these thematic clusters, revealing new insights on the link between digital agriculture and farm diversity, new economic, business and institutional arrangements both on-farm, in the value chain and food system, and in the innovation system, and emerging ways to ethically govern digital agriculture. Emerging lines of social science enquiry within these thematic clusters are identified and new lines are suggested to create a future research agenda on digital agriculture, smart farming and agriculture 4.0. Also, four potential new thematic social science clusters are also identified, which so far seem weakly developed: 1) Digital agriculture socio-cyber-physical-ecological systems conceptualizations; 2) Digital agriculture policy processes; 3) Digitally enabled agricultural transition pathways; and 4) Global geography of digital agriculture developmen…","author":[{"dropping-particle":"","family":"Klerkx","given":"Laurens","non-dropping-particle":"","parse-names":false,"suffix":""},{"dropping-particle":"","family":"Jakku","given":"Emma","non-dropping-particle":"","parse-names":false,"suffix":""},{"dropping-particle":"","family":"Labarthe","given":"Pierre","non-dropping-particle":"","parse-names":false,"suffix":""}],"container-title":"NJAS - Wageningen Journal of Life Sciences","id":"ITEM-1","issued":{"date-parts":[["2019"]]},"page":"100315","publisher":"Elsevier","title":"A review of social science on digital agriculture, smart farming and agriculture 4.0: New contributions and a future research agenda","type":"article-journal","volume":"90-91"},"uris":["http://www.mendeley.com/documents/?uuid=5df835ef-d01d-41c7-8d0e-da69dd74ca45"]}],"mendeley":{"formattedCitation":"(Klerkx et al., 2019)","plainTextFormattedCitation":"(Klerkx et al., 2019)","previouslyFormattedCitation":"(Klerkx et al., 2019)"},"properties":{"noteIndex":0},"schema":"https://github.com/citation-style-language/schema/raw/master/csl-citation.json"}</w:instrText>
      </w:r>
      <w:r w:rsidR="009F359A">
        <w:rPr>
          <w:rFonts w:ascii="Arial" w:hAnsi="Arial" w:cs="Arial"/>
        </w:rPr>
        <w:fldChar w:fldCharType="separate"/>
      </w:r>
      <w:r w:rsidR="009F359A" w:rsidRPr="009F359A">
        <w:rPr>
          <w:rFonts w:ascii="Arial" w:hAnsi="Arial" w:cs="Arial"/>
          <w:noProof/>
        </w:rPr>
        <w:t>(Klerkx et al., 2019)</w:t>
      </w:r>
      <w:r w:rsidR="009F359A">
        <w:rPr>
          <w:rFonts w:ascii="Arial" w:hAnsi="Arial" w:cs="Arial"/>
        </w:rPr>
        <w:fldChar w:fldCharType="end"/>
      </w:r>
      <w:r w:rsidRPr="00AF463B">
        <w:rPr>
          <w:rFonts w:ascii="Arial" w:hAnsi="Arial" w:cs="Arial"/>
        </w:rPr>
        <w:t>. Understanding how these farmers navigate the digital landscape can inform strategies aimed at enhancing their engagement with agricultural content online. This research will focus on identifying the specific platforms utilized, the types of information sought, and the overall engagement patterns exhibited by youth farmers.</w:t>
      </w:r>
    </w:p>
    <w:p w14:paraId="5165C9A3" w14:textId="77777777" w:rsidR="00B942F4" w:rsidRPr="00AF463B" w:rsidRDefault="00B942F4" w:rsidP="008028AF">
      <w:pPr>
        <w:spacing w:after="0"/>
        <w:jc w:val="both"/>
        <w:rPr>
          <w:rFonts w:ascii="Arial" w:hAnsi="Arial" w:cs="Arial"/>
        </w:rPr>
      </w:pPr>
    </w:p>
    <w:p w14:paraId="48F54BC1" w14:textId="77777777" w:rsidR="008028AF" w:rsidRPr="00AF463B" w:rsidRDefault="008028AF" w:rsidP="008028AF">
      <w:pPr>
        <w:spacing w:after="0"/>
        <w:jc w:val="both"/>
        <w:rPr>
          <w:rFonts w:ascii="Arial" w:hAnsi="Arial" w:cs="Arial"/>
        </w:rPr>
      </w:pPr>
      <w:r w:rsidRPr="00AF463B">
        <w:rPr>
          <w:rFonts w:ascii="Arial" w:hAnsi="Arial" w:cs="Arial"/>
        </w:rPr>
        <w:t>Moreover, the significance of this study lies in its potential to inform policy and practice. By elucidating the challenges that youth farmers encounter in accessing agricultural information thr</w:t>
      </w:r>
      <w:r w:rsidR="002029DA" w:rsidRPr="00AF463B">
        <w:rPr>
          <w:rFonts w:ascii="Arial" w:hAnsi="Arial" w:cs="Arial"/>
        </w:rPr>
        <w:t xml:space="preserve">ough social media, stakeholders </w:t>
      </w:r>
      <w:r w:rsidRPr="00AF463B">
        <w:rPr>
          <w:rFonts w:ascii="Arial" w:hAnsi="Arial" w:cs="Arial"/>
        </w:rPr>
        <w:t>including policymakers, educators,</w:t>
      </w:r>
      <w:r w:rsidR="002029DA" w:rsidRPr="00AF463B">
        <w:rPr>
          <w:rFonts w:ascii="Arial" w:hAnsi="Arial" w:cs="Arial"/>
        </w:rPr>
        <w:t xml:space="preserve"> and agricultural organizations </w:t>
      </w:r>
      <w:r w:rsidRPr="00AF463B">
        <w:rPr>
          <w:rFonts w:ascii="Arial" w:hAnsi="Arial" w:cs="Arial"/>
        </w:rPr>
        <w:t>can develop targeted interventions. These interventions may include training programs aimed at improving digital literacy and enhancing access to reli</w:t>
      </w:r>
      <w:r w:rsidR="00613804">
        <w:rPr>
          <w:rFonts w:ascii="Arial" w:hAnsi="Arial" w:cs="Arial"/>
        </w:rPr>
        <w:t xml:space="preserve">able information sources </w:t>
      </w:r>
      <w:r w:rsidR="00613804">
        <w:rPr>
          <w:rFonts w:ascii="Arial" w:hAnsi="Arial" w:cs="Arial"/>
        </w:rPr>
        <w:fldChar w:fldCharType="begin" w:fldLock="1"/>
      </w:r>
      <w:r w:rsidR="00305A41">
        <w:rPr>
          <w:rFonts w:ascii="Arial" w:hAnsi="Arial" w:cs="Arial"/>
        </w:rPr>
        <w:instrText>ADDIN CSL_CITATION {"citationItems":[{"id":"ITEM-1","itemData":{"DOI":"10.1007/s10460-022-10335-0","ISBN":"0123456789","ISSN":"15728366","abstract":"Can the power of digital communications create opportunities for overcoming generational renewal problems on farms? This interdisciplinary review explores the reported impacts of digital communication on career initiation into farming from a global perspective via the lens of career theories. Seventy-three papers were synthesized into two domains: (1) the impact of digital communication interactions on farming career initiation, and (2) the dynamics of digital communication initiatives that create opportunities to inspire youth into farming. The finding shows that the mainstream literature primarily aims to support the continuity of farming careers but pay little attention to the potential of digital communication to attract youth into farming. This review argues that career communications for farming receives insufficient attention, and could be better integrated into agricultural communications strategies by using the potential of digital communications. Study concludes that while economic and geographic factors, as well as societal and cultural norms, lead to negative perceptions on farming careers, there are three pathways that may contribute to breaking down these negative perceptions. Firstly, taking the changing nature of career motivations, such as the trend towards sustainable farming linked to self-fulfillment, among today’s youth into consideration is essential. Secondly, highlighting technological advances in digital agriculture practices, like geographical flexibility or innovation capacity of farming, for example, is important to increase awareness about new opportunities in the profession. Lastly, communication campaigns with targeted groups (e.g., young females) play a role to change the negative perceptions of the rural way of life and the farming profession.","author":[{"dropping-particle":"","family":"Unay-Gailhard","given":"İlkay","non-dropping-particle":"","parse-names":false,"suffix":""},{"dropping-particle":"","family":"Brennen","given":"Mark A.","non-dropping-particle":"","parse-names":false,"suffix":""}],"container-title":"Agriculture and Human Values","id":"ITEM-1","issue":"4","issued":{"date-parts":[["2022"]]},"page":"1491-1508","title":"How digital communications contribute to shaping the career paths of youth: a review study focused on farming as a career option","type":"article-journal","volume":"39"},"uris":["http://www.mendeley.com/documents/?uuid=569f653f-f76a-4f60-8cea-c3668eba0fac"]}],"mendeley":{"formattedCitation":"(Unay-Gailhard &amp; Brennen, 2022)","plainTextFormattedCitation":"(Unay-Gailhard &amp; Brennen, 2022)","previouslyFormattedCitation":"(Unay-Gailhard &amp; Brennen, 2022)"},"properties":{"noteIndex":0},"schema":"https://github.com/citation-style-language/schema/raw/master/csl-citation.json"}</w:instrText>
      </w:r>
      <w:r w:rsidR="00613804">
        <w:rPr>
          <w:rFonts w:ascii="Arial" w:hAnsi="Arial" w:cs="Arial"/>
        </w:rPr>
        <w:fldChar w:fldCharType="separate"/>
      </w:r>
      <w:r w:rsidR="00613804" w:rsidRPr="00613804">
        <w:rPr>
          <w:rFonts w:ascii="Arial" w:hAnsi="Arial" w:cs="Arial"/>
          <w:noProof/>
        </w:rPr>
        <w:t>(Unay-Gailhard &amp; Brennen, 2022)</w:t>
      </w:r>
      <w:r w:rsidR="00613804">
        <w:rPr>
          <w:rFonts w:ascii="Arial" w:hAnsi="Arial" w:cs="Arial"/>
        </w:rPr>
        <w:fldChar w:fldCharType="end"/>
      </w:r>
      <w:r w:rsidRPr="00AF463B">
        <w:rPr>
          <w:rFonts w:ascii="Arial" w:hAnsi="Arial" w:cs="Arial"/>
        </w:rPr>
        <w:t>.</w:t>
      </w:r>
    </w:p>
    <w:p w14:paraId="05680747" w14:textId="77777777" w:rsidR="002029DA" w:rsidRPr="00AF463B" w:rsidRDefault="002029DA" w:rsidP="008028AF">
      <w:pPr>
        <w:spacing w:after="0"/>
        <w:jc w:val="both"/>
        <w:rPr>
          <w:rFonts w:ascii="Arial" w:hAnsi="Arial" w:cs="Arial"/>
        </w:rPr>
      </w:pPr>
    </w:p>
    <w:p w14:paraId="02EBF24F" w14:textId="77777777" w:rsidR="008028AF" w:rsidRPr="00AF463B" w:rsidRDefault="008028AF" w:rsidP="008028AF">
      <w:pPr>
        <w:spacing w:after="0"/>
        <w:jc w:val="both"/>
        <w:rPr>
          <w:rFonts w:ascii="Arial" w:hAnsi="Arial" w:cs="Arial"/>
        </w:rPr>
      </w:pPr>
      <w:r w:rsidRPr="00AF463B">
        <w:rPr>
          <w:rFonts w:ascii="Arial" w:hAnsi="Arial" w:cs="Arial"/>
        </w:rPr>
        <w:t>The accessibility and utilization of agricultural information from social media represent a crucial area of inquiry for youth farmers, who face unique challenges in navigating this digital landscape</w:t>
      </w:r>
      <w:r w:rsidR="009F359A">
        <w:rPr>
          <w:rFonts w:ascii="Arial" w:hAnsi="Arial" w:cs="Arial"/>
        </w:rPr>
        <w:t xml:space="preserve"> </w:t>
      </w:r>
      <w:r w:rsidR="009F359A">
        <w:rPr>
          <w:rFonts w:ascii="Arial" w:hAnsi="Arial" w:cs="Arial"/>
        </w:rPr>
        <w:fldChar w:fldCharType="begin" w:fldLock="1"/>
      </w:r>
      <w:r w:rsidR="00864D3A">
        <w:rPr>
          <w:rFonts w:ascii="Arial" w:hAnsi="Arial" w:cs="Arial"/>
        </w:rPr>
        <w:instrText>ADDIN CSL_CITATION {"citationItems":[{"id":"ITEM-1","itemData":{"DOI":"10.1177/00307270231205640","ISSN":"20436866","abstract":"The global agricultural paradigm is witnessing a transformative shift with the advent of precision agriculture. While large-scale agricultural enterprises have been swift in their embrace of this innovation, its uptake among small-scale farmers remains nuanced and complex. This study elucidates the multi-faceted determinants that influence the adoption of precision agriculture within the small-scale farming sector. The study adopts a systematic literature review approach, meticulously selecting and analysing 29 relevant papers. Drawing upon an exhaustive literature review and empirical analyses, the research presents a composite framework weaving economic, technological, social, and environmental factors. Among these, the social dynamics emerge as the most significant factor, shaped by awareness levels, knowledge dissemination pathways, and entrenched cultural norms. These social elements often intertwine with ingrained traditional practices and perceptions, forming the most intricate layer shaping adoption attitudes. Notably, although economic factors like substantial initial investments and the calculus of Return on Investment are present, they are overshadowed by social considerations. The technological landscape is characterised by the challenges of digital literacy, infrastructural readiness, and technological interoperability. Lastly, environmental imperatives, underscored by resource scarcity, climate change resilience, and ecosystem services, offer both challenges and motivations. Together, these factors delineate the intricate roadmap guiding small-scale farmers in their journey toward precision agriculture adoption. This comprehensive exploration provides stakeholders with actionable insights, fostering informed decision-making and strategic interventions to augment precision agriculture's integration within the small-scale farming tapestry.","author":[{"dropping-particle":"","family":"John","given":"Dah","non-dropping-particle":"","parse-names":false,"suffix":""},{"dropping-particle":"","family":"Hussin","given":"Norhayati","non-dropping-particle":"","parse-names":false,"suffix":""},{"dropping-particle":"","family":"Shahibi","given":"Mohd Sazili","non-dropping-particle":"","parse-names":false,"suffix":""},{"dropping-particle":"","family":"Ahmad","given":"Masitah","non-dropping-particle":"","parse-names":false,"suffix":""},{"dropping-particle":"","family":"Hashim","given":"Hasnah","non-dropping-particle":"","parse-names":false,"suffix":""},{"dropping-particle":"","family":"Ametefe","given":"Divine Senanu","non-dropping-particle":"","parse-names":false,"suffix":""}],"container-title":"Outlook on Agriculture","id":"ITEM-1","issue":"4","issued":{"date-parts":[["2023"]]},"page":"469-485","title":"A systematic review on the factors governing precision agriculture adoption among small-scale farmers","type":"article-journal","volume":"52"},"uris":["http://www.mendeley.com/documents/?uuid=f280345a-ae22-4f06-9f8b-6beac94950a4"]}],"mendeley":{"formattedCitation":"(John et al., 2023)","plainTextFormattedCitation":"(John et al., 2023)","previouslyFormattedCitation":"(John et al., 2023)"},"properties":{"noteIndex":0},"schema":"https://github.com/citation-style-language/schema/raw/master/csl-citation.json"}</w:instrText>
      </w:r>
      <w:r w:rsidR="009F359A">
        <w:rPr>
          <w:rFonts w:ascii="Arial" w:hAnsi="Arial" w:cs="Arial"/>
        </w:rPr>
        <w:fldChar w:fldCharType="separate"/>
      </w:r>
      <w:r w:rsidR="009F359A" w:rsidRPr="009F359A">
        <w:rPr>
          <w:rFonts w:ascii="Arial" w:hAnsi="Arial" w:cs="Arial"/>
          <w:noProof/>
        </w:rPr>
        <w:t xml:space="preserve">(John </w:t>
      </w:r>
      <w:r w:rsidR="009F359A" w:rsidRPr="009F359A">
        <w:rPr>
          <w:rFonts w:ascii="Arial" w:hAnsi="Arial" w:cs="Arial"/>
          <w:i/>
          <w:noProof/>
        </w:rPr>
        <w:t xml:space="preserve">et al., </w:t>
      </w:r>
      <w:r w:rsidR="009F359A" w:rsidRPr="009F359A">
        <w:rPr>
          <w:rFonts w:ascii="Arial" w:hAnsi="Arial" w:cs="Arial"/>
          <w:noProof/>
        </w:rPr>
        <w:t>2023)</w:t>
      </w:r>
      <w:r w:rsidR="009F359A">
        <w:rPr>
          <w:rFonts w:ascii="Arial" w:hAnsi="Arial" w:cs="Arial"/>
        </w:rPr>
        <w:fldChar w:fldCharType="end"/>
      </w:r>
      <w:r w:rsidRPr="00AF463B">
        <w:rPr>
          <w:rFonts w:ascii="Arial" w:hAnsi="Arial" w:cs="Arial"/>
        </w:rPr>
        <w:t>. While social media offers unprecedented opportunities for information access, various barriers impede effective utilization, ultimately impacting agricultural productivity and sustainability. This study aims to determine the extent to which youth farmers can access and utilize agricultural information via social media and to examine the specific challenges they encounter in this process.</w:t>
      </w:r>
    </w:p>
    <w:p w14:paraId="30BB6710" w14:textId="77777777" w:rsidR="00B942F4" w:rsidRPr="00AF463B" w:rsidRDefault="00B942F4" w:rsidP="008028AF">
      <w:pPr>
        <w:spacing w:after="0"/>
        <w:jc w:val="both"/>
        <w:rPr>
          <w:rFonts w:ascii="Arial" w:hAnsi="Arial" w:cs="Arial"/>
        </w:rPr>
      </w:pPr>
    </w:p>
    <w:p w14:paraId="206DAAA8" w14:textId="77777777" w:rsidR="008028AF" w:rsidRPr="00AF463B" w:rsidRDefault="008028AF" w:rsidP="008028AF">
      <w:pPr>
        <w:spacing w:after="0"/>
        <w:jc w:val="both"/>
        <w:rPr>
          <w:rFonts w:ascii="Arial" w:hAnsi="Arial" w:cs="Arial"/>
        </w:rPr>
      </w:pPr>
      <w:r w:rsidRPr="00AF463B">
        <w:rPr>
          <w:rFonts w:ascii="Arial" w:hAnsi="Arial" w:cs="Arial"/>
        </w:rPr>
        <w:t xml:space="preserve">Despite the increasing integration of social media in agricultural practices, </w:t>
      </w:r>
      <w:r w:rsidR="00864D3A">
        <w:rPr>
          <w:rFonts w:ascii="Arial" w:hAnsi="Arial" w:cs="Arial"/>
        </w:rPr>
        <w:t>a significant gap exists</w:t>
      </w:r>
      <w:r w:rsidRPr="00AF463B">
        <w:rPr>
          <w:rFonts w:ascii="Arial" w:hAnsi="Arial" w:cs="Arial"/>
        </w:rPr>
        <w:t xml:space="preserve"> in understanding how youth farmers interact with these platforms. Issues such as inadequate internet connectivity, digital literacy deficits, and the prevalence of misinformation contribute to the complexities of accessing cre</w:t>
      </w:r>
      <w:r w:rsidR="00864D3A">
        <w:rPr>
          <w:rFonts w:ascii="Arial" w:hAnsi="Arial" w:cs="Arial"/>
        </w:rPr>
        <w:t xml:space="preserve">dible agricultural information </w:t>
      </w:r>
      <w:r w:rsidR="00864D3A">
        <w:rPr>
          <w:rFonts w:ascii="Arial" w:hAnsi="Arial" w:cs="Arial"/>
        </w:rPr>
        <w:fldChar w:fldCharType="begin" w:fldLock="1"/>
      </w:r>
      <w:r w:rsidR="00864D3A">
        <w:rPr>
          <w:rFonts w:ascii="Arial" w:hAnsi="Arial" w:cs="Arial"/>
        </w:rPr>
        <w:instrText>ADDIN CSL_CITATION {"citationItems":[{"id":"ITEM-1","itemData":{"DOI":"10.1177/03400352241261730","ISBN":"0340035224126","ISSN":"17452651","abstract":"This article investigates the link between information literacy and farmers’ decision-making processes, highlighting the potential for improving information literacy to promote sustainable agricultural practices. This study employed a mixed-methods approach – that is, qualitative and quantitative data collection techniques. It was found that gender did not significantly influence the reported skills and behaviours. However, the use of digital technologies showed a significant positive correlation with seeking information on new agricultural practices (r =.254, p &lt;.01). This shows that proficient users of digital tools are more likely to seek new agricultural information actively. This research emphasizes the importance of collaboration and knowledge-sharing among farmers and stakeholders to effectively use agricultural information in decision-making, with implications for academic research and practical agricultural interventions.","author":[{"dropping-particle":"","family":"Wann","given":"Tiplut","non-dropping-particle":"","parse-names":false,"suffix":""},{"dropping-particle":"","family":"Khongtim","given":"Jiarlimon","non-dropping-particle":"","parse-names":false,"suffix":""},{"dropping-particle":"","family":"Chyne","given":"Rudolf Carey","non-dropping-particle":"","parse-names":false,"suffix":""}],"container-title":"IFLA Journal","id":"ITEM-1","issue":"3","issued":{"date-parts":[["2024"]]},"page":"463-478","title":"Assessing the impact of information literacy on farmers’ decision-making processes: A mixed-methods approach","type":"article-journal","volume":"50"},"uris":["http://www.mendeley.com/documents/?uuid=17bc00c5-036a-4ad4-b7f5-a6c0275bf55c"]}],"mendeley":{"formattedCitation":"(Wann et al., 2024)","plainTextFormattedCitation":"(Wann et al., 2024)","previouslyFormattedCitation":"(Wann et al., 2024)"},"properties":{"noteIndex":0},"schema":"https://github.com/citation-style-language/schema/raw/master/csl-citation.json"}</w:instrText>
      </w:r>
      <w:r w:rsidR="00864D3A">
        <w:rPr>
          <w:rFonts w:ascii="Arial" w:hAnsi="Arial" w:cs="Arial"/>
        </w:rPr>
        <w:fldChar w:fldCharType="separate"/>
      </w:r>
      <w:r w:rsidR="00864D3A" w:rsidRPr="00864D3A">
        <w:rPr>
          <w:rFonts w:ascii="Arial" w:hAnsi="Arial" w:cs="Arial"/>
          <w:noProof/>
        </w:rPr>
        <w:t>(Wann et al., 2024)</w:t>
      </w:r>
      <w:r w:rsidR="00864D3A">
        <w:rPr>
          <w:rFonts w:ascii="Arial" w:hAnsi="Arial" w:cs="Arial"/>
        </w:rPr>
        <w:fldChar w:fldCharType="end"/>
      </w:r>
      <w:r w:rsidRPr="00AF463B">
        <w:rPr>
          <w:rFonts w:ascii="Arial" w:hAnsi="Arial" w:cs="Arial"/>
        </w:rPr>
        <w:t xml:space="preserve">. This research seeks to address this gap by </w:t>
      </w:r>
      <w:r w:rsidR="00864D3A">
        <w:rPr>
          <w:rFonts w:ascii="Arial" w:hAnsi="Arial" w:cs="Arial"/>
        </w:rPr>
        <w:t>comprehensively analyzing</w:t>
      </w:r>
      <w:r w:rsidRPr="00AF463B">
        <w:rPr>
          <w:rFonts w:ascii="Arial" w:hAnsi="Arial" w:cs="Arial"/>
        </w:rPr>
        <w:t xml:space="preserve"> the factors influencing accessibility and utilization among youth farmers, thereby contributing to the broader discourse on digital agriculture.</w:t>
      </w:r>
    </w:p>
    <w:p w14:paraId="2A38B158" w14:textId="77777777" w:rsidR="00B942F4" w:rsidRPr="00AF463B" w:rsidRDefault="00B942F4" w:rsidP="00B942F4">
      <w:pPr>
        <w:tabs>
          <w:tab w:val="left" w:pos="5934"/>
        </w:tabs>
        <w:spacing w:after="0"/>
        <w:jc w:val="both"/>
        <w:rPr>
          <w:rFonts w:ascii="Arial" w:hAnsi="Arial" w:cs="Arial"/>
          <w:b/>
        </w:rPr>
      </w:pPr>
      <w:r w:rsidRPr="00AF463B">
        <w:rPr>
          <w:rFonts w:ascii="Arial" w:hAnsi="Arial" w:cs="Arial"/>
        </w:rPr>
        <w:t>Specifically, this study intends to:</w:t>
      </w:r>
    </w:p>
    <w:p w14:paraId="5BF84D4A" w14:textId="77777777" w:rsidR="00B942F4" w:rsidRPr="00AF463B" w:rsidRDefault="00B942F4" w:rsidP="00B942F4">
      <w:pPr>
        <w:pStyle w:val="ListParagraph"/>
        <w:numPr>
          <w:ilvl w:val="0"/>
          <w:numId w:val="3"/>
        </w:numPr>
        <w:rPr>
          <w:rFonts w:ascii="Arial" w:hAnsi="Arial" w:cs="Arial"/>
        </w:rPr>
      </w:pPr>
      <w:r w:rsidRPr="00AF463B">
        <w:rPr>
          <w:rFonts w:ascii="Arial" w:hAnsi="Arial" w:cs="Arial"/>
        </w:rPr>
        <w:t>To determine the accessibility and utilization of agriculture information from social media among youth farmers in the study area.</w:t>
      </w:r>
    </w:p>
    <w:p w14:paraId="5FBA054B" w14:textId="77777777" w:rsidR="008028AF" w:rsidRPr="00AF463B" w:rsidRDefault="00B942F4" w:rsidP="00B942F4">
      <w:pPr>
        <w:pStyle w:val="ListParagraph"/>
        <w:numPr>
          <w:ilvl w:val="0"/>
          <w:numId w:val="3"/>
        </w:numPr>
        <w:rPr>
          <w:rFonts w:ascii="Arial" w:hAnsi="Arial" w:cs="Arial"/>
        </w:rPr>
      </w:pPr>
      <w:r w:rsidRPr="00AF463B">
        <w:rPr>
          <w:rFonts w:ascii="Arial" w:hAnsi="Arial" w:cs="Arial"/>
        </w:rPr>
        <w:t>To examine the challenges experienced by youth farmers in the study area in accessing agricultural information from social media.</w:t>
      </w:r>
    </w:p>
    <w:p w14:paraId="7E6A0049" w14:textId="77777777" w:rsidR="008028AF" w:rsidRDefault="008028AF" w:rsidP="008028AF">
      <w:pPr>
        <w:spacing w:after="0" w:line="240" w:lineRule="auto"/>
        <w:jc w:val="both"/>
        <w:rPr>
          <w:rFonts w:ascii="Arial" w:hAnsi="Arial" w:cs="Arial"/>
          <w:b/>
        </w:rPr>
      </w:pPr>
      <w:r w:rsidRPr="00AF463B">
        <w:rPr>
          <w:rFonts w:ascii="Arial" w:hAnsi="Arial" w:cs="Arial"/>
          <w:b/>
        </w:rPr>
        <w:t>2.0 Theoretical framework</w:t>
      </w:r>
    </w:p>
    <w:p w14:paraId="4399DBE4" w14:textId="77777777" w:rsidR="00E26931" w:rsidRPr="00AF463B" w:rsidRDefault="00E26931" w:rsidP="008028AF">
      <w:pPr>
        <w:spacing w:after="0" w:line="240" w:lineRule="auto"/>
        <w:jc w:val="both"/>
        <w:rPr>
          <w:rFonts w:ascii="Arial" w:hAnsi="Arial" w:cs="Arial"/>
          <w:b/>
        </w:rPr>
      </w:pPr>
    </w:p>
    <w:p w14:paraId="00959EE9" w14:textId="77777777" w:rsidR="00E26931" w:rsidRDefault="00E26931" w:rsidP="00E26931">
      <w:pPr>
        <w:spacing w:after="0"/>
        <w:jc w:val="both"/>
        <w:rPr>
          <w:rFonts w:ascii="Arial" w:hAnsi="Arial" w:cs="Arial"/>
        </w:rPr>
      </w:pPr>
      <w:r w:rsidRPr="00E26931">
        <w:rPr>
          <w:rFonts w:ascii="Arial" w:hAnsi="Arial" w:cs="Arial"/>
        </w:rPr>
        <w:t>This study seeks to explore the accessibility and utilization of agricultural information from social media among youth farmers</w:t>
      </w:r>
      <w:r w:rsidR="00864D3A">
        <w:rPr>
          <w:rFonts w:ascii="Arial" w:hAnsi="Arial" w:cs="Arial"/>
        </w:rPr>
        <w:t xml:space="preserve"> and</w:t>
      </w:r>
      <w:r w:rsidRPr="00E26931">
        <w:rPr>
          <w:rFonts w:ascii="Arial" w:hAnsi="Arial" w:cs="Arial"/>
        </w:rPr>
        <w:t xml:space="preserve"> the challenges they encounter in this context. Utilizing Uses and Gratifications Theory (UGT) and Cultivation Theory provides a robust framework for understanding these dynamics. UGT highlights the goal-directed nature of media consumption, suggesting that youth farmers actively seek out agricultural content that aligns with their specific informational needs, such as sustainable farming techniques, market trends, and weather updates. By examining how these farmers navigate social media platforms, we can gain insights into their motivations and preferences for agricultural information, particularly in terms of cognitive, affective, and social integrative needs.</w:t>
      </w:r>
    </w:p>
    <w:p w14:paraId="06FE0566" w14:textId="77777777" w:rsidR="00E26931" w:rsidRPr="00E26931" w:rsidRDefault="00E26931" w:rsidP="00E26931">
      <w:pPr>
        <w:spacing w:after="0"/>
        <w:jc w:val="both"/>
        <w:rPr>
          <w:rFonts w:ascii="Arial" w:hAnsi="Arial" w:cs="Arial"/>
        </w:rPr>
      </w:pPr>
    </w:p>
    <w:p w14:paraId="5A21C8BC" w14:textId="77777777" w:rsidR="00E26931" w:rsidRDefault="00E26931" w:rsidP="00E26931">
      <w:pPr>
        <w:spacing w:after="0"/>
        <w:jc w:val="both"/>
        <w:rPr>
          <w:rFonts w:ascii="Arial" w:hAnsi="Arial" w:cs="Arial"/>
        </w:rPr>
      </w:pPr>
      <w:r w:rsidRPr="00E26931">
        <w:rPr>
          <w:rFonts w:ascii="Arial" w:hAnsi="Arial" w:cs="Arial"/>
        </w:rPr>
        <w:t xml:space="preserve">The study also aims to assess the challenges faced by youth farmers in accessing agricultural information through social media. While social media offers a </w:t>
      </w:r>
      <w:r w:rsidR="007A7F99" w:rsidRPr="00E26931">
        <w:rPr>
          <w:rFonts w:ascii="Arial" w:hAnsi="Arial" w:cs="Arial"/>
        </w:rPr>
        <w:t>surplus</w:t>
      </w:r>
      <w:r w:rsidRPr="00E26931">
        <w:rPr>
          <w:rFonts w:ascii="Arial" w:hAnsi="Arial" w:cs="Arial"/>
        </w:rPr>
        <w:t xml:space="preserve"> of resources, barriers such as digital literacy, information overload, and the credibility of sources can impede effective information-seeking behaviors. Understanding these challenges is crucial, as it allows for the identification of gaps in accessibility that may prevent youth farmers from fully benefiting from available agricultural content. By integrating the perspectives provided by Cultivation Theory, we can further explore how continuous exposure to agricultural narratives on social media shapes youth farmers' attitudes and perceptions. Positive representations in media can enhance motivation and engagement, yet the presence of negative portrayals or misinformation can lead to disengagement and skepticism.</w:t>
      </w:r>
    </w:p>
    <w:p w14:paraId="5D1EBFDB" w14:textId="77777777" w:rsidR="00E26931" w:rsidRPr="00E26931" w:rsidRDefault="00E26931" w:rsidP="00E26931">
      <w:pPr>
        <w:spacing w:after="0"/>
        <w:jc w:val="both"/>
        <w:rPr>
          <w:rFonts w:ascii="Arial" w:hAnsi="Arial" w:cs="Arial"/>
        </w:rPr>
      </w:pPr>
    </w:p>
    <w:p w14:paraId="7FB317C3" w14:textId="77777777" w:rsidR="00E26931" w:rsidRPr="00E26931" w:rsidRDefault="00E26931" w:rsidP="00E26931">
      <w:pPr>
        <w:spacing w:after="0"/>
        <w:jc w:val="both"/>
        <w:rPr>
          <w:rFonts w:ascii="Arial" w:hAnsi="Arial" w:cs="Arial"/>
        </w:rPr>
      </w:pPr>
      <w:r w:rsidRPr="00E26931">
        <w:rPr>
          <w:rFonts w:ascii="Arial" w:hAnsi="Arial" w:cs="Arial"/>
        </w:rPr>
        <w:t>Through this dual theoretical lens, the study aims to not only evaluate the effectiveness and utilization of social media as an information source but also to illuminate the obstacles that hinder youth farmers from accessing and using agricultural information effectively. By addressing both the accessibility and challenges, stakeholders can develop targeted interventions that improve digital literacy, enhance the credibility of agricultural content, and foster an environment where youth farmers can thrive. Ultimately, this approach will contribute to the creation of a more engaged and informed generation of farmers, paving the way for innovative practices and sustainable agricultural development.</w:t>
      </w:r>
    </w:p>
    <w:p w14:paraId="14A38090" w14:textId="77777777" w:rsidR="008028AF" w:rsidRPr="00AF463B" w:rsidRDefault="008028AF" w:rsidP="008028AF">
      <w:pPr>
        <w:spacing w:after="0"/>
        <w:jc w:val="both"/>
        <w:rPr>
          <w:rFonts w:ascii="Arial" w:hAnsi="Arial" w:cs="Arial"/>
          <w:b/>
          <w:color w:val="FF0000"/>
        </w:rPr>
      </w:pPr>
    </w:p>
    <w:p w14:paraId="5F87DD5E" w14:textId="77777777" w:rsidR="008028AF" w:rsidRPr="00AF463B" w:rsidRDefault="008028AF" w:rsidP="008028AF">
      <w:pPr>
        <w:spacing w:after="0"/>
        <w:jc w:val="both"/>
        <w:rPr>
          <w:rFonts w:ascii="Arial" w:hAnsi="Arial" w:cs="Arial"/>
          <w:b/>
        </w:rPr>
      </w:pPr>
      <w:r w:rsidRPr="00AF463B">
        <w:rPr>
          <w:rFonts w:ascii="Arial" w:hAnsi="Arial" w:cs="Arial"/>
          <w:b/>
        </w:rPr>
        <w:t xml:space="preserve">3.0 METHODOLOGY </w:t>
      </w:r>
    </w:p>
    <w:p w14:paraId="7A443CCE" w14:textId="77777777" w:rsidR="008028AF" w:rsidRPr="00AF463B" w:rsidRDefault="008028AF" w:rsidP="008028AF">
      <w:pPr>
        <w:spacing w:after="0"/>
        <w:jc w:val="both"/>
        <w:rPr>
          <w:rFonts w:ascii="Arial" w:hAnsi="Arial" w:cs="Arial"/>
          <w:b/>
        </w:rPr>
      </w:pPr>
      <w:r w:rsidRPr="00AF463B">
        <w:rPr>
          <w:rFonts w:ascii="Arial" w:hAnsi="Arial" w:cs="Arial"/>
          <w:b/>
        </w:rPr>
        <w:t>3.1</w:t>
      </w:r>
      <w:r w:rsidRPr="00AF463B">
        <w:rPr>
          <w:rFonts w:ascii="Arial" w:hAnsi="Arial" w:cs="Arial"/>
          <w:b/>
        </w:rPr>
        <w:tab/>
        <w:t>Description of the Study Area</w:t>
      </w:r>
    </w:p>
    <w:p w14:paraId="26DDACFD" w14:textId="77777777" w:rsidR="008028AF" w:rsidRPr="00AF463B" w:rsidRDefault="008028AF" w:rsidP="008028AF">
      <w:pPr>
        <w:spacing w:after="0"/>
        <w:jc w:val="both"/>
        <w:rPr>
          <w:rFonts w:ascii="Arial" w:hAnsi="Arial" w:cs="Arial"/>
        </w:rPr>
      </w:pPr>
      <w:r w:rsidRPr="00AF463B">
        <w:rPr>
          <w:rFonts w:ascii="Arial" w:hAnsi="Arial" w:cs="Arial"/>
        </w:rPr>
        <w:lastRenderedPageBreak/>
        <w:t xml:space="preserve">This study was conducted at </w:t>
      </w:r>
      <w:proofErr w:type="spellStart"/>
      <w:r w:rsidRPr="00AF463B">
        <w:rPr>
          <w:rFonts w:ascii="Arial" w:hAnsi="Arial" w:cs="Arial"/>
        </w:rPr>
        <w:t>Kyerwa</w:t>
      </w:r>
      <w:proofErr w:type="spellEnd"/>
      <w:r w:rsidRPr="00AF463B">
        <w:rPr>
          <w:rFonts w:ascii="Arial" w:hAnsi="Arial" w:cs="Arial"/>
        </w:rPr>
        <w:t xml:space="preserve"> District in </w:t>
      </w:r>
      <w:proofErr w:type="spellStart"/>
      <w:r w:rsidRPr="00AF463B">
        <w:rPr>
          <w:rFonts w:ascii="Arial" w:hAnsi="Arial" w:cs="Arial"/>
        </w:rPr>
        <w:t>Kagera</w:t>
      </w:r>
      <w:proofErr w:type="spellEnd"/>
      <w:r w:rsidRPr="00AF463B">
        <w:rPr>
          <w:rFonts w:ascii="Arial" w:hAnsi="Arial" w:cs="Arial"/>
        </w:rPr>
        <w:t xml:space="preserve"> region, Tanzania. </w:t>
      </w:r>
      <w:proofErr w:type="spellStart"/>
      <w:r w:rsidRPr="00AF463B">
        <w:rPr>
          <w:rFonts w:ascii="Arial" w:hAnsi="Arial" w:cs="Arial"/>
        </w:rPr>
        <w:t>Kyerwa</w:t>
      </w:r>
      <w:proofErr w:type="spellEnd"/>
      <w:r w:rsidRPr="00AF463B">
        <w:rPr>
          <w:rFonts w:ascii="Arial" w:hAnsi="Arial" w:cs="Arial"/>
        </w:rPr>
        <w:t xml:space="preserve"> District is one of the eight (8) Districts in the </w:t>
      </w:r>
      <w:proofErr w:type="spellStart"/>
      <w:r w:rsidRPr="00AF463B">
        <w:rPr>
          <w:rFonts w:ascii="Arial" w:hAnsi="Arial" w:cs="Arial"/>
        </w:rPr>
        <w:t>Kagera</w:t>
      </w:r>
      <w:proofErr w:type="spellEnd"/>
      <w:r w:rsidRPr="00AF463B">
        <w:rPr>
          <w:rFonts w:ascii="Arial" w:hAnsi="Arial" w:cs="Arial"/>
        </w:rPr>
        <w:t xml:space="preserve"> region of </w:t>
      </w:r>
      <w:r w:rsidR="00F36CCA">
        <w:rPr>
          <w:rFonts w:ascii="Arial" w:hAnsi="Arial" w:cs="Arial"/>
        </w:rPr>
        <w:t>Tanzania</w:t>
      </w:r>
      <w:r w:rsidRPr="00AF463B">
        <w:rPr>
          <w:rFonts w:ascii="Arial" w:hAnsi="Arial" w:cs="Arial"/>
        </w:rPr>
        <w:t>. The district covers approximately 3,086 Km² and is located between 2º15’ and 30.15’ South of the equator and between 31º00- 32º00 east of Standard Meridian (</w:t>
      </w:r>
      <w:proofErr w:type="spellStart"/>
      <w:r w:rsidRPr="00AF463B">
        <w:rPr>
          <w:rFonts w:ascii="Arial" w:hAnsi="Arial" w:cs="Arial"/>
        </w:rPr>
        <w:t>Kyerwa</w:t>
      </w:r>
      <w:proofErr w:type="spellEnd"/>
      <w:r w:rsidRPr="00AF463B">
        <w:rPr>
          <w:rFonts w:ascii="Arial" w:hAnsi="Arial" w:cs="Arial"/>
        </w:rPr>
        <w:t xml:space="preserve"> District Strategic Plan, 2016/2021). </w:t>
      </w:r>
      <w:proofErr w:type="spellStart"/>
      <w:r w:rsidRPr="00AF463B">
        <w:rPr>
          <w:rFonts w:ascii="Arial" w:hAnsi="Arial" w:cs="Arial"/>
        </w:rPr>
        <w:t>Kyerwa</w:t>
      </w:r>
      <w:proofErr w:type="spellEnd"/>
      <w:r w:rsidRPr="00AF463B">
        <w:rPr>
          <w:rFonts w:ascii="Arial" w:hAnsi="Arial" w:cs="Arial"/>
        </w:rPr>
        <w:t xml:space="preserve"> District has four divisions which are Kaisho, </w:t>
      </w:r>
      <w:proofErr w:type="spellStart"/>
      <w:r w:rsidRPr="00AF463B">
        <w:rPr>
          <w:rFonts w:ascii="Arial" w:hAnsi="Arial" w:cs="Arial"/>
        </w:rPr>
        <w:t>Murongo</w:t>
      </w:r>
      <w:proofErr w:type="spellEnd"/>
      <w:r w:rsidRPr="00AF463B">
        <w:rPr>
          <w:rFonts w:ascii="Arial" w:hAnsi="Arial" w:cs="Arial"/>
        </w:rPr>
        <w:t xml:space="preserve">, </w:t>
      </w:r>
      <w:proofErr w:type="spellStart"/>
      <w:r w:rsidRPr="00AF463B">
        <w:rPr>
          <w:rFonts w:ascii="Arial" w:hAnsi="Arial" w:cs="Arial"/>
        </w:rPr>
        <w:t>Nkwenda</w:t>
      </w:r>
      <w:proofErr w:type="spellEnd"/>
      <w:r w:rsidR="00F36CCA">
        <w:rPr>
          <w:rFonts w:ascii="Arial" w:hAnsi="Arial" w:cs="Arial"/>
        </w:rPr>
        <w:t>,</w:t>
      </w:r>
      <w:r w:rsidRPr="00AF463B">
        <w:rPr>
          <w:rFonts w:ascii="Arial" w:hAnsi="Arial" w:cs="Arial"/>
        </w:rPr>
        <w:t xml:space="preserve"> and Mabila, Out of the four divisions, this study was conducted at Kaisho division invol</w:t>
      </w:r>
      <w:r w:rsidR="00E56066">
        <w:rPr>
          <w:rFonts w:ascii="Arial" w:hAnsi="Arial" w:cs="Arial"/>
        </w:rPr>
        <w:t xml:space="preserve">ving two wards, Isingiro and </w:t>
      </w:r>
      <w:proofErr w:type="spellStart"/>
      <w:r w:rsidR="00E56066">
        <w:rPr>
          <w:rFonts w:ascii="Arial" w:hAnsi="Arial" w:cs="Arial"/>
        </w:rPr>
        <w:t>Rutunguru</w:t>
      </w:r>
      <w:proofErr w:type="spellEnd"/>
      <w:r w:rsidRPr="00AF463B">
        <w:rPr>
          <w:rFonts w:ascii="Arial" w:hAnsi="Arial" w:cs="Arial"/>
        </w:rPr>
        <w:t xml:space="preserve"> ward. Within the two wards, two villages were randomly selected. The Kaisho Division was purposively selected due to the </w:t>
      </w:r>
      <w:r w:rsidR="00F36CCA">
        <w:rPr>
          <w:rFonts w:ascii="Arial" w:hAnsi="Arial" w:cs="Arial"/>
        </w:rPr>
        <w:t>large number of youths involved</w:t>
      </w:r>
      <w:r w:rsidRPr="00AF463B">
        <w:rPr>
          <w:rFonts w:ascii="Arial" w:hAnsi="Arial" w:cs="Arial"/>
        </w:rPr>
        <w:t xml:space="preserve"> in agricultural activities. The district borders the Republic of Uganda in the North</w:t>
      </w:r>
      <w:r w:rsidR="00F36CCA">
        <w:rPr>
          <w:rFonts w:ascii="Arial" w:hAnsi="Arial" w:cs="Arial"/>
        </w:rPr>
        <w:t xml:space="preserve"> and </w:t>
      </w:r>
      <w:r w:rsidRPr="00AF463B">
        <w:rPr>
          <w:rFonts w:ascii="Arial" w:hAnsi="Arial" w:cs="Arial"/>
        </w:rPr>
        <w:t xml:space="preserve">Rwanda in the West. The District borders </w:t>
      </w:r>
      <w:proofErr w:type="spellStart"/>
      <w:r w:rsidRPr="00AF463B">
        <w:rPr>
          <w:rFonts w:ascii="Arial" w:hAnsi="Arial" w:cs="Arial"/>
        </w:rPr>
        <w:t>Karagwe</w:t>
      </w:r>
      <w:proofErr w:type="spellEnd"/>
      <w:r w:rsidRPr="00AF463B">
        <w:rPr>
          <w:rFonts w:ascii="Arial" w:hAnsi="Arial" w:cs="Arial"/>
        </w:rPr>
        <w:t xml:space="preserve"> District in the South East. </w:t>
      </w:r>
      <w:proofErr w:type="spellStart"/>
      <w:r w:rsidRPr="00AF463B">
        <w:rPr>
          <w:rFonts w:ascii="Arial" w:hAnsi="Arial" w:cs="Arial"/>
        </w:rPr>
        <w:t>Kyerwa</w:t>
      </w:r>
      <w:proofErr w:type="spellEnd"/>
      <w:r w:rsidRPr="00AF463B">
        <w:rPr>
          <w:rFonts w:ascii="Arial" w:hAnsi="Arial" w:cs="Arial"/>
        </w:rPr>
        <w:t xml:space="preserve"> District has a total of 93,838.3 </w:t>
      </w:r>
      <w:r w:rsidR="00F36CCA">
        <w:rPr>
          <w:rFonts w:ascii="Arial" w:hAnsi="Arial" w:cs="Arial"/>
        </w:rPr>
        <w:t>hectares of</w:t>
      </w:r>
      <w:r w:rsidRPr="00AF463B">
        <w:rPr>
          <w:rFonts w:ascii="Arial" w:hAnsi="Arial" w:cs="Arial"/>
        </w:rPr>
        <w:t xml:space="preserve"> arable land of which 72,840.4 Ha. </w:t>
      </w:r>
      <w:r w:rsidR="00F36CCA">
        <w:rPr>
          <w:rFonts w:ascii="Arial" w:hAnsi="Arial" w:cs="Arial"/>
        </w:rPr>
        <w:t>The equivalent</w:t>
      </w:r>
      <w:r w:rsidRPr="00AF463B">
        <w:rPr>
          <w:rFonts w:ascii="Arial" w:hAnsi="Arial" w:cs="Arial"/>
        </w:rPr>
        <w:t xml:space="preserve"> of 77.62% </w:t>
      </w:r>
      <w:r w:rsidR="00F36CCA">
        <w:rPr>
          <w:rFonts w:ascii="Arial" w:hAnsi="Arial" w:cs="Arial"/>
        </w:rPr>
        <w:t>is</w:t>
      </w:r>
      <w:r w:rsidRPr="00AF463B">
        <w:rPr>
          <w:rFonts w:ascii="Arial" w:hAnsi="Arial" w:cs="Arial"/>
        </w:rPr>
        <w:t xml:space="preserve"> arable land. The district is divided into three </w:t>
      </w:r>
      <w:r w:rsidR="00F36CCA">
        <w:rPr>
          <w:rFonts w:ascii="Arial" w:hAnsi="Arial" w:cs="Arial"/>
        </w:rPr>
        <w:t>agro-ecological zones that are very productive and supportive of</w:t>
      </w:r>
      <w:r w:rsidRPr="00AF463B">
        <w:rPr>
          <w:rFonts w:ascii="Arial" w:hAnsi="Arial" w:cs="Arial"/>
        </w:rPr>
        <w:t xml:space="preserve"> Agricultural activities. The </w:t>
      </w:r>
      <w:proofErr w:type="spellStart"/>
      <w:r w:rsidRPr="00AF463B">
        <w:rPr>
          <w:rFonts w:ascii="Arial" w:hAnsi="Arial" w:cs="Arial"/>
        </w:rPr>
        <w:t>Kagera</w:t>
      </w:r>
      <w:proofErr w:type="spellEnd"/>
      <w:r w:rsidRPr="00AF463B">
        <w:rPr>
          <w:rFonts w:ascii="Arial" w:hAnsi="Arial" w:cs="Arial"/>
        </w:rPr>
        <w:t xml:space="preserve"> River forms the boundary between </w:t>
      </w:r>
      <w:proofErr w:type="spellStart"/>
      <w:r w:rsidRPr="00AF463B">
        <w:rPr>
          <w:rFonts w:ascii="Arial" w:hAnsi="Arial" w:cs="Arial"/>
        </w:rPr>
        <w:t>Kyerwa</w:t>
      </w:r>
      <w:proofErr w:type="spellEnd"/>
      <w:r w:rsidRPr="00AF463B">
        <w:rPr>
          <w:rFonts w:ascii="Arial" w:hAnsi="Arial" w:cs="Arial"/>
        </w:rPr>
        <w:t xml:space="preserve"> and the Republic of Rwanda and Uganda</w:t>
      </w:r>
    </w:p>
    <w:p w14:paraId="21422D05" w14:textId="77777777" w:rsidR="008028AF" w:rsidRPr="00AF463B" w:rsidRDefault="008028AF" w:rsidP="008028AF">
      <w:pPr>
        <w:spacing w:after="0"/>
        <w:jc w:val="both"/>
        <w:rPr>
          <w:rFonts w:ascii="Arial" w:hAnsi="Arial" w:cs="Arial"/>
        </w:rPr>
      </w:pPr>
      <w:r w:rsidRPr="00AF463B">
        <w:rPr>
          <w:rFonts w:ascii="Arial" w:hAnsi="Arial" w:cs="Arial"/>
          <w:noProof/>
        </w:rPr>
        <w:drawing>
          <wp:inline distT="0" distB="0" distL="0" distR="0" wp14:anchorId="59C75E22" wp14:editId="50732D78">
            <wp:extent cx="5943600" cy="4203065"/>
            <wp:effectExtent l="0" t="0" r="0" b="698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mdf.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5943600" cy="4203065"/>
                    </a:xfrm>
                    <a:prstGeom prst="rect">
                      <a:avLst/>
                    </a:prstGeom>
                  </pic:spPr>
                </pic:pic>
              </a:graphicData>
            </a:graphic>
          </wp:inline>
        </w:drawing>
      </w:r>
    </w:p>
    <w:p w14:paraId="02C5DAC2" w14:textId="77777777" w:rsidR="008028AF" w:rsidRPr="00AF463B" w:rsidRDefault="008028AF" w:rsidP="008028AF">
      <w:pPr>
        <w:spacing w:after="0"/>
        <w:jc w:val="both"/>
        <w:rPr>
          <w:rFonts w:ascii="Arial" w:hAnsi="Arial" w:cs="Arial"/>
        </w:rPr>
      </w:pPr>
    </w:p>
    <w:p w14:paraId="7B65F1F4" w14:textId="77777777" w:rsidR="008028AF" w:rsidRPr="00AF463B" w:rsidRDefault="008028AF" w:rsidP="008028AF">
      <w:pPr>
        <w:spacing w:after="0"/>
        <w:jc w:val="both"/>
        <w:rPr>
          <w:rFonts w:ascii="Arial" w:hAnsi="Arial" w:cs="Arial"/>
          <w:noProof/>
        </w:rPr>
      </w:pPr>
      <w:r w:rsidRPr="00AF463B">
        <w:rPr>
          <w:rFonts w:ascii="Arial" w:hAnsi="Arial" w:cs="Arial"/>
          <w:noProof/>
        </w:rPr>
        <w:t xml:space="preserve">Figure 1: Map showing study area. </w:t>
      </w:r>
    </w:p>
    <w:p w14:paraId="110027AA" w14:textId="77777777" w:rsidR="008028AF" w:rsidRPr="00AF463B" w:rsidRDefault="008028AF" w:rsidP="008028AF">
      <w:pPr>
        <w:spacing w:after="0"/>
        <w:jc w:val="both"/>
        <w:rPr>
          <w:rFonts w:ascii="Arial" w:hAnsi="Arial" w:cs="Arial"/>
          <w:b/>
        </w:rPr>
      </w:pPr>
    </w:p>
    <w:p w14:paraId="4DFE5F47" w14:textId="77777777" w:rsidR="00E56066" w:rsidRDefault="008028AF" w:rsidP="008028AF">
      <w:pPr>
        <w:spacing w:after="0"/>
        <w:jc w:val="both"/>
        <w:rPr>
          <w:rFonts w:ascii="Arial" w:eastAsia="Times New Roman" w:hAnsi="Arial" w:cs="Arial"/>
          <w:kern w:val="32"/>
          <w:lang w:eastAsia="en-GB"/>
        </w:rPr>
      </w:pPr>
      <w:r w:rsidRPr="00AF463B">
        <w:rPr>
          <w:rFonts w:ascii="Arial" w:eastAsia="Times New Roman" w:hAnsi="Arial" w:cs="Arial"/>
          <w:kern w:val="32"/>
          <w:lang w:eastAsia="en-GB"/>
        </w:rPr>
        <w:t xml:space="preserve">The study adopted a cross-sectional research design, which is particularly advantageous for collecting data at a single point in time from a representative sample of the target population (Kothari, 2004). This design enables researchers to efficiently assess the information needs and information-seeking behaviors of youth farmers within a defined timeframe, facilitating a snapshot analysis of the population under study. The target population comprised 104 youth farmers from the Kaisho Division, along with key informants including one village executive officer, two ward </w:t>
      </w:r>
      <w:r w:rsidRPr="00AF463B">
        <w:rPr>
          <w:rFonts w:ascii="Arial" w:eastAsia="Times New Roman" w:hAnsi="Arial" w:cs="Arial"/>
          <w:kern w:val="32"/>
          <w:lang w:eastAsia="en-GB"/>
        </w:rPr>
        <w:lastRenderedPageBreak/>
        <w:t xml:space="preserve">executive officers, one ward extension officer, one division officer, and one agriculture officer from the district. </w:t>
      </w:r>
    </w:p>
    <w:p w14:paraId="3299FB50" w14:textId="77777777" w:rsidR="00E56066" w:rsidRDefault="00E56066" w:rsidP="008028AF">
      <w:pPr>
        <w:spacing w:after="0"/>
        <w:jc w:val="both"/>
        <w:rPr>
          <w:rFonts w:ascii="Arial" w:eastAsia="Times New Roman" w:hAnsi="Arial" w:cs="Arial"/>
          <w:kern w:val="32"/>
          <w:lang w:eastAsia="en-GB"/>
        </w:rPr>
      </w:pPr>
    </w:p>
    <w:p w14:paraId="584B01B4" w14:textId="77777777" w:rsidR="00E56066" w:rsidRDefault="008028AF" w:rsidP="008028AF">
      <w:pPr>
        <w:spacing w:after="0"/>
        <w:jc w:val="both"/>
        <w:rPr>
          <w:rFonts w:ascii="Arial" w:eastAsia="Times New Roman" w:hAnsi="Arial" w:cs="Arial"/>
          <w:kern w:val="32"/>
          <w:lang w:eastAsia="en-GB"/>
        </w:rPr>
      </w:pPr>
      <w:r w:rsidRPr="00AF463B">
        <w:rPr>
          <w:rFonts w:ascii="Arial" w:eastAsia="Times New Roman" w:hAnsi="Arial" w:cs="Arial"/>
          <w:kern w:val="32"/>
          <w:lang w:eastAsia="en-GB"/>
        </w:rPr>
        <w:t>To select the sample of youth farmers, simple random sampling was utilized, ensuring that each individual had an equal chance of being included. Meanwhile, the key informants were selected purposively, reflecting their specific roles and expertise in the agricultural sector.</w:t>
      </w:r>
      <w:r w:rsidR="007A7F99">
        <w:rPr>
          <w:rFonts w:ascii="Arial" w:eastAsia="Times New Roman" w:hAnsi="Arial" w:cs="Arial"/>
          <w:kern w:val="32"/>
          <w:lang w:eastAsia="en-GB"/>
        </w:rPr>
        <w:t xml:space="preserve"> </w:t>
      </w:r>
      <w:r w:rsidRPr="00AF463B">
        <w:rPr>
          <w:rFonts w:ascii="Arial" w:eastAsia="Times New Roman" w:hAnsi="Arial" w:cs="Arial"/>
          <w:kern w:val="32"/>
          <w:lang w:eastAsia="en-GB"/>
        </w:rPr>
        <w:t xml:space="preserve">The sample size of 104 youth farmers was computed using Kothari’s formula for finite populations, which is designed to determine an appropriate sample size based on a known population size. Thus, an equal number of twenty-six youth farmers were drawn from each of the four randomly selected villages to form the study population. </w:t>
      </w:r>
    </w:p>
    <w:p w14:paraId="508D47D5" w14:textId="77777777" w:rsidR="00E56066" w:rsidRDefault="00E56066" w:rsidP="008028AF">
      <w:pPr>
        <w:spacing w:after="0"/>
        <w:jc w:val="both"/>
        <w:rPr>
          <w:rFonts w:ascii="Arial" w:eastAsia="Times New Roman" w:hAnsi="Arial" w:cs="Arial"/>
          <w:kern w:val="32"/>
          <w:lang w:eastAsia="en-GB"/>
        </w:rPr>
      </w:pPr>
    </w:p>
    <w:p w14:paraId="5709905E" w14:textId="77777777" w:rsidR="00E56066" w:rsidRDefault="008028AF" w:rsidP="008028AF">
      <w:pPr>
        <w:spacing w:after="0"/>
        <w:jc w:val="both"/>
        <w:rPr>
          <w:rFonts w:ascii="Arial" w:eastAsia="Times New Roman" w:hAnsi="Arial" w:cs="Arial"/>
          <w:kern w:val="32"/>
          <w:lang w:eastAsia="en-GB"/>
        </w:rPr>
      </w:pPr>
      <w:r w:rsidRPr="00AF463B">
        <w:rPr>
          <w:rFonts w:ascii="Arial" w:eastAsia="Times New Roman" w:hAnsi="Arial" w:cs="Arial"/>
          <w:kern w:val="32"/>
          <w:lang w:eastAsia="en-GB"/>
        </w:rPr>
        <w:t xml:space="preserve">Data collection involved a range of instruments, including self-administered semi-structured questionnaires for youth farmers, and semi-structured interview schedules for key informants. Additionally, five focus group discussions (FGDs) were conducted with youth farmers one in each village to explore their agricultural information needs, information-seeking behaviors, and the challenges they face in accessing and utilizing agricultural information. </w:t>
      </w:r>
    </w:p>
    <w:p w14:paraId="24F445C2" w14:textId="77777777" w:rsidR="00E56066" w:rsidRDefault="00E56066" w:rsidP="008028AF">
      <w:pPr>
        <w:spacing w:after="0"/>
        <w:jc w:val="both"/>
        <w:rPr>
          <w:rFonts w:ascii="Arial" w:eastAsia="Times New Roman" w:hAnsi="Arial" w:cs="Arial"/>
          <w:kern w:val="32"/>
          <w:lang w:eastAsia="en-GB"/>
        </w:rPr>
      </w:pPr>
    </w:p>
    <w:p w14:paraId="4A24F4A0" w14:textId="77777777" w:rsidR="008028AF" w:rsidRPr="00AF463B" w:rsidRDefault="008028AF" w:rsidP="008028AF">
      <w:pPr>
        <w:spacing w:after="0"/>
        <w:jc w:val="both"/>
        <w:rPr>
          <w:rFonts w:ascii="Arial" w:eastAsia="Times New Roman" w:hAnsi="Arial" w:cs="Arial"/>
          <w:kern w:val="32"/>
          <w:lang w:eastAsia="en-GB"/>
        </w:rPr>
      </w:pPr>
      <w:r w:rsidRPr="00AF463B">
        <w:rPr>
          <w:rFonts w:ascii="Arial" w:eastAsia="Times New Roman" w:hAnsi="Arial" w:cs="Arial"/>
          <w:kern w:val="32"/>
          <w:lang w:eastAsia="en-GB"/>
        </w:rPr>
        <w:t>The FGDs also examined the social media platforms predominantly used by youth for agricultural information. An observation checklist was employed to gather data regarding the types of phones used, communication infrastructure, cultural aspects (such as language and rituals), and the agricultural activities in which youth are engaged in the study area.</w:t>
      </w:r>
    </w:p>
    <w:p w14:paraId="06C96D1A" w14:textId="77777777" w:rsidR="00F86ED8" w:rsidRDefault="00F86ED8" w:rsidP="008028AF">
      <w:pPr>
        <w:spacing w:after="0"/>
        <w:jc w:val="both"/>
        <w:rPr>
          <w:rFonts w:ascii="Arial" w:eastAsia="Times New Roman" w:hAnsi="Arial" w:cs="Arial"/>
          <w:kern w:val="32"/>
          <w:lang w:eastAsia="en-GB"/>
        </w:rPr>
      </w:pPr>
    </w:p>
    <w:p w14:paraId="786B4327" w14:textId="77777777" w:rsidR="008028AF" w:rsidRPr="00AF463B" w:rsidRDefault="008028AF" w:rsidP="008028AF">
      <w:pPr>
        <w:spacing w:after="0"/>
        <w:jc w:val="both"/>
        <w:rPr>
          <w:rFonts w:ascii="Arial" w:eastAsia="Times New Roman" w:hAnsi="Arial" w:cs="Arial"/>
          <w:kern w:val="32"/>
          <w:lang w:eastAsia="en-GB"/>
        </w:rPr>
      </w:pPr>
      <w:r w:rsidRPr="00AF463B">
        <w:rPr>
          <w:rFonts w:ascii="Arial" w:eastAsia="Times New Roman" w:hAnsi="Arial" w:cs="Arial"/>
          <w:kern w:val="32"/>
          <w:lang w:eastAsia="en-GB"/>
        </w:rPr>
        <w:t xml:space="preserve">For data analysis, quantitative data were processed using the Statistical Package for Social Sciences (SPSS) version 20. Descriptive statistics, including means, standard deviations, frequencies, and percentages, were utilized to analyze the demographic characteristics of respondents. Qualitative data obtained through observations and in-depth interviews were subjected to content analysis, where text was coded and organized into themes. This comprehensive analytical approach enabled the study to draw meaningful conclusions about the information needs and behaviors of youth farmers in </w:t>
      </w:r>
      <w:r w:rsidR="00883931">
        <w:rPr>
          <w:rFonts w:ascii="Arial" w:eastAsia="Times New Roman" w:hAnsi="Arial" w:cs="Arial"/>
          <w:kern w:val="32"/>
          <w:lang w:eastAsia="en-GB"/>
        </w:rPr>
        <w:t xml:space="preserve">the </w:t>
      </w:r>
      <w:proofErr w:type="spellStart"/>
      <w:r w:rsidRPr="00AF463B">
        <w:rPr>
          <w:rFonts w:ascii="Arial" w:eastAsia="Times New Roman" w:hAnsi="Arial" w:cs="Arial"/>
          <w:kern w:val="32"/>
          <w:lang w:eastAsia="en-GB"/>
        </w:rPr>
        <w:t>Kyerwa</w:t>
      </w:r>
      <w:proofErr w:type="spellEnd"/>
      <w:r w:rsidRPr="00AF463B">
        <w:rPr>
          <w:rFonts w:ascii="Arial" w:eastAsia="Times New Roman" w:hAnsi="Arial" w:cs="Arial"/>
          <w:kern w:val="32"/>
          <w:lang w:eastAsia="en-GB"/>
        </w:rPr>
        <w:t xml:space="preserve"> District.</w:t>
      </w:r>
    </w:p>
    <w:p w14:paraId="45FC1EA9" w14:textId="77777777" w:rsidR="00B942F4" w:rsidRPr="00AF463B" w:rsidRDefault="00B942F4" w:rsidP="00B942F4">
      <w:pPr>
        <w:rPr>
          <w:rFonts w:ascii="Arial" w:hAnsi="Arial" w:cs="Arial"/>
          <w:b/>
        </w:rPr>
      </w:pPr>
    </w:p>
    <w:p w14:paraId="74311E05" w14:textId="77777777" w:rsidR="00B942F4" w:rsidRPr="00AF463B" w:rsidRDefault="00B942F4" w:rsidP="00B942F4">
      <w:pPr>
        <w:rPr>
          <w:rFonts w:ascii="Arial" w:hAnsi="Arial" w:cs="Arial"/>
          <w:b/>
        </w:rPr>
      </w:pPr>
      <w:r w:rsidRPr="00AF463B">
        <w:rPr>
          <w:rFonts w:ascii="Arial" w:hAnsi="Arial" w:cs="Arial"/>
          <w:b/>
        </w:rPr>
        <w:t xml:space="preserve">4.0 RESULTS AND </w:t>
      </w:r>
      <w:r w:rsidR="00883931">
        <w:rPr>
          <w:rFonts w:ascii="Arial" w:hAnsi="Arial" w:cs="Arial"/>
          <w:b/>
        </w:rPr>
        <w:t>DISCUSSION</w:t>
      </w:r>
      <w:r w:rsidRPr="00AF463B">
        <w:rPr>
          <w:rFonts w:ascii="Arial" w:hAnsi="Arial" w:cs="Arial"/>
          <w:b/>
        </w:rPr>
        <w:t xml:space="preserve">. </w:t>
      </w:r>
    </w:p>
    <w:p w14:paraId="1B59A3D9" w14:textId="77777777" w:rsidR="00883931" w:rsidRDefault="00883931" w:rsidP="0015088D">
      <w:pPr>
        <w:spacing w:line="360" w:lineRule="auto"/>
        <w:jc w:val="both"/>
        <w:rPr>
          <w:rFonts w:ascii="Arial" w:hAnsi="Arial" w:cs="Arial"/>
        </w:rPr>
      </w:pPr>
      <w:r>
        <w:rPr>
          <w:rFonts w:ascii="Arial" w:hAnsi="Arial" w:cs="Arial"/>
        </w:rPr>
        <w:t xml:space="preserve">4.1 </w:t>
      </w:r>
      <w:r w:rsidRPr="00883931">
        <w:rPr>
          <w:rFonts w:ascii="Arial" w:hAnsi="Arial" w:cs="Arial"/>
          <w:b/>
        </w:rPr>
        <w:t>Access of social networking accounts</w:t>
      </w:r>
    </w:p>
    <w:p w14:paraId="58EF8363" w14:textId="77777777" w:rsidR="0015088D" w:rsidRDefault="0015088D" w:rsidP="0015088D">
      <w:pPr>
        <w:spacing w:line="360" w:lineRule="auto"/>
        <w:jc w:val="both"/>
        <w:rPr>
          <w:rFonts w:ascii="Arial" w:hAnsi="Arial" w:cs="Arial"/>
        </w:rPr>
      </w:pPr>
      <w:r w:rsidRPr="0015088D">
        <w:rPr>
          <w:rFonts w:ascii="Arial" w:hAnsi="Arial" w:cs="Arial"/>
        </w:rPr>
        <w:t>The data reveals varied usage patterns across different social media platforms for accessing agricultural information. Facebook emerges as the most utilized platform, with 17.3% of respondents accessing it daily and 26.0% weekly, indicating its significance as a channel for</w:t>
      </w:r>
      <w:r w:rsidR="00954348">
        <w:rPr>
          <w:rFonts w:ascii="Arial" w:hAnsi="Arial" w:cs="Arial"/>
        </w:rPr>
        <w:t xml:space="preserve"> agricultural engagement </w:t>
      </w:r>
      <w:r w:rsidR="00954348">
        <w:rPr>
          <w:rFonts w:ascii="Arial" w:hAnsi="Arial" w:cs="Arial"/>
        </w:rPr>
        <w:fldChar w:fldCharType="begin" w:fldLock="1"/>
      </w:r>
      <w:r w:rsidR="00954348">
        <w:rPr>
          <w:rFonts w:ascii="Arial" w:hAnsi="Arial" w:cs="Arial"/>
        </w:rPr>
        <w:instrText>ADDIN CSL_CITATION {"citationItems":[{"id":"ITEM-1","itemData":{"DOI":"10.25130/sc.24.1.6","ISSN":"2073-9494","abstract":"Traditionally, agricultural information is disseminated through industrial media such as newspapers, television, and radio. People, including farmers, are using social media platforms like Facebook, Twitter, YouTube, and blogs to spread personal or agricultural information. This paper highlights the benefits of social media to farmers as follows: coverage of large geographical boundaries in a short time, reducing farmers’ social isolation, increasing networking platforms, mobilising farmers, keeping farmers updated and marketing agricultural goods with ease. Literature acquired from Google Scholar, Scopus, Science Direct and the University of Limpopo e-library search engines provided sources of information for the paper. This paper discusses the benefits of social media, defines the concept of social media, and lists different social media platforms available to farmers. It concludes that social media can enhance farmers’ capabilities and interaction with extension officers. The paper recommends that agricultural news and communication be spread using social media platforms popular in the farming communities, that there be development of information centres where farmers can access social media and get assistance while accessing such information and that they receive proper training on the use of social media platforms. Extension officers must be equipped with skills to package relevant information to disseminate to the farmers.","author":[{"dropping-particle":"","family":"Ramavhale","given":"P.M.","non-dropping-particle":"","parse-names":false,"suffix":""},{"dropping-particle":"","family":"Zwane","given":"E.M.","non-dropping-particle":"","parse-names":false,"suffix":""},{"dropping-particle":"","family":"Belete","given":"A","non-dropping-particle":"","parse-names":false,"suffix":""}],"container-title":"S. Afr. J. Agric. Ext.","id":"ITEM-1","issue":"1","issued":{"date-parts":[["2024"]]},"page":"72-86","title":"The Benefits of Social Media Platforms Used in Agriculture for Information Dissemination","type":"article-journal","volume":"15"},"uris":["http://www.mendeley.com/documents/?uuid=607fc537-9715-4278-888e-d8519f4fc753"]}],"mendeley":{"formattedCitation":"(Ramavhale et al., 2024)","plainTextFormattedCitation":"(Ramavhale et al., 2024)","previouslyFormattedCitation":"(Ramavhale et al., 2024)"},"properties":{"noteIndex":0},"schema":"https://github.com/citation-style-language/schema/raw/master/csl-citation.json"}</w:instrText>
      </w:r>
      <w:r w:rsidR="00954348">
        <w:rPr>
          <w:rFonts w:ascii="Arial" w:hAnsi="Arial" w:cs="Arial"/>
        </w:rPr>
        <w:fldChar w:fldCharType="separate"/>
      </w:r>
      <w:r w:rsidR="00954348" w:rsidRPr="00954348">
        <w:rPr>
          <w:rFonts w:ascii="Arial" w:hAnsi="Arial" w:cs="Arial"/>
          <w:noProof/>
        </w:rPr>
        <w:t>(Ramavhale et al., 2024)</w:t>
      </w:r>
      <w:r w:rsidR="00954348">
        <w:rPr>
          <w:rFonts w:ascii="Arial" w:hAnsi="Arial" w:cs="Arial"/>
        </w:rPr>
        <w:fldChar w:fldCharType="end"/>
      </w:r>
      <w:r w:rsidRPr="0015088D">
        <w:rPr>
          <w:rFonts w:ascii="Arial" w:hAnsi="Arial" w:cs="Arial"/>
        </w:rPr>
        <w:t xml:space="preserve">. WhatsApp also shows substantial daily use at 24.0%, highlighting its role in facilitating communication and information sharing among farmers and agricultural communities (Zhang </w:t>
      </w:r>
      <w:r w:rsidRPr="00315D2D">
        <w:rPr>
          <w:rFonts w:ascii="Arial" w:hAnsi="Arial" w:cs="Arial"/>
          <w:i/>
        </w:rPr>
        <w:t>et al.,</w:t>
      </w:r>
      <w:r w:rsidRPr="0015088D">
        <w:rPr>
          <w:rFonts w:ascii="Arial" w:hAnsi="Arial" w:cs="Arial"/>
        </w:rPr>
        <w:t xml:space="preserve"> 2020). In contrast, platforms like Twitter and LinkedIn see lower engagement, which may limit their effectiveness in reaching a broader audience for agricultural information dissemination. The reliance on visual content platforms like YouTube, with 20.2% of respondents accessing it daily, underscores the importance of multimedia resources for </w:t>
      </w:r>
      <w:r w:rsidRPr="0015088D">
        <w:rPr>
          <w:rFonts w:ascii="Arial" w:hAnsi="Arial" w:cs="Arial"/>
        </w:rPr>
        <w:lastRenderedPageBreak/>
        <w:t>learning about agricultural tech</w:t>
      </w:r>
      <w:r w:rsidR="008F79D3">
        <w:rPr>
          <w:rFonts w:ascii="Arial" w:hAnsi="Arial" w:cs="Arial"/>
        </w:rPr>
        <w:t xml:space="preserve">niques and innovations </w:t>
      </w:r>
      <w:r w:rsidR="008F79D3">
        <w:rPr>
          <w:rFonts w:ascii="Arial" w:hAnsi="Arial" w:cs="Arial"/>
        </w:rPr>
        <w:fldChar w:fldCharType="begin" w:fldLock="1"/>
      </w:r>
      <w:r w:rsidR="008F79D3">
        <w:rPr>
          <w:rFonts w:ascii="Arial" w:hAnsi="Arial" w:cs="Arial"/>
        </w:rPr>
        <w:instrText>ADDIN CSL_CITATION {"citationItems":[{"id":"ITEM-1","itemData":{"DOI":"10.9734/jsrr/2024/v30i72206","abstract":"The role of Information and Communication Technology (ICT) in enhancing the effectiveness of agricultural extension programs in India, providing a comprehensive examination of its integration and impacts. Agricultural extension services are crucial for imparting vital agricultural knowledge and practices among farmers to improve productivity and sustainability. The adoption of ICT tools such as e-learning platforms, mobile applications, Geographic Information Systems (GIS), and real-time monitoring technologies has revolutionized these services, offering unprecedented access to information and advisory services directly to farmers. The review highlights significant advances, including the deployment of mobile communication tools and social media platforms that enhance interaction between farmers and agricultural experts. However, the implementation of ICT in agricultural extensions is not without challenges. Infrastructural limitations, economic constraints, cultural and social barriers, and policy and regulatory issues pose significant hurdles. Future perspectives suggest that emerging technologies like artificial intelligence, the Internet of Things, and blockchain could further influence agricultural practices positively. Policy recommendations emphasize the need for robust digital infrastructure, enhanced regulatory frameworks, and increased focus on research and development to mitigate gaps and foster a conducive environment for the adoption of ICT. By addressing these challenges and opportunities, India can better leverage ICT to bolster its agricultural sector, thus ensuring higher productivity, improved sustainability, and greater food security. This paper underscores the transformative potential of ICT in agriculture, advocating for strategic initiatives to maximize its benefits across the Indian agricultural landscape.","author":[{"dropping-particle":"","family":"Bhat","given":"Prahlad P","non-dropping-particle":"","parse-names":false,"suffix":""},{"dropping-particle":"","family":"R","given":"Rahul Prasad","non-dropping-particle":"","parse-names":false,"suffix":""},{"dropping-particle":"","family":"K","given":"Anil","non-dropping-particle":"","parse-names":false,"suffix":""},{"dropping-particle":"","family":"Jadhav","given":"Abhishek","non-dropping-particle":"","parse-names":false,"suffix":""},{"dropping-particle":"","family":"K N","given":"Manohar","non-dropping-particle":"","parse-names":false,"suffix":""},{"dropping-particle":"","family":"C M","given":"Rajesh","non-dropping-particle":"","parse-names":false,"suffix":""},{"dropping-particle":"","family":"Reddy","given":"Shashank L","non-dropping-particle":"","parse-names":false,"suffix":""}],"container-title":"Journal of Scientific Research and Reports","id":"ITEM-1","issue":"7","issued":{"date-parts":[["2024"]]},"page":"963-976","title":"The Role of Information and Communication Technology in Enhancing the Effectiveness of Agricultural Extension Programs Worldwide: A Review","type":"article-journal","volume":"30"},"uris":["http://www.mendeley.com/documents/?uuid=d00015e8-ffb7-4d02-924d-92ac476e633d"]}],"mendeley":{"formattedCitation":"(Bhat et al., 2024)","plainTextFormattedCitation":"(Bhat et al., 2024)","previouslyFormattedCitation":"(Bhat et al., 2024)"},"properties":{"noteIndex":0},"schema":"https://github.com/citation-style-language/schema/raw/master/csl-citation.json"}</w:instrText>
      </w:r>
      <w:r w:rsidR="008F79D3">
        <w:rPr>
          <w:rFonts w:ascii="Arial" w:hAnsi="Arial" w:cs="Arial"/>
        </w:rPr>
        <w:fldChar w:fldCharType="separate"/>
      </w:r>
      <w:r w:rsidR="008F79D3" w:rsidRPr="008F79D3">
        <w:rPr>
          <w:rFonts w:ascii="Arial" w:hAnsi="Arial" w:cs="Arial"/>
          <w:noProof/>
        </w:rPr>
        <w:t>(Bhat et al., 2024)</w:t>
      </w:r>
      <w:r w:rsidR="008F79D3">
        <w:rPr>
          <w:rFonts w:ascii="Arial" w:hAnsi="Arial" w:cs="Arial"/>
        </w:rPr>
        <w:fldChar w:fldCharType="end"/>
      </w:r>
      <w:r w:rsidRPr="0015088D">
        <w:rPr>
          <w:rFonts w:ascii="Arial" w:hAnsi="Arial" w:cs="Arial"/>
        </w:rPr>
        <w:t>. These findings suggest that while social media can enhance information access and community building in agriculture, efforts should be made to optimize the use of diverse platforms to ensure comprehensive outreach. By leveraging popular platforms like Facebook and WhatsApp more effectively, stakeholders can facilitate better knowledge sharing, ultimately leading to improved agricultural practices and productivity.</w:t>
      </w:r>
    </w:p>
    <w:p w14:paraId="779058B5" w14:textId="77777777" w:rsidR="004A2AC8" w:rsidRPr="00883931" w:rsidRDefault="00883931" w:rsidP="004A2AC8">
      <w:pPr>
        <w:spacing w:line="360" w:lineRule="auto"/>
        <w:rPr>
          <w:rFonts w:ascii="Arial" w:hAnsi="Arial" w:cs="Arial"/>
          <w:b/>
        </w:rPr>
      </w:pPr>
      <w:r>
        <w:rPr>
          <w:rFonts w:ascii="Arial" w:hAnsi="Arial" w:cs="Arial"/>
          <w:b/>
        </w:rPr>
        <w:t xml:space="preserve">4.1 Table 1: </w:t>
      </w:r>
      <w:r w:rsidRPr="00883931">
        <w:rPr>
          <w:rFonts w:ascii="Arial" w:hAnsi="Arial" w:cs="Arial"/>
          <w:b/>
        </w:rPr>
        <w:t xml:space="preserve">Respondents </w:t>
      </w:r>
      <w:r w:rsidR="004A2AC8" w:rsidRPr="00883931">
        <w:rPr>
          <w:rFonts w:ascii="Arial" w:hAnsi="Arial" w:cs="Arial"/>
          <w:b/>
        </w:rPr>
        <w:t>Access of social networking accounts</w:t>
      </w:r>
    </w:p>
    <w:tbl>
      <w:tblPr>
        <w:tblW w:w="5000" w:type="pct"/>
        <w:tblBorders>
          <w:top w:val="single" w:sz="4" w:space="0" w:color="auto"/>
          <w:bottom w:val="single" w:sz="4" w:space="0" w:color="auto"/>
        </w:tblBorders>
        <w:tblLook w:val="04A0" w:firstRow="1" w:lastRow="0" w:firstColumn="1" w:lastColumn="0" w:noHBand="0" w:noVBand="1"/>
      </w:tblPr>
      <w:tblGrid>
        <w:gridCol w:w="3711"/>
        <w:gridCol w:w="1496"/>
        <w:gridCol w:w="1408"/>
        <w:gridCol w:w="1408"/>
        <w:gridCol w:w="1337"/>
      </w:tblGrid>
      <w:tr w:rsidR="004A2AC8" w:rsidRPr="00AF463B" w14:paraId="75C3DEEC" w14:textId="77777777" w:rsidTr="0096500C">
        <w:tc>
          <w:tcPr>
            <w:tcW w:w="1982" w:type="pct"/>
            <w:tcBorders>
              <w:top w:val="single" w:sz="4" w:space="0" w:color="auto"/>
              <w:bottom w:val="single" w:sz="4" w:space="0" w:color="auto"/>
            </w:tcBorders>
          </w:tcPr>
          <w:p w14:paraId="77A81F99" w14:textId="77777777" w:rsidR="004A2AC8" w:rsidRPr="00AF463B" w:rsidRDefault="004A2AC8" w:rsidP="00EE7520">
            <w:pPr>
              <w:spacing w:line="360" w:lineRule="auto"/>
              <w:rPr>
                <w:rFonts w:ascii="Arial" w:hAnsi="Arial" w:cs="Arial"/>
              </w:rPr>
            </w:pPr>
            <w:r w:rsidRPr="00AF463B">
              <w:rPr>
                <w:rFonts w:ascii="Arial" w:hAnsi="Arial" w:cs="Arial"/>
              </w:rPr>
              <w:t>Social Media</w:t>
            </w:r>
          </w:p>
        </w:tc>
        <w:tc>
          <w:tcPr>
            <w:tcW w:w="799" w:type="pct"/>
            <w:tcBorders>
              <w:top w:val="single" w:sz="4" w:space="0" w:color="auto"/>
              <w:bottom w:val="single" w:sz="4" w:space="0" w:color="auto"/>
            </w:tcBorders>
          </w:tcPr>
          <w:p w14:paraId="07D11690" w14:textId="77777777" w:rsidR="004A2AC8" w:rsidRPr="00AF463B" w:rsidRDefault="004A2AC8" w:rsidP="00EE7520">
            <w:pPr>
              <w:spacing w:line="360" w:lineRule="auto"/>
              <w:rPr>
                <w:rFonts w:ascii="Arial" w:hAnsi="Arial" w:cs="Arial"/>
              </w:rPr>
            </w:pPr>
            <w:r w:rsidRPr="00AF463B">
              <w:rPr>
                <w:rFonts w:ascii="Arial" w:hAnsi="Arial" w:cs="Arial"/>
              </w:rPr>
              <w:t>Hourly</w:t>
            </w:r>
          </w:p>
        </w:tc>
        <w:tc>
          <w:tcPr>
            <w:tcW w:w="752" w:type="pct"/>
            <w:tcBorders>
              <w:top w:val="single" w:sz="4" w:space="0" w:color="auto"/>
              <w:bottom w:val="single" w:sz="4" w:space="0" w:color="auto"/>
            </w:tcBorders>
          </w:tcPr>
          <w:p w14:paraId="7B5B4E07" w14:textId="77777777" w:rsidR="004A2AC8" w:rsidRPr="00AF463B" w:rsidRDefault="004A2AC8" w:rsidP="00EE7520">
            <w:pPr>
              <w:spacing w:line="360" w:lineRule="auto"/>
              <w:rPr>
                <w:rFonts w:ascii="Arial" w:hAnsi="Arial" w:cs="Arial"/>
              </w:rPr>
            </w:pPr>
            <w:r w:rsidRPr="00AF463B">
              <w:rPr>
                <w:rFonts w:ascii="Arial" w:hAnsi="Arial" w:cs="Arial"/>
              </w:rPr>
              <w:t>Daily</w:t>
            </w:r>
          </w:p>
        </w:tc>
        <w:tc>
          <w:tcPr>
            <w:tcW w:w="752" w:type="pct"/>
            <w:tcBorders>
              <w:top w:val="single" w:sz="4" w:space="0" w:color="auto"/>
              <w:bottom w:val="single" w:sz="4" w:space="0" w:color="auto"/>
            </w:tcBorders>
          </w:tcPr>
          <w:p w14:paraId="78CD59D3" w14:textId="77777777" w:rsidR="004A2AC8" w:rsidRPr="00AF463B" w:rsidRDefault="004A2AC8" w:rsidP="00EE7520">
            <w:pPr>
              <w:spacing w:line="360" w:lineRule="auto"/>
              <w:rPr>
                <w:rFonts w:ascii="Arial" w:hAnsi="Arial" w:cs="Arial"/>
              </w:rPr>
            </w:pPr>
            <w:r w:rsidRPr="00AF463B">
              <w:rPr>
                <w:rFonts w:ascii="Arial" w:hAnsi="Arial" w:cs="Arial"/>
              </w:rPr>
              <w:t>Weekly</w:t>
            </w:r>
          </w:p>
        </w:tc>
        <w:tc>
          <w:tcPr>
            <w:tcW w:w="714" w:type="pct"/>
            <w:tcBorders>
              <w:top w:val="single" w:sz="4" w:space="0" w:color="auto"/>
              <w:bottom w:val="single" w:sz="4" w:space="0" w:color="auto"/>
            </w:tcBorders>
          </w:tcPr>
          <w:p w14:paraId="78FBFA72" w14:textId="77777777" w:rsidR="004A2AC8" w:rsidRPr="00AF463B" w:rsidRDefault="004A2AC8" w:rsidP="00EE7520">
            <w:pPr>
              <w:spacing w:line="360" w:lineRule="auto"/>
              <w:rPr>
                <w:rFonts w:ascii="Arial" w:hAnsi="Arial" w:cs="Arial"/>
              </w:rPr>
            </w:pPr>
            <w:r w:rsidRPr="00AF463B">
              <w:rPr>
                <w:rFonts w:ascii="Arial" w:hAnsi="Arial" w:cs="Arial"/>
              </w:rPr>
              <w:t>Monthly</w:t>
            </w:r>
          </w:p>
        </w:tc>
      </w:tr>
      <w:tr w:rsidR="004A2AC8" w:rsidRPr="00AF463B" w14:paraId="222D1EFB" w14:textId="77777777" w:rsidTr="0096500C">
        <w:tc>
          <w:tcPr>
            <w:tcW w:w="1982" w:type="pct"/>
            <w:tcBorders>
              <w:top w:val="single" w:sz="4" w:space="0" w:color="auto"/>
              <w:bottom w:val="nil"/>
            </w:tcBorders>
          </w:tcPr>
          <w:p w14:paraId="764BF925" w14:textId="77777777" w:rsidR="004A2AC8" w:rsidRPr="00AF463B" w:rsidRDefault="004A2AC8" w:rsidP="00EE7520">
            <w:pPr>
              <w:spacing w:line="360" w:lineRule="auto"/>
              <w:rPr>
                <w:rFonts w:ascii="Arial" w:hAnsi="Arial" w:cs="Arial"/>
              </w:rPr>
            </w:pPr>
            <w:r w:rsidRPr="00AF463B">
              <w:rPr>
                <w:rFonts w:ascii="Arial" w:hAnsi="Arial" w:cs="Arial"/>
                <w:bCs/>
              </w:rPr>
              <w:t>Facebook</w:t>
            </w:r>
          </w:p>
        </w:tc>
        <w:tc>
          <w:tcPr>
            <w:tcW w:w="799" w:type="pct"/>
            <w:tcBorders>
              <w:top w:val="single" w:sz="4" w:space="0" w:color="auto"/>
              <w:bottom w:val="nil"/>
            </w:tcBorders>
          </w:tcPr>
          <w:p w14:paraId="5BA1F28E" w14:textId="77777777" w:rsidR="004A2AC8" w:rsidRPr="00AF463B" w:rsidRDefault="004A2AC8" w:rsidP="00EE7520">
            <w:pPr>
              <w:spacing w:line="360" w:lineRule="auto"/>
              <w:rPr>
                <w:rFonts w:ascii="Arial" w:hAnsi="Arial" w:cs="Arial"/>
              </w:rPr>
            </w:pPr>
            <w:r w:rsidRPr="00AF463B">
              <w:rPr>
                <w:rFonts w:ascii="Arial" w:hAnsi="Arial" w:cs="Arial"/>
              </w:rPr>
              <w:t>2(1.9)</w:t>
            </w:r>
          </w:p>
        </w:tc>
        <w:tc>
          <w:tcPr>
            <w:tcW w:w="752" w:type="pct"/>
            <w:tcBorders>
              <w:top w:val="single" w:sz="4" w:space="0" w:color="auto"/>
              <w:bottom w:val="nil"/>
            </w:tcBorders>
          </w:tcPr>
          <w:p w14:paraId="6EE32400" w14:textId="77777777" w:rsidR="004A2AC8" w:rsidRPr="00AF463B" w:rsidRDefault="004A2AC8" w:rsidP="00EE7520">
            <w:pPr>
              <w:spacing w:line="360" w:lineRule="auto"/>
              <w:rPr>
                <w:rFonts w:ascii="Arial" w:hAnsi="Arial" w:cs="Arial"/>
              </w:rPr>
            </w:pPr>
            <w:r w:rsidRPr="00AF463B">
              <w:rPr>
                <w:rFonts w:ascii="Arial" w:hAnsi="Arial" w:cs="Arial"/>
              </w:rPr>
              <w:t>18(17.3)</w:t>
            </w:r>
          </w:p>
        </w:tc>
        <w:tc>
          <w:tcPr>
            <w:tcW w:w="752" w:type="pct"/>
            <w:tcBorders>
              <w:top w:val="single" w:sz="4" w:space="0" w:color="auto"/>
              <w:bottom w:val="nil"/>
            </w:tcBorders>
          </w:tcPr>
          <w:p w14:paraId="1AE8FBDA" w14:textId="77777777" w:rsidR="004A2AC8" w:rsidRPr="00AF463B" w:rsidRDefault="004A2AC8" w:rsidP="00EE7520">
            <w:pPr>
              <w:spacing w:line="360" w:lineRule="auto"/>
              <w:rPr>
                <w:rFonts w:ascii="Arial" w:hAnsi="Arial" w:cs="Arial"/>
              </w:rPr>
            </w:pPr>
            <w:r w:rsidRPr="00AF463B">
              <w:rPr>
                <w:rFonts w:ascii="Arial" w:hAnsi="Arial" w:cs="Arial"/>
              </w:rPr>
              <w:t>27(26.0)</w:t>
            </w:r>
          </w:p>
        </w:tc>
        <w:tc>
          <w:tcPr>
            <w:tcW w:w="714" w:type="pct"/>
            <w:tcBorders>
              <w:top w:val="single" w:sz="4" w:space="0" w:color="auto"/>
              <w:bottom w:val="nil"/>
            </w:tcBorders>
          </w:tcPr>
          <w:p w14:paraId="7712AABD" w14:textId="77777777" w:rsidR="004A2AC8" w:rsidRPr="00AF463B" w:rsidRDefault="004A2AC8" w:rsidP="00EE7520">
            <w:pPr>
              <w:spacing w:line="360" w:lineRule="auto"/>
              <w:rPr>
                <w:rFonts w:ascii="Arial" w:hAnsi="Arial" w:cs="Arial"/>
              </w:rPr>
            </w:pPr>
          </w:p>
        </w:tc>
      </w:tr>
      <w:tr w:rsidR="004A2AC8" w:rsidRPr="00AF463B" w14:paraId="7D02E661" w14:textId="77777777" w:rsidTr="0096500C">
        <w:tc>
          <w:tcPr>
            <w:tcW w:w="1982" w:type="pct"/>
            <w:tcBorders>
              <w:top w:val="nil"/>
            </w:tcBorders>
          </w:tcPr>
          <w:p w14:paraId="380A42A6" w14:textId="77777777" w:rsidR="004A2AC8" w:rsidRPr="00AF463B" w:rsidRDefault="004A2AC8" w:rsidP="00EE7520">
            <w:pPr>
              <w:spacing w:line="360" w:lineRule="auto"/>
              <w:rPr>
                <w:rFonts w:ascii="Arial" w:hAnsi="Arial" w:cs="Arial"/>
              </w:rPr>
            </w:pPr>
            <w:r w:rsidRPr="00AF463B">
              <w:rPr>
                <w:rFonts w:ascii="Arial" w:hAnsi="Arial" w:cs="Arial"/>
                <w:bCs/>
              </w:rPr>
              <w:t>Twitter</w:t>
            </w:r>
          </w:p>
        </w:tc>
        <w:tc>
          <w:tcPr>
            <w:tcW w:w="799" w:type="pct"/>
            <w:tcBorders>
              <w:top w:val="nil"/>
            </w:tcBorders>
          </w:tcPr>
          <w:p w14:paraId="7CABAE5F" w14:textId="77777777" w:rsidR="004A2AC8" w:rsidRPr="00AF463B" w:rsidRDefault="004A2AC8" w:rsidP="00EE7520">
            <w:pPr>
              <w:spacing w:line="360" w:lineRule="auto"/>
              <w:rPr>
                <w:rFonts w:ascii="Arial" w:hAnsi="Arial" w:cs="Arial"/>
              </w:rPr>
            </w:pPr>
          </w:p>
        </w:tc>
        <w:tc>
          <w:tcPr>
            <w:tcW w:w="752" w:type="pct"/>
            <w:tcBorders>
              <w:top w:val="nil"/>
            </w:tcBorders>
          </w:tcPr>
          <w:p w14:paraId="614D6B12" w14:textId="77777777" w:rsidR="004A2AC8" w:rsidRPr="00AF463B" w:rsidRDefault="004A2AC8" w:rsidP="00EE7520">
            <w:pPr>
              <w:spacing w:line="360" w:lineRule="auto"/>
              <w:rPr>
                <w:rFonts w:ascii="Arial" w:hAnsi="Arial" w:cs="Arial"/>
              </w:rPr>
            </w:pPr>
            <w:r w:rsidRPr="00AF463B">
              <w:rPr>
                <w:rFonts w:ascii="Arial" w:hAnsi="Arial" w:cs="Arial"/>
              </w:rPr>
              <w:t>9(8.7)</w:t>
            </w:r>
          </w:p>
        </w:tc>
        <w:tc>
          <w:tcPr>
            <w:tcW w:w="752" w:type="pct"/>
            <w:tcBorders>
              <w:top w:val="nil"/>
            </w:tcBorders>
          </w:tcPr>
          <w:p w14:paraId="7211756A" w14:textId="77777777" w:rsidR="004A2AC8" w:rsidRPr="00AF463B" w:rsidRDefault="004A2AC8" w:rsidP="00EE7520">
            <w:pPr>
              <w:spacing w:line="360" w:lineRule="auto"/>
              <w:rPr>
                <w:rFonts w:ascii="Arial" w:hAnsi="Arial" w:cs="Arial"/>
              </w:rPr>
            </w:pPr>
            <w:r w:rsidRPr="00AF463B">
              <w:rPr>
                <w:rFonts w:ascii="Arial" w:hAnsi="Arial" w:cs="Arial"/>
              </w:rPr>
              <w:t>8(7.7)</w:t>
            </w:r>
          </w:p>
        </w:tc>
        <w:tc>
          <w:tcPr>
            <w:tcW w:w="714" w:type="pct"/>
            <w:tcBorders>
              <w:top w:val="nil"/>
            </w:tcBorders>
          </w:tcPr>
          <w:p w14:paraId="22D26895" w14:textId="77777777" w:rsidR="004A2AC8" w:rsidRPr="00AF463B" w:rsidRDefault="004A2AC8" w:rsidP="00EE7520">
            <w:pPr>
              <w:spacing w:line="360" w:lineRule="auto"/>
              <w:rPr>
                <w:rFonts w:ascii="Arial" w:hAnsi="Arial" w:cs="Arial"/>
              </w:rPr>
            </w:pPr>
            <w:r w:rsidRPr="00AF463B">
              <w:rPr>
                <w:rFonts w:ascii="Arial" w:hAnsi="Arial" w:cs="Arial"/>
              </w:rPr>
              <w:t>1(1.0)</w:t>
            </w:r>
          </w:p>
        </w:tc>
      </w:tr>
      <w:tr w:rsidR="004A2AC8" w:rsidRPr="00AF463B" w14:paraId="30C6D62B" w14:textId="77777777" w:rsidTr="0096500C">
        <w:tc>
          <w:tcPr>
            <w:tcW w:w="1982" w:type="pct"/>
          </w:tcPr>
          <w:p w14:paraId="734D17AA" w14:textId="77777777" w:rsidR="004A2AC8" w:rsidRPr="00AF463B" w:rsidRDefault="004A2AC8" w:rsidP="00EE7520">
            <w:pPr>
              <w:spacing w:line="360" w:lineRule="auto"/>
              <w:rPr>
                <w:rFonts w:ascii="Arial" w:hAnsi="Arial" w:cs="Arial"/>
              </w:rPr>
            </w:pPr>
            <w:proofErr w:type="spellStart"/>
            <w:r w:rsidRPr="00AF463B">
              <w:rPr>
                <w:rFonts w:ascii="Arial" w:hAnsi="Arial" w:cs="Arial"/>
                <w:bCs/>
              </w:rPr>
              <w:t>Whatsapp</w:t>
            </w:r>
            <w:proofErr w:type="spellEnd"/>
          </w:p>
        </w:tc>
        <w:tc>
          <w:tcPr>
            <w:tcW w:w="799" w:type="pct"/>
          </w:tcPr>
          <w:p w14:paraId="6F91BB7B" w14:textId="77777777" w:rsidR="004A2AC8" w:rsidRPr="00AF463B" w:rsidRDefault="004A2AC8" w:rsidP="00EE7520">
            <w:pPr>
              <w:spacing w:line="360" w:lineRule="auto"/>
              <w:rPr>
                <w:rFonts w:ascii="Arial" w:hAnsi="Arial" w:cs="Arial"/>
              </w:rPr>
            </w:pPr>
            <w:r w:rsidRPr="00AF463B">
              <w:rPr>
                <w:rFonts w:ascii="Arial" w:hAnsi="Arial" w:cs="Arial"/>
              </w:rPr>
              <w:t>6(5.8)</w:t>
            </w:r>
          </w:p>
        </w:tc>
        <w:tc>
          <w:tcPr>
            <w:tcW w:w="752" w:type="pct"/>
          </w:tcPr>
          <w:p w14:paraId="44D25F16" w14:textId="77777777" w:rsidR="004A2AC8" w:rsidRPr="00AF463B" w:rsidRDefault="004A2AC8" w:rsidP="00EE7520">
            <w:pPr>
              <w:spacing w:line="360" w:lineRule="auto"/>
              <w:rPr>
                <w:rFonts w:ascii="Arial" w:hAnsi="Arial" w:cs="Arial"/>
              </w:rPr>
            </w:pPr>
            <w:r w:rsidRPr="00AF463B">
              <w:rPr>
                <w:rFonts w:ascii="Arial" w:hAnsi="Arial" w:cs="Arial"/>
              </w:rPr>
              <w:t>25(24.0)</w:t>
            </w:r>
          </w:p>
        </w:tc>
        <w:tc>
          <w:tcPr>
            <w:tcW w:w="752" w:type="pct"/>
          </w:tcPr>
          <w:p w14:paraId="55969D24" w14:textId="77777777" w:rsidR="004A2AC8" w:rsidRPr="00AF463B" w:rsidRDefault="004A2AC8" w:rsidP="00EE7520">
            <w:pPr>
              <w:spacing w:line="360" w:lineRule="auto"/>
              <w:rPr>
                <w:rFonts w:ascii="Arial" w:hAnsi="Arial" w:cs="Arial"/>
              </w:rPr>
            </w:pPr>
            <w:r w:rsidRPr="00AF463B">
              <w:rPr>
                <w:rFonts w:ascii="Arial" w:hAnsi="Arial" w:cs="Arial"/>
              </w:rPr>
              <w:t>8(7.7)</w:t>
            </w:r>
          </w:p>
        </w:tc>
        <w:tc>
          <w:tcPr>
            <w:tcW w:w="714" w:type="pct"/>
          </w:tcPr>
          <w:p w14:paraId="0E17593B" w14:textId="77777777" w:rsidR="004A2AC8" w:rsidRPr="00AF463B" w:rsidRDefault="004A2AC8" w:rsidP="00EE7520">
            <w:pPr>
              <w:spacing w:line="360" w:lineRule="auto"/>
              <w:rPr>
                <w:rFonts w:ascii="Arial" w:hAnsi="Arial" w:cs="Arial"/>
              </w:rPr>
            </w:pPr>
            <w:r w:rsidRPr="00AF463B">
              <w:rPr>
                <w:rFonts w:ascii="Arial" w:hAnsi="Arial" w:cs="Arial"/>
              </w:rPr>
              <w:t>1(1.0)</w:t>
            </w:r>
          </w:p>
        </w:tc>
      </w:tr>
      <w:tr w:rsidR="004A2AC8" w:rsidRPr="00AF463B" w14:paraId="04B281CB" w14:textId="77777777" w:rsidTr="0096500C">
        <w:tc>
          <w:tcPr>
            <w:tcW w:w="1982" w:type="pct"/>
          </w:tcPr>
          <w:p w14:paraId="57131021" w14:textId="77777777" w:rsidR="004A2AC8" w:rsidRPr="00AF463B" w:rsidRDefault="004A2AC8" w:rsidP="00EE7520">
            <w:pPr>
              <w:spacing w:line="360" w:lineRule="auto"/>
              <w:rPr>
                <w:rFonts w:ascii="Arial" w:hAnsi="Arial" w:cs="Arial"/>
              </w:rPr>
            </w:pPr>
            <w:r w:rsidRPr="00AF463B">
              <w:rPr>
                <w:rFonts w:ascii="Arial" w:hAnsi="Arial" w:cs="Arial"/>
                <w:bCs/>
              </w:rPr>
              <w:t>You Tube</w:t>
            </w:r>
          </w:p>
        </w:tc>
        <w:tc>
          <w:tcPr>
            <w:tcW w:w="799" w:type="pct"/>
          </w:tcPr>
          <w:p w14:paraId="115E9A08" w14:textId="77777777" w:rsidR="004A2AC8" w:rsidRPr="00AF463B" w:rsidRDefault="004A2AC8" w:rsidP="00EE7520">
            <w:pPr>
              <w:spacing w:line="360" w:lineRule="auto"/>
              <w:rPr>
                <w:rFonts w:ascii="Arial" w:hAnsi="Arial" w:cs="Arial"/>
              </w:rPr>
            </w:pPr>
            <w:r w:rsidRPr="00AF463B">
              <w:rPr>
                <w:rFonts w:ascii="Arial" w:hAnsi="Arial" w:cs="Arial"/>
              </w:rPr>
              <w:t>3(2.9)</w:t>
            </w:r>
          </w:p>
        </w:tc>
        <w:tc>
          <w:tcPr>
            <w:tcW w:w="752" w:type="pct"/>
          </w:tcPr>
          <w:p w14:paraId="7547E8CA" w14:textId="77777777" w:rsidR="004A2AC8" w:rsidRPr="00AF463B" w:rsidRDefault="004A2AC8" w:rsidP="00EE7520">
            <w:pPr>
              <w:spacing w:line="360" w:lineRule="auto"/>
              <w:rPr>
                <w:rFonts w:ascii="Arial" w:hAnsi="Arial" w:cs="Arial"/>
              </w:rPr>
            </w:pPr>
            <w:r w:rsidRPr="00AF463B">
              <w:rPr>
                <w:rFonts w:ascii="Arial" w:hAnsi="Arial" w:cs="Arial"/>
              </w:rPr>
              <w:t>21(20.2)</w:t>
            </w:r>
          </w:p>
        </w:tc>
        <w:tc>
          <w:tcPr>
            <w:tcW w:w="752" w:type="pct"/>
          </w:tcPr>
          <w:p w14:paraId="62BA7CF3" w14:textId="77777777" w:rsidR="004A2AC8" w:rsidRPr="00AF463B" w:rsidRDefault="004A2AC8" w:rsidP="00EE7520">
            <w:pPr>
              <w:spacing w:line="360" w:lineRule="auto"/>
              <w:rPr>
                <w:rFonts w:ascii="Arial" w:hAnsi="Arial" w:cs="Arial"/>
              </w:rPr>
            </w:pPr>
            <w:r w:rsidRPr="00AF463B">
              <w:rPr>
                <w:rFonts w:ascii="Arial" w:hAnsi="Arial" w:cs="Arial"/>
              </w:rPr>
              <w:t>14(13.5)</w:t>
            </w:r>
          </w:p>
        </w:tc>
        <w:tc>
          <w:tcPr>
            <w:tcW w:w="714" w:type="pct"/>
          </w:tcPr>
          <w:p w14:paraId="275861F3" w14:textId="77777777" w:rsidR="004A2AC8" w:rsidRPr="00AF463B" w:rsidRDefault="004A2AC8" w:rsidP="00EE7520">
            <w:pPr>
              <w:spacing w:line="360" w:lineRule="auto"/>
              <w:rPr>
                <w:rFonts w:ascii="Arial" w:hAnsi="Arial" w:cs="Arial"/>
              </w:rPr>
            </w:pPr>
          </w:p>
        </w:tc>
      </w:tr>
      <w:tr w:rsidR="004A2AC8" w:rsidRPr="00AF463B" w14:paraId="7A7AC590" w14:textId="77777777" w:rsidTr="0096500C">
        <w:tc>
          <w:tcPr>
            <w:tcW w:w="1982" w:type="pct"/>
          </w:tcPr>
          <w:p w14:paraId="4F2A0C68" w14:textId="77777777" w:rsidR="004A2AC8" w:rsidRPr="00AF463B" w:rsidRDefault="004A2AC8" w:rsidP="00EE7520">
            <w:pPr>
              <w:spacing w:line="360" w:lineRule="auto"/>
              <w:rPr>
                <w:rFonts w:ascii="Arial" w:hAnsi="Arial" w:cs="Arial"/>
              </w:rPr>
            </w:pPr>
            <w:r w:rsidRPr="00AF463B">
              <w:rPr>
                <w:rFonts w:ascii="Arial" w:hAnsi="Arial" w:cs="Arial"/>
                <w:bCs/>
              </w:rPr>
              <w:t>Google Plus</w:t>
            </w:r>
          </w:p>
        </w:tc>
        <w:tc>
          <w:tcPr>
            <w:tcW w:w="799" w:type="pct"/>
          </w:tcPr>
          <w:p w14:paraId="1B2ACC72" w14:textId="77777777" w:rsidR="004A2AC8" w:rsidRPr="00AF463B" w:rsidRDefault="004A2AC8" w:rsidP="00EE7520">
            <w:pPr>
              <w:spacing w:line="360" w:lineRule="auto"/>
              <w:rPr>
                <w:rFonts w:ascii="Arial" w:hAnsi="Arial" w:cs="Arial"/>
              </w:rPr>
            </w:pPr>
            <w:r w:rsidRPr="00AF463B">
              <w:rPr>
                <w:rFonts w:ascii="Arial" w:hAnsi="Arial" w:cs="Arial"/>
              </w:rPr>
              <w:t>3(2.9)</w:t>
            </w:r>
          </w:p>
        </w:tc>
        <w:tc>
          <w:tcPr>
            <w:tcW w:w="752" w:type="pct"/>
          </w:tcPr>
          <w:p w14:paraId="53F20303" w14:textId="77777777" w:rsidR="004A2AC8" w:rsidRPr="00AF463B" w:rsidRDefault="004A2AC8" w:rsidP="00EE7520">
            <w:pPr>
              <w:spacing w:line="360" w:lineRule="auto"/>
              <w:rPr>
                <w:rFonts w:ascii="Arial" w:hAnsi="Arial" w:cs="Arial"/>
              </w:rPr>
            </w:pPr>
            <w:r w:rsidRPr="00AF463B">
              <w:rPr>
                <w:rFonts w:ascii="Arial" w:hAnsi="Arial" w:cs="Arial"/>
              </w:rPr>
              <w:t>4(3.8)</w:t>
            </w:r>
          </w:p>
        </w:tc>
        <w:tc>
          <w:tcPr>
            <w:tcW w:w="752" w:type="pct"/>
          </w:tcPr>
          <w:p w14:paraId="066A5C84" w14:textId="77777777" w:rsidR="004A2AC8" w:rsidRPr="00AF463B" w:rsidRDefault="004A2AC8" w:rsidP="00EE7520">
            <w:pPr>
              <w:spacing w:line="360" w:lineRule="auto"/>
              <w:rPr>
                <w:rFonts w:ascii="Arial" w:hAnsi="Arial" w:cs="Arial"/>
              </w:rPr>
            </w:pPr>
            <w:r w:rsidRPr="00AF463B">
              <w:rPr>
                <w:rFonts w:ascii="Arial" w:hAnsi="Arial" w:cs="Arial"/>
              </w:rPr>
              <w:t>2(1.9)</w:t>
            </w:r>
          </w:p>
        </w:tc>
        <w:tc>
          <w:tcPr>
            <w:tcW w:w="714" w:type="pct"/>
          </w:tcPr>
          <w:p w14:paraId="396BDFF0" w14:textId="77777777" w:rsidR="004A2AC8" w:rsidRPr="00AF463B" w:rsidRDefault="004A2AC8" w:rsidP="00EE7520">
            <w:pPr>
              <w:spacing w:line="360" w:lineRule="auto"/>
              <w:rPr>
                <w:rFonts w:ascii="Arial" w:hAnsi="Arial" w:cs="Arial"/>
              </w:rPr>
            </w:pPr>
          </w:p>
        </w:tc>
      </w:tr>
      <w:tr w:rsidR="004A2AC8" w:rsidRPr="00AF463B" w14:paraId="65B6667C" w14:textId="77777777" w:rsidTr="0096500C">
        <w:tc>
          <w:tcPr>
            <w:tcW w:w="1982" w:type="pct"/>
            <w:tcBorders>
              <w:bottom w:val="single" w:sz="4" w:space="0" w:color="auto"/>
            </w:tcBorders>
          </w:tcPr>
          <w:p w14:paraId="52FA1B2D" w14:textId="77777777" w:rsidR="004A2AC8" w:rsidRPr="00AF463B" w:rsidRDefault="004A2AC8" w:rsidP="00EE7520">
            <w:pPr>
              <w:spacing w:line="360" w:lineRule="auto"/>
              <w:rPr>
                <w:rFonts w:ascii="Arial" w:hAnsi="Arial" w:cs="Arial"/>
              </w:rPr>
            </w:pPr>
            <w:r w:rsidRPr="00AF463B">
              <w:rPr>
                <w:rFonts w:ascii="Arial" w:hAnsi="Arial" w:cs="Arial"/>
                <w:bCs/>
              </w:rPr>
              <w:t>LinkedIn</w:t>
            </w:r>
          </w:p>
        </w:tc>
        <w:tc>
          <w:tcPr>
            <w:tcW w:w="799" w:type="pct"/>
            <w:tcBorders>
              <w:bottom w:val="single" w:sz="4" w:space="0" w:color="auto"/>
            </w:tcBorders>
          </w:tcPr>
          <w:p w14:paraId="5FF15C8C" w14:textId="77777777" w:rsidR="004A2AC8" w:rsidRPr="00AF463B" w:rsidRDefault="004A2AC8" w:rsidP="00EE7520">
            <w:pPr>
              <w:spacing w:line="360" w:lineRule="auto"/>
              <w:rPr>
                <w:rFonts w:ascii="Arial" w:hAnsi="Arial" w:cs="Arial"/>
              </w:rPr>
            </w:pPr>
          </w:p>
        </w:tc>
        <w:tc>
          <w:tcPr>
            <w:tcW w:w="752" w:type="pct"/>
            <w:tcBorders>
              <w:bottom w:val="single" w:sz="4" w:space="0" w:color="auto"/>
            </w:tcBorders>
          </w:tcPr>
          <w:p w14:paraId="49784079" w14:textId="77777777" w:rsidR="004A2AC8" w:rsidRPr="00AF463B" w:rsidRDefault="004A2AC8" w:rsidP="00EE7520">
            <w:pPr>
              <w:spacing w:line="360" w:lineRule="auto"/>
              <w:rPr>
                <w:rFonts w:ascii="Arial" w:hAnsi="Arial" w:cs="Arial"/>
              </w:rPr>
            </w:pPr>
            <w:r w:rsidRPr="00AF463B">
              <w:rPr>
                <w:rFonts w:ascii="Arial" w:hAnsi="Arial" w:cs="Arial"/>
              </w:rPr>
              <w:t>2(1.9)</w:t>
            </w:r>
          </w:p>
        </w:tc>
        <w:tc>
          <w:tcPr>
            <w:tcW w:w="752" w:type="pct"/>
            <w:tcBorders>
              <w:bottom w:val="single" w:sz="4" w:space="0" w:color="auto"/>
            </w:tcBorders>
          </w:tcPr>
          <w:p w14:paraId="254E4517" w14:textId="77777777" w:rsidR="004A2AC8" w:rsidRPr="00AF463B" w:rsidRDefault="004A2AC8" w:rsidP="00EE7520">
            <w:pPr>
              <w:spacing w:line="360" w:lineRule="auto"/>
              <w:rPr>
                <w:rFonts w:ascii="Arial" w:hAnsi="Arial" w:cs="Arial"/>
              </w:rPr>
            </w:pPr>
          </w:p>
        </w:tc>
        <w:tc>
          <w:tcPr>
            <w:tcW w:w="714" w:type="pct"/>
            <w:tcBorders>
              <w:bottom w:val="single" w:sz="4" w:space="0" w:color="auto"/>
            </w:tcBorders>
          </w:tcPr>
          <w:p w14:paraId="46BD42BF" w14:textId="77777777" w:rsidR="004A2AC8" w:rsidRPr="00AF463B" w:rsidRDefault="004A2AC8" w:rsidP="00EE7520">
            <w:pPr>
              <w:spacing w:line="360" w:lineRule="auto"/>
              <w:rPr>
                <w:rFonts w:ascii="Arial" w:hAnsi="Arial" w:cs="Arial"/>
              </w:rPr>
            </w:pPr>
          </w:p>
        </w:tc>
      </w:tr>
    </w:tbl>
    <w:p w14:paraId="21869FBB" w14:textId="77777777" w:rsidR="00883931" w:rsidRDefault="00883931" w:rsidP="0096500C">
      <w:pPr>
        <w:jc w:val="both"/>
        <w:rPr>
          <w:rFonts w:ascii="Arial" w:hAnsi="Arial" w:cs="Arial"/>
        </w:rPr>
      </w:pPr>
    </w:p>
    <w:p w14:paraId="44AA8600" w14:textId="77777777" w:rsidR="00883931" w:rsidRPr="00883931" w:rsidRDefault="00883931" w:rsidP="0096500C">
      <w:pPr>
        <w:jc w:val="both"/>
        <w:rPr>
          <w:rFonts w:ascii="Arial" w:hAnsi="Arial" w:cs="Arial"/>
          <w:b/>
        </w:rPr>
      </w:pPr>
      <w:r>
        <w:rPr>
          <w:rFonts w:ascii="Arial" w:hAnsi="Arial" w:cs="Arial"/>
          <w:b/>
        </w:rPr>
        <w:t xml:space="preserve">4.2 Utilization of </w:t>
      </w:r>
      <w:r>
        <w:rPr>
          <w:rFonts w:ascii="Arial" w:hAnsi="Arial" w:cs="Arial"/>
          <w:b/>
          <w:bCs/>
        </w:rPr>
        <w:t>S</w:t>
      </w:r>
      <w:r w:rsidRPr="00AF463B">
        <w:rPr>
          <w:rFonts w:ascii="Arial" w:hAnsi="Arial" w:cs="Arial"/>
          <w:b/>
          <w:bCs/>
        </w:rPr>
        <w:t xml:space="preserve">ocial media to accessing agricultural </w:t>
      </w:r>
      <w:r>
        <w:rPr>
          <w:rFonts w:ascii="Arial" w:hAnsi="Arial" w:cs="Arial"/>
          <w:b/>
          <w:bCs/>
        </w:rPr>
        <w:t>Information</w:t>
      </w:r>
    </w:p>
    <w:p w14:paraId="5CE38943" w14:textId="77777777" w:rsidR="004A2AC8" w:rsidRPr="0096500C" w:rsidRDefault="0096500C" w:rsidP="0096500C">
      <w:pPr>
        <w:jc w:val="both"/>
        <w:rPr>
          <w:rFonts w:ascii="Arial" w:hAnsi="Arial" w:cs="Arial"/>
          <w:b/>
        </w:rPr>
      </w:pPr>
      <w:r w:rsidRPr="0096500C">
        <w:rPr>
          <w:rFonts w:ascii="Arial" w:hAnsi="Arial" w:cs="Arial"/>
        </w:rPr>
        <w:t>The overwhelming majority of respondents, 98.1%, report using social media to access agricultural information, indicating a significant shift towards digital platforms as primary sources of knowledge</w:t>
      </w:r>
      <w:r w:rsidR="00361722">
        <w:rPr>
          <w:rFonts w:ascii="Arial" w:hAnsi="Arial" w:cs="Arial"/>
        </w:rPr>
        <w:t xml:space="preserve"> in the farming community</w:t>
      </w:r>
      <w:r w:rsidRPr="0096500C">
        <w:rPr>
          <w:rFonts w:ascii="Arial" w:hAnsi="Arial" w:cs="Arial"/>
        </w:rPr>
        <w:t>. This high level of engagement suggests that farmers are increasingly recognizing the benefits of social media for obtaining timely and relevant information about practices, market trends, and in</w:t>
      </w:r>
      <w:r w:rsidR="008F79D3">
        <w:rPr>
          <w:rFonts w:ascii="Arial" w:hAnsi="Arial" w:cs="Arial"/>
        </w:rPr>
        <w:t xml:space="preserve">novations </w:t>
      </w:r>
      <w:r w:rsidR="008F79D3">
        <w:rPr>
          <w:rFonts w:ascii="Arial" w:hAnsi="Arial" w:cs="Arial"/>
        </w:rPr>
        <w:fldChar w:fldCharType="begin" w:fldLock="1"/>
      </w:r>
      <w:r w:rsidR="008F79D3">
        <w:rPr>
          <w:rFonts w:ascii="Arial" w:hAnsi="Arial" w:cs="Arial"/>
        </w:rPr>
        <w:instrText>ADDIN CSL_CITATION {"citationItems":[{"id":"ITEM-1","itemData":{"DOI":"10.1007/s10668-020-00762-6","ISBN":"0123456789","ISSN":"15732975","abstract":"Sustainable agrarian development has emerged as a key agenda in many recent global development dialogues, owing to its intimate links with rural development. Agrarian development paradigms, however, mostly root for technocratic solutions (agro-systems’ modernization), overlooking the social dimension (social networking/learning) of agricultural innovation. In view of the above, this reflective article summarizes existing worldviews on the role of farmers’ social networking/learning on agrarian development, with special emphasis on India. Cyclic interactions between water (irrigation), food (agriculture) and energy have led to dire socioenvironmental crises (e.g., groundwater depletion, energy shortage, irrigation systems’ failures, food insecurity, livelihood loss, etc.) in India that demands focused policy interventions. Under the circumstances, participatory action via farmers’ social networks provides an effective tool to harnesses resilience. With illustrative examples from India and the world, the study demonstrates that social learning is key to adoption of new paradigms (new technology/crop/cropping methods, etc.). Dissemination of new knowledge/idea is fundamentally keyed to extent of farmer-to-farmer interaction (friendship-/peer-advising network). In the process, the study highlights key barriers to establish functional networks among farming communities. Particular emphasis is laid upon the Water Users’ Association in India, to enumerate growing concerns around farmers’ involvement in Participatory Irrigation Management schemes. Pitfalls in existing network literature are highlighted, ranging from sampling issues to unaccounted effects of “unobservable” variables. The final section attempts to outline certain strategic interventions that might be pursued at the policy level to harness social capital. Overall, the study was a plea to the concerned authorities, research bodies and stakeholders in India, to forge substantive collaborations for new knowledge creation in the theory and practice of social networking/learning and identify contextualized means to integrate them in the development matrix.","author":[{"dropping-particle":"","family":"Chaudhuri","given":"Sriroop","non-dropping-particle":"","parse-names":false,"suffix":""},{"dropping-particle":"","family":"Roy","given":"Mimi","non-dropping-particle":"","parse-names":false,"suffix":""},{"dropping-particle":"","family":"McDonald","given":"Louis M.","non-dropping-particle":"","parse-names":false,"suffix":""},{"dropping-particle":"","family":"Emendack","given":"Yves","non-dropping-particle":"","parse-names":false,"suffix":""}],"container-title":"Environment, Development and Sustainability","id":"ITEM-1","issue":"3","issued":{"date-parts":[["2021"]]},"number-of-pages":"2973-3008","publisher":"Springer Netherlands","title":"Reflections on farmers’ social networks: a means for sustainable agricultural development?","type":"book","volume":"23"},"uris":["http://www.mendeley.com/documents/?uuid=033f92f7-1753-47cd-b586-5d4f82b53d13"]}],"mendeley":{"formattedCitation":"(Chaudhuri et al., 2021)","plainTextFormattedCitation":"(Chaudhuri et al., 2021)","previouslyFormattedCitation":"(Chaudhuri et al., 2021)"},"properties":{"noteIndex":0},"schema":"https://github.com/citation-style-language/schema/raw/master/csl-citation.json"}</w:instrText>
      </w:r>
      <w:r w:rsidR="008F79D3">
        <w:rPr>
          <w:rFonts w:ascii="Arial" w:hAnsi="Arial" w:cs="Arial"/>
        </w:rPr>
        <w:fldChar w:fldCharType="separate"/>
      </w:r>
      <w:r w:rsidR="008F79D3" w:rsidRPr="008F79D3">
        <w:rPr>
          <w:rFonts w:ascii="Arial" w:hAnsi="Arial" w:cs="Arial"/>
          <w:noProof/>
        </w:rPr>
        <w:t>(Chaudhuri et al., 2021)</w:t>
      </w:r>
      <w:r w:rsidR="008F79D3">
        <w:rPr>
          <w:rFonts w:ascii="Arial" w:hAnsi="Arial" w:cs="Arial"/>
        </w:rPr>
        <w:fldChar w:fldCharType="end"/>
      </w:r>
      <w:r w:rsidRPr="0096500C">
        <w:rPr>
          <w:rFonts w:ascii="Arial" w:hAnsi="Arial" w:cs="Arial"/>
        </w:rPr>
        <w:t>. However, the 1.9% who do not utilize these platforms may represent a concerning minority that could miss out on critical resources, potentially limiting their agricultural productivity and responsi</w:t>
      </w:r>
      <w:r w:rsidR="00954348">
        <w:rPr>
          <w:rFonts w:ascii="Arial" w:hAnsi="Arial" w:cs="Arial"/>
        </w:rPr>
        <w:t xml:space="preserve">veness to market changes </w:t>
      </w:r>
      <w:r w:rsidR="00954348">
        <w:rPr>
          <w:rFonts w:ascii="Arial" w:hAnsi="Arial" w:cs="Arial"/>
        </w:rPr>
        <w:fldChar w:fldCharType="begin" w:fldLock="1"/>
      </w:r>
      <w:r w:rsidR="00C6315D">
        <w:rPr>
          <w:rFonts w:ascii="Arial" w:hAnsi="Arial" w:cs="Arial"/>
        </w:rPr>
        <w:instrText>ADDIN CSL_CITATION {"citationItems":[{"id":"ITEM-1","itemData":{"abstract":"Access to agricultural markets and agricultural market information is essential for participating in agricultural markets. A skilled and well-equipped participant benefits more in the agricultural marketing chain. Due to poor access to agricultural markets, rural farmers have for so long depended on subsistence farming living other participants (traders, consumers, intermediaries) benefiting more. Poor access to markets by these rural farmers is attributed by poor road infrastructure, lack of transporting means, and broadly by lack of agricultural market information. Due to lack of market information such as price of produce at the markets, quality and quantity of produces required at the markets, rural farmers negotiate on prices of their produce based on the information provided by traders. These factors significantly reduce the bargaining power of rural farmers and thus promote development of uncompetitive markets. It is envisaged that if rural farmers get a fair share of their produce, they can shift from subsistence farming and consider agriculture as their main economic activity. Dependence on radio programs and mobile phone calls to get agricultural market information has not well benefited remote rural farmers. This study proposes to establish a platform of framework where agricultural market participants can share market information. With this platform, real-time market information can be made available to market participants. The overall goal is to ensure farmers are assisted to get a fair share of their produce.","author":[{"dropping-particle":"","family":"Magesa","given":"Mawazo M","non-dropping-particle":"","parse-names":false,"suffix":""},{"dropping-particle":"","family":"Michael","given":"Kisangiri","non-dropping-particle":"","parse-names":false,"suffix":""},{"dropping-particle":"","family":"Ko","given":"Jesuk","non-dropping-particle":"","parse-names":false,"suffix":""}],"container-title":"International Journal of Information and Communication Technology Research","id":"ITEM-1","issue":"7","issued":{"date-parts":[["2014"]]},"page":"7-9","title":"Access to Agricultural Market Information by Rural Farmers in Tanzania","type":"article-journal","volume":"4"},"uris":["http://www.mendeley.com/documents/?uuid=0b2ee064-22b2-449d-9607-b2c52c811b50"]}],"mendeley":{"formattedCitation":"(Magesa et al., 2014)","plainTextFormattedCitation":"(Magesa et al., 2014)","previouslyFormattedCitation":"(Magesa et al., 2014)"},"properties":{"noteIndex":0},"schema":"https://github.com/citation-style-language/schema/raw/master/csl-citation.json"}</w:instrText>
      </w:r>
      <w:r w:rsidR="00954348">
        <w:rPr>
          <w:rFonts w:ascii="Arial" w:hAnsi="Arial" w:cs="Arial"/>
        </w:rPr>
        <w:fldChar w:fldCharType="separate"/>
      </w:r>
      <w:r w:rsidR="00954348" w:rsidRPr="00954348">
        <w:rPr>
          <w:rFonts w:ascii="Arial" w:hAnsi="Arial" w:cs="Arial"/>
          <w:noProof/>
        </w:rPr>
        <w:t>(Magesa et al., 2014)</w:t>
      </w:r>
      <w:r w:rsidR="00954348">
        <w:rPr>
          <w:rFonts w:ascii="Arial" w:hAnsi="Arial" w:cs="Arial"/>
        </w:rPr>
        <w:fldChar w:fldCharType="end"/>
      </w:r>
      <w:r w:rsidRPr="0096500C">
        <w:rPr>
          <w:rFonts w:ascii="Arial" w:hAnsi="Arial" w:cs="Arial"/>
        </w:rPr>
        <w:t>. The implications of these findings are substantial; as social media becomes a dominant channel for agricultural information, initiatives should focus on enhancing digital literacy and access among all farmers, ensuring that the benefits of social media are equitably distributed. This could lead to improved decision-making, increased yields, and overall enhanced resilience within the agricultural sector.</w:t>
      </w:r>
    </w:p>
    <w:p w14:paraId="2015B253" w14:textId="77777777" w:rsidR="00AF463B" w:rsidRPr="00AF463B" w:rsidRDefault="00883931" w:rsidP="00AF463B">
      <w:pPr>
        <w:spacing w:line="360" w:lineRule="auto"/>
        <w:rPr>
          <w:rFonts w:ascii="Arial" w:hAnsi="Arial" w:cs="Arial"/>
        </w:rPr>
      </w:pPr>
      <w:r>
        <w:rPr>
          <w:rFonts w:ascii="Arial" w:hAnsi="Arial" w:cs="Arial"/>
          <w:b/>
          <w:bCs/>
        </w:rPr>
        <w:t>Table 2:  Respondents use of</w:t>
      </w:r>
      <w:r w:rsidR="00AF463B" w:rsidRPr="00AF463B">
        <w:rPr>
          <w:rFonts w:ascii="Arial" w:hAnsi="Arial" w:cs="Arial"/>
          <w:b/>
          <w:bCs/>
        </w:rPr>
        <w:t xml:space="preserve"> social media to </w:t>
      </w:r>
      <w:r>
        <w:rPr>
          <w:rFonts w:ascii="Arial" w:hAnsi="Arial" w:cs="Arial"/>
          <w:b/>
          <w:bCs/>
        </w:rPr>
        <w:t>access</w:t>
      </w:r>
      <w:r w:rsidR="00E26931">
        <w:rPr>
          <w:rFonts w:ascii="Arial" w:hAnsi="Arial" w:cs="Arial"/>
          <w:b/>
          <w:bCs/>
        </w:rPr>
        <w:t xml:space="preserve"> agricultural information</w:t>
      </w:r>
    </w:p>
    <w:tbl>
      <w:tblPr>
        <w:tblW w:w="5000" w:type="pct"/>
        <w:tblBorders>
          <w:top w:val="single" w:sz="4" w:space="0" w:color="auto"/>
          <w:bottom w:val="single" w:sz="4" w:space="0" w:color="auto"/>
        </w:tblBorders>
        <w:tblCellMar>
          <w:left w:w="30" w:type="dxa"/>
          <w:right w:w="30" w:type="dxa"/>
        </w:tblCellMar>
        <w:tblLook w:val="0000" w:firstRow="0" w:lastRow="0" w:firstColumn="0" w:lastColumn="0" w:noHBand="0" w:noVBand="0"/>
      </w:tblPr>
      <w:tblGrid>
        <w:gridCol w:w="2355"/>
        <w:gridCol w:w="3738"/>
        <w:gridCol w:w="3267"/>
      </w:tblGrid>
      <w:tr w:rsidR="00AF463B" w:rsidRPr="00AF463B" w14:paraId="3E7E7224" w14:textId="77777777" w:rsidTr="00EE7520">
        <w:trPr>
          <w:cantSplit/>
          <w:tblHeader/>
        </w:trPr>
        <w:tc>
          <w:tcPr>
            <w:tcW w:w="1258" w:type="pct"/>
            <w:tcBorders>
              <w:top w:val="single" w:sz="4" w:space="0" w:color="auto"/>
              <w:bottom w:val="single" w:sz="4" w:space="0" w:color="auto"/>
            </w:tcBorders>
            <w:shd w:val="clear" w:color="auto" w:fill="FFFFFF"/>
            <w:tcMar>
              <w:top w:w="30" w:type="dxa"/>
              <w:left w:w="30" w:type="dxa"/>
              <w:bottom w:w="30" w:type="dxa"/>
              <w:right w:w="30" w:type="dxa"/>
            </w:tcMar>
          </w:tcPr>
          <w:p w14:paraId="7B66CB9A" w14:textId="77777777" w:rsidR="00AF463B" w:rsidRPr="00AF463B" w:rsidRDefault="00AF463B" w:rsidP="00EE7520">
            <w:pPr>
              <w:spacing w:line="360" w:lineRule="auto"/>
              <w:rPr>
                <w:rFonts w:ascii="Arial" w:hAnsi="Arial" w:cs="Arial"/>
              </w:rPr>
            </w:pPr>
          </w:p>
        </w:tc>
        <w:tc>
          <w:tcPr>
            <w:tcW w:w="1997" w:type="pct"/>
            <w:tcBorders>
              <w:top w:val="single" w:sz="4" w:space="0" w:color="auto"/>
              <w:bottom w:val="single" w:sz="4" w:space="0" w:color="auto"/>
            </w:tcBorders>
            <w:shd w:val="clear" w:color="auto" w:fill="FFFFFF"/>
            <w:tcMar>
              <w:top w:w="30" w:type="dxa"/>
              <w:left w:w="30" w:type="dxa"/>
              <w:bottom w:w="30" w:type="dxa"/>
              <w:right w:w="30" w:type="dxa"/>
            </w:tcMar>
            <w:vAlign w:val="bottom"/>
          </w:tcPr>
          <w:p w14:paraId="319DCEA7" w14:textId="77777777" w:rsidR="00AF463B" w:rsidRPr="00AF463B" w:rsidRDefault="00AF463B" w:rsidP="00EE7520">
            <w:pPr>
              <w:spacing w:line="360" w:lineRule="auto"/>
              <w:jc w:val="center"/>
              <w:rPr>
                <w:rFonts w:ascii="Arial" w:hAnsi="Arial" w:cs="Arial"/>
              </w:rPr>
            </w:pPr>
            <w:r w:rsidRPr="00AF463B">
              <w:rPr>
                <w:rFonts w:ascii="Arial" w:hAnsi="Arial" w:cs="Arial"/>
              </w:rPr>
              <w:t>Frequency</w:t>
            </w:r>
          </w:p>
        </w:tc>
        <w:tc>
          <w:tcPr>
            <w:tcW w:w="1745" w:type="pct"/>
            <w:tcBorders>
              <w:top w:val="single" w:sz="4" w:space="0" w:color="auto"/>
              <w:bottom w:val="single" w:sz="4" w:space="0" w:color="auto"/>
            </w:tcBorders>
            <w:shd w:val="clear" w:color="auto" w:fill="FFFFFF"/>
            <w:tcMar>
              <w:top w:w="30" w:type="dxa"/>
              <w:left w:w="30" w:type="dxa"/>
              <w:bottom w:w="30" w:type="dxa"/>
              <w:right w:w="30" w:type="dxa"/>
            </w:tcMar>
            <w:vAlign w:val="bottom"/>
          </w:tcPr>
          <w:p w14:paraId="0E0DB250" w14:textId="77777777" w:rsidR="00AF463B" w:rsidRPr="00AF463B" w:rsidRDefault="00AF463B" w:rsidP="00EE7520">
            <w:pPr>
              <w:spacing w:line="360" w:lineRule="auto"/>
              <w:jc w:val="center"/>
              <w:rPr>
                <w:rFonts w:ascii="Arial" w:hAnsi="Arial" w:cs="Arial"/>
              </w:rPr>
            </w:pPr>
            <w:r w:rsidRPr="00AF463B">
              <w:rPr>
                <w:rFonts w:ascii="Arial" w:hAnsi="Arial" w:cs="Arial"/>
              </w:rPr>
              <w:t>Percent</w:t>
            </w:r>
          </w:p>
        </w:tc>
      </w:tr>
      <w:tr w:rsidR="00AF463B" w:rsidRPr="00AF463B" w14:paraId="2A12C099" w14:textId="77777777" w:rsidTr="00EE7520">
        <w:trPr>
          <w:cantSplit/>
          <w:tblHeader/>
        </w:trPr>
        <w:tc>
          <w:tcPr>
            <w:tcW w:w="1258" w:type="pct"/>
            <w:tcBorders>
              <w:top w:val="single" w:sz="4" w:space="0" w:color="auto"/>
              <w:bottom w:val="nil"/>
            </w:tcBorders>
            <w:shd w:val="clear" w:color="auto" w:fill="FFFFFF"/>
            <w:tcMar>
              <w:top w:w="30" w:type="dxa"/>
              <w:left w:w="30" w:type="dxa"/>
              <w:bottom w:w="30" w:type="dxa"/>
              <w:right w:w="30" w:type="dxa"/>
            </w:tcMar>
          </w:tcPr>
          <w:p w14:paraId="13EDA912" w14:textId="77777777" w:rsidR="00AF463B" w:rsidRPr="00AF463B" w:rsidRDefault="00AF463B" w:rsidP="00EE7520">
            <w:pPr>
              <w:spacing w:line="360" w:lineRule="auto"/>
              <w:rPr>
                <w:rFonts w:ascii="Arial" w:hAnsi="Arial" w:cs="Arial"/>
              </w:rPr>
            </w:pPr>
            <w:r w:rsidRPr="00AF463B">
              <w:rPr>
                <w:rFonts w:ascii="Arial" w:hAnsi="Arial" w:cs="Arial"/>
              </w:rPr>
              <w:t>Yes</w:t>
            </w:r>
          </w:p>
        </w:tc>
        <w:tc>
          <w:tcPr>
            <w:tcW w:w="1997" w:type="pct"/>
            <w:tcBorders>
              <w:top w:val="single" w:sz="4" w:space="0" w:color="auto"/>
              <w:bottom w:val="nil"/>
            </w:tcBorders>
            <w:shd w:val="clear" w:color="auto" w:fill="FFFFFF"/>
            <w:tcMar>
              <w:top w:w="30" w:type="dxa"/>
              <w:left w:w="30" w:type="dxa"/>
              <w:bottom w:w="30" w:type="dxa"/>
              <w:right w:w="30" w:type="dxa"/>
            </w:tcMar>
            <w:vAlign w:val="center"/>
          </w:tcPr>
          <w:p w14:paraId="1F7BD0C9" w14:textId="77777777" w:rsidR="00AF463B" w:rsidRPr="00AF463B" w:rsidRDefault="00AF463B" w:rsidP="00EE7520">
            <w:pPr>
              <w:spacing w:line="360" w:lineRule="auto"/>
              <w:jc w:val="center"/>
              <w:rPr>
                <w:rFonts w:ascii="Arial" w:hAnsi="Arial" w:cs="Arial"/>
              </w:rPr>
            </w:pPr>
            <w:r w:rsidRPr="00AF463B">
              <w:rPr>
                <w:rFonts w:ascii="Arial" w:hAnsi="Arial" w:cs="Arial"/>
              </w:rPr>
              <w:t>102</w:t>
            </w:r>
          </w:p>
        </w:tc>
        <w:tc>
          <w:tcPr>
            <w:tcW w:w="1745" w:type="pct"/>
            <w:tcBorders>
              <w:top w:val="single" w:sz="4" w:space="0" w:color="auto"/>
              <w:bottom w:val="nil"/>
            </w:tcBorders>
            <w:shd w:val="clear" w:color="auto" w:fill="FFFFFF"/>
            <w:tcMar>
              <w:top w:w="30" w:type="dxa"/>
              <w:left w:w="30" w:type="dxa"/>
              <w:bottom w:w="30" w:type="dxa"/>
              <w:right w:w="30" w:type="dxa"/>
            </w:tcMar>
            <w:vAlign w:val="center"/>
          </w:tcPr>
          <w:p w14:paraId="6C05802A" w14:textId="77777777" w:rsidR="00AF463B" w:rsidRPr="00AF463B" w:rsidRDefault="00AF463B" w:rsidP="00EE7520">
            <w:pPr>
              <w:spacing w:line="360" w:lineRule="auto"/>
              <w:jc w:val="center"/>
              <w:rPr>
                <w:rFonts w:ascii="Arial" w:hAnsi="Arial" w:cs="Arial"/>
              </w:rPr>
            </w:pPr>
            <w:r w:rsidRPr="00AF463B">
              <w:rPr>
                <w:rFonts w:ascii="Arial" w:hAnsi="Arial" w:cs="Arial"/>
              </w:rPr>
              <w:t>98.1</w:t>
            </w:r>
          </w:p>
        </w:tc>
      </w:tr>
      <w:tr w:rsidR="00AF463B" w:rsidRPr="00AF463B" w14:paraId="08C787F0" w14:textId="77777777" w:rsidTr="00EE7520">
        <w:trPr>
          <w:cantSplit/>
          <w:tblHeader/>
        </w:trPr>
        <w:tc>
          <w:tcPr>
            <w:tcW w:w="1258" w:type="pct"/>
            <w:tcBorders>
              <w:top w:val="nil"/>
            </w:tcBorders>
            <w:shd w:val="clear" w:color="auto" w:fill="FFFFFF"/>
            <w:tcMar>
              <w:top w:w="30" w:type="dxa"/>
              <w:left w:w="30" w:type="dxa"/>
              <w:bottom w:w="30" w:type="dxa"/>
              <w:right w:w="30" w:type="dxa"/>
            </w:tcMar>
          </w:tcPr>
          <w:p w14:paraId="2C737271" w14:textId="77777777" w:rsidR="00AF463B" w:rsidRPr="00AF463B" w:rsidRDefault="00AF463B" w:rsidP="00EE7520">
            <w:pPr>
              <w:spacing w:line="360" w:lineRule="auto"/>
              <w:rPr>
                <w:rFonts w:ascii="Arial" w:hAnsi="Arial" w:cs="Arial"/>
              </w:rPr>
            </w:pPr>
            <w:r w:rsidRPr="00AF463B">
              <w:rPr>
                <w:rFonts w:ascii="Arial" w:hAnsi="Arial" w:cs="Arial"/>
              </w:rPr>
              <w:t>No</w:t>
            </w:r>
          </w:p>
        </w:tc>
        <w:tc>
          <w:tcPr>
            <w:tcW w:w="1997" w:type="pct"/>
            <w:tcBorders>
              <w:top w:val="nil"/>
            </w:tcBorders>
            <w:shd w:val="clear" w:color="auto" w:fill="FFFFFF"/>
            <w:tcMar>
              <w:top w:w="30" w:type="dxa"/>
              <w:left w:w="30" w:type="dxa"/>
              <w:bottom w:w="30" w:type="dxa"/>
              <w:right w:w="30" w:type="dxa"/>
            </w:tcMar>
            <w:vAlign w:val="center"/>
          </w:tcPr>
          <w:p w14:paraId="63FA301E" w14:textId="77777777" w:rsidR="00AF463B" w:rsidRPr="00AF463B" w:rsidRDefault="00AF463B" w:rsidP="00EE7520">
            <w:pPr>
              <w:spacing w:line="360" w:lineRule="auto"/>
              <w:jc w:val="center"/>
              <w:rPr>
                <w:rFonts w:ascii="Arial" w:hAnsi="Arial" w:cs="Arial"/>
              </w:rPr>
            </w:pPr>
            <w:r w:rsidRPr="00AF463B">
              <w:rPr>
                <w:rFonts w:ascii="Arial" w:hAnsi="Arial" w:cs="Arial"/>
              </w:rPr>
              <w:t>2</w:t>
            </w:r>
          </w:p>
        </w:tc>
        <w:tc>
          <w:tcPr>
            <w:tcW w:w="1745" w:type="pct"/>
            <w:tcBorders>
              <w:top w:val="nil"/>
            </w:tcBorders>
            <w:shd w:val="clear" w:color="auto" w:fill="FFFFFF"/>
            <w:tcMar>
              <w:top w:w="30" w:type="dxa"/>
              <w:left w:w="30" w:type="dxa"/>
              <w:bottom w:w="30" w:type="dxa"/>
              <w:right w:w="30" w:type="dxa"/>
            </w:tcMar>
            <w:vAlign w:val="center"/>
          </w:tcPr>
          <w:p w14:paraId="1014CB4A" w14:textId="77777777" w:rsidR="00AF463B" w:rsidRPr="00AF463B" w:rsidRDefault="00AF463B" w:rsidP="00EE7520">
            <w:pPr>
              <w:spacing w:line="360" w:lineRule="auto"/>
              <w:jc w:val="center"/>
              <w:rPr>
                <w:rFonts w:ascii="Arial" w:hAnsi="Arial" w:cs="Arial"/>
              </w:rPr>
            </w:pPr>
            <w:r w:rsidRPr="00AF463B">
              <w:rPr>
                <w:rFonts w:ascii="Arial" w:hAnsi="Arial" w:cs="Arial"/>
              </w:rPr>
              <w:t>1.9</w:t>
            </w:r>
          </w:p>
        </w:tc>
      </w:tr>
      <w:tr w:rsidR="00AF463B" w:rsidRPr="00AF463B" w14:paraId="0F0F7ACD" w14:textId="77777777" w:rsidTr="00EE7520">
        <w:trPr>
          <w:cantSplit/>
        </w:trPr>
        <w:tc>
          <w:tcPr>
            <w:tcW w:w="1258" w:type="pct"/>
            <w:tcBorders>
              <w:bottom w:val="single" w:sz="4" w:space="0" w:color="auto"/>
            </w:tcBorders>
            <w:shd w:val="clear" w:color="auto" w:fill="FFFFFF"/>
            <w:tcMar>
              <w:top w:w="30" w:type="dxa"/>
              <w:left w:w="30" w:type="dxa"/>
              <w:bottom w:w="30" w:type="dxa"/>
              <w:right w:w="30" w:type="dxa"/>
            </w:tcMar>
          </w:tcPr>
          <w:p w14:paraId="69B6C28C" w14:textId="77777777" w:rsidR="00AF463B" w:rsidRPr="00AF463B" w:rsidRDefault="00AF463B" w:rsidP="00EE7520">
            <w:pPr>
              <w:spacing w:line="360" w:lineRule="auto"/>
              <w:rPr>
                <w:rFonts w:ascii="Arial" w:hAnsi="Arial" w:cs="Arial"/>
              </w:rPr>
            </w:pPr>
            <w:r w:rsidRPr="00AF463B">
              <w:rPr>
                <w:rFonts w:ascii="Arial" w:hAnsi="Arial" w:cs="Arial"/>
              </w:rPr>
              <w:t>Total</w:t>
            </w:r>
          </w:p>
        </w:tc>
        <w:tc>
          <w:tcPr>
            <w:tcW w:w="1997" w:type="pct"/>
            <w:tcBorders>
              <w:bottom w:val="single" w:sz="4" w:space="0" w:color="auto"/>
            </w:tcBorders>
            <w:shd w:val="clear" w:color="auto" w:fill="FFFFFF"/>
            <w:tcMar>
              <w:top w:w="30" w:type="dxa"/>
              <w:left w:w="30" w:type="dxa"/>
              <w:bottom w:w="30" w:type="dxa"/>
              <w:right w:w="30" w:type="dxa"/>
            </w:tcMar>
            <w:vAlign w:val="center"/>
          </w:tcPr>
          <w:p w14:paraId="23527630" w14:textId="77777777" w:rsidR="00AF463B" w:rsidRPr="00AF463B" w:rsidRDefault="00AF463B" w:rsidP="00EE7520">
            <w:pPr>
              <w:spacing w:line="360" w:lineRule="auto"/>
              <w:jc w:val="center"/>
              <w:rPr>
                <w:rFonts w:ascii="Arial" w:hAnsi="Arial" w:cs="Arial"/>
              </w:rPr>
            </w:pPr>
            <w:r w:rsidRPr="00AF463B">
              <w:rPr>
                <w:rFonts w:ascii="Arial" w:hAnsi="Arial" w:cs="Arial"/>
              </w:rPr>
              <w:t>104</w:t>
            </w:r>
          </w:p>
        </w:tc>
        <w:tc>
          <w:tcPr>
            <w:tcW w:w="1745" w:type="pct"/>
            <w:tcBorders>
              <w:bottom w:val="single" w:sz="4" w:space="0" w:color="auto"/>
            </w:tcBorders>
            <w:shd w:val="clear" w:color="auto" w:fill="FFFFFF"/>
            <w:tcMar>
              <w:top w:w="30" w:type="dxa"/>
              <w:left w:w="30" w:type="dxa"/>
              <w:bottom w:w="30" w:type="dxa"/>
              <w:right w:w="30" w:type="dxa"/>
            </w:tcMar>
            <w:vAlign w:val="center"/>
          </w:tcPr>
          <w:p w14:paraId="2D8CD68C" w14:textId="77777777" w:rsidR="00AF463B" w:rsidRPr="00AF463B" w:rsidRDefault="00AF463B" w:rsidP="00EE7520">
            <w:pPr>
              <w:spacing w:line="360" w:lineRule="auto"/>
              <w:jc w:val="center"/>
              <w:rPr>
                <w:rFonts w:ascii="Arial" w:hAnsi="Arial" w:cs="Arial"/>
              </w:rPr>
            </w:pPr>
            <w:r w:rsidRPr="00AF463B">
              <w:rPr>
                <w:rFonts w:ascii="Arial" w:hAnsi="Arial" w:cs="Arial"/>
              </w:rPr>
              <w:t>100.0</w:t>
            </w:r>
          </w:p>
        </w:tc>
      </w:tr>
    </w:tbl>
    <w:p w14:paraId="5FE6B7F4" w14:textId="77777777" w:rsidR="00BE6FDF" w:rsidRPr="00AF463B" w:rsidRDefault="00BE6FDF" w:rsidP="00AF463B">
      <w:pPr>
        <w:spacing w:line="360" w:lineRule="auto"/>
        <w:rPr>
          <w:rFonts w:ascii="Arial" w:hAnsi="Arial" w:cs="Arial"/>
        </w:rPr>
      </w:pPr>
    </w:p>
    <w:p w14:paraId="312BEF4C" w14:textId="77777777" w:rsidR="00BE6FDF" w:rsidRDefault="00BE6FDF" w:rsidP="000A25ED">
      <w:pPr>
        <w:spacing w:line="360" w:lineRule="auto"/>
        <w:jc w:val="both"/>
        <w:rPr>
          <w:rFonts w:ascii="Arial" w:hAnsi="Arial" w:cs="Arial"/>
          <w:b/>
          <w:bCs/>
        </w:rPr>
      </w:pPr>
      <w:r>
        <w:rPr>
          <w:rFonts w:ascii="Arial" w:hAnsi="Arial" w:cs="Arial"/>
          <w:b/>
        </w:rPr>
        <w:t xml:space="preserve">4.3 </w:t>
      </w:r>
      <w:r>
        <w:rPr>
          <w:rFonts w:ascii="Arial" w:hAnsi="Arial" w:cs="Arial"/>
          <w:b/>
          <w:bCs/>
        </w:rPr>
        <w:t>Frequency utilization</w:t>
      </w:r>
      <w:r w:rsidRPr="00AF463B">
        <w:rPr>
          <w:rFonts w:ascii="Arial" w:hAnsi="Arial" w:cs="Arial"/>
          <w:b/>
          <w:bCs/>
        </w:rPr>
        <w:t xml:space="preserve"> </w:t>
      </w:r>
      <w:r>
        <w:rPr>
          <w:rFonts w:ascii="Arial" w:hAnsi="Arial" w:cs="Arial"/>
          <w:b/>
          <w:bCs/>
        </w:rPr>
        <w:t xml:space="preserve">of </w:t>
      </w:r>
      <w:r w:rsidRPr="00AF463B">
        <w:rPr>
          <w:rFonts w:ascii="Arial" w:hAnsi="Arial" w:cs="Arial"/>
          <w:b/>
          <w:bCs/>
        </w:rPr>
        <w:t>social media to obtain agricultural information</w:t>
      </w:r>
    </w:p>
    <w:p w14:paraId="7D880069" w14:textId="77777777" w:rsidR="000A25ED" w:rsidRPr="000A25ED" w:rsidRDefault="000A25ED" w:rsidP="000A25ED">
      <w:pPr>
        <w:spacing w:line="360" w:lineRule="auto"/>
        <w:jc w:val="both"/>
        <w:rPr>
          <w:rFonts w:ascii="Arial" w:hAnsi="Arial" w:cs="Arial"/>
          <w:b/>
          <w:bCs/>
        </w:rPr>
      </w:pPr>
      <w:r w:rsidRPr="000A25ED">
        <w:rPr>
          <w:rFonts w:ascii="Arial" w:hAnsi="Arial" w:cs="Arial"/>
        </w:rPr>
        <w:t>The results show that a substantial majority of respondents, 70.2%, frequently use social media to obtain agricultural information, suggesting that these platforms are becoming essential tools for knowledge</w:t>
      </w:r>
      <w:r w:rsidR="008F79D3">
        <w:rPr>
          <w:rFonts w:ascii="Arial" w:hAnsi="Arial" w:cs="Arial"/>
        </w:rPr>
        <w:t xml:space="preserve"> sharing among farmers </w:t>
      </w:r>
      <w:r w:rsidR="008F79D3">
        <w:rPr>
          <w:rFonts w:ascii="Arial" w:hAnsi="Arial" w:cs="Arial"/>
        </w:rPr>
        <w:fldChar w:fldCharType="begin" w:fldLock="1"/>
      </w:r>
      <w:r w:rsidR="00954348">
        <w:rPr>
          <w:rFonts w:ascii="Arial" w:hAnsi="Arial" w:cs="Arial"/>
        </w:rPr>
        <w:instrText>ADDIN CSL_CITATION {"citationItems":[{"id":"ITEM-1","itemData":{"abstract":"This paper outlines a framework for evaluating the decision of undergraduate students to engage in term-time employment as a method of financing higher education. We then examine the impact of work on academic achievement and find that employment has modest negative effects on student grades, with GPAs falling by 0.007 points per work hour. We use a unique custom dataset based on students at a traditional regional state university that provides information on student motivations and allows us to directly address some of the endogeneity problems that affect existing literature. We find that students who work for primarily financial reasons earn lower grades than students who work for career-specific skills but higher grades than those students motivated by a desire for general work experience. 2","author":[{"dropping-particle":"","family":"Oladoyinbo","given":"Oluseun Babatunde","non-dropping-particle":"","parse-names":false,"suffix":""}],"container-title":"Technological Advances, and Rural Development Approaches","id":"ITEM-1","issue":"2","issued":{"date-parts":[["2023"]]},"page":"1-45","title":"Comprehensive synthesis and integrative review of agricultural dynamics in southwest Nigeria: Assessing economic viability, technological advances, and rural development approaches.","type":"article-journal","volume":"23529"},"uris":["http://www.mendeley.com/documents/?uuid=40479d7e-4812-4805-a377-0f75d2ed59d2"]}],"mendeley":{"formattedCitation":"(Oladoyinbo, 2023)","plainTextFormattedCitation":"(Oladoyinbo, 2023)","previouslyFormattedCitation":"(Oladoyinbo, 2023)"},"properties":{"noteIndex":0},"schema":"https://github.com/citation-style-language/schema/raw/master/csl-citation.json"}</w:instrText>
      </w:r>
      <w:r w:rsidR="008F79D3">
        <w:rPr>
          <w:rFonts w:ascii="Arial" w:hAnsi="Arial" w:cs="Arial"/>
        </w:rPr>
        <w:fldChar w:fldCharType="separate"/>
      </w:r>
      <w:r w:rsidR="008F79D3" w:rsidRPr="008F79D3">
        <w:rPr>
          <w:rFonts w:ascii="Arial" w:hAnsi="Arial" w:cs="Arial"/>
          <w:noProof/>
        </w:rPr>
        <w:t>(Oladoyinbo, 2023)</w:t>
      </w:r>
      <w:r w:rsidR="008F79D3">
        <w:rPr>
          <w:rFonts w:ascii="Arial" w:hAnsi="Arial" w:cs="Arial"/>
        </w:rPr>
        <w:fldChar w:fldCharType="end"/>
      </w:r>
      <w:r w:rsidRPr="000A25ED">
        <w:rPr>
          <w:rFonts w:ascii="Arial" w:hAnsi="Arial" w:cs="Arial"/>
        </w:rPr>
        <w:t>. This high level of engagement can facilitate the rapid dissemination of best practices, innovations, and market trends, ultimately enhancing agricultural product</w:t>
      </w:r>
      <w:r w:rsidR="00C6315D">
        <w:rPr>
          <w:rFonts w:ascii="Arial" w:hAnsi="Arial" w:cs="Arial"/>
        </w:rPr>
        <w:t xml:space="preserve">ivity and sustainability </w:t>
      </w:r>
      <w:r w:rsidR="00C6315D">
        <w:rPr>
          <w:rFonts w:ascii="Arial" w:hAnsi="Arial" w:cs="Arial"/>
        </w:rPr>
        <w:fldChar w:fldCharType="begin" w:fldLock="1"/>
      </w:r>
      <w:r w:rsidR="00AA78A4">
        <w:rPr>
          <w:rFonts w:ascii="Arial" w:hAnsi="Arial" w:cs="Arial"/>
        </w:rPr>
        <w:instrText>ADDIN CSL_CITATION {"citationItems":[{"id":"ITEM-1","itemData":{"ISBN":"0000000319195","author":[{"dropping-particle":"","family":"Raidimi, E. N. and Kabiti","given":"H. M.","non-dropping-particle":"","parse-names":false,"suffix":""}],"container-title":"S. Afr. J. Agric. Ext.","id":"ITEM-1","issue":"3","issued":{"date-parts":[["2019"]]},"page":"120-130","title":"A REVIEW OF THE ROLE OF AGRICULTURAL EXTENSION AND TRAINING IN ACHIEVING SUSTAINABLE FOOD SECURITY: A CASE OF SOUTH AFRICA","type":"article-journal","volume":"47"},"uris":["http://www.mendeley.com/documents/?uuid=30db0a41-0d84-4051-86d6-bc0875de587d"]}],"mendeley":{"formattedCitation":"(Raidimi, E. N. and Kabiti, 2019)","manualFormatting":"(Raidimi &amp; Kabiti, 2019)","plainTextFormattedCitation":"(Raidimi, E. N. and Kabiti, 2019)","previouslyFormattedCitation":"(Raidimi, E. N. and Kabiti, 2019)"},"properties":{"noteIndex":0},"schema":"https://github.com/citation-style-language/schema/raw/master/csl-citation.json"}</w:instrText>
      </w:r>
      <w:r w:rsidR="00C6315D">
        <w:rPr>
          <w:rFonts w:ascii="Arial" w:hAnsi="Arial" w:cs="Arial"/>
        </w:rPr>
        <w:fldChar w:fldCharType="separate"/>
      </w:r>
      <w:r w:rsidR="00C6315D">
        <w:rPr>
          <w:rFonts w:ascii="Arial" w:hAnsi="Arial" w:cs="Arial"/>
          <w:noProof/>
        </w:rPr>
        <w:t>(Raidimi &amp;</w:t>
      </w:r>
      <w:r w:rsidR="00C6315D" w:rsidRPr="00C6315D">
        <w:rPr>
          <w:rFonts w:ascii="Arial" w:hAnsi="Arial" w:cs="Arial"/>
          <w:noProof/>
        </w:rPr>
        <w:t xml:space="preserve"> Kabiti, 2019)</w:t>
      </w:r>
      <w:r w:rsidR="00C6315D">
        <w:rPr>
          <w:rFonts w:ascii="Arial" w:hAnsi="Arial" w:cs="Arial"/>
        </w:rPr>
        <w:fldChar w:fldCharType="end"/>
      </w:r>
      <w:r w:rsidRPr="000A25ED">
        <w:rPr>
          <w:rFonts w:ascii="Arial" w:hAnsi="Arial" w:cs="Arial"/>
        </w:rPr>
        <w:t xml:space="preserve">. However, the fact that 26.0% use social media sometimes indicates that while many farmers recognize its value, there are still barriers that prevent consistent usage, such as digital literacy or access issues </w:t>
      </w:r>
      <w:r w:rsidR="00361722">
        <w:rPr>
          <w:rFonts w:ascii="Arial" w:hAnsi="Arial" w:cs="Arial"/>
        </w:rPr>
        <w:fldChar w:fldCharType="begin" w:fldLock="1"/>
      </w:r>
      <w:r w:rsidR="008C41EC">
        <w:rPr>
          <w:rFonts w:ascii="Arial" w:hAnsi="Arial" w:cs="Arial"/>
        </w:rPr>
        <w:instrText>ADDIN CSL_CITATION {"citationItems":[{"id":"ITEM-1","itemData":{"DOI":"10.54183/jssr.v3i2.326","ISSN":"2789441X","abstract":"The digital divide, characterized by disparities in access to and use of technology, presents a significant challenge in education. This study aims to investigate the impact of the digital divide on students' access to technology and its influence on their educational outcomes. A quantitative research methodology was employed, with a sample size of 400 students from diverse educational backgrounds. The study utilized survey questionnaires to gather data on internet access, device ownership, and technology use in education. The findings revealed variations in internet access across different age groups, with younger individuals having higher levels of access compared to older age groups. Additionally, disparities in household internet access were observed between rural and urban areas, with rural areas experiencing lower connectivity. Gender-based differences in personal device ownership were also evident, highlighting potential gender-related digital divides. Moreover, students from low-income households faced lower levels of internet access, indicating a socioeconomic divide in technology access. Additionally, the study emphasizes the importance of establishing technology resource centers in schools and fostering public-private partnerships to bridge the technology gap in education. The study contributes to the existing body of knowledge by providing insights into the digital divide and offering recommendations for addressing this issue in the field of education.","author":[{"dropping-particle":"","family":"Afzal","given":"Arfa","non-dropping-particle":"","parse-names":false,"suffix":""},{"dropping-particle":"","family":"Khan","given":"Saima","non-dropping-particle":"","parse-names":false,"suffix":""},{"dropping-particle":"","family":"Daud","given":"Sana","non-dropping-particle":"","parse-names":false,"suffix":""},{"dropping-particle":"","family":"Ahmad","given":"Zahoor","non-dropping-particle":"","parse-names":false,"suffix":""},{"dropping-particle":"","family":"Butt","given":"Ayesha","non-dropping-particle":"","parse-names":false,"suffix":""}],"container-title":"Journal of Social Sciences Review","id":"ITEM-1","issue":"2","issued":{"date-parts":[["2023"]]},"page":"883-895","title":"Addressing the Digital Divide: Access and Use of Technology in Education","type":"article-journal","volume":"3"},"uris":["http://www.mendeley.com/documents/?uuid=5903bfec-d6ca-4b13-a001-0d10bac10145"]}],"mendeley":{"formattedCitation":"(Afzal et al., 2023)","plainTextFormattedCitation":"(Afzal et al., 2023)","previouslyFormattedCitation":"(Afzal et al., 2023)"},"properties":{"noteIndex":0},"schema":"https://github.com/citation-style-language/schema/raw/master/csl-citation.json"}</w:instrText>
      </w:r>
      <w:r w:rsidR="00361722">
        <w:rPr>
          <w:rFonts w:ascii="Arial" w:hAnsi="Arial" w:cs="Arial"/>
        </w:rPr>
        <w:fldChar w:fldCharType="separate"/>
      </w:r>
      <w:r w:rsidR="00361722" w:rsidRPr="00361722">
        <w:rPr>
          <w:rFonts w:ascii="Arial" w:hAnsi="Arial" w:cs="Arial"/>
          <w:noProof/>
        </w:rPr>
        <w:t>(Afzal et al., 2023)</w:t>
      </w:r>
      <w:r w:rsidR="00361722">
        <w:rPr>
          <w:rFonts w:ascii="Arial" w:hAnsi="Arial" w:cs="Arial"/>
        </w:rPr>
        <w:fldChar w:fldCharType="end"/>
      </w:r>
      <w:r w:rsidRPr="000A25ED">
        <w:rPr>
          <w:rFonts w:ascii="Arial" w:hAnsi="Arial" w:cs="Arial"/>
        </w:rPr>
        <w:t>. The 3.8% who rarely use social media for agricultural information point to a potential segment of the farming community that may be underserved, possibly due to a lack of awareness or access to technology. These insights underscore the need for targeted outreach and education initiatives to improve digital literacy and encourage more farmers to leverage social media as a reliable resource for agricultural information, which could lead to better-informed decision-making and enhanced production outcomes.</w:t>
      </w:r>
    </w:p>
    <w:p w14:paraId="6584B91F" w14:textId="77777777" w:rsidR="001B20AB" w:rsidRDefault="001B20AB" w:rsidP="00AF463B">
      <w:pPr>
        <w:spacing w:line="360" w:lineRule="auto"/>
        <w:rPr>
          <w:rFonts w:ascii="Arial" w:hAnsi="Arial" w:cs="Arial"/>
          <w:b/>
          <w:bCs/>
        </w:rPr>
      </w:pPr>
    </w:p>
    <w:p w14:paraId="2FBED991" w14:textId="77777777" w:rsidR="001B20AB" w:rsidRDefault="001B20AB" w:rsidP="00AF463B">
      <w:pPr>
        <w:spacing w:line="360" w:lineRule="auto"/>
        <w:rPr>
          <w:rFonts w:ascii="Arial" w:hAnsi="Arial" w:cs="Arial"/>
          <w:b/>
          <w:bCs/>
        </w:rPr>
      </w:pPr>
    </w:p>
    <w:p w14:paraId="47AD5A74" w14:textId="77777777" w:rsidR="001B20AB" w:rsidRDefault="001B20AB" w:rsidP="00AF463B">
      <w:pPr>
        <w:spacing w:line="360" w:lineRule="auto"/>
        <w:rPr>
          <w:rFonts w:ascii="Arial" w:hAnsi="Arial" w:cs="Arial"/>
          <w:b/>
          <w:bCs/>
        </w:rPr>
      </w:pPr>
    </w:p>
    <w:p w14:paraId="6073F89E" w14:textId="77777777" w:rsidR="001B20AB" w:rsidRDefault="001B20AB" w:rsidP="00AF463B">
      <w:pPr>
        <w:spacing w:line="360" w:lineRule="auto"/>
        <w:rPr>
          <w:rFonts w:ascii="Arial" w:hAnsi="Arial" w:cs="Arial"/>
          <w:b/>
          <w:bCs/>
        </w:rPr>
      </w:pPr>
    </w:p>
    <w:p w14:paraId="5C15B57D" w14:textId="77777777" w:rsidR="00AF463B" w:rsidRPr="00AF463B" w:rsidRDefault="00BE6FDF" w:rsidP="00AF463B">
      <w:pPr>
        <w:spacing w:line="360" w:lineRule="auto"/>
        <w:rPr>
          <w:rFonts w:ascii="Arial" w:hAnsi="Arial" w:cs="Arial"/>
        </w:rPr>
      </w:pPr>
      <w:r>
        <w:rPr>
          <w:rFonts w:ascii="Arial" w:hAnsi="Arial" w:cs="Arial"/>
          <w:b/>
          <w:bCs/>
        </w:rPr>
        <w:t>Table 3: Frequency</w:t>
      </w:r>
      <w:r w:rsidR="00AF463B" w:rsidRPr="00AF463B">
        <w:rPr>
          <w:rFonts w:ascii="Arial" w:hAnsi="Arial" w:cs="Arial"/>
          <w:b/>
          <w:bCs/>
        </w:rPr>
        <w:t xml:space="preserve"> use </w:t>
      </w:r>
      <w:r>
        <w:rPr>
          <w:rFonts w:ascii="Arial" w:hAnsi="Arial" w:cs="Arial"/>
          <w:b/>
          <w:bCs/>
        </w:rPr>
        <w:t xml:space="preserve">of </w:t>
      </w:r>
      <w:r w:rsidR="00AF463B" w:rsidRPr="00AF463B">
        <w:rPr>
          <w:rFonts w:ascii="Arial" w:hAnsi="Arial" w:cs="Arial"/>
          <w:b/>
          <w:bCs/>
        </w:rPr>
        <w:t xml:space="preserve">social media to </w:t>
      </w:r>
      <w:r>
        <w:rPr>
          <w:rFonts w:ascii="Arial" w:hAnsi="Arial" w:cs="Arial"/>
          <w:b/>
          <w:bCs/>
        </w:rPr>
        <w:t>obtain agricultural information</w:t>
      </w:r>
    </w:p>
    <w:tbl>
      <w:tblPr>
        <w:tblW w:w="5000" w:type="pct"/>
        <w:tblBorders>
          <w:top w:val="single" w:sz="4" w:space="0" w:color="auto"/>
          <w:bottom w:val="single" w:sz="4" w:space="0" w:color="auto"/>
        </w:tblBorders>
        <w:tblCellMar>
          <w:left w:w="30" w:type="dxa"/>
          <w:right w:w="30" w:type="dxa"/>
        </w:tblCellMar>
        <w:tblLook w:val="0000" w:firstRow="0" w:lastRow="0" w:firstColumn="0" w:lastColumn="0" w:noHBand="0" w:noVBand="0"/>
      </w:tblPr>
      <w:tblGrid>
        <w:gridCol w:w="3441"/>
        <w:gridCol w:w="3160"/>
        <w:gridCol w:w="2759"/>
      </w:tblGrid>
      <w:tr w:rsidR="00AF463B" w:rsidRPr="00AF463B" w14:paraId="6FC6B716" w14:textId="77777777" w:rsidTr="00EE7520">
        <w:trPr>
          <w:cantSplit/>
          <w:tblHeader/>
        </w:trPr>
        <w:tc>
          <w:tcPr>
            <w:tcW w:w="1838" w:type="pct"/>
            <w:tcBorders>
              <w:top w:val="single" w:sz="4" w:space="0" w:color="auto"/>
              <w:bottom w:val="single" w:sz="4" w:space="0" w:color="auto"/>
            </w:tcBorders>
            <w:shd w:val="clear" w:color="auto" w:fill="FFFFFF"/>
            <w:tcMar>
              <w:top w:w="30" w:type="dxa"/>
              <w:left w:w="30" w:type="dxa"/>
              <w:bottom w:w="30" w:type="dxa"/>
              <w:right w:w="30" w:type="dxa"/>
            </w:tcMar>
          </w:tcPr>
          <w:p w14:paraId="47E0726C" w14:textId="77777777" w:rsidR="00AF463B" w:rsidRPr="00AF463B" w:rsidRDefault="00AF463B" w:rsidP="00EE7520">
            <w:pPr>
              <w:spacing w:line="360" w:lineRule="auto"/>
              <w:rPr>
                <w:rFonts w:ascii="Arial" w:hAnsi="Arial" w:cs="Arial"/>
              </w:rPr>
            </w:pPr>
          </w:p>
        </w:tc>
        <w:tc>
          <w:tcPr>
            <w:tcW w:w="1688" w:type="pct"/>
            <w:tcBorders>
              <w:top w:val="single" w:sz="4" w:space="0" w:color="auto"/>
              <w:bottom w:val="single" w:sz="4" w:space="0" w:color="auto"/>
            </w:tcBorders>
            <w:shd w:val="clear" w:color="auto" w:fill="FFFFFF"/>
            <w:tcMar>
              <w:top w:w="30" w:type="dxa"/>
              <w:left w:w="30" w:type="dxa"/>
              <w:bottom w:w="30" w:type="dxa"/>
              <w:right w:w="30" w:type="dxa"/>
            </w:tcMar>
            <w:vAlign w:val="bottom"/>
          </w:tcPr>
          <w:p w14:paraId="0892764D" w14:textId="77777777" w:rsidR="00AF463B" w:rsidRPr="00AF463B" w:rsidRDefault="00AF463B" w:rsidP="00EE7520">
            <w:pPr>
              <w:spacing w:line="360" w:lineRule="auto"/>
              <w:jc w:val="center"/>
              <w:rPr>
                <w:rFonts w:ascii="Arial" w:hAnsi="Arial" w:cs="Arial"/>
              </w:rPr>
            </w:pPr>
            <w:r w:rsidRPr="00AF463B">
              <w:rPr>
                <w:rFonts w:ascii="Arial" w:hAnsi="Arial" w:cs="Arial"/>
              </w:rPr>
              <w:t>Frequency</w:t>
            </w:r>
          </w:p>
        </w:tc>
        <w:tc>
          <w:tcPr>
            <w:tcW w:w="1474" w:type="pct"/>
            <w:tcBorders>
              <w:top w:val="single" w:sz="4" w:space="0" w:color="auto"/>
              <w:bottom w:val="single" w:sz="4" w:space="0" w:color="auto"/>
            </w:tcBorders>
            <w:shd w:val="clear" w:color="auto" w:fill="FFFFFF"/>
            <w:tcMar>
              <w:top w:w="30" w:type="dxa"/>
              <w:left w:w="30" w:type="dxa"/>
              <w:bottom w:w="30" w:type="dxa"/>
              <w:right w:w="30" w:type="dxa"/>
            </w:tcMar>
            <w:vAlign w:val="bottom"/>
          </w:tcPr>
          <w:p w14:paraId="75D10C03" w14:textId="77777777" w:rsidR="00AF463B" w:rsidRPr="00AF463B" w:rsidRDefault="00AF463B" w:rsidP="00EE7520">
            <w:pPr>
              <w:spacing w:line="360" w:lineRule="auto"/>
              <w:jc w:val="center"/>
              <w:rPr>
                <w:rFonts w:ascii="Arial" w:hAnsi="Arial" w:cs="Arial"/>
              </w:rPr>
            </w:pPr>
            <w:r w:rsidRPr="00AF463B">
              <w:rPr>
                <w:rFonts w:ascii="Arial" w:hAnsi="Arial" w:cs="Arial"/>
              </w:rPr>
              <w:t>Percent</w:t>
            </w:r>
          </w:p>
        </w:tc>
      </w:tr>
      <w:tr w:rsidR="00AF463B" w:rsidRPr="00AF463B" w14:paraId="074165A3" w14:textId="77777777" w:rsidTr="00EE7520">
        <w:trPr>
          <w:cantSplit/>
          <w:tblHeader/>
        </w:trPr>
        <w:tc>
          <w:tcPr>
            <w:tcW w:w="1838" w:type="pct"/>
            <w:tcBorders>
              <w:top w:val="single" w:sz="4" w:space="0" w:color="auto"/>
              <w:bottom w:val="nil"/>
            </w:tcBorders>
            <w:shd w:val="clear" w:color="auto" w:fill="FFFFFF"/>
            <w:tcMar>
              <w:top w:w="30" w:type="dxa"/>
              <w:left w:w="30" w:type="dxa"/>
              <w:bottom w:w="30" w:type="dxa"/>
              <w:right w:w="30" w:type="dxa"/>
            </w:tcMar>
          </w:tcPr>
          <w:p w14:paraId="356ACBB1" w14:textId="77777777" w:rsidR="00AF463B" w:rsidRPr="00AF463B" w:rsidRDefault="00AF463B" w:rsidP="00EE7520">
            <w:pPr>
              <w:spacing w:line="360" w:lineRule="auto"/>
              <w:rPr>
                <w:rFonts w:ascii="Arial" w:hAnsi="Arial" w:cs="Arial"/>
              </w:rPr>
            </w:pPr>
            <w:r w:rsidRPr="00AF463B">
              <w:rPr>
                <w:rFonts w:ascii="Arial" w:hAnsi="Arial" w:cs="Arial"/>
              </w:rPr>
              <w:t>Sometimes</w:t>
            </w:r>
          </w:p>
        </w:tc>
        <w:tc>
          <w:tcPr>
            <w:tcW w:w="1688" w:type="pct"/>
            <w:tcBorders>
              <w:top w:val="single" w:sz="4" w:space="0" w:color="auto"/>
              <w:bottom w:val="nil"/>
            </w:tcBorders>
            <w:shd w:val="clear" w:color="auto" w:fill="FFFFFF"/>
            <w:tcMar>
              <w:top w:w="30" w:type="dxa"/>
              <w:left w:w="30" w:type="dxa"/>
              <w:bottom w:w="30" w:type="dxa"/>
              <w:right w:w="30" w:type="dxa"/>
            </w:tcMar>
            <w:vAlign w:val="center"/>
          </w:tcPr>
          <w:p w14:paraId="5D151326" w14:textId="77777777" w:rsidR="00AF463B" w:rsidRPr="00AF463B" w:rsidRDefault="00AF463B" w:rsidP="00EE7520">
            <w:pPr>
              <w:spacing w:line="360" w:lineRule="auto"/>
              <w:jc w:val="center"/>
              <w:rPr>
                <w:rFonts w:ascii="Arial" w:hAnsi="Arial" w:cs="Arial"/>
              </w:rPr>
            </w:pPr>
            <w:r w:rsidRPr="00AF463B">
              <w:rPr>
                <w:rFonts w:ascii="Arial" w:hAnsi="Arial" w:cs="Arial"/>
              </w:rPr>
              <w:t>27</w:t>
            </w:r>
          </w:p>
        </w:tc>
        <w:tc>
          <w:tcPr>
            <w:tcW w:w="1474" w:type="pct"/>
            <w:tcBorders>
              <w:top w:val="single" w:sz="4" w:space="0" w:color="auto"/>
              <w:bottom w:val="nil"/>
            </w:tcBorders>
            <w:shd w:val="clear" w:color="auto" w:fill="FFFFFF"/>
            <w:tcMar>
              <w:top w:w="30" w:type="dxa"/>
              <w:left w:w="30" w:type="dxa"/>
              <w:bottom w:w="30" w:type="dxa"/>
              <w:right w:w="30" w:type="dxa"/>
            </w:tcMar>
            <w:vAlign w:val="center"/>
          </w:tcPr>
          <w:p w14:paraId="0C8C8E72" w14:textId="77777777" w:rsidR="00AF463B" w:rsidRPr="00AF463B" w:rsidRDefault="00AF463B" w:rsidP="00EE7520">
            <w:pPr>
              <w:spacing w:line="360" w:lineRule="auto"/>
              <w:jc w:val="center"/>
              <w:rPr>
                <w:rFonts w:ascii="Arial" w:hAnsi="Arial" w:cs="Arial"/>
              </w:rPr>
            </w:pPr>
            <w:r w:rsidRPr="00AF463B">
              <w:rPr>
                <w:rFonts w:ascii="Arial" w:hAnsi="Arial" w:cs="Arial"/>
              </w:rPr>
              <w:t>26.0</w:t>
            </w:r>
          </w:p>
        </w:tc>
      </w:tr>
      <w:tr w:rsidR="00AF463B" w:rsidRPr="00AF463B" w14:paraId="5CEF19EB" w14:textId="77777777" w:rsidTr="00EE7520">
        <w:trPr>
          <w:cantSplit/>
          <w:tblHeader/>
        </w:trPr>
        <w:tc>
          <w:tcPr>
            <w:tcW w:w="1838" w:type="pct"/>
            <w:tcBorders>
              <w:top w:val="nil"/>
            </w:tcBorders>
            <w:shd w:val="clear" w:color="auto" w:fill="FFFFFF"/>
            <w:tcMar>
              <w:top w:w="30" w:type="dxa"/>
              <w:left w:w="30" w:type="dxa"/>
              <w:bottom w:w="30" w:type="dxa"/>
              <w:right w:w="30" w:type="dxa"/>
            </w:tcMar>
          </w:tcPr>
          <w:p w14:paraId="72E4D6DC" w14:textId="77777777" w:rsidR="00AF463B" w:rsidRPr="00AF463B" w:rsidRDefault="00AF463B" w:rsidP="00EE7520">
            <w:pPr>
              <w:spacing w:line="360" w:lineRule="auto"/>
              <w:rPr>
                <w:rFonts w:ascii="Arial" w:hAnsi="Arial" w:cs="Arial"/>
              </w:rPr>
            </w:pPr>
            <w:r w:rsidRPr="00AF463B">
              <w:rPr>
                <w:rFonts w:ascii="Arial" w:hAnsi="Arial" w:cs="Arial"/>
              </w:rPr>
              <w:t>Frequently</w:t>
            </w:r>
          </w:p>
        </w:tc>
        <w:tc>
          <w:tcPr>
            <w:tcW w:w="1688" w:type="pct"/>
            <w:tcBorders>
              <w:top w:val="nil"/>
            </w:tcBorders>
            <w:shd w:val="clear" w:color="auto" w:fill="FFFFFF"/>
            <w:tcMar>
              <w:top w:w="30" w:type="dxa"/>
              <w:left w:w="30" w:type="dxa"/>
              <w:bottom w:w="30" w:type="dxa"/>
              <w:right w:w="30" w:type="dxa"/>
            </w:tcMar>
            <w:vAlign w:val="center"/>
          </w:tcPr>
          <w:p w14:paraId="50139C0C" w14:textId="77777777" w:rsidR="00AF463B" w:rsidRPr="00AF463B" w:rsidRDefault="00AF463B" w:rsidP="00EE7520">
            <w:pPr>
              <w:spacing w:line="360" w:lineRule="auto"/>
              <w:jc w:val="center"/>
              <w:rPr>
                <w:rFonts w:ascii="Arial" w:hAnsi="Arial" w:cs="Arial"/>
              </w:rPr>
            </w:pPr>
            <w:r w:rsidRPr="00AF463B">
              <w:rPr>
                <w:rFonts w:ascii="Arial" w:hAnsi="Arial" w:cs="Arial"/>
              </w:rPr>
              <w:t>73</w:t>
            </w:r>
          </w:p>
        </w:tc>
        <w:tc>
          <w:tcPr>
            <w:tcW w:w="1474" w:type="pct"/>
            <w:tcBorders>
              <w:top w:val="nil"/>
            </w:tcBorders>
            <w:shd w:val="clear" w:color="auto" w:fill="FFFFFF"/>
            <w:tcMar>
              <w:top w:w="30" w:type="dxa"/>
              <w:left w:w="30" w:type="dxa"/>
              <w:bottom w:w="30" w:type="dxa"/>
              <w:right w:w="30" w:type="dxa"/>
            </w:tcMar>
            <w:vAlign w:val="center"/>
          </w:tcPr>
          <w:p w14:paraId="1B566861" w14:textId="77777777" w:rsidR="00AF463B" w:rsidRPr="00AF463B" w:rsidRDefault="00AF463B" w:rsidP="00EE7520">
            <w:pPr>
              <w:spacing w:line="360" w:lineRule="auto"/>
              <w:jc w:val="center"/>
              <w:rPr>
                <w:rFonts w:ascii="Arial" w:hAnsi="Arial" w:cs="Arial"/>
              </w:rPr>
            </w:pPr>
            <w:r w:rsidRPr="00AF463B">
              <w:rPr>
                <w:rFonts w:ascii="Arial" w:hAnsi="Arial" w:cs="Arial"/>
              </w:rPr>
              <w:t>70.2</w:t>
            </w:r>
          </w:p>
        </w:tc>
      </w:tr>
      <w:tr w:rsidR="00AF463B" w:rsidRPr="00AF463B" w14:paraId="188ADE87" w14:textId="77777777" w:rsidTr="00EE7520">
        <w:trPr>
          <w:cantSplit/>
          <w:tblHeader/>
        </w:trPr>
        <w:tc>
          <w:tcPr>
            <w:tcW w:w="1838" w:type="pct"/>
            <w:shd w:val="clear" w:color="auto" w:fill="FFFFFF"/>
            <w:tcMar>
              <w:top w:w="30" w:type="dxa"/>
              <w:left w:w="30" w:type="dxa"/>
              <w:bottom w:w="30" w:type="dxa"/>
              <w:right w:w="30" w:type="dxa"/>
            </w:tcMar>
          </w:tcPr>
          <w:p w14:paraId="5BC22D8D" w14:textId="77777777" w:rsidR="00AF463B" w:rsidRPr="00AF463B" w:rsidRDefault="00AF463B" w:rsidP="00EE7520">
            <w:pPr>
              <w:spacing w:line="360" w:lineRule="auto"/>
              <w:rPr>
                <w:rFonts w:ascii="Arial" w:hAnsi="Arial" w:cs="Arial"/>
              </w:rPr>
            </w:pPr>
            <w:r w:rsidRPr="00AF463B">
              <w:rPr>
                <w:rFonts w:ascii="Arial" w:hAnsi="Arial" w:cs="Arial"/>
              </w:rPr>
              <w:t>Rarely</w:t>
            </w:r>
          </w:p>
        </w:tc>
        <w:tc>
          <w:tcPr>
            <w:tcW w:w="1688" w:type="pct"/>
            <w:shd w:val="clear" w:color="auto" w:fill="FFFFFF"/>
            <w:tcMar>
              <w:top w:w="30" w:type="dxa"/>
              <w:left w:w="30" w:type="dxa"/>
              <w:bottom w:w="30" w:type="dxa"/>
              <w:right w:w="30" w:type="dxa"/>
            </w:tcMar>
            <w:vAlign w:val="center"/>
          </w:tcPr>
          <w:p w14:paraId="435A6A9D" w14:textId="77777777" w:rsidR="00AF463B" w:rsidRPr="00AF463B" w:rsidRDefault="00AF463B" w:rsidP="00EE7520">
            <w:pPr>
              <w:spacing w:line="360" w:lineRule="auto"/>
              <w:jc w:val="center"/>
              <w:rPr>
                <w:rFonts w:ascii="Arial" w:hAnsi="Arial" w:cs="Arial"/>
              </w:rPr>
            </w:pPr>
            <w:r w:rsidRPr="00AF463B">
              <w:rPr>
                <w:rFonts w:ascii="Arial" w:hAnsi="Arial" w:cs="Arial"/>
              </w:rPr>
              <w:t>4</w:t>
            </w:r>
          </w:p>
        </w:tc>
        <w:tc>
          <w:tcPr>
            <w:tcW w:w="1474" w:type="pct"/>
            <w:shd w:val="clear" w:color="auto" w:fill="FFFFFF"/>
            <w:tcMar>
              <w:top w:w="30" w:type="dxa"/>
              <w:left w:w="30" w:type="dxa"/>
              <w:bottom w:w="30" w:type="dxa"/>
              <w:right w:w="30" w:type="dxa"/>
            </w:tcMar>
            <w:vAlign w:val="center"/>
          </w:tcPr>
          <w:p w14:paraId="7EB8F48E" w14:textId="77777777" w:rsidR="00AF463B" w:rsidRPr="00AF463B" w:rsidRDefault="00AF463B" w:rsidP="00EE7520">
            <w:pPr>
              <w:spacing w:line="360" w:lineRule="auto"/>
              <w:jc w:val="center"/>
              <w:rPr>
                <w:rFonts w:ascii="Arial" w:hAnsi="Arial" w:cs="Arial"/>
              </w:rPr>
            </w:pPr>
            <w:r w:rsidRPr="00AF463B">
              <w:rPr>
                <w:rFonts w:ascii="Arial" w:hAnsi="Arial" w:cs="Arial"/>
              </w:rPr>
              <w:t>3.8</w:t>
            </w:r>
          </w:p>
        </w:tc>
      </w:tr>
      <w:tr w:rsidR="00AF463B" w:rsidRPr="00AF463B" w14:paraId="4E40CCB4" w14:textId="77777777" w:rsidTr="00EE7520">
        <w:trPr>
          <w:cantSplit/>
        </w:trPr>
        <w:tc>
          <w:tcPr>
            <w:tcW w:w="1838" w:type="pct"/>
            <w:tcBorders>
              <w:bottom w:val="single" w:sz="4" w:space="0" w:color="auto"/>
            </w:tcBorders>
            <w:shd w:val="clear" w:color="auto" w:fill="FFFFFF"/>
            <w:tcMar>
              <w:top w:w="30" w:type="dxa"/>
              <w:left w:w="30" w:type="dxa"/>
              <w:bottom w:w="30" w:type="dxa"/>
              <w:right w:w="30" w:type="dxa"/>
            </w:tcMar>
          </w:tcPr>
          <w:p w14:paraId="2287AD19" w14:textId="77777777" w:rsidR="00AF463B" w:rsidRPr="00AF463B" w:rsidRDefault="00AF463B" w:rsidP="00EE7520">
            <w:pPr>
              <w:spacing w:line="360" w:lineRule="auto"/>
              <w:rPr>
                <w:rFonts w:ascii="Arial" w:hAnsi="Arial" w:cs="Arial"/>
              </w:rPr>
            </w:pPr>
            <w:r w:rsidRPr="00AF463B">
              <w:rPr>
                <w:rFonts w:ascii="Arial" w:hAnsi="Arial" w:cs="Arial"/>
              </w:rPr>
              <w:t>Total</w:t>
            </w:r>
          </w:p>
        </w:tc>
        <w:tc>
          <w:tcPr>
            <w:tcW w:w="1688" w:type="pct"/>
            <w:tcBorders>
              <w:bottom w:val="single" w:sz="4" w:space="0" w:color="auto"/>
            </w:tcBorders>
            <w:shd w:val="clear" w:color="auto" w:fill="FFFFFF"/>
            <w:tcMar>
              <w:top w:w="30" w:type="dxa"/>
              <w:left w:w="30" w:type="dxa"/>
              <w:bottom w:w="30" w:type="dxa"/>
              <w:right w:w="30" w:type="dxa"/>
            </w:tcMar>
            <w:vAlign w:val="center"/>
          </w:tcPr>
          <w:p w14:paraId="4A085992" w14:textId="77777777" w:rsidR="00AF463B" w:rsidRPr="00AF463B" w:rsidRDefault="00AF463B" w:rsidP="00EE7520">
            <w:pPr>
              <w:spacing w:line="360" w:lineRule="auto"/>
              <w:jc w:val="center"/>
              <w:rPr>
                <w:rFonts w:ascii="Arial" w:hAnsi="Arial" w:cs="Arial"/>
              </w:rPr>
            </w:pPr>
            <w:r w:rsidRPr="00AF463B">
              <w:rPr>
                <w:rFonts w:ascii="Arial" w:hAnsi="Arial" w:cs="Arial"/>
              </w:rPr>
              <w:t>104</w:t>
            </w:r>
          </w:p>
        </w:tc>
        <w:tc>
          <w:tcPr>
            <w:tcW w:w="1474" w:type="pct"/>
            <w:tcBorders>
              <w:bottom w:val="single" w:sz="4" w:space="0" w:color="auto"/>
            </w:tcBorders>
            <w:shd w:val="clear" w:color="auto" w:fill="FFFFFF"/>
            <w:tcMar>
              <w:top w:w="30" w:type="dxa"/>
              <w:left w:w="30" w:type="dxa"/>
              <w:bottom w:w="30" w:type="dxa"/>
              <w:right w:w="30" w:type="dxa"/>
            </w:tcMar>
            <w:vAlign w:val="center"/>
          </w:tcPr>
          <w:p w14:paraId="3D610670" w14:textId="77777777" w:rsidR="00AF463B" w:rsidRPr="00AF463B" w:rsidRDefault="00AF463B" w:rsidP="00EE7520">
            <w:pPr>
              <w:spacing w:line="360" w:lineRule="auto"/>
              <w:jc w:val="center"/>
              <w:rPr>
                <w:rFonts w:ascii="Arial" w:hAnsi="Arial" w:cs="Arial"/>
              </w:rPr>
            </w:pPr>
            <w:r w:rsidRPr="00AF463B">
              <w:rPr>
                <w:rFonts w:ascii="Arial" w:hAnsi="Arial" w:cs="Arial"/>
              </w:rPr>
              <w:t>100.0</w:t>
            </w:r>
          </w:p>
        </w:tc>
      </w:tr>
    </w:tbl>
    <w:p w14:paraId="26FA0350" w14:textId="77777777" w:rsidR="00AF463B" w:rsidRPr="00AF463B" w:rsidRDefault="00AF463B" w:rsidP="00AF463B">
      <w:pPr>
        <w:spacing w:line="360" w:lineRule="auto"/>
        <w:rPr>
          <w:rFonts w:ascii="Arial" w:hAnsi="Arial" w:cs="Arial"/>
        </w:rPr>
      </w:pPr>
    </w:p>
    <w:p w14:paraId="605DD972" w14:textId="77777777" w:rsidR="00BE6FDF" w:rsidRPr="00BE6FDF" w:rsidRDefault="00BE6FDF" w:rsidP="00BE6FDF">
      <w:pPr>
        <w:spacing w:line="360" w:lineRule="auto"/>
        <w:rPr>
          <w:rFonts w:ascii="Arial" w:hAnsi="Arial" w:cs="Arial"/>
        </w:rPr>
      </w:pPr>
      <w:r>
        <w:rPr>
          <w:rFonts w:ascii="Arial" w:hAnsi="Arial" w:cs="Arial"/>
          <w:b/>
          <w:bCs/>
        </w:rPr>
        <w:t>4.4: Kind of agricultural</w:t>
      </w:r>
      <w:r w:rsidRPr="00AF463B">
        <w:rPr>
          <w:rFonts w:ascii="Arial" w:hAnsi="Arial" w:cs="Arial"/>
          <w:b/>
          <w:bCs/>
        </w:rPr>
        <w:t xml:space="preserve"> information </w:t>
      </w:r>
      <w:r>
        <w:rPr>
          <w:rFonts w:ascii="Arial" w:hAnsi="Arial" w:cs="Arial"/>
          <w:b/>
          <w:bCs/>
        </w:rPr>
        <w:t>accessed in the social media</w:t>
      </w:r>
    </w:p>
    <w:p w14:paraId="0B6BCBE6" w14:textId="77777777" w:rsidR="001C2D44" w:rsidRPr="001C2D44" w:rsidRDefault="001C2D44" w:rsidP="001C2D44">
      <w:pPr>
        <w:spacing w:line="360" w:lineRule="auto"/>
        <w:jc w:val="both"/>
        <w:rPr>
          <w:rFonts w:ascii="Arial" w:hAnsi="Arial" w:cs="Arial"/>
          <w:bCs/>
        </w:rPr>
      </w:pPr>
      <w:r w:rsidRPr="001C2D44">
        <w:rPr>
          <w:rFonts w:ascii="Arial" w:hAnsi="Arial" w:cs="Arial"/>
          <w:bCs/>
        </w:rPr>
        <w:t>The results indicate that a significant portion of respondents, 41.3%, access information about quality seeds on social media, highlighting the critical role this knowledge plays in enhancing agricultural producti</w:t>
      </w:r>
      <w:r w:rsidR="00305A41">
        <w:rPr>
          <w:rFonts w:ascii="Arial" w:hAnsi="Arial" w:cs="Arial"/>
          <w:bCs/>
        </w:rPr>
        <w:t xml:space="preserve">vity and sustainability </w:t>
      </w:r>
      <w:r w:rsidR="00305A41">
        <w:rPr>
          <w:rFonts w:ascii="Arial" w:hAnsi="Arial" w:cs="Arial"/>
          <w:bCs/>
        </w:rPr>
        <w:fldChar w:fldCharType="begin" w:fldLock="1"/>
      </w:r>
      <w:r w:rsidR="00305A41">
        <w:rPr>
          <w:rFonts w:ascii="Arial" w:hAnsi="Arial" w:cs="Arial"/>
          <w:bCs/>
        </w:rPr>
        <w:instrText>ADDIN CSL_CITATION {"citationItems":[{"id":"ITEM-1","itemData":{"author":[{"dropping-particle":"","family":"Catherin Lengewa, Audrine Mikhala","given":"Sylvester Aura","non-dropping-particle":"","parse-names":false,"suffix":""},{"dropping-particle":"","family":"Alex Amuda, James Maina, Jummai Yila","given":"Eileen Nchanji","non-dropping-particle":"","parse-names":false,"suffix":""},{"dropping-particle":"","family":"Bomuhangi","given":"Allan","non-dropping-particle":"","parse-names":false,"suffix":""}],"container-title":"Report","id":"ITEM-1","issue":"March","issued":{"date-parts":[["2024"]]},"title":"Understanding knowledge , attitudes , and practices among smallholder women and youth farmers in relation to seed information and entrepreneurship in Butaleja , Eastern Uganda","type":"article-journal"},"uris":["http://www.mendeley.com/documents/?uuid=1224a5e4-8219-47dd-9b39-8ee6391471e7"]}],"mendeley":{"formattedCitation":"(Catherin Lengewa, Audrine Mikhala et al., 2024)","manualFormatting":"(Catherin et al., 2024)","plainTextFormattedCitation":"(Catherin Lengewa, Audrine Mikhala et al., 2024)","previouslyFormattedCitation":"(Catherin Lengewa, Audrine Mikhala et al., 2024)"},"properties":{"noteIndex":0},"schema":"https://github.com/citation-style-language/schema/raw/master/csl-citation.json"}</w:instrText>
      </w:r>
      <w:r w:rsidR="00305A41">
        <w:rPr>
          <w:rFonts w:ascii="Arial" w:hAnsi="Arial" w:cs="Arial"/>
          <w:bCs/>
        </w:rPr>
        <w:fldChar w:fldCharType="separate"/>
      </w:r>
      <w:r w:rsidR="00305A41" w:rsidRPr="00305A41">
        <w:rPr>
          <w:rFonts w:ascii="Arial" w:hAnsi="Arial" w:cs="Arial"/>
          <w:bCs/>
          <w:noProof/>
        </w:rPr>
        <w:t>(Ca</w:t>
      </w:r>
      <w:r w:rsidR="00305A41">
        <w:rPr>
          <w:rFonts w:ascii="Arial" w:hAnsi="Arial" w:cs="Arial"/>
          <w:bCs/>
          <w:noProof/>
        </w:rPr>
        <w:t xml:space="preserve">therin </w:t>
      </w:r>
      <w:r w:rsidR="00305A41" w:rsidRPr="00305A41">
        <w:rPr>
          <w:rFonts w:ascii="Arial" w:hAnsi="Arial" w:cs="Arial"/>
          <w:bCs/>
          <w:i/>
          <w:noProof/>
        </w:rPr>
        <w:t>et al.</w:t>
      </w:r>
      <w:r w:rsidR="00305A41" w:rsidRPr="00305A41">
        <w:rPr>
          <w:rFonts w:ascii="Arial" w:hAnsi="Arial" w:cs="Arial"/>
          <w:bCs/>
          <w:noProof/>
        </w:rPr>
        <w:t>, 2024)</w:t>
      </w:r>
      <w:r w:rsidR="00305A41">
        <w:rPr>
          <w:rFonts w:ascii="Arial" w:hAnsi="Arial" w:cs="Arial"/>
          <w:bCs/>
        </w:rPr>
        <w:fldChar w:fldCharType="end"/>
      </w:r>
      <w:r w:rsidRPr="001C2D44">
        <w:rPr>
          <w:rFonts w:ascii="Arial" w:hAnsi="Arial" w:cs="Arial"/>
          <w:bCs/>
        </w:rPr>
        <w:t>. Access to quality seed information is vital for farmers, as the choice of seeds directly influences crop yields and resistance t</w:t>
      </w:r>
      <w:r w:rsidR="007A40D4">
        <w:rPr>
          <w:rFonts w:ascii="Arial" w:hAnsi="Arial" w:cs="Arial"/>
          <w:bCs/>
        </w:rPr>
        <w:t xml:space="preserve">o pests and diseases </w:t>
      </w:r>
      <w:r w:rsidR="007A40D4">
        <w:rPr>
          <w:rFonts w:ascii="Arial" w:hAnsi="Arial" w:cs="Arial"/>
          <w:bCs/>
        </w:rPr>
        <w:fldChar w:fldCharType="begin" w:fldLock="1"/>
      </w:r>
      <w:r w:rsidR="007A40D4">
        <w:rPr>
          <w:rFonts w:ascii="Arial" w:hAnsi="Arial" w:cs="Arial"/>
          <w:bCs/>
        </w:rPr>
        <w:instrText>ADDIN CSL_CITATION {"citationItems":[{"id":"ITEM-1","itemData":{"DOI":"10.1111/1477-9552.12395","ISSN":"14779552","abstract":"We examine smallholder farmers’ willingness to pay for agricultural technology and whether information is a constraint to adoption of certified maize seed in Northern Uganda. The uptake of improved maize varieties by smallholder farmers in Uganda remains persistently low, despite the higher yield potential compared to traditional varieties. A recently growing body of literature identifies information constraints as a potential barrier to adoption of agricultural technologies. We used incentive compatible Becker-DeGroot-Marschak auctions to elicit willingness to pay for quality assured improved maize seed by 1,009 smallholder farmers, and conducted a randomised evaluation to test the effect of an information intervention on farmers’ knowledge of seed certification. Our results show that the randomised information treatment enhanced farmers’ knowledge of certified seed. However, using the information treatment as an instrumental variable for knowledge, we find no evidence of a causal effect of knowledge on willingness to pay, suggesting that even though farmers are information constrained, this constraint does not affect adoption of certified seed directly. Nevertheless, only 14% of sampled farmers were willing to pay the market price, which corresponds closely with actual observed demand for certified seed in the previous season. This suggests that there are other barriers to adoption than information and awareness.","author":[{"dropping-particle":"","family":"Mastenbroek","given":"Astrid","non-dropping-particle":"","parse-names":false,"suffix":""},{"dropping-particle":"","family":"Sirutyte","given":"Irma","non-dropping-particle":"","parse-names":false,"suffix":""},{"dropping-particle":"","family":"Sparrow","given":"Robert","non-dropping-particle":"","parse-names":false,"suffix":""}],"container-title":"Journal of Agricultural Economics","id":"ITEM-1","issue":"1","issued":{"date-parts":[["2021"]]},"page":"180-201","title":"Information Barriers to Adoption of Agricultural Technologies: Willingness to Pay for Certified Seed of an Open Pollinated Maize Variety in Northern Uganda","type":"article-journal","volume":"72"},"uris":["http://www.mendeley.com/documents/?uuid=2842927c-2fa3-438f-9363-b0dcd41a4dec"]}],"mendeley":{"formattedCitation":"(Mastenbroek et al., 2021)","plainTextFormattedCitation":"(Mastenbroek et al., 2021)","previouslyFormattedCitation":"(Mastenbroek et al., 2021)"},"properties":{"noteIndex":0},"schema":"https://github.com/citation-style-language/schema/raw/master/csl-citation.json"}</w:instrText>
      </w:r>
      <w:r w:rsidR="007A40D4">
        <w:rPr>
          <w:rFonts w:ascii="Arial" w:hAnsi="Arial" w:cs="Arial"/>
          <w:bCs/>
        </w:rPr>
        <w:fldChar w:fldCharType="separate"/>
      </w:r>
      <w:r w:rsidR="007A40D4" w:rsidRPr="007A40D4">
        <w:rPr>
          <w:rFonts w:ascii="Arial" w:hAnsi="Arial" w:cs="Arial"/>
          <w:bCs/>
          <w:noProof/>
        </w:rPr>
        <w:t>(Mastenbroek et al., 2021)</w:t>
      </w:r>
      <w:r w:rsidR="007A40D4">
        <w:rPr>
          <w:rFonts w:ascii="Arial" w:hAnsi="Arial" w:cs="Arial"/>
          <w:bCs/>
        </w:rPr>
        <w:fldChar w:fldCharType="end"/>
      </w:r>
      <w:r w:rsidRPr="001C2D44">
        <w:rPr>
          <w:rFonts w:ascii="Arial" w:hAnsi="Arial" w:cs="Arial"/>
          <w:bCs/>
        </w:rPr>
        <w:t>. Additionally, 25.0% of respondents seek information about production issues, which reflects a proactive approach to addressing challenges such as pest management and soil fertility, crucial for maximizing outputs. However, only 5.8% access information on value addition, suggesting a gap in awareness regarding post-harvest practices that could enhance profita</w:t>
      </w:r>
      <w:r w:rsidR="001C393B">
        <w:rPr>
          <w:rFonts w:ascii="Arial" w:hAnsi="Arial" w:cs="Arial"/>
          <w:bCs/>
        </w:rPr>
        <w:t xml:space="preserve">bility and reduce waste </w:t>
      </w:r>
      <w:r w:rsidR="001C393B">
        <w:rPr>
          <w:rFonts w:ascii="Arial" w:hAnsi="Arial" w:cs="Arial"/>
          <w:bCs/>
        </w:rPr>
        <w:fldChar w:fldCharType="begin" w:fldLock="1"/>
      </w:r>
      <w:r w:rsidR="007A40D4">
        <w:rPr>
          <w:rFonts w:ascii="Arial" w:hAnsi="Arial" w:cs="Arial"/>
          <w:bCs/>
        </w:rPr>
        <w:instrText>ADDIN CSL_CITATION {"citationItems":[{"id":"ITEM-1","itemData":{"DOI":"10.1007/s12571-021-01196-2","ISSN":"18764525","abstract":"Postharvest loss is a major challenge in food production and supply chains in developing countries like Nigeria. This leads to significant falls in livelihood outcomes such as reduced household income and food insecurity. Using primary data from perishable agricultural commodity dealers in Nigeria and endogenous switching econometric modelling, we investigate factors determining postharvest technology (PHT) adoption, the impacts of PHT adoption on net returns and its implication on livelihood outcomes. We found that adoption of PHT significantly increases net returns and thus improves livelihoods. The counterfactual impact analysis indicates that value chain actors who adopted PHT would have earned 7% lower net returns had they not used the technology. Conversely, non-adopters would have increased their net returns by 5% had they adopted the technology. However, heterogenous treatment effects were observed due to heterogeneities among the adopters. Results further indicate that the position of value chain actors along the perishable supply chain, income level, product seasonality, sales frequency, and technology affordability positively influence adoption decision. High cost of technology is found to be the major barrier to technology adoption. We suggest targeted interventions to enhance access to PHT for reducing food losses, reducing food insecurity, and improving livelihoods for agricultural actors along perishable value chains. Policy interventions, such as improving access to affordable financing options, incentives for production of low-cost technology locally, or duty-free importation should be considered to make PHT affordable, increase its wider adoption, and improve food security of households along the agricultural value chains in developing countries like Nigeria.","author":[{"dropping-particle":"","family":"Balana","given":"Bedru B.","non-dropping-particle":"","parse-names":false,"suffix":""},{"dropping-particle":"","family":"Aghadi","given":"Crystal N.","non-dropping-particle":"","parse-names":false,"suffix":""},{"dropping-particle":"","family":"Ogunniyi","given":"Adebayo I.","non-dropping-particle":"","parse-names":false,"suffix":""}],"container-title":"Food Security","id":"ITEM-1","issue":"1","issued":{"date-parts":[["2022"]]},"page":"249-265","title":"Improving livelihoods through postharvest loss management: evidence from Nigeria","type":"article-journal","volume":"14"},"uris":["http://www.mendeley.com/documents/?uuid=6d172308-a705-4b01-a4a5-88f4fb747a19"]}],"mendeley":{"formattedCitation":"(Balana et al., 2022)","plainTextFormattedCitation":"(Balana et al., 2022)","previouslyFormattedCitation":"(Balana et al., 2022)"},"properties":{"noteIndex":0},"schema":"https://github.com/citation-style-language/schema/raw/master/csl-citation.json"}</w:instrText>
      </w:r>
      <w:r w:rsidR="001C393B">
        <w:rPr>
          <w:rFonts w:ascii="Arial" w:hAnsi="Arial" w:cs="Arial"/>
          <w:bCs/>
        </w:rPr>
        <w:fldChar w:fldCharType="separate"/>
      </w:r>
      <w:r w:rsidR="001C393B" w:rsidRPr="001C393B">
        <w:rPr>
          <w:rFonts w:ascii="Arial" w:hAnsi="Arial" w:cs="Arial"/>
          <w:bCs/>
          <w:noProof/>
        </w:rPr>
        <w:t>(Balana et al., 2022)</w:t>
      </w:r>
      <w:r w:rsidR="001C393B">
        <w:rPr>
          <w:rFonts w:ascii="Arial" w:hAnsi="Arial" w:cs="Arial"/>
          <w:bCs/>
        </w:rPr>
        <w:fldChar w:fldCharType="end"/>
      </w:r>
      <w:r w:rsidRPr="001C2D44">
        <w:rPr>
          <w:rFonts w:ascii="Arial" w:hAnsi="Arial" w:cs="Arial"/>
          <w:bCs/>
        </w:rPr>
        <w:t>. The 12.5% seeking demanded services and 13.5% interested in marketing prices indicate that while farmers are engaging with market dynamics, there remains an opportunity to better equip them with comprehensive information that integrates both production and marketing strategies. These insights underline the importance of utilizing social media as a platform for disseminating a broader range of agricultural information, which can ultimately contribute to improved productivity and economic resilience in the agricultural sector.</w:t>
      </w:r>
    </w:p>
    <w:p w14:paraId="4179F618" w14:textId="77777777" w:rsidR="001C393B" w:rsidRDefault="001C393B" w:rsidP="004A2AC8">
      <w:pPr>
        <w:spacing w:line="360" w:lineRule="auto"/>
        <w:rPr>
          <w:rFonts w:ascii="Arial" w:hAnsi="Arial" w:cs="Arial"/>
          <w:b/>
          <w:bCs/>
        </w:rPr>
      </w:pPr>
    </w:p>
    <w:p w14:paraId="7EE2D1C1" w14:textId="77777777" w:rsidR="001C393B" w:rsidRDefault="001C393B" w:rsidP="004A2AC8">
      <w:pPr>
        <w:spacing w:line="360" w:lineRule="auto"/>
        <w:rPr>
          <w:rFonts w:ascii="Arial" w:hAnsi="Arial" w:cs="Arial"/>
          <w:b/>
          <w:bCs/>
        </w:rPr>
      </w:pPr>
    </w:p>
    <w:p w14:paraId="5E95CD8D" w14:textId="77777777" w:rsidR="001C393B" w:rsidRDefault="001C393B" w:rsidP="004A2AC8">
      <w:pPr>
        <w:spacing w:line="360" w:lineRule="auto"/>
        <w:rPr>
          <w:rFonts w:ascii="Arial" w:hAnsi="Arial" w:cs="Arial"/>
          <w:b/>
          <w:bCs/>
        </w:rPr>
      </w:pPr>
    </w:p>
    <w:p w14:paraId="33FB7E8D" w14:textId="77777777" w:rsidR="001C393B" w:rsidRDefault="001C393B" w:rsidP="004A2AC8">
      <w:pPr>
        <w:spacing w:line="360" w:lineRule="auto"/>
        <w:rPr>
          <w:rFonts w:ascii="Arial" w:hAnsi="Arial" w:cs="Arial"/>
          <w:b/>
          <w:bCs/>
        </w:rPr>
      </w:pPr>
    </w:p>
    <w:p w14:paraId="5232C961" w14:textId="77777777" w:rsidR="001C393B" w:rsidRDefault="001C393B" w:rsidP="004A2AC8">
      <w:pPr>
        <w:spacing w:line="360" w:lineRule="auto"/>
        <w:rPr>
          <w:rFonts w:ascii="Arial" w:hAnsi="Arial" w:cs="Arial"/>
          <w:b/>
          <w:bCs/>
        </w:rPr>
      </w:pPr>
    </w:p>
    <w:p w14:paraId="01646622" w14:textId="77777777" w:rsidR="001C393B" w:rsidRDefault="001C393B" w:rsidP="004A2AC8">
      <w:pPr>
        <w:spacing w:line="360" w:lineRule="auto"/>
        <w:rPr>
          <w:rFonts w:ascii="Arial" w:hAnsi="Arial" w:cs="Arial"/>
          <w:b/>
          <w:bCs/>
        </w:rPr>
      </w:pPr>
    </w:p>
    <w:p w14:paraId="03AEDC4E" w14:textId="77777777" w:rsidR="004A2AC8" w:rsidRPr="00AF463B" w:rsidRDefault="00BE6FDF" w:rsidP="004A2AC8">
      <w:pPr>
        <w:spacing w:line="360" w:lineRule="auto"/>
        <w:rPr>
          <w:rFonts w:ascii="Arial" w:hAnsi="Arial" w:cs="Arial"/>
        </w:rPr>
      </w:pPr>
      <w:r>
        <w:rPr>
          <w:rFonts w:ascii="Arial" w:hAnsi="Arial" w:cs="Arial"/>
          <w:b/>
          <w:bCs/>
        </w:rPr>
        <w:lastRenderedPageBreak/>
        <w:t>Table 4: Agriculture information accessed</w:t>
      </w:r>
      <w:r w:rsidR="001C2D44">
        <w:rPr>
          <w:rFonts w:ascii="Arial" w:hAnsi="Arial" w:cs="Arial"/>
          <w:b/>
          <w:bCs/>
        </w:rPr>
        <w:t xml:space="preserve"> in the social media</w:t>
      </w:r>
    </w:p>
    <w:tbl>
      <w:tblPr>
        <w:tblW w:w="10058" w:type="dxa"/>
        <w:tblInd w:w="30" w:type="dxa"/>
        <w:tblBorders>
          <w:top w:val="single" w:sz="4" w:space="0" w:color="auto"/>
          <w:bottom w:val="single" w:sz="4" w:space="0" w:color="auto"/>
        </w:tblBorders>
        <w:tblLayout w:type="fixed"/>
        <w:tblCellMar>
          <w:left w:w="30" w:type="dxa"/>
          <w:right w:w="30" w:type="dxa"/>
        </w:tblCellMar>
        <w:tblLook w:val="0000" w:firstRow="0" w:lastRow="0" w:firstColumn="0" w:lastColumn="0" w:noHBand="0" w:noVBand="0"/>
      </w:tblPr>
      <w:tblGrid>
        <w:gridCol w:w="5316"/>
        <w:gridCol w:w="2531"/>
        <w:gridCol w:w="2211"/>
      </w:tblGrid>
      <w:tr w:rsidR="004A2AC8" w:rsidRPr="00AF463B" w14:paraId="73493182" w14:textId="77777777" w:rsidTr="00EE7520">
        <w:trPr>
          <w:cantSplit/>
          <w:tblHeader/>
        </w:trPr>
        <w:tc>
          <w:tcPr>
            <w:tcW w:w="2991" w:type="dxa"/>
            <w:tcBorders>
              <w:top w:val="single" w:sz="4" w:space="0" w:color="auto"/>
              <w:bottom w:val="single" w:sz="4" w:space="0" w:color="auto"/>
            </w:tcBorders>
            <w:shd w:val="clear" w:color="auto" w:fill="FFFFFF"/>
            <w:tcMar>
              <w:top w:w="30" w:type="dxa"/>
              <w:left w:w="30" w:type="dxa"/>
              <w:bottom w:w="30" w:type="dxa"/>
              <w:right w:w="30" w:type="dxa"/>
            </w:tcMar>
          </w:tcPr>
          <w:p w14:paraId="6646476B" w14:textId="77777777" w:rsidR="004A2AC8" w:rsidRPr="00AF463B" w:rsidRDefault="004A2AC8" w:rsidP="00EE7520">
            <w:pPr>
              <w:spacing w:line="360" w:lineRule="auto"/>
              <w:rPr>
                <w:rFonts w:ascii="Arial" w:hAnsi="Arial" w:cs="Arial"/>
              </w:rPr>
            </w:pPr>
          </w:p>
        </w:tc>
        <w:tc>
          <w:tcPr>
            <w:tcW w:w="1424" w:type="dxa"/>
            <w:tcBorders>
              <w:top w:val="single" w:sz="4" w:space="0" w:color="auto"/>
              <w:bottom w:val="single" w:sz="4" w:space="0" w:color="auto"/>
            </w:tcBorders>
            <w:shd w:val="clear" w:color="auto" w:fill="FFFFFF"/>
            <w:tcMar>
              <w:top w:w="30" w:type="dxa"/>
              <w:left w:w="30" w:type="dxa"/>
              <w:bottom w:w="30" w:type="dxa"/>
              <w:right w:w="30" w:type="dxa"/>
            </w:tcMar>
            <w:vAlign w:val="bottom"/>
          </w:tcPr>
          <w:p w14:paraId="312ECA38" w14:textId="77777777" w:rsidR="004A2AC8" w:rsidRPr="00AF463B" w:rsidRDefault="004A2AC8" w:rsidP="00EE7520">
            <w:pPr>
              <w:spacing w:line="360" w:lineRule="auto"/>
              <w:jc w:val="center"/>
              <w:rPr>
                <w:rFonts w:ascii="Arial" w:hAnsi="Arial" w:cs="Arial"/>
              </w:rPr>
            </w:pPr>
            <w:r w:rsidRPr="00AF463B">
              <w:rPr>
                <w:rFonts w:ascii="Arial" w:hAnsi="Arial" w:cs="Arial"/>
              </w:rPr>
              <w:t>Frequency</w:t>
            </w:r>
          </w:p>
        </w:tc>
        <w:tc>
          <w:tcPr>
            <w:tcW w:w="1244" w:type="dxa"/>
            <w:tcBorders>
              <w:top w:val="single" w:sz="4" w:space="0" w:color="auto"/>
              <w:bottom w:val="single" w:sz="4" w:space="0" w:color="auto"/>
            </w:tcBorders>
            <w:shd w:val="clear" w:color="auto" w:fill="FFFFFF"/>
            <w:tcMar>
              <w:top w:w="30" w:type="dxa"/>
              <w:left w:w="30" w:type="dxa"/>
              <w:bottom w:w="30" w:type="dxa"/>
              <w:right w:w="30" w:type="dxa"/>
            </w:tcMar>
            <w:vAlign w:val="bottom"/>
          </w:tcPr>
          <w:p w14:paraId="6B10819C" w14:textId="77777777" w:rsidR="004A2AC8" w:rsidRPr="00AF463B" w:rsidRDefault="004A2AC8" w:rsidP="00EE7520">
            <w:pPr>
              <w:spacing w:line="360" w:lineRule="auto"/>
              <w:jc w:val="center"/>
              <w:rPr>
                <w:rFonts w:ascii="Arial" w:hAnsi="Arial" w:cs="Arial"/>
              </w:rPr>
            </w:pPr>
            <w:r w:rsidRPr="00AF463B">
              <w:rPr>
                <w:rFonts w:ascii="Arial" w:hAnsi="Arial" w:cs="Arial"/>
              </w:rPr>
              <w:t>Percent</w:t>
            </w:r>
          </w:p>
        </w:tc>
      </w:tr>
      <w:tr w:rsidR="004A2AC8" w:rsidRPr="00AF463B" w14:paraId="12392CFD" w14:textId="77777777" w:rsidTr="00EE7520">
        <w:trPr>
          <w:cantSplit/>
          <w:tblHeader/>
        </w:trPr>
        <w:tc>
          <w:tcPr>
            <w:tcW w:w="2991" w:type="dxa"/>
            <w:tcBorders>
              <w:top w:val="single" w:sz="4" w:space="0" w:color="auto"/>
              <w:bottom w:val="nil"/>
            </w:tcBorders>
            <w:shd w:val="clear" w:color="auto" w:fill="FFFFFF"/>
            <w:tcMar>
              <w:top w:w="30" w:type="dxa"/>
              <w:left w:w="30" w:type="dxa"/>
              <w:bottom w:w="30" w:type="dxa"/>
              <w:right w:w="30" w:type="dxa"/>
            </w:tcMar>
          </w:tcPr>
          <w:p w14:paraId="59FD4189" w14:textId="77777777" w:rsidR="004A2AC8" w:rsidRPr="00AF463B" w:rsidRDefault="004A2AC8" w:rsidP="00EE7520">
            <w:pPr>
              <w:spacing w:line="360" w:lineRule="auto"/>
              <w:rPr>
                <w:rFonts w:ascii="Arial" w:hAnsi="Arial" w:cs="Arial"/>
              </w:rPr>
            </w:pPr>
          </w:p>
        </w:tc>
        <w:tc>
          <w:tcPr>
            <w:tcW w:w="1424" w:type="dxa"/>
            <w:tcBorders>
              <w:top w:val="single" w:sz="4" w:space="0" w:color="auto"/>
              <w:bottom w:val="nil"/>
            </w:tcBorders>
            <w:shd w:val="clear" w:color="auto" w:fill="FFFFFF"/>
            <w:tcMar>
              <w:top w:w="30" w:type="dxa"/>
              <w:left w:w="30" w:type="dxa"/>
              <w:bottom w:w="30" w:type="dxa"/>
              <w:right w:w="30" w:type="dxa"/>
            </w:tcMar>
            <w:vAlign w:val="center"/>
          </w:tcPr>
          <w:p w14:paraId="63C8019B" w14:textId="77777777" w:rsidR="004A2AC8" w:rsidRPr="00AF463B" w:rsidRDefault="004A2AC8" w:rsidP="00EE7520">
            <w:pPr>
              <w:spacing w:line="360" w:lineRule="auto"/>
              <w:jc w:val="center"/>
              <w:rPr>
                <w:rFonts w:ascii="Arial" w:hAnsi="Arial" w:cs="Arial"/>
              </w:rPr>
            </w:pPr>
          </w:p>
        </w:tc>
        <w:tc>
          <w:tcPr>
            <w:tcW w:w="1244" w:type="dxa"/>
            <w:tcBorders>
              <w:top w:val="single" w:sz="4" w:space="0" w:color="auto"/>
              <w:bottom w:val="nil"/>
            </w:tcBorders>
            <w:shd w:val="clear" w:color="auto" w:fill="FFFFFF"/>
            <w:tcMar>
              <w:top w:w="30" w:type="dxa"/>
              <w:left w:w="30" w:type="dxa"/>
              <w:bottom w:w="30" w:type="dxa"/>
              <w:right w:w="30" w:type="dxa"/>
            </w:tcMar>
            <w:vAlign w:val="center"/>
          </w:tcPr>
          <w:p w14:paraId="0AF2732D" w14:textId="77777777" w:rsidR="004A2AC8" w:rsidRPr="00AF463B" w:rsidRDefault="004A2AC8" w:rsidP="001C2D44">
            <w:pPr>
              <w:spacing w:line="360" w:lineRule="auto"/>
              <w:rPr>
                <w:rFonts w:ascii="Arial" w:hAnsi="Arial" w:cs="Arial"/>
              </w:rPr>
            </w:pPr>
          </w:p>
        </w:tc>
      </w:tr>
      <w:tr w:rsidR="004A2AC8" w:rsidRPr="00AF463B" w14:paraId="3B83ABA9" w14:textId="77777777" w:rsidTr="00EE7520">
        <w:trPr>
          <w:cantSplit/>
          <w:tblHeader/>
        </w:trPr>
        <w:tc>
          <w:tcPr>
            <w:tcW w:w="2991" w:type="dxa"/>
            <w:tcBorders>
              <w:top w:val="nil"/>
            </w:tcBorders>
            <w:shd w:val="clear" w:color="auto" w:fill="FFFFFF"/>
            <w:tcMar>
              <w:top w:w="30" w:type="dxa"/>
              <w:left w:w="30" w:type="dxa"/>
              <w:bottom w:w="30" w:type="dxa"/>
              <w:right w:w="30" w:type="dxa"/>
            </w:tcMar>
          </w:tcPr>
          <w:p w14:paraId="367F9CC2" w14:textId="77777777" w:rsidR="004A2AC8" w:rsidRPr="00AF463B" w:rsidRDefault="004A2AC8" w:rsidP="00EE7520">
            <w:pPr>
              <w:spacing w:line="360" w:lineRule="auto"/>
              <w:rPr>
                <w:rFonts w:ascii="Arial" w:hAnsi="Arial" w:cs="Arial"/>
              </w:rPr>
            </w:pPr>
            <w:r w:rsidRPr="00AF463B">
              <w:rPr>
                <w:rFonts w:ascii="Arial" w:hAnsi="Arial" w:cs="Arial"/>
              </w:rPr>
              <w:t>Demanded services</w:t>
            </w:r>
          </w:p>
        </w:tc>
        <w:tc>
          <w:tcPr>
            <w:tcW w:w="1424" w:type="dxa"/>
            <w:tcBorders>
              <w:top w:val="nil"/>
            </w:tcBorders>
            <w:shd w:val="clear" w:color="auto" w:fill="FFFFFF"/>
            <w:tcMar>
              <w:top w:w="30" w:type="dxa"/>
              <w:left w:w="30" w:type="dxa"/>
              <w:bottom w:w="30" w:type="dxa"/>
              <w:right w:w="30" w:type="dxa"/>
            </w:tcMar>
            <w:vAlign w:val="center"/>
          </w:tcPr>
          <w:p w14:paraId="58AD96D1" w14:textId="77777777" w:rsidR="004A2AC8" w:rsidRPr="00AF463B" w:rsidRDefault="004A2AC8" w:rsidP="00EE7520">
            <w:pPr>
              <w:spacing w:line="360" w:lineRule="auto"/>
              <w:jc w:val="center"/>
              <w:rPr>
                <w:rFonts w:ascii="Arial" w:hAnsi="Arial" w:cs="Arial"/>
              </w:rPr>
            </w:pPr>
            <w:r w:rsidRPr="00AF463B">
              <w:rPr>
                <w:rFonts w:ascii="Arial" w:hAnsi="Arial" w:cs="Arial"/>
              </w:rPr>
              <w:t>13</w:t>
            </w:r>
          </w:p>
        </w:tc>
        <w:tc>
          <w:tcPr>
            <w:tcW w:w="1244" w:type="dxa"/>
            <w:tcBorders>
              <w:top w:val="nil"/>
            </w:tcBorders>
            <w:shd w:val="clear" w:color="auto" w:fill="FFFFFF"/>
            <w:tcMar>
              <w:top w:w="30" w:type="dxa"/>
              <w:left w:w="30" w:type="dxa"/>
              <w:bottom w:w="30" w:type="dxa"/>
              <w:right w:w="30" w:type="dxa"/>
            </w:tcMar>
            <w:vAlign w:val="center"/>
          </w:tcPr>
          <w:p w14:paraId="167FAFB0" w14:textId="77777777" w:rsidR="004A2AC8" w:rsidRPr="00AF463B" w:rsidRDefault="004A2AC8" w:rsidP="00EE7520">
            <w:pPr>
              <w:spacing w:line="360" w:lineRule="auto"/>
              <w:jc w:val="center"/>
              <w:rPr>
                <w:rFonts w:ascii="Arial" w:hAnsi="Arial" w:cs="Arial"/>
              </w:rPr>
            </w:pPr>
            <w:r w:rsidRPr="00AF463B">
              <w:rPr>
                <w:rFonts w:ascii="Arial" w:hAnsi="Arial" w:cs="Arial"/>
              </w:rPr>
              <w:t>12.5</w:t>
            </w:r>
          </w:p>
        </w:tc>
      </w:tr>
      <w:tr w:rsidR="004A2AC8" w:rsidRPr="00AF463B" w14:paraId="70FEB510" w14:textId="77777777" w:rsidTr="00EE7520">
        <w:trPr>
          <w:cantSplit/>
          <w:tblHeader/>
        </w:trPr>
        <w:tc>
          <w:tcPr>
            <w:tcW w:w="2991" w:type="dxa"/>
            <w:shd w:val="clear" w:color="auto" w:fill="FFFFFF"/>
            <w:tcMar>
              <w:top w:w="30" w:type="dxa"/>
              <w:left w:w="30" w:type="dxa"/>
              <w:bottom w:w="30" w:type="dxa"/>
              <w:right w:w="30" w:type="dxa"/>
            </w:tcMar>
          </w:tcPr>
          <w:p w14:paraId="455D3920" w14:textId="77777777" w:rsidR="004A2AC8" w:rsidRPr="00AF463B" w:rsidRDefault="004A2AC8" w:rsidP="00EE7520">
            <w:pPr>
              <w:spacing w:line="360" w:lineRule="auto"/>
              <w:rPr>
                <w:rFonts w:ascii="Arial" w:hAnsi="Arial" w:cs="Arial"/>
              </w:rPr>
            </w:pPr>
            <w:r w:rsidRPr="00AF463B">
              <w:rPr>
                <w:rFonts w:ascii="Arial" w:hAnsi="Arial" w:cs="Arial"/>
              </w:rPr>
              <w:t>Information about quality seed</w:t>
            </w:r>
          </w:p>
        </w:tc>
        <w:tc>
          <w:tcPr>
            <w:tcW w:w="1424" w:type="dxa"/>
            <w:shd w:val="clear" w:color="auto" w:fill="FFFFFF"/>
            <w:tcMar>
              <w:top w:w="30" w:type="dxa"/>
              <w:left w:w="30" w:type="dxa"/>
              <w:bottom w:w="30" w:type="dxa"/>
              <w:right w:w="30" w:type="dxa"/>
            </w:tcMar>
            <w:vAlign w:val="center"/>
          </w:tcPr>
          <w:p w14:paraId="24656C73" w14:textId="77777777" w:rsidR="004A2AC8" w:rsidRPr="00AF463B" w:rsidRDefault="004A2AC8" w:rsidP="00EE7520">
            <w:pPr>
              <w:spacing w:line="360" w:lineRule="auto"/>
              <w:jc w:val="center"/>
              <w:rPr>
                <w:rFonts w:ascii="Arial" w:hAnsi="Arial" w:cs="Arial"/>
              </w:rPr>
            </w:pPr>
            <w:r w:rsidRPr="00AF463B">
              <w:rPr>
                <w:rFonts w:ascii="Arial" w:hAnsi="Arial" w:cs="Arial"/>
              </w:rPr>
              <w:t>43</w:t>
            </w:r>
          </w:p>
        </w:tc>
        <w:tc>
          <w:tcPr>
            <w:tcW w:w="1244" w:type="dxa"/>
            <w:shd w:val="clear" w:color="auto" w:fill="FFFFFF"/>
            <w:tcMar>
              <w:top w:w="30" w:type="dxa"/>
              <w:left w:w="30" w:type="dxa"/>
              <w:bottom w:w="30" w:type="dxa"/>
              <w:right w:w="30" w:type="dxa"/>
            </w:tcMar>
            <w:vAlign w:val="center"/>
          </w:tcPr>
          <w:p w14:paraId="61FE39DD" w14:textId="77777777" w:rsidR="004A2AC8" w:rsidRPr="00AF463B" w:rsidRDefault="004A2AC8" w:rsidP="00EE7520">
            <w:pPr>
              <w:spacing w:line="360" w:lineRule="auto"/>
              <w:jc w:val="center"/>
              <w:rPr>
                <w:rFonts w:ascii="Arial" w:hAnsi="Arial" w:cs="Arial"/>
              </w:rPr>
            </w:pPr>
            <w:r w:rsidRPr="00AF463B">
              <w:rPr>
                <w:rFonts w:ascii="Arial" w:hAnsi="Arial" w:cs="Arial"/>
              </w:rPr>
              <w:t>41.3</w:t>
            </w:r>
          </w:p>
        </w:tc>
      </w:tr>
      <w:tr w:rsidR="004A2AC8" w:rsidRPr="00AF463B" w14:paraId="4A8392CF" w14:textId="77777777" w:rsidTr="00EE7520">
        <w:trPr>
          <w:cantSplit/>
          <w:tblHeader/>
        </w:trPr>
        <w:tc>
          <w:tcPr>
            <w:tcW w:w="2991" w:type="dxa"/>
            <w:shd w:val="clear" w:color="auto" w:fill="FFFFFF"/>
            <w:tcMar>
              <w:top w:w="30" w:type="dxa"/>
              <w:left w:w="30" w:type="dxa"/>
              <w:bottom w:w="30" w:type="dxa"/>
              <w:right w:w="30" w:type="dxa"/>
            </w:tcMar>
          </w:tcPr>
          <w:p w14:paraId="76752896" w14:textId="77777777" w:rsidR="004A2AC8" w:rsidRPr="00AF463B" w:rsidRDefault="004A2AC8" w:rsidP="00EE7520">
            <w:pPr>
              <w:spacing w:line="360" w:lineRule="auto"/>
              <w:rPr>
                <w:rFonts w:ascii="Arial" w:hAnsi="Arial" w:cs="Arial"/>
              </w:rPr>
            </w:pPr>
            <w:r w:rsidRPr="00AF463B">
              <w:rPr>
                <w:rFonts w:ascii="Arial" w:hAnsi="Arial" w:cs="Arial"/>
              </w:rPr>
              <w:t>Information about production issues</w:t>
            </w:r>
          </w:p>
        </w:tc>
        <w:tc>
          <w:tcPr>
            <w:tcW w:w="1424" w:type="dxa"/>
            <w:shd w:val="clear" w:color="auto" w:fill="FFFFFF"/>
            <w:tcMar>
              <w:top w:w="30" w:type="dxa"/>
              <w:left w:w="30" w:type="dxa"/>
              <w:bottom w:w="30" w:type="dxa"/>
              <w:right w:w="30" w:type="dxa"/>
            </w:tcMar>
            <w:vAlign w:val="center"/>
          </w:tcPr>
          <w:p w14:paraId="07A2F36A" w14:textId="77777777" w:rsidR="004A2AC8" w:rsidRPr="00AF463B" w:rsidRDefault="004A2AC8" w:rsidP="00EE7520">
            <w:pPr>
              <w:spacing w:line="360" w:lineRule="auto"/>
              <w:jc w:val="center"/>
              <w:rPr>
                <w:rFonts w:ascii="Arial" w:hAnsi="Arial" w:cs="Arial"/>
              </w:rPr>
            </w:pPr>
            <w:r w:rsidRPr="00AF463B">
              <w:rPr>
                <w:rFonts w:ascii="Arial" w:hAnsi="Arial" w:cs="Arial"/>
              </w:rPr>
              <w:t>26</w:t>
            </w:r>
          </w:p>
        </w:tc>
        <w:tc>
          <w:tcPr>
            <w:tcW w:w="1244" w:type="dxa"/>
            <w:shd w:val="clear" w:color="auto" w:fill="FFFFFF"/>
            <w:tcMar>
              <w:top w:w="30" w:type="dxa"/>
              <w:left w:w="30" w:type="dxa"/>
              <w:bottom w:w="30" w:type="dxa"/>
              <w:right w:w="30" w:type="dxa"/>
            </w:tcMar>
            <w:vAlign w:val="center"/>
          </w:tcPr>
          <w:p w14:paraId="1160D2CC" w14:textId="77777777" w:rsidR="004A2AC8" w:rsidRPr="00AF463B" w:rsidRDefault="004A2AC8" w:rsidP="00EE7520">
            <w:pPr>
              <w:spacing w:line="360" w:lineRule="auto"/>
              <w:jc w:val="center"/>
              <w:rPr>
                <w:rFonts w:ascii="Arial" w:hAnsi="Arial" w:cs="Arial"/>
              </w:rPr>
            </w:pPr>
            <w:r w:rsidRPr="00AF463B">
              <w:rPr>
                <w:rFonts w:ascii="Arial" w:hAnsi="Arial" w:cs="Arial"/>
              </w:rPr>
              <w:t>25.0</w:t>
            </w:r>
          </w:p>
        </w:tc>
      </w:tr>
      <w:tr w:rsidR="004A2AC8" w:rsidRPr="00AF463B" w14:paraId="4F460F06" w14:textId="77777777" w:rsidTr="00EE7520">
        <w:trPr>
          <w:cantSplit/>
          <w:tblHeader/>
        </w:trPr>
        <w:tc>
          <w:tcPr>
            <w:tcW w:w="2991" w:type="dxa"/>
            <w:shd w:val="clear" w:color="auto" w:fill="FFFFFF"/>
            <w:tcMar>
              <w:top w:w="30" w:type="dxa"/>
              <w:left w:w="30" w:type="dxa"/>
              <w:bottom w:w="30" w:type="dxa"/>
              <w:right w:w="30" w:type="dxa"/>
            </w:tcMar>
          </w:tcPr>
          <w:p w14:paraId="34A3D99B" w14:textId="77777777" w:rsidR="004A2AC8" w:rsidRPr="00AF463B" w:rsidRDefault="004A2AC8" w:rsidP="00EE7520">
            <w:pPr>
              <w:spacing w:line="360" w:lineRule="auto"/>
              <w:rPr>
                <w:rFonts w:ascii="Arial" w:hAnsi="Arial" w:cs="Arial"/>
              </w:rPr>
            </w:pPr>
            <w:r w:rsidRPr="00AF463B">
              <w:rPr>
                <w:rFonts w:ascii="Arial" w:hAnsi="Arial" w:cs="Arial"/>
              </w:rPr>
              <w:t>information about value addition</w:t>
            </w:r>
          </w:p>
        </w:tc>
        <w:tc>
          <w:tcPr>
            <w:tcW w:w="1424" w:type="dxa"/>
            <w:shd w:val="clear" w:color="auto" w:fill="FFFFFF"/>
            <w:tcMar>
              <w:top w:w="30" w:type="dxa"/>
              <w:left w:w="30" w:type="dxa"/>
              <w:bottom w:w="30" w:type="dxa"/>
              <w:right w:w="30" w:type="dxa"/>
            </w:tcMar>
            <w:vAlign w:val="center"/>
          </w:tcPr>
          <w:p w14:paraId="0CDFD0F3" w14:textId="77777777" w:rsidR="004A2AC8" w:rsidRPr="00AF463B" w:rsidRDefault="004A2AC8" w:rsidP="00EE7520">
            <w:pPr>
              <w:spacing w:line="360" w:lineRule="auto"/>
              <w:jc w:val="center"/>
              <w:rPr>
                <w:rFonts w:ascii="Arial" w:hAnsi="Arial" w:cs="Arial"/>
              </w:rPr>
            </w:pPr>
            <w:r w:rsidRPr="00AF463B">
              <w:rPr>
                <w:rFonts w:ascii="Arial" w:hAnsi="Arial" w:cs="Arial"/>
              </w:rPr>
              <w:t>6</w:t>
            </w:r>
          </w:p>
        </w:tc>
        <w:tc>
          <w:tcPr>
            <w:tcW w:w="1244" w:type="dxa"/>
            <w:shd w:val="clear" w:color="auto" w:fill="FFFFFF"/>
            <w:tcMar>
              <w:top w:w="30" w:type="dxa"/>
              <w:left w:w="30" w:type="dxa"/>
              <w:bottom w:w="30" w:type="dxa"/>
              <w:right w:w="30" w:type="dxa"/>
            </w:tcMar>
            <w:vAlign w:val="center"/>
          </w:tcPr>
          <w:p w14:paraId="015FB241" w14:textId="77777777" w:rsidR="004A2AC8" w:rsidRPr="00AF463B" w:rsidRDefault="004A2AC8" w:rsidP="00EE7520">
            <w:pPr>
              <w:spacing w:line="360" w:lineRule="auto"/>
              <w:jc w:val="center"/>
              <w:rPr>
                <w:rFonts w:ascii="Arial" w:hAnsi="Arial" w:cs="Arial"/>
              </w:rPr>
            </w:pPr>
            <w:r w:rsidRPr="00AF463B">
              <w:rPr>
                <w:rFonts w:ascii="Arial" w:hAnsi="Arial" w:cs="Arial"/>
              </w:rPr>
              <w:t>5.8</w:t>
            </w:r>
          </w:p>
        </w:tc>
      </w:tr>
      <w:tr w:rsidR="004A2AC8" w:rsidRPr="00AF463B" w14:paraId="60C48456" w14:textId="77777777" w:rsidTr="00EE7520">
        <w:trPr>
          <w:cantSplit/>
          <w:tblHeader/>
        </w:trPr>
        <w:tc>
          <w:tcPr>
            <w:tcW w:w="2991" w:type="dxa"/>
            <w:shd w:val="clear" w:color="auto" w:fill="FFFFFF"/>
            <w:tcMar>
              <w:top w:w="30" w:type="dxa"/>
              <w:left w:w="30" w:type="dxa"/>
              <w:bottom w:w="30" w:type="dxa"/>
              <w:right w:w="30" w:type="dxa"/>
            </w:tcMar>
          </w:tcPr>
          <w:p w14:paraId="4DBB47D9" w14:textId="77777777" w:rsidR="004A2AC8" w:rsidRPr="00AF463B" w:rsidRDefault="004A2AC8" w:rsidP="00EE7520">
            <w:pPr>
              <w:spacing w:line="360" w:lineRule="auto"/>
              <w:rPr>
                <w:rFonts w:ascii="Arial" w:hAnsi="Arial" w:cs="Arial"/>
              </w:rPr>
            </w:pPr>
            <w:r w:rsidRPr="00AF463B">
              <w:rPr>
                <w:rFonts w:ascii="Arial" w:hAnsi="Arial" w:cs="Arial"/>
              </w:rPr>
              <w:t>Information about marketing- prices</w:t>
            </w:r>
          </w:p>
        </w:tc>
        <w:tc>
          <w:tcPr>
            <w:tcW w:w="1424" w:type="dxa"/>
            <w:shd w:val="clear" w:color="auto" w:fill="FFFFFF"/>
            <w:tcMar>
              <w:top w:w="30" w:type="dxa"/>
              <w:left w:w="30" w:type="dxa"/>
              <w:bottom w:w="30" w:type="dxa"/>
              <w:right w:w="30" w:type="dxa"/>
            </w:tcMar>
            <w:vAlign w:val="center"/>
          </w:tcPr>
          <w:p w14:paraId="24C04000" w14:textId="77777777" w:rsidR="004A2AC8" w:rsidRPr="00AF463B" w:rsidRDefault="004A2AC8" w:rsidP="00EE7520">
            <w:pPr>
              <w:spacing w:line="360" w:lineRule="auto"/>
              <w:jc w:val="center"/>
              <w:rPr>
                <w:rFonts w:ascii="Arial" w:hAnsi="Arial" w:cs="Arial"/>
              </w:rPr>
            </w:pPr>
            <w:r w:rsidRPr="00AF463B">
              <w:rPr>
                <w:rFonts w:ascii="Arial" w:hAnsi="Arial" w:cs="Arial"/>
              </w:rPr>
              <w:t>14</w:t>
            </w:r>
          </w:p>
        </w:tc>
        <w:tc>
          <w:tcPr>
            <w:tcW w:w="1244" w:type="dxa"/>
            <w:shd w:val="clear" w:color="auto" w:fill="FFFFFF"/>
            <w:tcMar>
              <w:top w:w="30" w:type="dxa"/>
              <w:left w:w="30" w:type="dxa"/>
              <w:bottom w:w="30" w:type="dxa"/>
              <w:right w:w="30" w:type="dxa"/>
            </w:tcMar>
            <w:vAlign w:val="center"/>
          </w:tcPr>
          <w:p w14:paraId="7E64169D" w14:textId="77777777" w:rsidR="004A2AC8" w:rsidRPr="00AF463B" w:rsidRDefault="004A2AC8" w:rsidP="00EE7520">
            <w:pPr>
              <w:spacing w:line="360" w:lineRule="auto"/>
              <w:jc w:val="center"/>
              <w:rPr>
                <w:rFonts w:ascii="Arial" w:hAnsi="Arial" w:cs="Arial"/>
              </w:rPr>
            </w:pPr>
            <w:r w:rsidRPr="00AF463B">
              <w:rPr>
                <w:rFonts w:ascii="Arial" w:hAnsi="Arial" w:cs="Arial"/>
              </w:rPr>
              <w:t>13.5</w:t>
            </w:r>
          </w:p>
        </w:tc>
      </w:tr>
      <w:tr w:rsidR="004A2AC8" w:rsidRPr="00AF463B" w14:paraId="64489803" w14:textId="77777777" w:rsidTr="00EE7520">
        <w:trPr>
          <w:cantSplit/>
        </w:trPr>
        <w:tc>
          <w:tcPr>
            <w:tcW w:w="2991" w:type="dxa"/>
            <w:tcBorders>
              <w:bottom w:val="single" w:sz="4" w:space="0" w:color="auto"/>
            </w:tcBorders>
            <w:shd w:val="clear" w:color="auto" w:fill="FFFFFF"/>
            <w:tcMar>
              <w:top w:w="30" w:type="dxa"/>
              <w:left w:w="30" w:type="dxa"/>
              <w:bottom w:w="30" w:type="dxa"/>
              <w:right w:w="30" w:type="dxa"/>
            </w:tcMar>
          </w:tcPr>
          <w:p w14:paraId="6E15C875" w14:textId="77777777" w:rsidR="004A2AC8" w:rsidRPr="00AF463B" w:rsidRDefault="004A2AC8" w:rsidP="00EE7520">
            <w:pPr>
              <w:spacing w:line="360" w:lineRule="auto"/>
              <w:rPr>
                <w:rFonts w:ascii="Arial" w:hAnsi="Arial" w:cs="Arial"/>
              </w:rPr>
            </w:pPr>
            <w:r w:rsidRPr="00AF463B">
              <w:rPr>
                <w:rFonts w:ascii="Arial" w:hAnsi="Arial" w:cs="Arial"/>
              </w:rPr>
              <w:t>Total</w:t>
            </w:r>
          </w:p>
        </w:tc>
        <w:tc>
          <w:tcPr>
            <w:tcW w:w="1424" w:type="dxa"/>
            <w:tcBorders>
              <w:bottom w:val="single" w:sz="4" w:space="0" w:color="auto"/>
            </w:tcBorders>
            <w:shd w:val="clear" w:color="auto" w:fill="FFFFFF"/>
            <w:tcMar>
              <w:top w:w="30" w:type="dxa"/>
              <w:left w:w="30" w:type="dxa"/>
              <w:bottom w:w="30" w:type="dxa"/>
              <w:right w:w="30" w:type="dxa"/>
            </w:tcMar>
            <w:vAlign w:val="center"/>
          </w:tcPr>
          <w:p w14:paraId="54B81BF3" w14:textId="77777777" w:rsidR="004A2AC8" w:rsidRPr="00AF463B" w:rsidRDefault="004A2AC8" w:rsidP="00EE7520">
            <w:pPr>
              <w:spacing w:line="360" w:lineRule="auto"/>
              <w:jc w:val="center"/>
              <w:rPr>
                <w:rFonts w:ascii="Arial" w:hAnsi="Arial" w:cs="Arial"/>
              </w:rPr>
            </w:pPr>
            <w:r w:rsidRPr="00AF463B">
              <w:rPr>
                <w:rFonts w:ascii="Arial" w:hAnsi="Arial" w:cs="Arial"/>
              </w:rPr>
              <w:t>104</w:t>
            </w:r>
          </w:p>
        </w:tc>
        <w:tc>
          <w:tcPr>
            <w:tcW w:w="1244" w:type="dxa"/>
            <w:tcBorders>
              <w:bottom w:val="single" w:sz="4" w:space="0" w:color="auto"/>
            </w:tcBorders>
            <w:shd w:val="clear" w:color="auto" w:fill="FFFFFF"/>
            <w:tcMar>
              <w:top w:w="30" w:type="dxa"/>
              <w:left w:w="30" w:type="dxa"/>
              <w:bottom w:w="30" w:type="dxa"/>
              <w:right w:w="30" w:type="dxa"/>
            </w:tcMar>
            <w:vAlign w:val="center"/>
          </w:tcPr>
          <w:p w14:paraId="36152566" w14:textId="77777777" w:rsidR="004A2AC8" w:rsidRPr="00AF463B" w:rsidRDefault="004A2AC8" w:rsidP="00EE7520">
            <w:pPr>
              <w:spacing w:line="360" w:lineRule="auto"/>
              <w:jc w:val="center"/>
              <w:rPr>
                <w:rFonts w:ascii="Arial" w:hAnsi="Arial" w:cs="Arial"/>
              </w:rPr>
            </w:pPr>
            <w:r w:rsidRPr="00AF463B">
              <w:rPr>
                <w:rFonts w:ascii="Arial" w:hAnsi="Arial" w:cs="Arial"/>
              </w:rPr>
              <w:t>100.0</w:t>
            </w:r>
          </w:p>
        </w:tc>
      </w:tr>
    </w:tbl>
    <w:p w14:paraId="4FFCA2C0" w14:textId="77777777" w:rsidR="004A2AC8" w:rsidRPr="00AF463B" w:rsidRDefault="004A2AC8" w:rsidP="004A2AC8">
      <w:pPr>
        <w:spacing w:line="360" w:lineRule="auto"/>
        <w:rPr>
          <w:rFonts w:ascii="Arial" w:hAnsi="Arial" w:cs="Arial"/>
        </w:rPr>
      </w:pPr>
    </w:p>
    <w:p w14:paraId="29FC7CAA" w14:textId="77777777" w:rsidR="00906161" w:rsidRPr="00906161" w:rsidRDefault="00906161" w:rsidP="004A2AC8">
      <w:pPr>
        <w:spacing w:line="360" w:lineRule="auto"/>
        <w:rPr>
          <w:rFonts w:ascii="Arial" w:hAnsi="Arial" w:cs="Arial"/>
        </w:rPr>
      </w:pPr>
      <w:r>
        <w:rPr>
          <w:rFonts w:ascii="Arial" w:hAnsi="Arial" w:cs="Arial"/>
          <w:b/>
          <w:bCs/>
        </w:rPr>
        <w:t>4.5 C</w:t>
      </w:r>
      <w:r w:rsidRPr="00AF463B">
        <w:rPr>
          <w:rFonts w:ascii="Arial" w:hAnsi="Arial" w:cs="Arial"/>
          <w:b/>
          <w:bCs/>
        </w:rPr>
        <w:t>halleng</w:t>
      </w:r>
      <w:r>
        <w:rPr>
          <w:rFonts w:ascii="Arial" w:hAnsi="Arial" w:cs="Arial"/>
          <w:b/>
          <w:bCs/>
        </w:rPr>
        <w:t xml:space="preserve">es </w:t>
      </w:r>
      <w:r w:rsidR="00E26931">
        <w:rPr>
          <w:rFonts w:ascii="Arial" w:hAnsi="Arial" w:cs="Arial"/>
          <w:b/>
          <w:bCs/>
        </w:rPr>
        <w:t>in</w:t>
      </w:r>
      <w:r>
        <w:rPr>
          <w:rFonts w:ascii="Arial" w:hAnsi="Arial" w:cs="Arial"/>
          <w:b/>
          <w:bCs/>
        </w:rPr>
        <w:t xml:space="preserve"> accessing agricultural information from social media</w:t>
      </w:r>
    </w:p>
    <w:p w14:paraId="56474239" w14:textId="77777777" w:rsidR="004A2AC8" w:rsidRDefault="00AF463B" w:rsidP="004A2AC8">
      <w:pPr>
        <w:spacing w:line="360" w:lineRule="auto"/>
        <w:rPr>
          <w:rFonts w:ascii="Arial" w:hAnsi="Arial" w:cs="Arial"/>
          <w:bCs/>
        </w:rPr>
      </w:pPr>
      <w:r w:rsidRPr="00AF463B">
        <w:rPr>
          <w:rFonts w:ascii="Arial" w:hAnsi="Arial" w:cs="Arial"/>
          <w:bCs/>
        </w:rPr>
        <w:t>The table highlights the challenges faced in obtaining information from social media, with the high cost of data packages and unstable networks being the most significant barriers, affecting 40.4% and 30.8% of respondents, respectively.</w:t>
      </w:r>
    </w:p>
    <w:p w14:paraId="06C474F4" w14:textId="77777777" w:rsidR="00CF145D" w:rsidRDefault="00CF145D" w:rsidP="00CF145D">
      <w:pPr>
        <w:spacing w:line="360" w:lineRule="auto"/>
        <w:jc w:val="both"/>
        <w:rPr>
          <w:rFonts w:ascii="Arial" w:hAnsi="Arial" w:cs="Arial"/>
          <w:bCs/>
        </w:rPr>
      </w:pPr>
      <w:r w:rsidRPr="00CF145D">
        <w:rPr>
          <w:rFonts w:ascii="Arial" w:hAnsi="Arial" w:cs="Arial"/>
          <w:bCs/>
        </w:rPr>
        <w:t xml:space="preserve">The data indicates that the high cost of mobile data packages and unstable networks are major barriers to accessing information on social media, </w:t>
      </w:r>
      <w:r w:rsidR="00906161">
        <w:rPr>
          <w:rFonts w:ascii="Arial" w:hAnsi="Arial" w:cs="Arial"/>
          <w:bCs/>
        </w:rPr>
        <w:t xml:space="preserve">as </w:t>
      </w:r>
      <w:r w:rsidRPr="00CF145D">
        <w:rPr>
          <w:rFonts w:ascii="Arial" w:hAnsi="Arial" w:cs="Arial"/>
          <w:bCs/>
        </w:rPr>
        <w:t>reported by 40.4% of respondents. These challenges are particularly significant in the context of agricultural production, where timely access to information on market prices, weather updates, and best practices can directly impact produc</w:t>
      </w:r>
      <w:r w:rsidR="008C41EC">
        <w:rPr>
          <w:rFonts w:ascii="Arial" w:hAnsi="Arial" w:cs="Arial"/>
          <w:bCs/>
        </w:rPr>
        <w:t xml:space="preserve">tivity and sustainability </w:t>
      </w:r>
      <w:r w:rsidR="008C41EC">
        <w:rPr>
          <w:rFonts w:ascii="Arial" w:hAnsi="Arial" w:cs="Arial"/>
          <w:bCs/>
        </w:rPr>
        <w:fldChar w:fldCharType="begin" w:fldLock="1"/>
      </w:r>
      <w:r w:rsidR="008F79D3">
        <w:rPr>
          <w:rFonts w:ascii="Arial" w:hAnsi="Arial" w:cs="Arial"/>
          <w:bCs/>
        </w:rPr>
        <w:instrText>ADDIN CSL_CITATION {"citationItems":[{"id":"ITEM-1","itemData":{"DOI":"10.3390/su12020485","ISBN":"4475352819","ISSN":"20711050","abstract":"The provision of information through mobile phone-enabled agricultural information services (m-Agri services) has the potential to revolutionise agriculture and significantly improve smallholder farmers' livelihoods in Africa. Globally, the benefits of m-Agri services include facilitating farmers' access to financial services and sourcing agricultural information about input use, practices, and market prices. There are very few published literature sources that focus on the potential benefits of m-Agri services in Africa and none of which explore their sustainability. This study, therefore, explores the evolution, provision, and sustainability of these m-Agri services in Africa. An overview of the current landscape of m-Agri services in Africa is provided and this illustrates how varied these services are in design, content, and quality. Key findings from the exploratory literature review reveal that services are highly likely to fail to achieve their intended purpose or be abandoned when implementers ignore the literacy, skills, culture, and demands of the target users. This study recommends that, to enhance the sustainability of m-Agri services, the implementers need to design the services with the users involved, carefully analyse, and understand the target environment, and design for scale and a long-term purpose. While privacy and security of users need to be ensured, the reuse or improvement of existing initiatives should be explored, and projects need to be data-driven and maintained as open source. Thus, the study concludes that policymakers can support the long-term benefit of m-Agri services by ensuring favourable policies for both users and implementers.","author":[{"dropping-particle":"","family":"Emeana","given":"Ezinne M.","non-dropping-particle":"","parse-names":false,"suffix":""},{"dropping-particle":"","family":"Trenchard","given":"Liz","non-dropping-particle":"","parse-names":false,"suffix":""},{"dropping-particle":"","family":"Dehnen-Schmutz","given":"Katharina","non-dropping-particle":"","parse-names":false,"suffix":""}],"container-title":"Sustainability (Switzerland)","id":"ITEM-1","issue":"2","issued":{"date-parts":[["2020"]]},"title":"The revolution of mobile phone-enabled services for agricultural development (m-Agri services) in Africa: The challenges for sustainability","type":"article-journal","volume":"12"},"uris":["http://www.mendeley.com/documents/?uuid=b7daca88-d75b-4ad6-a53c-e5f2d8d62706"]}],"mendeley":{"formattedCitation":"(Emeana et al., 2020)","plainTextFormattedCitation":"(Emeana et al., 2020)","previouslyFormattedCitation":"(Emeana et al., 2020)"},"properties":{"noteIndex":0},"schema":"https://github.com/citation-style-language/schema/raw/master/csl-citation.json"}</w:instrText>
      </w:r>
      <w:r w:rsidR="008C41EC">
        <w:rPr>
          <w:rFonts w:ascii="Arial" w:hAnsi="Arial" w:cs="Arial"/>
          <w:bCs/>
        </w:rPr>
        <w:fldChar w:fldCharType="separate"/>
      </w:r>
      <w:r w:rsidR="008C41EC" w:rsidRPr="008C41EC">
        <w:rPr>
          <w:rFonts w:ascii="Arial" w:hAnsi="Arial" w:cs="Arial"/>
          <w:bCs/>
          <w:noProof/>
        </w:rPr>
        <w:t>(Emeana et al., 2020)</w:t>
      </w:r>
      <w:r w:rsidR="008C41EC">
        <w:rPr>
          <w:rFonts w:ascii="Arial" w:hAnsi="Arial" w:cs="Arial"/>
          <w:bCs/>
        </w:rPr>
        <w:fldChar w:fldCharType="end"/>
      </w:r>
      <w:r w:rsidRPr="00CF145D">
        <w:rPr>
          <w:rFonts w:ascii="Arial" w:hAnsi="Arial" w:cs="Arial"/>
          <w:bCs/>
        </w:rPr>
        <w:t>. The language barrier, affecting 30.8% of users, further complicates access to vital agricultural resources, as much of the relevant content may not be available in local languages, limiting farmers' ability to implement modern te</w:t>
      </w:r>
      <w:r w:rsidR="00AA78A4">
        <w:rPr>
          <w:rFonts w:ascii="Arial" w:hAnsi="Arial" w:cs="Arial"/>
          <w:bCs/>
        </w:rPr>
        <w:t xml:space="preserve">chniques and strategies </w:t>
      </w:r>
      <w:r w:rsidR="00AA78A4">
        <w:rPr>
          <w:rFonts w:ascii="Arial" w:hAnsi="Arial" w:cs="Arial"/>
          <w:bCs/>
        </w:rPr>
        <w:fldChar w:fldCharType="begin" w:fldLock="1"/>
      </w:r>
      <w:r w:rsidR="00AA78A4">
        <w:rPr>
          <w:rFonts w:ascii="Arial" w:hAnsi="Arial" w:cs="Arial"/>
          <w:bCs/>
        </w:rPr>
        <w:instrText>ADDIN CSL_CITATION {"citationItems":[{"id":"ITEM-1","itemData":{"DOI":"10.4314/udslj.v17i2.5","ISSN":"0856-1818","abstract":"This paper assesses how access to and use of agricultural information contributes to adaptation by smallholder farmers to climate change in Iringa Rural District, Tanzania. Specific objectives of this study were to examine types and sources of agricultural information, to explore the use of agricultural information in climate change adaptation, and to delineate factors affecting farmers’ access to and use of agricultural information for climate change adaptation. The study used a mixed research approach and a sample of 87 heads of household was studied. In-depth interviews, focus group discussions, household survey and field observation were used to collect data. SPSS software was used to analyse quantitative data while content analysis was used to analyse qualitative data. The study has revealed that mass media is the most source of agricultural information used by smallholder farmers, followed by person-to-person interactions between farmers. These sources provide agricultural information that covers proper farming practices, the use of affordable farm implements, soil conservation methods, and use of improved seed varieties. Furthermore, the findings have revealed that a language barrier, unfavourably scheduled radio and television programmes, and insufficient budget to agricultural extension officers are factors affecting farmers’ use of agricultural information. Therefore, smallholder farmers’ ability to respond to climate change is largely dependent on access to and use of agricultural information. Consequent to the findings, it is recommended that collective efforts between the government and other stakeholders to ensure smallholder farmers’ access to and use of agricultural information for climate change adaptation should be strengthened.","author":[{"dropping-particle":"","family":"Sawe","given":"Jackson R.","non-dropping-particle":"","parse-names":false,"suffix":""}],"container-title":"University of Dar es Salaam Library Journal","id":"ITEM-1","issue":"2","issued":{"date-parts":[["2023"]]},"page":"54-71","title":"Access to and Use of Agricultural Information for Smallholder Farmers’ Adaptation to Climate Change in Iringa Rural District, Tanzania","type":"article-journal","volume":"17"},"uris":["http://www.mendeley.com/documents/?uuid=dee85d19-38c9-4d37-a5dd-1766108fc552"]}],"mendeley":{"formattedCitation":"(Sawe, 2023)","plainTextFormattedCitation":"(Sawe, 2023)","previouslyFormattedCitation":"(Sawe, 2023)"},"properties":{"noteIndex":0},"schema":"https://github.com/citation-style-language/schema/raw/master/csl-citation.json"}</w:instrText>
      </w:r>
      <w:r w:rsidR="00AA78A4">
        <w:rPr>
          <w:rFonts w:ascii="Arial" w:hAnsi="Arial" w:cs="Arial"/>
          <w:bCs/>
        </w:rPr>
        <w:fldChar w:fldCharType="separate"/>
      </w:r>
      <w:r w:rsidR="00AA78A4" w:rsidRPr="00AA78A4">
        <w:rPr>
          <w:rFonts w:ascii="Arial" w:hAnsi="Arial" w:cs="Arial"/>
          <w:bCs/>
          <w:noProof/>
        </w:rPr>
        <w:t>(Sawe, 2023)</w:t>
      </w:r>
      <w:r w:rsidR="00AA78A4">
        <w:rPr>
          <w:rFonts w:ascii="Arial" w:hAnsi="Arial" w:cs="Arial"/>
          <w:bCs/>
        </w:rPr>
        <w:fldChar w:fldCharType="end"/>
      </w:r>
      <w:r w:rsidRPr="00CF145D">
        <w:rPr>
          <w:rFonts w:ascii="Arial" w:hAnsi="Arial" w:cs="Arial"/>
          <w:bCs/>
        </w:rPr>
        <w:t xml:space="preserve">. Additionally, the 21.2% of respondents experiencing poor network conditions underscores how infrastructural deficiencies can hinder the dissemination of critical agricultural information, which is essential during planting and harvesting seasons </w:t>
      </w:r>
      <w:r w:rsidR="00AA78A4">
        <w:rPr>
          <w:rFonts w:ascii="Arial" w:hAnsi="Arial" w:cs="Arial"/>
          <w:bCs/>
        </w:rPr>
        <w:fldChar w:fldCharType="begin" w:fldLock="1"/>
      </w:r>
      <w:r w:rsidR="00AA78A4">
        <w:rPr>
          <w:rFonts w:ascii="Arial" w:hAnsi="Arial" w:cs="Arial"/>
          <w:bCs/>
        </w:rPr>
        <w:instrText>ADDIN CSL_CITATION {"citationItems":[{"id":"ITEM-1","itemData":{"DOI":"10.1108/LR-01-2013-0009","ISBN":"0120130009","ISSN":"00242535","abstract":"Purpose: This study aims to determine information needs and sources of the rural farmers in Tanzania specifically from Iringa rural district. Design/methodology/approach: Survey technique was used as the principal data collection technique where 120 rural farmers were interviewed. In-depth interviews of ten key informants from two villages of Ifunda and Kalenga complemented the survey. Findings: 70 per cent of farmers' information needs is about crop and livestock husbandry, marketing, funding options and value addition. However, there is a significant difference between the two wards in information needs for \"information on crop and livestock husbandry\" as well as information on \"value addition\". To a great extent, farmers use the old means of communication, the traditional and interpersonal by default due to relevancy in the context and content. The modern means of communication are used to access non-agricultural (other) information. Research limitations/implications: Designing effective extension and dissemination programs should consider the needs and mechanisms desired and preferred by specific group of farmers. Practical implications: There is heterogeneity within farming communities in terms of information needs which requires a consideration by intervention programs. Originality/value: The study identifies information needs and sources of rural farmers. It points out that needs of the farmers are not static and they change over time. Though farmers largely use old means, the modern communications means have the potential of being better sources should the information producers upload relevant and context-specific information. © Emerald Group Publishing Limited.","author":[{"dropping-particle":"","family":"Elly","given":"Tumsifu","non-dropping-particle":"","parse-names":false,"suffix":""},{"dropping-particle":"","family":"Silayo","given":"Ephraem Epafra","non-dropping-particle":"","parse-names":false,"suffix":""}],"container-title":"Library Review","id":"ITEM-1","issue":"8","issued":{"date-parts":[["2013"]]},"page":"547-566","title":"Agricultural information needs and sources of the rural farmers in Tanzania: A case of Iringa rural district","type":"article-journal","volume":"62"},"uris":["http://www.mendeley.com/documents/?uuid=6bf2da71-b372-4634-8649-10969f04ff56"]}],"mendeley":{"formattedCitation":"(Elly &amp; Silayo, 2013)","plainTextFormattedCitation":"(Elly &amp; Silayo, 2013)","previouslyFormattedCitation":"(Elly &amp; Silayo, 2013)"},"properties":{"noteIndex":0},"schema":"https://github.com/citation-style-language/schema/raw/master/csl-citation.json"}</w:instrText>
      </w:r>
      <w:r w:rsidR="00AA78A4">
        <w:rPr>
          <w:rFonts w:ascii="Arial" w:hAnsi="Arial" w:cs="Arial"/>
          <w:bCs/>
        </w:rPr>
        <w:fldChar w:fldCharType="separate"/>
      </w:r>
      <w:r w:rsidR="00AA78A4" w:rsidRPr="00AA78A4">
        <w:rPr>
          <w:rFonts w:ascii="Arial" w:hAnsi="Arial" w:cs="Arial"/>
          <w:bCs/>
          <w:noProof/>
        </w:rPr>
        <w:t>(Elly &amp; Silayo, 2013)</w:t>
      </w:r>
      <w:r w:rsidR="00AA78A4">
        <w:rPr>
          <w:rFonts w:ascii="Arial" w:hAnsi="Arial" w:cs="Arial"/>
          <w:bCs/>
        </w:rPr>
        <w:fldChar w:fldCharType="end"/>
      </w:r>
      <w:r w:rsidRPr="00CF145D">
        <w:rPr>
          <w:rFonts w:ascii="Arial" w:hAnsi="Arial" w:cs="Arial"/>
          <w:bCs/>
        </w:rPr>
        <w:t>. Lastly, the 7.7% facing power cuts highlights the systemic issues related to energy access, which can disrupt farmers’ ability to utilize digital platforms for information. Together, these findings emphasize the need for targeted interventions that improve digital access and literacy among farmers, thereby enhancing agricultural productivity and resilience.</w:t>
      </w:r>
    </w:p>
    <w:p w14:paraId="39C76BDD" w14:textId="77777777" w:rsidR="00C83815" w:rsidRDefault="00D27067" w:rsidP="00C83815">
      <w:pPr>
        <w:spacing w:line="360" w:lineRule="auto"/>
        <w:jc w:val="both"/>
        <w:rPr>
          <w:rFonts w:ascii="Arial" w:hAnsi="Arial" w:cs="Arial"/>
          <w:bCs/>
          <w:i/>
        </w:rPr>
      </w:pPr>
      <w:r w:rsidRPr="00D27067">
        <w:rPr>
          <w:rFonts w:ascii="Arial" w:hAnsi="Arial" w:cs="Arial"/>
          <w:bCs/>
          <w:i/>
        </w:rPr>
        <w:lastRenderedPageBreak/>
        <w:t>During the focus group discussions (FGDs), youth farmers identified several significant challenges in accessing agricultural information from social media. Barriers such as the high cost of mobile data packages or unstable netwo</w:t>
      </w:r>
      <w:r w:rsidR="00C83815">
        <w:rPr>
          <w:rFonts w:ascii="Arial" w:hAnsi="Arial" w:cs="Arial"/>
          <w:bCs/>
          <w:i/>
        </w:rPr>
        <w:t>rks</w:t>
      </w:r>
      <w:r w:rsidRPr="00D27067">
        <w:rPr>
          <w:rFonts w:ascii="Arial" w:hAnsi="Arial" w:cs="Arial"/>
          <w:bCs/>
          <w:i/>
        </w:rPr>
        <w:t xml:space="preserve">, poor network coverage, and </w:t>
      </w:r>
      <w:r w:rsidR="00CB452F">
        <w:rPr>
          <w:rFonts w:ascii="Arial" w:hAnsi="Arial" w:cs="Arial"/>
          <w:bCs/>
          <w:i/>
        </w:rPr>
        <w:t xml:space="preserve">frequent </w:t>
      </w:r>
      <w:r w:rsidRPr="00D27067">
        <w:rPr>
          <w:rFonts w:ascii="Arial" w:hAnsi="Arial" w:cs="Arial"/>
          <w:bCs/>
          <w:i/>
        </w:rPr>
        <w:t>power cuts further complicate their access to vital information</w:t>
      </w:r>
      <w:r>
        <w:rPr>
          <w:rFonts w:ascii="Arial" w:hAnsi="Arial" w:cs="Arial"/>
          <w:bCs/>
          <w:i/>
        </w:rPr>
        <w:t xml:space="preserve"> (FGDs, March 9 &amp; 11</w:t>
      </w:r>
      <w:r w:rsidRPr="00D27067">
        <w:rPr>
          <w:rFonts w:ascii="Arial" w:hAnsi="Arial" w:cs="Arial"/>
          <w:bCs/>
          <w:i/>
        </w:rPr>
        <w:t>, 2023). Participants emphasized the need for guidance and support to navigate and interpret this content effectively. One youth farmer noted, "</w:t>
      </w:r>
      <w:r w:rsidR="00355CAF" w:rsidRPr="00355CAF">
        <w:rPr>
          <w:rFonts w:ascii="Arial" w:hAnsi="Arial" w:cs="Arial"/>
          <w:bCs/>
          <w:i/>
        </w:rPr>
        <w:t>Currently, mobile data packages are relatively expensive and tend to expire quickly. Additionally, due to network instability, users often find that their data bundles may expire without being fully utilized.</w:t>
      </w:r>
      <w:r w:rsidRPr="00D27067">
        <w:rPr>
          <w:rFonts w:ascii="Arial" w:hAnsi="Arial" w:cs="Arial"/>
          <w:bCs/>
          <w:i/>
        </w:rPr>
        <w:t>" (FGD of yout</w:t>
      </w:r>
      <w:r w:rsidR="00355CAF">
        <w:rPr>
          <w:rFonts w:ascii="Arial" w:hAnsi="Arial" w:cs="Arial"/>
          <w:bCs/>
          <w:i/>
        </w:rPr>
        <w:t>h males, Katera village, March 9</w:t>
      </w:r>
      <w:r w:rsidRPr="00D27067">
        <w:rPr>
          <w:rFonts w:ascii="Arial" w:hAnsi="Arial" w:cs="Arial"/>
          <w:bCs/>
          <w:i/>
        </w:rPr>
        <w:t xml:space="preserve">). </w:t>
      </w:r>
    </w:p>
    <w:p w14:paraId="3281D21B" w14:textId="77777777" w:rsidR="004A2AC8" w:rsidRPr="00AF463B" w:rsidRDefault="00BD378D" w:rsidP="00C83815">
      <w:pPr>
        <w:spacing w:line="360" w:lineRule="auto"/>
        <w:jc w:val="both"/>
        <w:rPr>
          <w:rFonts w:ascii="Arial" w:hAnsi="Arial" w:cs="Arial"/>
        </w:rPr>
      </w:pPr>
      <w:r>
        <w:rPr>
          <w:rFonts w:ascii="Arial" w:hAnsi="Arial" w:cs="Arial"/>
          <w:b/>
          <w:bCs/>
        </w:rPr>
        <w:t xml:space="preserve">Table 5. </w:t>
      </w:r>
      <w:r w:rsidR="00EF233C" w:rsidRPr="00AF463B">
        <w:rPr>
          <w:rFonts w:ascii="Arial" w:hAnsi="Arial" w:cs="Arial"/>
          <w:b/>
          <w:bCs/>
        </w:rPr>
        <w:t>Challenges</w:t>
      </w:r>
      <w:r w:rsidR="004A2AC8" w:rsidRPr="00AF463B">
        <w:rPr>
          <w:rFonts w:ascii="Arial" w:hAnsi="Arial" w:cs="Arial"/>
          <w:b/>
          <w:bCs/>
        </w:rPr>
        <w:t xml:space="preserve"> encounter</w:t>
      </w:r>
      <w:r>
        <w:rPr>
          <w:rFonts w:ascii="Arial" w:hAnsi="Arial" w:cs="Arial"/>
          <w:b/>
          <w:bCs/>
        </w:rPr>
        <w:t>ed</w:t>
      </w:r>
      <w:r w:rsidR="004A2AC8" w:rsidRPr="00AF463B">
        <w:rPr>
          <w:rFonts w:ascii="Arial" w:hAnsi="Arial" w:cs="Arial"/>
          <w:b/>
          <w:bCs/>
        </w:rPr>
        <w:t xml:space="preserve"> when trying to obtai</w:t>
      </w:r>
      <w:r w:rsidR="00EF233C">
        <w:rPr>
          <w:rFonts w:ascii="Arial" w:hAnsi="Arial" w:cs="Arial"/>
          <w:b/>
          <w:bCs/>
        </w:rPr>
        <w:t>n information from social media</w:t>
      </w:r>
    </w:p>
    <w:tbl>
      <w:tblPr>
        <w:tblW w:w="5000" w:type="pct"/>
        <w:tblBorders>
          <w:top w:val="single" w:sz="4" w:space="0" w:color="auto"/>
          <w:bottom w:val="single" w:sz="4" w:space="0" w:color="auto"/>
        </w:tblBorders>
        <w:tblCellMar>
          <w:left w:w="30" w:type="dxa"/>
          <w:right w:w="30" w:type="dxa"/>
        </w:tblCellMar>
        <w:tblLook w:val="0000" w:firstRow="0" w:lastRow="0" w:firstColumn="0" w:lastColumn="0" w:noHBand="0" w:noVBand="0"/>
      </w:tblPr>
      <w:tblGrid>
        <w:gridCol w:w="6803"/>
        <w:gridCol w:w="1187"/>
        <w:gridCol w:w="1370"/>
      </w:tblGrid>
      <w:tr w:rsidR="004A2AC8" w:rsidRPr="00AF463B" w14:paraId="51CA7219" w14:textId="77777777" w:rsidTr="00EE7520">
        <w:trPr>
          <w:cantSplit/>
          <w:tblHeader/>
        </w:trPr>
        <w:tc>
          <w:tcPr>
            <w:tcW w:w="3634" w:type="pct"/>
            <w:tcBorders>
              <w:top w:val="single" w:sz="4" w:space="0" w:color="auto"/>
              <w:bottom w:val="single" w:sz="4" w:space="0" w:color="auto"/>
            </w:tcBorders>
            <w:shd w:val="clear" w:color="auto" w:fill="FFFFFF"/>
            <w:tcMar>
              <w:top w:w="30" w:type="dxa"/>
              <w:left w:w="30" w:type="dxa"/>
              <w:bottom w:w="30" w:type="dxa"/>
              <w:right w:w="30" w:type="dxa"/>
            </w:tcMar>
          </w:tcPr>
          <w:p w14:paraId="396620F6" w14:textId="77777777" w:rsidR="004A2AC8" w:rsidRPr="00AF463B" w:rsidRDefault="004A2AC8" w:rsidP="00EE7520">
            <w:pPr>
              <w:spacing w:line="360" w:lineRule="auto"/>
              <w:rPr>
                <w:rFonts w:ascii="Arial" w:hAnsi="Arial" w:cs="Arial"/>
              </w:rPr>
            </w:pPr>
          </w:p>
        </w:tc>
        <w:tc>
          <w:tcPr>
            <w:tcW w:w="634" w:type="pct"/>
            <w:tcBorders>
              <w:top w:val="single" w:sz="4" w:space="0" w:color="auto"/>
              <w:bottom w:val="single" w:sz="4" w:space="0" w:color="auto"/>
            </w:tcBorders>
            <w:shd w:val="clear" w:color="auto" w:fill="FFFFFF"/>
            <w:tcMar>
              <w:top w:w="30" w:type="dxa"/>
              <w:left w:w="30" w:type="dxa"/>
              <w:bottom w:w="30" w:type="dxa"/>
              <w:right w:w="30" w:type="dxa"/>
            </w:tcMar>
            <w:vAlign w:val="bottom"/>
          </w:tcPr>
          <w:p w14:paraId="1E0B5E54" w14:textId="77777777" w:rsidR="004A2AC8" w:rsidRPr="00AF463B" w:rsidRDefault="004A2AC8" w:rsidP="00EE7520">
            <w:pPr>
              <w:spacing w:line="360" w:lineRule="auto"/>
              <w:jc w:val="center"/>
              <w:rPr>
                <w:rFonts w:ascii="Arial" w:hAnsi="Arial" w:cs="Arial"/>
              </w:rPr>
            </w:pPr>
            <w:r w:rsidRPr="00AF463B">
              <w:rPr>
                <w:rFonts w:ascii="Arial" w:hAnsi="Arial" w:cs="Arial"/>
              </w:rPr>
              <w:t>Frequency</w:t>
            </w:r>
          </w:p>
        </w:tc>
        <w:tc>
          <w:tcPr>
            <w:tcW w:w="732" w:type="pct"/>
            <w:tcBorders>
              <w:top w:val="single" w:sz="4" w:space="0" w:color="auto"/>
              <w:bottom w:val="single" w:sz="4" w:space="0" w:color="auto"/>
            </w:tcBorders>
            <w:shd w:val="clear" w:color="auto" w:fill="FFFFFF"/>
            <w:tcMar>
              <w:top w:w="30" w:type="dxa"/>
              <w:left w:w="30" w:type="dxa"/>
              <w:bottom w:w="30" w:type="dxa"/>
              <w:right w:w="30" w:type="dxa"/>
            </w:tcMar>
            <w:vAlign w:val="bottom"/>
          </w:tcPr>
          <w:p w14:paraId="352E71A4" w14:textId="77777777" w:rsidR="004A2AC8" w:rsidRPr="00AF463B" w:rsidRDefault="004A2AC8" w:rsidP="00EE7520">
            <w:pPr>
              <w:spacing w:line="360" w:lineRule="auto"/>
              <w:jc w:val="center"/>
              <w:rPr>
                <w:rFonts w:ascii="Arial" w:hAnsi="Arial" w:cs="Arial"/>
              </w:rPr>
            </w:pPr>
            <w:r w:rsidRPr="00AF463B">
              <w:rPr>
                <w:rFonts w:ascii="Arial" w:hAnsi="Arial" w:cs="Arial"/>
              </w:rPr>
              <w:t>Percent</w:t>
            </w:r>
          </w:p>
        </w:tc>
      </w:tr>
      <w:tr w:rsidR="004A2AC8" w:rsidRPr="00AF463B" w14:paraId="0905EB19" w14:textId="77777777" w:rsidTr="00EE7520">
        <w:trPr>
          <w:cantSplit/>
          <w:tblHeader/>
        </w:trPr>
        <w:tc>
          <w:tcPr>
            <w:tcW w:w="3634" w:type="pct"/>
            <w:tcBorders>
              <w:top w:val="single" w:sz="4" w:space="0" w:color="auto"/>
              <w:bottom w:val="nil"/>
            </w:tcBorders>
            <w:shd w:val="clear" w:color="auto" w:fill="FFFFFF"/>
            <w:tcMar>
              <w:top w:w="30" w:type="dxa"/>
              <w:left w:w="30" w:type="dxa"/>
              <w:bottom w:w="30" w:type="dxa"/>
              <w:right w:w="30" w:type="dxa"/>
            </w:tcMar>
          </w:tcPr>
          <w:p w14:paraId="5E881AE6" w14:textId="77777777" w:rsidR="004A2AC8" w:rsidRPr="00AF463B" w:rsidRDefault="004A2AC8" w:rsidP="00EE7520">
            <w:pPr>
              <w:spacing w:line="360" w:lineRule="auto"/>
              <w:rPr>
                <w:rFonts w:ascii="Arial" w:hAnsi="Arial" w:cs="Arial"/>
              </w:rPr>
            </w:pPr>
            <w:r w:rsidRPr="00AF463B">
              <w:rPr>
                <w:rFonts w:ascii="Arial" w:hAnsi="Arial" w:cs="Arial"/>
              </w:rPr>
              <w:t>High cost of MB packages or unstable network</w:t>
            </w:r>
          </w:p>
        </w:tc>
        <w:tc>
          <w:tcPr>
            <w:tcW w:w="634" w:type="pct"/>
            <w:tcBorders>
              <w:top w:val="single" w:sz="4" w:space="0" w:color="auto"/>
              <w:bottom w:val="nil"/>
            </w:tcBorders>
            <w:shd w:val="clear" w:color="auto" w:fill="FFFFFF"/>
            <w:tcMar>
              <w:top w:w="30" w:type="dxa"/>
              <w:left w:w="30" w:type="dxa"/>
              <w:bottom w:w="30" w:type="dxa"/>
              <w:right w:w="30" w:type="dxa"/>
            </w:tcMar>
            <w:vAlign w:val="center"/>
          </w:tcPr>
          <w:p w14:paraId="267CC006" w14:textId="77777777" w:rsidR="004A2AC8" w:rsidRPr="00AF463B" w:rsidRDefault="004A2AC8" w:rsidP="00EE7520">
            <w:pPr>
              <w:spacing w:line="360" w:lineRule="auto"/>
              <w:jc w:val="center"/>
              <w:rPr>
                <w:rFonts w:ascii="Arial" w:hAnsi="Arial" w:cs="Arial"/>
              </w:rPr>
            </w:pPr>
            <w:r w:rsidRPr="00AF463B">
              <w:rPr>
                <w:rFonts w:ascii="Arial" w:hAnsi="Arial" w:cs="Arial"/>
              </w:rPr>
              <w:t>42</w:t>
            </w:r>
          </w:p>
        </w:tc>
        <w:tc>
          <w:tcPr>
            <w:tcW w:w="732" w:type="pct"/>
            <w:tcBorders>
              <w:top w:val="single" w:sz="4" w:space="0" w:color="auto"/>
              <w:bottom w:val="nil"/>
            </w:tcBorders>
            <w:shd w:val="clear" w:color="auto" w:fill="FFFFFF"/>
            <w:tcMar>
              <w:top w:w="30" w:type="dxa"/>
              <w:left w:w="30" w:type="dxa"/>
              <w:bottom w:w="30" w:type="dxa"/>
              <w:right w:w="30" w:type="dxa"/>
            </w:tcMar>
            <w:vAlign w:val="center"/>
          </w:tcPr>
          <w:p w14:paraId="1ADF712F" w14:textId="77777777" w:rsidR="004A2AC8" w:rsidRPr="00AF463B" w:rsidRDefault="004A2AC8" w:rsidP="00EE7520">
            <w:pPr>
              <w:spacing w:line="360" w:lineRule="auto"/>
              <w:jc w:val="center"/>
              <w:rPr>
                <w:rFonts w:ascii="Arial" w:hAnsi="Arial" w:cs="Arial"/>
              </w:rPr>
            </w:pPr>
            <w:r w:rsidRPr="00AF463B">
              <w:rPr>
                <w:rFonts w:ascii="Arial" w:hAnsi="Arial" w:cs="Arial"/>
              </w:rPr>
              <w:t>40.4</w:t>
            </w:r>
          </w:p>
        </w:tc>
      </w:tr>
      <w:tr w:rsidR="004A2AC8" w:rsidRPr="00AF463B" w14:paraId="29976629" w14:textId="77777777" w:rsidTr="00EE7520">
        <w:trPr>
          <w:cantSplit/>
          <w:tblHeader/>
        </w:trPr>
        <w:tc>
          <w:tcPr>
            <w:tcW w:w="3634" w:type="pct"/>
            <w:tcBorders>
              <w:top w:val="nil"/>
            </w:tcBorders>
            <w:shd w:val="clear" w:color="auto" w:fill="FFFFFF"/>
            <w:tcMar>
              <w:top w:w="30" w:type="dxa"/>
              <w:left w:w="30" w:type="dxa"/>
              <w:bottom w:w="30" w:type="dxa"/>
              <w:right w:w="30" w:type="dxa"/>
            </w:tcMar>
          </w:tcPr>
          <w:p w14:paraId="4318DB73" w14:textId="77777777" w:rsidR="004A2AC8" w:rsidRPr="00AF463B" w:rsidRDefault="004A2AC8" w:rsidP="00EE7520">
            <w:pPr>
              <w:spacing w:line="360" w:lineRule="auto"/>
              <w:rPr>
                <w:rFonts w:ascii="Arial" w:hAnsi="Arial" w:cs="Arial"/>
              </w:rPr>
            </w:pPr>
            <w:r w:rsidRPr="00AF463B">
              <w:rPr>
                <w:rFonts w:ascii="Arial" w:hAnsi="Arial" w:cs="Arial"/>
              </w:rPr>
              <w:t>Language barrier</w:t>
            </w:r>
          </w:p>
        </w:tc>
        <w:tc>
          <w:tcPr>
            <w:tcW w:w="634" w:type="pct"/>
            <w:tcBorders>
              <w:top w:val="nil"/>
            </w:tcBorders>
            <w:shd w:val="clear" w:color="auto" w:fill="FFFFFF"/>
            <w:tcMar>
              <w:top w:w="30" w:type="dxa"/>
              <w:left w:w="30" w:type="dxa"/>
              <w:bottom w:w="30" w:type="dxa"/>
              <w:right w:w="30" w:type="dxa"/>
            </w:tcMar>
            <w:vAlign w:val="center"/>
          </w:tcPr>
          <w:p w14:paraId="2BA79B8D" w14:textId="77777777" w:rsidR="004A2AC8" w:rsidRPr="00AF463B" w:rsidRDefault="004A2AC8" w:rsidP="00EE7520">
            <w:pPr>
              <w:spacing w:line="360" w:lineRule="auto"/>
              <w:jc w:val="center"/>
              <w:rPr>
                <w:rFonts w:ascii="Arial" w:hAnsi="Arial" w:cs="Arial"/>
              </w:rPr>
            </w:pPr>
            <w:r w:rsidRPr="00AF463B">
              <w:rPr>
                <w:rFonts w:ascii="Arial" w:hAnsi="Arial" w:cs="Arial"/>
              </w:rPr>
              <w:t>32</w:t>
            </w:r>
          </w:p>
        </w:tc>
        <w:tc>
          <w:tcPr>
            <w:tcW w:w="732" w:type="pct"/>
            <w:tcBorders>
              <w:top w:val="nil"/>
            </w:tcBorders>
            <w:shd w:val="clear" w:color="auto" w:fill="FFFFFF"/>
            <w:tcMar>
              <w:top w:w="30" w:type="dxa"/>
              <w:left w:w="30" w:type="dxa"/>
              <w:bottom w:w="30" w:type="dxa"/>
              <w:right w:w="30" w:type="dxa"/>
            </w:tcMar>
            <w:vAlign w:val="center"/>
          </w:tcPr>
          <w:p w14:paraId="580742B8" w14:textId="77777777" w:rsidR="004A2AC8" w:rsidRPr="00AF463B" w:rsidRDefault="004A2AC8" w:rsidP="00EE7520">
            <w:pPr>
              <w:spacing w:line="360" w:lineRule="auto"/>
              <w:jc w:val="center"/>
              <w:rPr>
                <w:rFonts w:ascii="Arial" w:hAnsi="Arial" w:cs="Arial"/>
              </w:rPr>
            </w:pPr>
            <w:r w:rsidRPr="00AF463B">
              <w:rPr>
                <w:rFonts w:ascii="Arial" w:hAnsi="Arial" w:cs="Arial"/>
              </w:rPr>
              <w:t>30.8</w:t>
            </w:r>
          </w:p>
        </w:tc>
      </w:tr>
      <w:tr w:rsidR="004A2AC8" w:rsidRPr="00AF463B" w14:paraId="6639A8FC" w14:textId="77777777" w:rsidTr="00EE7520">
        <w:trPr>
          <w:cantSplit/>
          <w:tblHeader/>
        </w:trPr>
        <w:tc>
          <w:tcPr>
            <w:tcW w:w="3634" w:type="pct"/>
            <w:shd w:val="clear" w:color="auto" w:fill="FFFFFF"/>
            <w:tcMar>
              <w:top w:w="30" w:type="dxa"/>
              <w:left w:w="30" w:type="dxa"/>
              <w:bottom w:w="30" w:type="dxa"/>
              <w:right w:w="30" w:type="dxa"/>
            </w:tcMar>
          </w:tcPr>
          <w:p w14:paraId="3036FA27" w14:textId="77777777" w:rsidR="004A2AC8" w:rsidRPr="00AF463B" w:rsidRDefault="004A2AC8" w:rsidP="00EE7520">
            <w:pPr>
              <w:spacing w:line="360" w:lineRule="auto"/>
              <w:rPr>
                <w:rFonts w:ascii="Arial" w:hAnsi="Arial" w:cs="Arial"/>
              </w:rPr>
            </w:pPr>
            <w:r w:rsidRPr="00AF463B">
              <w:rPr>
                <w:rFonts w:ascii="Arial" w:hAnsi="Arial" w:cs="Arial"/>
              </w:rPr>
              <w:t>Poor network</w:t>
            </w:r>
          </w:p>
        </w:tc>
        <w:tc>
          <w:tcPr>
            <w:tcW w:w="634" w:type="pct"/>
            <w:shd w:val="clear" w:color="auto" w:fill="FFFFFF"/>
            <w:tcMar>
              <w:top w:w="30" w:type="dxa"/>
              <w:left w:w="30" w:type="dxa"/>
              <w:bottom w:w="30" w:type="dxa"/>
              <w:right w:w="30" w:type="dxa"/>
            </w:tcMar>
            <w:vAlign w:val="center"/>
          </w:tcPr>
          <w:p w14:paraId="48277A0B" w14:textId="77777777" w:rsidR="004A2AC8" w:rsidRPr="00AF463B" w:rsidRDefault="004A2AC8" w:rsidP="00EE7520">
            <w:pPr>
              <w:spacing w:line="360" w:lineRule="auto"/>
              <w:jc w:val="center"/>
              <w:rPr>
                <w:rFonts w:ascii="Arial" w:hAnsi="Arial" w:cs="Arial"/>
              </w:rPr>
            </w:pPr>
            <w:r w:rsidRPr="00AF463B">
              <w:rPr>
                <w:rFonts w:ascii="Arial" w:hAnsi="Arial" w:cs="Arial"/>
              </w:rPr>
              <w:t>22</w:t>
            </w:r>
          </w:p>
        </w:tc>
        <w:tc>
          <w:tcPr>
            <w:tcW w:w="732" w:type="pct"/>
            <w:shd w:val="clear" w:color="auto" w:fill="FFFFFF"/>
            <w:tcMar>
              <w:top w:w="30" w:type="dxa"/>
              <w:left w:w="30" w:type="dxa"/>
              <w:bottom w:w="30" w:type="dxa"/>
              <w:right w:w="30" w:type="dxa"/>
            </w:tcMar>
            <w:vAlign w:val="center"/>
          </w:tcPr>
          <w:p w14:paraId="2D81C39A" w14:textId="77777777" w:rsidR="004A2AC8" w:rsidRPr="00AF463B" w:rsidRDefault="004A2AC8" w:rsidP="00EE7520">
            <w:pPr>
              <w:spacing w:line="360" w:lineRule="auto"/>
              <w:jc w:val="center"/>
              <w:rPr>
                <w:rFonts w:ascii="Arial" w:hAnsi="Arial" w:cs="Arial"/>
              </w:rPr>
            </w:pPr>
            <w:r w:rsidRPr="00AF463B">
              <w:rPr>
                <w:rFonts w:ascii="Arial" w:hAnsi="Arial" w:cs="Arial"/>
              </w:rPr>
              <w:t>21.2</w:t>
            </w:r>
          </w:p>
        </w:tc>
      </w:tr>
      <w:tr w:rsidR="004A2AC8" w:rsidRPr="00AF463B" w14:paraId="0E32B7E7" w14:textId="77777777" w:rsidTr="00EE7520">
        <w:trPr>
          <w:cantSplit/>
          <w:tblHeader/>
        </w:trPr>
        <w:tc>
          <w:tcPr>
            <w:tcW w:w="3634" w:type="pct"/>
            <w:shd w:val="clear" w:color="auto" w:fill="FFFFFF"/>
            <w:tcMar>
              <w:top w:w="30" w:type="dxa"/>
              <w:left w:w="30" w:type="dxa"/>
              <w:bottom w:w="30" w:type="dxa"/>
              <w:right w:w="30" w:type="dxa"/>
            </w:tcMar>
          </w:tcPr>
          <w:p w14:paraId="4D14B4AC" w14:textId="77777777" w:rsidR="004A2AC8" w:rsidRPr="00AF463B" w:rsidRDefault="004A2AC8" w:rsidP="00EE7520">
            <w:pPr>
              <w:spacing w:line="360" w:lineRule="auto"/>
              <w:rPr>
                <w:rFonts w:ascii="Arial" w:hAnsi="Arial" w:cs="Arial"/>
              </w:rPr>
            </w:pPr>
            <w:r w:rsidRPr="00AF463B">
              <w:rPr>
                <w:rFonts w:ascii="Arial" w:hAnsi="Arial" w:cs="Arial"/>
              </w:rPr>
              <w:t>Power cut</w:t>
            </w:r>
          </w:p>
        </w:tc>
        <w:tc>
          <w:tcPr>
            <w:tcW w:w="634" w:type="pct"/>
            <w:shd w:val="clear" w:color="auto" w:fill="FFFFFF"/>
            <w:tcMar>
              <w:top w:w="30" w:type="dxa"/>
              <w:left w:w="30" w:type="dxa"/>
              <w:bottom w:w="30" w:type="dxa"/>
              <w:right w:w="30" w:type="dxa"/>
            </w:tcMar>
            <w:vAlign w:val="center"/>
          </w:tcPr>
          <w:p w14:paraId="2E63FE41" w14:textId="77777777" w:rsidR="004A2AC8" w:rsidRPr="00AF463B" w:rsidRDefault="004A2AC8" w:rsidP="00EE7520">
            <w:pPr>
              <w:spacing w:line="360" w:lineRule="auto"/>
              <w:jc w:val="center"/>
              <w:rPr>
                <w:rFonts w:ascii="Arial" w:hAnsi="Arial" w:cs="Arial"/>
              </w:rPr>
            </w:pPr>
            <w:r w:rsidRPr="00AF463B">
              <w:rPr>
                <w:rFonts w:ascii="Arial" w:hAnsi="Arial" w:cs="Arial"/>
              </w:rPr>
              <w:t>8</w:t>
            </w:r>
          </w:p>
        </w:tc>
        <w:tc>
          <w:tcPr>
            <w:tcW w:w="732" w:type="pct"/>
            <w:shd w:val="clear" w:color="auto" w:fill="FFFFFF"/>
            <w:tcMar>
              <w:top w:w="30" w:type="dxa"/>
              <w:left w:w="30" w:type="dxa"/>
              <w:bottom w:w="30" w:type="dxa"/>
              <w:right w:w="30" w:type="dxa"/>
            </w:tcMar>
            <w:vAlign w:val="center"/>
          </w:tcPr>
          <w:p w14:paraId="4D1DE04D" w14:textId="77777777" w:rsidR="004A2AC8" w:rsidRPr="00AF463B" w:rsidRDefault="004A2AC8" w:rsidP="00EE7520">
            <w:pPr>
              <w:spacing w:line="360" w:lineRule="auto"/>
              <w:jc w:val="center"/>
              <w:rPr>
                <w:rFonts w:ascii="Arial" w:hAnsi="Arial" w:cs="Arial"/>
              </w:rPr>
            </w:pPr>
            <w:r w:rsidRPr="00AF463B">
              <w:rPr>
                <w:rFonts w:ascii="Arial" w:hAnsi="Arial" w:cs="Arial"/>
              </w:rPr>
              <w:t>7.7</w:t>
            </w:r>
          </w:p>
        </w:tc>
      </w:tr>
      <w:tr w:rsidR="004A2AC8" w:rsidRPr="00AF463B" w14:paraId="68A917D6" w14:textId="77777777" w:rsidTr="00EE7520">
        <w:trPr>
          <w:cantSplit/>
        </w:trPr>
        <w:tc>
          <w:tcPr>
            <w:tcW w:w="3634" w:type="pct"/>
            <w:tcBorders>
              <w:bottom w:val="single" w:sz="4" w:space="0" w:color="auto"/>
            </w:tcBorders>
            <w:shd w:val="clear" w:color="auto" w:fill="FFFFFF"/>
            <w:tcMar>
              <w:top w:w="30" w:type="dxa"/>
              <w:left w:w="30" w:type="dxa"/>
              <w:bottom w:w="30" w:type="dxa"/>
              <w:right w:w="30" w:type="dxa"/>
            </w:tcMar>
          </w:tcPr>
          <w:p w14:paraId="4AC5C8CC" w14:textId="77777777" w:rsidR="004A2AC8" w:rsidRPr="00AF463B" w:rsidRDefault="004A2AC8" w:rsidP="00EE7520">
            <w:pPr>
              <w:spacing w:line="360" w:lineRule="auto"/>
              <w:rPr>
                <w:rFonts w:ascii="Arial" w:hAnsi="Arial" w:cs="Arial"/>
              </w:rPr>
            </w:pPr>
            <w:r w:rsidRPr="00AF463B">
              <w:rPr>
                <w:rFonts w:ascii="Arial" w:hAnsi="Arial" w:cs="Arial"/>
              </w:rPr>
              <w:t>Total</w:t>
            </w:r>
          </w:p>
        </w:tc>
        <w:tc>
          <w:tcPr>
            <w:tcW w:w="634" w:type="pct"/>
            <w:tcBorders>
              <w:bottom w:val="single" w:sz="4" w:space="0" w:color="auto"/>
            </w:tcBorders>
            <w:shd w:val="clear" w:color="auto" w:fill="FFFFFF"/>
            <w:tcMar>
              <w:top w:w="30" w:type="dxa"/>
              <w:left w:w="30" w:type="dxa"/>
              <w:bottom w:w="30" w:type="dxa"/>
              <w:right w:w="30" w:type="dxa"/>
            </w:tcMar>
            <w:vAlign w:val="center"/>
          </w:tcPr>
          <w:p w14:paraId="20B51693" w14:textId="77777777" w:rsidR="004A2AC8" w:rsidRPr="00AF463B" w:rsidRDefault="004A2AC8" w:rsidP="00EE7520">
            <w:pPr>
              <w:spacing w:line="360" w:lineRule="auto"/>
              <w:jc w:val="center"/>
              <w:rPr>
                <w:rFonts w:ascii="Arial" w:hAnsi="Arial" w:cs="Arial"/>
              </w:rPr>
            </w:pPr>
            <w:r w:rsidRPr="00AF463B">
              <w:rPr>
                <w:rFonts w:ascii="Arial" w:hAnsi="Arial" w:cs="Arial"/>
              </w:rPr>
              <w:t>104</w:t>
            </w:r>
          </w:p>
        </w:tc>
        <w:tc>
          <w:tcPr>
            <w:tcW w:w="732" w:type="pct"/>
            <w:tcBorders>
              <w:bottom w:val="single" w:sz="4" w:space="0" w:color="auto"/>
            </w:tcBorders>
            <w:shd w:val="clear" w:color="auto" w:fill="FFFFFF"/>
            <w:tcMar>
              <w:top w:w="30" w:type="dxa"/>
              <w:left w:w="30" w:type="dxa"/>
              <w:bottom w:w="30" w:type="dxa"/>
              <w:right w:w="30" w:type="dxa"/>
            </w:tcMar>
            <w:vAlign w:val="center"/>
          </w:tcPr>
          <w:p w14:paraId="5E2FBE6C" w14:textId="77777777" w:rsidR="004A2AC8" w:rsidRPr="00AF463B" w:rsidRDefault="004A2AC8" w:rsidP="00EE7520">
            <w:pPr>
              <w:spacing w:line="360" w:lineRule="auto"/>
              <w:jc w:val="center"/>
              <w:rPr>
                <w:rFonts w:ascii="Arial" w:hAnsi="Arial" w:cs="Arial"/>
              </w:rPr>
            </w:pPr>
            <w:r w:rsidRPr="00AF463B">
              <w:rPr>
                <w:rFonts w:ascii="Arial" w:hAnsi="Arial" w:cs="Arial"/>
              </w:rPr>
              <w:t>100.0</w:t>
            </w:r>
          </w:p>
        </w:tc>
      </w:tr>
    </w:tbl>
    <w:p w14:paraId="3A046E72" w14:textId="77777777" w:rsidR="00AE6EF9" w:rsidRPr="00AE6EF9" w:rsidRDefault="00BD378D" w:rsidP="00AE6EF9">
      <w:pPr>
        <w:pStyle w:val="Heading3"/>
        <w:jc w:val="both"/>
        <w:rPr>
          <w:rFonts w:ascii="Arial" w:hAnsi="Arial" w:cs="Arial"/>
          <w:sz w:val="22"/>
          <w:szCs w:val="22"/>
        </w:rPr>
      </w:pPr>
      <w:r>
        <w:rPr>
          <w:rFonts w:ascii="Arial" w:hAnsi="Arial" w:cs="Arial"/>
          <w:sz w:val="22"/>
          <w:szCs w:val="22"/>
        </w:rPr>
        <w:t xml:space="preserve">5.0 </w:t>
      </w:r>
      <w:r w:rsidR="00AE6EF9" w:rsidRPr="00AE6EF9">
        <w:rPr>
          <w:rFonts w:ascii="Arial" w:hAnsi="Arial" w:cs="Arial"/>
          <w:sz w:val="22"/>
          <w:szCs w:val="22"/>
        </w:rPr>
        <w:t>Conclusion</w:t>
      </w:r>
    </w:p>
    <w:p w14:paraId="570DCF00" w14:textId="77777777" w:rsidR="00AE6EF9" w:rsidRPr="00AE6EF9" w:rsidRDefault="00AE6EF9" w:rsidP="00AE6EF9">
      <w:pPr>
        <w:pStyle w:val="NormalWeb"/>
        <w:jc w:val="both"/>
        <w:rPr>
          <w:rFonts w:ascii="Arial" w:hAnsi="Arial" w:cs="Arial"/>
          <w:sz w:val="22"/>
          <w:szCs w:val="22"/>
        </w:rPr>
      </w:pPr>
      <w:r w:rsidRPr="00AE6EF9">
        <w:rPr>
          <w:rFonts w:ascii="Arial" w:eastAsiaTheme="minorHAnsi" w:hAnsi="Arial" w:cs="Arial"/>
          <w:bCs/>
          <w:sz w:val="22"/>
          <w:szCs w:val="22"/>
        </w:rPr>
        <w:t>The findings indicate a robust engagement with social media for agricultural information, with 98.1% of respondents using these platforms to access vital resources. This aligns with the Uses and Gratifications Theory (UGT), which posits that individuals actively seek out media to fulfill specific needs, such as obtaining timely information and fostering com</w:t>
      </w:r>
      <w:r w:rsidR="00864D3A">
        <w:rPr>
          <w:rFonts w:ascii="Arial" w:eastAsiaTheme="minorHAnsi" w:hAnsi="Arial" w:cs="Arial"/>
          <w:bCs/>
          <w:sz w:val="22"/>
          <w:szCs w:val="22"/>
        </w:rPr>
        <w:t xml:space="preserve">munity connections </w:t>
      </w:r>
      <w:r w:rsidR="00864D3A">
        <w:rPr>
          <w:rFonts w:ascii="Arial" w:eastAsiaTheme="minorHAnsi" w:hAnsi="Arial" w:cs="Arial"/>
          <w:bCs/>
          <w:sz w:val="22"/>
          <w:szCs w:val="22"/>
        </w:rPr>
        <w:fldChar w:fldCharType="begin" w:fldLock="1"/>
      </w:r>
      <w:r w:rsidR="0034657C">
        <w:rPr>
          <w:rFonts w:ascii="Arial" w:eastAsiaTheme="minorHAnsi" w:hAnsi="Arial" w:cs="Arial"/>
          <w:bCs/>
          <w:sz w:val="22"/>
          <w:szCs w:val="22"/>
        </w:rPr>
        <w:instrText>ADDIN CSL_CITATION {"citationItems":[{"id":"ITEM-1","itemData":{"DOI":"10.1007/s13132-023-01593-2","ISBN":"0123456789","ISSN":"18687873","abstract":"TikTok, a short video-sharing platform, has captured a massive audience since its inception in 2016. This article explores the evolution of rural media in China, the burgeoning TikTok rural market, and the unique landscape of rural TikTok users. By investigating the development trajectory of TikTok and probing into the individual usage patterns, motivations, and preferences of rural TikTok users, this study aims to gain deeper insights into their distinct characteristics. Furthermore, this study employs two theoretical frameworks, the uses and gratifications theory and the media enjoyment theory, to analyze the causal relationship between Chinese TikTok rural users and their direct demands and satisfaction levels. Leveraging a combination of big data crawling and comprehensive questionnaire surveys, we provide data-driven perspectives on rural TikTok users’ experiences, motivations, and challenges. Our findings reveal that TikTok has become a compelling entertainment and social interaction source for rural users, aligning with its original positioning. The adaptability of TikTok’s content curation algorithms caters to diverse age groups, contributing significantly to user satisfaction. However, content quality and influencer representation disparities persist as challenges for rural TikTok users. This research offers valuable insights into the practical issues faced by rural TikTok users and presents recommendations for their enhanced engagement with the platform. By bridging the urban–rural digital divide, this study contributes to a more equitable media landscape in China and underscores the platform’s role in reshaping the dynamics of knowledge dissemination and entertainment consumption in the knowledge-based economy of the twenty-first century.","author":[{"dropping-particle":"","family":"Wang","given":"Shujie","non-dropping-particle":"","parse-names":false,"suffix":""},{"dropping-particle":"","family":"Li","given":"Ning","non-dropping-particle":"","parse-names":false,"suffix":""},{"dropping-particle":"","family":"Liu","given":"Niwen","non-dropping-particle":"","parse-names":false,"suffix":""},{"dropping-particle":"","family":"Habes","given":"Mohammed","non-dropping-particle":"","parse-names":false,"suffix":""}],"container-title":"Journal of the Knowledge Economy","id":"ITEM-1","issue":"0123456789","issued":{"date-parts":[["2023"]]},"publisher":"Springer US","title":"Transitioning from Information Sharing to Knowledge Services: Unpacking the Evolution of Rural Media Within the Context of Media Integration","type":"book"},"uris":["http://www.mendeley.com/documents/?uuid=75db5b34-9c1e-4a7e-b6d3-8f35615b3b70"]}],"mendeley":{"formattedCitation":"(Wang et al., 2023)","plainTextFormattedCitation":"(Wang et al., 2023)","previouslyFormattedCitation":"(Wang et al., 2023)"},"properties":{"noteIndex":0},"schema":"https://github.com/citation-style-language/schema/raw/master/csl-citation.json"}</w:instrText>
      </w:r>
      <w:r w:rsidR="00864D3A">
        <w:rPr>
          <w:rFonts w:ascii="Arial" w:eastAsiaTheme="minorHAnsi" w:hAnsi="Arial" w:cs="Arial"/>
          <w:bCs/>
          <w:sz w:val="22"/>
          <w:szCs w:val="22"/>
        </w:rPr>
        <w:fldChar w:fldCharType="separate"/>
      </w:r>
      <w:r w:rsidR="00864D3A" w:rsidRPr="00864D3A">
        <w:rPr>
          <w:rFonts w:ascii="Arial" w:eastAsiaTheme="minorHAnsi" w:hAnsi="Arial" w:cs="Arial"/>
          <w:bCs/>
          <w:noProof/>
          <w:sz w:val="22"/>
          <w:szCs w:val="22"/>
        </w:rPr>
        <w:t>(Wang et al., 2023)</w:t>
      </w:r>
      <w:r w:rsidR="00864D3A">
        <w:rPr>
          <w:rFonts w:ascii="Arial" w:eastAsiaTheme="minorHAnsi" w:hAnsi="Arial" w:cs="Arial"/>
          <w:bCs/>
          <w:sz w:val="22"/>
          <w:szCs w:val="22"/>
        </w:rPr>
        <w:fldChar w:fldCharType="end"/>
      </w:r>
      <w:r w:rsidRPr="00AE6EF9">
        <w:rPr>
          <w:rFonts w:ascii="Arial" w:eastAsiaTheme="minorHAnsi" w:hAnsi="Arial" w:cs="Arial"/>
          <w:bCs/>
          <w:sz w:val="22"/>
          <w:szCs w:val="22"/>
        </w:rPr>
        <w:t xml:space="preserve">. The predominance of Facebook and WhatsApp usage reflects farmers’ desires for practical, interactive, and easily accessible content. Additionally, Cultivation Theory suggests that prolonged exposure to media can shape perceptions and behaviors over time </w:t>
      </w:r>
      <w:r w:rsidR="00AA78A4">
        <w:rPr>
          <w:rFonts w:ascii="Arial" w:eastAsiaTheme="minorHAnsi" w:hAnsi="Arial" w:cs="Arial"/>
          <w:bCs/>
          <w:sz w:val="22"/>
          <w:szCs w:val="22"/>
        </w:rPr>
        <w:fldChar w:fldCharType="begin" w:fldLock="1"/>
      </w:r>
      <w:r w:rsidR="001C393B">
        <w:rPr>
          <w:rFonts w:ascii="Arial" w:eastAsiaTheme="minorHAnsi" w:hAnsi="Arial" w:cs="Arial"/>
          <w:bCs/>
          <w:sz w:val="22"/>
          <w:szCs w:val="22"/>
        </w:rPr>
        <w:instrText>ADDIN CSL_CITATION {"citationItems":[{"id":"ITEM-1","itemData":{"DOI":"10.1016/j.ijdrr.2019.101336","ISSN":"22124209","abstract":"Natural or man-made disasters generate fear among people who experience them directly or indirectly by exposing to disasters related news on media. Based on cultivation theory, our proposed model suggests that exposure to media and the perception of people about the media on which they exposed to disaster related information affect their fear of victimization and altruistic behaviors. To test the proposed model and hypothesis, data were collected through questionnaire from 210 newspaper readers in the rural areas of Pakistan. Findings show that high exposure to disaster related news and individuals' perception about the media contributed more fear of victimization. Moreover, fear of victimization from disaster significantly influences the altruistic behaviors of people. Our study suggests that newspapers still paly critical role in cultivating fear of victimization and motivating people towards altruism. Theoretical implications for future research are also discussed.","author":[{"dropping-particle":"","family":"Shah","given":"Zakir","non-dropping-particle":"","parse-names":false,"suffix":""},{"dropping-particle":"","family":"Chu","given":"Jianxun","non-dropping-particle":"","parse-names":false,"suffix":""},{"dropping-particle":"","family":"Ghani","given":"Usman","non-dropping-particle":"","parse-names":false,"suffix":""},{"dropping-particle":"","family":"Qaisar","given":"Sara","non-dropping-particle":"","parse-names":false,"suffix":""},{"dropping-particle":"","family":"Hassan","given":"Zameer","non-dropping-particle":"","parse-names":false,"suffix":""}],"container-title":"International Journal of Disaster Risk Reduction","id":"ITEM-1","issue":"May","issued":{"date-parts":[["2020"]]},"title":"Media and altruistic behaviors: The mediating role of fear of victimization in cultivation theory perspective","type":"article-journal","volume":"42"},"uris":["http://www.mendeley.com/documents/?uuid=9f6c9c3d-9368-450d-97fd-085a02b609f7"]}],"mendeley":{"formattedCitation":"(Shah et al., 2020)","plainTextFormattedCitation":"(Shah et al., 2020)","previouslyFormattedCitation":"(Shah et al., 2020)"},"properties":{"noteIndex":0},"schema":"https://github.com/citation-style-language/schema/raw/master/csl-citation.json"}</w:instrText>
      </w:r>
      <w:r w:rsidR="00AA78A4">
        <w:rPr>
          <w:rFonts w:ascii="Arial" w:eastAsiaTheme="minorHAnsi" w:hAnsi="Arial" w:cs="Arial"/>
          <w:bCs/>
          <w:sz w:val="22"/>
          <w:szCs w:val="22"/>
        </w:rPr>
        <w:fldChar w:fldCharType="separate"/>
      </w:r>
      <w:r w:rsidR="00AA78A4" w:rsidRPr="00AA78A4">
        <w:rPr>
          <w:rFonts w:ascii="Arial" w:eastAsiaTheme="minorHAnsi" w:hAnsi="Arial" w:cs="Arial"/>
          <w:bCs/>
          <w:noProof/>
          <w:sz w:val="22"/>
          <w:szCs w:val="22"/>
        </w:rPr>
        <w:t>(Shah et al., 2020)</w:t>
      </w:r>
      <w:r w:rsidR="00AA78A4">
        <w:rPr>
          <w:rFonts w:ascii="Arial" w:eastAsiaTheme="minorHAnsi" w:hAnsi="Arial" w:cs="Arial"/>
          <w:bCs/>
          <w:sz w:val="22"/>
          <w:szCs w:val="22"/>
        </w:rPr>
        <w:fldChar w:fldCharType="end"/>
      </w:r>
      <w:r w:rsidRPr="00AE6EF9">
        <w:rPr>
          <w:rFonts w:ascii="Arial" w:eastAsiaTheme="minorHAnsi" w:hAnsi="Arial" w:cs="Arial"/>
          <w:bCs/>
          <w:sz w:val="22"/>
          <w:szCs w:val="22"/>
        </w:rPr>
        <w:t>. As farmers frequently engage with agricultural content on social media, they may cultivate a more informed and proactive approach to their agricultural practices, thereby enhancing overall productivity.</w:t>
      </w:r>
      <w:r>
        <w:rPr>
          <w:rFonts w:ascii="Arial" w:eastAsiaTheme="minorHAnsi" w:hAnsi="Arial" w:cs="Arial"/>
          <w:bCs/>
          <w:sz w:val="22"/>
          <w:szCs w:val="22"/>
        </w:rPr>
        <w:t xml:space="preserve"> </w:t>
      </w:r>
      <w:r w:rsidRPr="00AE6EF9">
        <w:rPr>
          <w:rFonts w:ascii="Arial" w:hAnsi="Arial" w:cs="Arial"/>
          <w:sz w:val="22"/>
          <w:szCs w:val="22"/>
        </w:rPr>
        <w:t xml:space="preserve">The implications of these findings extend beyond individual farmers; they also highlight the need for agricultural organizations to engage more comprehensively with social media strategies. </w:t>
      </w:r>
      <w:r w:rsidR="00A94D2A">
        <w:rPr>
          <w:rFonts w:ascii="Arial" w:hAnsi="Arial" w:cs="Arial"/>
          <w:sz w:val="22"/>
          <w:szCs w:val="22"/>
        </w:rPr>
        <w:t>Organizations can create a more informed agricultural community by utilizing popular platforms to share best practices, market trends, and innovative techniques</w:t>
      </w:r>
      <w:r w:rsidRPr="00AE6EF9">
        <w:rPr>
          <w:rFonts w:ascii="Arial" w:hAnsi="Arial" w:cs="Arial"/>
          <w:sz w:val="22"/>
          <w:szCs w:val="22"/>
        </w:rPr>
        <w:t xml:space="preserve">. This </w:t>
      </w:r>
      <w:r w:rsidR="00A94D2A">
        <w:rPr>
          <w:rFonts w:ascii="Arial" w:hAnsi="Arial" w:cs="Arial"/>
          <w:sz w:val="22"/>
          <w:szCs w:val="22"/>
        </w:rPr>
        <w:t>enhances knowledge dissemination and</w:t>
      </w:r>
      <w:r w:rsidRPr="00AE6EF9">
        <w:rPr>
          <w:rFonts w:ascii="Arial" w:hAnsi="Arial" w:cs="Arial"/>
          <w:sz w:val="22"/>
          <w:szCs w:val="22"/>
        </w:rPr>
        <w:t xml:space="preserve"> fosters a sense of community among farmers, encouraging collaboration and shared learning. Moreover, by addressing the underutilization of platforms like Twitter and LinkedIn, stakeholders can broaden their reach and impact, ensuring that diverse farmer demographics are included in the digital dialogue.</w:t>
      </w:r>
    </w:p>
    <w:p w14:paraId="47CB06B2" w14:textId="77777777" w:rsidR="00AE6EF9" w:rsidRPr="00AE6EF9" w:rsidRDefault="00E26931" w:rsidP="00AE6EF9">
      <w:pPr>
        <w:pStyle w:val="Heading3"/>
        <w:jc w:val="both"/>
        <w:rPr>
          <w:rFonts w:ascii="Arial" w:hAnsi="Arial" w:cs="Arial"/>
          <w:sz w:val="22"/>
          <w:szCs w:val="22"/>
        </w:rPr>
      </w:pPr>
      <w:r>
        <w:rPr>
          <w:rFonts w:ascii="Arial" w:hAnsi="Arial" w:cs="Arial"/>
          <w:sz w:val="22"/>
          <w:szCs w:val="22"/>
        </w:rPr>
        <w:lastRenderedPageBreak/>
        <w:t xml:space="preserve">6.0 </w:t>
      </w:r>
      <w:r w:rsidR="00AE6EF9" w:rsidRPr="00AE6EF9">
        <w:rPr>
          <w:rFonts w:ascii="Arial" w:hAnsi="Arial" w:cs="Arial"/>
          <w:sz w:val="22"/>
          <w:szCs w:val="22"/>
        </w:rPr>
        <w:t>R</w:t>
      </w:r>
      <w:r w:rsidR="00AE6EF9">
        <w:rPr>
          <w:rFonts w:ascii="Arial" w:hAnsi="Arial" w:cs="Arial"/>
          <w:sz w:val="22"/>
          <w:szCs w:val="22"/>
        </w:rPr>
        <w:t>ecommendations</w:t>
      </w:r>
    </w:p>
    <w:p w14:paraId="52CCB062" w14:textId="77777777" w:rsidR="00AE6EF9" w:rsidRPr="00AE6EF9" w:rsidRDefault="00AE6EF9" w:rsidP="00AE6EF9">
      <w:pPr>
        <w:pStyle w:val="NormalWeb"/>
        <w:jc w:val="both"/>
        <w:rPr>
          <w:rFonts w:ascii="Arial" w:hAnsi="Arial" w:cs="Arial"/>
          <w:sz w:val="22"/>
          <w:szCs w:val="22"/>
        </w:rPr>
      </w:pPr>
      <w:r w:rsidRPr="00AE6EF9">
        <w:rPr>
          <w:rFonts w:ascii="Arial" w:hAnsi="Arial" w:cs="Arial"/>
          <w:sz w:val="22"/>
          <w:szCs w:val="22"/>
        </w:rPr>
        <w:t xml:space="preserve">To harness the potential of social media in agricultural production, it is crucial to develop targeted educational initiatives aimed at improving digital literacy among farmers. Training programs should focus on </w:t>
      </w:r>
      <w:r w:rsidR="00E26931">
        <w:rPr>
          <w:rFonts w:ascii="Arial" w:hAnsi="Arial" w:cs="Arial"/>
          <w:sz w:val="22"/>
          <w:szCs w:val="22"/>
        </w:rPr>
        <w:t>effectively utilizing</w:t>
      </w:r>
      <w:r w:rsidRPr="00AE6EF9">
        <w:rPr>
          <w:rFonts w:ascii="Arial" w:hAnsi="Arial" w:cs="Arial"/>
          <w:sz w:val="22"/>
          <w:szCs w:val="22"/>
        </w:rPr>
        <w:t xml:space="preserve"> various platforms</w:t>
      </w:r>
      <w:r w:rsidR="00E26931">
        <w:rPr>
          <w:rFonts w:ascii="Arial" w:hAnsi="Arial" w:cs="Arial"/>
          <w:sz w:val="22"/>
          <w:szCs w:val="22"/>
        </w:rPr>
        <w:t xml:space="preserve"> like Facebook and WhatsApp</w:t>
      </w:r>
      <w:r w:rsidRPr="00AE6EF9">
        <w:rPr>
          <w:rFonts w:ascii="Arial" w:hAnsi="Arial" w:cs="Arial"/>
          <w:sz w:val="22"/>
          <w:szCs w:val="22"/>
        </w:rPr>
        <w:t xml:space="preserve"> to access and disseminate agricultural information. By equipping farmers with the skills needed to navigate these digital spaces, stakeholders can empower them to make informed decisions, increasing their productivity and resilience in a rapidly changing agricultural landscape.</w:t>
      </w:r>
    </w:p>
    <w:p w14:paraId="119771A7" w14:textId="77777777" w:rsidR="00AE6EF9" w:rsidRPr="00AE6EF9" w:rsidRDefault="00E26931" w:rsidP="00AE6EF9">
      <w:pPr>
        <w:pStyle w:val="Heading3"/>
        <w:jc w:val="both"/>
        <w:rPr>
          <w:rFonts w:ascii="Arial" w:hAnsi="Arial" w:cs="Arial"/>
          <w:sz w:val="22"/>
          <w:szCs w:val="22"/>
        </w:rPr>
      </w:pPr>
      <w:r>
        <w:rPr>
          <w:rFonts w:ascii="Arial" w:hAnsi="Arial" w:cs="Arial"/>
          <w:sz w:val="22"/>
          <w:szCs w:val="22"/>
        </w:rPr>
        <w:t xml:space="preserve">7.0 </w:t>
      </w:r>
      <w:r w:rsidR="00AE6EF9" w:rsidRPr="00AE6EF9">
        <w:rPr>
          <w:rFonts w:ascii="Arial" w:hAnsi="Arial" w:cs="Arial"/>
          <w:sz w:val="22"/>
          <w:szCs w:val="22"/>
        </w:rPr>
        <w:t>Future Directions</w:t>
      </w:r>
    </w:p>
    <w:p w14:paraId="79EFC32B" w14:textId="77777777" w:rsidR="00AE6EF9" w:rsidRDefault="00AE6EF9" w:rsidP="00AE6EF9">
      <w:pPr>
        <w:pStyle w:val="NormalWeb"/>
        <w:jc w:val="both"/>
        <w:rPr>
          <w:rFonts w:ascii="Arial" w:hAnsi="Arial" w:cs="Arial"/>
          <w:sz w:val="22"/>
          <w:szCs w:val="22"/>
        </w:rPr>
      </w:pPr>
      <w:r w:rsidRPr="00AE6EF9">
        <w:rPr>
          <w:rFonts w:ascii="Arial" w:hAnsi="Arial" w:cs="Arial"/>
          <w:sz w:val="22"/>
          <w:szCs w:val="22"/>
        </w:rPr>
        <w:t xml:space="preserve">Future research should focus on longitudinal studies to assess the long-term effects of social media engagement on agricultural practices and productivity. Understanding how continuous exposure to agricultural content shapes farmers' perceptions and behaviors over time will provide deeper insights into the effectiveness of social media as a tool for knowledge dissemination. Additionally, exploring the barriers that prevent some farmers from engaging with these platforms will be crucial for developing inclusive strategies </w:t>
      </w:r>
      <w:r w:rsidR="00A94D2A">
        <w:rPr>
          <w:rFonts w:ascii="Arial" w:hAnsi="Arial" w:cs="Arial"/>
          <w:sz w:val="22"/>
          <w:szCs w:val="22"/>
        </w:rPr>
        <w:t>catering to the agricultural community's diverse needs</w:t>
      </w:r>
      <w:r w:rsidRPr="00AE6EF9">
        <w:rPr>
          <w:rFonts w:ascii="Arial" w:hAnsi="Arial" w:cs="Arial"/>
          <w:sz w:val="22"/>
          <w:szCs w:val="22"/>
        </w:rPr>
        <w:t>. By addressing these gaps, stakeholders can further enhance the role of social media in fostering sustainable agricultural practices and improving food security.</w:t>
      </w:r>
    </w:p>
    <w:p w14:paraId="0FDE8F6D" w14:textId="77777777" w:rsidR="004F29E6" w:rsidRDefault="004F29E6" w:rsidP="00CF6865">
      <w:pPr>
        <w:rPr>
          <w:rFonts w:ascii="Arial" w:hAnsi="Arial" w:cs="Arial"/>
        </w:rPr>
      </w:pPr>
    </w:p>
    <w:p w14:paraId="683100A4" w14:textId="77777777" w:rsidR="00CF6865" w:rsidRPr="00AF463B" w:rsidRDefault="00CF6865" w:rsidP="00CF6865">
      <w:pPr>
        <w:rPr>
          <w:rFonts w:ascii="Arial" w:hAnsi="Arial" w:cs="Arial"/>
          <w:b/>
          <w:bCs/>
        </w:rPr>
      </w:pPr>
      <w:r w:rsidRPr="00AF463B">
        <w:rPr>
          <w:rFonts w:ascii="Arial" w:hAnsi="Arial" w:cs="Arial"/>
          <w:b/>
          <w:bCs/>
        </w:rPr>
        <w:t>References</w:t>
      </w:r>
    </w:p>
    <w:p w14:paraId="3AF28EB0" w14:textId="77777777" w:rsidR="007A40D4" w:rsidRPr="007A40D4" w:rsidRDefault="00547A8C" w:rsidP="007A40D4">
      <w:pPr>
        <w:widowControl w:val="0"/>
        <w:autoSpaceDE w:val="0"/>
        <w:autoSpaceDN w:val="0"/>
        <w:adjustRightInd w:val="0"/>
        <w:spacing w:line="240" w:lineRule="auto"/>
        <w:ind w:left="480" w:hanging="480"/>
        <w:rPr>
          <w:rFonts w:ascii="Arial" w:hAnsi="Arial" w:cs="Arial"/>
          <w:noProof/>
          <w:szCs w:val="24"/>
        </w:rPr>
      </w:pPr>
      <w:r>
        <w:rPr>
          <w:rFonts w:ascii="Arial" w:hAnsi="Arial" w:cs="Arial"/>
          <w:b/>
        </w:rPr>
        <w:t xml:space="preserve"> </w:t>
      </w:r>
      <w:r w:rsidR="007A40D4">
        <w:rPr>
          <w:rFonts w:ascii="Arial" w:hAnsi="Arial" w:cs="Arial"/>
          <w:b/>
        </w:rPr>
        <w:fldChar w:fldCharType="begin" w:fldLock="1"/>
      </w:r>
      <w:r w:rsidR="007A40D4">
        <w:rPr>
          <w:rFonts w:ascii="Arial" w:hAnsi="Arial" w:cs="Arial"/>
          <w:b/>
        </w:rPr>
        <w:instrText xml:space="preserve">ADDIN Mendeley Bibliography CSL_BIBLIOGRAPHY </w:instrText>
      </w:r>
      <w:r w:rsidR="007A40D4">
        <w:rPr>
          <w:rFonts w:ascii="Arial" w:hAnsi="Arial" w:cs="Arial"/>
          <w:b/>
        </w:rPr>
        <w:fldChar w:fldCharType="separate"/>
      </w:r>
      <w:r w:rsidR="007A40D4" w:rsidRPr="007A40D4">
        <w:rPr>
          <w:rFonts w:ascii="Arial" w:hAnsi="Arial" w:cs="Arial"/>
          <w:noProof/>
          <w:szCs w:val="24"/>
        </w:rPr>
        <w:t xml:space="preserve">Afzal, A., Khan, S., Daud, S., Ahmad, Z., &amp; Butt, A. (2023). Addressing the Digital Divide: Access and Use of Technology in Education. </w:t>
      </w:r>
      <w:r w:rsidR="007A40D4" w:rsidRPr="007A40D4">
        <w:rPr>
          <w:rFonts w:ascii="Arial" w:hAnsi="Arial" w:cs="Arial"/>
          <w:i/>
          <w:iCs/>
          <w:noProof/>
          <w:szCs w:val="24"/>
        </w:rPr>
        <w:t>Journal of Social Sciences Review</w:t>
      </w:r>
      <w:r w:rsidR="007A40D4" w:rsidRPr="007A40D4">
        <w:rPr>
          <w:rFonts w:ascii="Arial" w:hAnsi="Arial" w:cs="Arial"/>
          <w:noProof/>
          <w:szCs w:val="24"/>
        </w:rPr>
        <w:t xml:space="preserve">, </w:t>
      </w:r>
      <w:r w:rsidR="007A40D4" w:rsidRPr="007A40D4">
        <w:rPr>
          <w:rFonts w:ascii="Arial" w:hAnsi="Arial" w:cs="Arial"/>
          <w:i/>
          <w:iCs/>
          <w:noProof/>
          <w:szCs w:val="24"/>
        </w:rPr>
        <w:t>3</w:t>
      </w:r>
      <w:r w:rsidR="007A40D4" w:rsidRPr="007A40D4">
        <w:rPr>
          <w:rFonts w:ascii="Arial" w:hAnsi="Arial" w:cs="Arial"/>
          <w:noProof/>
          <w:szCs w:val="24"/>
        </w:rPr>
        <w:t>(2), 883–895. https://doi.org/10.54183/jssr.v3i2.326</w:t>
      </w:r>
    </w:p>
    <w:p w14:paraId="0658BA20" w14:textId="77777777" w:rsidR="007A40D4" w:rsidRPr="007A40D4" w:rsidRDefault="007A40D4" w:rsidP="007A40D4">
      <w:pPr>
        <w:widowControl w:val="0"/>
        <w:autoSpaceDE w:val="0"/>
        <w:autoSpaceDN w:val="0"/>
        <w:adjustRightInd w:val="0"/>
        <w:spacing w:line="240" w:lineRule="auto"/>
        <w:ind w:left="480" w:hanging="480"/>
        <w:rPr>
          <w:rFonts w:ascii="Arial" w:hAnsi="Arial" w:cs="Arial"/>
          <w:noProof/>
          <w:szCs w:val="24"/>
        </w:rPr>
      </w:pPr>
      <w:r w:rsidRPr="007A40D4">
        <w:rPr>
          <w:rFonts w:ascii="Arial" w:hAnsi="Arial" w:cs="Arial"/>
          <w:noProof/>
          <w:szCs w:val="24"/>
        </w:rPr>
        <w:t xml:space="preserve">Balana, B. B., Aghadi, C. N., &amp; Ogunniyi, A. I. (2022). Improving livelihoods through postharvest loss management: evidence from Nigeria. </w:t>
      </w:r>
      <w:r w:rsidRPr="007A40D4">
        <w:rPr>
          <w:rFonts w:ascii="Arial" w:hAnsi="Arial" w:cs="Arial"/>
          <w:i/>
          <w:iCs/>
          <w:noProof/>
          <w:szCs w:val="24"/>
        </w:rPr>
        <w:t>Food Security</w:t>
      </w:r>
      <w:r w:rsidRPr="007A40D4">
        <w:rPr>
          <w:rFonts w:ascii="Arial" w:hAnsi="Arial" w:cs="Arial"/>
          <w:noProof/>
          <w:szCs w:val="24"/>
        </w:rPr>
        <w:t xml:space="preserve">, </w:t>
      </w:r>
      <w:r w:rsidRPr="007A40D4">
        <w:rPr>
          <w:rFonts w:ascii="Arial" w:hAnsi="Arial" w:cs="Arial"/>
          <w:i/>
          <w:iCs/>
          <w:noProof/>
          <w:szCs w:val="24"/>
        </w:rPr>
        <w:t>14</w:t>
      </w:r>
      <w:r w:rsidRPr="007A40D4">
        <w:rPr>
          <w:rFonts w:ascii="Arial" w:hAnsi="Arial" w:cs="Arial"/>
          <w:noProof/>
          <w:szCs w:val="24"/>
        </w:rPr>
        <w:t>(1), 249–265. https://doi.org/10.1007/s12571-021-01196-2</w:t>
      </w:r>
    </w:p>
    <w:p w14:paraId="14E91C58" w14:textId="77777777" w:rsidR="007A40D4" w:rsidRPr="007A40D4" w:rsidRDefault="007A40D4" w:rsidP="007A40D4">
      <w:pPr>
        <w:widowControl w:val="0"/>
        <w:autoSpaceDE w:val="0"/>
        <w:autoSpaceDN w:val="0"/>
        <w:adjustRightInd w:val="0"/>
        <w:spacing w:line="240" w:lineRule="auto"/>
        <w:ind w:left="480" w:hanging="480"/>
        <w:rPr>
          <w:rFonts w:ascii="Arial" w:hAnsi="Arial" w:cs="Arial"/>
          <w:noProof/>
          <w:szCs w:val="24"/>
        </w:rPr>
      </w:pPr>
      <w:r w:rsidRPr="007A40D4">
        <w:rPr>
          <w:rFonts w:ascii="Arial" w:hAnsi="Arial" w:cs="Arial"/>
          <w:noProof/>
          <w:szCs w:val="24"/>
        </w:rPr>
        <w:t xml:space="preserve">Bhat, P. P., R, R. P., K, A., Jadhav, A., K N, M., C M, R., &amp; Reddy, S. L. (2024). The Role of Information and Communication Technology in Enhancing the Effectiveness of Agricultural Extension Programs Worldwide: A Review. </w:t>
      </w:r>
      <w:r w:rsidRPr="007A40D4">
        <w:rPr>
          <w:rFonts w:ascii="Arial" w:hAnsi="Arial" w:cs="Arial"/>
          <w:i/>
          <w:iCs/>
          <w:noProof/>
          <w:szCs w:val="24"/>
        </w:rPr>
        <w:t>Journal of Scientific Research and Reports</w:t>
      </w:r>
      <w:r w:rsidRPr="007A40D4">
        <w:rPr>
          <w:rFonts w:ascii="Arial" w:hAnsi="Arial" w:cs="Arial"/>
          <w:noProof/>
          <w:szCs w:val="24"/>
        </w:rPr>
        <w:t xml:space="preserve">, </w:t>
      </w:r>
      <w:r w:rsidRPr="007A40D4">
        <w:rPr>
          <w:rFonts w:ascii="Arial" w:hAnsi="Arial" w:cs="Arial"/>
          <w:i/>
          <w:iCs/>
          <w:noProof/>
          <w:szCs w:val="24"/>
        </w:rPr>
        <w:t>30</w:t>
      </w:r>
      <w:r w:rsidRPr="007A40D4">
        <w:rPr>
          <w:rFonts w:ascii="Arial" w:hAnsi="Arial" w:cs="Arial"/>
          <w:noProof/>
          <w:szCs w:val="24"/>
        </w:rPr>
        <w:t>(7), 963–976. https://doi.org/10.9734/jsrr/2024/v30i72206</w:t>
      </w:r>
    </w:p>
    <w:p w14:paraId="4DF110B8" w14:textId="77777777" w:rsidR="007A40D4" w:rsidRPr="007A40D4" w:rsidRDefault="007A40D4" w:rsidP="007A40D4">
      <w:pPr>
        <w:widowControl w:val="0"/>
        <w:autoSpaceDE w:val="0"/>
        <w:autoSpaceDN w:val="0"/>
        <w:adjustRightInd w:val="0"/>
        <w:spacing w:line="240" w:lineRule="auto"/>
        <w:ind w:left="480" w:hanging="480"/>
        <w:rPr>
          <w:rFonts w:ascii="Arial" w:hAnsi="Arial" w:cs="Arial"/>
          <w:noProof/>
          <w:szCs w:val="24"/>
        </w:rPr>
      </w:pPr>
      <w:r w:rsidRPr="007A40D4">
        <w:rPr>
          <w:rFonts w:ascii="Arial" w:hAnsi="Arial" w:cs="Arial"/>
          <w:noProof/>
          <w:szCs w:val="24"/>
        </w:rPr>
        <w:t xml:space="preserve">Catherin Lengewa, Audrine Mikhala, S. A., Alex Amuda, James Maina, Jummai Yila, E. N., &amp; Bomuhangi, A. (2024). Understanding knowledge , attitudes , and practices among smallholder women and youth farmers in relation to seed information and entrepreneurship in Butaleja , Eastern Uganda. </w:t>
      </w:r>
      <w:r w:rsidRPr="007A40D4">
        <w:rPr>
          <w:rFonts w:ascii="Arial" w:hAnsi="Arial" w:cs="Arial"/>
          <w:i/>
          <w:iCs/>
          <w:noProof/>
          <w:szCs w:val="24"/>
        </w:rPr>
        <w:t>Report</w:t>
      </w:r>
      <w:r w:rsidRPr="007A40D4">
        <w:rPr>
          <w:rFonts w:ascii="Arial" w:hAnsi="Arial" w:cs="Arial"/>
          <w:noProof/>
          <w:szCs w:val="24"/>
        </w:rPr>
        <w:t xml:space="preserve">, </w:t>
      </w:r>
      <w:r w:rsidRPr="007A40D4">
        <w:rPr>
          <w:rFonts w:ascii="Arial" w:hAnsi="Arial" w:cs="Arial"/>
          <w:i/>
          <w:iCs/>
          <w:noProof/>
          <w:szCs w:val="24"/>
        </w:rPr>
        <w:t>March</w:t>
      </w:r>
      <w:r w:rsidRPr="007A40D4">
        <w:rPr>
          <w:rFonts w:ascii="Arial" w:hAnsi="Arial" w:cs="Arial"/>
          <w:noProof/>
          <w:szCs w:val="24"/>
        </w:rPr>
        <w:t>.</w:t>
      </w:r>
    </w:p>
    <w:p w14:paraId="341B37E3" w14:textId="77777777" w:rsidR="007A40D4" w:rsidRPr="007A40D4" w:rsidRDefault="007A40D4" w:rsidP="007A40D4">
      <w:pPr>
        <w:widowControl w:val="0"/>
        <w:autoSpaceDE w:val="0"/>
        <w:autoSpaceDN w:val="0"/>
        <w:adjustRightInd w:val="0"/>
        <w:spacing w:line="240" w:lineRule="auto"/>
        <w:ind w:left="480" w:hanging="480"/>
        <w:rPr>
          <w:rFonts w:ascii="Arial" w:hAnsi="Arial" w:cs="Arial"/>
          <w:noProof/>
          <w:szCs w:val="24"/>
        </w:rPr>
      </w:pPr>
      <w:r w:rsidRPr="007A40D4">
        <w:rPr>
          <w:rFonts w:ascii="Arial" w:hAnsi="Arial" w:cs="Arial"/>
          <w:noProof/>
          <w:szCs w:val="24"/>
        </w:rPr>
        <w:t xml:space="preserve">Chaudhuri, S., Roy, M., McDonald, L. M., &amp; Emendack, Y. (2021). Reflections on farmers’ social networks: a means for sustainable agricultural development? In </w:t>
      </w:r>
      <w:r w:rsidRPr="007A40D4">
        <w:rPr>
          <w:rFonts w:ascii="Arial" w:hAnsi="Arial" w:cs="Arial"/>
          <w:i/>
          <w:iCs/>
          <w:noProof/>
          <w:szCs w:val="24"/>
        </w:rPr>
        <w:t>Environment, Development and Sustainability</w:t>
      </w:r>
      <w:r w:rsidRPr="007A40D4">
        <w:rPr>
          <w:rFonts w:ascii="Arial" w:hAnsi="Arial" w:cs="Arial"/>
          <w:noProof/>
          <w:szCs w:val="24"/>
        </w:rPr>
        <w:t xml:space="preserve"> (Vol. 23, Issue 3). Springer Netherlands. https://doi.org/10.1007/s10668-020-00762-6</w:t>
      </w:r>
    </w:p>
    <w:p w14:paraId="133BDF87" w14:textId="77777777" w:rsidR="007A40D4" w:rsidRPr="007A40D4" w:rsidRDefault="007A40D4" w:rsidP="007A40D4">
      <w:pPr>
        <w:widowControl w:val="0"/>
        <w:autoSpaceDE w:val="0"/>
        <w:autoSpaceDN w:val="0"/>
        <w:adjustRightInd w:val="0"/>
        <w:spacing w:line="240" w:lineRule="auto"/>
        <w:ind w:left="480" w:hanging="480"/>
        <w:rPr>
          <w:rFonts w:ascii="Arial" w:hAnsi="Arial" w:cs="Arial"/>
          <w:noProof/>
          <w:szCs w:val="24"/>
        </w:rPr>
      </w:pPr>
      <w:r w:rsidRPr="007A40D4">
        <w:rPr>
          <w:rFonts w:ascii="Arial" w:hAnsi="Arial" w:cs="Arial"/>
          <w:noProof/>
          <w:szCs w:val="24"/>
        </w:rPr>
        <w:t xml:space="preserve">Elly, T., &amp; Silayo, E. E. (2013). Agricultural information needs and sources of the rural farmers in Tanzania: A case of Iringa rural district. </w:t>
      </w:r>
      <w:r w:rsidRPr="007A40D4">
        <w:rPr>
          <w:rFonts w:ascii="Arial" w:hAnsi="Arial" w:cs="Arial"/>
          <w:i/>
          <w:iCs/>
          <w:noProof/>
          <w:szCs w:val="24"/>
        </w:rPr>
        <w:t>Library Review</w:t>
      </w:r>
      <w:r w:rsidRPr="007A40D4">
        <w:rPr>
          <w:rFonts w:ascii="Arial" w:hAnsi="Arial" w:cs="Arial"/>
          <w:noProof/>
          <w:szCs w:val="24"/>
        </w:rPr>
        <w:t xml:space="preserve">, </w:t>
      </w:r>
      <w:r w:rsidRPr="007A40D4">
        <w:rPr>
          <w:rFonts w:ascii="Arial" w:hAnsi="Arial" w:cs="Arial"/>
          <w:i/>
          <w:iCs/>
          <w:noProof/>
          <w:szCs w:val="24"/>
        </w:rPr>
        <w:t>62</w:t>
      </w:r>
      <w:r w:rsidRPr="007A40D4">
        <w:rPr>
          <w:rFonts w:ascii="Arial" w:hAnsi="Arial" w:cs="Arial"/>
          <w:noProof/>
          <w:szCs w:val="24"/>
        </w:rPr>
        <w:t>(8), 547–566. https://doi.org/10.1108/LR-01-2013-0009</w:t>
      </w:r>
    </w:p>
    <w:p w14:paraId="7AFAEC45" w14:textId="77777777" w:rsidR="007A40D4" w:rsidRPr="007A40D4" w:rsidRDefault="007A40D4" w:rsidP="007A40D4">
      <w:pPr>
        <w:widowControl w:val="0"/>
        <w:autoSpaceDE w:val="0"/>
        <w:autoSpaceDN w:val="0"/>
        <w:adjustRightInd w:val="0"/>
        <w:spacing w:line="240" w:lineRule="auto"/>
        <w:ind w:left="480" w:hanging="480"/>
        <w:rPr>
          <w:rFonts w:ascii="Arial" w:hAnsi="Arial" w:cs="Arial"/>
          <w:noProof/>
          <w:szCs w:val="24"/>
        </w:rPr>
      </w:pPr>
      <w:r w:rsidRPr="007A40D4">
        <w:rPr>
          <w:rFonts w:ascii="Arial" w:hAnsi="Arial" w:cs="Arial"/>
          <w:noProof/>
          <w:szCs w:val="24"/>
        </w:rPr>
        <w:t xml:space="preserve">Emeana, E. M., Trenchard, L., &amp; Dehnen-Schmutz, K. (2020). The revolution of mobile phone-enabled services for agricultural development (m-Agri services) in Africa: The challenges </w:t>
      </w:r>
      <w:r w:rsidRPr="007A40D4">
        <w:rPr>
          <w:rFonts w:ascii="Arial" w:hAnsi="Arial" w:cs="Arial"/>
          <w:noProof/>
          <w:szCs w:val="24"/>
        </w:rPr>
        <w:lastRenderedPageBreak/>
        <w:t xml:space="preserve">for sustainability. </w:t>
      </w:r>
      <w:r w:rsidRPr="007A40D4">
        <w:rPr>
          <w:rFonts w:ascii="Arial" w:hAnsi="Arial" w:cs="Arial"/>
          <w:i/>
          <w:iCs/>
          <w:noProof/>
          <w:szCs w:val="24"/>
        </w:rPr>
        <w:t>Sustainability (Switzerland)</w:t>
      </w:r>
      <w:r w:rsidRPr="007A40D4">
        <w:rPr>
          <w:rFonts w:ascii="Arial" w:hAnsi="Arial" w:cs="Arial"/>
          <w:noProof/>
          <w:szCs w:val="24"/>
        </w:rPr>
        <w:t xml:space="preserve">, </w:t>
      </w:r>
      <w:r w:rsidRPr="007A40D4">
        <w:rPr>
          <w:rFonts w:ascii="Arial" w:hAnsi="Arial" w:cs="Arial"/>
          <w:i/>
          <w:iCs/>
          <w:noProof/>
          <w:szCs w:val="24"/>
        </w:rPr>
        <w:t>12</w:t>
      </w:r>
      <w:r w:rsidRPr="007A40D4">
        <w:rPr>
          <w:rFonts w:ascii="Arial" w:hAnsi="Arial" w:cs="Arial"/>
          <w:noProof/>
          <w:szCs w:val="24"/>
        </w:rPr>
        <w:t>(2). https://doi.org/10.3390/su12020485</w:t>
      </w:r>
    </w:p>
    <w:p w14:paraId="0747160B" w14:textId="77777777" w:rsidR="007A40D4" w:rsidRPr="007A40D4" w:rsidRDefault="007A40D4" w:rsidP="007A40D4">
      <w:pPr>
        <w:widowControl w:val="0"/>
        <w:autoSpaceDE w:val="0"/>
        <w:autoSpaceDN w:val="0"/>
        <w:adjustRightInd w:val="0"/>
        <w:spacing w:line="240" w:lineRule="auto"/>
        <w:ind w:left="480" w:hanging="480"/>
        <w:rPr>
          <w:rFonts w:ascii="Arial" w:hAnsi="Arial" w:cs="Arial"/>
          <w:noProof/>
          <w:szCs w:val="24"/>
        </w:rPr>
      </w:pPr>
      <w:r w:rsidRPr="007A40D4">
        <w:rPr>
          <w:rFonts w:ascii="Arial" w:hAnsi="Arial" w:cs="Arial"/>
          <w:noProof/>
          <w:szCs w:val="24"/>
        </w:rPr>
        <w:t xml:space="preserve">FAO. (2017). The future of food and agriculture: trends and challenges. In </w:t>
      </w:r>
      <w:r w:rsidRPr="007A40D4">
        <w:rPr>
          <w:rFonts w:ascii="Arial" w:hAnsi="Arial" w:cs="Arial"/>
          <w:i/>
          <w:iCs/>
          <w:noProof/>
          <w:szCs w:val="24"/>
        </w:rPr>
        <w:t>Food and Agriculture Organization of the United Nations Rome, 2017</w:t>
      </w:r>
      <w:r w:rsidRPr="007A40D4">
        <w:rPr>
          <w:rFonts w:ascii="Arial" w:hAnsi="Arial" w:cs="Arial"/>
          <w:noProof/>
          <w:szCs w:val="24"/>
        </w:rPr>
        <w:t xml:space="preserve"> (Vol. 4, Issue 4). www.fao.org/publications%0Ahttp://www.fao.org/3/a-i6583e.pdf%0Ahttp://siteresources.worldbank.org/INTARD/825826-1111044795683/20424536/Ag_ed_Africa.pdf%0Awww.fao.org/cfs%0Ahttp://www.jstor.org/stable/4356839%0Ahttps://ediss.uni-goettingen.de/bitstream/han</w:t>
      </w:r>
    </w:p>
    <w:p w14:paraId="4D256AF4" w14:textId="77777777" w:rsidR="007A40D4" w:rsidRPr="007A40D4" w:rsidRDefault="007A40D4" w:rsidP="007A40D4">
      <w:pPr>
        <w:widowControl w:val="0"/>
        <w:autoSpaceDE w:val="0"/>
        <w:autoSpaceDN w:val="0"/>
        <w:adjustRightInd w:val="0"/>
        <w:spacing w:line="240" w:lineRule="auto"/>
        <w:ind w:left="480" w:hanging="480"/>
        <w:rPr>
          <w:rFonts w:ascii="Arial" w:hAnsi="Arial" w:cs="Arial"/>
          <w:noProof/>
          <w:szCs w:val="24"/>
        </w:rPr>
      </w:pPr>
      <w:r w:rsidRPr="007A40D4">
        <w:rPr>
          <w:rFonts w:ascii="Arial" w:hAnsi="Arial" w:cs="Arial"/>
          <w:noProof/>
          <w:szCs w:val="24"/>
        </w:rPr>
        <w:t xml:space="preserve">John, D., Hussin, N., Shahibi, M. S., Ahmad, M., Hashim, H., &amp; Ametefe, D. S. (2023). A systematic review on the factors governing precision agriculture adoption among small-scale farmers. </w:t>
      </w:r>
      <w:r w:rsidRPr="007A40D4">
        <w:rPr>
          <w:rFonts w:ascii="Arial" w:hAnsi="Arial" w:cs="Arial"/>
          <w:i/>
          <w:iCs/>
          <w:noProof/>
          <w:szCs w:val="24"/>
        </w:rPr>
        <w:t>Outlook on Agriculture</w:t>
      </w:r>
      <w:r w:rsidRPr="007A40D4">
        <w:rPr>
          <w:rFonts w:ascii="Arial" w:hAnsi="Arial" w:cs="Arial"/>
          <w:noProof/>
          <w:szCs w:val="24"/>
        </w:rPr>
        <w:t xml:space="preserve">, </w:t>
      </w:r>
      <w:r w:rsidRPr="007A40D4">
        <w:rPr>
          <w:rFonts w:ascii="Arial" w:hAnsi="Arial" w:cs="Arial"/>
          <w:i/>
          <w:iCs/>
          <w:noProof/>
          <w:szCs w:val="24"/>
        </w:rPr>
        <w:t>52</w:t>
      </w:r>
      <w:r w:rsidRPr="007A40D4">
        <w:rPr>
          <w:rFonts w:ascii="Arial" w:hAnsi="Arial" w:cs="Arial"/>
          <w:noProof/>
          <w:szCs w:val="24"/>
        </w:rPr>
        <w:t>(4), 469–485. https://doi.org/10.1177/00307270231205640</w:t>
      </w:r>
    </w:p>
    <w:p w14:paraId="2F84ED01" w14:textId="77777777" w:rsidR="007A40D4" w:rsidRPr="007A40D4" w:rsidRDefault="007A40D4" w:rsidP="007A40D4">
      <w:pPr>
        <w:widowControl w:val="0"/>
        <w:autoSpaceDE w:val="0"/>
        <w:autoSpaceDN w:val="0"/>
        <w:adjustRightInd w:val="0"/>
        <w:spacing w:line="240" w:lineRule="auto"/>
        <w:ind w:left="480" w:hanging="480"/>
        <w:rPr>
          <w:rFonts w:ascii="Arial" w:hAnsi="Arial" w:cs="Arial"/>
          <w:noProof/>
          <w:szCs w:val="24"/>
        </w:rPr>
      </w:pPr>
      <w:r w:rsidRPr="007A40D4">
        <w:rPr>
          <w:rFonts w:ascii="Arial" w:hAnsi="Arial" w:cs="Arial"/>
          <w:noProof/>
          <w:szCs w:val="24"/>
        </w:rPr>
        <w:t xml:space="preserve">Kabir, K. H., Rahman, S., Hasan, M. M., Chowdhury, A., &amp; Gow, G. (2023). Facebook for digital agricultural extension services: The case of rooftop gardeners in Bangladesh. </w:t>
      </w:r>
      <w:r w:rsidRPr="007A40D4">
        <w:rPr>
          <w:rFonts w:ascii="Arial" w:hAnsi="Arial" w:cs="Arial"/>
          <w:i/>
          <w:iCs/>
          <w:noProof/>
          <w:szCs w:val="24"/>
        </w:rPr>
        <w:t>Smart Agricultural Technology</w:t>
      </w:r>
      <w:r w:rsidRPr="007A40D4">
        <w:rPr>
          <w:rFonts w:ascii="Arial" w:hAnsi="Arial" w:cs="Arial"/>
          <w:noProof/>
          <w:szCs w:val="24"/>
        </w:rPr>
        <w:t xml:space="preserve">, </w:t>
      </w:r>
      <w:r w:rsidRPr="007A40D4">
        <w:rPr>
          <w:rFonts w:ascii="Arial" w:hAnsi="Arial" w:cs="Arial"/>
          <w:i/>
          <w:iCs/>
          <w:noProof/>
          <w:szCs w:val="24"/>
        </w:rPr>
        <w:t>6</w:t>
      </w:r>
      <w:r w:rsidRPr="007A40D4">
        <w:rPr>
          <w:rFonts w:ascii="Arial" w:hAnsi="Arial" w:cs="Arial"/>
          <w:noProof/>
          <w:szCs w:val="24"/>
        </w:rPr>
        <w:t>(July), 100338. https://doi.org/10.1016/j.atech.2023.100338</w:t>
      </w:r>
    </w:p>
    <w:p w14:paraId="19851B74" w14:textId="77777777" w:rsidR="007A40D4" w:rsidRPr="007A40D4" w:rsidRDefault="007A40D4" w:rsidP="007A40D4">
      <w:pPr>
        <w:widowControl w:val="0"/>
        <w:autoSpaceDE w:val="0"/>
        <w:autoSpaceDN w:val="0"/>
        <w:adjustRightInd w:val="0"/>
        <w:spacing w:line="240" w:lineRule="auto"/>
        <w:ind w:left="480" w:hanging="480"/>
        <w:rPr>
          <w:rFonts w:ascii="Arial" w:hAnsi="Arial" w:cs="Arial"/>
          <w:noProof/>
          <w:szCs w:val="24"/>
        </w:rPr>
      </w:pPr>
      <w:r w:rsidRPr="007A40D4">
        <w:rPr>
          <w:rFonts w:ascii="Arial" w:hAnsi="Arial" w:cs="Arial"/>
          <w:noProof/>
          <w:szCs w:val="24"/>
        </w:rPr>
        <w:t xml:space="preserve">Klerkx, L., Jakku, E., &amp; Labarthe, P. (2019). A review of social science on digital agriculture, smart farming and agriculture 4.0: New contributions and a future research agenda. </w:t>
      </w:r>
      <w:r w:rsidRPr="007A40D4">
        <w:rPr>
          <w:rFonts w:ascii="Arial" w:hAnsi="Arial" w:cs="Arial"/>
          <w:i/>
          <w:iCs/>
          <w:noProof/>
          <w:szCs w:val="24"/>
        </w:rPr>
        <w:t>NJAS - Wageningen Journal of Life Sciences</w:t>
      </w:r>
      <w:r w:rsidRPr="007A40D4">
        <w:rPr>
          <w:rFonts w:ascii="Arial" w:hAnsi="Arial" w:cs="Arial"/>
          <w:noProof/>
          <w:szCs w:val="24"/>
        </w:rPr>
        <w:t xml:space="preserve">, </w:t>
      </w:r>
      <w:r w:rsidRPr="007A40D4">
        <w:rPr>
          <w:rFonts w:ascii="Arial" w:hAnsi="Arial" w:cs="Arial"/>
          <w:i/>
          <w:iCs/>
          <w:noProof/>
          <w:szCs w:val="24"/>
        </w:rPr>
        <w:t>90</w:t>
      </w:r>
      <w:r w:rsidRPr="007A40D4">
        <w:rPr>
          <w:rFonts w:ascii="Arial" w:hAnsi="Arial" w:cs="Arial"/>
          <w:noProof/>
          <w:szCs w:val="24"/>
        </w:rPr>
        <w:t>–</w:t>
      </w:r>
      <w:r w:rsidRPr="007A40D4">
        <w:rPr>
          <w:rFonts w:ascii="Arial" w:hAnsi="Arial" w:cs="Arial"/>
          <w:i/>
          <w:iCs/>
          <w:noProof/>
          <w:szCs w:val="24"/>
        </w:rPr>
        <w:t>91</w:t>
      </w:r>
      <w:r w:rsidRPr="007A40D4">
        <w:rPr>
          <w:rFonts w:ascii="Arial" w:hAnsi="Arial" w:cs="Arial"/>
          <w:noProof/>
          <w:szCs w:val="24"/>
        </w:rPr>
        <w:t>, 100315. https://doi.org/10.1016/j.njas.2019.100315</w:t>
      </w:r>
    </w:p>
    <w:p w14:paraId="227AEDAF" w14:textId="77777777" w:rsidR="007A40D4" w:rsidRPr="007A40D4" w:rsidRDefault="007A40D4" w:rsidP="007A40D4">
      <w:pPr>
        <w:widowControl w:val="0"/>
        <w:autoSpaceDE w:val="0"/>
        <w:autoSpaceDN w:val="0"/>
        <w:adjustRightInd w:val="0"/>
        <w:spacing w:line="240" w:lineRule="auto"/>
        <w:ind w:left="480" w:hanging="480"/>
        <w:rPr>
          <w:rFonts w:ascii="Arial" w:hAnsi="Arial" w:cs="Arial"/>
          <w:noProof/>
          <w:szCs w:val="24"/>
        </w:rPr>
      </w:pPr>
      <w:r w:rsidRPr="00A6756E">
        <w:rPr>
          <w:rFonts w:ascii="Arial" w:hAnsi="Arial" w:cs="Arial"/>
          <w:noProof/>
          <w:szCs w:val="24"/>
          <w:lang w:val="de-DE"/>
        </w:rPr>
        <w:t xml:space="preserve">Magesa, M. M., Michael, K., &amp; Ko, J. (2014). </w:t>
      </w:r>
      <w:r w:rsidRPr="007A40D4">
        <w:rPr>
          <w:rFonts w:ascii="Arial" w:hAnsi="Arial" w:cs="Arial"/>
          <w:noProof/>
          <w:szCs w:val="24"/>
        </w:rPr>
        <w:t xml:space="preserve">Access to Agricultural Market Information by Rural Farmers in Tanzania. </w:t>
      </w:r>
      <w:r w:rsidRPr="007A40D4">
        <w:rPr>
          <w:rFonts w:ascii="Arial" w:hAnsi="Arial" w:cs="Arial"/>
          <w:i/>
          <w:iCs/>
          <w:noProof/>
          <w:szCs w:val="24"/>
        </w:rPr>
        <w:t>International Journal of Information and Communication Technology Research</w:t>
      </w:r>
      <w:r w:rsidRPr="007A40D4">
        <w:rPr>
          <w:rFonts w:ascii="Arial" w:hAnsi="Arial" w:cs="Arial"/>
          <w:noProof/>
          <w:szCs w:val="24"/>
        </w:rPr>
        <w:t xml:space="preserve">, </w:t>
      </w:r>
      <w:r w:rsidRPr="007A40D4">
        <w:rPr>
          <w:rFonts w:ascii="Arial" w:hAnsi="Arial" w:cs="Arial"/>
          <w:i/>
          <w:iCs/>
          <w:noProof/>
          <w:szCs w:val="24"/>
        </w:rPr>
        <w:t>4</w:t>
      </w:r>
      <w:r w:rsidRPr="007A40D4">
        <w:rPr>
          <w:rFonts w:ascii="Arial" w:hAnsi="Arial" w:cs="Arial"/>
          <w:noProof/>
          <w:szCs w:val="24"/>
        </w:rPr>
        <w:t>(7), 7–9. http://41.59.85.213/handle/20.500.12479/470</w:t>
      </w:r>
    </w:p>
    <w:p w14:paraId="60FD236C" w14:textId="77777777" w:rsidR="007A40D4" w:rsidRPr="007A40D4" w:rsidRDefault="007A40D4" w:rsidP="007A40D4">
      <w:pPr>
        <w:widowControl w:val="0"/>
        <w:autoSpaceDE w:val="0"/>
        <w:autoSpaceDN w:val="0"/>
        <w:adjustRightInd w:val="0"/>
        <w:spacing w:line="240" w:lineRule="auto"/>
        <w:ind w:left="480" w:hanging="480"/>
        <w:rPr>
          <w:rFonts w:ascii="Arial" w:hAnsi="Arial" w:cs="Arial"/>
          <w:noProof/>
          <w:szCs w:val="24"/>
        </w:rPr>
      </w:pPr>
      <w:r w:rsidRPr="007A40D4">
        <w:rPr>
          <w:rFonts w:ascii="Arial" w:hAnsi="Arial" w:cs="Arial"/>
          <w:noProof/>
          <w:szCs w:val="24"/>
        </w:rPr>
        <w:t xml:space="preserve">Mastenbroek, A., Sirutyte, I., &amp; Sparrow, R. (2021). Information Barriers to Adoption of Agricultural Technologies: Willingness to Pay for Certified Seed of an Open Pollinated Maize Variety in Northern Uganda. </w:t>
      </w:r>
      <w:r w:rsidRPr="007A40D4">
        <w:rPr>
          <w:rFonts w:ascii="Arial" w:hAnsi="Arial" w:cs="Arial"/>
          <w:i/>
          <w:iCs/>
          <w:noProof/>
          <w:szCs w:val="24"/>
        </w:rPr>
        <w:t>Journal of Agricultural Economics</w:t>
      </w:r>
      <w:r w:rsidRPr="007A40D4">
        <w:rPr>
          <w:rFonts w:ascii="Arial" w:hAnsi="Arial" w:cs="Arial"/>
          <w:noProof/>
          <w:szCs w:val="24"/>
        </w:rPr>
        <w:t xml:space="preserve">, </w:t>
      </w:r>
      <w:r w:rsidRPr="007A40D4">
        <w:rPr>
          <w:rFonts w:ascii="Arial" w:hAnsi="Arial" w:cs="Arial"/>
          <w:i/>
          <w:iCs/>
          <w:noProof/>
          <w:szCs w:val="24"/>
        </w:rPr>
        <w:t>72</w:t>
      </w:r>
      <w:r w:rsidRPr="007A40D4">
        <w:rPr>
          <w:rFonts w:ascii="Arial" w:hAnsi="Arial" w:cs="Arial"/>
          <w:noProof/>
          <w:szCs w:val="24"/>
        </w:rPr>
        <w:t>(1), 180–201. https://doi.org/10.1111/1477-9552.12395</w:t>
      </w:r>
    </w:p>
    <w:p w14:paraId="6A44BFB2" w14:textId="77777777" w:rsidR="007A40D4" w:rsidRPr="007A40D4" w:rsidRDefault="007A40D4" w:rsidP="007A40D4">
      <w:pPr>
        <w:widowControl w:val="0"/>
        <w:autoSpaceDE w:val="0"/>
        <w:autoSpaceDN w:val="0"/>
        <w:adjustRightInd w:val="0"/>
        <w:spacing w:line="240" w:lineRule="auto"/>
        <w:ind w:left="480" w:hanging="480"/>
        <w:rPr>
          <w:rFonts w:ascii="Arial" w:hAnsi="Arial" w:cs="Arial"/>
          <w:noProof/>
          <w:szCs w:val="24"/>
        </w:rPr>
      </w:pPr>
      <w:r w:rsidRPr="007A40D4">
        <w:rPr>
          <w:rFonts w:ascii="Arial" w:hAnsi="Arial" w:cs="Arial"/>
          <w:noProof/>
          <w:szCs w:val="24"/>
        </w:rPr>
        <w:t xml:space="preserve">Oladoyinbo, O. B. (2023). Comprehensive synthesis and integrative review of agricultural dynamics in southwest Nigeria: Assessing economic viability, technological advances, and rural development approaches. </w:t>
      </w:r>
      <w:r w:rsidRPr="007A40D4">
        <w:rPr>
          <w:rFonts w:ascii="Arial" w:hAnsi="Arial" w:cs="Arial"/>
          <w:i/>
          <w:iCs/>
          <w:noProof/>
          <w:szCs w:val="24"/>
        </w:rPr>
        <w:t>Technological Advances, and Rural Development Approaches</w:t>
      </w:r>
      <w:r w:rsidRPr="007A40D4">
        <w:rPr>
          <w:rFonts w:ascii="Arial" w:hAnsi="Arial" w:cs="Arial"/>
          <w:noProof/>
          <w:szCs w:val="24"/>
        </w:rPr>
        <w:t xml:space="preserve">, </w:t>
      </w:r>
      <w:r w:rsidRPr="007A40D4">
        <w:rPr>
          <w:rFonts w:ascii="Arial" w:hAnsi="Arial" w:cs="Arial"/>
          <w:i/>
          <w:iCs/>
          <w:noProof/>
          <w:szCs w:val="24"/>
        </w:rPr>
        <w:t>23529</w:t>
      </w:r>
      <w:r w:rsidRPr="007A40D4">
        <w:rPr>
          <w:rFonts w:ascii="Arial" w:hAnsi="Arial" w:cs="Arial"/>
          <w:noProof/>
          <w:szCs w:val="24"/>
        </w:rPr>
        <w:t>(2), 1–45.</w:t>
      </w:r>
    </w:p>
    <w:p w14:paraId="6A7B0B38" w14:textId="77777777" w:rsidR="007A40D4" w:rsidRPr="007A40D4" w:rsidRDefault="007A40D4" w:rsidP="007A40D4">
      <w:pPr>
        <w:widowControl w:val="0"/>
        <w:autoSpaceDE w:val="0"/>
        <w:autoSpaceDN w:val="0"/>
        <w:adjustRightInd w:val="0"/>
        <w:spacing w:line="240" w:lineRule="auto"/>
        <w:ind w:left="480" w:hanging="480"/>
        <w:rPr>
          <w:rFonts w:ascii="Arial" w:hAnsi="Arial" w:cs="Arial"/>
          <w:noProof/>
          <w:szCs w:val="24"/>
        </w:rPr>
      </w:pPr>
      <w:r w:rsidRPr="007A40D4">
        <w:rPr>
          <w:rFonts w:ascii="Arial" w:hAnsi="Arial" w:cs="Arial"/>
          <w:noProof/>
          <w:szCs w:val="24"/>
        </w:rPr>
        <w:t xml:space="preserve">Panda, R., &amp; Sinha, B. (2019). AN EXPLORATORY STUDY ON IMPACT OF SOCIAL MEDIA ON AGRICULTURE DEVELOPMENT FROM FARMERS GROWTH PERSPECTIVE. </w:t>
      </w:r>
      <w:r w:rsidRPr="007A40D4">
        <w:rPr>
          <w:rFonts w:ascii="Arial" w:hAnsi="Arial" w:cs="Arial"/>
          <w:i/>
          <w:iCs/>
          <w:noProof/>
          <w:szCs w:val="24"/>
        </w:rPr>
        <w:t>The Online Journal of Distance Education and E-Learning</w:t>
      </w:r>
      <w:r w:rsidRPr="007A40D4">
        <w:rPr>
          <w:rFonts w:ascii="Arial" w:hAnsi="Arial" w:cs="Arial"/>
          <w:noProof/>
          <w:szCs w:val="24"/>
        </w:rPr>
        <w:t xml:space="preserve">, </w:t>
      </w:r>
      <w:r w:rsidRPr="007A40D4">
        <w:rPr>
          <w:rFonts w:ascii="Arial" w:hAnsi="Arial" w:cs="Arial"/>
          <w:i/>
          <w:iCs/>
          <w:noProof/>
          <w:szCs w:val="24"/>
        </w:rPr>
        <w:t>05</w:t>
      </w:r>
      <w:r w:rsidRPr="007A40D4">
        <w:rPr>
          <w:rFonts w:ascii="Arial" w:hAnsi="Arial" w:cs="Arial"/>
          <w:noProof/>
          <w:szCs w:val="24"/>
        </w:rPr>
        <w:t>(04), 32–37. https://doi.org/10.35337/eijfmr.2019.5406</w:t>
      </w:r>
    </w:p>
    <w:p w14:paraId="0D6A5158" w14:textId="77777777" w:rsidR="007A40D4" w:rsidRPr="007A40D4" w:rsidRDefault="007A40D4" w:rsidP="007A40D4">
      <w:pPr>
        <w:widowControl w:val="0"/>
        <w:autoSpaceDE w:val="0"/>
        <w:autoSpaceDN w:val="0"/>
        <w:adjustRightInd w:val="0"/>
        <w:spacing w:line="240" w:lineRule="auto"/>
        <w:ind w:left="480" w:hanging="480"/>
        <w:rPr>
          <w:rFonts w:ascii="Arial" w:hAnsi="Arial" w:cs="Arial"/>
          <w:noProof/>
          <w:szCs w:val="24"/>
        </w:rPr>
      </w:pPr>
      <w:r w:rsidRPr="007A40D4">
        <w:rPr>
          <w:rFonts w:ascii="Arial" w:hAnsi="Arial" w:cs="Arial"/>
          <w:noProof/>
          <w:szCs w:val="24"/>
        </w:rPr>
        <w:t xml:space="preserve">Raidimi, E. N. and Kabiti, H. M. (2019). A REVIEW OF THE ROLE OF AGRICULTURAL EXTENSION AND TRAINING IN ACHIEVING SUSTAINABLE FOOD SECURITY: A CASE OF SOUTH AFRICA. </w:t>
      </w:r>
      <w:r w:rsidRPr="007A40D4">
        <w:rPr>
          <w:rFonts w:ascii="Arial" w:hAnsi="Arial" w:cs="Arial"/>
          <w:i/>
          <w:iCs/>
          <w:noProof/>
          <w:szCs w:val="24"/>
        </w:rPr>
        <w:t>S. Afr. J. Agric. Ext.</w:t>
      </w:r>
      <w:r w:rsidRPr="007A40D4">
        <w:rPr>
          <w:rFonts w:ascii="Arial" w:hAnsi="Arial" w:cs="Arial"/>
          <w:noProof/>
          <w:szCs w:val="24"/>
        </w:rPr>
        <w:t xml:space="preserve">, </w:t>
      </w:r>
      <w:r w:rsidRPr="007A40D4">
        <w:rPr>
          <w:rFonts w:ascii="Arial" w:hAnsi="Arial" w:cs="Arial"/>
          <w:i/>
          <w:iCs/>
          <w:noProof/>
          <w:szCs w:val="24"/>
        </w:rPr>
        <w:t>47</w:t>
      </w:r>
      <w:r w:rsidRPr="007A40D4">
        <w:rPr>
          <w:rFonts w:ascii="Arial" w:hAnsi="Arial" w:cs="Arial"/>
          <w:noProof/>
          <w:szCs w:val="24"/>
        </w:rPr>
        <w:t>(3), 120–130.</w:t>
      </w:r>
    </w:p>
    <w:p w14:paraId="42BF42F5" w14:textId="77777777" w:rsidR="007A40D4" w:rsidRPr="007A40D4" w:rsidRDefault="007A40D4" w:rsidP="007A40D4">
      <w:pPr>
        <w:widowControl w:val="0"/>
        <w:autoSpaceDE w:val="0"/>
        <w:autoSpaceDN w:val="0"/>
        <w:adjustRightInd w:val="0"/>
        <w:spacing w:line="240" w:lineRule="auto"/>
        <w:ind w:left="480" w:hanging="480"/>
        <w:rPr>
          <w:rFonts w:ascii="Arial" w:hAnsi="Arial" w:cs="Arial"/>
          <w:noProof/>
          <w:szCs w:val="24"/>
        </w:rPr>
      </w:pPr>
      <w:r w:rsidRPr="007A40D4">
        <w:rPr>
          <w:rFonts w:ascii="Arial" w:hAnsi="Arial" w:cs="Arial"/>
          <w:noProof/>
          <w:szCs w:val="24"/>
        </w:rPr>
        <w:t xml:space="preserve">Ramavhale, P. M., Zwane, E. M., &amp; Belete, A. (2024). The Benefits of Social Media Platforms Used in Agriculture for Information Dissemination. </w:t>
      </w:r>
      <w:r w:rsidRPr="007A40D4">
        <w:rPr>
          <w:rFonts w:ascii="Arial" w:hAnsi="Arial" w:cs="Arial"/>
          <w:i/>
          <w:iCs/>
          <w:noProof/>
          <w:szCs w:val="24"/>
        </w:rPr>
        <w:t>S. Afr. J. Agric. Ext.</w:t>
      </w:r>
      <w:r w:rsidRPr="007A40D4">
        <w:rPr>
          <w:rFonts w:ascii="Arial" w:hAnsi="Arial" w:cs="Arial"/>
          <w:noProof/>
          <w:szCs w:val="24"/>
        </w:rPr>
        <w:t xml:space="preserve">, </w:t>
      </w:r>
      <w:r w:rsidRPr="007A40D4">
        <w:rPr>
          <w:rFonts w:ascii="Arial" w:hAnsi="Arial" w:cs="Arial"/>
          <w:i/>
          <w:iCs/>
          <w:noProof/>
          <w:szCs w:val="24"/>
        </w:rPr>
        <w:t>15</w:t>
      </w:r>
      <w:r w:rsidRPr="007A40D4">
        <w:rPr>
          <w:rFonts w:ascii="Arial" w:hAnsi="Arial" w:cs="Arial"/>
          <w:noProof/>
          <w:szCs w:val="24"/>
        </w:rPr>
        <w:t>(1), 72–86. https://doi.org/10.25130/sc.24.1.6</w:t>
      </w:r>
    </w:p>
    <w:p w14:paraId="3E788E5D" w14:textId="77777777" w:rsidR="007A40D4" w:rsidRPr="007A40D4" w:rsidRDefault="007A40D4" w:rsidP="007A40D4">
      <w:pPr>
        <w:widowControl w:val="0"/>
        <w:autoSpaceDE w:val="0"/>
        <w:autoSpaceDN w:val="0"/>
        <w:adjustRightInd w:val="0"/>
        <w:spacing w:line="240" w:lineRule="auto"/>
        <w:ind w:left="480" w:hanging="480"/>
        <w:rPr>
          <w:rFonts w:ascii="Arial" w:hAnsi="Arial" w:cs="Arial"/>
          <w:noProof/>
          <w:szCs w:val="24"/>
        </w:rPr>
      </w:pPr>
      <w:r w:rsidRPr="007A40D4">
        <w:rPr>
          <w:rFonts w:ascii="Arial" w:hAnsi="Arial" w:cs="Arial"/>
          <w:noProof/>
          <w:szCs w:val="24"/>
        </w:rPr>
        <w:t xml:space="preserve">Sawe, J. R. (2023). Access to and Use of Agricultural Information for Smallholder Farmers’ Adaptation to Climate Change in Iringa Rural District, Tanzania. </w:t>
      </w:r>
      <w:r w:rsidRPr="007A40D4">
        <w:rPr>
          <w:rFonts w:ascii="Arial" w:hAnsi="Arial" w:cs="Arial"/>
          <w:i/>
          <w:iCs/>
          <w:noProof/>
          <w:szCs w:val="24"/>
        </w:rPr>
        <w:t>University of Dar Es Salaam Library Journal</w:t>
      </w:r>
      <w:r w:rsidRPr="007A40D4">
        <w:rPr>
          <w:rFonts w:ascii="Arial" w:hAnsi="Arial" w:cs="Arial"/>
          <w:noProof/>
          <w:szCs w:val="24"/>
        </w:rPr>
        <w:t xml:space="preserve">, </w:t>
      </w:r>
      <w:r w:rsidRPr="007A40D4">
        <w:rPr>
          <w:rFonts w:ascii="Arial" w:hAnsi="Arial" w:cs="Arial"/>
          <w:i/>
          <w:iCs/>
          <w:noProof/>
          <w:szCs w:val="24"/>
        </w:rPr>
        <w:t>17</w:t>
      </w:r>
      <w:r w:rsidRPr="007A40D4">
        <w:rPr>
          <w:rFonts w:ascii="Arial" w:hAnsi="Arial" w:cs="Arial"/>
          <w:noProof/>
          <w:szCs w:val="24"/>
        </w:rPr>
        <w:t>(2), 54–71. https://doi.org/10.4314/udslj.v17i2.5</w:t>
      </w:r>
    </w:p>
    <w:p w14:paraId="31FA6C10" w14:textId="77777777" w:rsidR="007A40D4" w:rsidRPr="007A40D4" w:rsidRDefault="007A40D4" w:rsidP="007A40D4">
      <w:pPr>
        <w:widowControl w:val="0"/>
        <w:autoSpaceDE w:val="0"/>
        <w:autoSpaceDN w:val="0"/>
        <w:adjustRightInd w:val="0"/>
        <w:spacing w:line="240" w:lineRule="auto"/>
        <w:ind w:left="480" w:hanging="480"/>
        <w:rPr>
          <w:rFonts w:ascii="Arial" w:hAnsi="Arial" w:cs="Arial"/>
          <w:noProof/>
          <w:szCs w:val="24"/>
        </w:rPr>
      </w:pPr>
      <w:r w:rsidRPr="007A40D4">
        <w:rPr>
          <w:rFonts w:ascii="Arial" w:hAnsi="Arial" w:cs="Arial"/>
          <w:noProof/>
          <w:szCs w:val="24"/>
        </w:rPr>
        <w:t xml:space="preserve">Shah, Z., Chu, J., Ghani, U., Qaisar, S., &amp; Hassan, Z. (2020). Media and altruistic behaviors: </w:t>
      </w:r>
      <w:r w:rsidRPr="007A40D4">
        <w:rPr>
          <w:rFonts w:ascii="Arial" w:hAnsi="Arial" w:cs="Arial"/>
          <w:noProof/>
          <w:szCs w:val="24"/>
        </w:rPr>
        <w:lastRenderedPageBreak/>
        <w:t xml:space="preserve">The mediating role of fear of victimization in cultivation theory perspective. </w:t>
      </w:r>
      <w:r w:rsidRPr="007A40D4">
        <w:rPr>
          <w:rFonts w:ascii="Arial" w:hAnsi="Arial" w:cs="Arial"/>
          <w:i/>
          <w:iCs/>
          <w:noProof/>
          <w:szCs w:val="24"/>
        </w:rPr>
        <w:t>International Journal of Disaster Risk Reduction</w:t>
      </w:r>
      <w:r w:rsidRPr="007A40D4">
        <w:rPr>
          <w:rFonts w:ascii="Arial" w:hAnsi="Arial" w:cs="Arial"/>
          <w:noProof/>
          <w:szCs w:val="24"/>
        </w:rPr>
        <w:t xml:space="preserve">, </w:t>
      </w:r>
      <w:r w:rsidRPr="007A40D4">
        <w:rPr>
          <w:rFonts w:ascii="Arial" w:hAnsi="Arial" w:cs="Arial"/>
          <w:i/>
          <w:iCs/>
          <w:noProof/>
          <w:szCs w:val="24"/>
        </w:rPr>
        <w:t>42</w:t>
      </w:r>
      <w:r w:rsidRPr="007A40D4">
        <w:rPr>
          <w:rFonts w:ascii="Arial" w:hAnsi="Arial" w:cs="Arial"/>
          <w:noProof/>
          <w:szCs w:val="24"/>
        </w:rPr>
        <w:t>(May). https://doi.org/10.1016/j.ijdrr.2019.101336</w:t>
      </w:r>
    </w:p>
    <w:p w14:paraId="6F107954" w14:textId="77777777" w:rsidR="007A40D4" w:rsidRPr="007A40D4" w:rsidRDefault="007A40D4" w:rsidP="007A40D4">
      <w:pPr>
        <w:widowControl w:val="0"/>
        <w:autoSpaceDE w:val="0"/>
        <w:autoSpaceDN w:val="0"/>
        <w:adjustRightInd w:val="0"/>
        <w:spacing w:line="240" w:lineRule="auto"/>
        <w:ind w:left="480" w:hanging="480"/>
        <w:rPr>
          <w:rFonts w:ascii="Arial" w:hAnsi="Arial" w:cs="Arial"/>
          <w:noProof/>
          <w:szCs w:val="24"/>
        </w:rPr>
      </w:pPr>
      <w:r w:rsidRPr="00A6756E">
        <w:rPr>
          <w:rFonts w:ascii="Arial" w:hAnsi="Arial" w:cs="Arial"/>
          <w:noProof/>
          <w:szCs w:val="24"/>
          <w:lang w:val="de-DE"/>
        </w:rPr>
        <w:t xml:space="preserve">Steinke, J., van Etten, J., Müller, A., Ortiz-Crespo, B., van de Gevel, J., Silvestri, S., &amp; Priebe, J. (2021). </w:t>
      </w:r>
      <w:r w:rsidRPr="007A40D4">
        <w:rPr>
          <w:rFonts w:ascii="Arial" w:hAnsi="Arial" w:cs="Arial"/>
          <w:noProof/>
          <w:szCs w:val="24"/>
        </w:rPr>
        <w:t xml:space="preserve">Tapping the full potential of the digital revolution for agricultural extension: an emerging innovation agenda. </w:t>
      </w:r>
      <w:r w:rsidRPr="007A40D4">
        <w:rPr>
          <w:rFonts w:ascii="Arial" w:hAnsi="Arial" w:cs="Arial"/>
          <w:i/>
          <w:iCs/>
          <w:noProof/>
          <w:szCs w:val="24"/>
        </w:rPr>
        <w:t>International Journal of Agricultural Sustainability</w:t>
      </w:r>
      <w:r w:rsidRPr="007A40D4">
        <w:rPr>
          <w:rFonts w:ascii="Arial" w:hAnsi="Arial" w:cs="Arial"/>
          <w:noProof/>
          <w:szCs w:val="24"/>
        </w:rPr>
        <w:t xml:space="preserve">, </w:t>
      </w:r>
      <w:r w:rsidRPr="007A40D4">
        <w:rPr>
          <w:rFonts w:ascii="Arial" w:hAnsi="Arial" w:cs="Arial"/>
          <w:i/>
          <w:iCs/>
          <w:noProof/>
          <w:szCs w:val="24"/>
        </w:rPr>
        <w:t>19</w:t>
      </w:r>
      <w:r w:rsidRPr="007A40D4">
        <w:rPr>
          <w:rFonts w:ascii="Arial" w:hAnsi="Arial" w:cs="Arial"/>
          <w:noProof/>
          <w:szCs w:val="24"/>
        </w:rPr>
        <w:t>(5–6), 549–565. https://doi.org/10.1080/14735903.2020.1738754</w:t>
      </w:r>
    </w:p>
    <w:p w14:paraId="660B6B59" w14:textId="77777777" w:rsidR="007A40D4" w:rsidRPr="007A40D4" w:rsidRDefault="007A40D4" w:rsidP="007A40D4">
      <w:pPr>
        <w:widowControl w:val="0"/>
        <w:autoSpaceDE w:val="0"/>
        <w:autoSpaceDN w:val="0"/>
        <w:adjustRightInd w:val="0"/>
        <w:spacing w:line="240" w:lineRule="auto"/>
        <w:ind w:left="480" w:hanging="480"/>
        <w:rPr>
          <w:rFonts w:ascii="Arial" w:hAnsi="Arial" w:cs="Arial"/>
          <w:noProof/>
          <w:szCs w:val="24"/>
        </w:rPr>
      </w:pPr>
      <w:r w:rsidRPr="007A40D4">
        <w:rPr>
          <w:rFonts w:ascii="Arial" w:hAnsi="Arial" w:cs="Arial"/>
          <w:noProof/>
          <w:szCs w:val="24"/>
        </w:rPr>
        <w:t xml:space="preserve">Unay-Gailhard, İ., &amp; Brennen, M. A. (2022). How digital communications contribute to shaping the career paths of youth: a review study focused on farming as a career option. </w:t>
      </w:r>
      <w:r w:rsidRPr="007A40D4">
        <w:rPr>
          <w:rFonts w:ascii="Arial" w:hAnsi="Arial" w:cs="Arial"/>
          <w:i/>
          <w:iCs/>
          <w:noProof/>
          <w:szCs w:val="24"/>
        </w:rPr>
        <w:t>Agriculture and Human Values</w:t>
      </w:r>
      <w:r w:rsidRPr="007A40D4">
        <w:rPr>
          <w:rFonts w:ascii="Arial" w:hAnsi="Arial" w:cs="Arial"/>
          <w:noProof/>
          <w:szCs w:val="24"/>
        </w:rPr>
        <w:t xml:space="preserve">, </w:t>
      </w:r>
      <w:r w:rsidRPr="007A40D4">
        <w:rPr>
          <w:rFonts w:ascii="Arial" w:hAnsi="Arial" w:cs="Arial"/>
          <w:i/>
          <w:iCs/>
          <w:noProof/>
          <w:szCs w:val="24"/>
        </w:rPr>
        <w:t>39</w:t>
      </w:r>
      <w:r w:rsidRPr="007A40D4">
        <w:rPr>
          <w:rFonts w:ascii="Arial" w:hAnsi="Arial" w:cs="Arial"/>
          <w:noProof/>
          <w:szCs w:val="24"/>
        </w:rPr>
        <w:t>(4), 1491–1508. https://doi.org/10.1007/s10460-022-10335-0</w:t>
      </w:r>
    </w:p>
    <w:p w14:paraId="5F221B75" w14:textId="77777777" w:rsidR="007A40D4" w:rsidRPr="007A40D4" w:rsidRDefault="007A40D4" w:rsidP="007A40D4">
      <w:pPr>
        <w:widowControl w:val="0"/>
        <w:autoSpaceDE w:val="0"/>
        <w:autoSpaceDN w:val="0"/>
        <w:adjustRightInd w:val="0"/>
        <w:spacing w:line="240" w:lineRule="auto"/>
        <w:ind w:left="480" w:hanging="480"/>
        <w:rPr>
          <w:rFonts w:ascii="Arial" w:hAnsi="Arial" w:cs="Arial"/>
          <w:noProof/>
          <w:szCs w:val="24"/>
        </w:rPr>
      </w:pPr>
      <w:r w:rsidRPr="007A40D4">
        <w:rPr>
          <w:rFonts w:ascii="Arial" w:hAnsi="Arial" w:cs="Arial"/>
          <w:noProof/>
          <w:szCs w:val="24"/>
        </w:rPr>
        <w:t xml:space="preserve">Wang, S., Li, N., Liu, N., &amp; Habes, M. (2023). Transitioning from Information Sharing to Knowledge Services: Unpacking the Evolution of Rural Media Within the Context of Media Integration. In </w:t>
      </w:r>
      <w:r w:rsidRPr="007A40D4">
        <w:rPr>
          <w:rFonts w:ascii="Arial" w:hAnsi="Arial" w:cs="Arial"/>
          <w:i/>
          <w:iCs/>
          <w:noProof/>
          <w:szCs w:val="24"/>
        </w:rPr>
        <w:t>Journal of the Knowledge Economy</w:t>
      </w:r>
      <w:r w:rsidRPr="007A40D4">
        <w:rPr>
          <w:rFonts w:ascii="Arial" w:hAnsi="Arial" w:cs="Arial"/>
          <w:noProof/>
          <w:szCs w:val="24"/>
        </w:rPr>
        <w:t xml:space="preserve"> (Issue 0123456789). Springer US. https://doi.org/10.1007/s13132-023-01593-2</w:t>
      </w:r>
    </w:p>
    <w:p w14:paraId="3A844773" w14:textId="77777777" w:rsidR="007A40D4" w:rsidRPr="007A40D4" w:rsidRDefault="007A40D4" w:rsidP="007A40D4">
      <w:pPr>
        <w:widowControl w:val="0"/>
        <w:autoSpaceDE w:val="0"/>
        <w:autoSpaceDN w:val="0"/>
        <w:adjustRightInd w:val="0"/>
        <w:spacing w:line="240" w:lineRule="auto"/>
        <w:ind w:left="480" w:hanging="480"/>
        <w:rPr>
          <w:rFonts w:ascii="Arial" w:hAnsi="Arial" w:cs="Arial"/>
          <w:noProof/>
          <w:szCs w:val="24"/>
        </w:rPr>
      </w:pPr>
      <w:r w:rsidRPr="00A6756E">
        <w:rPr>
          <w:rFonts w:ascii="Arial" w:hAnsi="Arial" w:cs="Arial"/>
          <w:noProof/>
          <w:szCs w:val="24"/>
          <w:lang w:val="de-DE"/>
        </w:rPr>
        <w:t xml:space="preserve">Wann, T., Khongtim, J., &amp; Chyne, R. C. (2024). </w:t>
      </w:r>
      <w:r w:rsidRPr="007A40D4">
        <w:rPr>
          <w:rFonts w:ascii="Arial" w:hAnsi="Arial" w:cs="Arial"/>
          <w:noProof/>
          <w:szCs w:val="24"/>
        </w:rPr>
        <w:t xml:space="preserve">Assessing the impact of information literacy on farmers’ decision-making processes: A mixed-methods approach. </w:t>
      </w:r>
      <w:r w:rsidRPr="007A40D4">
        <w:rPr>
          <w:rFonts w:ascii="Arial" w:hAnsi="Arial" w:cs="Arial"/>
          <w:i/>
          <w:iCs/>
          <w:noProof/>
          <w:szCs w:val="24"/>
        </w:rPr>
        <w:t>IFLA Journal</w:t>
      </w:r>
      <w:r w:rsidRPr="007A40D4">
        <w:rPr>
          <w:rFonts w:ascii="Arial" w:hAnsi="Arial" w:cs="Arial"/>
          <w:noProof/>
          <w:szCs w:val="24"/>
        </w:rPr>
        <w:t xml:space="preserve">, </w:t>
      </w:r>
      <w:r w:rsidRPr="007A40D4">
        <w:rPr>
          <w:rFonts w:ascii="Arial" w:hAnsi="Arial" w:cs="Arial"/>
          <w:i/>
          <w:iCs/>
          <w:noProof/>
          <w:szCs w:val="24"/>
        </w:rPr>
        <w:t>50</w:t>
      </w:r>
      <w:r w:rsidRPr="007A40D4">
        <w:rPr>
          <w:rFonts w:ascii="Arial" w:hAnsi="Arial" w:cs="Arial"/>
          <w:noProof/>
          <w:szCs w:val="24"/>
        </w:rPr>
        <w:t>(3), 463–478. https://doi.org/10.1177/03400352241261730</w:t>
      </w:r>
    </w:p>
    <w:p w14:paraId="7FB5C87C" w14:textId="77777777" w:rsidR="007A40D4" w:rsidRPr="007A40D4" w:rsidRDefault="007A40D4" w:rsidP="007A40D4">
      <w:pPr>
        <w:widowControl w:val="0"/>
        <w:autoSpaceDE w:val="0"/>
        <w:autoSpaceDN w:val="0"/>
        <w:adjustRightInd w:val="0"/>
        <w:spacing w:line="240" w:lineRule="auto"/>
        <w:ind w:left="480" w:hanging="480"/>
        <w:rPr>
          <w:rFonts w:ascii="Arial" w:hAnsi="Arial" w:cs="Arial"/>
          <w:noProof/>
        </w:rPr>
      </w:pPr>
      <w:r w:rsidRPr="007A40D4">
        <w:rPr>
          <w:rFonts w:ascii="Arial" w:hAnsi="Arial" w:cs="Arial"/>
          <w:noProof/>
          <w:szCs w:val="24"/>
        </w:rPr>
        <w:t xml:space="preserve">Yadav, J., Yadav, A., Misra, M., Zhou, J., &amp; Rana, N. P. (2023). Role of Social Media in Technology Adoption for Sustainable Agriculture Practices: Evidence from Twitter Analytics. </w:t>
      </w:r>
      <w:r w:rsidRPr="007A40D4">
        <w:rPr>
          <w:rFonts w:ascii="Arial" w:hAnsi="Arial" w:cs="Arial"/>
          <w:i/>
          <w:iCs/>
          <w:noProof/>
          <w:szCs w:val="24"/>
        </w:rPr>
        <w:t>Communications of the Association for Information Systems</w:t>
      </w:r>
      <w:r w:rsidRPr="007A40D4">
        <w:rPr>
          <w:rFonts w:ascii="Arial" w:hAnsi="Arial" w:cs="Arial"/>
          <w:noProof/>
          <w:szCs w:val="24"/>
        </w:rPr>
        <w:t xml:space="preserve">, </w:t>
      </w:r>
      <w:r w:rsidRPr="007A40D4">
        <w:rPr>
          <w:rFonts w:ascii="Arial" w:hAnsi="Arial" w:cs="Arial"/>
          <w:i/>
          <w:iCs/>
          <w:noProof/>
          <w:szCs w:val="24"/>
        </w:rPr>
        <w:t>52</w:t>
      </w:r>
      <w:r w:rsidRPr="007A40D4">
        <w:rPr>
          <w:rFonts w:ascii="Arial" w:hAnsi="Arial" w:cs="Arial"/>
          <w:noProof/>
          <w:szCs w:val="24"/>
        </w:rPr>
        <w:t>, 833–852. https://doi.org/10.17705/1CAIS.05240</w:t>
      </w:r>
    </w:p>
    <w:p w14:paraId="7BD948B6" w14:textId="77777777" w:rsidR="00CF6865" w:rsidRPr="00AF463B" w:rsidRDefault="007A40D4" w:rsidP="008028AF">
      <w:pPr>
        <w:rPr>
          <w:rFonts w:ascii="Arial" w:hAnsi="Arial" w:cs="Arial"/>
          <w:b/>
        </w:rPr>
      </w:pPr>
      <w:r>
        <w:rPr>
          <w:rFonts w:ascii="Arial" w:hAnsi="Arial" w:cs="Arial"/>
          <w:b/>
        </w:rPr>
        <w:fldChar w:fldCharType="end"/>
      </w:r>
    </w:p>
    <w:sectPr w:rsidR="00CF6865" w:rsidRPr="00AF463B">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67464E8" w14:textId="77777777" w:rsidR="004D7C55" w:rsidRDefault="004D7C55" w:rsidP="00A6756E">
      <w:pPr>
        <w:spacing w:after="0" w:line="240" w:lineRule="auto"/>
      </w:pPr>
      <w:r>
        <w:separator/>
      </w:r>
    </w:p>
  </w:endnote>
  <w:endnote w:type="continuationSeparator" w:id="0">
    <w:p w14:paraId="7B1BFD7F" w14:textId="77777777" w:rsidR="004D7C55" w:rsidRDefault="004D7C55" w:rsidP="00A6756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F81B459" w14:textId="77777777" w:rsidR="00A6756E" w:rsidRDefault="00A6756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F0FD493" w14:textId="77777777" w:rsidR="00A6756E" w:rsidRDefault="00A6756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88F2CD4" w14:textId="77777777" w:rsidR="00A6756E" w:rsidRDefault="00A6756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AC3DBE4" w14:textId="77777777" w:rsidR="004D7C55" w:rsidRDefault="004D7C55" w:rsidP="00A6756E">
      <w:pPr>
        <w:spacing w:after="0" w:line="240" w:lineRule="auto"/>
      </w:pPr>
      <w:r>
        <w:separator/>
      </w:r>
    </w:p>
  </w:footnote>
  <w:footnote w:type="continuationSeparator" w:id="0">
    <w:p w14:paraId="72CB0C85" w14:textId="77777777" w:rsidR="004D7C55" w:rsidRDefault="004D7C55" w:rsidP="00A6756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A3E4DFE" w14:textId="3B8715B1" w:rsidR="00A6756E" w:rsidRDefault="00A6756E">
    <w:pPr>
      <w:pStyle w:val="Header"/>
    </w:pPr>
    <w:r>
      <w:rPr>
        <w:noProof/>
      </w:rPr>
      <w:pict w14:anchorId="75543BC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97946844" o:spid="_x0000_s1026"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65AB4DE" w14:textId="3C8DE2C1" w:rsidR="00A6756E" w:rsidRDefault="00A6756E">
    <w:pPr>
      <w:pStyle w:val="Header"/>
    </w:pPr>
    <w:r>
      <w:rPr>
        <w:noProof/>
      </w:rPr>
      <w:pict w14:anchorId="2042C50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97946845" o:spid="_x0000_s1027"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3EC93B0" w14:textId="0E3B36B8" w:rsidR="00A6756E" w:rsidRDefault="00A6756E">
    <w:pPr>
      <w:pStyle w:val="Header"/>
    </w:pPr>
    <w:r>
      <w:rPr>
        <w:noProof/>
      </w:rPr>
      <w:pict w14:anchorId="36203FC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97946843" o:spid="_x0000_s1025"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6AA2460"/>
    <w:multiLevelType w:val="multilevel"/>
    <w:tmpl w:val="67E8C7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E276861"/>
    <w:multiLevelType w:val="multilevel"/>
    <w:tmpl w:val="3A8692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BFC14CB"/>
    <w:multiLevelType w:val="hybridMultilevel"/>
    <w:tmpl w:val="8CC4AB6C"/>
    <w:lvl w:ilvl="0" w:tplc="2F9CCD5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09C5AD0"/>
    <w:multiLevelType w:val="multilevel"/>
    <w:tmpl w:val="55C6EB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74120926">
    <w:abstractNumId w:val="0"/>
  </w:num>
  <w:num w:numId="2" w16cid:durableId="1682731201">
    <w:abstractNumId w:val="1"/>
  </w:num>
  <w:num w:numId="3" w16cid:durableId="384572505">
    <w:abstractNumId w:val="2"/>
  </w:num>
  <w:num w:numId="4" w16cid:durableId="195809994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439CC"/>
    <w:rsid w:val="00007321"/>
    <w:rsid w:val="000A25ED"/>
    <w:rsid w:val="001423DF"/>
    <w:rsid w:val="0015088D"/>
    <w:rsid w:val="001B20AB"/>
    <w:rsid w:val="001C2D44"/>
    <w:rsid w:val="001C393B"/>
    <w:rsid w:val="002029DA"/>
    <w:rsid w:val="00286EB1"/>
    <w:rsid w:val="00305A41"/>
    <w:rsid w:val="00315D2D"/>
    <w:rsid w:val="0034657C"/>
    <w:rsid w:val="00355CAF"/>
    <w:rsid w:val="00361722"/>
    <w:rsid w:val="00402BE7"/>
    <w:rsid w:val="004A2AC8"/>
    <w:rsid w:val="004A7EFD"/>
    <w:rsid w:val="004D3EAA"/>
    <w:rsid w:val="004D7C55"/>
    <w:rsid w:val="004F29E6"/>
    <w:rsid w:val="0051709B"/>
    <w:rsid w:val="0054724C"/>
    <w:rsid w:val="00547A8C"/>
    <w:rsid w:val="00613804"/>
    <w:rsid w:val="00675E45"/>
    <w:rsid w:val="00756DB5"/>
    <w:rsid w:val="00773BFC"/>
    <w:rsid w:val="007A40D4"/>
    <w:rsid w:val="007A7F99"/>
    <w:rsid w:val="007B0840"/>
    <w:rsid w:val="007C3DA1"/>
    <w:rsid w:val="008028AF"/>
    <w:rsid w:val="00864D3A"/>
    <w:rsid w:val="00883931"/>
    <w:rsid w:val="008C41EC"/>
    <w:rsid w:val="008F79D3"/>
    <w:rsid w:val="00906161"/>
    <w:rsid w:val="00907158"/>
    <w:rsid w:val="00926DC6"/>
    <w:rsid w:val="00954348"/>
    <w:rsid w:val="0096500C"/>
    <w:rsid w:val="009F359A"/>
    <w:rsid w:val="00A439CC"/>
    <w:rsid w:val="00A6306F"/>
    <w:rsid w:val="00A6756E"/>
    <w:rsid w:val="00A94D2A"/>
    <w:rsid w:val="00AA78A4"/>
    <w:rsid w:val="00AE6EF9"/>
    <w:rsid w:val="00AF463B"/>
    <w:rsid w:val="00B15E96"/>
    <w:rsid w:val="00B400C8"/>
    <w:rsid w:val="00B942F4"/>
    <w:rsid w:val="00BD378D"/>
    <w:rsid w:val="00BE6FDF"/>
    <w:rsid w:val="00BF6505"/>
    <w:rsid w:val="00C05ECE"/>
    <w:rsid w:val="00C6315D"/>
    <w:rsid w:val="00C83815"/>
    <w:rsid w:val="00C97F75"/>
    <w:rsid w:val="00CB452F"/>
    <w:rsid w:val="00CF145D"/>
    <w:rsid w:val="00CF6865"/>
    <w:rsid w:val="00D27067"/>
    <w:rsid w:val="00D43759"/>
    <w:rsid w:val="00DB1537"/>
    <w:rsid w:val="00DC3340"/>
    <w:rsid w:val="00E26931"/>
    <w:rsid w:val="00E56066"/>
    <w:rsid w:val="00EC13D8"/>
    <w:rsid w:val="00EF233C"/>
    <w:rsid w:val="00F36CCA"/>
    <w:rsid w:val="00F86ED8"/>
    <w:rsid w:val="00FC008D"/>
    <w:rsid w:val="00FD31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85EF638"/>
  <w15:chartTrackingRefBased/>
  <w15:docId w15:val="{C9782B48-3916-4D55-8734-23FA1E3B07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link w:val="Heading3Char"/>
    <w:uiPriority w:val="9"/>
    <w:qFormat/>
    <w:rsid w:val="00CF6865"/>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NoSpacingChar">
    <w:name w:val="No Spacing Char"/>
    <w:link w:val="NoSpacing"/>
    <w:uiPriority w:val="1"/>
    <w:locked/>
    <w:rsid w:val="00B15E96"/>
  </w:style>
  <w:style w:type="paragraph" w:styleId="NoSpacing">
    <w:name w:val="No Spacing"/>
    <w:link w:val="NoSpacingChar"/>
    <w:uiPriority w:val="1"/>
    <w:qFormat/>
    <w:rsid w:val="00B15E96"/>
    <w:pPr>
      <w:spacing w:after="0" w:line="240" w:lineRule="auto"/>
    </w:pPr>
  </w:style>
  <w:style w:type="character" w:customStyle="1" w:styleId="Heading3Char">
    <w:name w:val="Heading 3 Char"/>
    <w:basedOn w:val="DefaultParagraphFont"/>
    <w:link w:val="Heading3"/>
    <w:uiPriority w:val="9"/>
    <w:rsid w:val="00CF6865"/>
    <w:rPr>
      <w:rFonts w:ascii="Times New Roman" w:eastAsia="Times New Roman" w:hAnsi="Times New Roman" w:cs="Times New Roman"/>
      <w:b/>
      <w:bCs/>
      <w:sz w:val="27"/>
      <w:szCs w:val="27"/>
    </w:rPr>
  </w:style>
  <w:style w:type="paragraph" w:styleId="NormalWeb">
    <w:name w:val="Normal (Web)"/>
    <w:basedOn w:val="Normal"/>
    <w:uiPriority w:val="99"/>
    <w:unhideWhenUsed/>
    <w:rsid w:val="00CF6865"/>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CF6865"/>
    <w:rPr>
      <w:i/>
      <w:iCs/>
    </w:rPr>
  </w:style>
  <w:style w:type="paragraph" w:styleId="ListParagraph">
    <w:name w:val="List Paragraph"/>
    <w:basedOn w:val="Normal"/>
    <w:uiPriority w:val="34"/>
    <w:qFormat/>
    <w:rsid w:val="00B942F4"/>
    <w:pPr>
      <w:ind w:left="720"/>
      <w:contextualSpacing/>
    </w:pPr>
  </w:style>
  <w:style w:type="character" w:styleId="Strong">
    <w:name w:val="Strong"/>
    <w:basedOn w:val="DefaultParagraphFont"/>
    <w:uiPriority w:val="22"/>
    <w:qFormat/>
    <w:rsid w:val="00AE6EF9"/>
    <w:rPr>
      <w:b/>
      <w:bCs/>
    </w:rPr>
  </w:style>
  <w:style w:type="paragraph" w:styleId="Header">
    <w:name w:val="header"/>
    <w:basedOn w:val="Normal"/>
    <w:link w:val="HeaderChar"/>
    <w:uiPriority w:val="99"/>
    <w:unhideWhenUsed/>
    <w:rsid w:val="00A6756E"/>
    <w:pPr>
      <w:tabs>
        <w:tab w:val="center" w:pos="4680"/>
        <w:tab w:val="right" w:pos="9360"/>
      </w:tabs>
      <w:spacing w:after="0" w:line="240" w:lineRule="auto"/>
    </w:pPr>
  </w:style>
  <w:style w:type="character" w:customStyle="1" w:styleId="HeaderChar">
    <w:name w:val="Header Char"/>
    <w:basedOn w:val="DefaultParagraphFont"/>
    <w:link w:val="Header"/>
    <w:uiPriority w:val="99"/>
    <w:rsid w:val="00A6756E"/>
  </w:style>
  <w:style w:type="paragraph" w:styleId="Footer">
    <w:name w:val="footer"/>
    <w:basedOn w:val="Normal"/>
    <w:link w:val="FooterChar"/>
    <w:uiPriority w:val="99"/>
    <w:unhideWhenUsed/>
    <w:rsid w:val="00A6756E"/>
    <w:pPr>
      <w:tabs>
        <w:tab w:val="center" w:pos="4680"/>
        <w:tab w:val="right" w:pos="9360"/>
      </w:tabs>
      <w:spacing w:after="0" w:line="240" w:lineRule="auto"/>
    </w:pPr>
  </w:style>
  <w:style w:type="character" w:customStyle="1" w:styleId="FooterChar">
    <w:name w:val="Footer Char"/>
    <w:basedOn w:val="DefaultParagraphFont"/>
    <w:link w:val="Footer"/>
    <w:uiPriority w:val="99"/>
    <w:rsid w:val="00A6756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9324648">
      <w:bodyDiv w:val="1"/>
      <w:marLeft w:val="0"/>
      <w:marRight w:val="0"/>
      <w:marTop w:val="0"/>
      <w:marBottom w:val="0"/>
      <w:divBdr>
        <w:top w:val="none" w:sz="0" w:space="0" w:color="auto"/>
        <w:left w:val="none" w:sz="0" w:space="0" w:color="auto"/>
        <w:bottom w:val="none" w:sz="0" w:space="0" w:color="auto"/>
        <w:right w:val="none" w:sz="0" w:space="0" w:color="auto"/>
      </w:divBdr>
    </w:div>
    <w:div w:id="180050167">
      <w:bodyDiv w:val="1"/>
      <w:marLeft w:val="0"/>
      <w:marRight w:val="0"/>
      <w:marTop w:val="0"/>
      <w:marBottom w:val="0"/>
      <w:divBdr>
        <w:top w:val="none" w:sz="0" w:space="0" w:color="auto"/>
        <w:left w:val="none" w:sz="0" w:space="0" w:color="auto"/>
        <w:bottom w:val="none" w:sz="0" w:space="0" w:color="auto"/>
        <w:right w:val="none" w:sz="0" w:space="0" w:color="auto"/>
      </w:divBdr>
    </w:div>
    <w:div w:id="266428147">
      <w:bodyDiv w:val="1"/>
      <w:marLeft w:val="0"/>
      <w:marRight w:val="0"/>
      <w:marTop w:val="0"/>
      <w:marBottom w:val="0"/>
      <w:divBdr>
        <w:top w:val="none" w:sz="0" w:space="0" w:color="auto"/>
        <w:left w:val="none" w:sz="0" w:space="0" w:color="auto"/>
        <w:bottom w:val="none" w:sz="0" w:space="0" w:color="auto"/>
        <w:right w:val="none" w:sz="0" w:space="0" w:color="auto"/>
      </w:divBdr>
    </w:div>
    <w:div w:id="290718002">
      <w:bodyDiv w:val="1"/>
      <w:marLeft w:val="0"/>
      <w:marRight w:val="0"/>
      <w:marTop w:val="0"/>
      <w:marBottom w:val="0"/>
      <w:divBdr>
        <w:top w:val="none" w:sz="0" w:space="0" w:color="auto"/>
        <w:left w:val="none" w:sz="0" w:space="0" w:color="auto"/>
        <w:bottom w:val="none" w:sz="0" w:space="0" w:color="auto"/>
        <w:right w:val="none" w:sz="0" w:space="0" w:color="auto"/>
      </w:divBdr>
    </w:div>
    <w:div w:id="396175946">
      <w:bodyDiv w:val="1"/>
      <w:marLeft w:val="0"/>
      <w:marRight w:val="0"/>
      <w:marTop w:val="0"/>
      <w:marBottom w:val="0"/>
      <w:divBdr>
        <w:top w:val="none" w:sz="0" w:space="0" w:color="auto"/>
        <w:left w:val="none" w:sz="0" w:space="0" w:color="auto"/>
        <w:bottom w:val="none" w:sz="0" w:space="0" w:color="auto"/>
        <w:right w:val="none" w:sz="0" w:space="0" w:color="auto"/>
      </w:divBdr>
    </w:div>
    <w:div w:id="483352524">
      <w:bodyDiv w:val="1"/>
      <w:marLeft w:val="0"/>
      <w:marRight w:val="0"/>
      <w:marTop w:val="0"/>
      <w:marBottom w:val="0"/>
      <w:divBdr>
        <w:top w:val="none" w:sz="0" w:space="0" w:color="auto"/>
        <w:left w:val="none" w:sz="0" w:space="0" w:color="auto"/>
        <w:bottom w:val="none" w:sz="0" w:space="0" w:color="auto"/>
        <w:right w:val="none" w:sz="0" w:space="0" w:color="auto"/>
      </w:divBdr>
    </w:div>
    <w:div w:id="504049930">
      <w:bodyDiv w:val="1"/>
      <w:marLeft w:val="0"/>
      <w:marRight w:val="0"/>
      <w:marTop w:val="0"/>
      <w:marBottom w:val="0"/>
      <w:divBdr>
        <w:top w:val="none" w:sz="0" w:space="0" w:color="auto"/>
        <w:left w:val="none" w:sz="0" w:space="0" w:color="auto"/>
        <w:bottom w:val="none" w:sz="0" w:space="0" w:color="auto"/>
        <w:right w:val="none" w:sz="0" w:space="0" w:color="auto"/>
      </w:divBdr>
    </w:div>
    <w:div w:id="563832335">
      <w:bodyDiv w:val="1"/>
      <w:marLeft w:val="0"/>
      <w:marRight w:val="0"/>
      <w:marTop w:val="0"/>
      <w:marBottom w:val="0"/>
      <w:divBdr>
        <w:top w:val="none" w:sz="0" w:space="0" w:color="auto"/>
        <w:left w:val="none" w:sz="0" w:space="0" w:color="auto"/>
        <w:bottom w:val="none" w:sz="0" w:space="0" w:color="auto"/>
        <w:right w:val="none" w:sz="0" w:space="0" w:color="auto"/>
      </w:divBdr>
    </w:div>
    <w:div w:id="592739624">
      <w:bodyDiv w:val="1"/>
      <w:marLeft w:val="0"/>
      <w:marRight w:val="0"/>
      <w:marTop w:val="0"/>
      <w:marBottom w:val="0"/>
      <w:divBdr>
        <w:top w:val="none" w:sz="0" w:space="0" w:color="auto"/>
        <w:left w:val="none" w:sz="0" w:space="0" w:color="auto"/>
        <w:bottom w:val="none" w:sz="0" w:space="0" w:color="auto"/>
        <w:right w:val="none" w:sz="0" w:space="0" w:color="auto"/>
      </w:divBdr>
    </w:div>
    <w:div w:id="729571884">
      <w:bodyDiv w:val="1"/>
      <w:marLeft w:val="0"/>
      <w:marRight w:val="0"/>
      <w:marTop w:val="0"/>
      <w:marBottom w:val="0"/>
      <w:divBdr>
        <w:top w:val="none" w:sz="0" w:space="0" w:color="auto"/>
        <w:left w:val="none" w:sz="0" w:space="0" w:color="auto"/>
        <w:bottom w:val="none" w:sz="0" w:space="0" w:color="auto"/>
        <w:right w:val="none" w:sz="0" w:space="0" w:color="auto"/>
      </w:divBdr>
    </w:div>
    <w:div w:id="945041159">
      <w:bodyDiv w:val="1"/>
      <w:marLeft w:val="0"/>
      <w:marRight w:val="0"/>
      <w:marTop w:val="0"/>
      <w:marBottom w:val="0"/>
      <w:divBdr>
        <w:top w:val="none" w:sz="0" w:space="0" w:color="auto"/>
        <w:left w:val="none" w:sz="0" w:space="0" w:color="auto"/>
        <w:bottom w:val="none" w:sz="0" w:space="0" w:color="auto"/>
        <w:right w:val="none" w:sz="0" w:space="0" w:color="auto"/>
      </w:divBdr>
    </w:div>
    <w:div w:id="1049109811">
      <w:bodyDiv w:val="1"/>
      <w:marLeft w:val="0"/>
      <w:marRight w:val="0"/>
      <w:marTop w:val="0"/>
      <w:marBottom w:val="0"/>
      <w:divBdr>
        <w:top w:val="none" w:sz="0" w:space="0" w:color="auto"/>
        <w:left w:val="none" w:sz="0" w:space="0" w:color="auto"/>
        <w:bottom w:val="none" w:sz="0" w:space="0" w:color="auto"/>
        <w:right w:val="none" w:sz="0" w:space="0" w:color="auto"/>
      </w:divBdr>
    </w:div>
    <w:div w:id="1059086485">
      <w:bodyDiv w:val="1"/>
      <w:marLeft w:val="0"/>
      <w:marRight w:val="0"/>
      <w:marTop w:val="0"/>
      <w:marBottom w:val="0"/>
      <w:divBdr>
        <w:top w:val="none" w:sz="0" w:space="0" w:color="auto"/>
        <w:left w:val="none" w:sz="0" w:space="0" w:color="auto"/>
        <w:bottom w:val="none" w:sz="0" w:space="0" w:color="auto"/>
        <w:right w:val="none" w:sz="0" w:space="0" w:color="auto"/>
      </w:divBdr>
    </w:div>
    <w:div w:id="1148478296">
      <w:bodyDiv w:val="1"/>
      <w:marLeft w:val="0"/>
      <w:marRight w:val="0"/>
      <w:marTop w:val="0"/>
      <w:marBottom w:val="0"/>
      <w:divBdr>
        <w:top w:val="none" w:sz="0" w:space="0" w:color="auto"/>
        <w:left w:val="none" w:sz="0" w:space="0" w:color="auto"/>
        <w:bottom w:val="none" w:sz="0" w:space="0" w:color="auto"/>
        <w:right w:val="none" w:sz="0" w:space="0" w:color="auto"/>
      </w:divBdr>
    </w:div>
    <w:div w:id="1168059724">
      <w:bodyDiv w:val="1"/>
      <w:marLeft w:val="0"/>
      <w:marRight w:val="0"/>
      <w:marTop w:val="0"/>
      <w:marBottom w:val="0"/>
      <w:divBdr>
        <w:top w:val="none" w:sz="0" w:space="0" w:color="auto"/>
        <w:left w:val="none" w:sz="0" w:space="0" w:color="auto"/>
        <w:bottom w:val="none" w:sz="0" w:space="0" w:color="auto"/>
        <w:right w:val="none" w:sz="0" w:space="0" w:color="auto"/>
      </w:divBdr>
    </w:div>
    <w:div w:id="1289749826">
      <w:bodyDiv w:val="1"/>
      <w:marLeft w:val="0"/>
      <w:marRight w:val="0"/>
      <w:marTop w:val="0"/>
      <w:marBottom w:val="0"/>
      <w:divBdr>
        <w:top w:val="none" w:sz="0" w:space="0" w:color="auto"/>
        <w:left w:val="none" w:sz="0" w:space="0" w:color="auto"/>
        <w:bottom w:val="none" w:sz="0" w:space="0" w:color="auto"/>
        <w:right w:val="none" w:sz="0" w:space="0" w:color="auto"/>
      </w:divBdr>
    </w:div>
    <w:div w:id="1384717721">
      <w:bodyDiv w:val="1"/>
      <w:marLeft w:val="0"/>
      <w:marRight w:val="0"/>
      <w:marTop w:val="0"/>
      <w:marBottom w:val="0"/>
      <w:divBdr>
        <w:top w:val="none" w:sz="0" w:space="0" w:color="auto"/>
        <w:left w:val="none" w:sz="0" w:space="0" w:color="auto"/>
        <w:bottom w:val="none" w:sz="0" w:space="0" w:color="auto"/>
        <w:right w:val="none" w:sz="0" w:space="0" w:color="auto"/>
      </w:divBdr>
    </w:div>
    <w:div w:id="1498616254">
      <w:bodyDiv w:val="1"/>
      <w:marLeft w:val="0"/>
      <w:marRight w:val="0"/>
      <w:marTop w:val="0"/>
      <w:marBottom w:val="0"/>
      <w:divBdr>
        <w:top w:val="none" w:sz="0" w:space="0" w:color="auto"/>
        <w:left w:val="none" w:sz="0" w:space="0" w:color="auto"/>
        <w:bottom w:val="none" w:sz="0" w:space="0" w:color="auto"/>
        <w:right w:val="none" w:sz="0" w:space="0" w:color="auto"/>
      </w:divBdr>
    </w:div>
    <w:div w:id="1539582589">
      <w:bodyDiv w:val="1"/>
      <w:marLeft w:val="0"/>
      <w:marRight w:val="0"/>
      <w:marTop w:val="0"/>
      <w:marBottom w:val="0"/>
      <w:divBdr>
        <w:top w:val="none" w:sz="0" w:space="0" w:color="auto"/>
        <w:left w:val="none" w:sz="0" w:space="0" w:color="auto"/>
        <w:bottom w:val="none" w:sz="0" w:space="0" w:color="auto"/>
        <w:right w:val="none" w:sz="0" w:space="0" w:color="auto"/>
      </w:divBdr>
    </w:div>
    <w:div w:id="1791169181">
      <w:bodyDiv w:val="1"/>
      <w:marLeft w:val="0"/>
      <w:marRight w:val="0"/>
      <w:marTop w:val="0"/>
      <w:marBottom w:val="0"/>
      <w:divBdr>
        <w:top w:val="none" w:sz="0" w:space="0" w:color="auto"/>
        <w:left w:val="none" w:sz="0" w:space="0" w:color="auto"/>
        <w:bottom w:val="none" w:sz="0" w:space="0" w:color="auto"/>
        <w:right w:val="none" w:sz="0" w:space="0" w:color="auto"/>
      </w:divBdr>
    </w:div>
    <w:div w:id="1837302560">
      <w:bodyDiv w:val="1"/>
      <w:marLeft w:val="0"/>
      <w:marRight w:val="0"/>
      <w:marTop w:val="0"/>
      <w:marBottom w:val="0"/>
      <w:divBdr>
        <w:top w:val="none" w:sz="0" w:space="0" w:color="auto"/>
        <w:left w:val="none" w:sz="0" w:space="0" w:color="auto"/>
        <w:bottom w:val="none" w:sz="0" w:space="0" w:color="auto"/>
        <w:right w:val="none" w:sz="0" w:space="0" w:color="auto"/>
      </w:divBdr>
      <w:divsChild>
        <w:div w:id="1012340931">
          <w:marLeft w:val="0"/>
          <w:marRight w:val="0"/>
          <w:marTop w:val="0"/>
          <w:marBottom w:val="0"/>
          <w:divBdr>
            <w:top w:val="none" w:sz="0" w:space="0" w:color="auto"/>
            <w:left w:val="none" w:sz="0" w:space="0" w:color="auto"/>
            <w:bottom w:val="none" w:sz="0" w:space="0" w:color="auto"/>
            <w:right w:val="none" w:sz="0" w:space="0" w:color="auto"/>
          </w:divBdr>
          <w:divsChild>
            <w:div w:id="512961474">
              <w:marLeft w:val="0"/>
              <w:marRight w:val="0"/>
              <w:marTop w:val="0"/>
              <w:marBottom w:val="0"/>
              <w:divBdr>
                <w:top w:val="none" w:sz="0" w:space="0" w:color="auto"/>
                <w:left w:val="none" w:sz="0" w:space="0" w:color="auto"/>
                <w:bottom w:val="none" w:sz="0" w:space="0" w:color="auto"/>
                <w:right w:val="none" w:sz="0" w:space="0" w:color="auto"/>
              </w:divBdr>
              <w:divsChild>
                <w:div w:id="1066757035">
                  <w:marLeft w:val="0"/>
                  <w:marRight w:val="0"/>
                  <w:marTop w:val="0"/>
                  <w:marBottom w:val="0"/>
                  <w:divBdr>
                    <w:top w:val="none" w:sz="0" w:space="0" w:color="auto"/>
                    <w:left w:val="none" w:sz="0" w:space="0" w:color="auto"/>
                    <w:bottom w:val="none" w:sz="0" w:space="0" w:color="auto"/>
                    <w:right w:val="none" w:sz="0" w:space="0" w:color="auto"/>
                  </w:divBdr>
                  <w:divsChild>
                    <w:div w:id="1459762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72383925">
      <w:bodyDiv w:val="1"/>
      <w:marLeft w:val="0"/>
      <w:marRight w:val="0"/>
      <w:marTop w:val="0"/>
      <w:marBottom w:val="0"/>
      <w:divBdr>
        <w:top w:val="none" w:sz="0" w:space="0" w:color="auto"/>
        <w:left w:val="none" w:sz="0" w:space="0" w:color="auto"/>
        <w:bottom w:val="none" w:sz="0" w:space="0" w:color="auto"/>
        <w:right w:val="none" w:sz="0" w:space="0" w:color="auto"/>
      </w:divBdr>
    </w:div>
    <w:div w:id="2082212842">
      <w:bodyDiv w:val="1"/>
      <w:marLeft w:val="0"/>
      <w:marRight w:val="0"/>
      <w:marTop w:val="0"/>
      <w:marBottom w:val="0"/>
      <w:divBdr>
        <w:top w:val="none" w:sz="0" w:space="0" w:color="auto"/>
        <w:left w:val="none" w:sz="0" w:space="0" w:color="auto"/>
        <w:bottom w:val="none" w:sz="0" w:space="0" w:color="auto"/>
        <w:right w:val="none" w:sz="0" w:space="0" w:color="auto"/>
      </w:divBdr>
    </w:div>
    <w:div w:id="21380582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15B2D2F-3F93-4611-810A-8DA5CCE4DC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8433</TotalTime>
  <Pages>13</Pages>
  <Words>14804</Words>
  <Characters>84389</Characters>
  <Application>Microsoft Office Word</Application>
  <DocSecurity>0</DocSecurity>
  <Lines>703</Lines>
  <Paragraphs>197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98996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yasin</dc:creator>
  <cp:keywords/>
  <dc:description/>
  <cp:lastModifiedBy>Editor-23</cp:lastModifiedBy>
  <cp:revision>60</cp:revision>
  <dcterms:created xsi:type="dcterms:W3CDTF">2024-10-13T15:42:00Z</dcterms:created>
  <dcterms:modified xsi:type="dcterms:W3CDTF">2024-11-25T13:10:00Z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bfa974fc5b637b2aa9b1e3d01b5c82992f6f4a1836eb375d7161f4d42973ad97</vt:lpwstr>
  </property>
  <property fmtid="{D5CDD505-2E9C-101B-9397-08002B2CF9AE}" pid="3" name="Mendeley Document_1">
    <vt:lpwstr>True</vt:lpwstr>
  </property>
  <property fmtid="{D5CDD505-2E9C-101B-9397-08002B2CF9AE}" pid="4" name="Mendeley Unique User Id_1">
    <vt:lpwstr>879ce1e5-46b7-3f3b-8c56-b589b87d2cc0</vt:lpwstr>
  </property>
  <property fmtid="{D5CDD505-2E9C-101B-9397-08002B2CF9AE}" pid="5" name="Mendeley Citation Style_1">
    <vt:lpwstr>http://www.zotero.org/styles/apa</vt:lpwstr>
  </property>
  <property fmtid="{D5CDD505-2E9C-101B-9397-08002B2CF9AE}" pid="6" name="Mendeley Recent Style Id 0_1">
    <vt:lpwstr>http://www.zotero.org/styles/american-medical-association</vt:lpwstr>
  </property>
  <property fmtid="{D5CDD505-2E9C-101B-9397-08002B2CF9AE}" pid="7" name="Mendeley Recent Style Name 0_1">
    <vt:lpwstr>American Medical Association 11th edition</vt:lpwstr>
  </property>
  <property fmtid="{D5CDD505-2E9C-101B-9397-08002B2CF9AE}" pid="8" name="Mendeley Recent Style Id 1_1">
    <vt:lpwstr>http://www.zotero.org/styles/american-political-science-association</vt:lpwstr>
  </property>
  <property fmtid="{D5CDD505-2E9C-101B-9397-08002B2CF9AE}" pid="9" name="Mendeley Recent Style Name 1_1">
    <vt:lpwstr>American Political Science Association</vt:lpwstr>
  </property>
  <property fmtid="{D5CDD505-2E9C-101B-9397-08002B2CF9AE}" pid="10" name="Mendeley Recent Style Id 2_1">
    <vt:lpwstr>http://www.zotero.org/styles/apa</vt:lpwstr>
  </property>
  <property fmtid="{D5CDD505-2E9C-101B-9397-08002B2CF9AE}" pid="11" name="Mendeley Recent Style Name 2_1">
    <vt:lpwstr>American Psychological Association 7th edition</vt:lpwstr>
  </property>
  <property fmtid="{D5CDD505-2E9C-101B-9397-08002B2CF9AE}" pid="12" name="Mendeley Recent Style Id 3_1">
    <vt:lpwstr>http://www.zotero.org/styles/american-sociological-association</vt:lpwstr>
  </property>
  <property fmtid="{D5CDD505-2E9C-101B-9397-08002B2CF9AE}" pid="13" name="Mendeley Recent Style Name 3_1">
    <vt:lpwstr>American Sociological Association 6th edition</vt:lpwstr>
  </property>
  <property fmtid="{D5CDD505-2E9C-101B-9397-08002B2CF9AE}" pid="14" name="Mendeley Recent Style Id 4_1">
    <vt:lpwstr>http://www.zotero.org/styles/chicago-author-date</vt:lpwstr>
  </property>
  <property fmtid="{D5CDD505-2E9C-101B-9397-08002B2CF9AE}" pid="15" name="Mendeley Recent Style Name 4_1">
    <vt:lpwstr>Chicago Manual of Style 17th edition (author-date)</vt:lpwstr>
  </property>
  <property fmtid="{D5CDD505-2E9C-101B-9397-08002B2CF9AE}" pid="16" name="Mendeley Recent Style Id 5_1">
    <vt:lpwstr>http://www.zotero.org/styles/harvard-cite-them-right</vt:lpwstr>
  </property>
  <property fmtid="{D5CDD505-2E9C-101B-9397-08002B2CF9AE}" pid="17" name="Mendeley Recent Style Name 5_1">
    <vt:lpwstr>Cite Them Right 12th edition - Harvard</vt:lpwstr>
  </property>
  <property fmtid="{D5CDD505-2E9C-101B-9397-08002B2CF9AE}" pid="18" name="Mendeley Recent Style Id 6_1">
    <vt:lpwstr>http://www.zotero.org/styles/ieee</vt:lpwstr>
  </property>
  <property fmtid="{D5CDD505-2E9C-101B-9397-08002B2CF9AE}" pid="19" name="Mendeley Recent Style Name 6_1">
    <vt:lpwstr>IEEE</vt:lpwstr>
  </property>
  <property fmtid="{D5CDD505-2E9C-101B-9397-08002B2CF9AE}" pid="20" name="Mendeley Recent Style Id 7_1">
    <vt:lpwstr>http://www.zotero.org/styles/modern-humanities-research-association</vt:lpwstr>
  </property>
  <property fmtid="{D5CDD505-2E9C-101B-9397-08002B2CF9AE}" pid="21" name="Mendeley Recent Style Name 7_1">
    <vt:lpwstr>Modern Humanities Research Association 3rd edition (note with bibliography)</vt:lpwstr>
  </property>
  <property fmtid="{D5CDD505-2E9C-101B-9397-08002B2CF9AE}" pid="22" name="Mendeley Recent Style Id 8_1">
    <vt:lpwstr>http://www.zotero.org/styles/modern-language-association</vt:lpwstr>
  </property>
  <property fmtid="{D5CDD505-2E9C-101B-9397-08002B2CF9AE}" pid="23" name="Mendeley Recent Style Name 8_1">
    <vt:lpwstr>Modern Language Association 9th edition</vt:lpwstr>
  </property>
  <property fmtid="{D5CDD505-2E9C-101B-9397-08002B2CF9AE}" pid="24" name="Mendeley Recent Style Id 9_1">
    <vt:lpwstr>http://www.zotero.org/styles/nature</vt:lpwstr>
  </property>
  <property fmtid="{D5CDD505-2E9C-101B-9397-08002B2CF9AE}" pid="25" name="Mendeley Recent Style Name 9_1">
    <vt:lpwstr>Nature</vt:lpwstr>
  </property>
</Properties>
</file>