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75D1F" w14:textId="5AFCF66E" w:rsidR="00754C9A" w:rsidRPr="006E3421" w:rsidRDefault="006E3421" w:rsidP="00441B6F">
      <w:pPr>
        <w:pStyle w:val="Title"/>
        <w:spacing w:after="0"/>
        <w:jc w:val="both"/>
        <w:rPr>
          <w:rFonts w:ascii="Arial" w:hAnsi="Arial" w:cs="Arial"/>
          <w:sz w:val="28"/>
          <w:szCs w:val="16"/>
          <w:u w:val="single"/>
        </w:rPr>
      </w:pPr>
      <w:bookmarkStart w:id="0" w:name="_GoBack"/>
      <w:bookmarkEnd w:id="0"/>
      <w:r w:rsidRPr="006E3421">
        <w:rPr>
          <w:rFonts w:ascii="Arial" w:hAnsi="Arial" w:cs="Arial"/>
          <w:sz w:val="28"/>
          <w:szCs w:val="16"/>
          <w:u w:val="single"/>
        </w:rPr>
        <w:t>Original Research Article</w:t>
      </w:r>
    </w:p>
    <w:p w14:paraId="43BC2329" w14:textId="0094BB78" w:rsidR="00163BC4" w:rsidRPr="00163BC4" w:rsidRDefault="00697958" w:rsidP="00441B6F">
      <w:pPr>
        <w:pStyle w:val="Author"/>
        <w:spacing w:line="240" w:lineRule="auto"/>
        <w:rPr>
          <w:rFonts w:ascii="Arial" w:hAnsi="Arial" w:cs="Arial"/>
          <w:bCs/>
          <w:iCs/>
          <w:kern w:val="28"/>
          <w:sz w:val="36"/>
        </w:rPr>
      </w:pPr>
      <w:r w:rsidRPr="00697958">
        <w:rPr>
          <w:rFonts w:ascii="Arial" w:hAnsi="Arial" w:cs="Arial"/>
          <w:bCs/>
          <w:iCs/>
          <w:kern w:val="28"/>
          <w:sz w:val="36"/>
        </w:rPr>
        <w:t xml:space="preserve">Assessing the </w:t>
      </w:r>
      <w:r w:rsidR="00F20B77">
        <w:rPr>
          <w:rFonts w:ascii="Arial" w:hAnsi="Arial" w:cs="Arial"/>
          <w:bCs/>
          <w:iCs/>
          <w:kern w:val="28"/>
          <w:sz w:val="36"/>
        </w:rPr>
        <w:t>Bio-P</w:t>
      </w:r>
      <w:r w:rsidRPr="00697958">
        <w:rPr>
          <w:rFonts w:ascii="Arial" w:hAnsi="Arial" w:cs="Arial"/>
          <w:bCs/>
          <w:iCs/>
          <w:kern w:val="28"/>
          <w:sz w:val="36"/>
        </w:rPr>
        <w:t xml:space="preserve">esticide Market in </w:t>
      </w:r>
      <w:proofErr w:type="spellStart"/>
      <w:r w:rsidRPr="00697958">
        <w:rPr>
          <w:rFonts w:ascii="Arial" w:hAnsi="Arial" w:cs="Arial"/>
          <w:bCs/>
          <w:iCs/>
          <w:kern w:val="28"/>
          <w:sz w:val="36"/>
        </w:rPr>
        <w:t>Khordha</w:t>
      </w:r>
      <w:proofErr w:type="spellEnd"/>
      <w:r w:rsidRPr="00697958">
        <w:rPr>
          <w:rFonts w:ascii="Arial" w:hAnsi="Arial" w:cs="Arial"/>
          <w:bCs/>
          <w:iCs/>
          <w:kern w:val="28"/>
          <w:sz w:val="36"/>
        </w:rPr>
        <w:t xml:space="preserve"> District</w:t>
      </w:r>
      <w:r w:rsidR="00F20B77">
        <w:rPr>
          <w:rFonts w:ascii="Arial" w:hAnsi="Arial" w:cs="Arial"/>
          <w:bCs/>
          <w:iCs/>
          <w:kern w:val="28"/>
          <w:sz w:val="36"/>
        </w:rPr>
        <w:t xml:space="preserve"> of</w:t>
      </w:r>
      <w:r w:rsidRPr="00697958">
        <w:rPr>
          <w:rFonts w:ascii="Arial" w:hAnsi="Arial" w:cs="Arial"/>
          <w:bCs/>
          <w:iCs/>
          <w:kern w:val="28"/>
          <w:sz w:val="36"/>
        </w:rPr>
        <w:t xml:space="preserve"> Odisha</w:t>
      </w:r>
      <w:r w:rsidR="00F20B77">
        <w:rPr>
          <w:rFonts w:ascii="Arial" w:hAnsi="Arial" w:cs="Arial"/>
          <w:bCs/>
          <w:iCs/>
          <w:kern w:val="28"/>
          <w:sz w:val="36"/>
        </w:rPr>
        <w:t>, India</w:t>
      </w:r>
      <w:r w:rsidRPr="00697958">
        <w:rPr>
          <w:rFonts w:ascii="Arial" w:hAnsi="Arial" w:cs="Arial"/>
          <w:bCs/>
          <w:iCs/>
          <w:kern w:val="28"/>
          <w:sz w:val="36"/>
        </w:rPr>
        <w:t xml:space="preserve">: A Study on </w:t>
      </w:r>
      <w:r w:rsidR="00DE3991">
        <w:rPr>
          <w:rFonts w:ascii="Arial" w:hAnsi="Arial" w:cs="Arial"/>
          <w:bCs/>
          <w:iCs/>
          <w:kern w:val="28"/>
          <w:sz w:val="36"/>
        </w:rPr>
        <w:t xml:space="preserve">Market </w:t>
      </w:r>
      <w:r w:rsidRPr="00697958">
        <w:rPr>
          <w:rFonts w:ascii="Arial" w:hAnsi="Arial" w:cs="Arial"/>
          <w:bCs/>
          <w:iCs/>
          <w:kern w:val="28"/>
          <w:sz w:val="36"/>
        </w:rPr>
        <w:t>Intermediaries'</w:t>
      </w:r>
      <w:r w:rsidR="00F20B77">
        <w:rPr>
          <w:rFonts w:ascii="Arial" w:hAnsi="Arial" w:cs="Arial"/>
          <w:bCs/>
          <w:iCs/>
          <w:kern w:val="28"/>
          <w:sz w:val="36"/>
        </w:rPr>
        <w:t xml:space="preserve"> </w:t>
      </w:r>
      <w:r w:rsidRPr="00697958">
        <w:rPr>
          <w:rFonts w:ascii="Arial" w:hAnsi="Arial" w:cs="Arial"/>
          <w:bCs/>
          <w:iCs/>
          <w:kern w:val="28"/>
          <w:sz w:val="36"/>
        </w:rPr>
        <w:t>Attitudes and Behaviors</w:t>
      </w:r>
    </w:p>
    <w:p w14:paraId="239DBEE0" w14:textId="77777777" w:rsidR="00A258C3" w:rsidRPr="00790ADA" w:rsidRDefault="00A258C3" w:rsidP="00441B6F">
      <w:pPr>
        <w:pStyle w:val="Author"/>
        <w:spacing w:line="240" w:lineRule="auto"/>
        <w:jc w:val="both"/>
        <w:rPr>
          <w:rFonts w:ascii="Arial" w:hAnsi="Arial" w:cs="Arial"/>
          <w:sz w:val="36"/>
        </w:rPr>
      </w:pPr>
    </w:p>
    <w:p w14:paraId="34A40348" w14:textId="77777777" w:rsidR="00C9264D" w:rsidRPr="0083216F" w:rsidRDefault="00C9264D" w:rsidP="00441B6F">
      <w:pPr>
        <w:pStyle w:val="Affiliation"/>
        <w:spacing w:after="0" w:line="240" w:lineRule="auto"/>
        <w:rPr>
          <w:rFonts w:ascii="Arial" w:hAnsi="Arial" w:cs="Arial"/>
          <w:i/>
        </w:rPr>
      </w:pPr>
    </w:p>
    <w:p w14:paraId="2FBE6AA7" w14:textId="77777777" w:rsidR="00790ADA" w:rsidRDefault="00790ADA" w:rsidP="00441B6F">
      <w:pPr>
        <w:pStyle w:val="Affiliation"/>
        <w:spacing w:after="0" w:line="240" w:lineRule="auto"/>
        <w:jc w:val="both"/>
        <w:rPr>
          <w:rFonts w:ascii="Arial" w:hAnsi="Arial" w:cs="Arial"/>
        </w:rPr>
      </w:pPr>
    </w:p>
    <w:p w14:paraId="370E59D1" w14:textId="77777777" w:rsidR="002C57D2" w:rsidRPr="00FB3A86" w:rsidRDefault="002C57D2" w:rsidP="00441B6F">
      <w:pPr>
        <w:pStyle w:val="Affiliation"/>
        <w:spacing w:after="0" w:line="240" w:lineRule="auto"/>
        <w:jc w:val="both"/>
        <w:rPr>
          <w:rFonts w:ascii="Arial" w:hAnsi="Arial" w:cs="Arial"/>
        </w:rPr>
      </w:pPr>
    </w:p>
    <w:p w14:paraId="3C9875E7" w14:textId="2BB12BBC" w:rsidR="00B01FCD" w:rsidRPr="00FB3A86" w:rsidRDefault="00D54827" w:rsidP="00441B6F">
      <w:pPr>
        <w:pStyle w:val="Copyright"/>
        <w:spacing w:after="0" w:line="240" w:lineRule="auto"/>
        <w:jc w:val="both"/>
        <w:rPr>
          <w:rFonts w:ascii="Arial" w:hAnsi="Arial" w:cs="Arial"/>
        </w:rPr>
        <w:sectPr w:rsidR="00B01FCD" w:rsidRPr="00FB3A86" w:rsidSect="0009076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noProof/>
        </w:rPr>
        <mc:AlternateContent>
          <mc:Choice Requires="wps">
            <w:drawing>
              <wp:inline distT="0" distB="0" distL="0" distR="0" wp14:anchorId="68AAFD55" wp14:editId="4D1D3CC3">
                <wp:extent cx="5303520" cy="635"/>
                <wp:effectExtent l="9525" t="10795" r="11430" b="17780"/>
                <wp:docPr id="285610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699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FEFE3A1" w14:textId="2630E506" w:rsidR="00B01FCD" w:rsidRDefault="00B01FCD" w:rsidP="00441B6F">
      <w:pPr>
        <w:pStyle w:val="AbstHead"/>
        <w:spacing w:after="0"/>
        <w:jc w:val="both"/>
        <w:rPr>
          <w:rFonts w:ascii="Arial" w:hAnsi="Arial" w:cs="Arial"/>
        </w:rPr>
      </w:pPr>
      <w:r w:rsidRPr="00FB3A86">
        <w:rPr>
          <w:rFonts w:ascii="Arial" w:hAnsi="Arial" w:cs="Arial"/>
        </w:rPr>
        <w:t>ABSTRACT</w:t>
      </w:r>
    </w:p>
    <w:p w14:paraId="70FC6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7E9E3871" w14:textId="77777777" w:rsidTr="001E44FE">
        <w:tc>
          <w:tcPr>
            <w:tcW w:w="9576" w:type="dxa"/>
            <w:shd w:val="clear" w:color="auto" w:fill="F2F2F2"/>
          </w:tcPr>
          <w:p w14:paraId="088F4181" w14:textId="56DE5398" w:rsidR="007D61BB" w:rsidRPr="00F06413" w:rsidRDefault="007D61BB" w:rsidP="007D61BB">
            <w:pPr>
              <w:jc w:val="both"/>
              <w:rPr>
                <w:rFonts w:ascii="Arial" w:hAnsi="Arial" w:cs="Arial"/>
              </w:rPr>
            </w:pPr>
            <w:r w:rsidRPr="00F06413">
              <w:rPr>
                <w:rFonts w:ascii="Arial" w:hAnsi="Arial" w:cs="Arial"/>
                <w:b/>
                <w:bCs/>
              </w:rPr>
              <w:t>Aims:</w:t>
            </w:r>
            <w:r w:rsidRPr="00F06413">
              <w:rPr>
                <w:rFonts w:ascii="Arial" w:hAnsi="Arial" w:cs="Arial"/>
              </w:rPr>
              <w:t xml:space="preserve"> </w:t>
            </w:r>
            <w:bookmarkStart w:id="1" w:name="_Hlk199349269"/>
            <w:r w:rsidRPr="00F06413">
              <w:rPr>
                <w:rFonts w:ascii="Arial" w:hAnsi="Arial" w:cs="Arial"/>
              </w:rPr>
              <w:t xml:space="preserve">This research attempts to </w:t>
            </w:r>
            <w:proofErr w:type="spellStart"/>
            <w:r w:rsidRPr="00F06413">
              <w:rPr>
                <w:rFonts w:ascii="Arial" w:hAnsi="Arial" w:cs="Arial"/>
              </w:rPr>
              <w:t>analyse</w:t>
            </w:r>
            <w:proofErr w:type="spellEnd"/>
            <w:r w:rsidRPr="00F06413">
              <w:rPr>
                <w:rFonts w:ascii="Arial" w:hAnsi="Arial" w:cs="Arial"/>
              </w:rPr>
              <w:t xml:space="preserve"> and explore the market status of bio-pesticides, attitudes and </w:t>
            </w:r>
            <w:proofErr w:type="spellStart"/>
            <w:r w:rsidRPr="00F06413">
              <w:rPr>
                <w:rFonts w:ascii="Arial" w:hAnsi="Arial" w:cs="Arial"/>
              </w:rPr>
              <w:t>behaviour</w:t>
            </w:r>
            <w:proofErr w:type="spellEnd"/>
            <w:r w:rsidRPr="00F06413">
              <w:rPr>
                <w:rFonts w:ascii="Arial" w:hAnsi="Arial" w:cs="Arial"/>
              </w:rPr>
              <w:t xml:space="preserve"> of intermediaries, the responsible factors and constraints </w:t>
            </w:r>
            <w:r w:rsidR="00EC557B" w:rsidRPr="00F06413">
              <w:rPr>
                <w:rFonts w:ascii="Arial" w:hAnsi="Arial" w:cs="Arial"/>
              </w:rPr>
              <w:t xml:space="preserve">in </w:t>
            </w:r>
            <w:proofErr w:type="spellStart"/>
            <w:r w:rsidR="00EC557B" w:rsidRPr="00F06413">
              <w:rPr>
                <w:rFonts w:ascii="Arial" w:hAnsi="Arial" w:cs="Arial"/>
              </w:rPr>
              <w:t>Khordha</w:t>
            </w:r>
            <w:proofErr w:type="spellEnd"/>
            <w:r w:rsidR="00EC557B" w:rsidRPr="00F06413">
              <w:rPr>
                <w:rFonts w:ascii="Arial" w:hAnsi="Arial" w:cs="Arial"/>
              </w:rPr>
              <w:t xml:space="preserve"> district of Odisha </w:t>
            </w:r>
            <w:r w:rsidRPr="00F06413">
              <w:rPr>
                <w:rFonts w:ascii="Arial" w:hAnsi="Arial" w:cs="Arial"/>
              </w:rPr>
              <w:t xml:space="preserve">to deliver meaningful insights for the </w:t>
            </w:r>
            <w:r w:rsidR="00EC557B">
              <w:rPr>
                <w:rFonts w:ascii="Arial" w:hAnsi="Arial" w:cs="Arial"/>
              </w:rPr>
              <w:t xml:space="preserve">all the </w:t>
            </w:r>
            <w:r w:rsidRPr="00F06413">
              <w:rPr>
                <w:rFonts w:ascii="Arial" w:hAnsi="Arial" w:cs="Arial"/>
              </w:rPr>
              <w:t>stakeholders</w:t>
            </w:r>
            <w:r w:rsidR="00EC557B">
              <w:rPr>
                <w:rFonts w:ascii="Arial" w:hAnsi="Arial" w:cs="Arial"/>
              </w:rPr>
              <w:t xml:space="preserve"> involved</w:t>
            </w:r>
            <w:r w:rsidRPr="00F06413">
              <w:rPr>
                <w:rFonts w:ascii="Arial" w:hAnsi="Arial" w:cs="Arial"/>
              </w:rPr>
              <w:t>.</w:t>
            </w:r>
            <w:bookmarkEnd w:id="1"/>
          </w:p>
          <w:p w14:paraId="7AD0B00D" w14:textId="05C278DE" w:rsidR="007D61BB" w:rsidRPr="00F06413" w:rsidRDefault="007D61BB" w:rsidP="007D61BB">
            <w:pPr>
              <w:jc w:val="both"/>
              <w:rPr>
                <w:rFonts w:ascii="Arial" w:hAnsi="Arial" w:cs="Arial"/>
              </w:rPr>
            </w:pPr>
            <w:r w:rsidRPr="00F06413">
              <w:rPr>
                <w:rFonts w:ascii="Arial" w:hAnsi="Arial" w:cs="Arial"/>
                <w:b/>
                <w:bCs/>
              </w:rPr>
              <w:t>Study design:</w:t>
            </w:r>
            <w:r w:rsidRPr="00F06413">
              <w:rPr>
                <w:rFonts w:ascii="Arial" w:hAnsi="Arial" w:cs="Arial"/>
              </w:rPr>
              <w:t xml:space="preserve"> A descriptive and exploratory research design was </w:t>
            </w:r>
            <w:r w:rsidR="00EC557B" w:rsidRPr="00F06413">
              <w:rPr>
                <w:rFonts w:ascii="Arial" w:hAnsi="Arial" w:cs="Arial"/>
              </w:rPr>
              <w:t>utilized</w:t>
            </w:r>
            <w:r w:rsidRPr="00F06413">
              <w:rPr>
                <w:rFonts w:ascii="Arial" w:hAnsi="Arial" w:cs="Arial"/>
              </w:rPr>
              <w:t xml:space="preserve"> in this study.</w:t>
            </w:r>
          </w:p>
          <w:p w14:paraId="32FED9C9" w14:textId="77777777" w:rsidR="007D61BB" w:rsidRPr="00F06413" w:rsidRDefault="007D61BB" w:rsidP="007D61BB">
            <w:pPr>
              <w:jc w:val="both"/>
              <w:rPr>
                <w:rFonts w:ascii="Arial" w:hAnsi="Arial" w:cs="Arial"/>
              </w:rPr>
            </w:pPr>
            <w:r w:rsidRPr="00F06413">
              <w:rPr>
                <w:rFonts w:ascii="Arial" w:hAnsi="Arial" w:cs="Arial"/>
                <w:b/>
                <w:bCs/>
              </w:rPr>
              <w:t>Place and Duration of Study:</w:t>
            </w:r>
            <w:r w:rsidRPr="00F06413">
              <w:rPr>
                <w:rFonts w:ascii="Arial" w:hAnsi="Arial" w:cs="Arial"/>
              </w:rPr>
              <w:t xml:space="preserve"> This research, conducted in 2023, was confined to the </w:t>
            </w:r>
            <w:proofErr w:type="spellStart"/>
            <w:r w:rsidRPr="00F06413">
              <w:rPr>
                <w:rFonts w:ascii="Arial" w:hAnsi="Arial" w:cs="Arial"/>
              </w:rPr>
              <w:t>Khordha</w:t>
            </w:r>
            <w:proofErr w:type="spellEnd"/>
            <w:r w:rsidRPr="00F06413">
              <w:rPr>
                <w:rFonts w:ascii="Arial" w:hAnsi="Arial" w:cs="Arial"/>
              </w:rPr>
              <w:t xml:space="preserve"> district of Odisha, taking into account twenty-seven pesticide markets and intermediaries of biopesticides, comprising both dealers as well as retailers.</w:t>
            </w:r>
          </w:p>
          <w:p w14:paraId="75F5BF9F" w14:textId="77777777" w:rsidR="007D61BB" w:rsidRPr="00F06413" w:rsidRDefault="007D61BB" w:rsidP="007D61BB">
            <w:pPr>
              <w:jc w:val="both"/>
              <w:rPr>
                <w:rFonts w:ascii="Arial" w:hAnsi="Arial" w:cs="Arial"/>
              </w:rPr>
            </w:pPr>
            <w:r w:rsidRPr="00F06413">
              <w:rPr>
                <w:rFonts w:ascii="Arial" w:hAnsi="Arial" w:cs="Arial"/>
                <w:b/>
                <w:bCs/>
              </w:rPr>
              <w:t xml:space="preserve">Methodology: </w:t>
            </w:r>
            <w:r w:rsidRPr="00F06413">
              <w:rPr>
                <w:rFonts w:ascii="Arial" w:hAnsi="Arial" w:cs="Arial"/>
              </w:rPr>
              <w:t xml:space="preserve">This study assessed the sales and distribution of biopesticides in </w:t>
            </w:r>
            <w:proofErr w:type="spellStart"/>
            <w:r w:rsidRPr="00F06413">
              <w:rPr>
                <w:rFonts w:ascii="Arial" w:hAnsi="Arial" w:cs="Arial"/>
              </w:rPr>
              <w:t>Khordha</w:t>
            </w:r>
            <w:proofErr w:type="spellEnd"/>
            <w:r w:rsidRPr="00F06413">
              <w:rPr>
                <w:rFonts w:ascii="Arial" w:hAnsi="Arial" w:cs="Arial"/>
              </w:rPr>
              <w:t xml:space="preserve"> district, Odisha, based on information gathered from 27 pesticide market intermediaries. The objectives of this study comprised identifying the major pesticides sold in the area, along with demographic influences and constraints faced by dealers. To analyze the data and test the hypothesis, various statistical techniques like Chi-square test, ANOVA, regression were employed.</w:t>
            </w:r>
          </w:p>
          <w:p w14:paraId="6FC51B2A" w14:textId="77777777" w:rsidR="007D61BB" w:rsidRDefault="007D61BB" w:rsidP="007D61BB">
            <w:pPr>
              <w:jc w:val="both"/>
              <w:rPr>
                <w:rFonts w:ascii="Arial" w:hAnsi="Arial" w:cs="Arial"/>
              </w:rPr>
            </w:pPr>
            <w:r w:rsidRPr="00F06413">
              <w:rPr>
                <w:rFonts w:ascii="Arial" w:hAnsi="Arial" w:cs="Arial"/>
                <w:b/>
                <w:bCs/>
              </w:rPr>
              <w:t>Results:</w:t>
            </w:r>
            <w:r>
              <w:rPr>
                <w:rFonts w:ascii="Arial" w:hAnsi="Arial" w:cs="Arial"/>
                <w:b/>
                <w:bCs/>
              </w:rPr>
              <w:t xml:space="preserve"> </w:t>
            </w:r>
            <w:r w:rsidRPr="00B95D66">
              <w:rPr>
                <w:rFonts w:ascii="Arial" w:hAnsi="Arial" w:cs="Arial"/>
              </w:rPr>
              <w:t>Key motivational factors for intermediaries include DAESI certification, business with local companies, business tours inside India and prioritizing business-oriented company representatives. However, the sector faces substantial challenges, including high transportation costs, farmers' limited product knowledge, high labor costs, and delayed payments from farmers. Other concerns include receiving near-expiry products, compulsory sales targets, and inconsistencies in company assurances.</w:t>
            </w:r>
          </w:p>
          <w:p w14:paraId="74FF3B98" w14:textId="0EF99A81" w:rsidR="00505F06" w:rsidRPr="007D61BB" w:rsidRDefault="007D61BB" w:rsidP="007D61BB">
            <w:pPr>
              <w:jc w:val="both"/>
              <w:rPr>
                <w:rFonts w:ascii="Arial" w:hAnsi="Arial" w:cs="Arial"/>
              </w:rPr>
            </w:pPr>
            <w:r w:rsidRPr="00F06413">
              <w:rPr>
                <w:rFonts w:ascii="Arial" w:hAnsi="Arial" w:cs="Arial"/>
                <w:b/>
                <w:bCs/>
              </w:rPr>
              <w:t>Conclusion:</w:t>
            </w:r>
            <w:r w:rsidRPr="00F06413">
              <w:rPr>
                <w:rFonts w:ascii="Arial" w:hAnsi="Arial" w:cs="Arial"/>
              </w:rPr>
              <w:t xml:space="preserve"> </w:t>
            </w:r>
            <w:r w:rsidRPr="005F1FFA">
              <w:rPr>
                <w:rFonts w:ascii="Arial" w:hAnsi="Arial" w:cs="Arial"/>
              </w:rPr>
              <w:t xml:space="preserve">To promote sustainable agriculture, stakeholders </w:t>
            </w:r>
            <w:r>
              <w:rPr>
                <w:rFonts w:ascii="Arial" w:hAnsi="Arial" w:cs="Arial"/>
              </w:rPr>
              <w:t>should</w:t>
            </w:r>
            <w:r w:rsidRPr="005F1FFA">
              <w:rPr>
                <w:rFonts w:ascii="Arial" w:hAnsi="Arial" w:cs="Arial"/>
              </w:rPr>
              <w:t xml:space="preserve"> consider expanding awareness initiatives to educate farmers</w:t>
            </w:r>
            <w:r>
              <w:rPr>
                <w:rFonts w:ascii="Arial" w:hAnsi="Arial" w:cs="Arial"/>
              </w:rPr>
              <w:t>, retailers and dealers</w:t>
            </w:r>
            <w:r w:rsidRPr="005F1FFA">
              <w:rPr>
                <w:rFonts w:ascii="Arial" w:hAnsi="Arial" w:cs="Arial"/>
              </w:rPr>
              <w:t xml:space="preserve"> about the benefits of bio-pesticides. Bio-pesticide companies can play a vital role by boosting promotional efforts about the advantages of using bio-pesticides. Moreover, companies should prioritize ethical sales and distribution practices. This study </w:t>
            </w:r>
            <w:r>
              <w:rPr>
                <w:rFonts w:ascii="Arial" w:hAnsi="Arial" w:cs="Arial"/>
              </w:rPr>
              <w:t xml:space="preserve">also </w:t>
            </w:r>
            <w:r w:rsidRPr="005F1FFA">
              <w:rPr>
                <w:rFonts w:ascii="Arial" w:hAnsi="Arial" w:cs="Arial"/>
              </w:rPr>
              <w:t>lays the groundwork for further in-depth research into bio-pesticide sales and marketing strategies, offering opportunities for future exploration and development.</w:t>
            </w:r>
          </w:p>
        </w:tc>
      </w:tr>
    </w:tbl>
    <w:p w14:paraId="2B9BF760" w14:textId="1658F789" w:rsidR="00D74D37" w:rsidRDefault="00A24E7E" w:rsidP="007D3812">
      <w:pPr>
        <w:pStyle w:val="Body"/>
        <w:spacing w:after="0"/>
        <w:rPr>
          <w:rFonts w:ascii="Arial" w:eastAsia="Calibri" w:hAnsi="Arial" w:cs="Arial"/>
          <w:i/>
          <w:iCs/>
        </w:rPr>
      </w:pPr>
      <w:r>
        <w:rPr>
          <w:rFonts w:ascii="Arial" w:hAnsi="Arial" w:cs="Arial"/>
          <w:i/>
        </w:rPr>
        <w:t xml:space="preserve">Keywords: </w:t>
      </w:r>
      <w:r w:rsidR="00D84C40" w:rsidRPr="00D84C40">
        <w:rPr>
          <w:rFonts w:ascii="Arial" w:eastAsia="Calibri" w:hAnsi="Arial" w:cs="Arial"/>
          <w:i/>
          <w:iCs/>
        </w:rPr>
        <w:t>Bio-pesticides; Market Intermediaries; Influencing factors; Attitude; Constraints</w:t>
      </w:r>
      <w:r w:rsidR="00D74D37">
        <w:rPr>
          <w:rFonts w:ascii="Arial" w:eastAsia="Calibri" w:hAnsi="Arial" w:cs="Arial"/>
          <w:i/>
          <w:iCs/>
        </w:rPr>
        <w:br w:type="page"/>
      </w:r>
    </w:p>
    <w:p w14:paraId="7C620214" w14:textId="77777777" w:rsidR="00D74D37" w:rsidRPr="00754AA7" w:rsidRDefault="00D74D37" w:rsidP="00D74D37">
      <w:pPr>
        <w:jc w:val="both"/>
        <w:rPr>
          <w:rFonts w:ascii="Arial" w:hAnsi="Arial" w:cs="Arial"/>
          <w:b/>
          <w:bCs/>
        </w:rPr>
      </w:pPr>
      <w:r>
        <w:rPr>
          <w:rFonts w:ascii="Arial" w:hAnsi="Arial" w:cs="Arial"/>
          <w:b/>
          <w:bCs/>
        </w:rPr>
        <w:lastRenderedPageBreak/>
        <w:t xml:space="preserve">1. </w:t>
      </w:r>
      <w:r w:rsidRPr="00754AA7">
        <w:rPr>
          <w:rFonts w:ascii="Arial" w:hAnsi="Arial" w:cs="Arial"/>
          <w:b/>
          <w:bCs/>
        </w:rPr>
        <w:t>INTRODUCTION</w:t>
      </w:r>
    </w:p>
    <w:p w14:paraId="56F6C096" w14:textId="77777777" w:rsidR="00D74D37" w:rsidRPr="00F1331E" w:rsidRDefault="00D74D37" w:rsidP="00D74D37">
      <w:pPr>
        <w:jc w:val="both"/>
        <w:rPr>
          <w:rFonts w:ascii="Arial" w:hAnsi="Arial" w:cs="Arial"/>
          <w:b/>
          <w:bCs/>
        </w:rPr>
      </w:pPr>
    </w:p>
    <w:p w14:paraId="53471621" w14:textId="77777777" w:rsidR="00D74D37" w:rsidRPr="00F1331E" w:rsidRDefault="00D74D37" w:rsidP="00D74D37">
      <w:pPr>
        <w:jc w:val="both"/>
        <w:rPr>
          <w:rFonts w:ascii="Arial" w:hAnsi="Arial" w:cs="Arial"/>
          <w:b/>
          <w:bCs/>
          <w:sz w:val="22"/>
          <w:szCs w:val="22"/>
        </w:rPr>
      </w:pPr>
      <w:r w:rsidRPr="00F1331E">
        <w:rPr>
          <w:rFonts w:ascii="Arial" w:hAnsi="Arial" w:cs="Arial"/>
          <w:b/>
          <w:bCs/>
          <w:sz w:val="22"/>
          <w:szCs w:val="22"/>
        </w:rPr>
        <w:t>1.1. Background of the Study</w:t>
      </w:r>
    </w:p>
    <w:p w14:paraId="6928CF72" w14:textId="77777777" w:rsidR="00D74D37" w:rsidRDefault="00D74D37" w:rsidP="00D74D37">
      <w:pPr>
        <w:jc w:val="both"/>
        <w:rPr>
          <w:rFonts w:ascii="Arial" w:hAnsi="Arial" w:cs="Arial"/>
        </w:rPr>
      </w:pPr>
    </w:p>
    <w:p w14:paraId="4EE8C209" w14:textId="77777777" w:rsidR="003C7ADF" w:rsidRDefault="003C7ADF" w:rsidP="003C7ADF">
      <w:pPr>
        <w:ind w:firstLine="567"/>
        <w:jc w:val="both"/>
        <w:rPr>
          <w:rFonts w:ascii="Arial" w:hAnsi="Arial" w:cs="Arial"/>
        </w:rPr>
      </w:pPr>
      <w:r w:rsidRPr="0043229B">
        <w:rPr>
          <w:rFonts w:ascii="Arial" w:hAnsi="Arial" w:cs="Arial"/>
        </w:rPr>
        <w:t>In modern agriculture, pesticide usage has played a crucial role by empowering farmers to mitigate crop losses and ensure food security; however, the incessant application of chemical pesticides has led to serious health issues and environmental concerns. As per WHO, acute occupational pesticide poisoning affects about twenty-five million people, each year in developing countries, resulting in nearly twenty thousand fatalities worldwide. Therefore, as part of sustainable agriculture practices, it became imperative to explore alternative pest management techniques including biopesticides, which are non-toxic natural derivatives from plants, animals, and microorganisms, effective in controlling pest populations and offering safer alternatives to chemical pesticides and promising solutions for minimizing crop losses without posing any environmental concerns. Particularly, the microbial pesticides such as the bacterium Bacillus thuringiensis (</w:t>
      </w:r>
      <w:proofErr w:type="spellStart"/>
      <w:r w:rsidRPr="0043229B">
        <w:rPr>
          <w:rFonts w:ascii="Arial" w:hAnsi="Arial" w:cs="Arial"/>
        </w:rPr>
        <w:t>Bt</w:t>
      </w:r>
      <w:proofErr w:type="spellEnd"/>
      <w:r w:rsidRPr="0043229B">
        <w:rPr>
          <w:rFonts w:ascii="Arial" w:hAnsi="Arial" w:cs="Arial"/>
        </w:rPr>
        <w:t>) have tremendous potential in controlling certain pests by producing crystalline proteins that target specific insect species. Aligning with the principles of sustainable development incorporating social adequacy, economic productivity, and environmental protection, biopesticides are poised to play a crucial role in integrated pest management programs, providing a targeted and safer approach to pest management as the world focuses on more sustainable agriculture practices</w:t>
      </w:r>
      <w:r>
        <w:rPr>
          <w:rFonts w:ascii="Arial" w:hAnsi="Arial" w:cs="Arial"/>
        </w:rPr>
        <w:t xml:space="preserve"> [1]</w:t>
      </w:r>
      <w:r w:rsidRPr="0043229B">
        <w:rPr>
          <w:rFonts w:ascii="Arial" w:hAnsi="Arial" w:cs="Arial"/>
        </w:rPr>
        <w:t xml:space="preserve">. </w:t>
      </w:r>
    </w:p>
    <w:p w14:paraId="5268BB45" w14:textId="77777777" w:rsidR="003C7ADF" w:rsidRPr="0043229B" w:rsidRDefault="003C7ADF" w:rsidP="003C7ADF">
      <w:pPr>
        <w:ind w:firstLine="567"/>
        <w:jc w:val="both"/>
        <w:rPr>
          <w:rFonts w:ascii="Arial" w:hAnsi="Arial" w:cs="Arial"/>
        </w:rPr>
      </w:pPr>
      <w:r w:rsidRPr="0043229B">
        <w:rPr>
          <w:rFonts w:ascii="Arial" w:hAnsi="Arial" w:cs="Arial"/>
        </w:rPr>
        <w:t xml:space="preserve">Biopesticides has been categorized mainly into three types by the US environmental protection agency: Microbial pesticides, Biochemical pesticides &amp; Plant incorporated protectants. Microbial pesticides comprise of fungi viruses, bacteria and nematodes targeting specific pests and controlling wide range of diseases, weeds and insects. Biochemical pesticide that includes </w:t>
      </w:r>
      <w:proofErr w:type="spellStart"/>
      <w:r w:rsidRPr="0043229B">
        <w:rPr>
          <w:rFonts w:ascii="Arial" w:hAnsi="Arial" w:cs="Arial"/>
        </w:rPr>
        <w:t>semiochemicals</w:t>
      </w:r>
      <w:proofErr w:type="spellEnd"/>
      <w:r w:rsidRPr="0043229B">
        <w:rPr>
          <w:rFonts w:ascii="Arial" w:hAnsi="Arial" w:cs="Arial"/>
        </w:rPr>
        <w:t xml:space="preserve"> and plant regulators </w:t>
      </w:r>
      <w:proofErr w:type="spellStart"/>
      <w:r w:rsidRPr="0043229B">
        <w:rPr>
          <w:rFonts w:ascii="Arial" w:hAnsi="Arial" w:cs="Arial"/>
        </w:rPr>
        <w:t>utilising</w:t>
      </w:r>
      <w:proofErr w:type="spellEnd"/>
      <w:r w:rsidRPr="0043229B">
        <w:rPr>
          <w:rFonts w:ascii="Arial" w:hAnsi="Arial" w:cs="Arial"/>
        </w:rPr>
        <w:t xml:space="preserve"> non-toxic mechanisms to modify pest </w:t>
      </w:r>
      <w:proofErr w:type="spellStart"/>
      <w:r w:rsidRPr="0043229B">
        <w:rPr>
          <w:rFonts w:ascii="Arial" w:hAnsi="Arial" w:cs="Arial"/>
        </w:rPr>
        <w:t>behaviour</w:t>
      </w:r>
      <w:proofErr w:type="spellEnd"/>
      <w:r w:rsidRPr="0043229B">
        <w:rPr>
          <w:rFonts w:ascii="Arial" w:hAnsi="Arial" w:cs="Arial"/>
        </w:rPr>
        <w:t xml:space="preserve"> and physiology. Plant-incorporated protectants (PIPs) which are bio-pesticidal compounds formed by genetically modified crops such as those expressing the </w:t>
      </w:r>
      <w:proofErr w:type="spellStart"/>
      <w:r w:rsidRPr="0043229B">
        <w:rPr>
          <w:rFonts w:ascii="Arial" w:hAnsi="Arial" w:cs="Arial"/>
        </w:rPr>
        <w:t>Bt</w:t>
      </w:r>
      <w:proofErr w:type="spellEnd"/>
      <w:r w:rsidRPr="0043229B">
        <w:rPr>
          <w:rFonts w:ascii="Arial" w:hAnsi="Arial" w:cs="Arial"/>
        </w:rPr>
        <w:t xml:space="preserve"> toxin or dsRNA to fight against pests. With potential for integrated pest management and sustainable agriculture these categories of biopesticides deliver effective alternatives to chemical pesticides. Valued at $8.73 billion in 2024, the global pesticide market is projected to grow to $28.61 billion by 2032 at a CAGR of 16%. North America is the market leader of biopesticides with a share of 36.8% and US is expected to reach $7.34 billion by 2032 driven by the rising demand for organic food and sustainable agricultural methods. Recently, several companies have also invested in research and development with the launch of various bio pesticide products like a bioinsecticide Tackler by UPL limited in 2024, made from the fungus named 'Beauveria bassiana', another microbiological fungicide named Frontier Control by the company </w:t>
      </w:r>
      <w:proofErr w:type="spellStart"/>
      <w:r w:rsidRPr="0043229B">
        <w:rPr>
          <w:rFonts w:ascii="Arial" w:hAnsi="Arial" w:cs="Arial"/>
        </w:rPr>
        <w:t>Simbiose</w:t>
      </w:r>
      <w:proofErr w:type="spellEnd"/>
      <w:r w:rsidRPr="0043229B">
        <w:rPr>
          <w:rFonts w:ascii="Arial" w:hAnsi="Arial" w:cs="Arial"/>
        </w:rPr>
        <w:t xml:space="preserve"> with notable developments from companies like </w:t>
      </w:r>
      <w:proofErr w:type="spellStart"/>
      <w:r w:rsidRPr="0043229B">
        <w:rPr>
          <w:rFonts w:ascii="Arial" w:hAnsi="Arial" w:cs="Arial"/>
        </w:rPr>
        <w:t>Vestaron</w:t>
      </w:r>
      <w:proofErr w:type="spellEnd"/>
      <w:r w:rsidRPr="0043229B">
        <w:rPr>
          <w:rFonts w:ascii="Arial" w:hAnsi="Arial" w:cs="Arial"/>
        </w:rPr>
        <w:t xml:space="preserve"> Corporation's $10 million dollar funding bio pesticide research and development, Croda International's launch of Altox BS-50 for spore forming microbes and FMC Corporations introduction of its </w:t>
      </w:r>
      <w:proofErr w:type="spellStart"/>
      <w:r w:rsidRPr="0043229B">
        <w:rPr>
          <w:rFonts w:ascii="Arial" w:hAnsi="Arial" w:cs="Arial"/>
        </w:rPr>
        <w:t>Biològicos</w:t>
      </w:r>
      <w:proofErr w:type="spellEnd"/>
      <w:r w:rsidRPr="0043229B">
        <w:rPr>
          <w:rFonts w:ascii="Arial" w:hAnsi="Arial" w:cs="Arial"/>
        </w:rPr>
        <w:t xml:space="preserve"> da FMC bio pesticide brand in Brazil. With the increasing adoption of biopesticides in countries like India, Japan, China and Australia, the Asia Pacific region provides tremendous market opportunities for biopesticide manufacturers due to the rising demand for organic farming and concerns over synthetic pesticide use</w:t>
      </w:r>
      <w:r>
        <w:rPr>
          <w:rFonts w:ascii="Arial" w:hAnsi="Arial" w:cs="Arial"/>
        </w:rPr>
        <w:t xml:space="preserve">. </w:t>
      </w:r>
      <w:r w:rsidRPr="0043229B">
        <w:rPr>
          <w:rFonts w:ascii="Arial" w:hAnsi="Arial" w:cs="Arial"/>
        </w:rPr>
        <w:t>The Indian bio pesticide market is indeed growing rapidly. Valued at USD 82.2 million in 2024,</w:t>
      </w:r>
      <w:r>
        <w:rPr>
          <w:rFonts w:ascii="Arial" w:hAnsi="Arial" w:cs="Arial"/>
        </w:rPr>
        <w:t xml:space="preserve"> </w:t>
      </w:r>
      <w:r w:rsidRPr="0043229B">
        <w:rPr>
          <w:rFonts w:ascii="Arial" w:hAnsi="Arial" w:cs="Arial"/>
        </w:rPr>
        <w:t>it is expected to reach USD 204.1 million by 2033 at a CAGR of 9.23%</w:t>
      </w:r>
      <w:r>
        <w:rPr>
          <w:rFonts w:ascii="Arial" w:hAnsi="Arial" w:cs="Arial"/>
        </w:rPr>
        <w:t xml:space="preserve"> [2].</w:t>
      </w:r>
    </w:p>
    <w:p w14:paraId="16E52467" w14:textId="77777777" w:rsidR="003C7ADF" w:rsidRDefault="003C7ADF" w:rsidP="003C7ADF">
      <w:pPr>
        <w:ind w:firstLine="567"/>
        <w:jc w:val="both"/>
        <w:rPr>
          <w:rFonts w:ascii="Arial" w:hAnsi="Arial" w:cs="Arial"/>
        </w:rPr>
      </w:pPr>
      <w:r w:rsidRPr="0043229B">
        <w:rPr>
          <w:rFonts w:ascii="Arial" w:hAnsi="Arial" w:cs="Arial"/>
        </w:rPr>
        <w:t>With 130 private and 280 government-owned units, India has a total of 410 biopesticide production units. This development has been possible due to the support of the government towards the production of biopesticides through various initiatives and institutions like ICAR and state agricultural universities involved in its production. Also, government organizations and private companies like Biotech International Limited and Crop Care Limited are major players in the industry. In spite of this growth, the biopesticide market accounts for a very small share of the total pesticide industry with around 9% consumption only</w:t>
      </w:r>
      <w:r>
        <w:rPr>
          <w:rFonts w:ascii="Arial" w:hAnsi="Arial" w:cs="Arial"/>
        </w:rPr>
        <w:t xml:space="preserve"> [3]</w:t>
      </w:r>
      <w:r w:rsidRPr="0043229B">
        <w:rPr>
          <w:rFonts w:ascii="Arial" w:hAnsi="Arial" w:cs="Arial"/>
        </w:rPr>
        <w:t>.</w:t>
      </w:r>
      <w:r>
        <w:rPr>
          <w:rFonts w:ascii="Arial" w:hAnsi="Arial" w:cs="Arial"/>
        </w:rPr>
        <w:t xml:space="preserve"> </w:t>
      </w:r>
    </w:p>
    <w:p w14:paraId="6FB25131" w14:textId="77777777" w:rsidR="003C7ADF" w:rsidRPr="0043229B" w:rsidRDefault="003C7ADF" w:rsidP="003C7ADF">
      <w:pPr>
        <w:ind w:firstLine="567"/>
        <w:jc w:val="both"/>
        <w:rPr>
          <w:rFonts w:ascii="Arial" w:hAnsi="Arial" w:cs="Arial"/>
        </w:rPr>
      </w:pPr>
      <w:r w:rsidRPr="0043229B">
        <w:rPr>
          <w:rFonts w:ascii="Arial" w:hAnsi="Arial" w:cs="Arial"/>
        </w:rPr>
        <w:t xml:space="preserve">However, with an anticipated annual growth rate of 2.5%, the bio pesticide consumption is projected to reach 50% of the market by 2050. The Insecticides Act of 1968 regulates biopesticide production, with the Central Insecticide Board and Registration Committee (CIBRC) overseeing the registration and quality control of these pesticides. Presently, 970 biopesticide products have been registered, with market domination of fungal biopesticides like Trichoderma-based products, in particular. In order to promote the </w:t>
      </w:r>
      <w:proofErr w:type="spellStart"/>
      <w:r w:rsidRPr="0043229B">
        <w:rPr>
          <w:rFonts w:ascii="Arial" w:hAnsi="Arial" w:cs="Arial"/>
        </w:rPr>
        <w:t>commercialisation</w:t>
      </w:r>
      <w:proofErr w:type="spellEnd"/>
      <w:r w:rsidRPr="0043229B">
        <w:rPr>
          <w:rFonts w:ascii="Arial" w:hAnsi="Arial" w:cs="Arial"/>
        </w:rPr>
        <w:t xml:space="preserve"> of biopesticides, the government can extend its efforts towards forming international policies and standards to streamline the regulatory procedures and facilitate global trade. The biopesticide market is witnessing significant growth and development owing to various biopesticides (including Microbial, plant based and essential oils</w:t>
      </w:r>
      <w:proofErr w:type="gramStart"/>
      <w:r w:rsidRPr="0043229B">
        <w:rPr>
          <w:rFonts w:ascii="Arial" w:hAnsi="Arial" w:cs="Arial"/>
        </w:rPr>
        <w:t>),offering</w:t>
      </w:r>
      <w:proofErr w:type="gramEnd"/>
      <w:r w:rsidRPr="0043229B">
        <w:rPr>
          <w:rFonts w:ascii="Arial" w:hAnsi="Arial" w:cs="Arial"/>
        </w:rPr>
        <w:t xml:space="preserve"> promising solutions for sustainable pest management, as well as the role of key industrial players like UPL Group, Coromandel International, and Gujarat State Fertilizers and Chemicals Limited (GSFC) in </w:t>
      </w:r>
      <w:r w:rsidRPr="0043229B">
        <w:rPr>
          <w:rFonts w:ascii="Arial" w:hAnsi="Arial" w:cs="Arial"/>
        </w:rPr>
        <w:lastRenderedPageBreak/>
        <w:t xml:space="preserve">introducing new products and partnerships, driving growth in the market. Recently, notable actions by key industrial players include the launch of Eco Neem Plus Bio-fungicide by Coromandel, UPL's acquisition of Bio-fungicide </w:t>
      </w:r>
      <w:proofErr w:type="spellStart"/>
      <w:r w:rsidRPr="0043229B">
        <w:rPr>
          <w:rFonts w:ascii="Arial" w:hAnsi="Arial" w:cs="Arial"/>
        </w:rPr>
        <w:t>OptiCHOS</w:t>
      </w:r>
      <w:proofErr w:type="spellEnd"/>
      <w:r w:rsidRPr="0043229B">
        <w:rPr>
          <w:rFonts w:ascii="Arial" w:hAnsi="Arial" w:cs="Arial"/>
        </w:rPr>
        <w:t xml:space="preserve">, its partnership with </w:t>
      </w:r>
      <w:proofErr w:type="spellStart"/>
      <w:r w:rsidRPr="0043229B">
        <w:rPr>
          <w:rFonts w:ascii="Arial" w:hAnsi="Arial" w:cs="Arial"/>
        </w:rPr>
        <w:t>AgBiTech</w:t>
      </w:r>
      <w:proofErr w:type="spellEnd"/>
      <w:r w:rsidRPr="0043229B">
        <w:rPr>
          <w:rFonts w:ascii="Arial" w:hAnsi="Arial" w:cs="Arial"/>
        </w:rPr>
        <w:t xml:space="preserve">, and GSFC's partnership with </w:t>
      </w:r>
      <w:proofErr w:type="spellStart"/>
      <w:r w:rsidRPr="0043229B">
        <w:rPr>
          <w:rFonts w:ascii="Arial" w:hAnsi="Arial" w:cs="Arial"/>
        </w:rPr>
        <w:t>Arysta</w:t>
      </w:r>
      <w:proofErr w:type="spellEnd"/>
      <w:r w:rsidRPr="0043229B">
        <w:rPr>
          <w:rFonts w:ascii="Arial" w:hAnsi="Arial" w:cs="Arial"/>
        </w:rPr>
        <w:t xml:space="preserve"> </w:t>
      </w:r>
      <w:proofErr w:type="spellStart"/>
      <w:r w:rsidRPr="0043229B">
        <w:rPr>
          <w:rFonts w:ascii="Arial" w:hAnsi="Arial" w:cs="Arial"/>
        </w:rPr>
        <w:t>LifeScience</w:t>
      </w:r>
      <w:proofErr w:type="spellEnd"/>
      <w:r w:rsidRPr="0043229B">
        <w:rPr>
          <w:rFonts w:ascii="Arial" w:hAnsi="Arial" w:cs="Arial"/>
        </w:rPr>
        <w:t xml:space="preserve"> for biopesticides marketing in India. Through their new product launches, research &amp; development, strategic alliances, and expansion of their businesses in the eco-friendly agriculture solutions space, these companies have become instrumental in driving growth and development in the sector</w:t>
      </w:r>
      <w:r>
        <w:rPr>
          <w:rFonts w:ascii="Arial" w:hAnsi="Arial" w:cs="Arial"/>
        </w:rPr>
        <w:t xml:space="preserve"> [4]</w:t>
      </w:r>
      <w:r w:rsidRPr="0043229B">
        <w:rPr>
          <w:rFonts w:ascii="Arial" w:hAnsi="Arial" w:cs="Arial"/>
        </w:rPr>
        <w:t>.</w:t>
      </w:r>
    </w:p>
    <w:p w14:paraId="3358E22D" w14:textId="77777777" w:rsidR="00D74D37" w:rsidRDefault="00D74D37" w:rsidP="00D74D37">
      <w:pPr>
        <w:jc w:val="both"/>
        <w:rPr>
          <w:rFonts w:ascii="Arial" w:hAnsi="Arial" w:cs="Arial"/>
          <w:b/>
          <w:bCs/>
        </w:rPr>
      </w:pPr>
    </w:p>
    <w:p w14:paraId="73E996E9" w14:textId="77777777" w:rsidR="00D74D37" w:rsidRPr="00F1331E" w:rsidRDefault="00D74D37" w:rsidP="00D74D37">
      <w:pPr>
        <w:jc w:val="both"/>
        <w:rPr>
          <w:rFonts w:ascii="Arial" w:hAnsi="Arial" w:cs="Arial"/>
          <w:b/>
          <w:bCs/>
          <w:sz w:val="22"/>
          <w:szCs w:val="22"/>
        </w:rPr>
      </w:pPr>
      <w:r w:rsidRPr="00F1331E">
        <w:rPr>
          <w:rFonts w:ascii="Arial" w:hAnsi="Arial" w:cs="Arial"/>
          <w:b/>
          <w:bCs/>
          <w:sz w:val="22"/>
          <w:szCs w:val="22"/>
        </w:rPr>
        <w:t>1.2. Review of Literature</w:t>
      </w:r>
    </w:p>
    <w:p w14:paraId="634F5C2F" w14:textId="77777777" w:rsidR="00D74D37" w:rsidRDefault="00D74D37" w:rsidP="00D74D37">
      <w:pPr>
        <w:jc w:val="both"/>
        <w:rPr>
          <w:rFonts w:ascii="Arial" w:hAnsi="Arial" w:cs="Arial"/>
        </w:rPr>
      </w:pPr>
    </w:p>
    <w:p w14:paraId="76905482" w14:textId="1F00B30A" w:rsidR="00D74D37" w:rsidRPr="004B463F" w:rsidRDefault="00D74D37" w:rsidP="00D74D37">
      <w:pPr>
        <w:ind w:firstLine="567"/>
        <w:jc w:val="both"/>
        <w:rPr>
          <w:rFonts w:ascii="Arial" w:hAnsi="Arial" w:cs="Arial"/>
        </w:rPr>
      </w:pPr>
      <w:r w:rsidRPr="004B463F">
        <w:rPr>
          <w:rFonts w:ascii="Arial" w:hAnsi="Arial" w:cs="Arial"/>
        </w:rPr>
        <w:t xml:space="preserve">The global agricultural landscape is witnessing a notable shift towards bio-pesticides, driven by factors such as increased return on investment, growing restrictions on chemical pesticides, and concerns regarding pesticide residue management. Bio-pesticides currently constitute approximately 10% of the global pesticide market, with new technologies like RNAi and systemic metabolites expected to further impact the market in the coming decade Despite the recognized need for new herbicides, particularly bio-herbicides, their market share remains low due to challenges in developing competitive alternatives to existing chemical options. Investment in bio-pesticide discovery and development is often perceived as high-risk, leading to a greater focus on categories like bio-stimulants and bio-nutrients </w:t>
      </w:r>
      <w:r w:rsidR="00862CCD">
        <w:rPr>
          <w:rFonts w:ascii="Arial" w:hAnsi="Arial" w:cs="Arial"/>
        </w:rPr>
        <w:t>[5]</w:t>
      </w:r>
      <w:r w:rsidRPr="004B463F">
        <w:rPr>
          <w:rFonts w:ascii="Arial" w:hAnsi="Arial" w:cs="Arial"/>
        </w:rPr>
        <w:t>.</w:t>
      </w:r>
    </w:p>
    <w:p w14:paraId="1A06EC7A" w14:textId="30D784F4" w:rsidR="00D74D37" w:rsidRPr="004B463F" w:rsidRDefault="00D74D37" w:rsidP="00D74D37">
      <w:pPr>
        <w:ind w:firstLine="567"/>
        <w:jc w:val="both"/>
        <w:rPr>
          <w:rFonts w:ascii="Arial" w:hAnsi="Arial" w:cs="Arial"/>
        </w:rPr>
      </w:pPr>
      <w:r w:rsidRPr="004B463F">
        <w:rPr>
          <w:rFonts w:ascii="Arial" w:hAnsi="Arial" w:cs="Arial"/>
        </w:rPr>
        <w:t>The burgeoning use of bio-pesticides is contributing to sustainable agricultural practices globally, including in agriculturally dominant economies like India</w:t>
      </w:r>
      <w:r w:rsidR="00862CCD">
        <w:rPr>
          <w:rFonts w:ascii="Arial" w:hAnsi="Arial" w:cs="Arial"/>
        </w:rPr>
        <w:t xml:space="preserve">. </w:t>
      </w:r>
      <w:r w:rsidRPr="004B463F">
        <w:rPr>
          <w:rFonts w:ascii="Arial" w:hAnsi="Arial" w:cs="Arial"/>
        </w:rPr>
        <w:t xml:space="preserve">Research indicates that both buyer (farmer) and seller attitudes are significantly influenced by the overall attributes of bio-pesticides, with buyer attitudes being more affected by performance measures, and seller attitudes by experience and expectations </w:t>
      </w:r>
      <w:r w:rsidR="00862CCD">
        <w:rPr>
          <w:rFonts w:ascii="Arial" w:hAnsi="Arial" w:cs="Arial"/>
        </w:rPr>
        <w:t>[6]</w:t>
      </w:r>
      <w:r w:rsidRPr="004B463F">
        <w:rPr>
          <w:rFonts w:ascii="Arial" w:hAnsi="Arial" w:cs="Arial"/>
        </w:rPr>
        <w:t>. This highlights the importance of understanding the perspectives of both ends of the supply chain.</w:t>
      </w:r>
    </w:p>
    <w:p w14:paraId="2D6869A5" w14:textId="79B9E81F" w:rsidR="00D74D37" w:rsidRPr="004B463F" w:rsidRDefault="00D74D37" w:rsidP="00D74D37">
      <w:pPr>
        <w:ind w:firstLine="567"/>
        <w:jc w:val="both"/>
        <w:rPr>
          <w:rFonts w:ascii="Arial" w:hAnsi="Arial" w:cs="Arial"/>
        </w:rPr>
      </w:pPr>
      <w:r w:rsidRPr="004B463F">
        <w:rPr>
          <w:rFonts w:ascii="Arial" w:hAnsi="Arial" w:cs="Arial"/>
        </w:rPr>
        <w:t xml:space="preserve">Several studies have explored the factors influencing the purchase and adoption of pesticides, with varying focuses on chemical and bio-pesticides. Price is consistently identified as a primary consideration in bio-pesticide purchases, followed by quality and brand name. Constraints such as lack of credit facilities and high input costs also impede bio-pesticide usage. For </w:t>
      </w:r>
      <w:proofErr w:type="spellStart"/>
      <w:r w:rsidRPr="004B463F">
        <w:rPr>
          <w:rFonts w:ascii="Arial" w:hAnsi="Arial" w:cs="Arial"/>
        </w:rPr>
        <w:t>agri</w:t>
      </w:r>
      <w:proofErr w:type="spellEnd"/>
      <w:r w:rsidRPr="004B463F">
        <w:rPr>
          <w:rFonts w:ascii="Arial" w:hAnsi="Arial" w:cs="Arial"/>
        </w:rPr>
        <w:t xml:space="preserve">-input dealers, major challenges include high competition, low profit margins, and rising costs </w:t>
      </w:r>
      <w:r w:rsidR="00862CCD">
        <w:rPr>
          <w:rFonts w:ascii="Arial" w:hAnsi="Arial" w:cs="Arial"/>
        </w:rPr>
        <w:t>[7]</w:t>
      </w:r>
      <w:r w:rsidRPr="004B463F">
        <w:rPr>
          <w:rFonts w:ascii="Arial" w:hAnsi="Arial" w:cs="Arial"/>
        </w:rPr>
        <w:t xml:space="preserve">. Product demonstrations and farmer meetings have a positive influence on purchasing decisions for bio-pesticides </w:t>
      </w:r>
      <w:r w:rsidR="001140C5">
        <w:rPr>
          <w:rFonts w:ascii="Arial" w:hAnsi="Arial" w:cs="Arial"/>
        </w:rPr>
        <w:t>[7], [8], [9], [10]</w:t>
      </w:r>
      <w:r w:rsidR="003C7EB7">
        <w:rPr>
          <w:rFonts w:ascii="Arial" w:hAnsi="Arial" w:cs="Arial"/>
        </w:rPr>
        <w:t>, [11], [12], [13]</w:t>
      </w:r>
      <w:r w:rsidRPr="004B463F">
        <w:rPr>
          <w:rFonts w:ascii="Arial" w:hAnsi="Arial" w:cs="Arial"/>
        </w:rPr>
        <w:t xml:space="preserve">. Quality, effective results, and positive crop growth are crucial aspects affecting purchase decisions for both chemical and bio-pesticides, with farmers valuing products that offer value for money and are safe for both crops and soil </w:t>
      </w:r>
      <w:r w:rsidR="001140C5">
        <w:rPr>
          <w:rFonts w:ascii="Arial" w:hAnsi="Arial" w:cs="Arial"/>
        </w:rPr>
        <w:t>[8]</w:t>
      </w:r>
      <w:r w:rsidR="003C7EB7">
        <w:rPr>
          <w:rFonts w:ascii="Arial" w:hAnsi="Arial" w:cs="Arial"/>
        </w:rPr>
        <w:t>, [14], [15]</w:t>
      </w:r>
      <w:r w:rsidRPr="004B463F">
        <w:rPr>
          <w:rFonts w:ascii="Arial" w:hAnsi="Arial" w:cs="Arial"/>
        </w:rPr>
        <w:t>.</w:t>
      </w:r>
    </w:p>
    <w:p w14:paraId="19A9B93C" w14:textId="0BA614AE" w:rsidR="00D74D37" w:rsidRPr="004B463F" w:rsidRDefault="00D74D37" w:rsidP="003C7EB7">
      <w:pPr>
        <w:ind w:firstLine="567"/>
        <w:jc w:val="both"/>
        <w:rPr>
          <w:rFonts w:ascii="Arial" w:hAnsi="Arial" w:cs="Arial"/>
        </w:rPr>
      </w:pPr>
      <w:r w:rsidRPr="004B463F">
        <w:rPr>
          <w:rFonts w:ascii="Arial" w:hAnsi="Arial" w:cs="Arial"/>
        </w:rPr>
        <w:t xml:space="preserve">The enduring loyalty to chemical pesticides is often attributed to their immediate efficacy, with farmers frequently relying on local retailers for procurement and information </w:t>
      </w:r>
      <w:r w:rsidR="003C7EB7">
        <w:rPr>
          <w:rFonts w:ascii="Arial" w:hAnsi="Arial" w:cs="Arial"/>
        </w:rPr>
        <w:t xml:space="preserve">[16], [17]. </w:t>
      </w:r>
      <w:r w:rsidRPr="004B463F">
        <w:rPr>
          <w:rFonts w:ascii="Arial" w:hAnsi="Arial" w:cs="Arial"/>
        </w:rPr>
        <w:t xml:space="preserve">Farmers' purchase intentions for chemical pesticides are strongly influenced by descriptive norms and their attitude towards these products, despite the known detrimental environmental and health impacts </w:t>
      </w:r>
      <w:r w:rsidR="005C2812">
        <w:rPr>
          <w:rFonts w:ascii="Arial" w:hAnsi="Arial" w:cs="Arial"/>
        </w:rPr>
        <w:t>[18].</w:t>
      </w:r>
      <w:r w:rsidRPr="004B463F">
        <w:rPr>
          <w:rFonts w:ascii="Arial" w:hAnsi="Arial" w:cs="Arial"/>
        </w:rPr>
        <w:t xml:space="preserve"> Studies reveal that </w:t>
      </w:r>
      <w:proofErr w:type="spellStart"/>
      <w:r w:rsidRPr="004B463F">
        <w:rPr>
          <w:rFonts w:ascii="Arial" w:hAnsi="Arial" w:cs="Arial"/>
        </w:rPr>
        <w:t>agro</w:t>
      </w:r>
      <w:proofErr w:type="spellEnd"/>
      <w:r w:rsidRPr="004B463F">
        <w:rPr>
          <w:rFonts w:ascii="Arial" w:hAnsi="Arial" w:cs="Arial"/>
        </w:rPr>
        <w:t xml:space="preserve">-service centers offering quality products and reliable recommendations are highly preferred by farmers. Retailer suggestions, demonstrations, and wall paintings are effective promotional activities influencing farmer purchasing decisions </w:t>
      </w:r>
      <w:r w:rsidR="005C2812">
        <w:rPr>
          <w:rFonts w:ascii="Arial" w:hAnsi="Arial" w:cs="Arial"/>
        </w:rPr>
        <w:t>[16].</w:t>
      </w:r>
    </w:p>
    <w:p w14:paraId="1F33E18E" w14:textId="0A83D6F9" w:rsidR="00D74D37" w:rsidRPr="004B463F" w:rsidRDefault="00D74D37" w:rsidP="00D74D37">
      <w:pPr>
        <w:ind w:firstLine="567"/>
        <w:jc w:val="both"/>
        <w:rPr>
          <w:rFonts w:ascii="Arial" w:hAnsi="Arial" w:cs="Arial"/>
        </w:rPr>
      </w:pPr>
      <w:r w:rsidRPr="004B463F">
        <w:rPr>
          <w:rFonts w:ascii="Arial" w:hAnsi="Arial" w:cs="Arial"/>
        </w:rPr>
        <w:t>In developing countries, where public extension services are often inadequate, farmers frequently depend on the opinions of agricultural input traders (</w:t>
      </w:r>
      <w:proofErr w:type="spellStart"/>
      <w:r w:rsidRPr="004B463F">
        <w:rPr>
          <w:rFonts w:ascii="Arial" w:hAnsi="Arial" w:cs="Arial"/>
        </w:rPr>
        <w:t>Motalleb</w:t>
      </w:r>
      <w:proofErr w:type="spellEnd"/>
      <w:r w:rsidRPr="004B463F">
        <w:rPr>
          <w:rFonts w:ascii="Arial" w:hAnsi="Arial" w:cs="Arial"/>
        </w:rPr>
        <w:t xml:space="preserve"> et al., 2023). Research in Bangladesh suggested that profit-maximizing traders, when providing unbiased information, can help mitigate market failures </w:t>
      </w:r>
      <w:r w:rsidR="005C2812">
        <w:rPr>
          <w:rFonts w:ascii="Arial" w:hAnsi="Arial" w:cs="Arial"/>
        </w:rPr>
        <w:t>[19]</w:t>
      </w:r>
      <w:r w:rsidRPr="004B463F">
        <w:rPr>
          <w:rFonts w:ascii="Arial" w:hAnsi="Arial" w:cs="Arial"/>
        </w:rPr>
        <w:t xml:space="preserve">. Dealers and retailers play a significant role in pesticide advertising and promotional strategies, with companies like UPL, BASF, and PI being top-ranked in the Indian market for promotional activities </w:t>
      </w:r>
      <w:r w:rsidR="005C2812">
        <w:rPr>
          <w:rFonts w:ascii="Arial" w:hAnsi="Arial" w:cs="Arial"/>
        </w:rPr>
        <w:t>[16]</w:t>
      </w:r>
      <w:r w:rsidRPr="004B463F">
        <w:rPr>
          <w:rFonts w:ascii="Arial" w:hAnsi="Arial" w:cs="Arial"/>
        </w:rPr>
        <w:t>.</w:t>
      </w:r>
    </w:p>
    <w:p w14:paraId="2460C540" w14:textId="07E9DCC5" w:rsidR="00D74D37" w:rsidRPr="004B463F" w:rsidRDefault="00D74D37" w:rsidP="00D74D37">
      <w:pPr>
        <w:ind w:firstLine="567"/>
        <w:jc w:val="both"/>
        <w:rPr>
          <w:rFonts w:ascii="Arial" w:hAnsi="Arial" w:cs="Arial"/>
        </w:rPr>
      </w:pPr>
      <w:r w:rsidRPr="004B463F">
        <w:rPr>
          <w:rFonts w:ascii="Arial" w:hAnsi="Arial" w:cs="Arial"/>
        </w:rPr>
        <w:t>Farmers' buying behavior for pesticides is influenced by factors like the availability of products at the right time, with many preferring local markets and purchasing from dealers and retailers. The majority of farmers make their own purchasing decisions, often on credit, highlighting the need for companies to provide credit facilities</w:t>
      </w:r>
      <w:r w:rsidR="005C2812">
        <w:rPr>
          <w:rFonts w:ascii="Arial" w:hAnsi="Arial" w:cs="Arial"/>
        </w:rPr>
        <w:t xml:space="preserve">. </w:t>
      </w:r>
      <w:r w:rsidRPr="004B463F">
        <w:rPr>
          <w:rFonts w:ascii="Arial" w:hAnsi="Arial" w:cs="Arial"/>
        </w:rPr>
        <w:t xml:space="preserve">Brand loyalty is observed, with farmers often sticking to specific brands and quantities even with price increases, switching only when preferred brands are unavailable. This emphasizes the importance of timely product availability to meet seasonal demand </w:t>
      </w:r>
      <w:r w:rsidR="005C2812">
        <w:rPr>
          <w:rFonts w:ascii="Arial" w:hAnsi="Arial" w:cs="Arial"/>
        </w:rPr>
        <w:t>[20].</w:t>
      </w:r>
    </w:p>
    <w:p w14:paraId="2F7BF8B9" w14:textId="50F188CF" w:rsidR="00D74D37" w:rsidRPr="004B463F" w:rsidRDefault="00D74D37" w:rsidP="00D74D37">
      <w:pPr>
        <w:ind w:firstLine="567"/>
        <w:jc w:val="both"/>
        <w:rPr>
          <w:rFonts w:ascii="Arial" w:hAnsi="Arial" w:cs="Arial"/>
        </w:rPr>
      </w:pPr>
      <w:proofErr w:type="spellStart"/>
      <w:r w:rsidRPr="004B463F">
        <w:rPr>
          <w:rFonts w:ascii="Arial" w:hAnsi="Arial" w:cs="Arial"/>
        </w:rPr>
        <w:t>Agro</w:t>
      </w:r>
      <w:proofErr w:type="spellEnd"/>
      <w:r w:rsidRPr="004B463F">
        <w:rPr>
          <w:rFonts w:ascii="Arial" w:hAnsi="Arial" w:cs="Arial"/>
        </w:rPr>
        <w:t xml:space="preserve">-input dealers face various constraints, including financial issues, problems with input availability, challenges in delivering extension services, product performance issues, and managerial constraints. Financial challenges are often ranked as the most significant hurdle, while timely availability of inputs is perceived as less critical by dealers </w:t>
      </w:r>
      <w:r w:rsidR="000B4138">
        <w:rPr>
          <w:rFonts w:ascii="Arial" w:hAnsi="Arial" w:cs="Arial"/>
        </w:rPr>
        <w:t>[21]</w:t>
      </w:r>
      <w:r w:rsidRPr="004B463F">
        <w:rPr>
          <w:rFonts w:ascii="Arial" w:hAnsi="Arial" w:cs="Arial"/>
        </w:rPr>
        <w:t xml:space="preserve">. Furthermore, infrastructure and awareness issues, such as lack of market access, inadequate knowledge, and poor storage facilities, pose significant problems for </w:t>
      </w:r>
      <w:proofErr w:type="spellStart"/>
      <w:r w:rsidRPr="004B463F">
        <w:rPr>
          <w:rFonts w:ascii="Arial" w:hAnsi="Arial" w:cs="Arial"/>
        </w:rPr>
        <w:t>agro</w:t>
      </w:r>
      <w:proofErr w:type="spellEnd"/>
      <w:r w:rsidRPr="004B463F">
        <w:rPr>
          <w:rFonts w:ascii="Arial" w:hAnsi="Arial" w:cs="Arial"/>
        </w:rPr>
        <w:t xml:space="preserve">-input dealers, necessitating supportive institutional and policy environments for market growth </w:t>
      </w:r>
      <w:r w:rsidR="000B4138">
        <w:rPr>
          <w:rFonts w:ascii="Arial" w:hAnsi="Arial" w:cs="Arial"/>
        </w:rPr>
        <w:t>[22]</w:t>
      </w:r>
      <w:r w:rsidRPr="004B463F">
        <w:rPr>
          <w:rFonts w:ascii="Arial" w:hAnsi="Arial" w:cs="Arial"/>
        </w:rPr>
        <w:t>.</w:t>
      </w:r>
    </w:p>
    <w:p w14:paraId="4201AE31" w14:textId="67A0467D" w:rsidR="00D74D37" w:rsidRPr="004B463F" w:rsidRDefault="00D74D37" w:rsidP="00D74D37">
      <w:pPr>
        <w:ind w:firstLine="567"/>
        <w:jc w:val="both"/>
        <w:rPr>
          <w:rFonts w:ascii="Arial" w:hAnsi="Arial" w:cs="Arial"/>
        </w:rPr>
      </w:pPr>
      <w:r w:rsidRPr="004B463F">
        <w:rPr>
          <w:rFonts w:ascii="Arial" w:hAnsi="Arial" w:cs="Arial"/>
        </w:rPr>
        <w:lastRenderedPageBreak/>
        <w:t>A critical aspect identified is the lack of scientific knowledge among pesticide salespersons, with many possessing limited awareness regarding product handling, health risks, and regulatory policies</w:t>
      </w:r>
      <w:r w:rsidR="000B4138">
        <w:rPr>
          <w:rFonts w:ascii="Arial" w:hAnsi="Arial" w:cs="Arial"/>
        </w:rPr>
        <w:t xml:space="preserve">. </w:t>
      </w:r>
      <w:r w:rsidRPr="004B463F">
        <w:rPr>
          <w:rFonts w:ascii="Arial" w:hAnsi="Arial" w:cs="Arial"/>
        </w:rPr>
        <w:t xml:space="preserve">This calls for strict compliance with legal aspects, effective monitoring, and active involvement of the public sector to improve knowledge and practices in pesticide sales and delivery </w:t>
      </w:r>
      <w:r w:rsidR="000B4138">
        <w:rPr>
          <w:rFonts w:ascii="Arial" w:hAnsi="Arial" w:cs="Arial"/>
        </w:rPr>
        <w:t>[23]</w:t>
      </w:r>
      <w:r w:rsidRPr="004B463F">
        <w:rPr>
          <w:rFonts w:ascii="Arial" w:hAnsi="Arial" w:cs="Arial"/>
        </w:rPr>
        <w:t>.</w:t>
      </w:r>
    </w:p>
    <w:p w14:paraId="55847799" w14:textId="77777777" w:rsidR="00D74D37" w:rsidRDefault="00D74D37" w:rsidP="00D74D37">
      <w:pPr>
        <w:jc w:val="both"/>
        <w:rPr>
          <w:rFonts w:ascii="Arial" w:hAnsi="Arial" w:cs="Arial"/>
          <w:b/>
          <w:bCs/>
        </w:rPr>
      </w:pPr>
    </w:p>
    <w:p w14:paraId="55ED14B4" w14:textId="77777777" w:rsidR="00D74D37" w:rsidRPr="00F1331E" w:rsidRDefault="00D74D37" w:rsidP="00D74D37">
      <w:pPr>
        <w:jc w:val="both"/>
        <w:rPr>
          <w:rFonts w:ascii="Arial" w:hAnsi="Arial" w:cs="Arial"/>
          <w:b/>
          <w:bCs/>
          <w:sz w:val="22"/>
          <w:szCs w:val="22"/>
        </w:rPr>
      </w:pPr>
      <w:r w:rsidRPr="00F1331E">
        <w:rPr>
          <w:rFonts w:ascii="Arial" w:hAnsi="Arial" w:cs="Arial"/>
          <w:b/>
          <w:bCs/>
          <w:sz w:val="22"/>
          <w:szCs w:val="22"/>
        </w:rPr>
        <w:t>1.3. Justification of the Study</w:t>
      </w:r>
    </w:p>
    <w:p w14:paraId="03401B5B" w14:textId="77777777" w:rsidR="00D74D37" w:rsidRDefault="00D74D37" w:rsidP="00D74D37">
      <w:pPr>
        <w:jc w:val="both"/>
        <w:rPr>
          <w:rFonts w:ascii="Arial" w:hAnsi="Arial" w:cs="Arial"/>
        </w:rPr>
      </w:pPr>
    </w:p>
    <w:p w14:paraId="4D661CFE" w14:textId="77777777" w:rsidR="00D74D37" w:rsidRDefault="00D74D37" w:rsidP="00D74D37">
      <w:pPr>
        <w:ind w:firstLine="567"/>
        <w:jc w:val="both"/>
        <w:rPr>
          <w:rFonts w:ascii="Arial" w:hAnsi="Arial" w:cs="Arial"/>
        </w:rPr>
      </w:pPr>
      <w:r w:rsidRPr="004F2C94">
        <w:rPr>
          <w:rFonts w:ascii="Arial" w:hAnsi="Arial" w:cs="Arial"/>
        </w:rPr>
        <w:t xml:space="preserve">The pesticide market in Odisha, particularly in the </w:t>
      </w:r>
      <w:proofErr w:type="spellStart"/>
      <w:r w:rsidRPr="004F2C94">
        <w:rPr>
          <w:rFonts w:ascii="Arial" w:hAnsi="Arial" w:cs="Arial"/>
        </w:rPr>
        <w:t>Khordha</w:t>
      </w:r>
      <w:proofErr w:type="spellEnd"/>
      <w:r w:rsidRPr="004F2C94">
        <w:rPr>
          <w:rFonts w:ascii="Arial" w:hAnsi="Arial" w:cs="Arial"/>
        </w:rPr>
        <w:t xml:space="preserve"> district, faces significant challenges due to dynamic market conditions, increasing competitiveness, and climatic aberrations, affecting the intermediaries involved in the business. Despite the growing importance of sustainable agriculture practices and the potential of bio-pesticides, there is a lack of understanding about the attitudinal and behavioral aspects of business intermediaries, factors influencing the chemical and bio-pesticides market, and constraints faced by them. This knowledge gap hinders the development of effective strategies to support sustainable agriculture practices, improve market efficiency, and benefit all stakeholders involved in the supply chain. Therefore, this research aims to investigate the present status of the pesticide market, attitudes and behaviors of intermediaries, influencing factors, and constraints in the </w:t>
      </w:r>
      <w:proofErr w:type="spellStart"/>
      <w:r w:rsidRPr="004F2C94">
        <w:rPr>
          <w:rFonts w:ascii="Arial" w:hAnsi="Arial" w:cs="Arial"/>
        </w:rPr>
        <w:t>Khordha</w:t>
      </w:r>
      <w:proofErr w:type="spellEnd"/>
      <w:r w:rsidRPr="004F2C94">
        <w:rPr>
          <w:rFonts w:ascii="Arial" w:hAnsi="Arial" w:cs="Arial"/>
        </w:rPr>
        <w:t xml:space="preserve"> district, providing valuable insights for stakeholders and contributing to the growth of sustainable agriculture in the region.</w:t>
      </w:r>
    </w:p>
    <w:p w14:paraId="6173192F" w14:textId="77777777" w:rsidR="00D74D37" w:rsidRDefault="00D74D37" w:rsidP="00D74D37">
      <w:pPr>
        <w:jc w:val="both"/>
        <w:rPr>
          <w:rFonts w:ascii="Arial" w:hAnsi="Arial" w:cs="Arial"/>
          <w:b/>
          <w:bCs/>
        </w:rPr>
      </w:pPr>
    </w:p>
    <w:p w14:paraId="179A19E9" w14:textId="77777777" w:rsidR="00D74D37" w:rsidRPr="00754AA7" w:rsidRDefault="00D74D37" w:rsidP="00D74D37">
      <w:pPr>
        <w:jc w:val="both"/>
        <w:rPr>
          <w:rFonts w:ascii="Arial" w:hAnsi="Arial" w:cs="Arial"/>
          <w:b/>
          <w:bCs/>
        </w:rPr>
      </w:pPr>
      <w:r>
        <w:rPr>
          <w:rFonts w:ascii="Arial" w:hAnsi="Arial" w:cs="Arial"/>
          <w:b/>
          <w:bCs/>
        </w:rPr>
        <w:t xml:space="preserve">2. </w:t>
      </w:r>
      <w:r w:rsidRPr="00754AA7">
        <w:rPr>
          <w:rFonts w:ascii="Arial" w:hAnsi="Arial" w:cs="Arial"/>
          <w:b/>
          <w:bCs/>
        </w:rPr>
        <w:t>MATERIAL AND METHODS</w:t>
      </w:r>
    </w:p>
    <w:p w14:paraId="0DE0C076" w14:textId="77777777" w:rsidR="00D74D37" w:rsidRDefault="00D74D37" w:rsidP="00D74D37">
      <w:pPr>
        <w:jc w:val="both"/>
        <w:rPr>
          <w:rFonts w:ascii="Arial" w:hAnsi="Arial" w:cs="Arial"/>
        </w:rPr>
      </w:pPr>
    </w:p>
    <w:p w14:paraId="024426EB" w14:textId="77777777" w:rsidR="00D74D37" w:rsidRPr="00D43546" w:rsidRDefault="00D74D37" w:rsidP="00D74D37">
      <w:pPr>
        <w:ind w:firstLine="567"/>
        <w:jc w:val="both"/>
        <w:rPr>
          <w:rFonts w:ascii="Arial" w:hAnsi="Arial" w:cs="Arial"/>
        </w:rPr>
      </w:pPr>
      <w:r w:rsidRPr="00D43546">
        <w:rPr>
          <w:rFonts w:ascii="Arial" w:hAnsi="Arial" w:cs="Arial"/>
        </w:rPr>
        <w:t xml:space="preserve">This study employed a descriptive and exploratory research design to investigate factors influencing bio-pesticide sales and distribution in </w:t>
      </w:r>
      <w:proofErr w:type="spellStart"/>
      <w:r w:rsidRPr="00D43546">
        <w:rPr>
          <w:rFonts w:ascii="Arial" w:hAnsi="Arial" w:cs="Arial"/>
        </w:rPr>
        <w:t>Khordha</w:t>
      </w:r>
      <w:proofErr w:type="spellEnd"/>
      <w:r w:rsidRPr="00D43546">
        <w:rPr>
          <w:rFonts w:ascii="Arial" w:hAnsi="Arial" w:cs="Arial"/>
        </w:rPr>
        <w:t xml:space="preserve"> district, Odisha, India. Data were collected in 2023 from a sample of 27 pesticide market intermediaries (dealers and retailers) using a snowball sampling method. This non-probability sampling technique involved recruiting new participants through existing ones.</w:t>
      </w:r>
      <w:r>
        <w:rPr>
          <w:rFonts w:ascii="Arial" w:hAnsi="Arial" w:cs="Arial"/>
        </w:rPr>
        <w:t xml:space="preserve"> </w:t>
      </w:r>
      <w:r w:rsidRPr="00D43546">
        <w:rPr>
          <w:rFonts w:ascii="Arial" w:hAnsi="Arial" w:cs="Arial"/>
        </w:rPr>
        <w:t>Primary data were gathered using structured schedules comprising both open-ended and close-ended questions. These instruments were developed based on a comprehensive literature review. Secondary data were also utilized to complement the primary information.</w:t>
      </w:r>
      <w:r>
        <w:rPr>
          <w:rFonts w:ascii="Arial" w:hAnsi="Arial" w:cs="Arial"/>
        </w:rPr>
        <w:t xml:space="preserve"> </w:t>
      </w:r>
      <w:r w:rsidRPr="00D43546">
        <w:rPr>
          <w:rFonts w:ascii="Arial" w:hAnsi="Arial" w:cs="Arial"/>
        </w:rPr>
        <w:t xml:space="preserve">For data analysis, Microsoft Office (MS 2021) and IBM SPSS Statistics (29.0.1.0 trial version) were used. Descriptive statistics, including tabular and graphical presentations (bar diagrams), percentages, and averages, were employed to summarize the data. To </w:t>
      </w:r>
      <w:r>
        <w:rPr>
          <w:rFonts w:ascii="Arial" w:hAnsi="Arial" w:cs="Arial"/>
        </w:rPr>
        <w:t xml:space="preserve">test the hypothesis and </w:t>
      </w:r>
      <w:proofErr w:type="spellStart"/>
      <w:r>
        <w:rPr>
          <w:rFonts w:ascii="Arial" w:hAnsi="Arial" w:cs="Arial"/>
        </w:rPr>
        <w:t>analyse</w:t>
      </w:r>
      <w:proofErr w:type="spellEnd"/>
      <w:r>
        <w:rPr>
          <w:rFonts w:ascii="Arial" w:hAnsi="Arial" w:cs="Arial"/>
        </w:rPr>
        <w:t xml:space="preserve"> the</w:t>
      </w:r>
      <w:r w:rsidRPr="00D43546">
        <w:rPr>
          <w:rFonts w:ascii="Arial" w:hAnsi="Arial" w:cs="Arial"/>
        </w:rPr>
        <w:t xml:space="preserve"> objectives, specific statistical techniques were applied</w:t>
      </w:r>
      <w:r>
        <w:rPr>
          <w:rFonts w:ascii="Arial" w:hAnsi="Arial" w:cs="Arial"/>
        </w:rPr>
        <w:t xml:space="preserve"> like</w:t>
      </w:r>
      <w:r w:rsidRPr="00D43546">
        <w:rPr>
          <w:rFonts w:ascii="Arial" w:hAnsi="Arial" w:cs="Arial"/>
        </w:rPr>
        <w:t xml:space="preserve"> </w:t>
      </w:r>
      <w:r>
        <w:rPr>
          <w:rFonts w:ascii="Arial" w:hAnsi="Arial" w:cs="Arial"/>
        </w:rPr>
        <w:t xml:space="preserve">One-way ANOVA, </w:t>
      </w:r>
      <w:r w:rsidRPr="00207EF5">
        <w:rPr>
          <w:rFonts w:ascii="Times New Roman" w:hAnsi="Times New Roman"/>
          <w:color w:val="000000" w:themeColor="text1"/>
          <w:sz w:val="24"/>
          <w:szCs w:val="24"/>
        </w:rPr>
        <w:t>Chi-square (</w:t>
      </w:r>
      <m:oMath>
        <m:sSup>
          <m:sSupPr>
            <m:ctrlPr>
              <w:rPr>
                <w:rFonts w:ascii="Cambria Math" w:hAnsi="Times New Roman"/>
                <w:color w:val="000000" w:themeColor="text1"/>
                <w:sz w:val="24"/>
                <w:szCs w:val="24"/>
                <w:lang w:val="en-IN"/>
              </w:rPr>
            </m:ctrlPr>
          </m:sSupPr>
          <m:e>
            <m:r>
              <m:rPr>
                <m:sty m:val="p"/>
              </m:rPr>
              <w:rPr>
                <w:rFonts w:ascii="Cambria Math" w:hAnsi="Cambria Math"/>
                <w:color w:val="000000" w:themeColor="text1"/>
                <w:sz w:val="24"/>
                <w:szCs w:val="24"/>
                <w:lang w:val="en-IN"/>
              </w:rPr>
              <m:t>χ</m:t>
            </m:r>
          </m:e>
          <m:sup>
            <m:r>
              <m:rPr>
                <m:sty m:val="p"/>
              </m:rPr>
              <w:rPr>
                <w:rFonts w:ascii="Cambria Math" w:hAnsi="Times New Roman"/>
                <w:color w:val="000000" w:themeColor="text1"/>
                <w:sz w:val="24"/>
                <w:szCs w:val="24"/>
                <w:lang w:val="en-IN"/>
              </w:rPr>
              <m:t>2</m:t>
            </m:r>
          </m:sup>
        </m:sSup>
      </m:oMath>
      <w:r w:rsidRPr="00207EF5">
        <w:rPr>
          <w:rFonts w:ascii="Times New Roman" w:hAnsi="Times New Roman"/>
          <w:color w:val="000000" w:themeColor="text1"/>
          <w:sz w:val="24"/>
          <w:szCs w:val="24"/>
          <w:shd w:val="clear" w:color="auto" w:fill="FFFFFF"/>
        </w:rPr>
        <w:t>)</w:t>
      </w:r>
      <w:r w:rsidRPr="00207EF5">
        <w:rPr>
          <w:rFonts w:ascii="Times New Roman" w:hAnsi="Times New Roman"/>
          <w:color w:val="000000" w:themeColor="text1"/>
          <w:sz w:val="24"/>
          <w:szCs w:val="24"/>
        </w:rPr>
        <w:t xml:space="preserve"> </w:t>
      </w:r>
      <w:r w:rsidRPr="00D43546">
        <w:rPr>
          <w:rFonts w:ascii="Arial" w:hAnsi="Arial" w:cs="Arial"/>
        </w:rPr>
        <w:t>test of independence</w:t>
      </w:r>
      <w:r>
        <w:rPr>
          <w:rFonts w:ascii="Arial" w:hAnsi="Arial" w:cs="Arial"/>
        </w:rPr>
        <w:t xml:space="preserve">; </w:t>
      </w:r>
      <w:r w:rsidRPr="00D43546">
        <w:rPr>
          <w:rFonts w:ascii="Arial" w:hAnsi="Arial" w:cs="Arial"/>
        </w:rPr>
        <w:t>Multiple Linear Regression (MLR)</w:t>
      </w:r>
      <w:r>
        <w:rPr>
          <w:rFonts w:ascii="Arial" w:hAnsi="Arial" w:cs="Arial"/>
        </w:rPr>
        <w:t xml:space="preserve">; </w:t>
      </w:r>
      <w:r w:rsidRPr="00D43546">
        <w:rPr>
          <w:rFonts w:ascii="Arial" w:hAnsi="Arial" w:cs="Arial"/>
        </w:rPr>
        <w:t>Logistic (Logit) Regression</w:t>
      </w:r>
      <w:r>
        <w:rPr>
          <w:rFonts w:ascii="Arial" w:hAnsi="Arial" w:cs="Arial"/>
        </w:rPr>
        <w:t>; Arithmetic Mean; etc.</w:t>
      </w:r>
    </w:p>
    <w:p w14:paraId="0B95B3C1" w14:textId="77777777" w:rsidR="00D74D37" w:rsidRDefault="00D74D37" w:rsidP="00D74D37">
      <w:pPr>
        <w:jc w:val="both"/>
        <w:rPr>
          <w:rFonts w:ascii="Arial" w:hAnsi="Arial" w:cs="Arial"/>
        </w:rPr>
      </w:pPr>
    </w:p>
    <w:p w14:paraId="091DB74E" w14:textId="77777777" w:rsidR="00D74D37" w:rsidRPr="00D37945" w:rsidRDefault="00D74D37" w:rsidP="00D74D37">
      <w:pPr>
        <w:jc w:val="both"/>
        <w:rPr>
          <w:rFonts w:ascii="Arial" w:hAnsi="Arial" w:cs="Arial"/>
        </w:rPr>
      </w:pPr>
      <w:r>
        <w:rPr>
          <w:rFonts w:ascii="Arial" w:hAnsi="Arial" w:cs="Arial"/>
        </w:rPr>
        <w:t>The Null Hypothesis of the study is given below:</w:t>
      </w:r>
    </w:p>
    <w:p w14:paraId="540DDAAE" w14:textId="77777777" w:rsidR="00D74D37" w:rsidRPr="003E04BD" w:rsidRDefault="00D74D37" w:rsidP="00D74D37">
      <w:pPr>
        <w:pStyle w:val="ListParagraph"/>
        <w:numPr>
          <w:ilvl w:val="0"/>
          <w:numId w:val="32"/>
        </w:numPr>
        <w:spacing w:after="0" w:line="240" w:lineRule="auto"/>
        <w:ind w:left="720"/>
        <w:jc w:val="both"/>
        <w:rPr>
          <w:rFonts w:ascii="Arial" w:hAnsi="Arial" w:cs="Arial"/>
          <w:sz w:val="20"/>
          <w:szCs w:val="20"/>
        </w:rPr>
      </w:pPr>
      <w:r w:rsidRPr="003E04BD">
        <w:rPr>
          <w:rFonts w:ascii="Arial" w:hAnsi="Arial" w:cs="Arial"/>
          <w:sz w:val="20"/>
          <w:szCs w:val="20"/>
        </w:rPr>
        <w:t>There is no mean difference of business annual turnover among three group of intermediaries such as high-come, medium-income and low-income group</w:t>
      </w:r>
    </w:p>
    <w:p w14:paraId="328B2E5D" w14:textId="77777777" w:rsidR="00D74D37" w:rsidRDefault="00D74D37" w:rsidP="00D74D37">
      <w:pPr>
        <w:jc w:val="both"/>
        <w:rPr>
          <w:rFonts w:ascii="Arial" w:hAnsi="Arial" w:cs="Arial"/>
        </w:rPr>
      </w:pPr>
    </w:p>
    <w:p w14:paraId="207E80FA" w14:textId="77777777" w:rsidR="00D74D37" w:rsidRPr="00D43546" w:rsidRDefault="00D74D37" w:rsidP="00D74D37">
      <w:pPr>
        <w:jc w:val="both"/>
        <w:rPr>
          <w:rFonts w:ascii="Arial" w:hAnsi="Arial" w:cs="Arial"/>
        </w:rPr>
      </w:pPr>
      <w:r>
        <w:rPr>
          <w:rFonts w:ascii="Arial" w:hAnsi="Arial" w:cs="Arial"/>
        </w:rPr>
        <w:t>The r</w:t>
      </w:r>
      <w:r w:rsidRPr="00D43546">
        <w:rPr>
          <w:rFonts w:ascii="Arial" w:hAnsi="Arial" w:cs="Arial"/>
        </w:rPr>
        <w:t xml:space="preserve">esearch objectives </w:t>
      </w:r>
      <w:r>
        <w:rPr>
          <w:rFonts w:ascii="Arial" w:hAnsi="Arial" w:cs="Arial"/>
        </w:rPr>
        <w:t xml:space="preserve">are stated as follows: </w:t>
      </w:r>
    </w:p>
    <w:p w14:paraId="3026AC78" w14:textId="77777777" w:rsidR="00D74D37" w:rsidRPr="003E04BD" w:rsidRDefault="00D74D37" w:rsidP="00D74D37">
      <w:pPr>
        <w:pStyle w:val="ListParagraph"/>
        <w:numPr>
          <w:ilvl w:val="0"/>
          <w:numId w:val="31"/>
        </w:numPr>
        <w:spacing w:after="0" w:line="240" w:lineRule="auto"/>
        <w:jc w:val="both"/>
        <w:rPr>
          <w:rFonts w:ascii="Arial" w:hAnsi="Arial" w:cs="Arial"/>
          <w:sz w:val="20"/>
          <w:szCs w:val="20"/>
        </w:rPr>
      </w:pPr>
      <w:r w:rsidRPr="003E04BD">
        <w:rPr>
          <w:rFonts w:ascii="Arial" w:hAnsi="Arial" w:cs="Arial"/>
          <w:sz w:val="20"/>
          <w:szCs w:val="20"/>
        </w:rPr>
        <w:t>To identify different types of major pesticides sold in the study area</w:t>
      </w:r>
    </w:p>
    <w:p w14:paraId="56B35388" w14:textId="77777777" w:rsidR="00D74D37" w:rsidRPr="003E04BD" w:rsidRDefault="00D74D37" w:rsidP="00D74D37">
      <w:pPr>
        <w:pStyle w:val="ListParagraph"/>
        <w:numPr>
          <w:ilvl w:val="0"/>
          <w:numId w:val="31"/>
        </w:numPr>
        <w:spacing w:after="0" w:line="240" w:lineRule="auto"/>
        <w:jc w:val="both"/>
        <w:rPr>
          <w:rFonts w:ascii="Arial" w:hAnsi="Arial" w:cs="Arial"/>
          <w:sz w:val="20"/>
          <w:szCs w:val="20"/>
        </w:rPr>
      </w:pPr>
      <w:r w:rsidRPr="003E04BD">
        <w:rPr>
          <w:rFonts w:ascii="Arial" w:hAnsi="Arial" w:cs="Arial"/>
          <w:sz w:val="20"/>
          <w:szCs w:val="20"/>
        </w:rPr>
        <w:t>To study about the demographic variable(s) influencing the pesticide business</w:t>
      </w:r>
    </w:p>
    <w:p w14:paraId="38985D60" w14:textId="77777777" w:rsidR="00D74D37" w:rsidRPr="003E04BD" w:rsidRDefault="00D74D37" w:rsidP="00D74D37">
      <w:pPr>
        <w:pStyle w:val="ListParagraph"/>
        <w:numPr>
          <w:ilvl w:val="0"/>
          <w:numId w:val="31"/>
        </w:numPr>
        <w:spacing w:after="0" w:line="240" w:lineRule="auto"/>
        <w:jc w:val="both"/>
        <w:rPr>
          <w:rFonts w:ascii="Arial" w:hAnsi="Arial" w:cs="Arial"/>
          <w:sz w:val="20"/>
          <w:szCs w:val="20"/>
        </w:rPr>
      </w:pPr>
      <w:r w:rsidRPr="003E04BD">
        <w:rPr>
          <w:rFonts w:ascii="Arial" w:hAnsi="Arial" w:cs="Arial"/>
          <w:sz w:val="20"/>
          <w:szCs w:val="20"/>
        </w:rPr>
        <w:t>To examine the factors influencing the business of bio-pesticides</w:t>
      </w:r>
    </w:p>
    <w:p w14:paraId="484304F7" w14:textId="77777777" w:rsidR="00D74D37" w:rsidRPr="003E04BD" w:rsidRDefault="00D74D37" w:rsidP="00D74D37">
      <w:pPr>
        <w:pStyle w:val="ListParagraph"/>
        <w:numPr>
          <w:ilvl w:val="0"/>
          <w:numId w:val="31"/>
        </w:numPr>
        <w:spacing w:after="0" w:line="240" w:lineRule="auto"/>
        <w:jc w:val="both"/>
        <w:rPr>
          <w:rFonts w:ascii="Arial" w:hAnsi="Arial" w:cs="Arial"/>
          <w:sz w:val="20"/>
          <w:szCs w:val="20"/>
        </w:rPr>
      </w:pPr>
      <w:r w:rsidRPr="003E04BD">
        <w:rPr>
          <w:rFonts w:ascii="Arial" w:hAnsi="Arial" w:cs="Arial"/>
          <w:sz w:val="20"/>
          <w:szCs w:val="20"/>
        </w:rPr>
        <w:t>To assess the attitude of pesticide dealers/retailers towards different sales and marketing activities of pesticides</w:t>
      </w:r>
    </w:p>
    <w:p w14:paraId="4E225072" w14:textId="77777777" w:rsidR="00D74D37" w:rsidRPr="003E04BD" w:rsidRDefault="00D74D37" w:rsidP="00D74D37">
      <w:pPr>
        <w:pStyle w:val="ListParagraph"/>
        <w:numPr>
          <w:ilvl w:val="0"/>
          <w:numId w:val="31"/>
        </w:numPr>
        <w:spacing w:after="0" w:line="240" w:lineRule="auto"/>
        <w:jc w:val="both"/>
        <w:rPr>
          <w:rFonts w:ascii="Arial" w:hAnsi="Arial" w:cs="Arial"/>
          <w:sz w:val="20"/>
          <w:szCs w:val="20"/>
        </w:rPr>
      </w:pPr>
      <w:r w:rsidRPr="003E04BD">
        <w:rPr>
          <w:rFonts w:ascii="Arial" w:hAnsi="Arial" w:cs="Arial"/>
          <w:sz w:val="20"/>
          <w:szCs w:val="20"/>
        </w:rPr>
        <w:t>To identify the constraints faced by dealers/retailers in pesticide business</w:t>
      </w:r>
    </w:p>
    <w:p w14:paraId="157501A7" w14:textId="77777777" w:rsidR="00D74D37" w:rsidRDefault="00D74D37" w:rsidP="00D74D37">
      <w:pPr>
        <w:jc w:val="both"/>
        <w:rPr>
          <w:rFonts w:ascii="Arial" w:hAnsi="Arial" w:cs="Arial"/>
          <w:b/>
          <w:bCs/>
        </w:rPr>
      </w:pPr>
    </w:p>
    <w:p w14:paraId="44CD2E26" w14:textId="77777777" w:rsidR="00D74D37" w:rsidRPr="00754AA7" w:rsidRDefault="00D74D37" w:rsidP="00D74D37">
      <w:pPr>
        <w:jc w:val="both"/>
        <w:rPr>
          <w:rFonts w:ascii="Arial" w:hAnsi="Arial" w:cs="Arial"/>
          <w:b/>
          <w:bCs/>
        </w:rPr>
      </w:pPr>
      <w:r>
        <w:rPr>
          <w:rFonts w:ascii="Arial" w:hAnsi="Arial" w:cs="Arial"/>
          <w:b/>
          <w:bCs/>
        </w:rPr>
        <w:t xml:space="preserve">3. </w:t>
      </w:r>
      <w:r w:rsidRPr="00754AA7">
        <w:rPr>
          <w:rFonts w:ascii="Arial" w:hAnsi="Arial" w:cs="Arial"/>
          <w:b/>
          <w:bCs/>
        </w:rPr>
        <w:t>RESULTS AND DISCUSSION</w:t>
      </w:r>
    </w:p>
    <w:p w14:paraId="0E70306A" w14:textId="77777777" w:rsidR="00D74D37" w:rsidRPr="00F1331E" w:rsidRDefault="00D74D37" w:rsidP="00D74D37">
      <w:pPr>
        <w:jc w:val="both"/>
        <w:rPr>
          <w:rFonts w:ascii="Arial" w:hAnsi="Arial" w:cs="Arial"/>
          <w:b/>
          <w:bCs/>
        </w:rPr>
      </w:pPr>
    </w:p>
    <w:p w14:paraId="00FE065D" w14:textId="77777777" w:rsidR="00D74D37" w:rsidRPr="00F1331E" w:rsidRDefault="00D74D37" w:rsidP="00D74D37">
      <w:pPr>
        <w:jc w:val="both"/>
        <w:rPr>
          <w:rFonts w:ascii="Arial" w:hAnsi="Arial" w:cs="Arial"/>
          <w:b/>
          <w:bCs/>
          <w:sz w:val="22"/>
          <w:szCs w:val="22"/>
        </w:rPr>
      </w:pPr>
      <w:r w:rsidRPr="00F1331E">
        <w:rPr>
          <w:rFonts w:ascii="Arial" w:hAnsi="Arial" w:cs="Arial"/>
          <w:b/>
          <w:bCs/>
          <w:sz w:val="22"/>
          <w:szCs w:val="22"/>
        </w:rPr>
        <w:t>3.1. Hypothesis Testing</w:t>
      </w:r>
    </w:p>
    <w:p w14:paraId="2C46C593" w14:textId="77777777" w:rsidR="00D74D37" w:rsidRDefault="00D74D37" w:rsidP="00D74D37">
      <w:pPr>
        <w:jc w:val="both"/>
        <w:rPr>
          <w:rFonts w:ascii="Arial" w:hAnsi="Arial" w:cs="Arial"/>
        </w:rPr>
      </w:pPr>
    </w:p>
    <w:p w14:paraId="32165D30" w14:textId="77777777" w:rsidR="00D74D37" w:rsidRDefault="00D74D37" w:rsidP="00D74D37">
      <w:pPr>
        <w:ind w:firstLine="567"/>
        <w:jc w:val="both"/>
        <w:rPr>
          <w:rFonts w:ascii="Arial" w:hAnsi="Arial" w:cs="Arial"/>
        </w:rPr>
      </w:pPr>
      <w:r w:rsidRPr="00FC4CAF">
        <w:rPr>
          <w:rFonts w:ascii="Arial" w:hAnsi="Arial" w:cs="Arial"/>
        </w:rPr>
        <w:t>This study tests the hypothesis that there is a significant difference in business annual turnover among three groups of intermediaries (high-income, medium-income, and low-income). The null hypothesis (H0) states that there is no mean difference, while the alternative hypothesis (Ha) suggests a mean difference. One-way ANOVA is used to compare the means of these independent groups and determine if there is statistical evidence of significant differences.</w:t>
      </w:r>
    </w:p>
    <w:p w14:paraId="1F01D60A" w14:textId="77777777" w:rsidR="00D74D37" w:rsidRDefault="00D74D37" w:rsidP="00D74D37">
      <w:pPr>
        <w:jc w:val="both"/>
        <w:rPr>
          <w:rFonts w:ascii="Arial" w:hAnsi="Arial" w:cs="Arial"/>
          <w:b/>
          <w:bCs/>
        </w:rPr>
      </w:pPr>
    </w:p>
    <w:p w14:paraId="247D066D" w14:textId="77777777" w:rsidR="00D74D37" w:rsidRPr="00EA7ACC" w:rsidRDefault="00D74D37" w:rsidP="00D74D37">
      <w:pPr>
        <w:jc w:val="both"/>
        <w:rPr>
          <w:rFonts w:ascii="Arial" w:hAnsi="Arial" w:cs="Arial"/>
          <w:b/>
          <w:bCs/>
        </w:rPr>
      </w:pPr>
      <w:r w:rsidRPr="00EA7ACC">
        <w:rPr>
          <w:rFonts w:ascii="Arial" w:hAnsi="Arial" w:cs="Arial"/>
          <w:b/>
          <w:bCs/>
        </w:rPr>
        <w:t>Table 1. One-way-ANOVA among income groups of business intermediaries</w:t>
      </w:r>
    </w:p>
    <w:tbl>
      <w:tblPr>
        <w:tblStyle w:val="TableGrid"/>
        <w:tblW w:w="9180" w:type="dxa"/>
        <w:tblInd w:w="-113" w:type="dxa"/>
        <w:tblLook w:val="0000" w:firstRow="0" w:lastRow="0" w:firstColumn="0" w:lastColumn="0" w:noHBand="0" w:noVBand="0"/>
      </w:tblPr>
      <w:tblGrid>
        <w:gridCol w:w="1473"/>
        <w:gridCol w:w="3171"/>
        <w:gridCol w:w="2552"/>
        <w:gridCol w:w="1984"/>
      </w:tblGrid>
      <w:tr w:rsidR="00D74D37" w:rsidRPr="00EA7ACC" w14:paraId="0FE84BC2" w14:textId="77777777" w:rsidTr="006516DA">
        <w:trPr>
          <w:trHeight w:val="506"/>
        </w:trPr>
        <w:tc>
          <w:tcPr>
            <w:tcW w:w="1473" w:type="dxa"/>
            <w:vAlign w:val="center"/>
          </w:tcPr>
          <w:p w14:paraId="6B6C5C0C"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Type of respondents</w:t>
            </w:r>
          </w:p>
        </w:tc>
        <w:tc>
          <w:tcPr>
            <w:tcW w:w="3171" w:type="dxa"/>
            <w:vAlign w:val="center"/>
          </w:tcPr>
          <w:p w14:paraId="371435C1"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Income Groups</w:t>
            </w:r>
          </w:p>
        </w:tc>
        <w:tc>
          <w:tcPr>
            <w:tcW w:w="2552" w:type="dxa"/>
            <w:vAlign w:val="center"/>
          </w:tcPr>
          <w:p w14:paraId="1D5EF2E0"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Mean of business turnover per annum</w:t>
            </w:r>
          </w:p>
        </w:tc>
        <w:tc>
          <w:tcPr>
            <w:tcW w:w="1984" w:type="dxa"/>
            <w:vAlign w:val="center"/>
          </w:tcPr>
          <w:p w14:paraId="5E9832F8"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F value</w:t>
            </w:r>
          </w:p>
        </w:tc>
      </w:tr>
      <w:tr w:rsidR="00D74D37" w:rsidRPr="00EA7ACC" w14:paraId="0F780408" w14:textId="77777777" w:rsidTr="006516DA">
        <w:trPr>
          <w:trHeight w:val="506"/>
        </w:trPr>
        <w:tc>
          <w:tcPr>
            <w:tcW w:w="1473" w:type="dxa"/>
            <w:vMerge w:val="restart"/>
            <w:vAlign w:val="center"/>
          </w:tcPr>
          <w:p w14:paraId="5DAF0806"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lastRenderedPageBreak/>
              <w:t>Business intermediaries</w:t>
            </w:r>
          </w:p>
        </w:tc>
        <w:tc>
          <w:tcPr>
            <w:tcW w:w="3171" w:type="dxa"/>
            <w:vAlign w:val="center"/>
          </w:tcPr>
          <w:p w14:paraId="1ED3B103"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High (&gt;INR 100 lakhs)</w:t>
            </w:r>
          </w:p>
        </w:tc>
        <w:tc>
          <w:tcPr>
            <w:tcW w:w="2552" w:type="dxa"/>
            <w:vAlign w:val="center"/>
          </w:tcPr>
          <w:p w14:paraId="3A3A89F8"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337.429</w:t>
            </w:r>
          </w:p>
        </w:tc>
        <w:tc>
          <w:tcPr>
            <w:tcW w:w="1984" w:type="dxa"/>
            <w:vMerge w:val="restart"/>
            <w:vAlign w:val="center"/>
          </w:tcPr>
          <w:p w14:paraId="72CBCCAD"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13.486**</w:t>
            </w:r>
          </w:p>
        </w:tc>
      </w:tr>
      <w:tr w:rsidR="00D74D37" w:rsidRPr="00EA7ACC" w14:paraId="57345F4F" w14:textId="77777777" w:rsidTr="006516DA">
        <w:trPr>
          <w:trHeight w:val="506"/>
        </w:trPr>
        <w:tc>
          <w:tcPr>
            <w:tcW w:w="1473" w:type="dxa"/>
            <w:vMerge/>
            <w:vAlign w:val="center"/>
          </w:tcPr>
          <w:p w14:paraId="0A3F7210" w14:textId="77777777" w:rsidR="00D74D37" w:rsidRPr="00EA7ACC" w:rsidRDefault="00D74D37" w:rsidP="006516DA">
            <w:pPr>
              <w:jc w:val="both"/>
              <w:rPr>
                <w:rFonts w:ascii="Arial" w:hAnsi="Arial" w:cs="Arial"/>
                <w:sz w:val="20"/>
                <w:szCs w:val="20"/>
              </w:rPr>
            </w:pPr>
          </w:p>
        </w:tc>
        <w:tc>
          <w:tcPr>
            <w:tcW w:w="3171" w:type="dxa"/>
            <w:vAlign w:val="center"/>
          </w:tcPr>
          <w:p w14:paraId="3F078A68"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Medium (INR 25–100 lakhs)</w:t>
            </w:r>
          </w:p>
        </w:tc>
        <w:tc>
          <w:tcPr>
            <w:tcW w:w="2552" w:type="dxa"/>
            <w:vAlign w:val="center"/>
          </w:tcPr>
          <w:p w14:paraId="1F559345"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69.375</w:t>
            </w:r>
          </w:p>
        </w:tc>
        <w:tc>
          <w:tcPr>
            <w:tcW w:w="1984" w:type="dxa"/>
            <w:vMerge/>
            <w:vAlign w:val="center"/>
          </w:tcPr>
          <w:p w14:paraId="30FF8F97" w14:textId="77777777" w:rsidR="00D74D37" w:rsidRPr="00EA7ACC" w:rsidRDefault="00D74D37" w:rsidP="006516DA">
            <w:pPr>
              <w:jc w:val="both"/>
              <w:rPr>
                <w:rFonts w:ascii="Arial" w:hAnsi="Arial" w:cs="Arial"/>
                <w:sz w:val="20"/>
                <w:szCs w:val="20"/>
              </w:rPr>
            </w:pPr>
          </w:p>
        </w:tc>
      </w:tr>
      <w:tr w:rsidR="00D74D37" w:rsidRPr="00EA7ACC" w14:paraId="0DBE0CC3" w14:textId="77777777" w:rsidTr="006516DA">
        <w:trPr>
          <w:trHeight w:val="506"/>
        </w:trPr>
        <w:tc>
          <w:tcPr>
            <w:tcW w:w="1473" w:type="dxa"/>
            <w:vMerge/>
            <w:vAlign w:val="center"/>
          </w:tcPr>
          <w:p w14:paraId="0F39302B" w14:textId="77777777" w:rsidR="00D74D37" w:rsidRPr="00EA7ACC" w:rsidRDefault="00D74D37" w:rsidP="006516DA">
            <w:pPr>
              <w:jc w:val="both"/>
              <w:rPr>
                <w:rFonts w:ascii="Arial" w:hAnsi="Arial" w:cs="Arial"/>
                <w:sz w:val="20"/>
                <w:szCs w:val="20"/>
              </w:rPr>
            </w:pPr>
          </w:p>
        </w:tc>
        <w:tc>
          <w:tcPr>
            <w:tcW w:w="3171" w:type="dxa"/>
            <w:vAlign w:val="center"/>
          </w:tcPr>
          <w:p w14:paraId="1FF9ACA0"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Low (&lt;INR 25 lakhs)</w:t>
            </w:r>
          </w:p>
        </w:tc>
        <w:tc>
          <w:tcPr>
            <w:tcW w:w="2552" w:type="dxa"/>
            <w:vAlign w:val="center"/>
          </w:tcPr>
          <w:p w14:paraId="48604925" w14:textId="77777777" w:rsidR="00D74D37" w:rsidRPr="00EA7ACC" w:rsidRDefault="00D74D37" w:rsidP="006516DA">
            <w:pPr>
              <w:jc w:val="both"/>
              <w:rPr>
                <w:rFonts w:ascii="Arial" w:hAnsi="Arial" w:cs="Arial"/>
                <w:sz w:val="20"/>
                <w:szCs w:val="20"/>
              </w:rPr>
            </w:pPr>
            <w:r w:rsidRPr="00EA7ACC">
              <w:rPr>
                <w:rFonts w:ascii="Arial" w:hAnsi="Arial" w:cs="Arial"/>
                <w:sz w:val="20"/>
                <w:szCs w:val="20"/>
              </w:rPr>
              <w:t>13.667</w:t>
            </w:r>
          </w:p>
        </w:tc>
        <w:tc>
          <w:tcPr>
            <w:tcW w:w="1984" w:type="dxa"/>
            <w:vMerge/>
            <w:vAlign w:val="center"/>
          </w:tcPr>
          <w:p w14:paraId="30E2F42C" w14:textId="77777777" w:rsidR="00D74D37" w:rsidRPr="00EA7ACC" w:rsidRDefault="00D74D37" w:rsidP="006516DA">
            <w:pPr>
              <w:jc w:val="both"/>
              <w:rPr>
                <w:rFonts w:ascii="Arial" w:hAnsi="Arial" w:cs="Arial"/>
                <w:sz w:val="20"/>
                <w:szCs w:val="20"/>
              </w:rPr>
            </w:pPr>
          </w:p>
        </w:tc>
      </w:tr>
    </w:tbl>
    <w:p w14:paraId="4EFC40F9" w14:textId="77777777" w:rsidR="00D74D37" w:rsidRPr="00020559" w:rsidRDefault="00D74D37" w:rsidP="00D74D37">
      <w:pPr>
        <w:jc w:val="both"/>
        <w:rPr>
          <w:rFonts w:ascii="Arial" w:hAnsi="Arial" w:cs="Arial"/>
          <w:i/>
          <w:iCs/>
          <w:sz w:val="18"/>
          <w:szCs w:val="18"/>
        </w:rPr>
      </w:pPr>
      <w:r w:rsidRPr="00020559">
        <w:rPr>
          <w:rFonts w:ascii="Arial" w:hAnsi="Arial" w:cs="Arial"/>
          <w:i/>
          <w:iCs/>
          <w:sz w:val="18"/>
          <w:szCs w:val="18"/>
        </w:rPr>
        <w:t>** Significant at one per cent level of probability</w:t>
      </w:r>
    </w:p>
    <w:p w14:paraId="3E5569C6" w14:textId="77777777" w:rsidR="00D74D37" w:rsidRPr="00020559" w:rsidRDefault="00D74D37" w:rsidP="00D74D37">
      <w:pPr>
        <w:jc w:val="both"/>
        <w:rPr>
          <w:rFonts w:ascii="Arial" w:hAnsi="Arial" w:cs="Arial"/>
          <w:i/>
          <w:iCs/>
          <w:sz w:val="18"/>
          <w:szCs w:val="18"/>
        </w:rPr>
      </w:pPr>
      <w:r w:rsidRPr="00020559">
        <w:rPr>
          <w:rFonts w:ascii="Arial" w:hAnsi="Arial" w:cs="Arial"/>
          <w:i/>
          <w:iCs/>
          <w:sz w:val="18"/>
          <w:szCs w:val="18"/>
        </w:rPr>
        <w:t>Source: Researcher’s computation from the primary data</w:t>
      </w:r>
    </w:p>
    <w:p w14:paraId="6DC7982F" w14:textId="77777777" w:rsidR="00D74D37" w:rsidRDefault="00D74D37" w:rsidP="00D74D37">
      <w:pPr>
        <w:jc w:val="both"/>
        <w:rPr>
          <w:rFonts w:ascii="Arial" w:hAnsi="Arial" w:cs="Arial"/>
        </w:rPr>
      </w:pPr>
    </w:p>
    <w:p w14:paraId="1D263950" w14:textId="468F0B84" w:rsidR="00D74D37" w:rsidRDefault="00D74D37" w:rsidP="00D74D37">
      <w:pPr>
        <w:ind w:firstLine="567"/>
        <w:jc w:val="both"/>
        <w:rPr>
          <w:rFonts w:ascii="Arial" w:hAnsi="Arial" w:cs="Arial"/>
        </w:rPr>
      </w:pPr>
      <w:r w:rsidRPr="00EA7ACC">
        <w:rPr>
          <w:rFonts w:ascii="Arial" w:hAnsi="Arial" w:cs="Arial"/>
        </w:rPr>
        <w:t>The one-way ANOVA results revealed a statistically significant difference in business annual turnover among high-income, medium-income, and low-income intermediaries (</w:t>
      </w:r>
      <w:proofErr w:type="gramStart"/>
      <w:r w:rsidRPr="00EA7ACC">
        <w:rPr>
          <w:rFonts w:ascii="Arial" w:hAnsi="Arial" w:cs="Arial"/>
        </w:rPr>
        <w:t>F(</w:t>
      </w:r>
      <w:proofErr w:type="gramEnd"/>
      <w:r w:rsidRPr="00EA7ACC">
        <w:rPr>
          <w:rFonts w:ascii="Arial" w:hAnsi="Arial" w:cs="Arial"/>
        </w:rPr>
        <w:t xml:space="preserve">2,24) = 13.486, </w:t>
      </w:r>
      <w:r w:rsidR="00D54827" w:rsidRPr="008A591F">
        <w:rPr>
          <w:rFonts w:ascii="Arial" w:hAnsi="Arial" w:cs="Arial"/>
          <w:i/>
          <w:iCs/>
        </w:rPr>
        <w:t>P</w:t>
      </w:r>
      <w:r w:rsidR="008A591F">
        <w:rPr>
          <w:rFonts w:ascii="Arial" w:hAnsi="Arial" w:cs="Arial"/>
        </w:rPr>
        <w:t xml:space="preserve">= </w:t>
      </w:r>
      <w:r w:rsidRPr="00EA7ACC">
        <w:rPr>
          <w:rFonts w:ascii="Arial" w:hAnsi="Arial" w:cs="Arial"/>
        </w:rPr>
        <w:t xml:space="preserve">.01), rejecting the null hypothesis and indicating that </w:t>
      </w:r>
      <w:r>
        <w:rPr>
          <w:rFonts w:ascii="Arial" w:hAnsi="Arial" w:cs="Arial"/>
        </w:rPr>
        <w:t xml:space="preserve">the </w:t>
      </w:r>
      <w:r w:rsidRPr="00EA7ACC">
        <w:rPr>
          <w:rFonts w:ascii="Arial" w:hAnsi="Arial" w:cs="Arial"/>
        </w:rPr>
        <w:t>income</w:t>
      </w:r>
      <w:r>
        <w:rPr>
          <w:rFonts w:ascii="Arial" w:hAnsi="Arial" w:cs="Arial"/>
        </w:rPr>
        <w:t>s of the three groups vary with different</w:t>
      </w:r>
      <w:r w:rsidRPr="00EA7ACC">
        <w:rPr>
          <w:rFonts w:ascii="Arial" w:hAnsi="Arial" w:cs="Arial"/>
        </w:rPr>
        <w:t xml:space="preserve"> business turnover.</w:t>
      </w:r>
    </w:p>
    <w:p w14:paraId="5E717DD0" w14:textId="77777777" w:rsidR="00D74D37" w:rsidRDefault="00D74D37" w:rsidP="00D74D37">
      <w:pPr>
        <w:jc w:val="both"/>
        <w:rPr>
          <w:rFonts w:ascii="Arial" w:hAnsi="Arial" w:cs="Arial"/>
          <w:b/>
          <w:bCs/>
        </w:rPr>
      </w:pPr>
    </w:p>
    <w:p w14:paraId="42F486E7" w14:textId="77777777" w:rsidR="00D74D37" w:rsidRPr="00F1331E" w:rsidRDefault="00D74D37" w:rsidP="00D74D37">
      <w:pPr>
        <w:jc w:val="both"/>
        <w:rPr>
          <w:rFonts w:ascii="Arial" w:hAnsi="Arial" w:cs="Arial"/>
          <w:b/>
          <w:bCs/>
          <w:sz w:val="22"/>
          <w:szCs w:val="22"/>
        </w:rPr>
      </w:pPr>
      <w:r w:rsidRPr="00F1331E">
        <w:rPr>
          <w:rFonts w:ascii="Arial" w:hAnsi="Arial" w:cs="Arial"/>
          <w:b/>
          <w:bCs/>
          <w:sz w:val="22"/>
          <w:szCs w:val="22"/>
        </w:rPr>
        <w:t>3.2. Characteristics of Sample</w:t>
      </w:r>
    </w:p>
    <w:p w14:paraId="39E82CCD" w14:textId="77777777" w:rsidR="00D74D37" w:rsidRDefault="00D74D37" w:rsidP="00D74D37">
      <w:pPr>
        <w:jc w:val="both"/>
        <w:rPr>
          <w:rFonts w:ascii="Arial" w:hAnsi="Arial" w:cs="Arial"/>
        </w:rPr>
      </w:pPr>
    </w:p>
    <w:p w14:paraId="1B0B88FF" w14:textId="77777777" w:rsidR="00D74D37" w:rsidRDefault="00D74D37" w:rsidP="00D74D37">
      <w:pPr>
        <w:ind w:firstLine="567"/>
        <w:jc w:val="both"/>
        <w:rPr>
          <w:rFonts w:ascii="Arial" w:hAnsi="Arial" w:cs="Arial"/>
          <w:b/>
          <w:bCs/>
        </w:rPr>
      </w:pPr>
      <w:r w:rsidRPr="0008797C">
        <w:rPr>
          <w:rFonts w:ascii="Arial" w:hAnsi="Arial" w:cs="Arial"/>
        </w:rPr>
        <w:t xml:space="preserve">The socio-economic information of the sample respondents was </w:t>
      </w:r>
      <w:proofErr w:type="spellStart"/>
      <w:r w:rsidRPr="0008797C">
        <w:rPr>
          <w:rFonts w:ascii="Arial" w:hAnsi="Arial" w:cs="Arial"/>
        </w:rPr>
        <w:t>analysed</w:t>
      </w:r>
      <w:proofErr w:type="spellEnd"/>
      <w:r w:rsidRPr="0008797C">
        <w:rPr>
          <w:rFonts w:ascii="Arial" w:hAnsi="Arial" w:cs="Arial"/>
        </w:rPr>
        <w:t xml:space="preserve"> and interpreted.</w:t>
      </w:r>
    </w:p>
    <w:p w14:paraId="24934DEB" w14:textId="77777777" w:rsidR="00D74D37" w:rsidRDefault="00D74D37" w:rsidP="00D74D37">
      <w:pPr>
        <w:jc w:val="both"/>
        <w:rPr>
          <w:rFonts w:ascii="Arial" w:hAnsi="Arial" w:cs="Arial"/>
          <w:b/>
          <w:bCs/>
        </w:rPr>
      </w:pPr>
    </w:p>
    <w:p w14:paraId="4220FB73" w14:textId="77777777" w:rsidR="00D74D37" w:rsidRPr="00020559" w:rsidRDefault="00D74D37" w:rsidP="00D74D37">
      <w:pPr>
        <w:jc w:val="both"/>
        <w:rPr>
          <w:rFonts w:ascii="Arial" w:hAnsi="Arial" w:cs="Arial"/>
          <w:b/>
          <w:bCs/>
        </w:rPr>
      </w:pPr>
      <w:r w:rsidRPr="00020559">
        <w:rPr>
          <w:rFonts w:ascii="Arial" w:hAnsi="Arial" w:cs="Arial"/>
          <w:b/>
          <w:bCs/>
        </w:rPr>
        <w:t xml:space="preserve">Table 2. </w:t>
      </w:r>
      <w:r>
        <w:rPr>
          <w:rFonts w:ascii="Arial" w:hAnsi="Arial" w:cs="Arial"/>
          <w:b/>
          <w:bCs/>
        </w:rPr>
        <w:t>Socio-economic profile of the respondents</w:t>
      </w:r>
    </w:p>
    <w:tbl>
      <w:tblPr>
        <w:tblStyle w:val="TableGrid"/>
        <w:tblW w:w="5000" w:type="pct"/>
        <w:tblLook w:val="04A0" w:firstRow="1" w:lastRow="0" w:firstColumn="1" w:lastColumn="0" w:noHBand="0" w:noVBand="1"/>
      </w:tblPr>
      <w:tblGrid>
        <w:gridCol w:w="4670"/>
        <w:gridCol w:w="2451"/>
        <w:gridCol w:w="1895"/>
      </w:tblGrid>
      <w:tr w:rsidR="007D3812" w:rsidRPr="00020559" w14:paraId="4063A32B" w14:textId="77777777" w:rsidTr="006516DA">
        <w:trPr>
          <w:trHeight w:val="20"/>
        </w:trPr>
        <w:tc>
          <w:tcPr>
            <w:tcW w:w="2590" w:type="pct"/>
            <w:noWrap/>
            <w:vAlign w:val="center"/>
            <w:hideMark/>
          </w:tcPr>
          <w:p w14:paraId="065B44C5"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Business type</w:t>
            </w:r>
          </w:p>
        </w:tc>
        <w:tc>
          <w:tcPr>
            <w:tcW w:w="1359" w:type="pct"/>
            <w:noWrap/>
            <w:vAlign w:val="center"/>
            <w:hideMark/>
          </w:tcPr>
          <w:p w14:paraId="7669F2CF"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Frequency</w:t>
            </w:r>
          </w:p>
        </w:tc>
        <w:tc>
          <w:tcPr>
            <w:tcW w:w="1051" w:type="pct"/>
            <w:noWrap/>
            <w:vAlign w:val="center"/>
            <w:hideMark/>
          </w:tcPr>
          <w:p w14:paraId="5994E6B5"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Percent</w:t>
            </w:r>
          </w:p>
        </w:tc>
      </w:tr>
      <w:tr w:rsidR="007D3812" w:rsidRPr="00020559" w14:paraId="4359C195" w14:textId="77777777" w:rsidTr="006516DA">
        <w:trPr>
          <w:trHeight w:val="20"/>
        </w:trPr>
        <w:tc>
          <w:tcPr>
            <w:tcW w:w="2590" w:type="pct"/>
            <w:noWrap/>
            <w:vAlign w:val="center"/>
            <w:hideMark/>
          </w:tcPr>
          <w:p w14:paraId="4977744C"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Wholesaling</w:t>
            </w:r>
          </w:p>
        </w:tc>
        <w:tc>
          <w:tcPr>
            <w:tcW w:w="1359" w:type="pct"/>
            <w:noWrap/>
            <w:vAlign w:val="center"/>
            <w:hideMark/>
          </w:tcPr>
          <w:p w14:paraId="06B572FC"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15</w:t>
            </w:r>
          </w:p>
        </w:tc>
        <w:tc>
          <w:tcPr>
            <w:tcW w:w="1051" w:type="pct"/>
            <w:noWrap/>
            <w:vAlign w:val="center"/>
            <w:hideMark/>
          </w:tcPr>
          <w:p w14:paraId="7A08EC2F"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55.56</w:t>
            </w:r>
          </w:p>
        </w:tc>
      </w:tr>
      <w:tr w:rsidR="007D3812" w:rsidRPr="00020559" w14:paraId="7BB9F0D2" w14:textId="77777777" w:rsidTr="006516DA">
        <w:trPr>
          <w:trHeight w:val="20"/>
        </w:trPr>
        <w:tc>
          <w:tcPr>
            <w:tcW w:w="2590" w:type="pct"/>
            <w:noWrap/>
            <w:vAlign w:val="center"/>
            <w:hideMark/>
          </w:tcPr>
          <w:p w14:paraId="65644A5E"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Retailing</w:t>
            </w:r>
          </w:p>
        </w:tc>
        <w:tc>
          <w:tcPr>
            <w:tcW w:w="1359" w:type="pct"/>
            <w:noWrap/>
            <w:vAlign w:val="center"/>
            <w:hideMark/>
          </w:tcPr>
          <w:p w14:paraId="5385DECD"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12</w:t>
            </w:r>
          </w:p>
        </w:tc>
        <w:tc>
          <w:tcPr>
            <w:tcW w:w="1051" w:type="pct"/>
            <w:noWrap/>
            <w:vAlign w:val="center"/>
            <w:hideMark/>
          </w:tcPr>
          <w:p w14:paraId="51C13277"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44.44</w:t>
            </w:r>
          </w:p>
        </w:tc>
      </w:tr>
      <w:tr w:rsidR="007D3812" w:rsidRPr="00020559" w14:paraId="6815DE41" w14:textId="77777777" w:rsidTr="006516DA">
        <w:trPr>
          <w:trHeight w:val="20"/>
        </w:trPr>
        <w:tc>
          <w:tcPr>
            <w:tcW w:w="2590" w:type="pct"/>
            <w:noWrap/>
            <w:vAlign w:val="center"/>
            <w:hideMark/>
          </w:tcPr>
          <w:p w14:paraId="27589037"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Total</w:t>
            </w:r>
          </w:p>
        </w:tc>
        <w:tc>
          <w:tcPr>
            <w:tcW w:w="1359" w:type="pct"/>
            <w:noWrap/>
            <w:vAlign w:val="center"/>
            <w:hideMark/>
          </w:tcPr>
          <w:p w14:paraId="0BA1656D"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27</w:t>
            </w:r>
          </w:p>
        </w:tc>
        <w:tc>
          <w:tcPr>
            <w:tcW w:w="1051" w:type="pct"/>
            <w:noWrap/>
            <w:vAlign w:val="center"/>
            <w:hideMark/>
          </w:tcPr>
          <w:p w14:paraId="49BCB919"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100.00</w:t>
            </w:r>
          </w:p>
        </w:tc>
      </w:tr>
      <w:tr w:rsidR="007D3812" w:rsidRPr="00020559" w14:paraId="5872C6CF" w14:textId="77777777" w:rsidTr="006516DA">
        <w:trPr>
          <w:trHeight w:val="20"/>
        </w:trPr>
        <w:tc>
          <w:tcPr>
            <w:tcW w:w="2590" w:type="pct"/>
            <w:noWrap/>
            <w:vAlign w:val="center"/>
            <w:hideMark/>
          </w:tcPr>
          <w:p w14:paraId="29FC4C37"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Age</w:t>
            </w:r>
          </w:p>
        </w:tc>
        <w:tc>
          <w:tcPr>
            <w:tcW w:w="1359" w:type="pct"/>
            <w:noWrap/>
            <w:vAlign w:val="center"/>
            <w:hideMark/>
          </w:tcPr>
          <w:p w14:paraId="4F04A356"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Frequency</w:t>
            </w:r>
          </w:p>
        </w:tc>
        <w:tc>
          <w:tcPr>
            <w:tcW w:w="1051" w:type="pct"/>
            <w:noWrap/>
            <w:vAlign w:val="center"/>
            <w:hideMark/>
          </w:tcPr>
          <w:p w14:paraId="7FFAED69"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Percent</w:t>
            </w:r>
          </w:p>
        </w:tc>
      </w:tr>
      <w:tr w:rsidR="007D3812" w:rsidRPr="00020559" w14:paraId="36F465FA" w14:textId="77777777" w:rsidTr="006516DA">
        <w:trPr>
          <w:trHeight w:val="20"/>
        </w:trPr>
        <w:tc>
          <w:tcPr>
            <w:tcW w:w="2590" w:type="pct"/>
            <w:noWrap/>
            <w:vAlign w:val="center"/>
            <w:hideMark/>
          </w:tcPr>
          <w:p w14:paraId="4641E22B"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Below 35 years</w:t>
            </w:r>
          </w:p>
        </w:tc>
        <w:tc>
          <w:tcPr>
            <w:tcW w:w="1359" w:type="pct"/>
            <w:noWrap/>
            <w:vAlign w:val="center"/>
            <w:hideMark/>
          </w:tcPr>
          <w:p w14:paraId="688E65D5"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8</w:t>
            </w:r>
          </w:p>
        </w:tc>
        <w:tc>
          <w:tcPr>
            <w:tcW w:w="1051" w:type="pct"/>
            <w:noWrap/>
            <w:vAlign w:val="center"/>
            <w:hideMark/>
          </w:tcPr>
          <w:p w14:paraId="39E590E5"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29.63</w:t>
            </w:r>
          </w:p>
        </w:tc>
      </w:tr>
      <w:tr w:rsidR="007D3812" w:rsidRPr="00020559" w14:paraId="39E0918B" w14:textId="77777777" w:rsidTr="006516DA">
        <w:trPr>
          <w:trHeight w:val="20"/>
        </w:trPr>
        <w:tc>
          <w:tcPr>
            <w:tcW w:w="2590" w:type="pct"/>
            <w:noWrap/>
            <w:vAlign w:val="center"/>
            <w:hideMark/>
          </w:tcPr>
          <w:p w14:paraId="58F8F7EB"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36-49 years</w:t>
            </w:r>
          </w:p>
        </w:tc>
        <w:tc>
          <w:tcPr>
            <w:tcW w:w="1359" w:type="pct"/>
            <w:noWrap/>
            <w:vAlign w:val="center"/>
            <w:hideMark/>
          </w:tcPr>
          <w:p w14:paraId="624BD2E1"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11</w:t>
            </w:r>
          </w:p>
        </w:tc>
        <w:tc>
          <w:tcPr>
            <w:tcW w:w="1051" w:type="pct"/>
            <w:noWrap/>
            <w:vAlign w:val="center"/>
            <w:hideMark/>
          </w:tcPr>
          <w:p w14:paraId="11E5D9C8"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40.74</w:t>
            </w:r>
          </w:p>
        </w:tc>
      </w:tr>
      <w:tr w:rsidR="007D3812" w:rsidRPr="00020559" w14:paraId="456AA744" w14:textId="77777777" w:rsidTr="006516DA">
        <w:trPr>
          <w:trHeight w:val="20"/>
        </w:trPr>
        <w:tc>
          <w:tcPr>
            <w:tcW w:w="2590" w:type="pct"/>
            <w:noWrap/>
            <w:vAlign w:val="center"/>
            <w:hideMark/>
          </w:tcPr>
          <w:p w14:paraId="773C4AB3"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50 years and above</w:t>
            </w:r>
          </w:p>
        </w:tc>
        <w:tc>
          <w:tcPr>
            <w:tcW w:w="1359" w:type="pct"/>
            <w:noWrap/>
            <w:vAlign w:val="center"/>
            <w:hideMark/>
          </w:tcPr>
          <w:p w14:paraId="5F0AA09F"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8</w:t>
            </w:r>
          </w:p>
        </w:tc>
        <w:tc>
          <w:tcPr>
            <w:tcW w:w="1051" w:type="pct"/>
            <w:noWrap/>
            <w:vAlign w:val="center"/>
            <w:hideMark/>
          </w:tcPr>
          <w:p w14:paraId="35C0EDAC"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29.63</w:t>
            </w:r>
          </w:p>
        </w:tc>
      </w:tr>
      <w:tr w:rsidR="007D3812" w:rsidRPr="00020559" w14:paraId="1B7B4089" w14:textId="77777777" w:rsidTr="006516DA">
        <w:trPr>
          <w:trHeight w:val="20"/>
        </w:trPr>
        <w:tc>
          <w:tcPr>
            <w:tcW w:w="2590" w:type="pct"/>
            <w:noWrap/>
            <w:vAlign w:val="center"/>
            <w:hideMark/>
          </w:tcPr>
          <w:p w14:paraId="279FB5FE"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Total</w:t>
            </w:r>
          </w:p>
        </w:tc>
        <w:tc>
          <w:tcPr>
            <w:tcW w:w="1359" w:type="pct"/>
            <w:noWrap/>
            <w:vAlign w:val="center"/>
            <w:hideMark/>
          </w:tcPr>
          <w:p w14:paraId="3515A665"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27</w:t>
            </w:r>
          </w:p>
        </w:tc>
        <w:tc>
          <w:tcPr>
            <w:tcW w:w="1051" w:type="pct"/>
            <w:noWrap/>
            <w:vAlign w:val="center"/>
            <w:hideMark/>
          </w:tcPr>
          <w:p w14:paraId="1A9D315B"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100.00</w:t>
            </w:r>
          </w:p>
        </w:tc>
      </w:tr>
      <w:tr w:rsidR="007D3812" w:rsidRPr="00020559" w14:paraId="2DEE0459" w14:textId="77777777" w:rsidTr="006516DA">
        <w:trPr>
          <w:trHeight w:val="20"/>
        </w:trPr>
        <w:tc>
          <w:tcPr>
            <w:tcW w:w="2590" w:type="pct"/>
            <w:noWrap/>
            <w:vAlign w:val="center"/>
            <w:hideMark/>
          </w:tcPr>
          <w:p w14:paraId="62677E64"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Caste</w:t>
            </w:r>
          </w:p>
        </w:tc>
        <w:tc>
          <w:tcPr>
            <w:tcW w:w="1359" w:type="pct"/>
            <w:noWrap/>
            <w:vAlign w:val="center"/>
            <w:hideMark/>
          </w:tcPr>
          <w:p w14:paraId="3768AC21"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Frequency</w:t>
            </w:r>
          </w:p>
        </w:tc>
        <w:tc>
          <w:tcPr>
            <w:tcW w:w="1051" w:type="pct"/>
            <w:noWrap/>
            <w:vAlign w:val="center"/>
            <w:hideMark/>
          </w:tcPr>
          <w:p w14:paraId="45A033BF"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Percent</w:t>
            </w:r>
          </w:p>
        </w:tc>
      </w:tr>
      <w:tr w:rsidR="007D3812" w:rsidRPr="00020559" w14:paraId="62881958" w14:textId="77777777" w:rsidTr="006516DA">
        <w:trPr>
          <w:trHeight w:val="20"/>
        </w:trPr>
        <w:tc>
          <w:tcPr>
            <w:tcW w:w="2590" w:type="pct"/>
            <w:noWrap/>
            <w:vAlign w:val="center"/>
            <w:hideMark/>
          </w:tcPr>
          <w:p w14:paraId="1F299BA2"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Gen</w:t>
            </w:r>
          </w:p>
        </w:tc>
        <w:tc>
          <w:tcPr>
            <w:tcW w:w="1359" w:type="pct"/>
            <w:noWrap/>
            <w:vAlign w:val="center"/>
            <w:hideMark/>
          </w:tcPr>
          <w:p w14:paraId="1A444C67"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20</w:t>
            </w:r>
          </w:p>
        </w:tc>
        <w:tc>
          <w:tcPr>
            <w:tcW w:w="1051" w:type="pct"/>
            <w:noWrap/>
            <w:vAlign w:val="center"/>
            <w:hideMark/>
          </w:tcPr>
          <w:p w14:paraId="4933C7E3"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74.07</w:t>
            </w:r>
          </w:p>
        </w:tc>
      </w:tr>
      <w:tr w:rsidR="007D3812" w:rsidRPr="00020559" w14:paraId="770937C7" w14:textId="77777777" w:rsidTr="006516DA">
        <w:trPr>
          <w:trHeight w:val="20"/>
        </w:trPr>
        <w:tc>
          <w:tcPr>
            <w:tcW w:w="2590" w:type="pct"/>
            <w:noWrap/>
            <w:vAlign w:val="center"/>
            <w:hideMark/>
          </w:tcPr>
          <w:p w14:paraId="1A41228F"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OBC</w:t>
            </w:r>
          </w:p>
        </w:tc>
        <w:tc>
          <w:tcPr>
            <w:tcW w:w="1359" w:type="pct"/>
            <w:noWrap/>
            <w:vAlign w:val="center"/>
            <w:hideMark/>
          </w:tcPr>
          <w:p w14:paraId="4FD77667"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4</w:t>
            </w:r>
          </w:p>
        </w:tc>
        <w:tc>
          <w:tcPr>
            <w:tcW w:w="1051" w:type="pct"/>
            <w:noWrap/>
            <w:vAlign w:val="center"/>
            <w:hideMark/>
          </w:tcPr>
          <w:p w14:paraId="17E63EF0"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14.82</w:t>
            </w:r>
          </w:p>
        </w:tc>
      </w:tr>
      <w:tr w:rsidR="007D3812" w:rsidRPr="00020559" w14:paraId="3F9FC56F" w14:textId="77777777" w:rsidTr="006516DA">
        <w:trPr>
          <w:trHeight w:val="20"/>
        </w:trPr>
        <w:tc>
          <w:tcPr>
            <w:tcW w:w="2590" w:type="pct"/>
            <w:noWrap/>
            <w:vAlign w:val="center"/>
            <w:hideMark/>
          </w:tcPr>
          <w:p w14:paraId="37ADCF25"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SC</w:t>
            </w:r>
          </w:p>
        </w:tc>
        <w:tc>
          <w:tcPr>
            <w:tcW w:w="1359" w:type="pct"/>
            <w:noWrap/>
            <w:vAlign w:val="center"/>
            <w:hideMark/>
          </w:tcPr>
          <w:p w14:paraId="21F0900A"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3</w:t>
            </w:r>
          </w:p>
        </w:tc>
        <w:tc>
          <w:tcPr>
            <w:tcW w:w="1051" w:type="pct"/>
            <w:noWrap/>
            <w:vAlign w:val="center"/>
            <w:hideMark/>
          </w:tcPr>
          <w:p w14:paraId="24D2A20E"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11.11</w:t>
            </w:r>
          </w:p>
        </w:tc>
      </w:tr>
      <w:tr w:rsidR="007D3812" w:rsidRPr="00020559" w14:paraId="128CB629" w14:textId="77777777" w:rsidTr="006516DA">
        <w:trPr>
          <w:trHeight w:val="20"/>
        </w:trPr>
        <w:tc>
          <w:tcPr>
            <w:tcW w:w="2590" w:type="pct"/>
            <w:noWrap/>
            <w:vAlign w:val="center"/>
            <w:hideMark/>
          </w:tcPr>
          <w:p w14:paraId="6F65FEB3"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Total</w:t>
            </w:r>
          </w:p>
        </w:tc>
        <w:tc>
          <w:tcPr>
            <w:tcW w:w="1359" w:type="pct"/>
            <w:noWrap/>
            <w:vAlign w:val="center"/>
            <w:hideMark/>
          </w:tcPr>
          <w:p w14:paraId="36E90EE4"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27</w:t>
            </w:r>
          </w:p>
        </w:tc>
        <w:tc>
          <w:tcPr>
            <w:tcW w:w="1051" w:type="pct"/>
            <w:noWrap/>
            <w:vAlign w:val="center"/>
            <w:hideMark/>
          </w:tcPr>
          <w:p w14:paraId="25ED1007"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100.00</w:t>
            </w:r>
          </w:p>
        </w:tc>
      </w:tr>
      <w:tr w:rsidR="007D3812" w:rsidRPr="00020559" w14:paraId="7BF41CAC" w14:textId="77777777" w:rsidTr="006516DA">
        <w:trPr>
          <w:trHeight w:val="20"/>
        </w:trPr>
        <w:tc>
          <w:tcPr>
            <w:tcW w:w="2590" w:type="pct"/>
            <w:noWrap/>
            <w:vAlign w:val="center"/>
            <w:hideMark/>
          </w:tcPr>
          <w:p w14:paraId="3B34FFA9"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Education</w:t>
            </w:r>
          </w:p>
        </w:tc>
        <w:tc>
          <w:tcPr>
            <w:tcW w:w="1359" w:type="pct"/>
            <w:noWrap/>
            <w:vAlign w:val="center"/>
            <w:hideMark/>
          </w:tcPr>
          <w:p w14:paraId="7B40DC25"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Frequency</w:t>
            </w:r>
          </w:p>
        </w:tc>
        <w:tc>
          <w:tcPr>
            <w:tcW w:w="1051" w:type="pct"/>
            <w:noWrap/>
            <w:vAlign w:val="center"/>
            <w:hideMark/>
          </w:tcPr>
          <w:p w14:paraId="024A6AE9"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Percent</w:t>
            </w:r>
          </w:p>
        </w:tc>
      </w:tr>
      <w:tr w:rsidR="007D3812" w:rsidRPr="00020559" w14:paraId="02BFB45C" w14:textId="77777777" w:rsidTr="006516DA">
        <w:trPr>
          <w:trHeight w:val="20"/>
        </w:trPr>
        <w:tc>
          <w:tcPr>
            <w:tcW w:w="2590" w:type="pct"/>
            <w:noWrap/>
            <w:vAlign w:val="center"/>
            <w:hideMark/>
          </w:tcPr>
          <w:p w14:paraId="5EFCDCE2"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Under Matric</w:t>
            </w:r>
          </w:p>
        </w:tc>
        <w:tc>
          <w:tcPr>
            <w:tcW w:w="1359" w:type="pct"/>
            <w:noWrap/>
            <w:vAlign w:val="center"/>
            <w:hideMark/>
          </w:tcPr>
          <w:p w14:paraId="25B2B853"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4</w:t>
            </w:r>
          </w:p>
        </w:tc>
        <w:tc>
          <w:tcPr>
            <w:tcW w:w="1051" w:type="pct"/>
            <w:noWrap/>
            <w:vAlign w:val="center"/>
          </w:tcPr>
          <w:p w14:paraId="5456030C"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14.82</w:t>
            </w:r>
          </w:p>
        </w:tc>
      </w:tr>
      <w:tr w:rsidR="007D3812" w:rsidRPr="00020559" w14:paraId="012C7D18" w14:textId="77777777" w:rsidTr="006516DA">
        <w:trPr>
          <w:trHeight w:val="20"/>
        </w:trPr>
        <w:tc>
          <w:tcPr>
            <w:tcW w:w="2590" w:type="pct"/>
            <w:noWrap/>
            <w:vAlign w:val="center"/>
            <w:hideMark/>
          </w:tcPr>
          <w:p w14:paraId="0F76EE77"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Matriculation</w:t>
            </w:r>
          </w:p>
        </w:tc>
        <w:tc>
          <w:tcPr>
            <w:tcW w:w="1359" w:type="pct"/>
            <w:noWrap/>
            <w:vAlign w:val="center"/>
            <w:hideMark/>
          </w:tcPr>
          <w:p w14:paraId="60A6F1D2"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6</w:t>
            </w:r>
          </w:p>
        </w:tc>
        <w:tc>
          <w:tcPr>
            <w:tcW w:w="1051" w:type="pct"/>
            <w:noWrap/>
            <w:vAlign w:val="center"/>
          </w:tcPr>
          <w:p w14:paraId="7F97E4AB"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22.22</w:t>
            </w:r>
          </w:p>
        </w:tc>
      </w:tr>
      <w:tr w:rsidR="007D3812" w:rsidRPr="00020559" w14:paraId="7D8855D1" w14:textId="77777777" w:rsidTr="006516DA">
        <w:trPr>
          <w:trHeight w:val="20"/>
        </w:trPr>
        <w:tc>
          <w:tcPr>
            <w:tcW w:w="2590" w:type="pct"/>
            <w:noWrap/>
            <w:vAlign w:val="center"/>
            <w:hideMark/>
          </w:tcPr>
          <w:p w14:paraId="22C7B6B2"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Graduation</w:t>
            </w:r>
          </w:p>
        </w:tc>
        <w:tc>
          <w:tcPr>
            <w:tcW w:w="1359" w:type="pct"/>
            <w:noWrap/>
            <w:vAlign w:val="center"/>
            <w:hideMark/>
          </w:tcPr>
          <w:p w14:paraId="62B88E40"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17</w:t>
            </w:r>
          </w:p>
        </w:tc>
        <w:tc>
          <w:tcPr>
            <w:tcW w:w="1051" w:type="pct"/>
            <w:noWrap/>
            <w:vAlign w:val="center"/>
          </w:tcPr>
          <w:p w14:paraId="5D360C72"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62.96</w:t>
            </w:r>
          </w:p>
        </w:tc>
      </w:tr>
      <w:tr w:rsidR="007D3812" w:rsidRPr="00020559" w14:paraId="2860CE8E" w14:textId="77777777" w:rsidTr="006516DA">
        <w:trPr>
          <w:trHeight w:val="20"/>
        </w:trPr>
        <w:tc>
          <w:tcPr>
            <w:tcW w:w="2590" w:type="pct"/>
            <w:noWrap/>
            <w:vAlign w:val="center"/>
            <w:hideMark/>
          </w:tcPr>
          <w:p w14:paraId="72511C0C"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Total</w:t>
            </w:r>
          </w:p>
        </w:tc>
        <w:tc>
          <w:tcPr>
            <w:tcW w:w="1359" w:type="pct"/>
            <w:noWrap/>
            <w:vAlign w:val="center"/>
            <w:hideMark/>
          </w:tcPr>
          <w:p w14:paraId="2CADF292"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27</w:t>
            </w:r>
          </w:p>
        </w:tc>
        <w:tc>
          <w:tcPr>
            <w:tcW w:w="1051" w:type="pct"/>
            <w:noWrap/>
            <w:vAlign w:val="center"/>
          </w:tcPr>
          <w:p w14:paraId="283F8868"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100.00</w:t>
            </w:r>
          </w:p>
        </w:tc>
      </w:tr>
      <w:tr w:rsidR="007D3812" w:rsidRPr="00020559" w14:paraId="177F84DC" w14:textId="77777777" w:rsidTr="006516DA">
        <w:trPr>
          <w:trHeight w:val="20"/>
        </w:trPr>
        <w:tc>
          <w:tcPr>
            <w:tcW w:w="2590" w:type="pct"/>
            <w:noWrap/>
            <w:vAlign w:val="center"/>
            <w:hideMark/>
          </w:tcPr>
          <w:p w14:paraId="24E0F015"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Annual income</w:t>
            </w:r>
          </w:p>
        </w:tc>
        <w:tc>
          <w:tcPr>
            <w:tcW w:w="1359" w:type="pct"/>
            <w:noWrap/>
            <w:vAlign w:val="center"/>
            <w:hideMark/>
          </w:tcPr>
          <w:p w14:paraId="64672EF1"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Frequency</w:t>
            </w:r>
          </w:p>
        </w:tc>
        <w:tc>
          <w:tcPr>
            <w:tcW w:w="1051" w:type="pct"/>
            <w:noWrap/>
            <w:vAlign w:val="center"/>
            <w:hideMark/>
          </w:tcPr>
          <w:p w14:paraId="6580C12B" w14:textId="77777777" w:rsidR="00D74D37" w:rsidRPr="00020559" w:rsidRDefault="00D74D37" w:rsidP="006516DA">
            <w:pPr>
              <w:jc w:val="center"/>
              <w:rPr>
                <w:rFonts w:ascii="Arial" w:hAnsi="Arial" w:cs="Arial"/>
                <w:b/>
                <w:bCs/>
                <w:sz w:val="20"/>
                <w:szCs w:val="20"/>
                <w:lang w:eastAsia="en-GB"/>
              </w:rPr>
            </w:pPr>
            <w:r w:rsidRPr="00020559">
              <w:rPr>
                <w:rFonts w:ascii="Arial" w:hAnsi="Arial" w:cs="Arial"/>
                <w:b/>
                <w:bCs/>
                <w:sz w:val="20"/>
                <w:szCs w:val="20"/>
                <w:lang w:eastAsia="en-GB"/>
              </w:rPr>
              <w:t>Percent</w:t>
            </w:r>
          </w:p>
        </w:tc>
      </w:tr>
      <w:tr w:rsidR="007D3812" w:rsidRPr="00020559" w14:paraId="3C3EE9E2" w14:textId="77777777" w:rsidTr="006516DA">
        <w:trPr>
          <w:trHeight w:val="20"/>
        </w:trPr>
        <w:tc>
          <w:tcPr>
            <w:tcW w:w="2590" w:type="pct"/>
            <w:noWrap/>
            <w:vAlign w:val="center"/>
            <w:hideMark/>
          </w:tcPr>
          <w:p w14:paraId="1218B787"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High (&gt;INR 100 lakhs)</w:t>
            </w:r>
          </w:p>
        </w:tc>
        <w:tc>
          <w:tcPr>
            <w:tcW w:w="1359" w:type="pct"/>
            <w:noWrap/>
            <w:vAlign w:val="center"/>
            <w:hideMark/>
          </w:tcPr>
          <w:p w14:paraId="59457415"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7</w:t>
            </w:r>
          </w:p>
        </w:tc>
        <w:tc>
          <w:tcPr>
            <w:tcW w:w="1051" w:type="pct"/>
            <w:noWrap/>
            <w:vAlign w:val="center"/>
          </w:tcPr>
          <w:p w14:paraId="588332C1"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25.93</w:t>
            </w:r>
          </w:p>
        </w:tc>
      </w:tr>
      <w:tr w:rsidR="007D3812" w:rsidRPr="00020559" w14:paraId="61DD3C03" w14:textId="77777777" w:rsidTr="006516DA">
        <w:trPr>
          <w:trHeight w:val="20"/>
        </w:trPr>
        <w:tc>
          <w:tcPr>
            <w:tcW w:w="2590" w:type="pct"/>
            <w:noWrap/>
            <w:vAlign w:val="center"/>
            <w:hideMark/>
          </w:tcPr>
          <w:p w14:paraId="549F5FC9"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Med (INR 25-100 lakhs)</w:t>
            </w:r>
          </w:p>
        </w:tc>
        <w:tc>
          <w:tcPr>
            <w:tcW w:w="1359" w:type="pct"/>
            <w:noWrap/>
            <w:vAlign w:val="center"/>
            <w:hideMark/>
          </w:tcPr>
          <w:p w14:paraId="012A9650"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8</w:t>
            </w:r>
          </w:p>
        </w:tc>
        <w:tc>
          <w:tcPr>
            <w:tcW w:w="1051" w:type="pct"/>
            <w:noWrap/>
            <w:vAlign w:val="center"/>
          </w:tcPr>
          <w:p w14:paraId="59D52AF1"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29.63</w:t>
            </w:r>
          </w:p>
        </w:tc>
      </w:tr>
      <w:tr w:rsidR="007D3812" w:rsidRPr="00020559" w14:paraId="2723A626" w14:textId="77777777" w:rsidTr="006516DA">
        <w:trPr>
          <w:trHeight w:val="20"/>
        </w:trPr>
        <w:tc>
          <w:tcPr>
            <w:tcW w:w="2590" w:type="pct"/>
            <w:noWrap/>
            <w:vAlign w:val="center"/>
            <w:hideMark/>
          </w:tcPr>
          <w:p w14:paraId="7F5429EF"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Low (&lt;INR 25 lakhs)</w:t>
            </w:r>
          </w:p>
        </w:tc>
        <w:tc>
          <w:tcPr>
            <w:tcW w:w="1359" w:type="pct"/>
            <w:noWrap/>
            <w:vAlign w:val="center"/>
            <w:hideMark/>
          </w:tcPr>
          <w:p w14:paraId="5AD9B6C6"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12</w:t>
            </w:r>
          </w:p>
        </w:tc>
        <w:tc>
          <w:tcPr>
            <w:tcW w:w="1051" w:type="pct"/>
            <w:noWrap/>
            <w:vAlign w:val="center"/>
          </w:tcPr>
          <w:p w14:paraId="6D45BAFE"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44.44</w:t>
            </w:r>
          </w:p>
        </w:tc>
      </w:tr>
      <w:tr w:rsidR="007D3812" w:rsidRPr="00020559" w14:paraId="2BD44362" w14:textId="77777777" w:rsidTr="006516DA">
        <w:trPr>
          <w:trHeight w:val="20"/>
        </w:trPr>
        <w:tc>
          <w:tcPr>
            <w:tcW w:w="2590" w:type="pct"/>
            <w:noWrap/>
            <w:vAlign w:val="center"/>
            <w:hideMark/>
          </w:tcPr>
          <w:p w14:paraId="1DA9CDA8" w14:textId="77777777" w:rsidR="00D74D37" w:rsidRPr="00020559" w:rsidRDefault="00D74D37" w:rsidP="006516DA">
            <w:pPr>
              <w:rPr>
                <w:rFonts w:ascii="Arial" w:hAnsi="Arial" w:cs="Arial"/>
                <w:sz w:val="20"/>
                <w:szCs w:val="20"/>
                <w:lang w:eastAsia="en-GB"/>
              </w:rPr>
            </w:pPr>
            <w:r w:rsidRPr="00020559">
              <w:rPr>
                <w:rFonts w:ascii="Arial" w:hAnsi="Arial" w:cs="Arial"/>
                <w:sz w:val="20"/>
                <w:szCs w:val="20"/>
                <w:lang w:eastAsia="en-GB"/>
              </w:rPr>
              <w:t>Total</w:t>
            </w:r>
          </w:p>
        </w:tc>
        <w:tc>
          <w:tcPr>
            <w:tcW w:w="1359" w:type="pct"/>
            <w:noWrap/>
            <w:vAlign w:val="center"/>
            <w:hideMark/>
          </w:tcPr>
          <w:p w14:paraId="1643754F"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27</w:t>
            </w:r>
          </w:p>
        </w:tc>
        <w:tc>
          <w:tcPr>
            <w:tcW w:w="1051" w:type="pct"/>
            <w:noWrap/>
            <w:vAlign w:val="center"/>
          </w:tcPr>
          <w:p w14:paraId="34F811EB" w14:textId="77777777" w:rsidR="00D74D37" w:rsidRPr="00020559" w:rsidRDefault="00D74D37" w:rsidP="006516DA">
            <w:pPr>
              <w:jc w:val="center"/>
              <w:rPr>
                <w:rFonts w:ascii="Arial" w:hAnsi="Arial" w:cs="Arial"/>
                <w:sz w:val="20"/>
                <w:szCs w:val="20"/>
                <w:lang w:eastAsia="en-GB"/>
              </w:rPr>
            </w:pPr>
            <w:r w:rsidRPr="00020559">
              <w:rPr>
                <w:rFonts w:ascii="Arial" w:hAnsi="Arial" w:cs="Arial"/>
                <w:sz w:val="20"/>
                <w:szCs w:val="20"/>
                <w:lang w:eastAsia="en-GB"/>
              </w:rPr>
              <w:t>100.00</w:t>
            </w:r>
          </w:p>
        </w:tc>
      </w:tr>
    </w:tbl>
    <w:p w14:paraId="0929C65F" w14:textId="77777777" w:rsidR="00D74D37" w:rsidRPr="00AD6D79" w:rsidRDefault="00D74D37" w:rsidP="00D74D37">
      <w:pPr>
        <w:jc w:val="both"/>
        <w:rPr>
          <w:rFonts w:ascii="Arial" w:hAnsi="Arial" w:cs="Arial"/>
          <w:i/>
          <w:iCs/>
          <w:sz w:val="18"/>
          <w:szCs w:val="18"/>
        </w:rPr>
      </w:pPr>
      <w:r w:rsidRPr="00AD6D79">
        <w:rPr>
          <w:rFonts w:ascii="Arial" w:hAnsi="Arial" w:cs="Arial"/>
          <w:i/>
          <w:iCs/>
          <w:sz w:val="18"/>
          <w:szCs w:val="18"/>
        </w:rPr>
        <w:t>Source: Researchers computation from primary data</w:t>
      </w:r>
    </w:p>
    <w:p w14:paraId="22ABCDBB" w14:textId="77777777" w:rsidR="00D74D37" w:rsidRDefault="00D74D37" w:rsidP="00D74D37">
      <w:pPr>
        <w:jc w:val="both"/>
        <w:rPr>
          <w:rFonts w:ascii="Arial" w:hAnsi="Arial" w:cs="Arial"/>
        </w:rPr>
      </w:pPr>
    </w:p>
    <w:p w14:paraId="340040A6" w14:textId="77777777" w:rsidR="00D74D37" w:rsidRDefault="00D74D37" w:rsidP="00D74D37">
      <w:pPr>
        <w:ind w:firstLine="567"/>
        <w:jc w:val="both"/>
        <w:rPr>
          <w:rFonts w:ascii="Arial" w:hAnsi="Arial" w:cs="Arial"/>
        </w:rPr>
      </w:pPr>
      <w:r w:rsidRPr="0008797C">
        <w:rPr>
          <w:rFonts w:ascii="Arial" w:hAnsi="Arial" w:cs="Arial"/>
        </w:rPr>
        <w:t>Table 2 shows that 55.56 per cent of the respondents were doing wholesaling business and rest 44.44 percent involved in retailing business. While taking into consideration, age of the respondents, 40.74 per cent were falling within the age group of ‘36–49’ year, followed by other groups viz. ‘below 35’ years and ‘50 and above’ years. Caste wise composition indicates that 74.07 per cent of the respondents were of general caste, followed by OBC (14.82 per cent) and SC (11.11 per cent). Among the respondents 62.96 per cent were graduates, followed by matriculate (22.22 per cent) and under matric (14.81 per cent). About 44.44 per cent of the respondents were coming under low-income group, followed by medium-income group (29.63 per cent) and high-income group (25.93 per cent).</w:t>
      </w:r>
    </w:p>
    <w:p w14:paraId="08BCDF40" w14:textId="77777777" w:rsidR="00D74D37" w:rsidRDefault="00D74D37" w:rsidP="00D74D37">
      <w:pPr>
        <w:jc w:val="both"/>
        <w:rPr>
          <w:rFonts w:ascii="Arial" w:hAnsi="Arial" w:cs="Arial"/>
          <w:b/>
          <w:bCs/>
        </w:rPr>
      </w:pPr>
    </w:p>
    <w:p w14:paraId="50CD3D8A" w14:textId="77777777" w:rsidR="00D74D37" w:rsidRPr="00C204C5" w:rsidRDefault="00D74D37" w:rsidP="00D74D37">
      <w:pPr>
        <w:jc w:val="both"/>
        <w:rPr>
          <w:rFonts w:ascii="Arial" w:hAnsi="Arial" w:cs="Arial"/>
          <w:b/>
          <w:bCs/>
          <w:sz w:val="22"/>
          <w:szCs w:val="22"/>
        </w:rPr>
      </w:pPr>
      <w:r w:rsidRPr="00C204C5">
        <w:rPr>
          <w:rFonts w:ascii="Arial" w:hAnsi="Arial" w:cs="Arial"/>
          <w:b/>
          <w:bCs/>
          <w:sz w:val="22"/>
          <w:szCs w:val="22"/>
        </w:rPr>
        <w:t>3.3. Objective-wise analysis</w:t>
      </w:r>
    </w:p>
    <w:p w14:paraId="6CBEC62D" w14:textId="77777777" w:rsidR="00D74D37" w:rsidRDefault="00D74D37" w:rsidP="00D74D37">
      <w:pPr>
        <w:jc w:val="both"/>
        <w:rPr>
          <w:rFonts w:ascii="Arial" w:hAnsi="Arial" w:cs="Arial"/>
          <w:b/>
          <w:bCs/>
        </w:rPr>
      </w:pPr>
      <w:bookmarkStart w:id="2" w:name="_Hlk156138478"/>
    </w:p>
    <w:p w14:paraId="6DC58D87" w14:textId="77777777" w:rsidR="00D74D37" w:rsidRPr="00C204C5" w:rsidRDefault="00D74D37" w:rsidP="00D74D37">
      <w:pPr>
        <w:jc w:val="both"/>
        <w:rPr>
          <w:rFonts w:ascii="Arial" w:hAnsi="Arial" w:cs="Arial"/>
          <w:b/>
          <w:bCs/>
        </w:rPr>
      </w:pPr>
      <w:r>
        <w:rPr>
          <w:rFonts w:ascii="Arial" w:hAnsi="Arial" w:cs="Arial"/>
          <w:b/>
          <w:bCs/>
        </w:rPr>
        <w:t xml:space="preserve">Objective 1. </w:t>
      </w:r>
      <w:r w:rsidRPr="00C204C5">
        <w:rPr>
          <w:rFonts w:ascii="Arial" w:hAnsi="Arial" w:cs="Arial"/>
          <w:b/>
          <w:bCs/>
        </w:rPr>
        <w:t>To identify different types of major pesticides sold in the study area</w:t>
      </w:r>
    </w:p>
    <w:p w14:paraId="4ED36482" w14:textId="77777777" w:rsidR="00D74D37" w:rsidRDefault="00D74D37" w:rsidP="00D74D37">
      <w:pPr>
        <w:jc w:val="both"/>
        <w:rPr>
          <w:rFonts w:ascii="Arial" w:hAnsi="Arial" w:cs="Arial"/>
          <w:color w:val="000000"/>
          <w:lang w:eastAsia="en-GB"/>
        </w:rPr>
      </w:pPr>
    </w:p>
    <w:p w14:paraId="1EC3C1CB" w14:textId="77777777" w:rsidR="00D74D37" w:rsidRDefault="00D74D37" w:rsidP="00D74D37">
      <w:pPr>
        <w:ind w:firstLine="567"/>
        <w:jc w:val="both"/>
        <w:rPr>
          <w:rFonts w:ascii="Arial" w:hAnsi="Arial" w:cs="Arial"/>
          <w:color w:val="000000"/>
          <w:lang w:eastAsia="en-GB"/>
        </w:rPr>
      </w:pPr>
      <w:r w:rsidRPr="00C204C5">
        <w:rPr>
          <w:rFonts w:ascii="Arial" w:hAnsi="Arial" w:cs="Arial"/>
          <w:color w:val="000000"/>
          <w:lang w:eastAsia="en-GB"/>
        </w:rPr>
        <w:lastRenderedPageBreak/>
        <w:t xml:space="preserve">This objective is </w:t>
      </w:r>
      <w:proofErr w:type="spellStart"/>
      <w:r w:rsidRPr="00C204C5">
        <w:rPr>
          <w:rFonts w:ascii="Arial" w:hAnsi="Arial" w:cs="Arial"/>
          <w:color w:val="000000"/>
          <w:lang w:eastAsia="en-GB"/>
        </w:rPr>
        <w:t>focussed</w:t>
      </w:r>
      <w:proofErr w:type="spellEnd"/>
      <w:r w:rsidRPr="00C204C5">
        <w:rPr>
          <w:rFonts w:ascii="Arial" w:hAnsi="Arial" w:cs="Arial"/>
          <w:color w:val="000000"/>
          <w:lang w:eastAsia="en-GB"/>
        </w:rPr>
        <w:t xml:space="preserve"> to identify the major pesticides, including insecticides, fungicides and herbicides in the study area. The responses of the sample dealers and retailers were </w:t>
      </w:r>
      <w:proofErr w:type="spellStart"/>
      <w:r w:rsidRPr="00C204C5">
        <w:rPr>
          <w:rFonts w:ascii="Arial" w:hAnsi="Arial" w:cs="Arial"/>
          <w:color w:val="000000"/>
          <w:lang w:eastAsia="en-GB"/>
        </w:rPr>
        <w:t>analysed</w:t>
      </w:r>
      <w:proofErr w:type="spellEnd"/>
      <w:r w:rsidRPr="00C204C5">
        <w:rPr>
          <w:rFonts w:ascii="Arial" w:hAnsi="Arial" w:cs="Arial"/>
          <w:color w:val="000000"/>
          <w:lang w:eastAsia="en-GB"/>
        </w:rPr>
        <w:t xml:space="preserve"> with the help of frequencies. The results are shown as follows:</w:t>
      </w:r>
    </w:p>
    <w:p w14:paraId="56EE582B" w14:textId="77777777" w:rsidR="00D74D37" w:rsidRPr="00C204C5" w:rsidRDefault="00D74D37" w:rsidP="00D74D37">
      <w:pPr>
        <w:ind w:firstLine="567"/>
        <w:jc w:val="both"/>
        <w:rPr>
          <w:rFonts w:ascii="Arial" w:hAnsi="Arial" w:cs="Arial"/>
          <w:color w:val="000000"/>
          <w:lang w:eastAsia="en-GB"/>
        </w:rPr>
      </w:pPr>
    </w:p>
    <w:p w14:paraId="10B95825" w14:textId="77777777" w:rsidR="00D74D37" w:rsidRPr="00C204C5" w:rsidRDefault="00D74D37" w:rsidP="00D74D37">
      <w:pPr>
        <w:jc w:val="both"/>
        <w:rPr>
          <w:rFonts w:ascii="Arial" w:hAnsi="Arial" w:cs="Arial"/>
          <w:b/>
          <w:bCs/>
        </w:rPr>
      </w:pPr>
      <w:r w:rsidRPr="00C204C5">
        <w:rPr>
          <w:rFonts w:ascii="Arial" w:hAnsi="Arial" w:cs="Arial"/>
          <w:noProof/>
          <w:lang w:val="en-IN" w:eastAsia="en-IN"/>
        </w:rPr>
        <w:drawing>
          <wp:inline distT="0" distB="0" distL="0" distR="0" wp14:anchorId="11578111" wp14:editId="64FF29E9">
            <wp:extent cx="5727700" cy="3059430"/>
            <wp:effectExtent l="0" t="0" r="6350" b="7620"/>
            <wp:docPr id="269198407" name="Chart 1">
              <a:extLst xmlns:a="http://schemas.openxmlformats.org/drawingml/2006/main">
                <a:ext uri="{FF2B5EF4-FFF2-40B4-BE49-F238E27FC236}">
                  <a16:creationId xmlns:a16="http://schemas.microsoft.com/office/drawing/2014/main" id="{476F3428-E3EE-FBCF-3B5F-E2BD5BA19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7733D9" w14:textId="77777777" w:rsidR="00D74D37" w:rsidRPr="00C204C5" w:rsidRDefault="00D74D37" w:rsidP="00D74D37">
      <w:pPr>
        <w:jc w:val="both"/>
        <w:rPr>
          <w:rFonts w:ascii="Arial" w:hAnsi="Arial" w:cs="Arial"/>
          <w:b/>
          <w:bCs/>
        </w:rPr>
      </w:pPr>
      <w:r w:rsidRPr="00C204C5">
        <w:rPr>
          <w:rFonts w:ascii="Arial" w:hAnsi="Arial" w:cs="Arial"/>
          <w:b/>
          <w:bCs/>
        </w:rPr>
        <w:t xml:space="preserve">Figure </w:t>
      </w:r>
      <w:r>
        <w:rPr>
          <w:rFonts w:ascii="Arial" w:hAnsi="Arial" w:cs="Arial"/>
          <w:b/>
          <w:bCs/>
        </w:rPr>
        <w:t>1</w:t>
      </w:r>
      <w:r w:rsidRPr="00C204C5">
        <w:rPr>
          <w:rFonts w:ascii="Arial" w:hAnsi="Arial" w:cs="Arial"/>
          <w:b/>
          <w:bCs/>
        </w:rPr>
        <w:t>. Major products (Insecticides) in the study area</w:t>
      </w:r>
    </w:p>
    <w:p w14:paraId="450CCC58" w14:textId="77777777" w:rsidR="00D74D37" w:rsidRPr="000F016A" w:rsidRDefault="00D74D37" w:rsidP="00D74D37">
      <w:pPr>
        <w:jc w:val="both"/>
        <w:rPr>
          <w:rFonts w:ascii="Arial" w:hAnsi="Arial" w:cs="Arial"/>
          <w:i/>
          <w:iCs/>
          <w:sz w:val="18"/>
          <w:szCs w:val="18"/>
        </w:rPr>
      </w:pPr>
      <w:r w:rsidRPr="000F016A">
        <w:rPr>
          <w:rFonts w:ascii="Arial" w:hAnsi="Arial" w:cs="Arial"/>
          <w:i/>
          <w:iCs/>
          <w:sz w:val="18"/>
          <w:szCs w:val="18"/>
        </w:rPr>
        <w:t>Source: Researcher’s computation from the primary data</w:t>
      </w:r>
    </w:p>
    <w:p w14:paraId="170834DF" w14:textId="77777777" w:rsidR="00D74D37" w:rsidRPr="00C204C5" w:rsidRDefault="00D74D37" w:rsidP="00D74D37">
      <w:pPr>
        <w:jc w:val="both"/>
        <w:rPr>
          <w:rFonts w:ascii="Arial" w:hAnsi="Arial" w:cs="Arial"/>
          <w:b/>
          <w:bCs/>
        </w:rPr>
      </w:pPr>
    </w:p>
    <w:p w14:paraId="44DE336D" w14:textId="307F045E" w:rsidR="00D74D37" w:rsidRPr="007D3812" w:rsidRDefault="00D74D37" w:rsidP="007D3812">
      <w:pPr>
        <w:ind w:firstLine="567"/>
        <w:jc w:val="both"/>
        <w:rPr>
          <w:rFonts w:ascii="Arial" w:hAnsi="Arial" w:cs="Arial"/>
          <w:color w:val="000000"/>
          <w:lang w:eastAsia="en-GB"/>
        </w:rPr>
      </w:pPr>
      <w:r w:rsidRPr="00C204C5">
        <w:rPr>
          <w:rFonts w:ascii="Arial" w:hAnsi="Arial" w:cs="Arial"/>
          <w:color w:val="000000"/>
          <w:lang w:eastAsia="en-GB"/>
        </w:rPr>
        <w:t>As per the responses of the sample dealers and retailers, the top five insecticides</w:t>
      </w:r>
      <w:r w:rsidRPr="00C204C5">
        <w:rPr>
          <w:rFonts w:ascii="Arial" w:hAnsi="Arial" w:cs="Arial"/>
        </w:rPr>
        <w:t xml:space="preserve"> </w:t>
      </w:r>
      <w:r w:rsidRPr="00C204C5">
        <w:rPr>
          <w:rFonts w:ascii="Arial" w:hAnsi="Arial" w:cs="Arial"/>
          <w:color w:val="000000"/>
          <w:lang w:eastAsia="en-GB"/>
        </w:rPr>
        <w:t xml:space="preserve">based products are: ‘Super killer of </w:t>
      </w:r>
      <w:proofErr w:type="spellStart"/>
      <w:r w:rsidRPr="00C204C5">
        <w:rPr>
          <w:rFonts w:ascii="Arial" w:hAnsi="Arial" w:cs="Arial"/>
          <w:color w:val="000000"/>
          <w:lang w:eastAsia="en-GB"/>
        </w:rPr>
        <w:t>Dhanuka</w:t>
      </w:r>
      <w:proofErr w:type="spellEnd"/>
      <w:r w:rsidRPr="00C204C5">
        <w:rPr>
          <w:rFonts w:ascii="Arial" w:hAnsi="Arial" w:cs="Arial"/>
          <w:color w:val="000000"/>
          <w:lang w:eastAsia="en-GB"/>
        </w:rPr>
        <w:t xml:space="preserve"> </w:t>
      </w:r>
      <w:proofErr w:type="spellStart"/>
      <w:r w:rsidRPr="00C204C5">
        <w:rPr>
          <w:rFonts w:ascii="Arial" w:hAnsi="Arial" w:cs="Arial"/>
          <w:color w:val="000000"/>
          <w:lang w:eastAsia="en-GB"/>
        </w:rPr>
        <w:t>Agritech</w:t>
      </w:r>
      <w:proofErr w:type="spellEnd"/>
      <w:r w:rsidRPr="00C204C5">
        <w:rPr>
          <w:rFonts w:ascii="Arial" w:hAnsi="Arial" w:cs="Arial"/>
          <w:color w:val="000000"/>
          <w:lang w:eastAsia="en-GB"/>
        </w:rPr>
        <w:t xml:space="preserve"> Ltd. (Cypermethrin 25%EC) with 15 per cent of agreeability’, followed by ‘Terminator of </w:t>
      </w:r>
      <w:r w:rsidRPr="00C204C5">
        <w:rPr>
          <w:rFonts w:ascii="Arial" w:hAnsi="Arial" w:cs="Arial"/>
          <w:lang w:eastAsia="en-GB"/>
        </w:rPr>
        <w:t>HPM Chemicals &amp; Fertilizers Ltd.</w:t>
      </w:r>
      <w:r w:rsidRPr="00C204C5">
        <w:rPr>
          <w:rFonts w:ascii="Arial" w:hAnsi="Arial" w:cs="Arial"/>
          <w:color w:val="000000"/>
          <w:lang w:eastAsia="en-GB"/>
        </w:rPr>
        <w:t xml:space="preserve"> (</w:t>
      </w:r>
      <w:proofErr w:type="spellStart"/>
      <w:r w:rsidRPr="00C204C5">
        <w:rPr>
          <w:rFonts w:ascii="Arial" w:hAnsi="Arial" w:cs="Arial"/>
          <w:color w:val="000000"/>
          <w:lang w:eastAsia="en-GB"/>
        </w:rPr>
        <w:t>Chloropyriphos</w:t>
      </w:r>
      <w:proofErr w:type="spellEnd"/>
      <w:r w:rsidRPr="00C204C5">
        <w:rPr>
          <w:rFonts w:ascii="Arial" w:hAnsi="Arial" w:cs="Arial"/>
          <w:color w:val="000000"/>
          <w:lang w:eastAsia="en-GB"/>
        </w:rPr>
        <w:t xml:space="preserve"> 50% + Cypermethrin 5% EC) with 10 per cent’, ‘</w:t>
      </w:r>
      <w:proofErr w:type="spellStart"/>
      <w:r w:rsidRPr="00C204C5">
        <w:rPr>
          <w:rFonts w:ascii="Arial" w:hAnsi="Arial" w:cs="Arial"/>
          <w:color w:val="000000"/>
          <w:lang w:eastAsia="en-GB"/>
        </w:rPr>
        <w:t>Rogor</w:t>
      </w:r>
      <w:proofErr w:type="spellEnd"/>
      <w:r w:rsidRPr="00C204C5">
        <w:rPr>
          <w:rFonts w:ascii="Arial" w:hAnsi="Arial" w:cs="Arial"/>
          <w:color w:val="000000"/>
          <w:lang w:eastAsia="en-GB"/>
        </w:rPr>
        <w:t xml:space="preserve"> of </w:t>
      </w:r>
      <w:r w:rsidRPr="00C204C5">
        <w:rPr>
          <w:rFonts w:ascii="Arial" w:hAnsi="Arial" w:cs="Arial"/>
          <w:lang w:eastAsia="en-GB"/>
        </w:rPr>
        <w:t xml:space="preserve">HPM Chemicals &amp; Fertilizers Ltd. </w:t>
      </w:r>
      <w:r w:rsidRPr="00C204C5">
        <w:rPr>
          <w:rFonts w:ascii="Arial" w:hAnsi="Arial" w:cs="Arial"/>
          <w:color w:val="000000"/>
          <w:lang w:eastAsia="en-GB"/>
        </w:rPr>
        <w:t>(Dimethoate 30% EC) with 10 per cent’, ‘Cannon of NACL Industries Ltd. (</w:t>
      </w:r>
      <w:proofErr w:type="spellStart"/>
      <w:r w:rsidRPr="00C204C5">
        <w:rPr>
          <w:rFonts w:ascii="Arial" w:hAnsi="Arial" w:cs="Arial"/>
          <w:color w:val="000000"/>
          <w:lang w:eastAsia="en-GB"/>
        </w:rPr>
        <w:t>Chloropyriphos</w:t>
      </w:r>
      <w:proofErr w:type="spellEnd"/>
      <w:r w:rsidRPr="00C204C5">
        <w:rPr>
          <w:rFonts w:ascii="Arial" w:hAnsi="Arial" w:cs="Arial"/>
          <w:color w:val="000000"/>
          <w:lang w:eastAsia="en-GB"/>
        </w:rPr>
        <w:t xml:space="preserve"> 50% + Cypermethrin 5% EC) with 10 per cent’, and ‘</w:t>
      </w:r>
      <w:proofErr w:type="spellStart"/>
      <w:r w:rsidRPr="00C204C5">
        <w:rPr>
          <w:rFonts w:ascii="Arial" w:hAnsi="Arial" w:cs="Arial"/>
          <w:color w:val="000000"/>
          <w:lang w:eastAsia="en-GB"/>
        </w:rPr>
        <w:t>Zailo</w:t>
      </w:r>
      <w:proofErr w:type="spellEnd"/>
      <w:r w:rsidRPr="00C204C5">
        <w:rPr>
          <w:rFonts w:ascii="Arial" w:hAnsi="Arial" w:cs="Arial"/>
          <w:color w:val="000000"/>
          <w:lang w:eastAsia="en-GB"/>
        </w:rPr>
        <w:t xml:space="preserve"> of </w:t>
      </w:r>
      <w:proofErr w:type="spellStart"/>
      <w:r w:rsidRPr="00C204C5">
        <w:rPr>
          <w:rFonts w:ascii="Arial" w:hAnsi="Arial" w:cs="Arial"/>
          <w:color w:val="000000"/>
          <w:lang w:eastAsia="en-GB"/>
        </w:rPr>
        <w:t>Zuari</w:t>
      </w:r>
      <w:proofErr w:type="spellEnd"/>
      <w:r w:rsidRPr="00C204C5">
        <w:rPr>
          <w:rFonts w:ascii="Arial" w:hAnsi="Arial" w:cs="Arial"/>
          <w:color w:val="000000"/>
          <w:lang w:eastAsia="en-GB"/>
        </w:rPr>
        <w:t xml:space="preserve"> </w:t>
      </w:r>
      <w:proofErr w:type="spellStart"/>
      <w:r w:rsidRPr="00C204C5">
        <w:rPr>
          <w:rFonts w:ascii="Arial" w:hAnsi="Arial" w:cs="Arial"/>
          <w:color w:val="000000"/>
          <w:lang w:eastAsia="en-GB"/>
        </w:rPr>
        <w:t>FarmHub</w:t>
      </w:r>
      <w:proofErr w:type="spellEnd"/>
      <w:r w:rsidRPr="00C204C5">
        <w:rPr>
          <w:rFonts w:ascii="Arial" w:hAnsi="Arial" w:cs="Arial"/>
          <w:color w:val="000000"/>
          <w:lang w:eastAsia="en-GB"/>
        </w:rPr>
        <w:t xml:space="preserve"> Ltd. (</w:t>
      </w:r>
      <w:proofErr w:type="spellStart"/>
      <w:r w:rsidRPr="00C204C5">
        <w:rPr>
          <w:rFonts w:ascii="Arial" w:hAnsi="Arial" w:cs="Arial"/>
          <w:color w:val="000000"/>
          <w:lang w:eastAsia="en-GB"/>
        </w:rPr>
        <w:t>Chloropyriphos</w:t>
      </w:r>
      <w:proofErr w:type="spellEnd"/>
      <w:r w:rsidRPr="00C204C5">
        <w:rPr>
          <w:rFonts w:ascii="Arial" w:hAnsi="Arial" w:cs="Arial"/>
          <w:color w:val="000000"/>
          <w:lang w:eastAsia="en-GB"/>
        </w:rPr>
        <w:t xml:space="preserve"> 50% + Cypermethrin 5% EC) with 6 per cent’.</w:t>
      </w:r>
    </w:p>
    <w:p w14:paraId="1B67A967" w14:textId="77777777" w:rsidR="00D74D37" w:rsidRPr="00C204C5" w:rsidRDefault="00D74D37" w:rsidP="00D74D37">
      <w:pPr>
        <w:jc w:val="both"/>
        <w:rPr>
          <w:rFonts w:ascii="Arial" w:hAnsi="Arial" w:cs="Arial"/>
          <w:b/>
          <w:bCs/>
        </w:rPr>
      </w:pPr>
      <w:r w:rsidRPr="00C204C5">
        <w:rPr>
          <w:rFonts w:ascii="Arial" w:hAnsi="Arial" w:cs="Arial"/>
          <w:noProof/>
          <w:lang w:val="en-IN" w:eastAsia="en-IN"/>
        </w:rPr>
        <w:drawing>
          <wp:inline distT="0" distB="0" distL="0" distR="0" wp14:anchorId="2BF7CD73" wp14:editId="5C918DA4">
            <wp:extent cx="5727700" cy="3060000"/>
            <wp:effectExtent l="0" t="0" r="6350" b="7620"/>
            <wp:docPr id="1496325321" name="Chart 1">
              <a:extLst xmlns:a="http://schemas.openxmlformats.org/drawingml/2006/main">
                <a:ext uri="{FF2B5EF4-FFF2-40B4-BE49-F238E27FC236}">
                  <a16:creationId xmlns:a16="http://schemas.microsoft.com/office/drawing/2014/main" id="{2E41B13F-6469-D0B7-64D5-F5A814C8F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DA8EDC" w14:textId="77777777" w:rsidR="00D74D37" w:rsidRPr="00C204C5" w:rsidRDefault="00D74D37" w:rsidP="00D74D37">
      <w:pPr>
        <w:jc w:val="both"/>
        <w:rPr>
          <w:rFonts w:ascii="Arial" w:hAnsi="Arial" w:cs="Arial"/>
          <w:b/>
          <w:bCs/>
        </w:rPr>
      </w:pPr>
      <w:r w:rsidRPr="00C204C5">
        <w:rPr>
          <w:rFonts w:ascii="Arial" w:hAnsi="Arial" w:cs="Arial"/>
          <w:b/>
          <w:bCs/>
        </w:rPr>
        <w:t>Figure 2. Major products (Fungicides) in the study area</w:t>
      </w:r>
    </w:p>
    <w:p w14:paraId="45A781D6" w14:textId="77777777" w:rsidR="00D74D37" w:rsidRPr="000F016A" w:rsidRDefault="00D74D37" w:rsidP="00D74D37">
      <w:pPr>
        <w:jc w:val="both"/>
        <w:rPr>
          <w:rFonts w:ascii="Arial" w:hAnsi="Arial" w:cs="Arial"/>
          <w:i/>
          <w:iCs/>
          <w:sz w:val="18"/>
          <w:szCs w:val="18"/>
        </w:rPr>
      </w:pPr>
      <w:r w:rsidRPr="000F016A">
        <w:rPr>
          <w:rFonts w:ascii="Arial" w:hAnsi="Arial" w:cs="Arial"/>
          <w:i/>
          <w:iCs/>
          <w:sz w:val="18"/>
          <w:szCs w:val="18"/>
        </w:rPr>
        <w:t>Source: Researcher’s computation from the primary data</w:t>
      </w:r>
    </w:p>
    <w:p w14:paraId="462CC895" w14:textId="77777777" w:rsidR="00D74D37" w:rsidRDefault="00D74D37" w:rsidP="00D74D37">
      <w:pPr>
        <w:jc w:val="both"/>
        <w:rPr>
          <w:rFonts w:ascii="Arial" w:hAnsi="Arial" w:cs="Arial"/>
        </w:rPr>
      </w:pPr>
    </w:p>
    <w:p w14:paraId="3F17CDCD" w14:textId="77777777" w:rsidR="00D74D37" w:rsidRPr="00C204C5" w:rsidRDefault="00D74D37" w:rsidP="00D74D37">
      <w:pPr>
        <w:ind w:firstLine="567"/>
        <w:jc w:val="both"/>
        <w:rPr>
          <w:rFonts w:ascii="Arial" w:hAnsi="Arial" w:cs="Arial"/>
        </w:rPr>
      </w:pPr>
      <w:r w:rsidRPr="00C204C5">
        <w:rPr>
          <w:rFonts w:ascii="Arial" w:hAnsi="Arial" w:cs="Arial"/>
        </w:rPr>
        <w:t>As per the responses of the sample dealers and retailers, the top five fungicides based products are: ‘</w:t>
      </w:r>
      <w:proofErr w:type="spellStart"/>
      <w:r w:rsidRPr="00C204C5">
        <w:rPr>
          <w:rFonts w:ascii="Arial" w:hAnsi="Arial" w:cs="Arial"/>
          <w:lang w:eastAsia="en-GB"/>
        </w:rPr>
        <w:t>Saaf</w:t>
      </w:r>
      <w:proofErr w:type="spellEnd"/>
      <w:r w:rsidRPr="00C204C5">
        <w:rPr>
          <w:rFonts w:ascii="Arial" w:hAnsi="Arial" w:cs="Arial"/>
        </w:rPr>
        <w:t xml:space="preserve"> of </w:t>
      </w:r>
      <w:r w:rsidRPr="00C204C5">
        <w:rPr>
          <w:rFonts w:ascii="Arial" w:hAnsi="Arial" w:cs="Arial"/>
          <w:lang w:eastAsia="en-GB"/>
        </w:rPr>
        <w:t>UPL</w:t>
      </w:r>
      <w:r w:rsidRPr="00C204C5">
        <w:rPr>
          <w:rFonts w:ascii="Arial" w:hAnsi="Arial" w:cs="Arial"/>
        </w:rPr>
        <w:t xml:space="preserve"> Ltd. (</w:t>
      </w:r>
      <w:r w:rsidRPr="00C204C5">
        <w:rPr>
          <w:rFonts w:ascii="Arial" w:hAnsi="Arial" w:cs="Arial"/>
          <w:lang w:eastAsia="en-GB"/>
        </w:rPr>
        <w:t>Carbendazim 12% + Mancozeb 63% WP</w:t>
      </w:r>
      <w:r w:rsidRPr="00C204C5">
        <w:rPr>
          <w:rFonts w:ascii="Arial" w:hAnsi="Arial" w:cs="Arial"/>
        </w:rPr>
        <w:t xml:space="preserve">) with </w:t>
      </w:r>
      <w:r w:rsidRPr="00C204C5">
        <w:rPr>
          <w:rFonts w:ascii="Arial" w:hAnsi="Arial" w:cs="Arial"/>
          <w:lang w:eastAsia="en-GB"/>
        </w:rPr>
        <w:t>24</w:t>
      </w:r>
      <w:r w:rsidRPr="00C204C5">
        <w:rPr>
          <w:rFonts w:ascii="Arial" w:hAnsi="Arial" w:cs="Arial"/>
        </w:rPr>
        <w:t xml:space="preserve"> per cent of agreeableness’, </w:t>
      </w:r>
      <w:r w:rsidRPr="00C204C5">
        <w:rPr>
          <w:rFonts w:ascii="Arial" w:hAnsi="Arial" w:cs="Arial"/>
        </w:rPr>
        <w:lastRenderedPageBreak/>
        <w:t>followed by, ‘</w:t>
      </w:r>
      <w:proofErr w:type="spellStart"/>
      <w:r w:rsidRPr="00C204C5">
        <w:rPr>
          <w:rFonts w:ascii="Arial" w:hAnsi="Arial" w:cs="Arial"/>
          <w:lang w:eastAsia="en-GB"/>
        </w:rPr>
        <w:t>Indofil</w:t>
      </w:r>
      <w:proofErr w:type="spellEnd"/>
      <w:r w:rsidRPr="00C204C5">
        <w:rPr>
          <w:rFonts w:ascii="Arial" w:hAnsi="Arial" w:cs="Arial"/>
          <w:lang w:eastAsia="en-GB"/>
        </w:rPr>
        <w:t xml:space="preserve"> M45</w:t>
      </w:r>
      <w:r w:rsidRPr="00C204C5">
        <w:rPr>
          <w:rFonts w:ascii="Arial" w:hAnsi="Arial" w:cs="Arial"/>
        </w:rPr>
        <w:t xml:space="preserve"> of </w:t>
      </w:r>
      <w:proofErr w:type="spellStart"/>
      <w:r w:rsidRPr="00C204C5">
        <w:rPr>
          <w:rFonts w:ascii="Arial" w:hAnsi="Arial" w:cs="Arial"/>
          <w:lang w:eastAsia="en-GB"/>
        </w:rPr>
        <w:t>Indofil</w:t>
      </w:r>
      <w:proofErr w:type="spellEnd"/>
      <w:r w:rsidRPr="00C204C5">
        <w:rPr>
          <w:rFonts w:ascii="Arial" w:hAnsi="Arial" w:cs="Arial"/>
          <w:lang w:eastAsia="en-GB"/>
        </w:rPr>
        <w:t xml:space="preserve"> Industries Ltd</w:t>
      </w:r>
      <w:r w:rsidRPr="00C204C5">
        <w:rPr>
          <w:rFonts w:ascii="Arial" w:hAnsi="Arial" w:cs="Arial"/>
        </w:rPr>
        <w:t>. (</w:t>
      </w:r>
      <w:r w:rsidRPr="00C204C5">
        <w:rPr>
          <w:rFonts w:ascii="Arial" w:hAnsi="Arial" w:cs="Arial"/>
          <w:lang w:eastAsia="en-GB"/>
        </w:rPr>
        <w:t>Mancozeb 75% WP</w:t>
      </w:r>
      <w:r w:rsidRPr="00C204C5">
        <w:rPr>
          <w:rFonts w:ascii="Arial" w:hAnsi="Arial" w:cs="Arial"/>
        </w:rPr>
        <w:t xml:space="preserve">) with </w:t>
      </w:r>
      <w:r w:rsidRPr="00C204C5">
        <w:rPr>
          <w:rFonts w:ascii="Arial" w:hAnsi="Arial" w:cs="Arial"/>
          <w:lang w:eastAsia="en-GB"/>
        </w:rPr>
        <w:t>15</w:t>
      </w:r>
      <w:r w:rsidRPr="00C204C5">
        <w:rPr>
          <w:rFonts w:ascii="Arial" w:hAnsi="Arial" w:cs="Arial"/>
        </w:rPr>
        <w:t xml:space="preserve"> per cent’, ‘</w:t>
      </w:r>
      <w:r w:rsidRPr="00C204C5">
        <w:rPr>
          <w:rFonts w:ascii="Arial" w:hAnsi="Arial" w:cs="Arial"/>
          <w:lang w:eastAsia="en-GB"/>
        </w:rPr>
        <w:t>Bavistin</w:t>
      </w:r>
      <w:r w:rsidRPr="00C204C5">
        <w:rPr>
          <w:rFonts w:ascii="Arial" w:hAnsi="Arial" w:cs="Arial"/>
        </w:rPr>
        <w:t xml:space="preserve"> of </w:t>
      </w:r>
      <w:r w:rsidRPr="00C204C5">
        <w:rPr>
          <w:rFonts w:ascii="Arial" w:hAnsi="Arial" w:cs="Arial"/>
          <w:lang w:eastAsia="en-GB"/>
        </w:rPr>
        <w:t>Crystal Crop Protection L</w:t>
      </w:r>
      <w:r w:rsidRPr="00C204C5">
        <w:rPr>
          <w:rFonts w:ascii="Arial" w:hAnsi="Arial" w:cs="Arial"/>
        </w:rPr>
        <w:t>td. (</w:t>
      </w:r>
      <w:r w:rsidRPr="00C204C5">
        <w:rPr>
          <w:rFonts w:ascii="Arial" w:hAnsi="Arial" w:cs="Arial"/>
          <w:lang w:eastAsia="en-GB"/>
        </w:rPr>
        <w:t>Carbendazim 50% WP</w:t>
      </w:r>
      <w:r w:rsidRPr="00C204C5">
        <w:rPr>
          <w:rFonts w:ascii="Arial" w:hAnsi="Arial" w:cs="Arial"/>
        </w:rPr>
        <w:t xml:space="preserve">) with </w:t>
      </w:r>
      <w:r w:rsidRPr="00C204C5">
        <w:rPr>
          <w:rFonts w:ascii="Arial" w:hAnsi="Arial" w:cs="Arial"/>
          <w:lang w:eastAsia="en-GB"/>
        </w:rPr>
        <w:t>13</w:t>
      </w:r>
      <w:r w:rsidRPr="00C204C5">
        <w:rPr>
          <w:rFonts w:ascii="Arial" w:hAnsi="Arial" w:cs="Arial"/>
        </w:rPr>
        <w:t xml:space="preserve"> per cent’, ‘</w:t>
      </w:r>
      <w:proofErr w:type="spellStart"/>
      <w:r w:rsidRPr="00C204C5">
        <w:rPr>
          <w:rFonts w:ascii="Arial" w:hAnsi="Arial" w:cs="Arial"/>
          <w:lang w:eastAsia="en-GB"/>
        </w:rPr>
        <w:t>Blitox</w:t>
      </w:r>
      <w:proofErr w:type="spellEnd"/>
      <w:r w:rsidRPr="00C204C5">
        <w:rPr>
          <w:rFonts w:ascii="Arial" w:hAnsi="Arial" w:cs="Arial"/>
        </w:rPr>
        <w:t xml:space="preserve"> of Rallis India Ltd. (</w:t>
      </w:r>
      <w:r w:rsidRPr="00C204C5">
        <w:rPr>
          <w:rFonts w:ascii="Arial" w:hAnsi="Arial" w:cs="Arial"/>
          <w:lang w:eastAsia="en-GB"/>
        </w:rPr>
        <w:t>Copper Oxy-</w:t>
      </w:r>
      <w:proofErr w:type="spellStart"/>
      <w:r w:rsidRPr="00C204C5">
        <w:rPr>
          <w:rFonts w:ascii="Arial" w:hAnsi="Arial" w:cs="Arial"/>
          <w:lang w:eastAsia="en-GB"/>
        </w:rPr>
        <w:t>Cholride</w:t>
      </w:r>
      <w:proofErr w:type="spellEnd"/>
      <w:r w:rsidRPr="00C204C5">
        <w:rPr>
          <w:rFonts w:ascii="Arial" w:hAnsi="Arial" w:cs="Arial"/>
          <w:lang w:eastAsia="en-GB"/>
        </w:rPr>
        <w:t xml:space="preserve"> 50% W</w:t>
      </w:r>
      <w:r w:rsidRPr="00C204C5">
        <w:rPr>
          <w:rFonts w:ascii="Arial" w:hAnsi="Arial" w:cs="Arial"/>
        </w:rPr>
        <w:t xml:space="preserve">P) with </w:t>
      </w:r>
      <w:r w:rsidRPr="00C204C5">
        <w:rPr>
          <w:rFonts w:ascii="Arial" w:hAnsi="Arial" w:cs="Arial"/>
          <w:lang w:eastAsia="en-GB"/>
        </w:rPr>
        <w:t>13</w:t>
      </w:r>
      <w:r w:rsidRPr="00C204C5">
        <w:rPr>
          <w:rFonts w:ascii="Arial" w:hAnsi="Arial" w:cs="Arial"/>
        </w:rPr>
        <w:t xml:space="preserve"> per cent’, ‘</w:t>
      </w:r>
      <w:r w:rsidRPr="00C204C5">
        <w:rPr>
          <w:rFonts w:ascii="Arial" w:hAnsi="Arial" w:cs="Arial"/>
          <w:lang w:eastAsia="en-GB"/>
        </w:rPr>
        <w:t>Sixer</w:t>
      </w:r>
      <w:r w:rsidRPr="00C204C5">
        <w:rPr>
          <w:rFonts w:ascii="Arial" w:hAnsi="Arial" w:cs="Arial"/>
        </w:rPr>
        <w:t xml:space="preserve"> of </w:t>
      </w:r>
      <w:proofErr w:type="spellStart"/>
      <w:r w:rsidRPr="00C204C5">
        <w:rPr>
          <w:rFonts w:ascii="Arial" w:hAnsi="Arial" w:cs="Arial"/>
          <w:lang w:eastAsia="en-GB"/>
        </w:rPr>
        <w:t>Dhanuka</w:t>
      </w:r>
      <w:proofErr w:type="spellEnd"/>
      <w:r w:rsidRPr="00C204C5">
        <w:rPr>
          <w:rFonts w:ascii="Arial" w:hAnsi="Arial" w:cs="Arial"/>
        </w:rPr>
        <w:t xml:space="preserve"> </w:t>
      </w:r>
      <w:proofErr w:type="spellStart"/>
      <w:r w:rsidRPr="00C204C5">
        <w:rPr>
          <w:rFonts w:ascii="Arial" w:hAnsi="Arial" w:cs="Arial"/>
        </w:rPr>
        <w:t>Agritech</w:t>
      </w:r>
      <w:proofErr w:type="spellEnd"/>
      <w:r w:rsidRPr="00C204C5">
        <w:rPr>
          <w:rFonts w:ascii="Arial" w:hAnsi="Arial" w:cs="Arial"/>
        </w:rPr>
        <w:t xml:space="preserve"> Ltd. (</w:t>
      </w:r>
      <w:r w:rsidRPr="00C204C5">
        <w:rPr>
          <w:rFonts w:ascii="Arial" w:hAnsi="Arial" w:cs="Arial"/>
          <w:lang w:eastAsia="en-GB"/>
        </w:rPr>
        <w:t>Carbendazim 12% + Mancozeb 63% WP</w:t>
      </w:r>
      <w:r w:rsidRPr="00C204C5">
        <w:rPr>
          <w:rFonts w:ascii="Arial" w:hAnsi="Arial" w:cs="Arial"/>
        </w:rPr>
        <w:t xml:space="preserve">) with </w:t>
      </w:r>
      <w:r w:rsidRPr="00C204C5">
        <w:rPr>
          <w:rFonts w:ascii="Arial" w:hAnsi="Arial" w:cs="Arial"/>
          <w:lang w:eastAsia="en-GB"/>
        </w:rPr>
        <w:t>12</w:t>
      </w:r>
      <w:r w:rsidRPr="00C204C5">
        <w:rPr>
          <w:rFonts w:ascii="Arial" w:hAnsi="Arial" w:cs="Arial"/>
        </w:rPr>
        <w:t xml:space="preserve"> per cent’.</w:t>
      </w:r>
    </w:p>
    <w:p w14:paraId="0F3F0ADE" w14:textId="77777777" w:rsidR="00D74D37" w:rsidRPr="00C204C5" w:rsidRDefault="00D74D37" w:rsidP="00D74D37">
      <w:pPr>
        <w:jc w:val="both"/>
        <w:rPr>
          <w:rFonts w:ascii="Arial" w:hAnsi="Arial" w:cs="Arial"/>
        </w:rPr>
      </w:pPr>
    </w:p>
    <w:p w14:paraId="00908E84" w14:textId="77777777" w:rsidR="00D74D37" w:rsidRPr="00C204C5" w:rsidRDefault="00D74D37" w:rsidP="00D74D37">
      <w:pPr>
        <w:jc w:val="both"/>
        <w:rPr>
          <w:rFonts w:ascii="Arial" w:hAnsi="Arial" w:cs="Arial"/>
          <w:b/>
          <w:bCs/>
        </w:rPr>
      </w:pPr>
      <w:r w:rsidRPr="00C204C5">
        <w:rPr>
          <w:rFonts w:ascii="Arial" w:hAnsi="Arial" w:cs="Arial"/>
          <w:noProof/>
          <w:lang w:val="en-IN" w:eastAsia="en-IN"/>
        </w:rPr>
        <w:drawing>
          <wp:inline distT="0" distB="0" distL="0" distR="0" wp14:anchorId="56F3B6C0" wp14:editId="5EB6CC59">
            <wp:extent cx="5645150" cy="3060000"/>
            <wp:effectExtent l="0" t="0" r="12700" b="7620"/>
            <wp:docPr id="626309885" name="Chart 1">
              <a:extLst xmlns:a="http://schemas.openxmlformats.org/drawingml/2006/main">
                <a:ext uri="{FF2B5EF4-FFF2-40B4-BE49-F238E27FC236}">
                  <a16:creationId xmlns:a16="http://schemas.microsoft.com/office/drawing/2014/main" id="{B983216F-7F8A-3838-E481-B7CD7366D7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B80358" w14:textId="77777777" w:rsidR="00D74D37" w:rsidRPr="00C204C5" w:rsidRDefault="00D74D37" w:rsidP="00D74D37">
      <w:pPr>
        <w:jc w:val="both"/>
        <w:rPr>
          <w:rFonts w:ascii="Arial" w:hAnsi="Arial" w:cs="Arial"/>
          <w:b/>
          <w:bCs/>
        </w:rPr>
      </w:pPr>
      <w:r w:rsidRPr="00C204C5">
        <w:rPr>
          <w:rFonts w:ascii="Arial" w:hAnsi="Arial" w:cs="Arial"/>
          <w:b/>
          <w:bCs/>
        </w:rPr>
        <w:t>Figure 3. Major products (Herbicides) in the study area</w:t>
      </w:r>
    </w:p>
    <w:p w14:paraId="626512F2" w14:textId="77777777" w:rsidR="00D74D37" w:rsidRPr="000F016A" w:rsidRDefault="00D74D37" w:rsidP="00D74D37">
      <w:pPr>
        <w:jc w:val="both"/>
        <w:rPr>
          <w:rFonts w:ascii="Arial" w:hAnsi="Arial" w:cs="Arial"/>
          <w:i/>
          <w:iCs/>
          <w:sz w:val="18"/>
          <w:szCs w:val="18"/>
        </w:rPr>
      </w:pPr>
      <w:r w:rsidRPr="000F016A">
        <w:rPr>
          <w:rFonts w:ascii="Arial" w:hAnsi="Arial" w:cs="Arial"/>
          <w:i/>
          <w:iCs/>
          <w:sz w:val="18"/>
          <w:szCs w:val="18"/>
        </w:rPr>
        <w:t>Source: Researcher’s computation from the primary data</w:t>
      </w:r>
    </w:p>
    <w:p w14:paraId="5A94BA42" w14:textId="77777777" w:rsidR="00D74D37" w:rsidRDefault="00D74D37" w:rsidP="00D74D37">
      <w:pPr>
        <w:jc w:val="both"/>
        <w:rPr>
          <w:rFonts w:ascii="Arial" w:hAnsi="Arial" w:cs="Arial"/>
        </w:rPr>
      </w:pPr>
      <w:bookmarkStart w:id="3" w:name="_Hlk150934901"/>
    </w:p>
    <w:p w14:paraId="16BA68D8" w14:textId="77777777" w:rsidR="00D74D37" w:rsidRPr="00C204C5" w:rsidRDefault="00D74D37" w:rsidP="00D74D37">
      <w:pPr>
        <w:ind w:firstLine="567"/>
        <w:jc w:val="both"/>
        <w:rPr>
          <w:rFonts w:ascii="Arial" w:hAnsi="Arial" w:cs="Arial"/>
        </w:rPr>
      </w:pPr>
      <w:r w:rsidRPr="00C204C5">
        <w:rPr>
          <w:rFonts w:ascii="Arial" w:hAnsi="Arial" w:cs="Arial"/>
        </w:rPr>
        <w:t>As per the responses of the sample dealers and retailers, the top five herbicides based products are: ‘</w:t>
      </w:r>
      <w:r w:rsidRPr="00C204C5">
        <w:rPr>
          <w:rFonts w:ascii="Arial" w:hAnsi="Arial" w:cs="Arial"/>
          <w:lang w:eastAsia="en-GB"/>
        </w:rPr>
        <w:t>All Clear</w:t>
      </w:r>
      <w:r w:rsidRPr="00C204C5">
        <w:rPr>
          <w:rFonts w:ascii="Arial" w:hAnsi="Arial" w:cs="Arial"/>
        </w:rPr>
        <w:t xml:space="preserve"> of </w:t>
      </w:r>
      <w:r w:rsidRPr="00C204C5">
        <w:rPr>
          <w:rFonts w:ascii="Arial" w:hAnsi="Arial" w:cs="Arial"/>
          <w:lang w:eastAsia="en-GB"/>
        </w:rPr>
        <w:t>HPM Chemicals &amp; Fertilizers Ltd.</w:t>
      </w:r>
      <w:r w:rsidRPr="00C204C5">
        <w:rPr>
          <w:rFonts w:ascii="Arial" w:hAnsi="Arial" w:cs="Arial"/>
        </w:rPr>
        <w:t xml:space="preserve"> (</w:t>
      </w:r>
      <w:r w:rsidRPr="00C204C5">
        <w:rPr>
          <w:rFonts w:ascii="Arial" w:hAnsi="Arial" w:cs="Arial"/>
          <w:lang w:eastAsia="en-GB"/>
        </w:rPr>
        <w:t>Paraquat Dichloride 24% SL</w:t>
      </w:r>
      <w:r w:rsidRPr="00C204C5">
        <w:rPr>
          <w:rFonts w:ascii="Arial" w:hAnsi="Arial" w:cs="Arial"/>
        </w:rPr>
        <w:t xml:space="preserve">) with </w:t>
      </w:r>
      <w:r w:rsidRPr="00C204C5">
        <w:rPr>
          <w:rFonts w:ascii="Arial" w:hAnsi="Arial" w:cs="Arial"/>
          <w:lang w:eastAsia="en-GB"/>
        </w:rPr>
        <w:t>12</w:t>
      </w:r>
      <w:r w:rsidRPr="00C204C5">
        <w:rPr>
          <w:rFonts w:ascii="Arial" w:hAnsi="Arial" w:cs="Arial"/>
        </w:rPr>
        <w:t xml:space="preserve"> per cent’ of agreeableness, followed by ‘</w:t>
      </w:r>
      <w:r w:rsidRPr="00C204C5">
        <w:rPr>
          <w:rFonts w:ascii="Arial" w:hAnsi="Arial" w:cs="Arial"/>
          <w:lang w:eastAsia="en-GB"/>
        </w:rPr>
        <w:t>Garud</w:t>
      </w:r>
      <w:r w:rsidRPr="00C204C5">
        <w:rPr>
          <w:rFonts w:ascii="Arial" w:hAnsi="Arial" w:cs="Arial"/>
        </w:rPr>
        <w:t xml:space="preserve"> of </w:t>
      </w:r>
      <w:r w:rsidRPr="00C204C5">
        <w:rPr>
          <w:rFonts w:ascii="Arial" w:hAnsi="Arial" w:cs="Arial"/>
          <w:lang w:eastAsia="en-GB"/>
        </w:rPr>
        <w:t>HPM Chemicals &amp; Fertilizers Ltd.</w:t>
      </w:r>
      <w:r w:rsidRPr="00C204C5">
        <w:rPr>
          <w:rFonts w:ascii="Arial" w:hAnsi="Arial" w:cs="Arial"/>
        </w:rPr>
        <w:t xml:space="preserve"> (</w:t>
      </w:r>
      <w:r w:rsidRPr="00C204C5">
        <w:rPr>
          <w:rFonts w:ascii="Arial" w:hAnsi="Arial" w:cs="Arial"/>
          <w:lang w:eastAsia="en-GB"/>
        </w:rPr>
        <w:t>Glyphosate 41% SL</w:t>
      </w:r>
      <w:r w:rsidRPr="00C204C5">
        <w:rPr>
          <w:rFonts w:ascii="Arial" w:hAnsi="Arial" w:cs="Arial"/>
        </w:rPr>
        <w:t xml:space="preserve">) with </w:t>
      </w:r>
      <w:r w:rsidRPr="00C204C5">
        <w:rPr>
          <w:rFonts w:ascii="Arial" w:hAnsi="Arial" w:cs="Arial"/>
          <w:lang w:eastAsia="en-GB"/>
        </w:rPr>
        <w:t>9</w:t>
      </w:r>
      <w:r w:rsidRPr="00C204C5">
        <w:rPr>
          <w:rFonts w:ascii="Arial" w:hAnsi="Arial" w:cs="Arial"/>
        </w:rPr>
        <w:t xml:space="preserve"> per cent’, ‘</w:t>
      </w:r>
      <w:proofErr w:type="spellStart"/>
      <w:r w:rsidRPr="00C204C5">
        <w:rPr>
          <w:rFonts w:ascii="Arial" w:hAnsi="Arial" w:cs="Arial"/>
          <w:lang w:eastAsia="en-GB"/>
        </w:rPr>
        <w:t>Noweed</w:t>
      </w:r>
      <w:proofErr w:type="spellEnd"/>
      <w:r w:rsidRPr="00C204C5">
        <w:rPr>
          <w:rFonts w:ascii="Arial" w:hAnsi="Arial" w:cs="Arial"/>
        </w:rPr>
        <w:t xml:space="preserve"> of </w:t>
      </w:r>
      <w:proofErr w:type="spellStart"/>
      <w:r w:rsidRPr="00C204C5">
        <w:rPr>
          <w:rFonts w:ascii="Arial" w:hAnsi="Arial" w:cs="Arial"/>
          <w:lang w:eastAsia="en-GB"/>
        </w:rPr>
        <w:t>Dhanuka</w:t>
      </w:r>
      <w:proofErr w:type="spellEnd"/>
      <w:r w:rsidRPr="00C204C5">
        <w:rPr>
          <w:rFonts w:ascii="Arial" w:hAnsi="Arial" w:cs="Arial"/>
        </w:rPr>
        <w:t xml:space="preserve"> </w:t>
      </w:r>
      <w:proofErr w:type="spellStart"/>
      <w:r w:rsidRPr="00C204C5">
        <w:rPr>
          <w:rFonts w:ascii="Arial" w:hAnsi="Arial" w:cs="Arial"/>
        </w:rPr>
        <w:t>Agritech</w:t>
      </w:r>
      <w:proofErr w:type="spellEnd"/>
      <w:r w:rsidRPr="00C204C5">
        <w:rPr>
          <w:rFonts w:ascii="Arial" w:hAnsi="Arial" w:cs="Arial"/>
        </w:rPr>
        <w:t xml:space="preserve"> Ltd. (</w:t>
      </w:r>
      <w:r w:rsidRPr="00C204C5">
        <w:rPr>
          <w:rFonts w:ascii="Arial" w:hAnsi="Arial" w:cs="Arial"/>
          <w:lang w:eastAsia="en-GB"/>
        </w:rPr>
        <w:t>Glyphosate 41% SL</w:t>
      </w:r>
      <w:r w:rsidRPr="00C204C5">
        <w:rPr>
          <w:rFonts w:ascii="Arial" w:hAnsi="Arial" w:cs="Arial"/>
        </w:rPr>
        <w:t xml:space="preserve">) with </w:t>
      </w:r>
      <w:r w:rsidRPr="00C204C5">
        <w:rPr>
          <w:rFonts w:ascii="Arial" w:hAnsi="Arial" w:cs="Arial"/>
          <w:lang w:eastAsia="en-GB"/>
        </w:rPr>
        <w:t>8</w:t>
      </w:r>
      <w:r w:rsidRPr="00C204C5">
        <w:rPr>
          <w:rFonts w:ascii="Arial" w:hAnsi="Arial" w:cs="Arial"/>
        </w:rPr>
        <w:t xml:space="preserve"> per cent’, ‘</w:t>
      </w:r>
      <w:r w:rsidRPr="00C204C5">
        <w:rPr>
          <w:rFonts w:ascii="Arial" w:hAnsi="Arial" w:cs="Arial"/>
          <w:lang w:eastAsia="en-GB"/>
        </w:rPr>
        <w:t>Heera</w:t>
      </w:r>
      <w:r w:rsidRPr="00C204C5">
        <w:rPr>
          <w:rFonts w:ascii="Arial" w:hAnsi="Arial" w:cs="Arial"/>
        </w:rPr>
        <w:t xml:space="preserve"> of </w:t>
      </w:r>
      <w:r w:rsidRPr="00C204C5">
        <w:rPr>
          <w:rFonts w:ascii="Arial" w:hAnsi="Arial" w:cs="Arial"/>
          <w:lang w:eastAsia="en-GB"/>
        </w:rPr>
        <w:t>HPM Chemicals &amp; Fertilizers Ltd.</w:t>
      </w:r>
      <w:r w:rsidRPr="00C204C5">
        <w:rPr>
          <w:rFonts w:ascii="Arial" w:hAnsi="Arial" w:cs="Arial"/>
        </w:rPr>
        <w:t xml:space="preserve"> (</w:t>
      </w:r>
      <w:r w:rsidRPr="00C204C5">
        <w:rPr>
          <w:rFonts w:ascii="Arial" w:hAnsi="Arial" w:cs="Arial"/>
          <w:lang w:eastAsia="en-GB"/>
        </w:rPr>
        <w:t>2,4-d Ethyl Ester 38% EC</w:t>
      </w:r>
      <w:r w:rsidRPr="00C204C5">
        <w:rPr>
          <w:rFonts w:ascii="Arial" w:hAnsi="Arial" w:cs="Arial"/>
        </w:rPr>
        <w:t xml:space="preserve">) with </w:t>
      </w:r>
      <w:r w:rsidRPr="00C204C5">
        <w:rPr>
          <w:rFonts w:ascii="Arial" w:hAnsi="Arial" w:cs="Arial"/>
          <w:lang w:eastAsia="en-GB"/>
        </w:rPr>
        <w:t>6</w:t>
      </w:r>
      <w:r w:rsidRPr="00C204C5">
        <w:rPr>
          <w:rFonts w:ascii="Arial" w:hAnsi="Arial" w:cs="Arial"/>
        </w:rPr>
        <w:t xml:space="preserve"> per cent’, and ‘</w:t>
      </w:r>
      <w:r w:rsidRPr="00C204C5">
        <w:rPr>
          <w:rFonts w:ascii="Arial" w:hAnsi="Arial" w:cs="Arial"/>
          <w:lang w:eastAsia="en-GB"/>
        </w:rPr>
        <w:t>Saathi</w:t>
      </w:r>
      <w:r w:rsidRPr="00C204C5">
        <w:rPr>
          <w:rFonts w:ascii="Arial" w:hAnsi="Arial" w:cs="Arial"/>
        </w:rPr>
        <w:t xml:space="preserve"> of </w:t>
      </w:r>
      <w:r w:rsidRPr="00C204C5">
        <w:rPr>
          <w:rFonts w:ascii="Arial" w:hAnsi="Arial" w:cs="Arial"/>
          <w:lang w:eastAsia="en-GB"/>
        </w:rPr>
        <w:t>UPL</w:t>
      </w:r>
      <w:r w:rsidRPr="00C204C5">
        <w:rPr>
          <w:rFonts w:ascii="Arial" w:hAnsi="Arial" w:cs="Arial"/>
        </w:rPr>
        <w:t xml:space="preserve"> Ltd. (</w:t>
      </w:r>
      <w:proofErr w:type="spellStart"/>
      <w:r w:rsidRPr="00C204C5">
        <w:rPr>
          <w:rFonts w:ascii="Arial" w:hAnsi="Arial" w:cs="Arial"/>
          <w:lang w:eastAsia="en-GB"/>
        </w:rPr>
        <w:t>Pyrazosulfuron</w:t>
      </w:r>
      <w:proofErr w:type="spellEnd"/>
      <w:r w:rsidRPr="00C204C5">
        <w:rPr>
          <w:rFonts w:ascii="Arial" w:hAnsi="Arial" w:cs="Arial"/>
          <w:lang w:eastAsia="en-GB"/>
        </w:rPr>
        <w:t xml:space="preserve"> Ethyl 10% WP</w:t>
      </w:r>
      <w:r w:rsidRPr="00C204C5">
        <w:rPr>
          <w:rFonts w:ascii="Arial" w:hAnsi="Arial" w:cs="Arial"/>
        </w:rPr>
        <w:t xml:space="preserve">) with </w:t>
      </w:r>
      <w:r w:rsidRPr="00C204C5">
        <w:rPr>
          <w:rFonts w:ascii="Arial" w:hAnsi="Arial" w:cs="Arial"/>
          <w:lang w:eastAsia="en-GB"/>
        </w:rPr>
        <w:t>5</w:t>
      </w:r>
      <w:r w:rsidRPr="00C204C5">
        <w:rPr>
          <w:rFonts w:ascii="Arial" w:hAnsi="Arial" w:cs="Arial"/>
        </w:rPr>
        <w:t xml:space="preserve"> per cent’.</w:t>
      </w:r>
    </w:p>
    <w:bookmarkEnd w:id="3"/>
    <w:p w14:paraId="0854EB68" w14:textId="77777777" w:rsidR="00D74D37" w:rsidRPr="00C204C5" w:rsidRDefault="00D74D37" w:rsidP="00D74D37">
      <w:pPr>
        <w:jc w:val="both"/>
        <w:rPr>
          <w:rFonts w:ascii="Arial" w:hAnsi="Arial" w:cs="Arial"/>
          <w:b/>
          <w:bCs/>
        </w:rPr>
      </w:pPr>
    </w:p>
    <w:p w14:paraId="3CD7AC74" w14:textId="77777777" w:rsidR="00D74D37" w:rsidRPr="00C204C5" w:rsidRDefault="00D74D37" w:rsidP="00D74D37">
      <w:pPr>
        <w:jc w:val="both"/>
        <w:rPr>
          <w:rFonts w:ascii="Arial" w:hAnsi="Arial" w:cs="Arial"/>
          <w:b/>
          <w:bCs/>
        </w:rPr>
      </w:pPr>
      <w:r>
        <w:rPr>
          <w:rFonts w:ascii="Arial" w:hAnsi="Arial" w:cs="Arial"/>
          <w:b/>
          <w:bCs/>
        </w:rPr>
        <w:t xml:space="preserve">Objective 2. </w:t>
      </w:r>
      <w:r w:rsidRPr="00C204C5">
        <w:rPr>
          <w:rFonts w:ascii="Arial" w:hAnsi="Arial" w:cs="Arial"/>
          <w:b/>
          <w:bCs/>
        </w:rPr>
        <w:t>To study about the demographic variable(s) influencing the pesticide business</w:t>
      </w:r>
    </w:p>
    <w:p w14:paraId="38FFB668" w14:textId="77777777" w:rsidR="00D74D37" w:rsidRDefault="00D74D37" w:rsidP="00D74D37">
      <w:pPr>
        <w:ind w:firstLine="567"/>
        <w:jc w:val="both"/>
        <w:rPr>
          <w:rFonts w:ascii="Arial" w:hAnsi="Arial" w:cs="Arial"/>
        </w:rPr>
      </w:pPr>
    </w:p>
    <w:p w14:paraId="45058C92" w14:textId="77777777" w:rsidR="00D74D37" w:rsidRDefault="00D74D37" w:rsidP="00D74D37">
      <w:pPr>
        <w:ind w:firstLine="567"/>
        <w:jc w:val="both"/>
        <w:rPr>
          <w:rFonts w:ascii="Arial" w:hAnsi="Arial" w:cs="Arial"/>
          <w:color w:val="000000" w:themeColor="text1"/>
        </w:rPr>
      </w:pPr>
      <w:r w:rsidRPr="00C204C5">
        <w:rPr>
          <w:rFonts w:ascii="Arial" w:hAnsi="Arial" w:cs="Arial"/>
        </w:rPr>
        <w:t xml:space="preserve">This objective was </w:t>
      </w:r>
      <w:proofErr w:type="spellStart"/>
      <w:r w:rsidRPr="00C204C5">
        <w:rPr>
          <w:rFonts w:ascii="Arial" w:hAnsi="Arial" w:cs="Arial"/>
        </w:rPr>
        <w:t>analysed</w:t>
      </w:r>
      <w:proofErr w:type="spellEnd"/>
      <w:r w:rsidRPr="00C204C5">
        <w:rPr>
          <w:rFonts w:ascii="Arial" w:hAnsi="Arial" w:cs="Arial"/>
        </w:rPr>
        <w:t xml:space="preserve"> by </w:t>
      </w:r>
      <w:r w:rsidRPr="00C204C5">
        <w:rPr>
          <w:rFonts w:ascii="Arial" w:hAnsi="Arial" w:cs="Arial"/>
          <w:color w:val="000000" w:themeColor="text1"/>
          <w:shd w:val="clear" w:color="auto" w:fill="FFFFFF"/>
        </w:rPr>
        <w:t xml:space="preserve">Chi-square test of independence. </w:t>
      </w:r>
    </w:p>
    <w:p w14:paraId="00EEA040" w14:textId="77777777" w:rsidR="00D74D37" w:rsidRPr="00C204C5" w:rsidRDefault="00D74D37" w:rsidP="00D74D37">
      <w:pPr>
        <w:jc w:val="both"/>
        <w:rPr>
          <w:rFonts w:ascii="Arial" w:hAnsi="Arial" w:cs="Arial"/>
        </w:rPr>
      </w:pPr>
    </w:p>
    <w:p w14:paraId="5D86573E" w14:textId="77777777" w:rsidR="00D74D37" w:rsidRPr="00C204C5" w:rsidRDefault="00D74D37" w:rsidP="00D74D37">
      <w:pPr>
        <w:jc w:val="both"/>
        <w:rPr>
          <w:rFonts w:ascii="Arial" w:hAnsi="Arial" w:cs="Arial"/>
          <w:b/>
          <w:bCs/>
        </w:rPr>
      </w:pPr>
      <w:bookmarkStart w:id="4" w:name="_Hlk150471491"/>
      <w:r w:rsidRPr="00C204C5">
        <w:rPr>
          <w:rFonts w:ascii="Arial" w:hAnsi="Arial" w:cs="Arial"/>
          <w:b/>
          <w:bCs/>
        </w:rPr>
        <w:t>Table 3. Association of demographic factors with type of business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2265"/>
        <w:gridCol w:w="1843"/>
      </w:tblGrid>
      <w:tr w:rsidR="007D3812" w:rsidRPr="00C204C5" w14:paraId="60FCD3E1" w14:textId="77777777" w:rsidTr="006516DA">
        <w:trPr>
          <w:trHeight w:val="20"/>
        </w:trPr>
        <w:tc>
          <w:tcPr>
            <w:tcW w:w="2542" w:type="pct"/>
            <w:noWrap/>
            <w:vAlign w:val="center"/>
          </w:tcPr>
          <w:bookmarkEnd w:id="4"/>
          <w:p w14:paraId="05CDD4DF" w14:textId="77777777" w:rsidR="00D74D37" w:rsidRPr="00C204C5" w:rsidRDefault="00D74D37" w:rsidP="006516DA">
            <w:pPr>
              <w:jc w:val="center"/>
              <w:rPr>
                <w:rFonts w:ascii="Arial" w:eastAsia="Times New Roman" w:hAnsi="Arial" w:cs="Arial"/>
                <w:color w:val="000000"/>
                <w:sz w:val="20"/>
                <w:szCs w:val="20"/>
                <w:lang w:eastAsia="en-GB"/>
              </w:rPr>
            </w:pPr>
            <w:r w:rsidRPr="00C204C5">
              <w:rPr>
                <w:rFonts w:ascii="Arial" w:hAnsi="Arial" w:cs="Arial"/>
                <w:b/>
                <w:bCs/>
                <w:sz w:val="20"/>
                <w:szCs w:val="20"/>
              </w:rPr>
              <w:t>Demographic parameters</w:t>
            </w:r>
          </w:p>
        </w:tc>
        <w:tc>
          <w:tcPr>
            <w:tcW w:w="1335" w:type="pct"/>
            <w:noWrap/>
            <w:vAlign w:val="center"/>
          </w:tcPr>
          <w:p w14:paraId="446C2ACE" w14:textId="77777777" w:rsidR="00D74D37" w:rsidRPr="00C204C5" w:rsidRDefault="00D74D37" w:rsidP="006516DA">
            <w:pPr>
              <w:jc w:val="center"/>
              <w:rPr>
                <w:rFonts w:ascii="Arial" w:eastAsia="Times New Roman" w:hAnsi="Arial" w:cs="Arial"/>
                <w:color w:val="000000"/>
                <w:sz w:val="20"/>
                <w:szCs w:val="20"/>
                <w:lang w:eastAsia="en-GB"/>
              </w:rPr>
            </w:pPr>
            <w:r w:rsidRPr="00C204C5">
              <w:rPr>
                <w:rFonts w:ascii="Arial" w:hAnsi="Arial" w:cs="Arial"/>
                <w:b/>
                <w:bCs/>
                <w:sz w:val="20"/>
                <w:szCs w:val="20"/>
              </w:rPr>
              <w:t>Pearson’s Chi-square</w:t>
            </w:r>
          </w:p>
        </w:tc>
        <w:tc>
          <w:tcPr>
            <w:tcW w:w="1123" w:type="pct"/>
            <w:noWrap/>
            <w:vAlign w:val="center"/>
          </w:tcPr>
          <w:p w14:paraId="04B2F8BB" w14:textId="106BF69F" w:rsidR="00D74D37" w:rsidRPr="00C204C5" w:rsidRDefault="008A591F" w:rsidP="006516DA">
            <w:pPr>
              <w:jc w:val="center"/>
              <w:rPr>
                <w:rFonts w:ascii="Arial" w:eastAsia="Times New Roman" w:hAnsi="Arial" w:cs="Arial"/>
                <w:color w:val="000000"/>
                <w:sz w:val="20"/>
                <w:szCs w:val="20"/>
                <w:lang w:eastAsia="en-GB"/>
              </w:rPr>
            </w:pPr>
            <w:r w:rsidRPr="008A591F">
              <w:rPr>
                <w:rFonts w:ascii="Arial" w:hAnsi="Arial" w:cs="Arial"/>
                <w:b/>
                <w:bCs/>
                <w:i/>
                <w:iCs/>
                <w:sz w:val="20"/>
                <w:szCs w:val="20"/>
              </w:rPr>
              <w:t>P</w:t>
            </w:r>
            <w:r w:rsidR="00D74D37" w:rsidRPr="00C204C5">
              <w:rPr>
                <w:rFonts w:ascii="Arial" w:hAnsi="Arial" w:cs="Arial"/>
                <w:b/>
                <w:bCs/>
                <w:sz w:val="20"/>
                <w:szCs w:val="20"/>
              </w:rPr>
              <w:t xml:space="preserve"> value</w:t>
            </w:r>
          </w:p>
        </w:tc>
      </w:tr>
      <w:tr w:rsidR="007D3812" w:rsidRPr="00C204C5" w14:paraId="1B58479A" w14:textId="77777777" w:rsidTr="006516DA">
        <w:trPr>
          <w:trHeight w:val="20"/>
        </w:trPr>
        <w:tc>
          <w:tcPr>
            <w:tcW w:w="2542" w:type="pct"/>
            <w:noWrap/>
            <w:vAlign w:val="center"/>
            <w:hideMark/>
          </w:tcPr>
          <w:p w14:paraId="5E59568C" w14:textId="77777777" w:rsidR="00D74D37" w:rsidRPr="00C204C5" w:rsidRDefault="00D74D37" w:rsidP="006516DA">
            <w:pPr>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Annual income (high or medium or low)</w:t>
            </w:r>
          </w:p>
        </w:tc>
        <w:tc>
          <w:tcPr>
            <w:tcW w:w="1335" w:type="pct"/>
            <w:noWrap/>
            <w:vAlign w:val="center"/>
            <w:hideMark/>
          </w:tcPr>
          <w:p w14:paraId="245A23B6" w14:textId="2582C263" w:rsidR="00D74D37" w:rsidRPr="00C204C5" w:rsidRDefault="00D74D37" w:rsidP="006516DA">
            <w:pPr>
              <w:jc w:val="right"/>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19.74**</w:t>
            </w:r>
          </w:p>
        </w:tc>
        <w:tc>
          <w:tcPr>
            <w:tcW w:w="1123" w:type="pct"/>
            <w:noWrap/>
            <w:vAlign w:val="center"/>
            <w:hideMark/>
          </w:tcPr>
          <w:p w14:paraId="3118B158" w14:textId="5D35FFFC" w:rsidR="00D74D37" w:rsidRPr="00C204C5" w:rsidRDefault="00D74D37" w:rsidP="006516DA">
            <w:pPr>
              <w:jc w:val="right"/>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0.00</w:t>
            </w:r>
          </w:p>
        </w:tc>
      </w:tr>
      <w:tr w:rsidR="007D3812" w:rsidRPr="00C204C5" w14:paraId="6635AEC9" w14:textId="77777777" w:rsidTr="006516DA">
        <w:trPr>
          <w:trHeight w:val="20"/>
        </w:trPr>
        <w:tc>
          <w:tcPr>
            <w:tcW w:w="2542" w:type="pct"/>
            <w:noWrap/>
            <w:vAlign w:val="center"/>
            <w:hideMark/>
          </w:tcPr>
          <w:p w14:paraId="24BF8F20" w14:textId="77777777" w:rsidR="00D74D37" w:rsidRPr="00C204C5" w:rsidRDefault="00D74D37" w:rsidP="006516DA">
            <w:pPr>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Shop location (urban or rural)</w:t>
            </w:r>
          </w:p>
        </w:tc>
        <w:tc>
          <w:tcPr>
            <w:tcW w:w="1335" w:type="pct"/>
            <w:noWrap/>
            <w:vAlign w:val="center"/>
            <w:hideMark/>
          </w:tcPr>
          <w:p w14:paraId="63E29098" w14:textId="246805EA" w:rsidR="00D74D37" w:rsidRPr="00C204C5" w:rsidRDefault="00D74D37" w:rsidP="006516DA">
            <w:pPr>
              <w:jc w:val="right"/>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9.09**</w:t>
            </w:r>
          </w:p>
        </w:tc>
        <w:tc>
          <w:tcPr>
            <w:tcW w:w="1123" w:type="pct"/>
            <w:noWrap/>
            <w:vAlign w:val="center"/>
            <w:hideMark/>
          </w:tcPr>
          <w:p w14:paraId="05D20C7C" w14:textId="4F15B4E2" w:rsidR="00D74D37" w:rsidRPr="00C204C5" w:rsidRDefault="00D74D37" w:rsidP="006516DA">
            <w:pPr>
              <w:jc w:val="right"/>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0.00</w:t>
            </w:r>
          </w:p>
        </w:tc>
      </w:tr>
      <w:tr w:rsidR="007D3812" w:rsidRPr="00C204C5" w14:paraId="1724CBA7" w14:textId="77777777" w:rsidTr="006516DA">
        <w:trPr>
          <w:trHeight w:val="20"/>
        </w:trPr>
        <w:tc>
          <w:tcPr>
            <w:tcW w:w="2542" w:type="pct"/>
            <w:noWrap/>
            <w:vAlign w:val="center"/>
            <w:hideMark/>
          </w:tcPr>
          <w:p w14:paraId="347F48A3" w14:textId="77777777" w:rsidR="00D74D37" w:rsidRPr="00C204C5" w:rsidRDefault="00D74D37" w:rsidP="006516DA">
            <w:pPr>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Shop ownership (owned or rented)</w:t>
            </w:r>
          </w:p>
        </w:tc>
        <w:tc>
          <w:tcPr>
            <w:tcW w:w="1335" w:type="pct"/>
            <w:noWrap/>
            <w:vAlign w:val="center"/>
            <w:hideMark/>
          </w:tcPr>
          <w:p w14:paraId="1212531C" w14:textId="45B7B374" w:rsidR="00D74D37" w:rsidRPr="00C204C5" w:rsidRDefault="00D74D37" w:rsidP="006516DA">
            <w:pPr>
              <w:jc w:val="right"/>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3.48*</w:t>
            </w:r>
          </w:p>
        </w:tc>
        <w:tc>
          <w:tcPr>
            <w:tcW w:w="1123" w:type="pct"/>
            <w:noWrap/>
            <w:vAlign w:val="center"/>
            <w:hideMark/>
          </w:tcPr>
          <w:p w14:paraId="640B0DFF" w14:textId="56A322CE" w:rsidR="00D74D37" w:rsidRPr="00C204C5" w:rsidRDefault="00D74D37" w:rsidP="006516DA">
            <w:pPr>
              <w:jc w:val="right"/>
              <w:rPr>
                <w:rFonts w:ascii="Arial" w:eastAsia="Times New Roman" w:hAnsi="Arial" w:cs="Arial"/>
                <w:b/>
                <w:bCs/>
                <w:color w:val="000000"/>
                <w:sz w:val="20"/>
                <w:szCs w:val="20"/>
                <w:lang w:eastAsia="en-GB"/>
              </w:rPr>
            </w:pPr>
            <w:r w:rsidRPr="00C204C5">
              <w:rPr>
                <w:rFonts w:ascii="Arial" w:eastAsia="Times New Roman" w:hAnsi="Arial" w:cs="Arial"/>
                <w:b/>
                <w:bCs/>
                <w:color w:val="000000"/>
                <w:sz w:val="20"/>
                <w:szCs w:val="20"/>
                <w:lang w:eastAsia="en-GB"/>
              </w:rPr>
              <w:t>0.04</w:t>
            </w:r>
          </w:p>
        </w:tc>
      </w:tr>
      <w:tr w:rsidR="007D3812" w:rsidRPr="00C204C5" w14:paraId="6EEB06BD" w14:textId="77777777" w:rsidTr="006516DA">
        <w:trPr>
          <w:trHeight w:val="20"/>
        </w:trPr>
        <w:tc>
          <w:tcPr>
            <w:tcW w:w="2542" w:type="pct"/>
            <w:noWrap/>
            <w:vAlign w:val="center"/>
            <w:hideMark/>
          </w:tcPr>
          <w:p w14:paraId="79A57B3D" w14:textId="77777777" w:rsidR="00D74D37" w:rsidRPr="00C204C5" w:rsidRDefault="00D74D37" w:rsidP="006516DA">
            <w:pPr>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Age (below 35 or 35–49 or 50 and above</w:t>
            </w:r>
          </w:p>
        </w:tc>
        <w:tc>
          <w:tcPr>
            <w:tcW w:w="1335" w:type="pct"/>
            <w:noWrap/>
            <w:vAlign w:val="center"/>
            <w:hideMark/>
          </w:tcPr>
          <w:p w14:paraId="5C75CE7E" w14:textId="336C53FD"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3.02</w:t>
            </w:r>
            <w:r w:rsidRPr="00C204C5">
              <w:rPr>
                <w:rFonts w:ascii="Arial" w:eastAsia="Times New Roman" w:hAnsi="Arial" w:cs="Arial"/>
                <w:color w:val="000000"/>
                <w:sz w:val="20"/>
                <w:szCs w:val="20"/>
                <w:vertAlign w:val="superscript"/>
                <w:lang w:eastAsia="en-GB"/>
              </w:rPr>
              <w:t>NS</w:t>
            </w:r>
          </w:p>
        </w:tc>
        <w:tc>
          <w:tcPr>
            <w:tcW w:w="1123" w:type="pct"/>
            <w:noWrap/>
            <w:vAlign w:val="center"/>
            <w:hideMark/>
          </w:tcPr>
          <w:p w14:paraId="2E7F9104" w14:textId="4CC47A4B"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0.22</w:t>
            </w:r>
          </w:p>
        </w:tc>
      </w:tr>
      <w:tr w:rsidR="007D3812" w:rsidRPr="00C204C5" w14:paraId="192F61FE" w14:textId="77777777" w:rsidTr="006516DA">
        <w:trPr>
          <w:trHeight w:val="20"/>
        </w:trPr>
        <w:tc>
          <w:tcPr>
            <w:tcW w:w="2542" w:type="pct"/>
            <w:noWrap/>
            <w:vAlign w:val="center"/>
            <w:hideMark/>
          </w:tcPr>
          <w:p w14:paraId="496E7B05" w14:textId="77777777" w:rsidR="00D74D37" w:rsidRPr="00C204C5" w:rsidRDefault="00D74D37" w:rsidP="006516DA">
            <w:pPr>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Education (under matric or matriculation or graduate)</w:t>
            </w:r>
          </w:p>
        </w:tc>
        <w:tc>
          <w:tcPr>
            <w:tcW w:w="1335" w:type="pct"/>
            <w:noWrap/>
            <w:vAlign w:val="center"/>
            <w:hideMark/>
          </w:tcPr>
          <w:p w14:paraId="2E723A1F" w14:textId="5DDEEB7F"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0.39</w:t>
            </w:r>
            <w:r w:rsidRPr="00C204C5">
              <w:rPr>
                <w:rFonts w:ascii="Arial" w:eastAsia="Times New Roman" w:hAnsi="Arial" w:cs="Arial"/>
                <w:color w:val="000000"/>
                <w:sz w:val="20"/>
                <w:szCs w:val="20"/>
                <w:vertAlign w:val="superscript"/>
                <w:lang w:eastAsia="en-GB"/>
              </w:rPr>
              <w:t>NS</w:t>
            </w:r>
          </w:p>
        </w:tc>
        <w:tc>
          <w:tcPr>
            <w:tcW w:w="1123" w:type="pct"/>
            <w:noWrap/>
            <w:vAlign w:val="center"/>
            <w:hideMark/>
          </w:tcPr>
          <w:p w14:paraId="6F2C7FCA" w14:textId="618D3748"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0.82</w:t>
            </w:r>
          </w:p>
        </w:tc>
      </w:tr>
      <w:tr w:rsidR="007D3812" w:rsidRPr="00C204C5" w14:paraId="6CDF52E3" w14:textId="77777777" w:rsidTr="006516DA">
        <w:trPr>
          <w:trHeight w:val="20"/>
        </w:trPr>
        <w:tc>
          <w:tcPr>
            <w:tcW w:w="2542" w:type="pct"/>
            <w:noWrap/>
            <w:vAlign w:val="center"/>
            <w:hideMark/>
          </w:tcPr>
          <w:p w14:paraId="49CF1F9F" w14:textId="77777777" w:rsidR="00D74D37" w:rsidRPr="00C204C5" w:rsidRDefault="00D74D37" w:rsidP="006516DA">
            <w:pPr>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Caste (general or OBC or SC or ST)</w:t>
            </w:r>
          </w:p>
        </w:tc>
        <w:tc>
          <w:tcPr>
            <w:tcW w:w="1335" w:type="pct"/>
            <w:noWrap/>
            <w:vAlign w:val="center"/>
            <w:hideMark/>
          </w:tcPr>
          <w:p w14:paraId="29FCE224" w14:textId="4BFD5821"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0.20</w:t>
            </w:r>
            <w:r w:rsidRPr="00C204C5">
              <w:rPr>
                <w:rFonts w:ascii="Arial" w:eastAsia="Times New Roman" w:hAnsi="Arial" w:cs="Arial"/>
                <w:color w:val="000000"/>
                <w:sz w:val="20"/>
                <w:szCs w:val="20"/>
                <w:vertAlign w:val="superscript"/>
                <w:lang w:eastAsia="en-GB"/>
              </w:rPr>
              <w:t>NS</w:t>
            </w:r>
          </w:p>
        </w:tc>
        <w:tc>
          <w:tcPr>
            <w:tcW w:w="1123" w:type="pct"/>
            <w:noWrap/>
            <w:vAlign w:val="center"/>
            <w:hideMark/>
          </w:tcPr>
          <w:p w14:paraId="657C4E93" w14:textId="5A8A0ADF"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0.90</w:t>
            </w:r>
          </w:p>
        </w:tc>
      </w:tr>
      <w:tr w:rsidR="007D3812" w:rsidRPr="00C204C5" w14:paraId="24A73384" w14:textId="77777777" w:rsidTr="006516DA">
        <w:trPr>
          <w:trHeight w:val="20"/>
        </w:trPr>
        <w:tc>
          <w:tcPr>
            <w:tcW w:w="2542" w:type="pct"/>
            <w:noWrap/>
            <w:vAlign w:val="center"/>
            <w:hideMark/>
          </w:tcPr>
          <w:p w14:paraId="4E7BC779" w14:textId="77777777" w:rsidR="00D74D37" w:rsidRPr="00C204C5" w:rsidRDefault="00D74D37" w:rsidP="006516DA">
            <w:pPr>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Trainings attended (yes or no)</w:t>
            </w:r>
          </w:p>
        </w:tc>
        <w:tc>
          <w:tcPr>
            <w:tcW w:w="1335" w:type="pct"/>
            <w:noWrap/>
            <w:vAlign w:val="center"/>
            <w:hideMark/>
          </w:tcPr>
          <w:p w14:paraId="7DA05448" w14:textId="512AC088"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0.01</w:t>
            </w:r>
            <w:r w:rsidRPr="00C204C5">
              <w:rPr>
                <w:rFonts w:ascii="Arial" w:eastAsia="Times New Roman" w:hAnsi="Arial" w:cs="Arial"/>
                <w:color w:val="000000"/>
                <w:sz w:val="20"/>
                <w:szCs w:val="20"/>
                <w:vertAlign w:val="superscript"/>
                <w:lang w:eastAsia="en-GB"/>
              </w:rPr>
              <w:t>NS</w:t>
            </w:r>
          </w:p>
        </w:tc>
        <w:tc>
          <w:tcPr>
            <w:tcW w:w="1123" w:type="pct"/>
            <w:noWrap/>
            <w:vAlign w:val="center"/>
            <w:hideMark/>
          </w:tcPr>
          <w:p w14:paraId="0ACE3A82" w14:textId="28FB0547" w:rsidR="00D74D37" w:rsidRPr="00C204C5" w:rsidRDefault="00D74D37" w:rsidP="006516DA">
            <w:pPr>
              <w:jc w:val="right"/>
              <w:rPr>
                <w:rFonts w:ascii="Arial" w:eastAsia="Times New Roman" w:hAnsi="Arial" w:cs="Arial"/>
                <w:color w:val="000000"/>
                <w:sz w:val="20"/>
                <w:szCs w:val="20"/>
                <w:lang w:eastAsia="en-GB"/>
              </w:rPr>
            </w:pPr>
            <w:r w:rsidRPr="00C204C5">
              <w:rPr>
                <w:rFonts w:ascii="Arial" w:eastAsia="Times New Roman" w:hAnsi="Arial" w:cs="Arial"/>
                <w:color w:val="000000"/>
                <w:sz w:val="20"/>
                <w:szCs w:val="20"/>
                <w:lang w:eastAsia="en-GB"/>
              </w:rPr>
              <w:t>0.92</w:t>
            </w:r>
          </w:p>
        </w:tc>
      </w:tr>
    </w:tbl>
    <w:p w14:paraId="3D7021D3"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Note: Dependent variable: Type of Pesticides business (wholesaling or retailing)</w:t>
      </w:r>
    </w:p>
    <w:p w14:paraId="11CE7173"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 Significant at five per cent level of probability</w:t>
      </w:r>
    </w:p>
    <w:p w14:paraId="37E2FB6E"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 Significant at one per cent level of probability</w:t>
      </w:r>
    </w:p>
    <w:p w14:paraId="19D47CB6"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Source: Researcher’s computation from field data through SPSS</w:t>
      </w:r>
    </w:p>
    <w:p w14:paraId="07C10C1E" w14:textId="77777777" w:rsidR="00D74D37" w:rsidRPr="00C204C5" w:rsidRDefault="00D74D37" w:rsidP="00D74D37">
      <w:pPr>
        <w:jc w:val="both"/>
        <w:rPr>
          <w:rFonts w:ascii="Arial" w:hAnsi="Arial" w:cs="Arial"/>
          <w:color w:val="000000" w:themeColor="text1"/>
          <w:shd w:val="clear" w:color="auto" w:fill="FFFFFF"/>
        </w:rPr>
      </w:pPr>
    </w:p>
    <w:p w14:paraId="13FA7EA4" w14:textId="592D39B2" w:rsidR="00D74D37" w:rsidRPr="00C204C5" w:rsidRDefault="00D74D37" w:rsidP="00D74D37">
      <w:pPr>
        <w:ind w:firstLine="567"/>
        <w:jc w:val="both"/>
        <w:rPr>
          <w:rFonts w:ascii="Arial" w:hAnsi="Arial" w:cs="Arial"/>
          <w:color w:val="000000" w:themeColor="text1"/>
          <w:lang w:val="en-IN"/>
        </w:rPr>
      </w:pPr>
      <w:r w:rsidRPr="00C204C5">
        <w:rPr>
          <w:rFonts w:ascii="Arial" w:hAnsi="Arial" w:cs="Arial"/>
          <w:color w:val="000000" w:themeColor="text1"/>
          <w:shd w:val="clear" w:color="auto" w:fill="FFFFFF"/>
        </w:rPr>
        <w:t xml:space="preserve">As shown in Table 3, </w:t>
      </w:r>
      <w:bookmarkStart w:id="5" w:name="_Hlk150934936"/>
      <w:r w:rsidRPr="00C204C5">
        <w:rPr>
          <w:rFonts w:ascii="Arial" w:hAnsi="Arial" w:cs="Arial"/>
          <w:color w:val="000000" w:themeColor="text1"/>
          <w:shd w:val="clear" w:color="auto" w:fill="FFFFFF"/>
        </w:rPr>
        <w:t>significant association was found between the variables viz. ‘type of pesticides business (wholesaling or retailing)’ and demographic variables viz. ‘shop location (</w:t>
      </w:r>
      <w:r w:rsidRPr="00C204C5">
        <w:rPr>
          <w:rFonts w:ascii="Arial" w:hAnsi="Arial" w:cs="Arial"/>
          <w:color w:val="000000" w:themeColor="text1"/>
          <w:shd w:val="clear" w:color="auto" w:fill="FFFFFF"/>
        </w:rPr>
        <w:sym w:font="Symbol" w:char="F063"/>
      </w:r>
      <w:r w:rsidRPr="00C204C5">
        <w:rPr>
          <w:rFonts w:ascii="Arial" w:hAnsi="Arial" w:cs="Arial"/>
          <w:color w:val="000000" w:themeColor="text1"/>
          <w:shd w:val="clear" w:color="auto" w:fill="FFFFFF"/>
          <w:vertAlign w:val="superscript"/>
        </w:rPr>
        <w:t>2</w:t>
      </w:r>
      <w:r w:rsidRPr="00C204C5">
        <w:rPr>
          <w:rFonts w:ascii="Arial" w:hAnsi="Arial" w:cs="Arial"/>
          <w:color w:val="000000" w:themeColor="text1"/>
          <w:lang w:val="en-IN"/>
        </w:rPr>
        <w:t>(</w:t>
      </w:r>
      <w:proofErr w:type="gramStart"/>
      <w:r w:rsidRPr="00C204C5">
        <w:rPr>
          <w:rFonts w:ascii="Arial" w:hAnsi="Arial" w:cs="Arial"/>
          <w:color w:val="000000" w:themeColor="text1"/>
          <w:lang w:val="en-IN"/>
        </w:rPr>
        <w:t>1)=</w:t>
      </w:r>
      <w:proofErr w:type="gramEnd"/>
      <w:r w:rsidRPr="00C204C5">
        <w:rPr>
          <w:rFonts w:ascii="Arial" w:hAnsi="Arial" w:cs="Arial"/>
          <w:color w:val="000000" w:themeColor="text1"/>
          <w:lang w:val="en-IN"/>
        </w:rPr>
        <w:t xml:space="preserve"> 9.095, </w:t>
      </w:r>
      <w:r w:rsidR="008A591F" w:rsidRPr="008A591F">
        <w:rPr>
          <w:rFonts w:ascii="Arial" w:hAnsi="Arial" w:cs="Arial"/>
          <w:i/>
          <w:iCs/>
          <w:color w:val="000000" w:themeColor="text1"/>
          <w:lang w:val="en-IN"/>
        </w:rPr>
        <w:t>P</w:t>
      </w:r>
      <w:r w:rsidR="008A591F">
        <w:rPr>
          <w:rFonts w:ascii="Arial" w:hAnsi="Arial" w:cs="Arial"/>
          <w:color w:val="000000" w:themeColor="text1"/>
          <w:lang w:val="en-IN"/>
        </w:rPr>
        <w:t xml:space="preserve">= </w:t>
      </w:r>
      <w:r w:rsidRPr="00C204C5">
        <w:rPr>
          <w:rFonts w:ascii="Arial" w:hAnsi="Arial" w:cs="Arial"/>
          <w:color w:val="000000" w:themeColor="text1"/>
          <w:lang w:val="en-IN"/>
        </w:rPr>
        <w:t xml:space="preserve">.01)’, ‘shop ownership </w:t>
      </w:r>
      <w:r w:rsidRPr="00C204C5">
        <w:rPr>
          <w:rFonts w:ascii="Arial" w:hAnsi="Arial" w:cs="Arial"/>
          <w:color w:val="000000" w:themeColor="text1"/>
          <w:shd w:val="clear" w:color="auto" w:fill="FFFFFF"/>
        </w:rPr>
        <w:t>(</w:t>
      </w:r>
      <w:r w:rsidRPr="00C204C5">
        <w:rPr>
          <w:rFonts w:ascii="Arial" w:hAnsi="Arial" w:cs="Arial"/>
          <w:color w:val="000000" w:themeColor="text1"/>
          <w:shd w:val="clear" w:color="auto" w:fill="FFFFFF"/>
        </w:rPr>
        <w:sym w:font="Symbol" w:char="F063"/>
      </w:r>
      <w:r w:rsidRPr="00C204C5">
        <w:rPr>
          <w:rFonts w:ascii="Arial" w:hAnsi="Arial" w:cs="Arial"/>
          <w:color w:val="000000" w:themeColor="text1"/>
          <w:shd w:val="clear" w:color="auto" w:fill="FFFFFF"/>
          <w:vertAlign w:val="superscript"/>
        </w:rPr>
        <w:t>2</w:t>
      </w:r>
      <w:r w:rsidRPr="00C204C5">
        <w:rPr>
          <w:rFonts w:ascii="Arial" w:hAnsi="Arial" w:cs="Arial"/>
          <w:color w:val="000000" w:themeColor="text1"/>
          <w:lang w:val="en-IN"/>
        </w:rPr>
        <w:t xml:space="preserve">(1)= 3.481, </w:t>
      </w:r>
      <w:r w:rsidR="008A591F" w:rsidRPr="008A591F">
        <w:rPr>
          <w:rFonts w:ascii="Arial" w:hAnsi="Arial" w:cs="Arial"/>
          <w:i/>
          <w:iCs/>
          <w:color w:val="000000" w:themeColor="text1"/>
          <w:lang w:val="en-IN"/>
        </w:rPr>
        <w:t>P</w:t>
      </w:r>
      <w:r w:rsidR="008A591F">
        <w:rPr>
          <w:rFonts w:ascii="Arial" w:hAnsi="Arial" w:cs="Arial"/>
          <w:color w:val="000000" w:themeColor="text1"/>
          <w:lang w:val="en-IN"/>
        </w:rPr>
        <w:t xml:space="preserve">= </w:t>
      </w:r>
      <w:r w:rsidRPr="00C204C5">
        <w:rPr>
          <w:rFonts w:ascii="Arial" w:hAnsi="Arial" w:cs="Arial"/>
          <w:color w:val="000000" w:themeColor="text1"/>
          <w:lang w:val="en-IN"/>
        </w:rPr>
        <w:t>.05)’ and ‘</w:t>
      </w:r>
      <w:r w:rsidRPr="00C204C5">
        <w:rPr>
          <w:rFonts w:ascii="Arial" w:hAnsi="Arial" w:cs="Arial"/>
          <w:color w:val="000000" w:themeColor="text1"/>
          <w:shd w:val="clear" w:color="auto" w:fill="FFFFFF"/>
        </w:rPr>
        <w:t>annual income (</w:t>
      </w:r>
      <w:r w:rsidRPr="00C204C5">
        <w:rPr>
          <w:rFonts w:ascii="Arial" w:hAnsi="Arial" w:cs="Arial"/>
          <w:color w:val="000000" w:themeColor="text1"/>
          <w:shd w:val="clear" w:color="auto" w:fill="FFFFFF"/>
        </w:rPr>
        <w:sym w:font="Symbol" w:char="F063"/>
      </w:r>
      <w:r w:rsidRPr="00C204C5">
        <w:rPr>
          <w:rFonts w:ascii="Arial" w:hAnsi="Arial" w:cs="Arial"/>
          <w:color w:val="000000" w:themeColor="text1"/>
          <w:shd w:val="clear" w:color="auto" w:fill="FFFFFF"/>
          <w:vertAlign w:val="superscript"/>
        </w:rPr>
        <w:t>2</w:t>
      </w:r>
      <w:r w:rsidRPr="00C204C5">
        <w:rPr>
          <w:rFonts w:ascii="Arial" w:hAnsi="Arial" w:cs="Arial"/>
          <w:color w:val="000000" w:themeColor="text1"/>
          <w:lang w:val="en-IN"/>
        </w:rPr>
        <w:t xml:space="preserve">(2)= 19.744, </w:t>
      </w:r>
      <w:r w:rsidR="008A591F" w:rsidRPr="008A591F">
        <w:rPr>
          <w:rFonts w:ascii="Arial" w:hAnsi="Arial" w:cs="Arial"/>
          <w:i/>
          <w:iCs/>
          <w:color w:val="000000" w:themeColor="text1"/>
          <w:lang w:val="en-IN"/>
        </w:rPr>
        <w:t>P</w:t>
      </w:r>
      <w:r w:rsidR="008A591F">
        <w:rPr>
          <w:rFonts w:ascii="Arial" w:hAnsi="Arial" w:cs="Arial"/>
          <w:color w:val="000000" w:themeColor="text1"/>
          <w:lang w:val="en-IN"/>
        </w:rPr>
        <w:t xml:space="preserve">= </w:t>
      </w:r>
      <w:r w:rsidRPr="00C204C5">
        <w:rPr>
          <w:rFonts w:ascii="Arial" w:hAnsi="Arial" w:cs="Arial"/>
          <w:color w:val="000000" w:themeColor="text1"/>
          <w:lang w:val="en-IN"/>
        </w:rPr>
        <w:t>.01)’.</w:t>
      </w:r>
      <w:r>
        <w:rPr>
          <w:rFonts w:ascii="Arial" w:hAnsi="Arial" w:cs="Arial"/>
          <w:color w:val="000000" w:themeColor="text1"/>
          <w:lang w:val="en-IN"/>
        </w:rPr>
        <w:t xml:space="preserve"> </w:t>
      </w:r>
      <w:bookmarkStart w:id="6" w:name="_Hlk199167319"/>
      <w:r>
        <w:rPr>
          <w:rFonts w:ascii="Arial" w:hAnsi="Arial" w:cs="Arial"/>
          <w:color w:val="000000" w:themeColor="text1"/>
          <w:lang w:val="en-IN"/>
        </w:rPr>
        <w:t xml:space="preserve">It indicated that the </w:t>
      </w:r>
      <w:bookmarkStart w:id="7" w:name="_Hlk199260204"/>
      <w:r>
        <w:rPr>
          <w:rFonts w:ascii="Arial" w:hAnsi="Arial" w:cs="Arial"/>
          <w:color w:val="000000" w:themeColor="text1"/>
          <w:lang w:val="en-IN"/>
        </w:rPr>
        <w:t>factors like annual income, shop location, and type of shop ownership influenced the dealers and retailers towards pesticide business in the study area</w:t>
      </w:r>
      <w:bookmarkEnd w:id="7"/>
      <w:r>
        <w:rPr>
          <w:rFonts w:ascii="Arial" w:hAnsi="Arial" w:cs="Arial"/>
          <w:color w:val="000000" w:themeColor="text1"/>
          <w:lang w:val="en-IN"/>
        </w:rPr>
        <w:t>.</w:t>
      </w:r>
      <w:bookmarkEnd w:id="6"/>
    </w:p>
    <w:bookmarkEnd w:id="2"/>
    <w:bookmarkEnd w:id="5"/>
    <w:p w14:paraId="0BD925B5" w14:textId="77777777" w:rsidR="00D74D37" w:rsidRPr="00C204C5" w:rsidRDefault="00D74D37" w:rsidP="00D74D37">
      <w:pPr>
        <w:jc w:val="both"/>
        <w:rPr>
          <w:rFonts w:ascii="Arial" w:hAnsi="Arial" w:cs="Arial"/>
          <w:color w:val="000000" w:themeColor="text1"/>
          <w:lang w:val="en-IN"/>
        </w:rPr>
      </w:pPr>
    </w:p>
    <w:p w14:paraId="24885936" w14:textId="77777777" w:rsidR="00D74D37" w:rsidRPr="00C204C5" w:rsidRDefault="00D74D37" w:rsidP="00D74D37">
      <w:pPr>
        <w:jc w:val="both"/>
        <w:rPr>
          <w:rFonts w:ascii="Arial" w:hAnsi="Arial" w:cs="Arial"/>
          <w:b/>
          <w:bCs/>
          <w:color w:val="000000" w:themeColor="text1"/>
          <w:lang w:val="en-IN"/>
        </w:rPr>
      </w:pPr>
      <w:r>
        <w:rPr>
          <w:rFonts w:ascii="Arial" w:hAnsi="Arial" w:cs="Arial"/>
          <w:b/>
          <w:bCs/>
          <w:color w:val="000000" w:themeColor="text1"/>
          <w:lang w:val="en-IN"/>
        </w:rPr>
        <w:lastRenderedPageBreak/>
        <w:t xml:space="preserve">Objective 3. </w:t>
      </w:r>
      <w:r w:rsidRPr="00C204C5">
        <w:rPr>
          <w:rFonts w:ascii="Arial" w:hAnsi="Arial" w:cs="Arial"/>
          <w:b/>
          <w:bCs/>
          <w:color w:val="000000" w:themeColor="text1"/>
          <w:lang w:val="en-IN"/>
        </w:rPr>
        <w:t>To examine the factors influencing the business of bio-pesticides</w:t>
      </w:r>
    </w:p>
    <w:p w14:paraId="1DD338E6" w14:textId="77777777" w:rsidR="00D74D37" w:rsidRPr="00C204C5" w:rsidRDefault="00D74D37" w:rsidP="00D74D37">
      <w:pPr>
        <w:jc w:val="both"/>
        <w:rPr>
          <w:rFonts w:ascii="Arial" w:hAnsi="Arial" w:cs="Arial"/>
          <w:color w:val="000000" w:themeColor="text1"/>
          <w:lang w:val="en-IN"/>
        </w:rPr>
      </w:pPr>
    </w:p>
    <w:p w14:paraId="4B3A7F95" w14:textId="77777777" w:rsidR="00D74D37" w:rsidRPr="00C204C5" w:rsidRDefault="00D74D37" w:rsidP="00D74D37">
      <w:pPr>
        <w:ind w:firstLine="567"/>
        <w:jc w:val="both"/>
        <w:rPr>
          <w:rFonts w:ascii="Arial" w:hAnsi="Arial" w:cs="Arial"/>
        </w:rPr>
      </w:pPr>
      <w:r w:rsidRPr="00C204C5">
        <w:rPr>
          <w:rFonts w:ascii="Arial" w:hAnsi="Arial" w:cs="Arial"/>
          <w:color w:val="000000" w:themeColor="text1"/>
          <w:lang w:val="en-IN"/>
        </w:rPr>
        <w:t>For the analysis of the objective, major variables were identified with the help of literature review and were analysed with the help of different types of regression analysis viz. multiple linear regression and logistic (logit) regression.</w:t>
      </w:r>
      <w:r>
        <w:rPr>
          <w:rFonts w:ascii="Arial" w:hAnsi="Arial" w:cs="Arial"/>
          <w:color w:val="000000" w:themeColor="text1"/>
          <w:lang w:val="en-IN"/>
        </w:rPr>
        <w:t xml:space="preserve"> </w:t>
      </w:r>
      <w:r w:rsidRPr="00C204C5">
        <w:rPr>
          <w:rFonts w:ascii="Arial" w:hAnsi="Arial" w:cs="Arial"/>
        </w:rPr>
        <w:t>For the analysis, the continuous variables viz. ‘villages served (numbers)’, ‘average farmers served per day (numbers), ‘business age (years)’, ‘dealership of chemical pesticides-based companies (numbers)’ and dealership of bio-pesticides based companies (numbers)’ were taken into consideration. The continuous dependent variable was set to be ‘total annual turnover (lakhs)’. The multiple linear regression was found to be suitable for the analysis of the predictors determining the annual turnover.</w:t>
      </w:r>
    </w:p>
    <w:p w14:paraId="1E3D6188" w14:textId="77777777" w:rsidR="00D74D37" w:rsidRPr="00C204C5" w:rsidRDefault="00D74D37" w:rsidP="00D74D37">
      <w:pPr>
        <w:rPr>
          <w:rFonts w:ascii="Arial" w:hAnsi="Arial" w:cs="Arial"/>
          <w:b/>
          <w:bCs/>
        </w:rPr>
      </w:pPr>
    </w:p>
    <w:p w14:paraId="33D34F30" w14:textId="77777777" w:rsidR="00D74D37" w:rsidRPr="00C204C5" w:rsidRDefault="00D74D37" w:rsidP="00D74D37">
      <w:pPr>
        <w:rPr>
          <w:rFonts w:ascii="Arial" w:hAnsi="Arial" w:cs="Arial"/>
          <w:b/>
          <w:bCs/>
        </w:rPr>
      </w:pPr>
      <w:bookmarkStart w:id="8" w:name="_Hlk156137155"/>
      <w:r w:rsidRPr="00C204C5">
        <w:rPr>
          <w:rFonts w:ascii="Arial" w:hAnsi="Arial" w:cs="Arial"/>
          <w:b/>
          <w:bCs/>
        </w:rPr>
        <w:t xml:space="preserve">Table </w:t>
      </w:r>
      <w:r>
        <w:rPr>
          <w:rFonts w:ascii="Arial" w:hAnsi="Arial" w:cs="Arial"/>
          <w:b/>
          <w:bCs/>
        </w:rPr>
        <w:t>4</w:t>
      </w:r>
      <w:r w:rsidRPr="00C204C5">
        <w:rPr>
          <w:rFonts w:ascii="Arial" w:hAnsi="Arial" w:cs="Arial"/>
          <w:b/>
          <w:bCs/>
        </w:rPr>
        <w:t>. Predictors determining sale of bio-pesticides</w:t>
      </w:r>
    </w:p>
    <w:tbl>
      <w:tblPr>
        <w:tblStyle w:val="TableGrid"/>
        <w:tblW w:w="0" w:type="auto"/>
        <w:tblLayout w:type="fixed"/>
        <w:tblLook w:val="04A0" w:firstRow="1" w:lastRow="0" w:firstColumn="1" w:lastColumn="0" w:noHBand="0" w:noVBand="1"/>
      </w:tblPr>
      <w:tblGrid>
        <w:gridCol w:w="4390"/>
        <w:gridCol w:w="1275"/>
        <w:gridCol w:w="1134"/>
        <w:gridCol w:w="818"/>
        <w:gridCol w:w="1399"/>
      </w:tblGrid>
      <w:tr w:rsidR="00D74D37" w:rsidRPr="00C204C5" w14:paraId="417CA1C1" w14:textId="77777777" w:rsidTr="006516DA">
        <w:trPr>
          <w:trHeight w:val="20"/>
        </w:trPr>
        <w:tc>
          <w:tcPr>
            <w:tcW w:w="4390" w:type="dxa"/>
            <w:noWrap/>
            <w:vAlign w:val="center"/>
          </w:tcPr>
          <w:p w14:paraId="4C91A16E" w14:textId="77777777" w:rsidR="00D74D37" w:rsidRPr="00C204C5" w:rsidRDefault="00D74D37" w:rsidP="006516DA">
            <w:pPr>
              <w:jc w:val="center"/>
              <w:rPr>
                <w:rFonts w:ascii="Arial" w:hAnsi="Arial" w:cs="Arial"/>
                <w:sz w:val="20"/>
                <w:szCs w:val="20"/>
                <w:lang w:eastAsia="en-GB"/>
              </w:rPr>
            </w:pPr>
            <w:r w:rsidRPr="00C204C5">
              <w:rPr>
                <w:rFonts w:ascii="Arial" w:eastAsia="Times New Roman" w:hAnsi="Arial" w:cs="Arial"/>
                <w:b/>
                <w:bCs/>
                <w:color w:val="000000"/>
                <w:sz w:val="20"/>
                <w:szCs w:val="20"/>
                <w:lang w:eastAsia="en-GB"/>
              </w:rPr>
              <w:t>Variables</w:t>
            </w:r>
          </w:p>
        </w:tc>
        <w:tc>
          <w:tcPr>
            <w:tcW w:w="1275" w:type="dxa"/>
            <w:noWrap/>
            <w:vAlign w:val="center"/>
          </w:tcPr>
          <w:p w14:paraId="09EACD42" w14:textId="77777777" w:rsidR="00D74D37" w:rsidRPr="00C204C5" w:rsidRDefault="00D74D37" w:rsidP="006516DA">
            <w:pPr>
              <w:jc w:val="center"/>
              <w:rPr>
                <w:rFonts w:ascii="Arial" w:hAnsi="Arial" w:cs="Arial"/>
                <w:sz w:val="20"/>
                <w:szCs w:val="20"/>
                <w:lang w:eastAsia="en-GB"/>
              </w:rPr>
            </w:pPr>
            <w:r w:rsidRPr="00C204C5">
              <w:rPr>
                <w:rFonts w:ascii="Arial" w:eastAsia="Times New Roman" w:hAnsi="Arial" w:cs="Arial"/>
                <w:b/>
                <w:bCs/>
                <w:color w:val="000000"/>
                <w:sz w:val="20"/>
                <w:szCs w:val="20"/>
                <w:lang w:eastAsia="en-GB"/>
              </w:rPr>
              <w:t>Coefficient (β)</w:t>
            </w:r>
          </w:p>
        </w:tc>
        <w:tc>
          <w:tcPr>
            <w:tcW w:w="1134" w:type="dxa"/>
            <w:noWrap/>
            <w:vAlign w:val="center"/>
          </w:tcPr>
          <w:p w14:paraId="0FD11DB8" w14:textId="77777777" w:rsidR="00D74D37" w:rsidRPr="00C204C5" w:rsidRDefault="00D74D37" w:rsidP="006516DA">
            <w:pPr>
              <w:jc w:val="center"/>
              <w:rPr>
                <w:rFonts w:ascii="Arial" w:hAnsi="Arial" w:cs="Arial"/>
                <w:sz w:val="20"/>
                <w:szCs w:val="20"/>
                <w:lang w:eastAsia="en-GB"/>
              </w:rPr>
            </w:pPr>
            <w:r w:rsidRPr="00C204C5">
              <w:rPr>
                <w:rFonts w:ascii="Arial" w:eastAsia="Times New Roman" w:hAnsi="Arial" w:cs="Arial"/>
                <w:b/>
                <w:bCs/>
                <w:color w:val="000000"/>
                <w:sz w:val="20"/>
                <w:szCs w:val="20"/>
                <w:lang w:eastAsia="en-GB"/>
              </w:rPr>
              <w:t>Standard Error (β)</w:t>
            </w:r>
          </w:p>
        </w:tc>
        <w:tc>
          <w:tcPr>
            <w:tcW w:w="818" w:type="dxa"/>
            <w:noWrap/>
            <w:vAlign w:val="center"/>
          </w:tcPr>
          <w:p w14:paraId="646DCCEB" w14:textId="77777777" w:rsidR="00D74D37" w:rsidRPr="00C204C5" w:rsidRDefault="00D74D37" w:rsidP="006516DA">
            <w:pPr>
              <w:jc w:val="center"/>
              <w:rPr>
                <w:rFonts w:ascii="Arial" w:hAnsi="Arial" w:cs="Arial"/>
                <w:sz w:val="20"/>
                <w:szCs w:val="20"/>
                <w:lang w:eastAsia="en-GB"/>
              </w:rPr>
            </w:pPr>
            <w:r w:rsidRPr="00C204C5">
              <w:rPr>
                <w:rFonts w:ascii="Arial" w:eastAsia="Times New Roman" w:hAnsi="Arial" w:cs="Arial"/>
                <w:b/>
                <w:bCs/>
                <w:color w:val="000000"/>
                <w:sz w:val="20"/>
                <w:szCs w:val="20"/>
                <w:lang w:eastAsia="en-GB"/>
              </w:rPr>
              <w:t>t</w:t>
            </w:r>
          </w:p>
        </w:tc>
        <w:tc>
          <w:tcPr>
            <w:tcW w:w="1399" w:type="dxa"/>
            <w:noWrap/>
            <w:vAlign w:val="center"/>
          </w:tcPr>
          <w:p w14:paraId="635B5299" w14:textId="77777777" w:rsidR="00D74D37" w:rsidRPr="00C204C5" w:rsidRDefault="00D74D37" w:rsidP="006516DA">
            <w:pPr>
              <w:jc w:val="center"/>
              <w:rPr>
                <w:rFonts w:ascii="Arial" w:hAnsi="Arial" w:cs="Arial"/>
                <w:sz w:val="20"/>
                <w:szCs w:val="20"/>
                <w:lang w:eastAsia="en-GB"/>
              </w:rPr>
            </w:pPr>
            <w:r w:rsidRPr="00C204C5">
              <w:rPr>
                <w:rFonts w:ascii="Arial" w:eastAsia="Times New Roman" w:hAnsi="Arial" w:cs="Arial"/>
                <w:b/>
                <w:bCs/>
                <w:color w:val="000000"/>
                <w:sz w:val="20"/>
                <w:szCs w:val="20"/>
                <w:lang w:eastAsia="en-GB"/>
              </w:rPr>
              <w:t>Significance (p)</w:t>
            </w:r>
          </w:p>
        </w:tc>
      </w:tr>
      <w:tr w:rsidR="00D74D37" w:rsidRPr="00C204C5" w14:paraId="33EC9D77" w14:textId="77777777" w:rsidTr="006516DA">
        <w:trPr>
          <w:trHeight w:val="20"/>
        </w:trPr>
        <w:tc>
          <w:tcPr>
            <w:tcW w:w="4390" w:type="dxa"/>
            <w:noWrap/>
            <w:vAlign w:val="center"/>
            <w:hideMark/>
          </w:tcPr>
          <w:p w14:paraId="655651B6" w14:textId="77777777" w:rsidR="00D74D37" w:rsidRPr="00C204C5" w:rsidRDefault="00D74D37" w:rsidP="006516DA">
            <w:pPr>
              <w:rPr>
                <w:rFonts w:ascii="Arial" w:hAnsi="Arial" w:cs="Arial"/>
                <w:b/>
                <w:bCs/>
                <w:sz w:val="20"/>
                <w:szCs w:val="20"/>
                <w:lang w:eastAsia="en-GB"/>
              </w:rPr>
            </w:pPr>
            <w:r w:rsidRPr="00C204C5">
              <w:rPr>
                <w:rFonts w:ascii="Arial" w:hAnsi="Arial" w:cs="Arial"/>
                <w:b/>
                <w:bCs/>
                <w:sz w:val="20"/>
                <w:szCs w:val="20"/>
                <w:lang w:eastAsia="en-GB"/>
              </w:rPr>
              <w:t>Villages served (numbers)</w:t>
            </w:r>
          </w:p>
        </w:tc>
        <w:tc>
          <w:tcPr>
            <w:tcW w:w="1275" w:type="dxa"/>
            <w:noWrap/>
            <w:vAlign w:val="center"/>
            <w:hideMark/>
          </w:tcPr>
          <w:p w14:paraId="3B89A2D6"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0.188**</w:t>
            </w:r>
          </w:p>
        </w:tc>
        <w:tc>
          <w:tcPr>
            <w:tcW w:w="1134" w:type="dxa"/>
            <w:noWrap/>
            <w:vAlign w:val="center"/>
            <w:hideMark/>
          </w:tcPr>
          <w:p w14:paraId="2A38BEEA"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0.054</w:t>
            </w:r>
          </w:p>
        </w:tc>
        <w:tc>
          <w:tcPr>
            <w:tcW w:w="818" w:type="dxa"/>
            <w:noWrap/>
            <w:vAlign w:val="center"/>
            <w:hideMark/>
          </w:tcPr>
          <w:p w14:paraId="5E00E24F"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3.459</w:t>
            </w:r>
          </w:p>
        </w:tc>
        <w:tc>
          <w:tcPr>
            <w:tcW w:w="1399" w:type="dxa"/>
            <w:noWrap/>
            <w:vAlign w:val="center"/>
            <w:hideMark/>
          </w:tcPr>
          <w:p w14:paraId="62F6DF97"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0.005</w:t>
            </w:r>
          </w:p>
        </w:tc>
      </w:tr>
      <w:tr w:rsidR="00D74D37" w:rsidRPr="00C204C5" w14:paraId="63E4301E" w14:textId="77777777" w:rsidTr="006516DA">
        <w:trPr>
          <w:trHeight w:val="20"/>
        </w:trPr>
        <w:tc>
          <w:tcPr>
            <w:tcW w:w="4390" w:type="dxa"/>
            <w:noWrap/>
            <w:vAlign w:val="center"/>
            <w:hideMark/>
          </w:tcPr>
          <w:p w14:paraId="1761B081" w14:textId="77777777" w:rsidR="00D74D37" w:rsidRPr="00C204C5" w:rsidRDefault="00D74D37" w:rsidP="006516DA">
            <w:pPr>
              <w:rPr>
                <w:rFonts w:ascii="Arial" w:hAnsi="Arial" w:cs="Arial"/>
                <w:b/>
                <w:bCs/>
                <w:sz w:val="20"/>
                <w:szCs w:val="20"/>
                <w:lang w:eastAsia="en-GB"/>
              </w:rPr>
            </w:pPr>
            <w:r w:rsidRPr="00C204C5">
              <w:rPr>
                <w:rFonts w:ascii="Arial" w:hAnsi="Arial" w:cs="Arial"/>
                <w:b/>
                <w:bCs/>
                <w:sz w:val="20"/>
                <w:szCs w:val="20"/>
                <w:lang w:eastAsia="en-GB"/>
              </w:rPr>
              <w:t>Dealership of bio-pesticide based companies (numbers)</w:t>
            </w:r>
          </w:p>
        </w:tc>
        <w:tc>
          <w:tcPr>
            <w:tcW w:w="1275" w:type="dxa"/>
            <w:noWrap/>
            <w:vAlign w:val="center"/>
            <w:hideMark/>
          </w:tcPr>
          <w:p w14:paraId="19BD0947"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1.189*</w:t>
            </w:r>
          </w:p>
        </w:tc>
        <w:tc>
          <w:tcPr>
            <w:tcW w:w="1134" w:type="dxa"/>
            <w:noWrap/>
            <w:vAlign w:val="center"/>
            <w:hideMark/>
          </w:tcPr>
          <w:p w14:paraId="0419960E"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0.434</w:t>
            </w:r>
          </w:p>
        </w:tc>
        <w:tc>
          <w:tcPr>
            <w:tcW w:w="818" w:type="dxa"/>
            <w:noWrap/>
            <w:vAlign w:val="center"/>
            <w:hideMark/>
          </w:tcPr>
          <w:p w14:paraId="649E3F78"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2.739</w:t>
            </w:r>
          </w:p>
        </w:tc>
        <w:tc>
          <w:tcPr>
            <w:tcW w:w="1399" w:type="dxa"/>
            <w:noWrap/>
            <w:vAlign w:val="center"/>
            <w:hideMark/>
          </w:tcPr>
          <w:p w14:paraId="25F5DB20"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0.018</w:t>
            </w:r>
          </w:p>
        </w:tc>
      </w:tr>
      <w:tr w:rsidR="00D74D37" w:rsidRPr="00C204C5" w14:paraId="0ADC4EE9" w14:textId="77777777" w:rsidTr="006516DA">
        <w:trPr>
          <w:trHeight w:val="20"/>
        </w:trPr>
        <w:tc>
          <w:tcPr>
            <w:tcW w:w="4390" w:type="dxa"/>
            <w:noWrap/>
            <w:vAlign w:val="center"/>
            <w:hideMark/>
          </w:tcPr>
          <w:p w14:paraId="4416D267" w14:textId="77777777" w:rsidR="00D74D37" w:rsidRPr="00C204C5" w:rsidRDefault="00D74D37" w:rsidP="006516DA">
            <w:pPr>
              <w:rPr>
                <w:rFonts w:ascii="Arial" w:hAnsi="Arial" w:cs="Arial"/>
                <w:b/>
                <w:bCs/>
                <w:sz w:val="20"/>
                <w:szCs w:val="20"/>
                <w:lang w:eastAsia="en-GB"/>
              </w:rPr>
            </w:pPr>
            <w:r w:rsidRPr="00C204C5">
              <w:rPr>
                <w:rFonts w:ascii="Arial" w:hAnsi="Arial" w:cs="Arial"/>
                <w:b/>
                <w:bCs/>
                <w:sz w:val="20"/>
                <w:szCs w:val="20"/>
                <w:lang w:eastAsia="en-GB"/>
              </w:rPr>
              <w:t>Credit period for farmers (days)</w:t>
            </w:r>
          </w:p>
        </w:tc>
        <w:tc>
          <w:tcPr>
            <w:tcW w:w="1275" w:type="dxa"/>
            <w:noWrap/>
            <w:vAlign w:val="center"/>
            <w:hideMark/>
          </w:tcPr>
          <w:p w14:paraId="3A929BA6"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-0.031*</w:t>
            </w:r>
          </w:p>
        </w:tc>
        <w:tc>
          <w:tcPr>
            <w:tcW w:w="1134" w:type="dxa"/>
            <w:noWrap/>
            <w:vAlign w:val="center"/>
            <w:hideMark/>
          </w:tcPr>
          <w:p w14:paraId="256A0E2A"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0.015</w:t>
            </w:r>
          </w:p>
        </w:tc>
        <w:tc>
          <w:tcPr>
            <w:tcW w:w="818" w:type="dxa"/>
            <w:noWrap/>
            <w:vAlign w:val="center"/>
            <w:hideMark/>
          </w:tcPr>
          <w:p w14:paraId="70AE3972"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-2.093</w:t>
            </w:r>
          </w:p>
        </w:tc>
        <w:tc>
          <w:tcPr>
            <w:tcW w:w="1399" w:type="dxa"/>
            <w:noWrap/>
            <w:vAlign w:val="center"/>
            <w:hideMark/>
          </w:tcPr>
          <w:p w14:paraId="66DEC299" w14:textId="77777777" w:rsidR="00D74D37" w:rsidRPr="00C204C5" w:rsidRDefault="00D74D37" w:rsidP="006516DA">
            <w:pPr>
              <w:jc w:val="right"/>
              <w:rPr>
                <w:rFonts w:ascii="Arial" w:hAnsi="Arial" w:cs="Arial"/>
                <w:b/>
                <w:bCs/>
                <w:sz w:val="20"/>
                <w:szCs w:val="20"/>
                <w:lang w:eastAsia="en-GB"/>
              </w:rPr>
            </w:pPr>
            <w:r w:rsidRPr="00C204C5">
              <w:rPr>
                <w:rFonts w:ascii="Arial" w:hAnsi="Arial" w:cs="Arial"/>
                <w:b/>
                <w:bCs/>
                <w:sz w:val="20"/>
                <w:szCs w:val="20"/>
                <w:lang w:eastAsia="en-GB"/>
              </w:rPr>
              <w:t>0.048</w:t>
            </w:r>
          </w:p>
        </w:tc>
      </w:tr>
      <w:tr w:rsidR="00D74D37" w:rsidRPr="00C204C5" w14:paraId="48332777" w14:textId="77777777" w:rsidTr="006516DA">
        <w:trPr>
          <w:trHeight w:val="20"/>
        </w:trPr>
        <w:tc>
          <w:tcPr>
            <w:tcW w:w="4390" w:type="dxa"/>
            <w:noWrap/>
            <w:vAlign w:val="center"/>
            <w:hideMark/>
          </w:tcPr>
          <w:p w14:paraId="40CC06A1"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Competitors within 10km radius (numbers)</w:t>
            </w:r>
          </w:p>
        </w:tc>
        <w:tc>
          <w:tcPr>
            <w:tcW w:w="1275" w:type="dxa"/>
            <w:noWrap/>
            <w:vAlign w:val="center"/>
            <w:hideMark/>
          </w:tcPr>
          <w:p w14:paraId="6E271AFD"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-0.268</w:t>
            </w:r>
            <w:r w:rsidRPr="00C204C5">
              <w:rPr>
                <w:rFonts w:ascii="Arial" w:hAnsi="Arial" w:cs="Arial"/>
                <w:sz w:val="20"/>
                <w:szCs w:val="20"/>
                <w:vertAlign w:val="superscript"/>
                <w:lang w:eastAsia="en-GB"/>
              </w:rPr>
              <w:t>NS</w:t>
            </w:r>
          </w:p>
        </w:tc>
        <w:tc>
          <w:tcPr>
            <w:tcW w:w="1134" w:type="dxa"/>
            <w:noWrap/>
            <w:vAlign w:val="center"/>
            <w:hideMark/>
          </w:tcPr>
          <w:p w14:paraId="6D434734"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0.153</w:t>
            </w:r>
          </w:p>
        </w:tc>
        <w:tc>
          <w:tcPr>
            <w:tcW w:w="818" w:type="dxa"/>
            <w:noWrap/>
            <w:vAlign w:val="center"/>
            <w:hideMark/>
          </w:tcPr>
          <w:p w14:paraId="490F9A4A"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-1.751</w:t>
            </w:r>
          </w:p>
        </w:tc>
        <w:tc>
          <w:tcPr>
            <w:tcW w:w="1399" w:type="dxa"/>
            <w:noWrap/>
            <w:vAlign w:val="center"/>
            <w:hideMark/>
          </w:tcPr>
          <w:p w14:paraId="769EE138"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0.105</w:t>
            </w:r>
          </w:p>
        </w:tc>
      </w:tr>
      <w:tr w:rsidR="00D74D37" w:rsidRPr="00C204C5" w14:paraId="549B8156" w14:textId="77777777" w:rsidTr="006516DA">
        <w:trPr>
          <w:trHeight w:val="20"/>
        </w:trPr>
        <w:tc>
          <w:tcPr>
            <w:tcW w:w="4390" w:type="dxa"/>
            <w:noWrap/>
            <w:vAlign w:val="center"/>
            <w:hideMark/>
          </w:tcPr>
          <w:p w14:paraId="6D7DDF76"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Dealership of Indian companies (numbers)</w:t>
            </w:r>
          </w:p>
        </w:tc>
        <w:tc>
          <w:tcPr>
            <w:tcW w:w="1275" w:type="dxa"/>
            <w:noWrap/>
            <w:vAlign w:val="center"/>
            <w:hideMark/>
          </w:tcPr>
          <w:p w14:paraId="10F2ACE7"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0.173</w:t>
            </w:r>
            <w:r w:rsidRPr="00C204C5">
              <w:rPr>
                <w:rFonts w:ascii="Arial" w:hAnsi="Arial" w:cs="Arial"/>
                <w:sz w:val="20"/>
                <w:szCs w:val="20"/>
                <w:vertAlign w:val="superscript"/>
                <w:lang w:eastAsia="en-GB"/>
              </w:rPr>
              <w:t xml:space="preserve"> NS</w:t>
            </w:r>
          </w:p>
        </w:tc>
        <w:tc>
          <w:tcPr>
            <w:tcW w:w="1134" w:type="dxa"/>
            <w:noWrap/>
            <w:vAlign w:val="center"/>
            <w:hideMark/>
          </w:tcPr>
          <w:p w14:paraId="48DFD749"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0.163</w:t>
            </w:r>
          </w:p>
        </w:tc>
        <w:tc>
          <w:tcPr>
            <w:tcW w:w="818" w:type="dxa"/>
            <w:noWrap/>
            <w:vAlign w:val="center"/>
            <w:hideMark/>
          </w:tcPr>
          <w:p w14:paraId="4E52DC4B"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1.062</w:t>
            </w:r>
          </w:p>
        </w:tc>
        <w:tc>
          <w:tcPr>
            <w:tcW w:w="1399" w:type="dxa"/>
            <w:noWrap/>
            <w:vAlign w:val="center"/>
            <w:hideMark/>
          </w:tcPr>
          <w:p w14:paraId="5BD9FBBE"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0.309</w:t>
            </w:r>
          </w:p>
        </w:tc>
      </w:tr>
      <w:tr w:rsidR="00D74D37" w:rsidRPr="00C204C5" w14:paraId="055EA63B" w14:textId="77777777" w:rsidTr="006516DA">
        <w:trPr>
          <w:trHeight w:val="20"/>
        </w:trPr>
        <w:tc>
          <w:tcPr>
            <w:tcW w:w="4390" w:type="dxa"/>
            <w:noWrap/>
            <w:vAlign w:val="center"/>
            <w:hideMark/>
          </w:tcPr>
          <w:p w14:paraId="6CBDADDC"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Business age (years)</w:t>
            </w:r>
          </w:p>
        </w:tc>
        <w:tc>
          <w:tcPr>
            <w:tcW w:w="1275" w:type="dxa"/>
            <w:noWrap/>
            <w:vAlign w:val="center"/>
            <w:hideMark/>
          </w:tcPr>
          <w:p w14:paraId="43C3C729"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-0.048</w:t>
            </w:r>
            <w:r w:rsidRPr="00C204C5">
              <w:rPr>
                <w:rFonts w:ascii="Arial" w:hAnsi="Arial" w:cs="Arial"/>
                <w:sz w:val="20"/>
                <w:szCs w:val="20"/>
                <w:vertAlign w:val="superscript"/>
                <w:lang w:eastAsia="en-GB"/>
              </w:rPr>
              <w:t xml:space="preserve"> NS</w:t>
            </w:r>
          </w:p>
        </w:tc>
        <w:tc>
          <w:tcPr>
            <w:tcW w:w="1134" w:type="dxa"/>
            <w:noWrap/>
            <w:vAlign w:val="center"/>
            <w:hideMark/>
          </w:tcPr>
          <w:p w14:paraId="48BC3BA6"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0.052</w:t>
            </w:r>
          </w:p>
        </w:tc>
        <w:tc>
          <w:tcPr>
            <w:tcW w:w="818" w:type="dxa"/>
            <w:noWrap/>
            <w:vAlign w:val="center"/>
            <w:hideMark/>
          </w:tcPr>
          <w:p w14:paraId="78491B47"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-0.924</w:t>
            </w:r>
          </w:p>
        </w:tc>
        <w:tc>
          <w:tcPr>
            <w:tcW w:w="1399" w:type="dxa"/>
            <w:noWrap/>
            <w:vAlign w:val="center"/>
            <w:hideMark/>
          </w:tcPr>
          <w:p w14:paraId="27A87A0A"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0.374</w:t>
            </w:r>
          </w:p>
        </w:tc>
      </w:tr>
      <w:tr w:rsidR="00D74D37" w:rsidRPr="00C204C5" w14:paraId="779497B6" w14:textId="77777777" w:rsidTr="006516DA">
        <w:trPr>
          <w:trHeight w:val="20"/>
        </w:trPr>
        <w:tc>
          <w:tcPr>
            <w:tcW w:w="4390" w:type="dxa"/>
            <w:noWrap/>
            <w:vAlign w:val="center"/>
            <w:hideMark/>
          </w:tcPr>
          <w:p w14:paraId="1B1BDBAF"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Average farmers served in Rabi season (numbers)</w:t>
            </w:r>
          </w:p>
        </w:tc>
        <w:tc>
          <w:tcPr>
            <w:tcW w:w="1275" w:type="dxa"/>
            <w:noWrap/>
            <w:vAlign w:val="center"/>
            <w:hideMark/>
          </w:tcPr>
          <w:p w14:paraId="16C78F89"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0.048</w:t>
            </w:r>
            <w:r w:rsidRPr="00C204C5">
              <w:rPr>
                <w:rFonts w:ascii="Arial" w:hAnsi="Arial" w:cs="Arial"/>
                <w:sz w:val="20"/>
                <w:szCs w:val="20"/>
                <w:vertAlign w:val="superscript"/>
                <w:lang w:eastAsia="en-GB"/>
              </w:rPr>
              <w:t xml:space="preserve"> NS</w:t>
            </w:r>
          </w:p>
        </w:tc>
        <w:tc>
          <w:tcPr>
            <w:tcW w:w="1134" w:type="dxa"/>
            <w:noWrap/>
            <w:vAlign w:val="center"/>
            <w:hideMark/>
          </w:tcPr>
          <w:p w14:paraId="00DA2EC6"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0.084</w:t>
            </w:r>
          </w:p>
        </w:tc>
        <w:tc>
          <w:tcPr>
            <w:tcW w:w="818" w:type="dxa"/>
            <w:noWrap/>
            <w:vAlign w:val="center"/>
            <w:hideMark/>
          </w:tcPr>
          <w:p w14:paraId="4D4117A7"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0.577</w:t>
            </w:r>
          </w:p>
        </w:tc>
        <w:tc>
          <w:tcPr>
            <w:tcW w:w="1399" w:type="dxa"/>
            <w:noWrap/>
            <w:vAlign w:val="center"/>
            <w:hideMark/>
          </w:tcPr>
          <w:p w14:paraId="55354493"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0.574</w:t>
            </w:r>
          </w:p>
        </w:tc>
      </w:tr>
      <w:tr w:rsidR="00D74D37" w:rsidRPr="00C204C5" w14:paraId="681B97C4" w14:textId="77777777" w:rsidTr="006516DA">
        <w:trPr>
          <w:trHeight w:val="20"/>
        </w:trPr>
        <w:tc>
          <w:tcPr>
            <w:tcW w:w="4390" w:type="dxa"/>
            <w:noWrap/>
            <w:vAlign w:val="center"/>
            <w:hideMark/>
          </w:tcPr>
          <w:p w14:paraId="1A8D18EE"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Average farmers served per day (numbers)</w:t>
            </w:r>
          </w:p>
        </w:tc>
        <w:tc>
          <w:tcPr>
            <w:tcW w:w="1275" w:type="dxa"/>
            <w:noWrap/>
            <w:vAlign w:val="center"/>
            <w:hideMark/>
          </w:tcPr>
          <w:p w14:paraId="32022706"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0.042</w:t>
            </w:r>
            <w:r w:rsidRPr="00C204C5">
              <w:rPr>
                <w:rFonts w:ascii="Arial" w:hAnsi="Arial" w:cs="Arial"/>
                <w:sz w:val="20"/>
                <w:szCs w:val="20"/>
                <w:vertAlign w:val="superscript"/>
                <w:lang w:eastAsia="en-GB"/>
              </w:rPr>
              <w:t xml:space="preserve"> NS</w:t>
            </w:r>
          </w:p>
        </w:tc>
        <w:tc>
          <w:tcPr>
            <w:tcW w:w="1134" w:type="dxa"/>
            <w:noWrap/>
            <w:vAlign w:val="center"/>
            <w:hideMark/>
          </w:tcPr>
          <w:p w14:paraId="179FCC60"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0.076</w:t>
            </w:r>
          </w:p>
        </w:tc>
        <w:tc>
          <w:tcPr>
            <w:tcW w:w="818" w:type="dxa"/>
            <w:noWrap/>
            <w:vAlign w:val="center"/>
            <w:hideMark/>
          </w:tcPr>
          <w:p w14:paraId="68704561"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0.552</w:t>
            </w:r>
          </w:p>
        </w:tc>
        <w:tc>
          <w:tcPr>
            <w:tcW w:w="1399" w:type="dxa"/>
            <w:noWrap/>
            <w:vAlign w:val="center"/>
            <w:hideMark/>
          </w:tcPr>
          <w:p w14:paraId="36229785"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0.591</w:t>
            </w:r>
          </w:p>
        </w:tc>
      </w:tr>
      <w:tr w:rsidR="00D74D37" w:rsidRPr="00C204C5" w14:paraId="5A8C5FAC" w14:textId="77777777" w:rsidTr="006516DA">
        <w:trPr>
          <w:trHeight w:val="20"/>
        </w:trPr>
        <w:tc>
          <w:tcPr>
            <w:tcW w:w="4390" w:type="dxa"/>
            <w:noWrap/>
            <w:vAlign w:val="center"/>
            <w:hideMark/>
          </w:tcPr>
          <w:p w14:paraId="059A1ADD"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Average farmers served in Kharif season (numbers)</w:t>
            </w:r>
          </w:p>
        </w:tc>
        <w:tc>
          <w:tcPr>
            <w:tcW w:w="1275" w:type="dxa"/>
            <w:noWrap/>
            <w:vAlign w:val="center"/>
            <w:hideMark/>
          </w:tcPr>
          <w:p w14:paraId="04054FE7"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-0.043</w:t>
            </w:r>
            <w:r w:rsidRPr="00C204C5">
              <w:rPr>
                <w:rFonts w:ascii="Arial" w:hAnsi="Arial" w:cs="Arial"/>
                <w:sz w:val="20"/>
                <w:szCs w:val="20"/>
                <w:vertAlign w:val="superscript"/>
                <w:lang w:eastAsia="en-GB"/>
              </w:rPr>
              <w:t xml:space="preserve"> NS</w:t>
            </w:r>
          </w:p>
        </w:tc>
        <w:tc>
          <w:tcPr>
            <w:tcW w:w="1134" w:type="dxa"/>
            <w:noWrap/>
            <w:vAlign w:val="center"/>
            <w:hideMark/>
          </w:tcPr>
          <w:p w14:paraId="5AD70C8F"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0.080</w:t>
            </w:r>
          </w:p>
        </w:tc>
        <w:tc>
          <w:tcPr>
            <w:tcW w:w="818" w:type="dxa"/>
            <w:noWrap/>
            <w:vAlign w:val="center"/>
            <w:hideMark/>
          </w:tcPr>
          <w:p w14:paraId="0709BA45"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-0.530</w:t>
            </w:r>
          </w:p>
        </w:tc>
        <w:tc>
          <w:tcPr>
            <w:tcW w:w="1399" w:type="dxa"/>
            <w:noWrap/>
            <w:vAlign w:val="center"/>
            <w:hideMark/>
          </w:tcPr>
          <w:p w14:paraId="1B3BA742"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0.606</w:t>
            </w:r>
          </w:p>
        </w:tc>
      </w:tr>
      <w:tr w:rsidR="00D74D37" w:rsidRPr="00C204C5" w14:paraId="716481CF" w14:textId="77777777" w:rsidTr="006516DA">
        <w:trPr>
          <w:trHeight w:val="20"/>
        </w:trPr>
        <w:tc>
          <w:tcPr>
            <w:tcW w:w="4390" w:type="dxa"/>
            <w:noWrap/>
            <w:vAlign w:val="center"/>
            <w:hideMark/>
          </w:tcPr>
          <w:p w14:paraId="563F3B60"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Dealership of chemical pesticide-based companies (numbers)</w:t>
            </w:r>
          </w:p>
        </w:tc>
        <w:tc>
          <w:tcPr>
            <w:tcW w:w="1275" w:type="dxa"/>
            <w:noWrap/>
            <w:vAlign w:val="center"/>
            <w:hideMark/>
          </w:tcPr>
          <w:p w14:paraId="52D5AF4F"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0.082</w:t>
            </w:r>
            <w:r w:rsidRPr="00C204C5">
              <w:rPr>
                <w:rFonts w:ascii="Arial" w:hAnsi="Arial" w:cs="Arial"/>
                <w:sz w:val="20"/>
                <w:szCs w:val="20"/>
                <w:vertAlign w:val="superscript"/>
                <w:lang w:eastAsia="en-GB"/>
              </w:rPr>
              <w:t xml:space="preserve"> NS</w:t>
            </w:r>
          </w:p>
        </w:tc>
        <w:tc>
          <w:tcPr>
            <w:tcW w:w="1134" w:type="dxa"/>
            <w:noWrap/>
            <w:vAlign w:val="center"/>
            <w:hideMark/>
          </w:tcPr>
          <w:p w14:paraId="6AB356F1"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0.259</w:t>
            </w:r>
          </w:p>
        </w:tc>
        <w:tc>
          <w:tcPr>
            <w:tcW w:w="818" w:type="dxa"/>
            <w:noWrap/>
            <w:vAlign w:val="center"/>
            <w:hideMark/>
          </w:tcPr>
          <w:p w14:paraId="7D1B554E"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0.318</w:t>
            </w:r>
          </w:p>
        </w:tc>
        <w:tc>
          <w:tcPr>
            <w:tcW w:w="1399" w:type="dxa"/>
            <w:noWrap/>
            <w:vAlign w:val="center"/>
            <w:hideMark/>
          </w:tcPr>
          <w:p w14:paraId="1CA497E9"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0.756</w:t>
            </w:r>
          </w:p>
        </w:tc>
      </w:tr>
      <w:tr w:rsidR="00D74D37" w:rsidRPr="00C204C5" w14:paraId="315CA0B6" w14:textId="77777777" w:rsidTr="006516DA">
        <w:trPr>
          <w:trHeight w:val="20"/>
        </w:trPr>
        <w:tc>
          <w:tcPr>
            <w:tcW w:w="4390" w:type="dxa"/>
            <w:noWrap/>
            <w:vAlign w:val="center"/>
            <w:hideMark/>
          </w:tcPr>
          <w:p w14:paraId="37D4DCEF"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Manpower at shop (numbers)</w:t>
            </w:r>
          </w:p>
        </w:tc>
        <w:tc>
          <w:tcPr>
            <w:tcW w:w="1275" w:type="dxa"/>
            <w:noWrap/>
            <w:vAlign w:val="center"/>
            <w:hideMark/>
          </w:tcPr>
          <w:p w14:paraId="7C2C84AD"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0.118</w:t>
            </w:r>
            <w:r w:rsidRPr="00C204C5">
              <w:rPr>
                <w:rFonts w:ascii="Arial" w:hAnsi="Arial" w:cs="Arial"/>
                <w:sz w:val="20"/>
                <w:szCs w:val="20"/>
                <w:vertAlign w:val="superscript"/>
                <w:lang w:eastAsia="en-GB"/>
              </w:rPr>
              <w:t xml:space="preserve"> NS</w:t>
            </w:r>
          </w:p>
        </w:tc>
        <w:tc>
          <w:tcPr>
            <w:tcW w:w="1134" w:type="dxa"/>
            <w:noWrap/>
            <w:vAlign w:val="center"/>
            <w:hideMark/>
          </w:tcPr>
          <w:p w14:paraId="52EAE878"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0.398</w:t>
            </w:r>
          </w:p>
        </w:tc>
        <w:tc>
          <w:tcPr>
            <w:tcW w:w="818" w:type="dxa"/>
            <w:noWrap/>
            <w:vAlign w:val="center"/>
            <w:hideMark/>
          </w:tcPr>
          <w:p w14:paraId="18E514BE"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0.296</w:t>
            </w:r>
          </w:p>
        </w:tc>
        <w:tc>
          <w:tcPr>
            <w:tcW w:w="1399" w:type="dxa"/>
            <w:noWrap/>
            <w:vAlign w:val="center"/>
            <w:hideMark/>
          </w:tcPr>
          <w:p w14:paraId="27598C00"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0.772</w:t>
            </w:r>
          </w:p>
        </w:tc>
      </w:tr>
      <w:tr w:rsidR="00D74D37" w:rsidRPr="00C204C5" w14:paraId="6603A277" w14:textId="77777777" w:rsidTr="006516DA">
        <w:trPr>
          <w:trHeight w:val="20"/>
        </w:trPr>
        <w:tc>
          <w:tcPr>
            <w:tcW w:w="4390" w:type="dxa"/>
            <w:noWrap/>
            <w:vAlign w:val="center"/>
            <w:hideMark/>
          </w:tcPr>
          <w:p w14:paraId="498E2F3F"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Dealerships of MNCs (numbers)</w:t>
            </w:r>
          </w:p>
        </w:tc>
        <w:tc>
          <w:tcPr>
            <w:tcW w:w="1275" w:type="dxa"/>
            <w:noWrap/>
            <w:vAlign w:val="center"/>
            <w:hideMark/>
          </w:tcPr>
          <w:p w14:paraId="6EB76883"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-0.226</w:t>
            </w:r>
            <w:r w:rsidRPr="00C204C5">
              <w:rPr>
                <w:rFonts w:ascii="Arial" w:hAnsi="Arial" w:cs="Arial"/>
                <w:sz w:val="20"/>
                <w:szCs w:val="20"/>
                <w:vertAlign w:val="superscript"/>
                <w:lang w:eastAsia="en-GB"/>
              </w:rPr>
              <w:t xml:space="preserve"> NS</w:t>
            </w:r>
          </w:p>
        </w:tc>
        <w:tc>
          <w:tcPr>
            <w:tcW w:w="1134" w:type="dxa"/>
            <w:noWrap/>
            <w:vAlign w:val="center"/>
            <w:hideMark/>
          </w:tcPr>
          <w:p w14:paraId="0D31679F"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0.901</w:t>
            </w:r>
          </w:p>
        </w:tc>
        <w:tc>
          <w:tcPr>
            <w:tcW w:w="818" w:type="dxa"/>
            <w:noWrap/>
            <w:vAlign w:val="center"/>
            <w:hideMark/>
          </w:tcPr>
          <w:p w14:paraId="3B610652"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-0.251</w:t>
            </w:r>
          </w:p>
        </w:tc>
        <w:tc>
          <w:tcPr>
            <w:tcW w:w="1399" w:type="dxa"/>
            <w:noWrap/>
            <w:vAlign w:val="center"/>
            <w:hideMark/>
          </w:tcPr>
          <w:p w14:paraId="143C3D2D"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0.806</w:t>
            </w:r>
          </w:p>
        </w:tc>
      </w:tr>
      <w:tr w:rsidR="00D74D37" w:rsidRPr="00C204C5" w14:paraId="2DDF067A" w14:textId="77777777" w:rsidTr="006516DA">
        <w:trPr>
          <w:trHeight w:val="20"/>
        </w:trPr>
        <w:tc>
          <w:tcPr>
            <w:tcW w:w="4390" w:type="dxa"/>
            <w:noWrap/>
            <w:vAlign w:val="center"/>
            <w:hideMark/>
          </w:tcPr>
          <w:p w14:paraId="347C9522"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Average farmers served in Summer season (numbers)</w:t>
            </w:r>
          </w:p>
        </w:tc>
        <w:tc>
          <w:tcPr>
            <w:tcW w:w="1275" w:type="dxa"/>
            <w:noWrap/>
            <w:vAlign w:val="center"/>
            <w:hideMark/>
          </w:tcPr>
          <w:p w14:paraId="2A721464"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-0.011</w:t>
            </w:r>
            <w:r w:rsidRPr="00C204C5">
              <w:rPr>
                <w:rFonts w:ascii="Arial" w:hAnsi="Arial" w:cs="Arial"/>
                <w:sz w:val="20"/>
                <w:szCs w:val="20"/>
                <w:vertAlign w:val="superscript"/>
                <w:lang w:eastAsia="en-GB"/>
              </w:rPr>
              <w:t xml:space="preserve"> NS</w:t>
            </w:r>
          </w:p>
        </w:tc>
        <w:tc>
          <w:tcPr>
            <w:tcW w:w="1134" w:type="dxa"/>
            <w:noWrap/>
            <w:vAlign w:val="center"/>
            <w:hideMark/>
          </w:tcPr>
          <w:p w14:paraId="75850E67"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0.103</w:t>
            </w:r>
          </w:p>
        </w:tc>
        <w:tc>
          <w:tcPr>
            <w:tcW w:w="818" w:type="dxa"/>
            <w:noWrap/>
            <w:vAlign w:val="center"/>
            <w:hideMark/>
          </w:tcPr>
          <w:p w14:paraId="0C86699A"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-0.106</w:t>
            </w:r>
          </w:p>
        </w:tc>
        <w:tc>
          <w:tcPr>
            <w:tcW w:w="1399" w:type="dxa"/>
            <w:noWrap/>
            <w:vAlign w:val="center"/>
            <w:hideMark/>
          </w:tcPr>
          <w:p w14:paraId="1B8DE6E1"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0.918</w:t>
            </w:r>
          </w:p>
        </w:tc>
      </w:tr>
      <w:tr w:rsidR="00D74D37" w:rsidRPr="00C204C5" w14:paraId="3801E9F5" w14:textId="77777777" w:rsidTr="006516DA">
        <w:trPr>
          <w:trHeight w:val="20"/>
        </w:trPr>
        <w:tc>
          <w:tcPr>
            <w:tcW w:w="4390" w:type="dxa"/>
            <w:noWrap/>
            <w:vAlign w:val="center"/>
            <w:hideMark/>
          </w:tcPr>
          <w:p w14:paraId="60084DC3" w14:textId="77777777" w:rsidR="00D74D37" w:rsidRPr="00C204C5" w:rsidRDefault="00D74D37" w:rsidP="006516DA">
            <w:pPr>
              <w:rPr>
                <w:rFonts w:ascii="Arial" w:hAnsi="Arial" w:cs="Arial"/>
                <w:sz w:val="20"/>
                <w:szCs w:val="20"/>
                <w:lang w:eastAsia="en-GB"/>
              </w:rPr>
            </w:pPr>
            <w:proofErr w:type="spellStart"/>
            <w:r w:rsidRPr="00C204C5">
              <w:rPr>
                <w:rFonts w:ascii="Arial" w:hAnsi="Arial" w:cs="Arial"/>
                <w:sz w:val="20"/>
                <w:szCs w:val="20"/>
                <w:lang w:eastAsia="en-GB"/>
              </w:rPr>
              <w:t>Godown</w:t>
            </w:r>
            <w:proofErr w:type="spellEnd"/>
            <w:r w:rsidRPr="00C204C5">
              <w:rPr>
                <w:rFonts w:ascii="Arial" w:hAnsi="Arial" w:cs="Arial"/>
                <w:sz w:val="20"/>
                <w:szCs w:val="20"/>
                <w:lang w:eastAsia="en-GB"/>
              </w:rPr>
              <w:t xml:space="preserve"> capacity (</w:t>
            </w:r>
            <w:proofErr w:type="spellStart"/>
            <w:r w:rsidRPr="00C204C5">
              <w:rPr>
                <w:rFonts w:ascii="Arial" w:hAnsi="Arial" w:cs="Arial"/>
                <w:sz w:val="20"/>
                <w:szCs w:val="20"/>
                <w:lang w:eastAsia="en-GB"/>
              </w:rPr>
              <w:t>tonnes</w:t>
            </w:r>
            <w:proofErr w:type="spellEnd"/>
            <w:r w:rsidRPr="00C204C5">
              <w:rPr>
                <w:rFonts w:ascii="Arial" w:hAnsi="Arial" w:cs="Arial"/>
                <w:sz w:val="20"/>
                <w:szCs w:val="20"/>
                <w:lang w:eastAsia="en-GB"/>
              </w:rPr>
              <w:t>)</w:t>
            </w:r>
          </w:p>
        </w:tc>
        <w:tc>
          <w:tcPr>
            <w:tcW w:w="1275" w:type="dxa"/>
            <w:noWrap/>
            <w:vAlign w:val="center"/>
            <w:hideMark/>
          </w:tcPr>
          <w:p w14:paraId="399C0AB5"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0.001</w:t>
            </w:r>
            <w:r w:rsidRPr="00C204C5">
              <w:rPr>
                <w:rFonts w:ascii="Arial" w:hAnsi="Arial" w:cs="Arial"/>
                <w:sz w:val="20"/>
                <w:szCs w:val="20"/>
                <w:vertAlign w:val="superscript"/>
                <w:lang w:eastAsia="en-GB"/>
              </w:rPr>
              <w:t xml:space="preserve"> NS</w:t>
            </w:r>
          </w:p>
        </w:tc>
        <w:tc>
          <w:tcPr>
            <w:tcW w:w="1134" w:type="dxa"/>
            <w:noWrap/>
            <w:vAlign w:val="center"/>
            <w:hideMark/>
          </w:tcPr>
          <w:p w14:paraId="32538591"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0.035</w:t>
            </w:r>
          </w:p>
        </w:tc>
        <w:tc>
          <w:tcPr>
            <w:tcW w:w="818" w:type="dxa"/>
            <w:noWrap/>
            <w:vAlign w:val="center"/>
            <w:hideMark/>
          </w:tcPr>
          <w:p w14:paraId="4937CDEA"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0.028</w:t>
            </w:r>
          </w:p>
        </w:tc>
        <w:tc>
          <w:tcPr>
            <w:tcW w:w="1399" w:type="dxa"/>
            <w:noWrap/>
            <w:vAlign w:val="center"/>
            <w:hideMark/>
          </w:tcPr>
          <w:p w14:paraId="7CE3535C"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0.978</w:t>
            </w:r>
          </w:p>
        </w:tc>
      </w:tr>
      <w:tr w:rsidR="00D74D37" w:rsidRPr="00C204C5" w14:paraId="013B3FF1" w14:textId="77777777" w:rsidTr="006516DA">
        <w:trPr>
          <w:trHeight w:val="20"/>
        </w:trPr>
        <w:tc>
          <w:tcPr>
            <w:tcW w:w="4390" w:type="dxa"/>
            <w:noWrap/>
            <w:vAlign w:val="center"/>
            <w:hideMark/>
          </w:tcPr>
          <w:p w14:paraId="3C792775" w14:textId="77777777" w:rsidR="00D74D37" w:rsidRPr="00C204C5" w:rsidRDefault="00D74D37" w:rsidP="006516DA">
            <w:pPr>
              <w:rPr>
                <w:rFonts w:ascii="Arial" w:hAnsi="Arial" w:cs="Arial"/>
                <w:sz w:val="20"/>
                <w:szCs w:val="20"/>
                <w:lang w:eastAsia="en-GB"/>
              </w:rPr>
            </w:pPr>
            <w:r w:rsidRPr="00C204C5">
              <w:rPr>
                <w:rFonts w:ascii="Arial" w:hAnsi="Arial" w:cs="Arial"/>
                <w:sz w:val="20"/>
                <w:szCs w:val="20"/>
                <w:lang w:eastAsia="en-GB"/>
              </w:rPr>
              <w:t>(Constant)</w:t>
            </w:r>
          </w:p>
        </w:tc>
        <w:tc>
          <w:tcPr>
            <w:tcW w:w="1275" w:type="dxa"/>
            <w:noWrap/>
            <w:vAlign w:val="center"/>
            <w:hideMark/>
          </w:tcPr>
          <w:p w14:paraId="0EEB89F9"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-0.062</w:t>
            </w:r>
            <w:r w:rsidRPr="00C204C5">
              <w:rPr>
                <w:rFonts w:ascii="Arial" w:hAnsi="Arial" w:cs="Arial"/>
                <w:sz w:val="20"/>
                <w:szCs w:val="20"/>
                <w:vertAlign w:val="superscript"/>
                <w:lang w:eastAsia="en-GB"/>
              </w:rPr>
              <w:t xml:space="preserve"> NS</w:t>
            </w:r>
          </w:p>
        </w:tc>
        <w:tc>
          <w:tcPr>
            <w:tcW w:w="1134" w:type="dxa"/>
            <w:noWrap/>
            <w:vAlign w:val="center"/>
            <w:hideMark/>
          </w:tcPr>
          <w:p w14:paraId="7D18E075"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1.803</w:t>
            </w:r>
          </w:p>
        </w:tc>
        <w:tc>
          <w:tcPr>
            <w:tcW w:w="818" w:type="dxa"/>
            <w:noWrap/>
            <w:vAlign w:val="center"/>
            <w:hideMark/>
          </w:tcPr>
          <w:p w14:paraId="3E67E1E3"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-0.034</w:t>
            </w:r>
          </w:p>
        </w:tc>
        <w:tc>
          <w:tcPr>
            <w:tcW w:w="1399" w:type="dxa"/>
            <w:noWrap/>
            <w:vAlign w:val="center"/>
            <w:hideMark/>
          </w:tcPr>
          <w:p w14:paraId="3251A532" w14:textId="77777777" w:rsidR="00D74D37" w:rsidRPr="00C204C5" w:rsidRDefault="00D74D37" w:rsidP="006516DA">
            <w:pPr>
              <w:jc w:val="right"/>
              <w:rPr>
                <w:rFonts w:ascii="Arial" w:hAnsi="Arial" w:cs="Arial"/>
                <w:sz w:val="20"/>
                <w:szCs w:val="20"/>
                <w:lang w:eastAsia="en-GB"/>
              </w:rPr>
            </w:pPr>
            <w:r w:rsidRPr="00C204C5">
              <w:rPr>
                <w:rFonts w:ascii="Arial" w:hAnsi="Arial" w:cs="Arial"/>
                <w:sz w:val="20"/>
                <w:szCs w:val="20"/>
                <w:lang w:eastAsia="en-GB"/>
              </w:rPr>
              <w:t>0.973</w:t>
            </w:r>
          </w:p>
        </w:tc>
      </w:tr>
      <w:tr w:rsidR="00D74D37" w:rsidRPr="00C204C5" w14:paraId="6FBD8EE3" w14:textId="77777777" w:rsidTr="006516DA">
        <w:trPr>
          <w:trHeight w:val="20"/>
        </w:trPr>
        <w:tc>
          <w:tcPr>
            <w:tcW w:w="9016" w:type="dxa"/>
            <w:gridSpan w:val="5"/>
            <w:noWrap/>
            <w:vAlign w:val="center"/>
          </w:tcPr>
          <w:p w14:paraId="5910ACAF" w14:textId="77777777" w:rsidR="00D74D37" w:rsidRPr="00C204C5" w:rsidRDefault="00D74D37" w:rsidP="006516DA">
            <w:pPr>
              <w:jc w:val="center"/>
              <w:rPr>
                <w:rFonts w:ascii="Arial" w:hAnsi="Arial" w:cs="Arial"/>
                <w:sz w:val="20"/>
                <w:szCs w:val="20"/>
                <w:lang w:eastAsia="en-GB"/>
              </w:rPr>
            </w:pPr>
            <w:r w:rsidRPr="00C204C5">
              <w:rPr>
                <w:rFonts w:ascii="Arial" w:eastAsia="Times New Roman" w:hAnsi="Arial" w:cs="Arial"/>
                <w:b/>
                <w:bCs/>
                <w:color w:val="000000"/>
                <w:sz w:val="20"/>
                <w:szCs w:val="20"/>
                <w:lang w:eastAsia="en-GB"/>
              </w:rPr>
              <w:t>Model values</w:t>
            </w:r>
          </w:p>
        </w:tc>
      </w:tr>
      <w:tr w:rsidR="00D74D37" w:rsidRPr="00C204C5" w14:paraId="146C5015" w14:textId="77777777" w:rsidTr="006516DA">
        <w:trPr>
          <w:trHeight w:val="20"/>
        </w:trPr>
        <w:tc>
          <w:tcPr>
            <w:tcW w:w="9016" w:type="dxa"/>
            <w:gridSpan w:val="5"/>
            <w:noWrap/>
            <w:vAlign w:val="center"/>
          </w:tcPr>
          <w:p w14:paraId="561F938C" w14:textId="77777777" w:rsidR="00D74D37" w:rsidRPr="00C204C5" w:rsidRDefault="00D74D37" w:rsidP="006516DA">
            <w:pPr>
              <w:rPr>
                <w:rFonts w:ascii="Arial" w:hAnsi="Arial" w:cs="Arial"/>
                <w:sz w:val="20"/>
                <w:szCs w:val="20"/>
                <w:lang w:eastAsia="en-GB"/>
              </w:rPr>
            </w:pPr>
            <w:r w:rsidRPr="00C204C5">
              <w:rPr>
                <w:rFonts w:ascii="Arial" w:eastAsia="Times New Roman" w:hAnsi="Arial" w:cs="Arial"/>
                <w:color w:val="000000"/>
                <w:sz w:val="20"/>
                <w:szCs w:val="20"/>
                <w:lang w:eastAsia="en-GB"/>
              </w:rPr>
              <w:t xml:space="preserve">F value (14, </w:t>
            </w:r>
            <w:proofErr w:type="gramStart"/>
            <w:r w:rsidRPr="00C204C5">
              <w:rPr>
                <w:rFonts w:ascii="Arial" w:eastAsia="Times New Roman" w:hAnsi="Arial" w:cs="Arial"/>
                <w:color w:val="000000"/>
                <w:sz w:val="20"/>
                <w:szCs w:val="20"/>
                <w:lang w:eastAsia="en-GB"/>
              </w:rPr>
              <w:t>12)=</w:t>
            </w:r>
            <w:proofErr w:type="gramEnd"/>
            <w:r w:rsidRPr="00C204C5">
              <w:rPr>
                <w:rFonts w:ascii="Arial" w:eastAsia="Times New Roman" w:hAnsi="Arial" w:cs="Arial"/>
                <w:color w:val="000000"/>
                <w:sz w:val="20"/>
                <w:szCs w:val="20"/>
                <w:lang w:eastAsia="en-GB"/>
              </w:rPr>
              <w:t xml:space="preserve"> 12.805, p&lt;0.01</w:t>
            </w:r>
          </w:p>
        </w:tc>
      </w:tr>
      <w:tr w:rsidR="00D74D37" w:rsidRPr="00C204C5" w14:paraId="7B4015AD" w14:textId="77777777" w:rsidTr="006516DA">
        <w:trPr>
          <w:trHeight w:val="20"/>
        </w:trPr>
        <w:tc>
          <w:tcPr>
            <w:tcW w:w="9016" w:type="dxa"/>
            <w:gridSpan w:val="5"/>
            <w:noWrap/>
            <w:vAlign w:val="center"/>
          </w:tcPr>
          <w:p w14:paraId="1A48F086" w14:textId="77777777" w:rsidR="00D74D37" w:rsidRPr="00C204C5" w:rsidRDefault="00D74D37" w:rsidP="006516DA">
            <w:pPr>
              <w:rPr>
                <w:rFonts w:ascii="Arial" w:hAnsi="Arial" w:cs="Arial"/>
                <w:sz w:val="20"/>
                <w:szCs w:val="20"/>
                <w:lang w:eastAsia="en-GB"/>
              </w:rPr>
            </w:pPr>
            <w:r w:rsidRPr="00C204C5">
              <w:rPr>
                <w:rFonts w:ascii="Arial" w:eastAsia="Times New Roman" w:hAnsi="Arial" w:cs="Arial"/>
                <w:color w:val="000000"/>
                <w:sz w:val="20"/>
                <w:szCs w:val="20"/>
                <w:lang w:eastAsia="en-GB"/>
              </w:rPr>
              <w:t>R square= 0.937</w:t>
            </w:r>
          </w:p>
        </w:tc>
      </w:tr>
    </w:tbl>
    <w:p w14:paraId="648C753F" w14:textId="77777777" w:rsidR="00D74D37" w:rsidRPr="000F016A" w:rsidRDefault="00D74D37" w:rsidP="00D74D37">
      <w:pPr>
        <w:jc w:val="both"/>
        <w:rPr>
          <w:rFonts w:ascii="Arial" w:hAnsi="Arial" w:cs="Arial"/>
          <w:i/>
          <w:iCs/>
          <w:sz w:val="18"/>
          <w:szCs w:val="18"/>
        </w:rPr>
      </w:pPr>
      <w:r w:rsidRPr="000F016A">
        <w:rPr>
          <w:rFonts w:ascii="Arial" w:hAnsi="Arial" w:cs="Arial"/>
          <w:i/>
          <w:iCs/>
          <w:sz w:val="18"/>
          <w:szCs w:val="18"/>
        </w:rPr>
        <w:t>Note: Dependent Variable: Annual turnover of bio-pesticides (lakhs)</w:t>
      </w:r>
    </w:p>
    <w:p w14:paraId="7B7AE533"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 Significant at five per cent level of probability</w:t>
      </w:r>
    </w:p>
    <w:p w14:paraId="34B7C446"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 Significant at one per cent level of probability</w:t>
      </w:r>
    </w:p>
    <w:p w14:paraId="08F176E4"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Source: Researcher’s computation from field data through SPSS</w:t>
      </w:r>
    </w:p>
    <w:p w14:paraId="326ACAEB" w14:textId="77777777" w:rsidR="00D74D37" w:rsidRPr="00C204C5" w:rsidRDefault="00D74D37" w:rsidP="00D74D37">
      <w:pPr>
        <w:jc w:val="both"/>
        <w:rPr>
          <w:rFonts w:ascii="Arial" w:hAnsi="Arial" w:cs="Arial"/>
        </w:rPr>
      </w:pPr>
    </w:p>
    <w:p w14:paraId="45F754CA" w14:textId="77777777" w:rsidR="00D74D37" w:rsidRPr="00C204C5" w:rsidRDefault="00D74D37" w:rsidP="00D74D37">
      <w:pPr>
        <w:ind w:firstLine="567"/>
        <w:jc w:val="both"/>
        <w:rPr>
          <w:rFonts w:ascii="Arial" w:hAnsi="Arial" w:cs="Arial"/>
        </w:rPr>
      </w:pPr>
      <w:r w:rsidRPr="00C204C5">
        <w:rPr>
          <w:rFonts w:ascii="Arial" w:hAnsi="Arial" w:cs="Arial"/>
        </w:rPr>
        <w:t xml:space="preserve">From the Table </w:t>
      </w:r>
      <w:r>
        <w:rPr>
          <w:rFonts w:ascii="Arial" w:hAnsi="Arial" w:cs="Arial"/>
        </w:rPr>
        <w:t>4</w:t>
      </w:r>
      <w:r w:rsidRPr="00C204C5">
        <w:rPr>
          <w:rFonts w:ascii="Arial" w:hAnsi="Arial" w:cs="Arial"/>
        </w:rPr>
        <w:t xml:space="preserve">, it is observed that </w:t>
      </w:r>
      <w:bookmarkStart w:id="9" w:name="_Hlk150935017"/>
      <w:r w:rsidRPr="00C204C5">
        <w:rPr>
          <w:rFonts w:ascii="Arial" w:hAnsi="Arial" w:cs="Arial"/>
        </w:rPr>
        <w:t xml:space="preserve">there were 26 independent variables where, three predictors were found significant with an association of dependent variable i.e. annual turnover of bio-pesticides (lakhs), out of which </w:t>
      </w:r>
      <w:bookmarkStart w:id="10" w:name="_Hlk199167545"/>
      <w:r w:rsidRPr="00C204C5">
        <w:rPr>
          <w:rFonts w:ascii="Arial" w:hAnsi="Arial" w:cs="Arial"/>
        </w:rPr>
        <w:t xml:space="preserve">two variables viz. </w:t>
      </w:r>
      <w:r w:rsidRPr="00C204C5">
        <w:rPr>
          <w:rFonts w:ascii="Arial" w:hAnsi="Arial" w:cs="Arial"/>
          <w:lang w:eastAsia="en-GB"/>
        </w:rPr>
        <w:t xml:space="preserve">‘Villages served (numbers) (0.188)’, ‘Dealership of bio-pesticide based companies (numbers) (1.189) </w:t>
      </w:r>
      <w:r w:rsidRPr="00C204C5">
        <w:rPr>
          <w:rFonts w:ascii="Arial" w:hAnsi="Arial" w:cs="Arial"/>
        </w:rPr>
        <w:t>’ were found to be positive and one variable i.e. ‘</w:t>
      </w:r>
      <w:r w:rsidRPr="00C204C5">
        <w:rPr>
          <w:rFonts w:ascii="Arial" w:hAnsi="Arial" w:cs="Arial"/>
          <w:lang w:eastAsia="en-GB"/>
        </w:rPr>
        <w:t>Credit period for farmers (days) (-0.031) was found to be negative</w:t>
      </w:r>
      <w:bookmarkEnd w:id="10"/>
      <w:r w:rsidRPr="00C204C5">
        <w:rPr>
          <w:rFonts w:ascii="Arial" w:hAnsi="Arial" w:cs="Arial"/>
          <w:lang w:eastAsia="en-GB"/>
        </w:rPr>
        <w:t xml:space="preserve">. </w:t>
      </w:r>
      <w:bookmarkStart w:id="11" w:name="_Hlk199167573"/>
      <w:r w:rsidRPr="00C204C5">
        <w:rPr>
          <w:rFonts w:ascii="Arial" w:hAnsi="Arial" w:cs="Arial"/>
        </w:rPr>
        <w:t xml:space="preserve">The model was significant with F Value (14, </w:t>
      </w:r>
      <w:proofErr w:type="gramStart"/>
      <w:r w:rsidRPr="00C204C5">
        <w:rPr>
          <w:rFonts w:ascii="Arial" w:hAnsi="Arial" w:cs="Arial"/>
        </w:rPr>
        <w:t>12)=</w:t>
      </w:r>
      <w:proofErr w:type="gramEnd"/>
      <w:r w:rsidRPr="00C204C5">
        <w:rPr>
          <w:rFonts w:ascii="Arial" w:hAnsi="Arial" w:cs="Arial"/>
        </w:rPr>
        <w:t xml:space="preserve"> 5.393, p&lt;0.01) and found to be fit with R square value of 0.937.</w:t>
      </w:r>
      <w:bookmarkEnd w:id="9"/>
      <w:bookmarkEnd w:id="11"/>
    </w:p>
    <w:p w14:paraId="3C7CA4CC" w14:textId="77777777" w:rsidR="00D74D37" w:rsidRPr="00C204C5" w:rsidRDefault="00D74D37" w:rsidP="00D74D37">
      <w:pPr>
        <w:jc w:val="both"/>
        <w:rPr>
          <w:rFonts w:ascii="Arial" w:hAnsi="Arial" w:cs="Arial"/>
        </w:rPr>
      </w:pPr>
    </w:p>
    <w:p w14:paraId="14CAF0AA" w14:textId="77777777" w:rsidR="00D74D37" w:rsidRPr="00C204C5" w:rsidRDefault="00D74D37" w:rsidP="00D74D37">
      <w:pPr>
        <w:jc w:val="both"/>
        <w:rPr>
          <w:rFonts w:ascii="Arial" w:hAnsi="Arial" w:cs="Arial"/>
          <w:b/>
          <w:bCs/>
        </w:rPr>
      </w:pPr>
      <w:r w:rsidRPr="00C204C5">
        <w:rPr>
          <w:rFonts w:ascii="Arial" w:hAnsi="Arial" w:cs="Arial"/>
          <w:b/>
          <w:bCs/>
        </w:rPr>
        <w:t xml:space="preserve">Table </w:t>
      </w:r>
      <w:r>
        <w:rPr>
          <w:rFonts w:ascii="Arial" w:hAnsi="Arial" w:cs="Arial"/>
          <w:b/>
          <w:bCs/>
        </w:rPr>
        <w:t>5</w:t>
      </w:r>
      <w:r w:rsidRPr="00C204C5">
        <w:rPr>
          <w:rFonts w:ascii="Arial" w:hAnsi="Arial" w:cs="Arial"/>
          <w:b/>
          <w:bCs/>
        </w:rPr>
        <w:t>. Factors influencing preference of selling bio-pesticides over chemical pesticides</w:t>
      </w:r>
    </w:p>
    <w:tbl>
      <w:tblPr>
        <w:tblStyle w:val="TableGrid"/>
        <w:tblW w:w="9351" w:type="dxa"/>
        <w:tblLook w:val="04A0" w:firstRow="1" w:lastRow="0" w:firstColumn="1" w:lastColumn="0" w:noHBand="0" w:noVBand="1"/>
      </w:tblPr>
      <w:tblGrid>
        <w:gridCol w:w="5936"/>
        <w:gridCol w:w="1572"/>
        <w:gridCol w:w="1843"/>
      </w:tblGrid>
      <w:tr w:rsidR="00D74D37" w:rsidRPr="00C204C5" w14:paraId="3EBE69CF" w14:textId="77777777" w:rsidTr="006516DA">
        <w:trPr>
          <w:trHeight w:val="20"/>
        </w:trPr>
        <w:tc>
          <w:tcPr>
            <w:tcW w:w="5936" w:type="dxa"/>
            <w:noWrap/>
            <w:vAlign w:val="center"/>
          </w:tcPr>
          <w:p w14:paraId="487F7955" w14:textId="77777777" w:rsidR="00D74D37" w:rsidRPr="00C204C5" w:rsidRDefault="00D74D37" w:rsidP="006516DA">
            <w:pPr>
              <w:jc w:val="center"/>
              <w:rPr>
                <w:rFonts w:ascii="Arial" w:eastAsia="Times New Roman" w:hAnsi="Arial" w:cs="Arial"/>
                <w:b/>
                <w:bCs/>
                <w:sz w:val="20"/>
                <w:szCs w:val="20"/>
                <w:lang w:eastAsia="en-GB"/>
              </w:rPr>
            </w:pPr>
            <w:r w:rsidRPr="00C204C5">
              <w:rPr>
                <w:rFonts w:ascii="Arial" w:eastAsia="Times New Roman" w:hAnsi="Arial" w:cs="Arial"/>
                <w:b/>
                <w:bCs/>
                <w:sz w:val="20"/>
                <w:szCs w:val="20"/>
                <w:lang w:eastAsia="en-GB"/>
              </w:rPr>
              <w:t>Variables</w:t>
            </w:r>
          </w:p>
        </w:tc>
        <w:tc>
          <w:tcPr>
            <w:tcW w:w="1572" w:type="dxa"/>
            <w:noWrap/>
            <w:vAlign w:val="center"/>
          </w:tcPr>
          <w:p w14:paraId="5D5E87F8" w14:textId="77777777" w:rsidR="00D74D37" w:rsidRPr="00C204C5" w:rsidRDefault="00D74D37" w:rsidP="006516DA">
            <w:pPr>
              <w:jc w:val="center"/>
              <w:rPr>
                <w:rFonts w:ascii="Arial" w:eastAsia="Times New Roman" w:hAnsi="Arial" w:cs="Arial"/>
                <w:b/>
                <w:bCs/>
                <w:sz w:val="20"/>
                <w:szCs w:val="20"/>
                <w:lang w:eastAsia="en-GB"/>
              </w:rPr>
            </w:pPr>
            <w:r w:rsidRPr="00C204C5">
              <w:rPr>
                <w:rFonts w:ascii="Arial" w:eastAsia="Times New Roman" w:hAnsi="Arial" w:cs="Arial"/>
                <w:b/>
                <w:bCs/>
                <w:sz w:val="20"/>
                <w:szCs w:val="20"/>
                <w:lang w:eastAsia="en-GB"/>
              </w:rPr>
              <w:t xml:space="preserve">Coefficient </w:t>
            </w:r>
            <w:r w:rsidRPr="00C204C5">
              <w:rPr>
                <w:rFonts w:ascii="Arial" w:eastAsia="Times New Roman" w:hAnsi="Arial" w:cs="Arial"/>
                <w:b/>
                <w:bCs/>
                <w:color w:val="000000"/>
                <w:sz w:val="20"/>
                <w:szCs w:val="20"/>
                <w:lang w:eastAsia="en-GB"/>
              </w:rPr>
              <w:t>(β)</w:t>
            </w:r>
          </w:p>
        </w:tc>
        <w:tc>
          <w:tcPr>
            <w:tcW w:w="1843" w:type="dxa"/>
            <w:noWrap/>
            <w:vAlign w:val="center"/>
          </w:tcPr>
          <w:p w14:paraId="0E9329FC" w14:textId="43EC4221" w:rsidR="00D74D37" w:rsidRPr="00C204C5" w:rsidRDefault="00D74D37" w:rsidP="006516DA">
            <w:pPr>
              <w:jc w:val="center"/>
              <w:rPr>
                <w:rFonts w:ascii="Arial" w:eastAsia="Times New Roman" w:hAnsi="Arial" w:cs="Arial"/>
                <w:b/>
                <w:bCs/>
                <w:sz w:val="20"/>
                <w:szCs w:val="20"/>
                <w:lang w:eastAsia="en-GB"/>
              </w:rPr>
            </w:pPr>
            <w:r w:rsidRPr="00C204C5">
              <w:rPr>
                <w:rFonts w:ascii="Arial" w:eastAsia="Times New Roman" w:hAnsi="Arial" w:cs="Arial"/>
                <w:b/>
                <w:bCs/>
                <w:sz w:val="20"/>
                <w:szCs w:val="20"/>
                <w:lang w:eastAsia="en-GB"/>
              </w:rPr>
              <w:t>Significance (</w:t>
            </w:r>
            <w:r w:rsidR="00ED4B15" w:rsidRPr="00ED4B15">
              <w:rPr>
                <w:rFonts w:ascii="Arial" w:eastAsia="Times New Roman" w:hAnsi="Arial" w:cs="Arial"/>
                <w:b/>
                <w:bCs/>
                <w:i/>
                <w:iCs/>
                <w:sz w:val="20"/>
                <w:szCs w:val="20"/>
                <w:lang w:eastAsia="en-GB"/>
              </w:rPr>
              <w:t>P</w:t>
            </w:r>
            <w:r w:rsidRPr="00C204C5">
              <w:rPr>
                <w:rFonts w:ascii="Arial" w:eastAsia="Times New Roman" w:hAnsi="Arial" w:cs="Arial"/>
                <w:b/>
                <w:bCs/>
                <w:sz w:val="20"/>
                <w:szCs w:val="20"/>
                <w:lang w:eastAsia="en-GB"/>
              </w:rPr>
              <w:t>)</w:t>
            </w:r>
          </w:p>
        </w:tc>
      </w:tr>
      <w:tr w:rsidR="00D74D37" w:rsidRPr="00C204C5" w14:paraId="481EA57E" w14:textId="77777777" w:rsidTr="006516DA">
        <w:trPr>
          <w:trHeight w:val="20"/>
        </w:trPr>
        <w:tc>
          <w:tcPr>
            <w:tcW w:w="5936" w:type="dxa"/>
            <w:noWrap/>
            <w:vAlign w:val="center"/>
            <w:hideMark/>
          </w:tcPr>
          <w:p w14:paraId="29EE0C0F" w14:textId="77777777" w:rsidR="00D74D37" w:rsidRPr="00C204C5" w:rsidRDefault="00D74D37" w:rsidP="006516DA">
            <w:pPr>
              <w:rPr>
                <w:rFonts w:ascii="Arial" w:eastAsia="Times New Roman" w:hAnsi="Arial" w:cs="Arial"/>
                <w:b/>
                <w:bCs/>
                <w:sz w:val="20"/>
                <w:szCs w:val="20"/>
                <w:lang w:eastAsia="en-GB"/>
              </w:rPr>
            </w:pPr>
            <w:r w:rsidRPr="00C204C5">
              <w:rPr>
                <w:rFonts w:ascii="Arial" w:hAnsi="Arial" w:cs="Arial"/>
                <w:b/>
                <w:bCs/>
                <w:color w:val="000000"/>
                <w:sz w:val="20"/>
                <w:szCs w:val="20"/>
              </w:rPr>
              <w:t>DAESI certification (1: yes; 0: no)</w:t>
            </w:r>
          </w:p>
        </w:tc>
        <w:tc>
          <w:tcPr>
            <w:tcW w:w="1572" w:type="dxa"/>
            <w:noWrap/>
            <w:vAlign w:val="center"/>
            <w:hideMark/>
          </w:tcPr>
          <w:p w14:paraId="2C515778" w14:textId="77777777" w:rsidR="00D74D37" w:rsidRPr="00C204C5" w:rsidRDefault="00D74D37" w:rsidP="006516DA">
            <w:pPr>
              <w:jc w:val="right"/>
              <w:rPr>
                <w:rFonts w:ascii="Arial" w:eastAsia="Times New Roman" w:hAnsi="Arial" w:cs="Arial"/>
                <w:b/>
                <w:bCs/>
                <w:sz w:val="20"/>
                <w:szCs w:val="20"/>
                <w:lang w:eastAsia="en-GB"/>
              </w:rPr>
            </w:pPr>
            <w:r w:rsidRPr="00C204C5">
              <w:rPr>
                <w:rFonts w:ascii="Arial" w:hAnsi="Arial" w:cs="Arial"/>
                <w:b/>
                <w:bCs/>
                <w:color w:val="000000"/>
                <w:sz w:val="20"/>
                <w:szCs w:val="20"/>
              </w:rPr>
              <w:t>4.252</w:t>
            </w:r>
            <w:r w:rsidRPr="00C204C5">
              <w:rPr>
                <w:rFonts w:ascii="Arial" w:hAnsi="Arial" w:cs="Arial"/>
                <w:b/>
                <w:bCs/>
                <w:color w:val="000000"/>
                <w:sz w:val="20"/>
                <w:szCs w:val="20"/>
                <w:vertAlign w:val="superscript"/>
              </w:rPr>
              <w:t xml:space="preserve"> </w:t>
            </w:r>
            <w:r w:rsidRPr="00C204C5">
              <w:rPr>
                <w:rFonts w:ascii="Arial" w:hAnsi="Arial" w:cs="Arial"/>
                <w:b/>
                <w:bCs/>
                <w:color w:val="000000"/>
                <w:sz w:val="20"/>
                <w:szCs w:val="20"/>
              </w:rPr>
              <w:t>*</w:t>
            </w:r>
          </w:p>
        </w:tc>
        <w:tc>
          <w:tcPr>
            <w:tcW w:w="1843" w:type="dxa"/>
            <w:noWrap/>
            <w:vAlign w:val="center"/>
            <w:hideMark/>
          </w:tcPr>
          <w:p w14:paraId="47955D07" w14:textId="77777777" w:rsidR="00D74D37" w:rsidRPr="00C204C5" w:rsidRDefault="00D74D37" w:rsidP="006516DA">
            <w:pPr>
              <w:jc w:val="right"/>
              <w:rPr>
                <w:rFonts w:ascii="Arial" w:eastAsia="Times New Roman" w:hAnsi="Arial" w:cs="Arial"/>
                <w:b/>
                <w:bCs/>
                <w:sz w:val="20"/>
                <w:szCs w:val="20"/>
                <w:lang w:eastAsia="en-GB"/>
              </w:rPr>
            </w:pPr>
            <w:r w:rsidRPr="00C204C5">
              <w:rPr>
                <w:rFonts w:ascii="Arial" w:hAnsi="Arial" w:cs="Arial"/>
                <w:b/>
                <w:bCs/>
                <w:color w:val="000000"/>
                <w:sz w:val="20"/>
                <w:szCs w:val="20"/>
              </w:rPr>
              <w:t>0.015</w:t>
            </w:r>
          </w:p>
        </w:tc>
      </w:tr>
      <w:tr w:rsidR="00D74D37" w:rsidRPr="00C204C5" w14:paraId="3C42DF00" w14:textId="77777777" w:rsidTr="006516DA">
        <w:trPr>
          <w:trHeight w:val="20"/>
        </w:trPr>
        <w:tc>
          <w:tcPr>
            <w:tcW w:w="5936" w:type="dxa"/>
            <w:noWrap/>
            <w:vAlign w:val="center"/>
            <w:hideMark/>
          </w:tcPr>
          <w:p w14:paraId="5ABFA558" w14:textId="77777777" w:rsidR="00D74D37" w:rsidRPr="00C204C5" w:rsidRDefault="00D74D37" w:rsidP="006516DA">
            <w:pPr>
              <w:rPr>
                <w:rFonts w:ascii="Arial" w:eastAsia="Times New Roman" w:hAnsi="Arial" w:cs="Arial"/>
                <w:sz w:val="20"/>
                <w:szCs w:val="20"/>
                <w:lang w:eastAsia="en-GB"/>
              </w:rPr>
            </w:pPr>
            <w:r w:rsidRPr="00C204C5">
              <w:rPr>
                <w:rFonts w:ascii="Arial" w:hAnsi="Arial" w:cs="Arial"/>
                <w:color w:val="000000"/>
                <w:sz w:val="20"/>
                <w:szCs w:val="20"/>
              </w:rPr>
              <w:t>Knowledge about safety use of pesticide (1: aware; 0: unaware)</w:t>
            </w:r>
          </w:p>
        </w:tc>
        <w:tc>
          <w:tcPr>
            <w:tcW w:w="1572" w:type="dxa"/>
            <w:noWrap/>
            <w:vAlign w:val="center"/>
            <w:hideMark/>
          </w:tcPr>
          <w:p w14:paraId="05370141"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20.411</w:t>
            </w:r>
            <w:r w:rsidRPr="00C204C5">
              <w:rPr>
                <w:rFonts w:ascii="Arial" w:hAnsi="Arial" w:cs="Arial"/>
                <w:color w:val="000000"/>
                <w:sz w:val="20"/>
                <w:szCs w:val="20"/>
                <w:vertAlign w:val="superscript"/>
              </w:rPr>
              <w:t xml:space="preserve"> NS</w:t>
            </w:r>
          </w:p>
        </w:tc>
        <w:tc>
          <w:tcPr>
            <w:tcW w:w="1843" w:type="dxa"/>
            <w:noWrap/>
            <w:vAlign w:val="center"/>
            <w:hideMark/>
          </w:tcPr>
          <w:p w14:paraId="2A37DDC0"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0.999</w:t>
            </w:r>
          </w:p>
        </w:tc>
      </w:tr>
      <w:tr w:rsidR="00D74D37" w:rsidRPr="00C204C5" w14:paraId="7480239D" w14:textId="77777777" w:rsidTr="006516DA">
        <w:trPr>
          <w:trHeight w:val="20"/>
        </w:trPr>
        <w:tc>
          <w:tcPr>
            <w:tcW w:w="5936" w:type="dxa"/>
            <w:noWrap/>
            <w:vAlign w:val="center"/>
            <w:hideMark/>
          </w:tcPr>
          <w:p w14:paraId="6C71CB14" w14:textId="77777777" w:rsidR="00D74D37" w:rsidRPr="00C204C5" w:rsidRDefault="00D74D37" w:rsidP="006516DA">
            <w:pPr>
              <w:rPr>
                <w:rFonts w:ascii="Arial" w:eastAsia="Times New Roman" w:hAnsi="Arial" w:cs="Arial"/>
                <w:sz w:val="20"/>
                <w:szCs w:val="20"/>
                <w:lang w:eastAsia="en-GB"/>
              </w:rPr>
            </w:pPr>
            <w:r w:rsidRPr="00C204C5">
              <w:rPr>
                <w:rFonts w:ascii="Arial" w:hAnsi="Arial" w:cs="Arial"/>
                <w:color w:val="000000"/>
                <w:sz w:val="20"/>
                <w:szCs w:val="20"/>
              </w:rPr>
              <w:t>Farmers served per day (numbers)</w:t>
            </w:r>
          </w:p>
        </w:tc>
        <w:tc>
          <w:tcPr>
            <w:tcW w:w="1572" w:type="dxa"/>
            <w:noWrap/>
            <w:vAlign w:val="center"/>
            <w:hideMark/>
          </w:tcPr>
          <w:p w14:paraId="6488B46D"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-0.141</w:t>
            </w:r>
            <w:r w:rsidRPr="00C204C5">
              <w:rPr>
                <w:rFonts w:ascii="Arial" w:hAnsi="Arial" w:cs="Arial"/>
                <w:color w:val="000000"/>
                <w:sz w:val="20"/>
                <w:szCs w:val="20"/>
                <w:vertAlign w:val="superscript"/>
              </w:rPr>
              <w:t xml:space="preserve"> NS</w:t>
            </w:r>
          </w:p>
        </w:tc>
        <w:tc>
          <w:tcPr>
            <w:tcW w:w="1843" w:type="dxa"/>
            <w:noWrap/>
            <w:vAlign w:val="center"/>
            <w:hideMark/>
          </w:tcPr>
          <w:p w14:paraId="6B7EA4AB"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0.223</w:t>
            </w:r>
          </w:p>
        </w:tc>
      </w:tr>
      <w:tr w:rsidR="00D74D37" w:rsidRPr="00C204C5" w14:paraId="761A19EF" w14:textId="77777777" w:rsidTr="006516DA">
        <w:trPr>
          <w:trHeight w:val="20"/>
        </w:trPr>
        <w:tc>
          <w:tcPr>
            <w:tcW w:w="5936" w:type="dxa"/>
            <w:noWrap/>
            <w:vAlign w:val="center"/>
            <w:hideMark/>
          </w:tcPr>
          <w:p w14:paraId="72E322A9" w14:textId="77777777" w:rsidR="00D74D37" w:rsidRPr="00C204C5" w:rsidRDefault="00D74D37" w:rsidP="006516DA">
            <w:pPr>
              <w:rPr>
                <w:rFonts w:ascii="Arial" w:eastAsia="Times New Roman" w:hAnsi="Arial" w:cs="Arial"/>
                <w:sz w:val="20"/>
                <w:szCs w:val="20"/>
                <w:lang w:eastAsia="en-GB"/>
              </w:rPr>
            </w:pPr>
            <w:r w:rsidRPr="00C204C5">
              <w:rPr>
                <w:rFonts w:ascii="Arial" w:hAnsi="Arial" w:cs="Arial"/>
                <w:color w:val="000000"/>
                <w:sz w:val="20"/>
                <w:szCs w:val="20"/>
              </w:rPr>
              <w:t>Villages served (numbers)</w:t>
            </w:r>
          </w:p>
        </w:tc>
        <w:tc>
          <w:tcPr>
            <w:tcW w:w="1572" w:type="dxa"/>
            <w:noWrap/>
            <w:vAlign w:val="center"/>
            <w:hideMark/>
          </w:tcPr>
          <w:p w14:paraId="0EB5AB81"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-0.114</w:t>
            </w:r>
            <w:r w:rsidRPr="00C204C5">
              <w:rPr>
                <w:rFonts w:ascii="Arial" w:hAnsi="Arial" w:cs="Arial"/>
                <w:color w:val="000000"/>
                <w:sz w:val="20"/>
                <w:szCs w:val="20"/>
                <w:vertAlign w:val="superscript"/>
              </w:rPr>
              <w:t>NS</w:t>
            </w:r>
          </w:p>
        </w:tc>
        <w:tc>
          <w:tcPr>
            <w:tcW w:w="1843" w:type="dxa"/>
            <w:noWrap/>
            <w:vAlign w:val="center"/>
            <w:hideMark/>
          </w:tcPr>
          <w:p w14:paraId="6A811BF3"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0.395</w:t>
            </w:r>
          </w:p>
        </w:tc>
      </w:tr>
      <w:tr w:rsidR="00D74D37" w:rsidRPr="00C204C5" w14:paraId="1581F4AA" w14:textId="77777777" w:rsidTr="006516DA">
        <w:trPr>
          <w:trHeight w:val="20"/>
        </w:trPr>
        <w:tc>
          <w:tcPr>
            <w:tcW w:w="5936" w:type="dxa"/>
            <w:noWrap/>
            <w:vAlign w:val="center"/>
            <w:hideMark/>
          </w:tcPr>
          <w:p w14:paraId="6261CBCD" w14:textId="77777777" w:rsidR="00D74D37" w:rsidRPr="00C204C5" w:rsidRDefault="00D74D37" w:rsidP="006516DA">
            <w:pPr>
              <w:rPr>
                <w:rFonts w:ascii="Arial" w:eastAsia="Times New Roman" w:hAnsi="Arial" w:cs="Arial"/>
                <w:sz w:val="20"/>
                <w:szCs w:val="20"/>
                <w:lang w:eastAsia="en-GB"/>
              </w:rPr>
            </w:pPr>
            <w:r w:rsidRPr="00C204C5">
              <w:rPr>
                <w:rFonts w:ascii="Arial" w:hAnsi="Arial" w:cs="Arial"/>
                <w:color w:val="000000"/>
                <w:sz w:val="20"/>
                <w:szCs w:val="20"/>
              </w:rPr>
              <w:t>Business enhancement plan (1: yes; 0: no)</w:t>
            </w:r>
          </w:p>
        </w:tc>
        <w:tc>
          <w:tcPr>
            <w:tcW w:w="1572" w:type="dxa"/>
            <w:noWrap/>
            <w:vAlign w:val="center"/>
            <w:hideMark/>
          </w:tcPr>
          <w:p w14:paraId="5CD4598D"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-0.068</w:t>
            </w:r>
            <w:r w:rsidRPr="00C204C5">
              <w:rPr>
                <w:rFonts w:ascii="Arial" w:hAnsi="Arial" w:cs="Arial"/>
                <w:color w:val="000000"/>
                <w:sz w:val="20"/>
                <w:szCs w:val="20"/>
                <w:vertAlign w:val="superscript"/>
              </w:rPr>
              <w:t xml:space="preserve"> NS</w:t>
            </w:r>
          </w:p>
        </w:tc>
        <w:tc>
          <w:tcPr>
            <w:tcW w:w="1843" w:type="dxa"/>
            <w:noWrap/>
            <w:vAlign w:val="center"/>
            <w:hideMark/>
          </w:tcPr>
          <w:p w14:paraId="597C6D82"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0.965</w:t>
            </w:r>
          </w:p>
        </w:tc>
      </w:tr>
      <w:tr w:rsidR="00D74D37" w:rsidRPr="00C204C5" w14:paraId="201A8A0D" w14:textId="77777777" w:rsidTr="006516DA">
        <w:trPr>
          <w:trHeight w:val="20"/>
        </w:trPr>
        <w:tc>
          <w:tcPr>
            <w:tcW w:w="5936" w:type="dxa"/>
            <w:noWrap/>
            <w:vAlign w:val="center"/>
            <w:hideMark/>
          </w:tcPr>
          <w:p w14:paraId="3593C878" w14:textId="77777777" w:rsidR="00D74D37" w:rsidRPr="00C204C5" w:rsidRDefault="00D74D37" w:rsidP="006516DA">
            <w:pPr>
              <w:rPr>
                <w:rFonts w:ascii="Arial" w:eastAsia="Times New Roman" w:hAnsi="Arial" w:cs="Arial"/>
                <w:sz w:val="20"/>
                <w:szCs w:val="20"/>
                <w:lang w:eastAsia="en-GB"/>
              </w:rPr>
            </w:pPr>
            <w:r w:rsidRPr="00C204C5">
              <w:rPr>
                <w:rFonts w:ascii="Arial" w:hAnsi="Arial" w:cs="Arial"/>
                <w:color w:val="000000"/>
                <w:sz w:val="20"/>
                <w:szCs w:val="20"/>
              </w:rPr>
              <w:t>Knowledge about ETL (1: yes; 0: no)</w:t>
            </w:r>
          </w:p>
        </w:tc>
        <w:tc>
          <w:tcPr>
            <w:tcW w:w="1572" w:type="dxa"/>
            <w:noWrap/>
            <w:vAlign w:val="center"/>
            <w:hideMark/>
          </w:tcPr>
          <w:p w14:paraId="017E6B9B"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-18.799</w:t>
            </w:r>
            <w:r w:rsidRPr="00C204C5">
              <w:rPr>
                <w:rFonts w:ascii="Arial" w:hAnsi="Arial" w:cs="Arial"/>
                <w:color w:val="000000"/>
                <w:sz w:val="20"/>
                <w:szCs w:val="20"/>
                <w:vertAlign w:val="superscript"/>
              </w:rPr>
              <w:t xml:space="preserve"> NS</w:t>
            </w:r>
          </w:p>
        </w:tc>
        <w:tc>
          <w:tcPr>
            <w:tcW w:w="1843" w:type="dxa"/>
            <w:noWrap/>
            <w:vAlign w:val="center"/>
            <w:hideMark/>
          </w:tcPr>
          <w:p w14:paraId="69F2BBC6" w14:textId="77777777" w:rsidR="00D74D37" w:rsidRPr="00C204C5" w:rsidRDefault="00D74D37" w:rsidP="006516DA">
            <w:pPr>
              <w:jc w:val="right"/>
              <w:rPr>
                <w:rFonts w:ascii="Arial" w:eastAsia="Times New Roman" w:hAnsi="Arial" w:cs="Arial"/>
                <w:sz w:val="20"/>
                <w:szCs w:val="20"/>
                <w:lang w:eastAsia="en-GB"/>
              </w:rPr>
            </w:pPr>
            <w:r w:rsidRPr="00C204C5">
              <w:rPr>
                <w:rFonts w:ascii="Arial" w:hAnsi="Arial" w:cs="Arial"/>
                <w:color w:val="000000"/>
                <w:sz w:val="20"/>
                <w:szCs w:val="20"/>
              </w:rPr>
              <w:t>0.999</w:t>
            </w:r>
          </w:p>
        </w:tc>
      </w:tr>
      <w:tr w:rsidR="00D74D37" w:rsidRPr="00C204C5" w14:paraId="4113C259" w14:textId="77777777" w:rsidTr="006516DA">
        <w:trPr>
          <w:trHeight w:val="20"/>
        </w:trPr>
        <w:tc>
          <w:tcPr>
            <w:tcW w:w="5936" w:type="dxa"/>
            <w:noWrap/>
            <w:hideMark/>
          </w:tcPr>
          <w:p w14:paraId="352EE1FA" w14:textId="77777777" w:rsidR="00D74D37" w:rsidRPr="00C204C5" w:rsidRDefault="00D74D37" w:rsidP="006516DA">
            <w:pPr>
              <w:rPr>
                <w:rFonts w:ascii="Arial" w:eastAsia="Times New Roman" w:hAnsi="Arial" w:cs="Arial"/>
                <w:sz w:val="20"/>
                <w:szCs w:val="20"/>
                <w:lang w:eastAsia="en-GB"/>
              </w:rPr>
            </w:pPr>
            <w:r w:rsidRPr="00C204C5">
              <w:rPr>
                <w:rFonts w:ascii="Arial" w:eastAsia="Times New Roman" w:hAnsi="Arial" w:cs="Arial"/>
                <w:sz w:val="20"/>
                <w:szCs w:val="20"/>
                <w:lang w:eastAsia="en-GB"/>
              </w:rPr>
              <w:t>Constant</w:t>
            </w:r>
          </w:p>
        </w:tc>
        <w:tc>
          <w:tcPr>
            <w:tcW w:w="1572" w:type="dxa"/>
            <w:noWrap/>
            <w:hideMark/>
          </w:tcPr>
          <w:p w14:paraId="629FF1B6" w14:textId="77777777" w:rsidR="00D74D37" w:rsidRPr="00C204C5" w:rsidRDefault="00D74D37" w:rsidP="006516DA">
            <w:pPr>
              <w:jc w:val="right"/>
              <w:rPr>
                <w:rFonts w:ascii="Arial" w:eastAsia="Times New Roman" w:hAnsi="Arial" w:cs="Arial"/>
                <w:sz w:val="20"/>
                <w:szCs w:val="20"/>
                <w:lang w:eastAsia="en-GB"/>
              </w:rPr>
            </w:pPr>
            <w:r w:rsidRPr="00C204C5">
              <w:rPr>
                <w:rFonts w:ascii="Arial" w:eastAsia="Times New Roman" w:hAnsi="Arial" w:cs="Arial"/>
                <w:sz w:val="20"/>
                <w:szCs w:val="20"/>
                <w:lang w:eastAsia="en-GB"/>
              </w:rPr>
              <w:t>0.337</w:t>
            </w:r>
            <w:r w:rsidRPr="00C204C5">
              <w:rPr>
                <w:rFonts w:ascii="Arial" w:eastAsia="Times New Roman" w:hAnsi="Arial" w:cs="Arial"/>
                <w:sz w:val="20"/>
                <w:szCs w:val="20"/>
                <w:vertAlign w:val="superscript"/>
                <w:lang w:eastAsia="en-GB"/>
              </w:rPr>
              <w:t xml:space="preserve"> NS</w:t>
            </w:r>
          </w:p>
        </w:tc>
        <w:tc>
          <w:tcPr>
            <w:tcW w:w="1843" w:type="dxa"/>
            <w:noWrap/>
            <w:hideMark/>
          </w:tcPr>
          <w:p w14:paraId="2D08AE4E" w14:textId="77777777" w:rsidR="00D74D37" w:rsidRPr="00C204C5" w:rsidRDefault="00D74D37" w:rsidP="006516DA">
            <w:pPr>
              <w:jc w:val="right"/>
              <w:rPr>
                <w:rFonts w:ascii="Arial" w:eastAsia="Times New Roman" w:hAnsi="Arial" w:cs="Arial"/>
                <w:sz w:val="20"/>
                <w:szCs w:val="20"/>
                <w:lang w:eastAsia="en-GB"/>
              </w:rPr>
            </w:pPr>
            <w:r w:rsidRPr="00C204C5">
              <w:rPr>
                <w:rFonts w:ascii="Arial" w:eastAsia="Times New Roman" w:hAnsi="Arial" w:cs="Arial"/>
                <w:sz w:val="20"/>
                <w:szCs w:val="20"/>
                <w:lang w:eastAsia="en-GB"/>
              </w:rPr>
              <w:t>0.884</w:t>
            </w:r>
          </w:p>
        </w:tc>
      </w:tr>
      <w:tr w:rsidR="00D74D37" w:rsidRPr="00C204C5" w14:paraId="43C4A809" w14:textId="77777777" w:rsidTr="006516DA">
        <w:trPr>
          <w:trHeight w:val="20"/>
        </w:trPr>
        <w:tc>
          <w:tcPr>
            <w:tcW w:w="9351" w:type="dxa"/>
            <w:gridSpan w:val="3"/>
            <w:noWrap/>
            <w:vAlign w:val="center"/>
          </w:tcPr>
          <w:p w14:paraId="2E13AC45" w14:textId="77777777" w:rsidR="00D74D37" w:rsidRPr="00C204C5" w:rsidRDefault="00D74D37" w:rsidP="006516DA">
            <w:pPr>
              <w:jc w:val="center"/>
              <w:rPr>
                <w:rFonts w:ascii="Arial" w:eastAsia="Times New Roman" w:hAnsi="Arial" w:cs="Arial"/>
                <w:b/>
                <w:bCs/>
                <w:sz w:val="20"/>
                <w:szCs w:val="20"/>
                <w:lang w:eastAsia="en-GB"/>
              </w:rPr>
            </w:pPr>
            <w:r w:rsidRPr="00C204C5">
              <w:rPr>
                <w:rFonts w:ascii="Arial" w:eastAsia="Times New Roman" w:hAnsi="Arial" w:cs="Arial"/>
                <w:b/>
                <w:bCs/>
                <w:sz w:val="20"/>
                <w:szCs w:val="20"/>
                <w:lang w:eastAsia="en-GB"/>
              </w:rPr>
              <w:t>Model Values</w:t>
            </w:r>
          </w:p>
        </w:tc>
      </w:tr>
      <w:tr w:rsidR="00D74D37" w:rsidRPr="00C204C5" w14:paraId="481EB423" w14:textId="77777777" w:rsidTr="006516DA">
        <w:trPr>
          <w:trHeight w:val="20"/>
        </w:trPr>
        <w:tc>
          <w:tcPr>
            <w:tcW w:w="9351" w:type="dxa"/>
            <w:gridSpan w:val="3"/>
            <w:noWrap/>
          </w:tcPr>
          <w:p w14:paraId="6A6F3A5B" w14:textId="36D01E55" w:rsidR="00D74D37" w:rsidRPr="00C204C5" w:rsidRDefault="00D74D37" w:rsidP="006516DA">
            <w:pPr>
              <w:rPr>
                <w:rFonts w:ascii="Arial" w:eastAsia="Times New Roman" w:hAnsi="Arial" w:cs="Arial"/>
                <w:sz w:val="20"/>
                <w:szCs w:val="20"/>
                <w:lang w:eastAsia="en-GB"/>
              </w:rPr>
            </w:pPr>
            <w:r w:rsidRPr="00C204C5">
              <w:rPr>
                <w:rFonts w:ascii="Arial" w:eastAsia="Times New Roman" w:hAnsi="Arial" w:cs="Arial"/>
                <w:color w:val="000000" w:themeColor="text1"/>
                <w:sz w:val="20"/>
                <w:szCs w:val="20"/>
              </w:rPr>
              <w:lastRenderedPageBreak/>
              <w:t>Chi-square (</w:t>
            </w:r>
            <m:oMath>
              <m:sSup>
                <m:sSupPr>
                  <m:ctrlPr>
                    <w:rPr>
                      <w:rFonts w:ascii="Cambria Math" w:hAnsi="Cambria Math" w:cs="Arial"/>
                      <w:color w:val="000000" w:themeColor="text1"/>
                      <w:sz w:val="20"/>
                      <w:szCs w:val="20"/>
                      <w:lang w:val="en-IN"/>
                    </w:rPr>
                  </m:ctrlPr>
                </m:sSupPr>
                <m:e>
                  <m:r>
                    <m:rPr>
                      <m:sty m:val="p"/>
                    </m:rPr>
                    <w:rPr>
                      <w:rFonts w:ascii="Cambria Math" w:hAnsi="Cambria Math" w:cs="Arial"/>
                      <w:color w:val="000000" w:themeColor="text1"/>
                      <w:sz w:val="20"/>
                      <w:szCs w:val="20"/>
                      <w:lang w:val="en-IN"/>
                    </w:rPr>
                    <m:t>χ</m:t>
                  </m:r>
                </m:e>
                <m:sup>
                  <m:r>
                    <m:rPr>
                      <m:sty m:val="p"/>
                    </m:rPr>
                    <w:rPr>
                      <w:rFonts w:ascii="Cambria Math" w:hAnsi="Cambria Math" w:cs="Arial"/>
                      <w:color w:val="000000" w:themeColor="text1"/>
                      <w:sz w:val="20"/>
                      <w:szCs w:val="20"/>
                      <w:lang w:val="en-IN"/>
                    </w:rPr>
                    <m:t>2</m:t>
                  </m:r>
                </m:sup>
              </m:sSup>
            </m:oMath>
            <w:r w:rsidRPr="00C204C5">
              <w:rPr>
                <w:rFonts w:ascii="Arial" w:eastAsia="Times New Roman" w:hAnsi="Arial" w:cs="Arial"/>
                <w:sz w:val="20"/>
                <w:szCs w:val="20"/>
                <w:lang w:eastAsia="en-GB"/>
              </w:rPr>
              <w:t>(</w:t>
            </w:r>
            <w:proofErr w:type="gramStart"/>
            <w:r w:rsidRPr="00C204C5">
              <w:rPr>
                <w:rFonts w:ascii="Arial" w:eastAsia="Times New Roman" w:hAnsi="Arial" w:cs="Arial"/>
                <w:sz w:val="20"/>
                <w:szCs w:val="20"/>
                <w:lang w:eastAsia="en-GB"/>
              </w:rPr>
              <w:t>6)=</w:t>
            </w:r>
            <w:proofErr w:type="gramEnd"/>
            <w:r w:rsidRPr="00C204C5">
              <w:rPr>
                <w:rFonts w:ascii="Arial" w:eastAsia="Times New Roman" w:hAnsi="Arial" w:cs="Arial"/>
                <w:sz w:val="20"/>
                <w:szCs w:val="20"/>
                <w:lang w:eastAsia="en-GB"/>
              </w:rPr>
              <w:t xml:space="preserve"> 18.848,</w:t>
            </w:r>
            <w:r w:rsidRPr="00C204C5">
              <w:rPr>
                <w:rFonts w:ascii="Arial" w:hAnsi="Arial" w:cs="Arial"/>
                <w:color w:val="000000" w:themeColor="text1"/>
                <w:sz w:val="20"/>
                <w:szCs w:val="20"/>
                <w:lang w:val="en-IN"/>
              </w:rPr>
              <w:t xml:space="preserve"> </w:t>
            </w:r>
            <w:r w:rsidR="00ED4B15" w:rsidRPr="00ED4B15">
              <w:rPr>
                <w:rFonts w:ascii="Arial" w:hAnsi="Arial" w:cs="Arial"/>
                <w:i/>
                <w:iCs/>
                <w:color w:val="000000" w:themeColor="text1"/>
                <w:sz w:val="20"/>
                <w:szCs w:val="20"/>
                <w:lang w:val="en-IN"/>
              </w:rPr>
              <w:t>P</w:t>
            </w:r>
            <w:r w:rsidR="00ED4B15">
              <w:rPr>
                <w:rFonts w:ascii="Arial" w:hAnsi="Arial" w:cs="Arial"/>
                <w:color w:val="000000" w:themeColor="text1"/>
                <w:sz w:val="20"/>
                <w:szCs w:val="20"/>
                <w:lang w:val="en-IN"/>
              </w:rPr>
              <w:t xml:space="preserve">= </w:t>
            </w:r>
            <w:r w:rsidRPr="00C204C5">
              <w:rPr>
                <w:rFonts w:ascii="Arial" w:hAnsi="Arial" w:cs="Arial"/>
                <w:color w:val="000000" w:themeColor="text1"/>
                <w:sz w:val="20"/>
                <w:szCs w:val="20"/>
                <w:lang w:val="en-IN"/>
              </w:rPr>
              <w:t>.01)</w:t>
            </w:r>
          </w:p>
        </w:tc>
      </w:tr>
      <w:tr w:rsidR="00D74D37" w:rsidRPr="00C204C5" w14:paraId="37A0211F" w14:textId="77777777" w:rsidTr="006516DA">
        <w:trPr>
          <w:trHeight w:val="20"/>
        </w:trPr>
        <w:tc>
          <w:tcPr>
            <w:tcW w:w="9351" w:type="dxa"/>
            <w:gridSpan w:val="3"/>
            <w:noWrap/>
          </w:tcPr>
          <w:p w14:paraId="5CF17EF3" w14:textId="77777777" w:rsidR="00D74D37" w:rsidRPr="00C204C5" w:rsidRDefault="00D74D37" w:rsidP="006516DA">
            <w:pPr>
              <w:rPr>
                <w:rFonts w:ascii="Arial" w:eastAsia="Times New Roman" w:hAnsi="Arial" w:cs="Arial"/>
                <w:sz w:val="20"/>
                <w:szCs w:val="20"/>
                <w:lang w:eastAsia="en-GB"/>
              </w:rPr>
            </w:pPr>
            <w:r w:rsidRPr="00C204C5">
              <w:rPr>
                <w:rFonts w:ascii="Arial" w:eastAsia="Times New Roman" w:hAnsi="Arial" w:cs="Arial"/>
                <w:sz w:val="20"/>
                <w:szCs w:val="20"/>
                <w:lang w:eastAsia="en-GB"/>
              </w:rPr>
              <w:t>Nagelkerke (Pseudo) R square= 0.673</w:t>
            </w:r>
          </w:p>
        </w:tc>
      </w:tr>
    </w:tbl>
    <w:p w14:paraId="15236ADF" w14:textId="77777777" w:rsidR="00D74D37" w:rsidRPr="000F016A" w:rsidRDefault="00D74D37" w:rsidP="00D74D37">
      <w:pPr>
        <w:jc w:val="both"/>
        <w:rPr>
          <w:rFonts w:ascii="Arial" w:hAnsi="Arial" w:cs="Arial"/>
          <w:sz w:val="18"/>
          <w:szCs w:val="18"/>
        </w:rPr>
      </w:pPr>
      <w:r w:rsidRPr="000F016A">
        <w:rPr>
          <w:rFonts w:ascii="Arial" w:hAnsi="Arial" w:cs="Arial"/>
          <w:sz w:val="18"/>
          <w:szCs w:val="18"/>
        </w:rPr>
        <w:t>Note: Dependent variable: Preference of selling bio-pesticides over chemical pesticides (yes or no)</w:t>
      </w:r>
    </w:p>
    <w:p w14:paraId="0AC7A0DE"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 Significant at five per cent level of probability</w:t>
      </w:r>
    </w:p>
    <w:p w14:paraId="27730C70"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 Significant at one per cent level of probability</w:t>
      </w:r>
    </w:p>
    <w:p w14:paraId="03B0E97A" w14:textId="77777777" w:rsidR="00D74D37" w:rsidRPr="000F016A" w:rsidRDefault="00D74D37" w:rsidP="00D74D37">
      <w:pPr>
        <w:jc w:val="both"/>
        <w:rPr>
          <w:rFonts w:ascii="Arial" w:hAnsi="Arial" w:cs="Arial"/>
          <w:i/>
          <w:iCs/>
          <w:color w:val="000000" w:themeColor="text1"/>
          <w:sz w:val="18"/>
          <w:szCs w:val="18"/>
          <w:lang w:val="en-IN"/>
        </w:rPr>
      </w:pPr>
      <w:r w:rsidRPr="000F016A">
        <w:rPr>
          <w:rFonts w:ascii="Arial" w:hAnsi="Arial" w:cs="Arial"/>
          <w:i/>
          <w:iCs/>
          <w:color w:val="000000" w:themeColor="text1"/>
          <w:sz w:val="18"/>
          <w:szCs w:val="18"/>
          <w:lang w:val="en-IN"/>
        </w:rPr>
        <w:t>Source: Researcher’s computation from field data through SPSS</w:t>
      </w:r>
    </w:p>
    <w:p w14:paraId="34F9970E" w14:textId="77777777" w:rsidR="00D74D37" w:rsidRDefault="00D74D37" w:rsidP="00D74D37">
      <w:pPr>
        <w:jc w:val="both"/>
        <w:rPr>
          <w:rFonts w:ascii="Arial" w:hAnsi="Arial" w:cs="Arial"/>
        </w:rPr>
      </w:pPr>
      <w:bookmarkStart w:id="12" w:name="_Hlk150463424"/>
      <w:bookmarkStart w:id="13" w:name="_Hlk150935040"/>
    </w:p>
    <w:p w14:paraId="6624D497" w14:textId="77777777" w:rsidR="00D74D37" w:rsidRPr="00C204C5" w:rsidRDefault="00D74D37" w:rsidP="00D74D37">
      <w:pPr>
        <w:ind w:firstLine="567"/>
        <w:jc w:val="both"/>
        <w:rPr>
          <w:rFonts w:ascii="Arial" w:hAnsi="Arial" w:cs="Arial"/>
        </w:rPr>
      </w:pPr>
      <w:r w:rsidRPr="00C204C5">
        <w:rPr>
          <w:rFonts w:ascii="Arial" w:hAnsi="Arial" w:cs="Arial"/>
        </w:rPr>
        <w:t>A logistic regression analysis was performed, where out of the ten independent variables which included both categorical and continuous variables, a significant association was found between one categorical predictor i.e. ‘DAESI (Diploma in Agricultural Extension Services for Input Dealers) certification’ with the categorical dependent variable i.e. ‘preference of selling bio-pesticides over chemical pesticides’ with a coefficient value of 4.252 with one percent level of probability. In the logistic regression model, Pseudo (Nagelkerke) R square was found to be 0.673, indicating a better fit of the model</w:t>
      </w:r>
      <w:bookmarkEnd w:id="12"/>
      <w:r w:rsidRPr="00C204C5">
        <w:rPr>
          <w:rFonts w:ascii="Arial" w:hAnsi="Arial" w:cs="Arial"/>
        </w:rPr>
        <w:t xml:space="preserve">, as shown in the Table </w:t>
      </w:r>
      <w:r>
        <w:rPr>
          <w:rFonts w:ascii="Arial" w:hAnsi="Arial" w:cs="Arial"/>
        </w:rPr>
        <w:t>5</w:t>
      </w:r>
      <w:r w:rsidRPr="00C204C5">
        <w:rPr>
          <w:rFonts w:ascii="Arial" w:hAnsi="Arial" w:cs="Arial"/>
        </w:rPr>
        <w:t>.</w:t>
      </w:r>
    </w:p>
    <w:bookmarkEnd w:id="8"/>
    <w:bookmarkEnd w:id="13"/>
    <w:p w14:paraId="2DFCA343" w14:textId="77777777" w:rsidR="00D74D37" w:rsidRPr="00C204C5" w:rsidRDefault="00D74D37" w:rsidP="00D74D37">
      <w:pPr>
        <w:rPr>
          <w:rFonts w:ascii="Arial" w:hAnsi="Arial" w:cs="Arial"/>
        </w:rPr>
      </w:pPr>
    </w:p>
    <w:p w14:paraId="50100539" w14:textId="77777777" w:rsidR="00D74D37" w:rsidRPr="00D502F1" w:rsidRDefault="00D74D37" w:rsidP="00D74D37">
      <w:pPr>
        <w:jc w:val="both"/>
        <w:rPr>
          <w:rFonts w:ascii="Arial" w:hAnsi="Arial" w:cs="Arial"/>
          <w:b/>
          <w:bCs/>
        </w:rPr>
      </w:pPr>
      <w:r>
        <w:rPr>
          <w:rFonts w:ascii="Arial" w:hAnsi="Arial" w:cs="Arial"/>
          <w:b/>
          <w:bCs/>
        </w:rPr>
        <w:t xml:space="preserve">Objective </w:t>
      </w:r>
      <w:r w:rsidRPr="00D502F1">
        <w:rPr>
          <w:rFonts w:ascii="Arial" w:hAnsi="Arial" w:cs="Arial"/>
          <w:b/>
          <w:bCs/>
        </w:rPr>
        <w:t>4.</w:t>
      </w:r>
      <w:r>
        <w:rPr>
          <w:rFonts w:ascii="Arial" w:hAnsi="Arial" w:cs="Arial"/>
          <w:b/>
          <w:bCs/>
        </w:rPr>
        <w:t xml:space="preserve"> </w:t>
      </w:r>
      <w:r w:rsidRPr="00D502F1">
        <w:rPr>
          <w:rFonts w:ascii="Arial" w:hAnsi="Arial" w:cs="Arial"/>
          <w:b/>
          <w:bCs/>
        </w:rPr>
        <w:t>To assess the attitude of pesticide dealers/retailers towards different sales and marketing activities of pesticides</w:t>
      </w:r>
    </w:p>
    <w:p w14:paraId="11A54B47" w14:textId="77777777" w:rsidR="00D74D37" w:rsidRPr="00D502F1" w:rsidRDefault="00D74D37" w:rsidP="00D74D37">
      <w:pPr>
        <w:jc w:val="both"/>
        <w:rPr>
          <w:rFonts w:ascii="Arial" w:hAnsi="Arial" w:cs="Arial"/>
        </w:rPr>
      </w:pPr>
    </w:p>
    <w:p w14:paraId="0D45A808" w14:textId="77777777" w:rsidR="00D74D37" w:rsidRPr="00D502F1" w:rsidRDefault="00D74D37" w:rsidP="00D74D37">
      <w:pPr>
        <w:ind w:firstLine="567"/>
        <w:jc w:val="both"/>
        <w:rPr>
          <w:rFonts w:ascii="Arial" w:hAnsi="Arial" w:cs="Arial"/>
        </w:rPr>
      </w:pPr>
      <w:r w:rsidRPr="00D502F1">
        <w:rPr>
          <w:rFonts w:ascii="Arial" w:hAnsi="Arial" w:cs="Arial"/>
        </w:rPr>
        <w:t xml:space="preserve">The attitude of the dealers and retailers regarding different sales and marketing strategies of the pesticide-based companies are regarded as important aspects of business. To </w:t>
      </w:r>
      <w:proofErr w:type="spellStart"/>
      <w:r w:rsidRPr="00D502F1">
        <w:rPr>
          <w:rFonts w:ascii="Arial" w:hAnsi="Arial" w:cs="Arial"/>
        </w:rPr>
        <w:t>analyse</w:t>
      </w:r>
      <w:proofErr w:type="spellEnd"/>
      <w:r w:rsidRPr="00D502F1">
        <w:rPr>
          <w:rFonts w:ascii="Arial" w:hAnsi="Arial" w:cs="Arial"/>
        </w:rPr>
        <w:t xml:space="preserve"> this objective, percentage method was performed and interpreted with the help of suitable figures viz. pie-charts and bar-diagrams. </w:t>
      </w:r>
    </w:p>
    <w:p w14:paraId="444BE817" w14:textId="77777777" w:rsidR="00D74D37" w:rsidRPr="00D502F1" w:rsidRDefault="00D74D37" w:rsidP="00D74D37">
      <w:pPr>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D74D37" w:rsidRPr="00D502F1" w14:paraId="7BA1227A" w14:textId="77777777" w:rsidTr="006516DA">
        <w:tc>
          <w:tcPr>
            <w:tcW w:w="4653" w:type="dxa"/>
          </w:tcPr>
          <w:p w14:paraId="2F138223" w14:textId="77777777" w:rsidR="00D74D37" w:rsidRPr="00D502F1" w:rsidRDefault="00D74D37" w:rsidP="006516DA">
            <w:pPr>
              <w:jc w:val="both"/>
              <w:rPr>
                <w:rFonts w:ascii="Arial" w:hAnsi="Arial" w:cs="Arial"/>
                <w:sz w:val="20"/>
                <w:szCs w:val="20"/>
              </w:rPr>
            </w:pPr>
            <w:r w:rsidRPr="00D502F1">
              <w:rPr>
                <w:rFonts w:ascii="Arial" w:hAnsi="Arial" w:cs="Arial"/>
                <w:noProof/>
                <w:lang w:val="en-IN" w:eastAsia="en-IN"/>
              </w:rPr>
              <w:drawing>
                <wp:inline distT="0" distB="0" distL="0" distR="0" wp14:anchorId="25CA620D" wp14:editId="60205FE4">
                  <wp:extent cx="2788920" cy="1736090"/>
                  <wp:effectExtent l="0" t="0" r="11430" b="16510"/>
                  <wp:docPr id="1832402094" name="Chart 1">
                    <a:extLst xmlns:a="http://schemas.openxmlformats.org/drawingml/2006/main">
                      <a:ext uri="{FF2B5EF4-FFF2-40B4-BE49-F238E27FC236}">
                        <a16:creationId xmlns:a16="http://schemas.microsoft.com/office/drawing/2014/main" id="{67A4221C-BA2D-0BC7-80BB-657EB59A2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373" w:type="dxa"/>
          </w:tcPr>
          <w:p w14:paraId="1A745302" w14:textId="77777777" w:rsidR="00D74D37" w:rsidRPr="00D502F1" w:rsidRDefault="00D74D37" w:rsidP="006516DA">
            <w:pPr>
              <w:jc w:val="both"/>
              <w:rPr>
                <w:rFonts w:ascii="Arial" w:hAnsi="Arial" w:cs="Arial"/>
                <w:sz w:val="20"/>
                <w:szCs w:val="20"/>
              </w:rPr>
            </w:pPr>
            <w:r w:rsidRPr="00D502F1">
              <w:rPr>
                <w:rFonts w:ascii="Arial" w:hAnsi="Arial" w:cs="Arial"/>
                <w:noProof/>
                <w:lang w:val="en-IN" w:eastAsia="en-IN"/>
              </w:rPr>
              <w:drawing>
                <wp:inline distT="0" distB="0" distL="0" distR="0" wp14:anchorId="550B9F7E" wp14:editId="39F293AB">
                  <wp:extent cx="2783205" cy="1736090"/>
                  <wp:effectExtent l="0" t="0" r="17145" b="16510"/>
                  <wp:docPr id="1136304478" name="Chart 1">
                    <a:extLst xmlns:a="http://schemas.openxmlformats.org/drawingml/2006/main">
                      <a:ext uri="{FF2B5EF4-FFF2-40B4-BE49-F238E27FC236}">
                        <a16:creationId xmlns:a16="http://schemas.microsoft.com/office/drawing/2014/main" id="{27197AA4-F1FC-C8FC-98A1-CD8D159F9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D74D37" w:rsidRPr="00D502F1" w14:paraId="170AC2CA" w14:textId="77777777" w:rsidTr="006516DA">
        <w:tc>
          <w:tcPr>
            <w:tcW w:w="4653" w:type="dxa"/>
          </w:tcPr>
          <w:p w14:paraId="6FB4AFB5" w14:textId="77777777" w:rsidR="00D74D37" w:rsidRPr="00D502F1" w:rsidRDefault="00D74D37" w:rsidP="006516DA">
            <w:pPr>
              <w:jc w:val="both"/>
              <w:rPr>
                <w:rFonts w:ascii="Arial" w:hAnsi="Arial" w:cs="Arial"/>
                <w:sz w:val="20"/>
                <w:szCs w:val="20"/>
              </w:rPr>
            </w:pPr>
            <w:r w:rsidRPr="00D502F1">
              <w:rPr>
                <w:rFonts w:ascii="Arial" w:hAnsi="Arial" w:cs="Arial"/>
                <w:noProof/>
                <w:lang w:val="en-IN" w:eastAsia="en-IN"/>
              </w:rPr>
              <w:drawing>
                <wp:inline distT="0" distB="0" distL="0" distR="0" wp14:anchorId="2A17DA5E" wp14:editId="70211A6B">
                  <wp:extent cx="2788920" cy="2002155"/>
                  <wp:effectExtent l="0" t="0" r="11430" b="17145"/>
                  <wp:docPr id="325470810" name="Chart 1">
                    <a:extLst xmlns:a="http://schemas.openxmlformats.org/drawingml/2006/main">
                      <a:ext uri="{FF2B5EF4-FFF2-40B4-BE49-F238E27FC236}">
                        <a16:creationId xmlns:a16="http://schemas.microsoft.com/office/drawing/2014/main" id="{D73A2773-334D-35BC-7441-9329E740B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373" w:type="dxa"/>
          </w:tcPr>
          <w:p w14:paraId="01C5A9AB" w14:textId="77777777" w:rsidR="00D74D37" w:rsidRPr="00D502F1" w:rsidRDefault="00D74D37" w:rsidP="006516DA">
            <w:pPr>
              <w:jc w:val="both"/>
              <w:rPr>
                <w:rFonts w:ascii="Arial" w:hAnsi="Arial" w:cs="Arial"/>
                <w:sz w:val="20"/>
                <w:szCs w:val="20"/>
              </w:rPr>
            </w:pPr>
            <w:r w:rsidRPr="00D502F1">
              <w:rPr>
                <w:rFonts w:ascii="Arial" w:hAnsi="Arial" w:cs="Arial"/>
                <w:noProof/>
                <w:lang w:val="en-IN" w:eastAsia="en-IN"/>
              </w:rPr>
              <w:drawing>
                <wp:inline distT="0" distB="0" distL="0" distR="0" wp14:anchorId="40FF65A5" wp14:editId="20EB3EA3">
                  <wp:extent cx="2783205" cy="2002420"/>
                  <wp:effectExtent l="0" t="0" r="17145" b="17145"/>
                  <wp:docPr id="1099582409" name="Chart 1">
                    <a:extLst xmlns:a="http://schemas.openxmlformats.org/drawingml/2006/main">
                      <a:ext uri="{FF2B5EF4-FFF2-40B4-BE49-F238E27FC236}">
                        <a16:creationId xmlns:a16="http://schemas.microsoft.com/office/drawing/2014/main" id="{2DE85AE9-E06A-478B-CDD5-3B2842AB5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D74D37" w:rsidRPr="00D502F1" w14:paraId="3FB27276" w14:textId="77777777" w:rsidTr="006516DA">
        <w:tc>
          <w:tcPr>
            <w:tcW w:w="4653" w:type="dxa"/>
          </w:tcPr>
          <w:p w14:paraId="12DF85AC" w14:textId="77777777" w:rsidR="00D74D37" w:rsidRPr="00D502F1" w:rsidRDefault="00D74D37" w:rsidP="006516DA">
            <w:pPr>
              <w:jc w:val="both"/>
              <w:rPr>
                <w:rFonts w:ascii="Arial" w:hAnsi="Arial" w:cs="Arial"/>
                <w:sz w:val="20"/>
                <w:szCs w:val="20"/>
              </w:rPr>
            </w:pPr>
            <w:r w:rsidRPr="00D502F1">
              <w:rPr>
                <w:rFonts w:ascii="Arial" w:hAnsi="Arial" w:cs="Arial"/>
                <w:noProof/>
                <w:lang w:val="en-IN" w:eastAsia="en-IN"/>
              </w:rPr>
              <w:lastRenderedPageBreak/>
              <w:drawing>
                <wp:inline distT="0" distB="0" distL="0" distR="0" wp14:anchorId="7BCEC8EE" wp14:editId="46FF4ADF">
                  <wp:extent cx="2788920" cy="1899920"/>
                  <wp:effectExtent l="0" t="0" r="11430" b="5080"/>
                  <wp:docPr id="612759853" name="Chart 1">
                    <a:extLst xmlns:a="http://schemas.openxmlformats.org/drawingml/2006/main">
                      <a:ext uri="{FF2B5EF4-FFF2-40B4-BE49-F238E27FC236}">
                        <a16:creationId xmlns:a16="http://schemas.microsoft.com/office/drawing/2014/main" id="{D4A96639-94DD-C86F-3DB2-FEAB42912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373" w:type="dxa"/>
          </w:tcPr>
          <w:p w14:paraId="2417CA23" w14:textId="77777777" w:rsidR="00D74D37" w:rsidRPr="00D502F1" w:rsidRDefault="00D74D37" w:rsidP="006516DA">
            <w:pPr>
              <w:jc w:val="both"/>
              <w:rPr>
                <w:rFonts w:ascii="Arial" w:hAnsi="Arial" w:cs="Arial"/>
                <w:sz w:val="20"/>
                <w:szCs w:val="20"/>
              </w:rPr>
            </w:pPr>
            <w:r w:rsidRPr="00D502F1">
              <w:rPr>
                <w:rFonts w:ascii="Arial" w:hAnsi="Arial" w:cs="Arial"/>
                <w:noProof/>
                <w:lang w:val="en-IN" w:eastAsia="en-IN"/>
              </w:rPr>
              <w:drawing>
                <wp:inline distT="0" distB="0" distL="0" distR="0" wp14:anchorId="4AE822F4" wp14:editId="4691D198">
                  <wp:extent cx="2783205" cy="1899920"/>
                  <wp:effectExtent l="0" t="0" r="17145" b="5080"/>
                  <wp:docPr id="2139460433" name="Chart 1">
                    <a:extLst xmlns:a="http://schemas.openxmlformats.org/drawingml/2006/main">
                      <a:ext uri="{FF2B5EF4-FFF2-40B4-BE49-F238E27FC236}">
                        <a16:creationId xmlns:a16="http://schemas.microsoft.com/office/drawing/2014/main" id="{6523446D-7C46-B608-08A1-1FC070472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3BDDF93A" w14:textId="77777777" w:rsidR="00D74D37" w:rsidRPr="009D34B4" w:rsidRDefault="00D74D37" w:rsidP="00D74D37">
      <w:pPr>
        <w:jc w:val="both"/>
        <w:rPr>
          <w:rFonts w:ascii="Arial" w:hAnsi="Arial" w:cs="Arial"/>
          <w:b/>
          <w:bCs/>
          <w:sz w:val="18"/>
          <w:szCs w:val="18"/>
        </w:rPr>
      </w:pPr>
      <w:r w:rsidRPr="009D34B4">
        <w:rPr>
          <w:rFonts w:ascii="Arial" w:hAnsi="Arial" w:cs="Arial"/>
          <w:b/>
          <w:bCs/>
          <w:sz w:val="18"/>
          <w:szCs w:val="18"/>
        </w:rPr>
        <w:t>Figure 4.  Attitudinal pattern of dealers/retailers towards companies’ strategies</w:t>
      </w:r>
    </w:p>
    <w:p w14:paraId="4DAEF02D" w14:textId="77777777" w:rsidR="00D74D37" w:rsidRPr="009D34B4" w:rsidRDefault="00D74D37" w:rsidP="00D74D37">
      <w:pPr>
        <w:jc w:val="both"/>
        <w:rPr>
          <w:rFonts w:ascii="Arial" w:hAnsi="Arial" w:cs="Arial"/>
          <w:i/>
          <w:iCs/>
          <w:sz w:val="18"/>
          <w:szCs w:val="18"/>
        </w:rPr>
      </w:pPr>
      <w:r w:rsidRPr="009D34B4">
        <w:rPr>
          <w:rFonts w:ascii="Arial" w:hAnsi="Arial" w:cs="Arial"/>
          <w:i/>
          <w:iCs/>
          <w:sz w:val="18"/>
          <w:szCs w:val="18"/>
        </w:rPr>
        <w:t>Source: Researcher’s computation from the primary data</w:t>
      </w:r>
    </w:p>
    <w:p w14:paraId="4B40BA79" w14:textId="77777777" w:rsidR="00D74D37" w:rsidRDefault="00D74D37" w:rsidP="00D74D37">
      <w:pPr>
        <w:jc w:val="both"/>
        <w:rPr>
          <w:rFonts w:ascii="Arial" w:hAnsi="Arial" w:cs="Arial"/>
        </w:rPr>
      </w:pPr>
    </w:p>
    <w:p w14:paraId="0D3EA2C8" w14:textId="77777777" w:rsidR="00D74D37" w:rsidRPr="00D502F1" w:rsidRDefault="00D74D37" w:rsidP="00D74D37">
      <w:pPr>
        <w:ind w:firstLine="567"/>
        <w:jc w:val="both"/>
        <w:rPr>
          <w:rFonts w:ascii="Arial" w:hAnsi="Arial" w:cs="Arial"/>
        </w:rPr>
      </w:pPr>
      <w:r w:rsidRPr="00D502F1">
        <w:rPr>
          <w:rFonts w:ascii="Arial" w:hAnsi="Arial" w:cs="Arial"/>
        </w:rPr>
        <w:t xml:space="preserve">It was found from the Figure 4 that </w:t>
      </w:r>
      <w:bookmarkStart w:id="14" w:name="_Hlk150935068"/>
      <w:r w:rsidRPr="00D502F1">
        <w:rPr>
          <w:rFonts w:ascii="Arial" w:hAnsi="Arial" w:cs="Arial"/>
        </w:rPr>
        <w:t>59 per cent of the respondents had preference for national level tours and only 7 per cent of the respondents showed their interest for international level tours. While conducting business with national and multinational companies, 52 per cent of the respondents preferred to do business with local level companies followed by 26 per with all types of companies, 18 per cent with national level and only four per cent with international level companies. For the smooth running of business, 63 per cent of sample dealers and retailers preferred company representatives with business-oriented attributes, followed by helpfulness with 19 per cent and friendliness with 18 per cent. While taking into consideration monetary transaction, 56 per cent of the sample dealers and retailers preferred to do pesticide business in cash and 22% each for credit and both credit as well as cash transaction. Taking business expansion, 81 per cent of sample had business enhancement plan and rest had no plan.</w:t>
      </w:r>
    </w:p>
    <w:bookmarkEnd w:id="14"/>
    <w:p w14:paraId="36F77892" w14:textId="77777777" w:rsidR="00D74D37" w:rsidRPr="00D502F1" w:rsidRDefault="00D74D37" w:rsidP="00D74D37">
      <w:pPr>
        <w:jc w:val="both"/>
        <w:rPr>
          <w:rFonts w:ascii="Arial" w:hAnsi="Arial" w:cs="Arial"/>
        </w:rPr>
      </w:pPr>
      <w:r w:rsidRPr="00D502F1">
        <w:rPr>
          <w:rFonts w:ascii="Arial" w:hAnsi="Arial" w:cs="Arial"/>
          <w:noProof/>
          <w:lang w:val="en-IN" w:eastAsia="en-IN"/>
        </w:rPr>
        <w:drawing>
          <wp:inline distT="0" distB="0" distL="0" distR="0" wp14:anchorId="63227DB9" wp14:editId="3D3E0351">
            <wp:extent cx="5731510" cy="3269848"/>
            <wp:effectExtent l="0" t="0" r="2540" b="6985"/>
            <wp:docPr id="350273744" name="Chart 1">
              <a:extLst xmlns:a="http://schemas.openxmlformats.org/drawingml/2006/main">
                <a:ext uri="{FF2B5EF4-FFF2-40B4-BE49-F238E27FC236}">
                  <a16:creationId xmlns:a16="http://schemas.microsoft.com/office/drawing/2014/main" id="{790B44CB-AABF-31A7-0E86-4241C0123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D94F6E" w14:textId="77777777" w:rsidR="00D74D37" w:rsidRPr="00150F56" w:rsidRDefault="00D74D37" w:rsidP="00D74D37">
      <w:pPr>
        <w:jc w:val="both"/>
        <w:rPr>
          <w:rFonts w:ascii="Arial" w:hAnsi="Arial" w:cs="Arial"/>
          <w:b/>
          <w:bCs/>
          <w:sz w:val="18"/>
          <w:szCs w:val="18"/>
        </w:rPr>
      </w:pPr>
      <w:r w:rsidRPr="00150F56">
        <w:rPr>
          <w:rFonts w:ascii="Arial" w:hAnsi="Arial" w:cs="Arial"/>
          <w:b/>
          <w:bCs/>
          <w:sz w:val="18"/>
          <w:szCs w:val="18"/>
        </w:rPr>
        <w:t>Figure 5. Preference of sales and promotional tools by the dealers/retailers</w:t>
      </w:r>
    </w:p>
    <w:p w14:paraId="01C9195D" w14:textId="77777777" w:rsidR="00D74D37" w:rsidRPr="00150F56" w:rsidRDefault="00D74D37" w:rsidP="00D74D37">
      <w:pPr>
        <w:jc w:val="both"/>
        <w:rPr>
          <w:rFonts w:ascii="Arial" w:hAnsi="Arial" w:cs="Arial"/>
          <w:i/>
          <w:iCs/>
          <w:sz w:val="18"/>
          <w:szCs w:val="18"/>
        </w:rPr>
      </w:pPr>
      <w:r w:rsidRPr="00150F56">
        <w:rPr>
          <w:rFonts w:ascii="Arial" w:hAnsi="Arial" w:cs="Arial"/>
          <w:i/>
          <w:iCs/>
          <w:sz w:val="18"/>
          <w:szCs w:val="18"/>
        </w:rPr>
        <w:t>Source: Researcher’s computation from the primary data</w:t>
      </w:r>
    </w:p>
    <w:p w14:paraId="1ADEB591" w14:textId="77777777" w:rsidR="00D74D37" w:rsidRPr="00D502F1" w:rsidRDefault="00D74D37" w:rsidP="00D74D37">
      <w:pPr>
        <w:jc w:val="both"/>
        <w:rPr>
          <w:rFonts w:ascii="Arial" w:hAnsi="Arial" w:cs="Arial"/>
        </w:rPr>
      </w:pPr>
    </w:p>
    <w:p w14:paraId="6CE838AB" w14:textId="77777777" w:rsidR="00D74D37" w:rsidRPr="00D502F1" w:rsidRDefault="00D74D37" w:rsidP="00D74D37">
      <w:pPr>
        <w:ind w:firstLine="567"/>
        <w:jc w:val="both"/>
        <w:rPr>
          <w:rFonts w:ascii="Arial" w:hAnsi="Arial" w:cs="Arial"/>
          <w:lang w:eastAsia="en-GB"/>
        </w:rPr>
      </w:pPr>
      <w:r w:rsidRPr="00D502F1">
        <w:rPr>
          <w:rFonts w:ascii="Arial" w:hAnsi="Arial" w:cs="Arial"/>
        </w:rPr>
        <w:t xml:space="preserve">From the Figure 5, it can be observed that the </w:t>
      </w:r>
      <w:bookmarkStart w:id="15" w:name="_Hlk150935085"/>
      <w:r w:rsidRPr="00D502F1">
        <w:rPr>
          <w:rFonts w:ascii="Arial" w:hAnsi="Arial" w:cs="Arial"/>
        </w:rPr>
        <w:t>major promotional tool preferred by the dealers and retailers are ‘</w:t>
      </w:r>
      <w:r w:rsidRPr="00D502F1">
        <w:rPr>
          <w:rFonts w:ascii="Arial" w:hAnsi="Arial" w:cs="Arial"/>
          <w:lang w:eastAsia="en-GB"/>
        </w:rPr>
        <w:t>outside posters/ banners (96.30 per cent)’, ‘followed by farmers meeting (92.59 per cent)’, ‘field visits (88.89 per cent)’, ‘point of purchase materials (85.19 per cent)’, ‘promotional schemes or packages (77.78 per cent)’, ‘jeep campaigning (66.67 per cent)’, ‘personal accessories for dealers (59.26 per cent)’, ‘channel partners meeting (55.56)’, ‘mega farmers meetings (48.15 per cent)’, ‘crop seminars (37.04 per cent)’and ‘need company staff at store (29.63 per cent)’.</w:t>
      </w:r>
      <w:bookmarkEnd w:id="15"/>
    </w:p>
    <w:p w14:paraId="23D2E36C" w14:textId="77777777" w:rsidR="00D74D37" w:rsidRPr="00D502F1" w:rsidRDefault="00D74D37" w:rsidP="00D74D37">
      <w:pPr>
        <w:jc w:val="both"/>
        <w:rPr>
          <w:rFonts w:ascii="Arial" w:hAnsi="Arial" w:cs="Arial"/>
          <w:b/>
          <w:bCs/>
        </w:rPr>
      </w:pPr>
    </w:p>
    <w:p w14:paraId="6C6B5DE7" w14:textId="77777777" w:rsidR="00D74D37" w:rsidRPr="00D502F1" w:rsidRDefault="00D74D37" w:rsidP="00D74D37">
      <w:pPr>
        <w:jc w:val="both"/>
        <w:rPr>
          <w:rFonts w:ascii="Arial" w:hAnsi="Arial" w:cs="Arial"/>
          <w:b/>
          <w:bCs/>
        </w:rPr>
      </w:pPr>
      <w:r>
        <w:rPr>
          <w:rFonts w:ascii="Arial" w:hAnsi="Arial" w:cs="Arial"/>
          <w:b/>
          <w:bCs/>
        </w:rPr>
        <w:t xml:space="preserve">Objective 5. </w:t>
      </w:r>
      <w:r w:rsidRPr="00D502F1">
        <w:rPr>
          <w:rFonts w:ascii="Arial" w:hAnsi="Arial" w:cs="Arial"/>
          <w:b/>
          <w:bCs/>
        </w:rPr>
        <w:t>To identify the constraints faced by dealers/retailers in pesticide business</w:t>
      </w:r>
    </w:p>
    <w:p w14:paraId="6DFE658B" w14:textId="77777777" w:rsidR="00D74D37" w:rsidRPr="00D502F1" w:rsidRDefault="00D74D37" w:rsidP="00D74D37">
      <w:pPr>
        <w:jc w:val="both"/>
        <w:rPr>
          <w:rFonts w:ascii="Arial" w:hAnsi="Arial" w:cs="Arial"/>
        </w:rPr>
      </w:pPr>
      <w:r w:rsidRPr="00D502F1">
        <w:rPr>
          <w:rFonts w:ascii="Arial" w:hAnsi="Arial" w:cs="Arial"/>
        </w:rPr>
        <w:lastRenderedPageBreak/>
        <w:t xml:space="preserve">A constraint in business management is any limitation or risk that must be accounted for over the duration of the business life cycle. Under this objective, Arithmetic Mean (Average) was performed to </w:t>
      </w:r>
      <w:proofErr w:type="spellStart"/>
      <w:r w:rsidRPr="00D502F1">
        <w:rPr>
          <w:rFonts w:ascii="Arial" w:hAnsi="Arial" w:cs="Arial"/>
        </w:rPr>
        <w:t>analyse</w:t>
      </w:r>
      <w:proofErr w:type="spellEnd"/>
      <w:r w:rsidRPr="00D502F1">
        <w:rPr>
          <w:rFonts w:ascii="Arial" w:hAnsi="Arial" w:cs="Arial"/>
        </w:rPr>
        <w:t xml:space="preserve"> the data. For the analysis, major constraints were identified from the literature review. </w:t>
      </w:r>
    </w:p>
    <w:p w14:paraId="538A84CC" w14:textId="77777777" w:rsidR="00D74D37" w:rsidRDefault="00D74D37" w:rsidP="00D74D37">
      <w:pPr>
        <w:jc w:val="both"/>
        <w:rPr>
          <w:rFonts w:ascii="Arial" w:hAnsi="Arial" w:cs="Arial"/>
          <w:b/>
          <w:bCs/>
        </w:rPr>
      </w:pPr>
    </w:p>
    <w:p w14:paraId="04157754" w14:textId="77777777" w:rsidR="00D74D37" w:rsidRPr="00D502F1" w:rsidRDefault="00D74D37" w:rsidP="00D74D37">
      <w:pPr>
        <w:jc w:val="both"/>
        <w:rPr>
          <w:rFonts w:ascii="Arial" w:hAnsi="Arial" w:cs="Arial"/>
          <w:b/>
          <w:bCs/>
        </w:rPr>
      </w:pPr>
      <w:r w:rsidRPr="00D502F1">
        <w:rPr>
          <w:rFonts w:ascii="Arial" w:hAnsi="Arial" w:cs="Arial"/>
          <w:b/>
          <w:bCs/>
        </w:rPr>
        <w:t xml:space="preserve">Table </w:t>
      </w:r>
      <w:r>
        <w:rPr>
          <w:rFonts w:ascii="Arial" w:hAnsi="Arial" w:cs="Arial"/>
          <w:b/>
          <w:bCs/>
        </w:rPr>
        <w:t>6</w:t>
      </w:r>
      <w:r w:rsidRPr="00D502F1">
        <w:rPr>
          <w:rFonts w:ascii="Arial" w:hAnsi="Arial" w:cs="Arial"/>
          <w:b/>
          <w:bCs/>
        </w:rPr>
        <w:t xml:space="preserve">. Constraints in pesticide business </w:t>
      </w:r>
    </w:p>
    <w:tbl>
      <w:tblPr>
        <w:tblStyle w:val="TableGrid"/>
        <w:tblW w:w="5000" w:type="pct"/>
        <w:tblLook w:val="0600" w:firstRow="0" w:lastRow="0" w:firstColumn="0" w:lastColumn="0" w:noHBand="1" w:noVBand="1"/>
      </w:tblPr>
      <w:tblGrid>
        <w:gridCol w:w="7155"/>
        <w:gridCol w:w="1861"/>
      </w:tblGrid>
      <w:tr w:rsidR="00D74D37" w:rsidRPr="00D502F1" w14:paraId="1BD8B29D" w14:textId="77777777" w:rsidTr="006516DA">
        <w:trPr>
          <w:trHeight w:val="20"/>
        </w:trPr>
        <w:tc>
          <w:tcPr>
            <w:tcW w:w="3968" w:type="pct"/>
            <w:vAlign w:val="center"/>
            <w:hideMark/>
          </w:tcPr>
          <w:p w14:paraId="468F9699" w14:textId="77777777" w:rsidR="00D74D37" w:rsidRPr="00D502F1" w:rsidRDefault="00D74D37" w:rsidP="006516DA">
            <w:pPr>
              <w:jc w:val="both"/>
              <w:rPr>
                <w:rFonts w:ascii="Arial" w:hAnsi="Arial" w:cs="Arial"/>
                <w:sz w:val="20"/>
                <w:szCs w:val="20"/>
              </w:rPr>
            </w:pPr>
            <w:r w:rsidRPr="00D502F1">
              <w:rPr>
                <w:rFonts w:ascii="Arial" w:hAnsi="Arial" w:cs="Arial"/>
                <w:b/>
                <w:bCs/>
                <w:sz w:val="20"/>
                <w:szCs w:val="20"/>
              </w:rPr>
              <w:t>Constraining factors</w:t>
            </w:r>
          </w:p>
        </w:tc>
        <w:tc>
          <w:tcPr>
            <w:tcW w:w="1032" w:type="pct"/>
            <w:vAlign w:val="center"/>
            <w:hideMark/>
          </w:tcPr>
          <w:p w14:paraId="0D91578F" w14:textId="77777777" w:rsidR="00D74D37" w:rsidRPr="00D502F1" w:rsidRDefault="00D74D37" w:rsidP="006516DA">
            <w:pPr>
              <w:jc w:val="both"/>
              <w:rPr>
                <w:rFonts w:ascii="Arial" w:hAnsi="Arial" w:cs="Arial"/>
                <w:sz w:val="20"/>
                <w:szCs w:val="20"/>
              </w:rPr>
            </w:pPr>
            <w:r w:rsidRPr="00D502F1">
              <w:rPr>
                <w:rFonts w:ascii="Arial" w:hAnsi="Arial" w:cs="Arial"/>
                <w:b/>
                <w:bCs/>
                <w:sz w:val="20"/>
                <w:szCs w:val="20"/>
              </w:rPr>
              <w:t>Mean score</w:t>
            </w:r>
          </w:p>
        </w:tc>
      </w:tr>
      <w:tr w:rsidR="00D74D37" w:rsidRPr="00D502F1" w14:paraId="6E68072A" w14:textId="77777777" w:rsidTr="006516DA">
        <w:trPr>
          <w:trHeight w:val="20"/>
        </w:trPr>
        <w:tc>
          <w:tcPr>
            <w:tcW w:w="3968" w:type="pct"/>
            <w:vAlign w:val="center"/>
            <w:hideMark/>
          </w:tcPr>
          <w:p w14:paraId="6348E436"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High cost of transportation</w:t>
            </w:r>
          </w:p>
        </w:tc>
        <w:tc>
          <w:tcPr>
            <w:tcW w:w="1032" w:type="pct"/>
            <w:vAlign w:val="center"/>
            <w:hideMark/>
          </w:tcPr>
          <w:p w14:paraId="7E67C7C7"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3.41</w:t>
            </w:r>
          </w:p>
        </w:tc>
      </w:tr>
      <w:tr w:rsidR="00D74D37" w:rsidRPr="00D502F1" w14:paraId="3061F46B" w14:textId="77777777" w:rsidTr="006516DA">
        <w:trPr>
          <w:trHeight w:val="20"/>
        </w:trPr>
        <w:tc>
          <w:tcPr>
            <w:tcW w:w="3968" w:type="pct"/>
            <w:vAlign w:val="center"/>
            <w:hideMark/>
          </w:tcPr>
          <w:p w14:paraId="27E7C96D"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Lack of farmer’s knowledge about the product</w:t>
            </w:r>
          </w:p>
        </w:tc>
        <w:tc>
          <w:tcPr>
            <w:tcW w:w="1032" w:type="pct"/>
            <w:vAlign w:val="center"/>
            <w:hideMark/>
          </w:tcPr>
          <w:p w14:paraId="0227151F"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3.22</w:t>
            </w:r>
          </w:p>
        </w:tc>
      </w:tr>
      <w:tr w:rsidR="00D74D37" w:rsidRPr="00D502F1" w14:paraId="1F41FE32" w14:textId="77777777" w:rsidTr="006516DA">
        <w:trPr>
          <w:trHeight w:val="20"/>
        </w:trPr>
        <w:tc>
          <w:tcPr>
            <w:tcW w:w="3968" w:type="pct"/>
            <w:vAlign w:val="center"/>
            <w:hideMark/>
          </w:tcPr>
          <w:p w14:paraId="38EA8284"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 xml:space="preserve">High cost of </w:t>
            </w:r>
            <w:proofErr w:type="spellStart"/>
            <w:r w:rsidRPr="00D502F1">
              <w:rPr>
                <w:rFonts w:ascii="Arial" w:hAnsi="Arial" w:cs="Arial"/>
                <w:b/>
                <w:bCs/>
                <w:sz w:val="20"/>
                <w:szCs w:val="20"/>
              </w:rPr>
              <w:t>labour</w:t>
            </w:r>
            <w:proofErr w:type="spellEnd"/>
          </w:p>
        </w:tc>
        <w:tc>
          <w:tcPr>
            <w:tcW w:w="1032" w:type="pct"/>
            <w:vAlign w:val="center"/>
            <w:hideMark/>
          </w:tcPr>
          <w:p w14:paraId="179DE409"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3.15</w:t>
            </w:r>
          </w:p>
        </w:tc>
      </w:tr>
      <w:tr w:rsidR="00D74D37" w:rsidRPr="00D502F1" w14:paraId="2B9FF705" w14:textId="77777777" w:rsidTr="006516DA">
        <w:trPr>
          <w:trHeight w:val="20"/>
        </w:trPr>
        <w:tc>
          <w:tcPr>
            <w:tcW w:w="3968" w:type="pct"/>
            <w:vAlign w:val="center"/>
            <w:hideMark/>
          </w:tcPr>
          <w:p w14:paraId="41C17E3C"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Delay in payment by farmers</w:t>
            </w:r>
          </w:p>
        </w:tc>
        <w:tc>
          <w:tcPr>
            <w:tcW w:w="1032" w:type="pct"/>
            <w:vAlign w:val="center"/>
            <w:hideMark/>
          </w:tcPr>
          <w:p w14:paraId="371494DF"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2.96</w:t>
            </w:r>
          </w:p>
        </w:tc>
      </w:tr>
      <w:tr w:rsidR="00D74D37" w:rsidRPr="00D502F1" w14:paraId="29F3279A" w14:textId="77777777" w:rsidTr="006516DA">
        <w:trPr>
          <w:trHeight w:val="20"/>
        </w:trPr>
        <w:tc>
          <w:tcPr>
            <w:tcW w:w="3968" w:type="pct"/>
            <w:vAlign w:val="center"/>
            <w:hideMark/>
          </w:tcPr>
          <w:p w14:paraId="32D443A6"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Reception of near expiry products from companies</w:t>
            </w:r>
          </w:p>
        </w:tc>
        <w:tc>
          <w:tcPr>
            <w:tcW w:w="1032" w:type="pct"/>
            <w:vAlign w:val="center"/>
            <w:hideMark/>
          </w:tcPr>
          <w:p w14:paraId="14340010" w14:textId="77777777" w:rsidR="00D74D37" w:rsidRPr="00D502F1" w:rsidRDefault="00D74D37" w:rsidP="006516DA">
            <w:pPr>
              <w:jc w:val="both"/>
              <w:rPr>
                <w:rFonts w:ascii="Arial" w:hAnsi="Arial" w:cs="Arial"/>
                <w:b/>
                <w:bCs/>
                <w:sz w:val="20"/>
                <w:szCs w:val="20"/>
              </w:rPr>
            </w:pPr>
            <w:r w:rsidRPr="00D502F1">
              <w:rPr>
                <w:rFonts w:ascii="Arial" w:hAnsi="Arial" w:cs="Arial"/>
                <w:b/>
                <w:bCs/>
                <w:sz w:val="20"/>
                <w:szCs w:val="20"/>
              </w:rPr>
              <w:t>2.15</w:t>
            </w:r>
          </w:p>
        </w:tc>
      </w:tr>
      <w:tr w:rsidR="00D74D37" w:rsidRPr="00D502F1" w14:paraId="599C60C6" w14:textId="77777777" w:rsidTr="006516DA">
        <w:trPr>
          <w:trHeight w:val="20"/>
        </w:trPr>
        <w:tc>
          <w:tcPr>
            <w:tcW w:w="3968" w:type="pct"/>
            <w:vAlign w:val="center"/>
            <w:hideMark/>
          </w:tcPr>
          <w:p w14:paraId="704304DA"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Compulsion of sale by companies</w:t>
            </w:r>
          </w:p>
        </w:tc>
        <w:tc>
          <w:tcPr>
            <w:tcW w:w="1032" w:type="pct"/>
            <w:vAlign w:val="center"/>
            <w:hideMark/>
          </w:tcPr>
          <w:p w14:paraId="561E0B17"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2.11</w:t>
            </w:r>
          </w:p>
        </w:tc>
      </w:tr>
      <w:tr w:rsidR="00D74D37" w:rsidRPr="00D502F1" w14:paraId="3909FDF9" w14:textId="77777777" w:rsidTr="006516DA">
        <w:trPr>
          <w:trHeight w:val="20"/>
        </w:trPr>
        <w:tc>
          <w:tcPr>
            <w:tcW w:w="3968" w:type="pct"/>
            <w:vAlign w:val="center"/>
            <w:hideMark/>
          </w:tcPr>
          <w:p w14:paraId="5F396997"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Malpractices by company personnel</w:t>
            </w:r>
          </w:p>
        </w:tc>
        <w:tc>
          <w:tcPr>
            <w:tcW w:w="1032" w:type="pct"/>
            <w:vAlign w:val="center"/>
            <w:hideMark/>
          </w:tcPr>
          <w:p w14:paraId="3894A1A5"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1.96</w:t>
            </w:r>
          </w:p>
        </w:tc>
      </w:tr>
      <w:tr w:rsidR="00D74D37" w:rsidRPr="00D502F1" w14:paraId="49812C9D" w14:textId="77777777" w:rsidTr="006516DA">
        <w:trPr>
          <w:trHeight w:val="20"/>
        </w:trPr>
        <w:tc>
          <w:tcPr>
            <w:tcW w:w="3968" w:type="pct"/>
            <w:vAlign w:val="center"/>
            <w:hideMark/>
          </w:tcPr>
          <w:p w14:paraId="4F611ACA"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High fluctuation of billing price</w:t>
            </w:r>
          </w:p>
        </w:tc>
        <w:tc>
          <w:tcPr>
            <w:tcW w:w="1032" w:type="pct"/>
            <w:vAlign w:val="center"/>
            <w:hideMark/>
          </w:tcPr>
          <w:p w14:paraId="5B4D8F59"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1.78</w:t>
            </w:r>
          </w:p>
        </w:tc>
      </w:tr>
      <w:tr w:rsidR="00D74D37" w:rsidRPr="00D502F1" w14:paraId="5600C515" w14:textId="77777777" w:rsidTr="006516DA">
        <w:trPr>
          <w:trHeight w:val="20"/>
        </w:trPr>
        <w:tc>
          <w:tcPr>
            <w:tcW w:w="3968" w:type="pct"/>
            <w:vAlign w:val="center"/>
            <w:hideMark/>
          </w:tcPr>
          <w:p w14:paraId="7B99505C"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Problem of storage</w:t>
            </w:r>
          </w:p>
        </w:tc>
        <w:tc>
          <w:tcPr>
            <w:tcW w:w="1032" w:type="pct"/>
            <w:vAlign w:val="center"/>
            <w:hideMark/>
          </w:tcPr>
          <w:p w14:paraId="43ACC4A5"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1.44</w:t>
            </w:r>
          </w:p>
        </w:tc>
      </w:tr>
      <w:tr w:rsidR="00D74D37" w:rsidRPr="00D502F1" w14:paraId="33621B48" w14:textId="77777777" w:rsidTr="006516DA">
        <w:trPr>
          <w:trHeight w:val="20"/>
        </w:trPr>
        <w:tc>
          <w:tcPr>
            <w:tcW w:w="3968" w:type="pct"/>
            <w:vAlign w:val="center"/>
            <w:hideMark/>
          </w:tcPr>
          <w:p w14:paraId="769599FB"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Discrepancies in assurance by companies</w:t>
            </w:r>
          </w:p>
        </w:tc>
        <w:tc>
          <w:tcPr>
            <w:tcW w:w="1032" w:type="pct"/>
            <w:vAlign w:val="center"/>
            <w:hideMark/>
          </w:tcPr>
          <w:p w14:paraId="64412CD7"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1.44</w:t>
            </w:r>
          </w:p>
        </w:tc>
      </w:tr>
      <w:tr w:rsidR="00D74D37" w:rsidRPr="00D502F1" w14:paraId="1382556C" w14:textId="77777777" w:rsidTr="006516DA">
        <w:trPr>
          <w:trHeight w:val="20"/>
        </w:trPr>
        <w:tc>
          <w:tcPr>
            <w:tcW w:w="3968" w:type="pct"/>
            <w:vAlign w:val="center"/>
            <w:hideMark/>
          </w:tcPr>
          <w:p w14:paraId="55BD7791"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Malpractices by government stakeholders</w:t>
            </w:r>
          </w:p>
        </w:tc>
        <w:tc>
          <w:tcPr>
            <w:tcW w:w="1032" w:type="pct"/>
            <w:vAlign w:val="center"/>
            <w:hideMark/>
          </w:tcPr>
          <w:p w14:paraId="60A0CA6B"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1.41</w:t>
            </w:r>
          </w:p>
        </w:tc>
      </w:tr>
      <w:tr w:rsidR="00D74D37" w:rsidRPr="00D502F1" w14:paraId="06E2A060" w14:textId="77777777" w:rsidTr="006516DA">
        <w:trPr>
          <w:trHeight w:val="20"/>
        </w:trPr>
        <w:tc>
          <w:tcPr>
            <w:tcW w:w="3968" w:type="pct"/>
            <w:vAlign w:val="center"/>
            <w:hideMark/>
          </w:tcPr>
          <w:p w14:paraId="0A13CEF4"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Untrustworthy company personnel</w:t>
            </w:r>
          </w:p>
        </w:tc>
        <w:tc>
          <w:tcPr>
            <w:tcW w:w="1032" w:type="pct"/>
            <w:vAlign w:val="center"/>
            <w:hideMark/>
          </w:tcPr>
          <w:p w14:paraId="34F71B64"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1.37</w:t>
            </w:r>
          </w:p>
        </w:tc>
      </w:tr>
      <w:tr w:rsidR="00D74D37" w:rsidRPr="00D502F1" w14:paraId="5D010076" w14:textId="77777777" w:rsidTr="006516DA">
        <w:trPr>
          <w:trHeight w:val="20"/>
        </w:trPr>
        <w:tc>
          <w:tcPr>
            <w:tcW w:w="3968" w:type="pct"/>
            <w:vAlign w:val="center"/>
            <w:hideMark/>
          </w:tcPr>
          <w:p w14:paraId="3F2F3C92"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Distress sale of product to farmers</w:t>
            </w:r>
          </w:p>
        </w:tc>
        <w:tc>
          <w:tcPr>
            <w:tcW w:w="1032" w:type="pct"/>
            <w:vAlign w:val="center"/>
            <w:hideMark/>
          </w:tcPr>
          <w:p w14:paraId="123381A3"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1.33</w:t>
            </w:r>
          </w:p>
        </w:tc>
      </w:tr>
      <w:tr w:rsidR="00D74D37" w:rsidRPr="00D502F1" w14:paraId="4C4F0F8F" w14:textId="77777777" w:rsidTr="006516DA">
        <w:trPr>
          <w:trHeight w:val="20"/>
        </w:trPr>
        <w:tc>
          <w:tcPr>
            <w:tcW w:w="3968" w:type="pct"/>
            <w:vAlign w:val="center"/>
            <w:hideMark/>
          </w:tcPr>
          <w:p w14:paraId="0A7B9C31"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Unavailability of required field staff</w:t>
            </w:r>
          </w:p>
        </w:tc>
        <w:tc>
          <w:tcPr>
            <w:tcW w:w="1032" w:type="pct"/>
            <w:vAlign w:val="center"/>
            <w:hideMark/>
          </w:tcPr>
          <w:p w14:paraId="4323B7CD"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1.30</w:t>
            </w:r>
          </w:p>
        </w:tc>
      </w:tr>
      <w:tr w:rsidR="00D74D37" w:rsidRPr="00D502F1" w14:paraId="3200643F" w14:textId="77777777" w:rsidTr="006516DA">
        <w:trPr>
          <w:trHeight w:val="20"/>
        </w:trPr>
        <w:tc>
          <w:tcPr>
            <w:tcW w:w="3968" w:type="pct"/>
            <w:vAlign w:val="center"/>
            <w:hideMark/>
          </w:tcPr>
          <w:p w14:paraId="1014C3DC"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Lack of promotional activities</w:t>
            </w:r>
          </w:p>
        </w:tc>
        <w:tc>
          <w:tcPr>
            <w:tcW w:w="1032" w:type="pct"/>
            <w:vAlign w:val="center"/>
            <w:hideMark/>
          </w:tcPr>
          <w:p w14:paraId="07AA7969" w14:textId="77777777" w:rsidR="00D74D37" w:rsidRPr="00D502F1" w:rsidRDefault="00D74D37" w:rsidP="006516DA">
            <w:pPr>
              <w:jc w:val="both"/>
              <w:rPr>
                <w:rFonts w:ascii="Arial" w:hAnsi="Arial" w:cs="Arial"/>
                <w:sz w:val="20"/>
                <w:szCs w:val="20"/>
              </w:rPr>
            </w:pPr>
            <w:r w:rsidRPr="00D502F1">
              <w:rPr>
                <w:rFonts w:ascii="Arial" w:hAnsi="Arial" w:cs="Arial"/>
                <w:sz w:val="20"/>
                <w:szCs w:val="20"/>
              </w:rPr>
              <w:t>1.15</w:t>
            </w:r>
          </w:p>
        </w:tc>
      </w:tr>
    </w:tbl>
    <w:p w14:paraId="54129A14" w14:textId="77777777" w:rsidR="00D74D37" w:rsidRPr="00150F56" w:rsidRDefault="00D74D37" w:rsidP="00D74D37">
      <w:pPr>
        <w:jc w:val="both"/>
        <w:rPr>
          <w:rFonts w:ascii="Arial" w:hAnsi="Arial" w:cs="Arial"/>
          <w:i/>
          <w:iCs/>
          <w:sz w:val="18"/>
          <w:szCs w:val="18"/>
        </w:rPr>
      </w:pPr>
      <w:r w:rsidRPr="00150F56">
        <w:rPr>
          <w:rFonts w:ascii="Arial" w:hAnsi="Arial" w:cs="Arial"/>
          <w:i/>
          <w:iCs/>
          <w:sz w:val="18"/>
          <w:szCs w:val="18"/>
        </w:rPr>
        <w:t>Note: (Level of Severity: 1–5; lowest to highest)</w:t>
      </w:r>
    </w:p>
    <w:p w14:paraId="68ADDF42" w14:textId="77777777" w:rsidR="00D74D37" w:rsidRPr="00150F56" w:rsidRDefault="00D74D37" w:rsidP="00D74D37">
      <w:pPr>
        <w:jc w:val="both"/>
        <w:rPr>
          <w:rFonts w:ascii="Arial" w:hAnsi="Arial" w:cs="Arial"/>
          <w:i/>
          <w:iCs/>
          <w:sz w:val="18"/>
          <w:szCs w:val="18"/>
        </w:rPr>
      </w:pPr>
      <w:r w:rsidRPr="00150F56">
        <w:rPr>
          <w:rFonts w:ascii="Arial" w:hAnsi="Arial" w:cs="Arial"/>
          <w:i/>
          <w:iCs/>
          <w:sz w:val="18"/>
          <w:szCs w:val="18"/>
        </w:rPr>
        <w:t>Source: Researcher’s computation from the primary data</w:t>
      </w:r>
    </w:p>
    <w:p w14:paraId="715AD9B0" w14:textId="77777777" w:rsidR="00D74D37" w:rsidRPr="00D502F1" w:rsidRDefault="00D74D37" w:rsidP="00D74D37">
      <w:pPr>
        <w:jc w:val="both"/>
        <w:rPr>
          <w:rFonts w:ascii="Arial" w:hAnsi="Arial" w:cs="Arial"/>
        </w:rPr>
      </w:pPr>
    </w:p>
    <w:p w14:paraId="455E38A9" w14:textId="77777777" w:rsidR="00D74D37" w:rsidRPr="00D502F1" w:rsidRDefault="00D74D37" w:rsidP="00D74D37">
      <w:pPr>
        <w:ind w:firstLine="567"/>
        <w:jc w:val="both"/>
        <w:rPr>
          <w:rFonts w:ascii="Arial" w:hAnsi="Arial" w:cs="Arial"/>
        </w:rPr>
      </w:pPr>
      <w:r w:rsidRPr="00D502F1">
        <w:rPr>
          <w:rFonts w:ascii="Arial" w:hAnsi="Arial" w:cs="Arial"/>
        </w:rPr>
        <w:t xml:space="preserve">From the Table </w:t>
      </w:r>
      <w:r>
        <w:rPr>
          <w:rFonts w:ascii="Arial" w:hAnsi="Arial" w:cs="Arial"/>
        </w:rPr>
        <w:t>6</w:t>
      </w:r>
      <w:r w:rsidRPr="00D502F1">
        <w:rPr>
          <w:rFonts w:ascii="Arial" w:hAnsi="Arial" w:cs="Arial"/>
        </w:rPr>
        <w:t xml:space="preserve">, </w:t>
      </w:r>
      <w:bookmarkStart w:id="16" w:name="_Hlk150935105"/>
      <w:r w:rsidRPr="00D502F1">
        <w:rPr>
          <w:rFonts w:ascii="Arial" w:hAnsi="Arial" w:cs="Arial"/>
        </w:rPr>
        <w:t xml:space="preserve">it is observed by </w:t>
      </w:r>
      <w:proofErr w:type="spellStart"/>
      <w:r w:rsidRPr="00D502F1">
        <w:rPr>
          <w:rFonts w:ascii="Arial" w:hAnsi="Arial" w:cs="Arial"/>
        </w:rPr>
        <w:t>analysing</w:t>
      </w:r>
      <w:proofErr w:type="spellEnd"/>
      <w:r w:rsidRPr="00D502F1">
        <w:rPr>
          <w:rFonts w:ascii="Arial" w:hAnsi="Arial" w:cs="Arial"/>
        </w:rPr>
        <w:t xml:space="preserve"> the mean scores that the major constraints faced by the dealers and retailers in pesticide business are ‘high cost of transportation (3.41)’, ‘followed by lack of farmer’s knowledge about the product (3.22)’, ‘high cost of </w:t>
      </w:r>
      <w:proofErr w:type="spellStart"/>
      <w:r w:rsidRPr="00D502F1">
        <w:rPr>
          <w:rFonts w:ascii="Arial" w:hAnsi="Arial" w:cs="Arial"/>
        </w:rPr>
        <w:t>labour</w:t>
      </w:r>
      <w:proofErr w:type="spellEnd"/>
      <w:r w:rsidRPr="00D502F1">
        <w:rPr>
          <w:rFonts w:ascii="Arial" w:hAnsi="Arial" w:cs="Arial"/>
        </w:rPr>
        <w:t xml:space="preserve"> (3.15), delay in payment by farmers (2.96)’, ‘reception of near expiry products from companies (2.15)’, ‘compulsion of sale by companies (2.11)’, ‘malpractices by company personnel (1.96)’, ‘high fluctuation of billing price (1.78)’, ‘problem of storage (1.44)’, ‘discrepancies in assurance by companies (1.44)’, ‘malpractices by government stakeholders (1.41)’, ‘untrustworthy company personnel (1.37)’, ‘distress sale of product to farmers (1.33)’, ‘unavailability of required field staff (1.30)’, ‘lack of promotional activities (1.15)’.</w:t>
      </w:r>
      <w:bookmarkEnd w:id="16"/>
    </w:p>
    <w:p w14:paraId="4AB091D2" w14:textId="77777777" w:rsidR="00D74D37" w:rsidRPr="0008797C" w:rsidRDefault="00D74D37" w:rsidP="00D74D37">
      <w:pPr>
        <w:jc w:val="both"/>
        <w:rPr>
          <w:rFonts w:ascii="Arial" w:hAnsi="Arial" w:cs="Arial"/>
        </w:rPr>
      </w:pPr>
    </w:p>
    <w:p w14:paraId="72D70ABD" w14:textId="77777777" w:rsidR="00D74D37" w:rsidRPr="009A0A6E" w:rsidRDefault="00D74D37" w:rsidP="00D74D37">
      <w:pPr>
        <w:jc w:val="both"/>
        <w:rPr>
          <w:rFonts w:ascii="Arial" w:hAnsi="Arial" w:cs="Arial"/>
          <w:b/>
          <w:bCs/>
          <w:sz w:val="22"/>
          <w:szCs w:val="22"/>
        </w:rPr>
      </w:pPr>
      <w:r w:rsidRPr="009A0A6E">
        <w:rPr>
          <w:rFonts w:ascii="Arial" w:hAnsi="Arial" w:cs="Arial"/>
          <w:b/>
          <w:bCs/>
          <w:sz w:val="22"/>
          <w:szCs w:val="22"/>
        </w:rPr>
        <w:t>4. Conclusion</w:t>
      </w:r>
    </w:p>
    <w:p w14:paraId="3EC3F29D" w14:textId="77777777" w:rsidR="00D74D37" w:rsidRDefault="00D74D37" w:rsidP="00D74D37">
      <w:pPr>
        <w:jc w:val="both"/>
        <w:rPr>
          <w:rFonts w:ascii="Arial" w:hAnsi="Arial" w:cs="Arial"/>
        </w:rPr>
      </w:pPr>
    </w:p>
    <w:p w14:paraId="7E3F57E9" w14:textId="77777777" w:rsidR="00D74D37" w:rsidRPr="009A0A6E" w:rsidRDefault="00D74D37" w:rsidP="00D74D37">
      <w:pPr>
        <w:ind w:firstLine="567"/>
        <w:jc w:val="both"/>
        <w:rPr>
          <w:rFonts w:ascii="Arial" w:hAnsi="Arial" w:cs="Arial"/>
        </w:rPr>
      </w:pPr>
      <w:r w:rsidRPr="009A0A6E">
        <w:rPr>
          <w:rFonts w:ascii="Arial" w:hAnsi="Arial" w:cs="Arial"/>
        </w:rPr>
        <w:t xml:space="preserve">This study, examining pesticide market intermediaries in </w:t>
      </w:r>
      <w:proofErr w:type="spellStart"/>
      <w:r w:rsidRPr="009A0A6E">
        <w:rPr>
          <w:rFonts w:ascii="Arial" w:hAnsi="Arial" w:cs="Arial"/>
        </w:rPr>
        <w:t>Khordha</w:t>
      </w:r>
      <w:proofErr w:type="spellEnd"/>
      <w:r w:rsidRPr="009A0A6E">
        <w:rPr>
          <w:rFonts w:ascii="Arial" w:hAnsi="Arial" w:cs="Arial"/>
        </w:rPr>
        <w:t xml:space="preserve"> district, Odisha, revealed significant variations in annual business turnover across different income groups, with a majority of respondents engaged in wholesaling and falling within the 36-49 age bracket, predominantly from the general caste and holding graduate degrees. While a substantial portion (44%) reported an annual turnover of less than INR 25 lakhs, the sector is characterized by the widespread availability of key insecticide, fungicide, and herbicide products from major brands.</w:t>
      </w:r>
    </w:p>
    <w:p w14:paraId="5F1C6E8B" w14:textId="77777777" w:rsidR="00D74D37" w:rsidRPr="009A0A6E" w:rsidRDefault="00D74D37" w:rsidP="00D74D37">
      <w:pPr>
        <w:ind w:firstLine="567"/>
        <w:jc w:val="both"/>
        <w:rPr>
          <w:rFonts w:ascii="Arial" w:hAnsi="Arial" w:cs="Arial"/>
        </w:rPr>
      </w:pPr>
      <w:bookmarkStart w:id="17" w:name="_Hlk199167896"/>
      <w:r w:rsidRPr="009A0A6E">
        <w:rPr>
          <w:rFonts w:ascii="Arial" w:hAnsi="Arial" w:cs="Arial"/>
        </w:rPr>
        <w:t xml:space="preserve">The research identified several critical factors influencing business dynamics. Shop location and annual income showed significant associations with the type of pesticide business (wholesaling or retailing). </w:t>
      </w:r>
      <w:r>
        <w:rPr>
          <w:rFonts w:ascii="Arial" w:hAnsi="Arial" w:cs="Arial"/>
        </w:rPr>
        <w:t>B</w:t>
      </w:r>
      <w:r w:rsidRPr="009A0A6E">
        <w:rPr>
          <w:rFonts w:ascii="Arial" w:hAnsi="Arial" w:cs="Arial"/>
        </w:rPr>
        <w:t>io-pesticide annual turnover was positively influenced by "villages served" and "dealerships of bio-pesticide based companies," but negatively by "credit period for farmers." Notably, DAESI certification emerged as a significant predictor for a retailer's preference towards selling bio-pesticides over chemical alternatives.</w:t>
      </w:r>
    </w:p>
    <w:p w14:paraId="60C9AFB9" w14:textId="77777777" w:rsidR="00D74D37" w:rsidRDefault="00D74D37" w:rsidP="00D74D37">
      <w:pPr>
        <w:ind w:firstLine="567"/>
        <w:jc w:val="both"/>
        <w:rPr>
          <w:rFonts w:ascii="Arial" w:hAnsi="Arial" w:cs="Arial"/>
        </w:rPr>
      </w:pPr>
      <w:r w:rsidRPr="009A0A6E">
        <w:rPr>
          <w:rFonts w:ascii="Arial" w:hAnsi="Arial" w:cs="Arial"/>
        </w:rPr>
        <w:t xml:space="preserve">Dealers and retailers primarily prefer cash transactions (56%) and exhibit a strong inclination for business expansion plans (81%). Their promotional strategies heavily rely on outside posters/banners, farmer meetings, and field visits. </w:t>
      </w:r>
      <w:bookmarkStart w:id="18" w:name="_Hlk199261933"/>
      <w:r w:rsidRPr="009A0A6E">
        <w:rPr>
          <w:rFonts w:ascii="Arial" w:hAnsi="Arial" w:cs="Arial"/>
        </w:rPr>
        <w:t>Key motivational factors for intermediaries include national tours and business with local companies, prioritizing business-oriented company representatives. However, the sector faces substantial challenges, including high transportation costs, farmers' limited product knowledge, high labor costs, and delayed payments from farmers. Other concerns include receiving near-expiry products, compulsory sales targets, and inconsistencies in company assurances.</w:t>
      </w:r>
      <w:bookmarkEnd w:id="18"/>
    </w:p>
    <w:bookmarkEnd w:id="17"/>
    <w:p w14:paraId="34673542" w14:textId="77777777" w:rsidR="00D74D37" w:rsidRDefault="00D74D37" w:rsidP="00D74D37">
      <w:pPr>
        <w:jc w:val="both"/>
        <w:rPr>
          <w:rFonts w:ascii="Arial" w:hAnsi="Arial" w:cs="Arial"/>
        </w:rPr>
      </w:pPr>
    </w:p>
    <w:p w14:paraId="0D276832" w14:textId="77777777" w:rsidR="00B06AF0" w:rsidRDefault="00B06AF0" w:rsidP="00D74D37">
      <w:pPr>
        <w:pStyle w:val="ReferHead"/>
        <w:spacing w:after="0"/>
        <w:jc w:val="both"/>
        <w:rPr>
          <w:rFonts w:ascii="Arial" w:hAnsi="Arial" w:cs="Arial"/>
          <w:b w:val="0"/>
          <w:caps w:val="0"/>
          <w:sz w:val="20"/>
        </w:rPr>
      </w:pPr>
    </w:p>
    <w:p w14:paraId="71786B13" w14:textId="77777777" w:rsidR="00D74D37" w:rsidRDefault="00D74D37" w:rsidP="00D74D37">
      <w:pPr>
        <w:pStyle w:val="ReferHead"/>
        <w:spacing w:after="0"/>
        <w:jc w:val="both"/>
        <w:rPr>
          <w:rFonts w:ascii="Arial" w:hAnsi="Arial" w:cs="Arial"/>
          <w:b w:val="0"/>
          <w:caps w:val="0"/>
          <w:sz w:val="20"/>
        </w:rPr>
      </w:pPr>
    </w:p>
    <w:p w14:paraId="33B0AF90" w14:textId="77777777" w:rsidR="00D74D37" w:rsidRDefault="00D74D37" w:rsidP="00D74D37">
      <w:pPr>
        <w:pStyle w:val="ReferHead"/>
        <w:spacing w:after="0"/>
        <w:jc w:val="both"/>
        <w:rPr>
          <w:rFonts w:ascii="Arial" w:hAnsi="Arial" w:cs="Arial"/>
        </w:rPr>
      </w:pPr>
      <w:r w:rsidRPr="00FB3A86">
        <w:rPr>
          <w:rFonts w:ascii="Arial" w:hAnsi="Arial" w:cs="Arial"/>
        </w:rPr>
        <w:t>References</w:t>
      </w:r>
    </w:p>
    <w:p w14:paraId="7423A317" w14:textId="77777777" w:rsidR="000B4138" w:rsidRDefault="000B4138" w:rsidP="00D74D37">
      <w:pPr>
        <w:pStyle w:val="ReferHead"/>
        <w:spacing w:after="0"/>
        <w:jc w:val="both"/>
        <w:rPr>
          <w:rFonts w:ascii="Arial" w:hAnsi="Arial" w:cs="Arial"/>
        </w:rPr>
      </w:pPr>
    </w:p>
    <w:p w14:paraId="2FE8987E" w14:textId="77777777" w:rsidR="000B4138" w:rsidRPr="002E59A3" w:rsidRDefault="000B4138" w:rsidP="000B4138">
      <w:pPr>
        <w:pStyle w:val="ListParagraph"/>
        <w:numPr>
          <w:ilvl w:val="0"/>
          <w:numId w:val="33"/>
        </w:numPr>
        <w:spacing w:after="0" w:line="240" w:lineRule="auto"/>
        <w:jc w:val="both"/>
        <w:rPr>
          <w:rFonts w:ascii="Arial" w:hAnsi="Arial" w:cs="Arial"/>
          <w:sz w:val="20"/>
          <w:szCs w:val="20"/>
        </w:rPr>
      </w:pPr>
      <w:bookmarkStart w:id="19" w:name="_Hlk199171096"/>
      <w:r w:rsidRPr="002E59A3">
        <w:rPr>
          <w:rFonts w:ascii="Arial" w:hAnsi="Arial" w:cs="Arial"/>
          <w:sz w:val="20"/>
          <w:szCs w:val="20"/>
        </w:rPr>
        <w:t>Tudi, M., Daniel Ruan, H., Wang, L., Lyu, J., Sadler, R., Connell, D., ... &amp; Phung, D. T. (2021). Agriculture development, pesticide application and its impact on the environment. </w:t>
      </w:r>
      <w:r w:rsidRPr="002E59A3">
        <w:rPr>
          <w:rFonts w:ascii="Arial" w:hAnsi="Arial" w:cs="Arial"/>
          <w:i/>
          <w:iCs/>
          <w:sz w:val="20"/>
          <w:szCs w:val="20"/>
        </w:rPr>
        <w:t>International journal of environmental research and public health</w:t>
      </w:r>
      <w:r w:rsidRPr="002E59A3">
        <w:rPr>
          <w:rFonts w:ascii="Arial" w:hAnsi="Arial" w:cs="Arial"/>
          <w:sz w:val="20"/>
          <w:szCs w:val="20"/>
        </w:rPr>
        <w:t>, </w:t>
      </w:r>
      <w:r w:rsidRPr="002E59A3">
        <w:rPr>
          <w:rFonts w:ascii="Arial" w:hAnsi="Arial" w:cs="Arial"/>
          <w:i/>
          <w:iCs/>
          <w:sz w:val="20"/>
          <w:szCs w:val="20"/>
        </w:rPr>
        <w:t>18</w:t>
      </w:r>
      <w:r w:rsidRPr="002E59A3">
        <w:rPr>
          <w:rFonts w:ascii="Arial" w:hAnsi="Arial" w:cs="Arial"/>
          <w:sz w:val="20"/>
          <w:szCs w:val="20"/>
        </w:rPr>
        <w:t>(3): 1112.</w:t>
      </w:r>
    </w:p>
    <w:p w14:paraId="092EE228"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Fortune Business Insights (2025). Biopesticides Market,</w:t>
      </w:r>
      <w:r w:rsidRPr="002E59A3">
        <w:rPr>
          <w:rFonts w:ascii="Arial" w:hAnsi="Arial" w:cs="Arial"/>
          <w:b/>
          <w:bCs/>
          <w:sz w:val="20"/>
          <w:szCs w:val="20"/>
        </w:rPr>
        <w:t xml:space="preserve"> retrieved from</w:t>
      </w:r>
      <w:r w:rsidRPr="002E59A3">
        <w:rPr>
          <w:rFonts w:ascii="Arial" w:hAnsi="Arial" w:cs="Arial"/>
          <w:sz w:val="20"/>
          <w:szCs w:val="20"/>
        </w:rPr>
        <w:t xml:space="preserve"> </w:t>
      </w:r>
      <w:hyperlink r:id="rId24" w:history="1">
        <w:r w:rsidRPr="002E59A3">
          <w:rPr>
            <w:rStyle w:val="Hyperlink"/>
            <w:rFonts w:ascii="Arial" w:hAnsi="Arial" w:cs="Arial"/>
            <w:sz w:val="20"/>
            <w:szCs w:val="20"/>
          </w:rPr>
          <w:t>https://www.fortunebusinessinsights.com/industry-reports/biopesticides-market-100073</w:t>
        </w:r>
      </w:hyperlink>
      <w:r w:rsidRPr="002E59A3">
        <w:rPr>
          <w:rFonts w:ascii="Arial" w:hAnsi="Arial" w:cs="Arial"/>
          <w:sz w:val="20"/>
          <w:szCs w:val="20"/>
        </w:rPr>
        <w:t xml:space="preserve"> as on 26.05.2025.</w:t>
      </w:r>
    </w:p>
    <w:p w14:paraId="66A6DDD6"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bookmarkStart w:id="20" w:name="_Hlk155899755"/>
      <w:r w:rsidRPr="002E59A3">
        <w:rPr>
          <w:rFonts w:ascii="Arial" w:hAnsi="Arial" w:cs="Arial"/>
          <w:color w:val="222222"/>
          <w:sz w:val="20"/>
          <w:szCs w:val="20"/>
          <w:shd w:val="clear" w:color="auto" w:fill="FFFFFF"/>
        </w:rPr>
        <w:t xml:space="preserve">Chakraborty, N., Mitra, R., Pal, S., Ganguly, R., Acharya, K., </w:t>
      </w:r>
      <w:proofErr w:type="spellStart"/>
      <w:r w:rsidRPr="002E59A3">
        <w:rPr>
          <w:rFonts w:ascii="Arial" w:hAnsi="Arial" w:cs="Arial"/>
          <w:color w:val="222222"/>
          <w:sz w:val="20"/>
          <w:szCs w:val="20"/>
          <w:shd w:val="clear" w:color="auto" w:fill="FFFFFF"/>
        </w:rPr>
        <w:t>Minkina</w:t>
      </w:r>
      <w:proofErr w:type="spellEnd"/>
      <w:r w:rsidRPr="002E59A3">
        <w:rPr>
          <w:rFonts w:ascii="Arial" w:hAnsi="Arial" w:cs="Arial"/>
          <w:color w:val="222222"/>
          <w:sz w:val="20"/>
          <w:szCs w:val="20"/>
          <w:shd w:val="clear" w:color="auto" w:fill="FFFFFF"/>
        </w:rPr>
        <w:t xml:space="preserve">, T., ... &amp; Keswani, C. (2023). Biopesticide Consumption in India: Insights into the Current Trends. </w:t>
      </w:r>
      <w:r w:rsidRPr="002E59A3">
        <w:rPr>
          <w:rFonts w:ascii="Arial" w:hAnsi="Arial" w:cs="Arial"/>
          <w:i/>
          <w:iCs/>
          <w:color w:val="222222"/>
          <w:sz w:val="20"/>
          <w:szCs w:val="20"/>
          <w:shd w:val="clear" w:color="auto" w:fill="FFFFFF"/>
        </w:rPr>
        <w:t>Agriculture</w:t>
      </w:r>
      <w:r w:rsidRPr="002E59A3">
        <w:rPr>
          <w:rFonts w:ascii="Arial" w:hAnsi="Arial" w:cs="Arial"/>
          <w:color w:val="222222"/>
          <w:sz w:val="20"/>
          <w:szCs w:val="20"/>
          <w:shd w:val="clear" w:color="auto" w:fill="FFFFFF"/>
        </w:rPr>
        <w:t xml:space="preserve"> 2023</w:t>
      </w:r>
      <w:r>
        <w:rPr>
          <w:rFonts w:ascii="Arial" w:hAnsi="Arial" w:cs="Arial"/>
          <w:color w:val="222222"/>
          <w:sz w:val="20"/>
          <w:szCs w:val="20"/>
          <w:shd w:val="clear" w:color="auto" w:fill="FFFFFF"/>
        </w:rPr>
        <w:t>:</w:t>
      </w:r>
      <w:r w:rsidRPr="002E59A3">
        <w:rPr>
          <w:rFonts w:ascii="Arial" w:hAnsi="Arial" w:cs="Arial"/>
          <w:color w:val="222222"/>
          <w:sz w:val="20"/>
          <w:szCs w:val="20"/>
          <w:shd w:val="clear" w:color="auto" w:fill="FFFFFF"/>
        </w:rPr>
        <w:t xml:space="preserve"> 13, 557.</w:t>
      </w:r>
    </w:p>
    <w:p w14:paraId="2A995B9F"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Custom Market Insights (2024). </w:t>
      </w:r>
      <w:r w:rsidRPr="002E59A3">
        <w:rPr>
          <w:rFonts w:ascii="Arial" w:hAnsi="Arial" w:cs="Arial"/>
          <w:b/>
          <w:bCs/>
          <w:sz w:val="20"/>
          <w:szCs w:val="20"/>
        </w:rPr>
        <w:t xml:space="preserve">India Biopesticides Market 2024–2033, retrieved from </w:t>
      </w:r>
      <w:hyperlink r:id="rId25" w:history="1">
        <w:r w:rsidRPr="002E59A3">
          <w:rPr>
            <w:rStyle w:val="Hyperlink"/>
            <w:rFonts w:ascii="Arial" w:hAnsi="Arial" w:cs="Arial"/>
            <w:sz w:val="20"/>
            <w:szCs w:val="20"/>
          </w:rPr>
          <w:t>https://www.custommarketinsights.com/report/india-biopesticides-market/</w:t>
        </w:r>
      </w:hyperlink>
      <w:r w:rsidRPr="002E59A3">
        <w:rPr>
          <w:rFonts w:ascii="Arial" w:hAnsi="Arial" w:cs="Arial"/>
          <w:sz w:val="20"/>
          <w:szCs w:val="20"/>
        </w:rPr>
        <w:t xml:space="preserve"> as on 26.05.2025.</w:t>
      </w:r>
    </w:p>
    <w:p w14:paraId="585CA66C"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r w:rsidRPr="002E59A3">
        <w:rPr>
          <w:rFonts w:ascii="Arial" w:hAnsi="Arial" w:cs="Arial"/>
          <w:color w:val="222222"/>
          <w:sz w:val="20"/>
          <w:szCs w:val="20"/>
          <w:shd w:val="clear" w:color="auto" w:fill="FFFFFF"/>
        </w:rPr>
        <w:t>Marrone, P. G. (2023). Status of the biopesticide market and prospects for new bioherbicides. </w:t>
      </w:r>
      <w:r w:rsidRPr="002E59A3">
        <w:rPr>
          <w:rFonts w:ascii="Arial" w:hAnsi="Arial" w:cs="Arial"/>
          <w:i/>
          <w:iCs/>
          <w:color w:val="222222"/>
          <w:sz w:val="20"/>
          <w:szCs w:val="20"/>
          <w:shd w:val="clear" w:color="auto" w:fill="FFFFFF"/>
        </w:rPr>
        <w:t>Pest Management Science</w:t>
      </w:r>
      <w:r w:rsidRPr="002E59A3">
        <w:rPr>
          <w:rFonts w:ascii="Arial" w:hAnsi="Arial" w:cs="Arial"/>
          <w:color w:val="222222"/>
          <w:sz w:val="20"/>
          <w:szCs w:val="20"/>
          <w:shd w:val="clear" w:color="auto" w:fill="FFFFFF"/>
        </w:rPr>
        <w:t>.</w:t>
      </w:r>
    </w:p>
    <w:p w14:paraId="756957E5"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color w:val="222222"/>
          <w:sz w:val="20"/>
          <w:szCs w:val="20"/>
          <w:shd w:val="clear" w:color="auto" w:fill="FFFFFF"/>
        </w:rPr>
        <w:t xml:space="preserve">Deshmukh, R., &amp; Kulkarni, S. (2023). A study on understanding the attitude of buyers and sellers of biopesticides in an </w:t>
      </w:r>
      <w:proofErr w:type="gramStart"/>
      <w:r w:rsidRPr="002E59A3">
        <w:rPr>
          <w:rFonts w:ascii="Arial" w:hAnsi="Arial" w:cs="Arial"/>
          <w:color w:val="222222"/>
          <w:sz w:val="20"/>
          <w:szCs w:val="20"/>
          <w:shd w:val="clear" w:color="auto" w:fill="FFFFFF"/>
        </w:rPr>
        <w:t>agriculture based</w:t>
      </w:r>
      <w:proofErr w:type="gramEnd"/>
      <w:r w:rsidRPr="002E59A3">
        <w:rPr>
          <w:rFonts w:ascii="Arial" w:hAnsi="Arial" w:cs="Arial"/>
          <w:color w:val="222222"/>
          <w:sz w:val="20"/>
          <w:szCs w:val="20"/>
          <w:shd w:val="clear" w:color="auto" w:fill="FFFFFF"/>
        </w:rPr>
        <w:t xml:space="preserve"> country: India. </w:t>
      </w:r>
      <w:r w:rsidRPr="002E59A3">
        <w:rPr>
          <w:rFonts w:ascii="Arial" w:hAnsi="Arial" w:cs="Arial"/>
          <w:i/>
          <w:iCs/>
          <w:sz w:val="20"/>
          <w:szCs w:val="20"/>
        </w:rPr>
        <w:t>Central European Management Journal</w:t>
      </w:r>
      <w:r w:rsidRPr="002E59A3">
        <w:rPr>
          <w:rFonts w:ascii="Arial" w:hAnsi="Arial" w:cs="Arial"/>
          <w:sz w:val="20"/>
          <w:szCs w:val="20"/>
        </w:rPr>
        <w:t>, 31(2): 184–194.</w:t>
      </w:r>
    </w:p>
    <w:p w14:paraId="655DE426"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proofErr w:type="spellStart"/>
      <w:r w:rsidRPr="002E59A3">
        <w:rPr>
          <w:rFonts w:ascii="Arial" w:hAnsi="Arial" w:cs="Arial"/>
          <w:color w:val="222222"/>
          <w:sz w:val="20"/>
          <w:szCs w:val="20"/>
          <w:shd w:val="clear" w:color="auto" w:fill="FFFFFF"/>
        </w:rPr>
        <w:t>Vasoya</w:t>
      </w:r>
      <w:proofErr w:type="spellEnd"/>
      <w:r w:rsidRPr="002E59A3">
        <w:rPr>
          <w:rFonts w:ascii="Arial" w:hAnsi="Arial" w:cs="Arial"/>
          <w:color w:val="222222"/>
          <w:sz w:val="20"/>
          <w:szCs w:val="20"/>
          <w:shd w:val="clear" w:color="auto" w:fill="FFFFFF"/>
        </w:rPr>
        <w:t xml:space="preserve">, R. R., </w:t>
      </w:r>
      <w:proofErr w:type="spellStart"/>
      <w:r w:rsidRPr="002E59A3">
        <w:rPr>
          <w:rFonts w:ascii="Arial" w:hAnsi="Arial" w:cs="Arial"/>
          <w:color w:val="222222"/>
          <w:sz w:val="20"/>
          <w:szCs w:val="20"/>
          <w:shd w:val="clear" w:color="auto" w:fill="FFFFFF"/>
        </w:rPr>
        <w:t>Vahoniya</w:t>
      </w:r>
      <w:proofErr w:type="spellEnd"/>
      <w:r w:rsidRPr="002E59A3">
        <w:rPr>
          <w:rFonts w:ascii="Arial" w:hAnsi="Arial" w:cs="Arial"/>
          <w:color w:val="222222"/>
          <w:sz w:val="20"/>
          <w:szCs w:val="20"/>
          <w:shd w:val="clear" w:color="auto" w:fill="FFFFFF"/>
        </w:rPr>
        <w:t xml:space="preserve">, D. R., &amp; </w:t>
      </w:r>
      <w:proofErr w:type="spellStart"/>
      <w:r w:rsidRPr="002E59A3">
        <w:rPr>
          <w:rFonts w:ascii="Arial" w:hAnsi="Arial" w:cs="Arial"/>
          <w:color w:val="222222"/>
          <w:sz w:val="20"/>
          <w:szCs w:val="20"/>
          <w:shd w:val="clear" w:color="auto" w:fill="FFFFFF"/>
        </w:rPr>
        <w:t>Rajwadi</w:t>
      </w:r>
      <w:proofErr w:type="spellEnd"/>
      <w:r w:rsidRPr="002E59A3">
        <w:rPr>
          <w:rFonts w:ascii="Arial" w:hAnsi="Arial" w:cs="Arial"/>
          <w:color w:val="222222"/>
          <w:sz w:val="20"/>
          <w:szCs w:val="20"/>
          <w:shd w:val="clear" w:color="auto" w:fill="FFFFFF"/>
        </w:rPr>
        <w:t xml:space="preserve">, A. (2023). Farmers’ Purchasing Behaviour of Insecticides in Cumin (Cuminum cyminum) and Problems Faced by Farmers for Cumin in </w:t>
      </w:r>
      <w:proofErr w:type="spellStart"/>
      <w:r w:rsidRPr="002E59A3">
        <w:rPr>
          <w:rFonts w:ascii="Arial" w:hAnsi="Arial" w:cs="Arial"/>
          <w:color w:val="222222"/>
          <w:sz w:val="20"/>
          <w:szCs w:val="20"/>
          <w:shd w:val="clear" w:color="auto" w:fill="FFFFFF"/>
        </w:rPr>
        <w:t>Dhrol</w:t>
      </w:r>
      <w:proofErr w:type="spellEnd"/>
      <w:r w:rsidRPr="002E59A3">
        <w:rPr>
          <w:rFonts w:ascii="Arial" w:hAnsi="Arial" w:cs="Arial"/>
          <w:color w:val="222222"/>
          <w:sz w:val="20"/>
          <w:szCs w:val="20"/>
          <w:shd w:val="clear" w:color="auto" w:fill="FFFFFF"/>
        </w:rPr>
        <w:t xml:space="preserve"> Taluka of Jamnagar District, Gujarat, India. </w:t>
      </w:r>
      <w:r w:rsidRPr="002E59A3">
        <w:rPr>
          <w:rFonts w:ascii="Arial" w:hAnsi="Arial" w:cs="Arial"/>
          <w:i/>
          <w:iCs/>
          <w:color w:val="222222"/>
          <w:sz w:val="20"/>
          <w:szCs w:val="20"/>
          <w:shd w:val="clear" w:color="auto" w:fill="FFFFFF"/>
        </w:rPr>
        <w:t>Asian Journal of Agricultural Extension, Economics &amp; Sociology</w:t>
      </w:r>
      <w:r w:rsidRPr="002E59A3">
        <w:rPr>
          <w:rFonts w:ascii="Arial" w:hAnsi="Arial" w:cs="Arial"/>
          <w:color w:val="222222"/>
          <w:sz w:val="20"/>
          <w:szCs w:val="20"/>
          <w:shd w:val="clear" w:color="auto" w:fill="FFFFFF"/>
        </w:rPr>
        <w:t>, 41(9)</w:t>
      </w:r>
      <w:r>
        <w:rPr>
          <w:rFonts w:ascii="Arial" w:hAnsi="Arial" w:cs="Arial"/>
          <w:color w:val="222222"/>
          <w:sz w:val="20"/>
          <w:szCs w:val="20"/>
          <w:shd w:val="clear" w:color="auto" w:fill="FFFFFF"/>
        </w:rPr>
        <w:t>:</w:t>
      </w:r>
      <w:r w:rsidRPr="002E59A3">
        <w:rPr>
          <w:rFonts w:ascii="Arial" w:hAnsi="Arial" w:cs="Arial"/>
          <w:color w:val="222222"/>
          <w:sz w:val="20"/>
          <w:szCs w:val="20"/>
          <w:shd w:val="clear" w:color="auto" w:fill="FFFFFF"/>
        </w:rPr>
        <w:t xml:space="preserve"> 462-474.</w:t>
      </w:r>
    </w:p>
    <w:p w14:paraId="5E067EAA"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r w:rsidRPr="002E59A3">
        <w:rPr>
          <w:rFonts w:ascii="Arial" w:hAnsi="Arial" w:cs="Arial"/>
          <w:color w:val="222222"/>
          <w:sz w:val="20"/>
          <w:szCs w:val="20"/>
          <w:shd w:val="clear" w:color="auto" w:fill="FFFFFF"/>
        </w:rPr>
        <w:t xml:space="preserve">Khimani, S. H., </w:t>
      </w:r>
      <w:proofErr w:type="spellStart"/>
      <w:r w:rsidRPr="002E59A3">
        <w:rPr>
          <w:rFonts w:ascii="Arial" w:hAnsi="Arial" w:cs="Arial"/>
          <w:color w:val="222222"/>
          <w:sz w:val="20"/>
          <w:szCs w:val="20"/>
          <w:shd w:val="clear" w:color="auto" w:fill="FFFFFF"/>
        </w:rPr>
        <w:t>Vahoniya</w:t>
      </w:r>
      <w:proofErr w:type="spellEnd"/>
      <w:r w:rsidRPr="002E59A3">
        <w:rPr>
          <w:rFonts w:ascii="Arial" w:hAnsi="Arial" w:cs="Arial"/>
          <w:color w:val="222222"/>
          <w:sz w:val="20"/>
          <w:szCs w:val="20"/>
          <w:shd w:val="clear" w:color="auto" w:fill="FFFFFF"/>
        </w:rPr>
        <w:t xml:space="preserve">, D. R., &amp; </w:t>
      </w:r>
      <w:proofErr w:type="spellStart"/>
      <w:r w:rsidRPr="002E59A3">
        <w:rPr>
          <w:rFonts w:ascii="Arial" w:hAnsi="Arial" w:cs="Arial"/>
          <w:color w:val="222222"/>
          <w:sz w:val="20"/>
          <w:szCs w:val="20"/>
          <w:shd w:val="clear" w:color="auto" w:fill="FFFFFF"/>
        </w:rPr>
        <w:t>Rajwadi</w:t>
      </w:r>
      <w:proofErr w:type="spellEnd"/>
      <w:r w:rsidRPr="002E59A3">
        <w:rPr>
          <w:rFonts w:ascii="Arial" w:hAnsi="Arial" w:cs="Arial"/>
          <w:color w:val="222222"/>
          <w:sz w:val="20"/>
          <w:szCs w:val="20"/>
          <w:shd w:val="clear" w:color="auto" w:fill="FFFFFF"/>
        </w:rPr>
        <w:t xml:space="preserve">, A. (2023). Farmers’ Purchasing Behaviour of Corteva Agriscience’s Products (Galileo Sensa and Delegate) for Chilli in </w:t>
      </w:r>
      <w:proofErr w:type="spellStart"/>
      <w:r w:rsidRPr="002E59A3">
        <w:rPr>
          <w:rFonts w:ascii="Arial" w:hAnsi="Arial" w:cs="Arial"/>
          <w:color w:val="222222"/>
          <w:sz w:val="20"/>
          <w:szCs w:val="20"/>
          <w:shd w:val="clear" w:color="auto" w:fill="FFFFFF"/>
        </w:rPr>
        <w:t>Umreth</w:t>
      </w:r>
      <w:proofErr w:type="spellEnd"/>
      <w:r w:rsidRPr="002E59A3">
        <w:rPr>
          <w:rFonts w:ascii="Arial" w:hAnsi="Arial" w:cs="Arial"/>
          <w:color w:val="222222"/>
          <w:sz w:val="20"/>
          <w:szCs w:val="20"/>
          <w:shd w:val="clear" w:color="auto" w:fill="FFFFFF"/>
        </w:rPr>
        <w:t xml:space="preserve"> Taluka of Anand District, India. </w:t>
      </w:r>
      <w:r w:rsidRPr="002E59A3">
        <w:rPr>
          <w:rFonts w:ascii="Arial" w:hAnsi="Arial" w:cs="Arial"/>
          <w:i/>
          <w:iCs/>
          <w:color w:val="222222"/>
          <w:sz w:val="20"/>
          <w:szCs w:val="20"/>
          <w:shd w:val="clear" w:color="auto" w:fill="FFFFFF"/>
        </w:rPr>
        <w:t>Asian Journal of Agricultural Extension, Economics &amp; Sociology</w:t>
      </w:r>
      <w:r w:rsidRPr="002E59A3">
        <w:rPr>
          <w:rFonts w:ascii="Arial" w:hAnsi="Arial" w:cs="Arial"/>
          <w:color w:val="222222"/>
          <w:sz w:val="20"/>
          <w:szCs w:val="20"/>
          <w:shd w:val="clear" w:color="auto" w:fill="FFFFFF"/>
        </w:rPr>
        <w:t>, 41(9)</w:t>
      </w:r>
      <w:r>
        <w:rPr>
          <w:rFonts w:ascii="Arial" w:hAnsi="Arial" w:cs="Arial"/>
          <w:color w:val="222222"/>
          <w:sz w:val="20"/>
          <w:szCs w:val="20"/>
          <w:shd w:val="clear" w:color="auto" w:fill="FFFFFF"/>
        </w:rPr>
        <w:t>:</w:t>
      </w:r>
      <w:r w:rsidRPr="002E59A3">
        <w:rPr>
          <w:rFonts w:ascii="Arial" w:hAnsi="Arial" w:cs="Arial"/>
          <w:color w:val="222222"/>
          <w:sz w:val="20"/>
          <w:szCs w:val="20"/>
          <w:shd w:val="clear" w:color="auto" w:fill="FFFFFF"/>
        </w:rPr>
        <w:t xml:space="preserve"> 528-540.</w:t>
      </w:r>
    </w:p>
    <w:p w14:paraId="3A361913"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color w:val="222222"/>
          <w:sz w:val="20"/>
          <w:szCs w:val="20"/>
          <w:shd w:val="clear" w:color="auto" w:fill="FFFFFF"/>
        </w:rPr>
        <w:t xml:space="preserve">Vachhani, D. R., &amp; </w:t>
      </w:r>
      <w:proofErr w:type="spellStart"/>
      <w:r w:rsidRPr="002E59A3">
        <w:rPr>
          <w:rFonts w:ascii="Arial" w:hAnsi="Arial" w:cs="Arial"/>
          <w:color w:val="222222"/>
          <w:sz w:val="20"/>
          <w:szCs w:val="20"/>
          <w:shd w:val="clear" w:color="auto" w:fill="FFFFFF"/>
        </w:rPr>
        <w:t>Panigrahy</w:t>
      </w:r>
      <w:proofErr w:type="spellEnd"/>
      <w:r w:rsidRPr="002E59A3">
        <w:rPr>
          <w:rFonts w:ascii="Arial" w:hAnsi="Arial" w:cs="Arial"/>
          <w:color w:val="222222"/>
          <w:sz w:val="20"/>
          <w:szCs w:val="20"/>
          <w:shd w:val="clear" w:color="auto" w:fill="FFFFFF"/>
        </w:rPr>
        <w:t xml:space="preserve">, S. R. (2023). Farmers’ purchasing behaviour towards fungicide for groundnut crop in Maliya Hatina Taluka of Junagadh district, Gujarat, </w:t>
      </w:r>
      <w:r w:rsidRPr="002E59A3">
        <w:rPr>
          <w:rFonts w:ascii="Arial" w:hAnsi="Arial" w:cs="Arial"/>
          <w:i/>
          <w:iCs/>
          <w:sz w:val="20"/>
          <w:szCs w:val="20"/>
        </w:rPr>
        <w:t>The Pharma Innovation</w:t>
      </w:r>
      <w:r w:rsidRPr="002E59A3">
        <w:rPr>
          <w:rFonts w:ascii="Arial" w:hAnsi="Arial" w:cs="Arial"/>
          <w:sz w:val="20"/>
          <w:szCs w:val="20"/>
        </w:rPr>
        <w:t>, SP-12(6): 151-155.</w:t>
      </w:r>
    </w:p>
    <w:p w14:paraId="486CB529"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r w:rsidRPr="002E59A3">
        <w:rPr>
          <w:rFonts w:ascii="Arial" w:hAnsi="Arial" w:cs="Arial"/>
          <w:color w:val="222222"/>
          <w:sz w:val="20"/>
          <w:szCs w:val="20"/>
          <w:shd w:val="clear" w:color="auto" w:fill="FFFFFF"/>
        </w:rPr>
        <w:t xml:space="preserve">Gohel, P. R., </w:t>
      </w:r>
      <w:proofErr w:type="spellStart"/>
      <w:r w:rsidRPr="002E59A3">
        <w:rPr>
          <w:rFonts w:ascii="Arial" w:hAnsi="Arial" w:cs="Arial"/>
          <w:color w:val="222222"/>
          <w:sz w:val="20"/>
          <w:szCs w:val="20"/>
          <w:shd w:val="clear" w:color="auto" w:fill="FFFFFF"/>
        </w:rPr>
        <w:t>Panigrahy</w:t>
      </w:r>
      <w:proofErr w:type="spellEnd"/>
      <w:r w:rsidRPr="002E59A3">
        <w:rPr>
          <w:rFonts w:ascii="Arial" w:hAnsi="Arial" w:cs="Arial"/>
          <w:color w:val="222222"/>
          <w:sz w:val="20"/>
          <w:szCs w:val="20"/>
          <w:shd w:val="clear" w:color="auto" w:fill="FFFFFF"/>
        </w:rPr>
        <w:t xml:space="preserve">, S. R., &amp; Zala, S. (2023). Farmer’s purchasing </w:t>
      </w:r>
      <w:proofErr w:type="spellStart"/>
      <w:r w:rsidRPr="002E59A3">
        <w:rPr>
          <w:rFonts w:ascii="Arial" w:hAnsi="Arial" w:cs="Arial"/>
          <w:color w:val="222222"/>
          <w:sz w:val="20"/>
          <w:szCs w:val="20"/>
          <w:shd w:val="clear" w:color="auto" w:fill="FFFFFF"/>
        </w:rPr>
        <w:t>behavior</w:t>
      </w:r>
      <w:proofErr w:type="spellEnd"/>
      <w:r w:rsidRPr="002E59A3">
        <w:rPr>
          <w:rFonts w:ascii="Arial" w:hAnsi="Arial" w:cs="Arial"/>
          <w:color w:val="222222"/>
          <w:sz w:val="20"/>
          <w:szCs w:val="20"/>
          <w:shd w:val="clear" w:color="auto" w:fill="FFFFFF"/>
        </w:rPr>
        <w:t xml:space="preserve"> and satisfaction level towards insecticide for cotton in </w:t>
      </w:r>
      <w:proofErr w:type="spellStart"/>
      <w:r w:rsidRPr="002E59A3">
        <w:rPr>
          <w:rFonts w:ascii="Arial" w:hAnsi="Arial" w:cs="Arial"/>
          <w:color w:val="222222"/>
          <w:sz w:val="20"/>
          <w:szCs w:val="20"/>
          <w:shd w:val="clear" w:color="auto" w:fill="FFFFFF"/>
        </w:rPr>
        <w:t>Mangrol</w:t>
      </w:r>
      <w:proofErr w:type="spellEnd"/>
      <w:r w:rsidRPr="002E59A3">
        <w:rPr>
          <w:rFonts w:ascii="Arial" w:hAnsi="Arial" w:cs="Arial"/>
          <w:color w:val="222222"/>
          <w:sz w:val="20"/>
          <w:szCs w:val="20"/>
          <w:shd w:val="clear" w:color="auto" w:fill="FFFFFF"/>
        </w:rPr>
        <w:t xml:space="preserve"> Taluka of Junagadh District, Gujarat. </w:t>
      </w:r>
      <w:r w:rsidRPr="002E59A3">
        <w:rPr>
          <w:rFonts w:ascii="Arial" w:hAnsi="Arial" w:cs="Arial"/>
          <w:i/>
          <w:iCs/>
          <w:color w:val="222222"/>
          <w:sz w:val="20"/>
          <w:szCs w:val="20"/>
          <w:shd w:val="clear" w:color="auto" w:fill="FFFFFF"/>
        </w:rPr>
        <w:t>Age</w:t>
      </w:r>
      <w:r w:rsidRPr="002E59A3">
        <w:rPr>
          <w:rFonts w:ascii="Arial" w:hAnsi="Arial" w:cs="Arial"/>
          <w:color w:val="222222"/>
          <w:sz w:val="20"/>
          <w:szCs w:val="20"/>
          <w:shd w:val="clear" w:color="auto" w:fill="FFFFFF"/>
        </w:rPr>
        <w:t>, 15(25)</w:t>
      </w:r>
      <w:r>
        <w:rPr>
          <w:rFonts w:ascii="Arial" w:hAnsi="Arial" w:cs="Arial"/>
          <w:color w:val="222222"/>
          <w:sz w:val="20"/>
          <w:szCs w:val="20"/>
          <w:shd w:val="clear" w:color="auto" w:fill="FFFFFF"/>
        </w:rPr>
        <w:t>:</w:t>
      </w:r>
      <w:r w:rsidRPr="002E59A3">
        <w:rPr>
          <w:rFonts w:ascii="Arial" w:hAnsi="Arial" w:cs="Arial"/>
          <w:color w:val="222222"/>
          <w:sz w:val="20"/>
          <w:szCs w:val="20"/>
          <w:shd w:val="clear" w:color="auto" w:fill="FFFFFF"/>
        </w:rPr>
        <w:t xml:space="preserve"> 5–8.</w:t>
      </w:r>
    </w:p>
    <w:p w14:paraId="0D6EB5C6"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Panda, S., &amp; Sharma, A. (2025). </w:t>
      </w:r>
      <w:proofErr w:type="spellStart"/>
      <w:r w:rsidRPr="002E59A3">
        <w:rPr>
          <w:rFonts w:ascii="Arial" w:hAnsi="Arial" w:cs="Arial"/>
          <w:sz w:val="20"/>
          <w:szCs w:val="20"/>
        </w:rPr>
        <w:t>Analyzing</w:t>
      </w:r>
      <w:proofErr w:type="spellEnd"/>
      <w:r w:rsidRPr="002E59A3">
        <w:rPr>
          <w:rFonts w:ascii="Arial" w:hAnsi="Arial" w:cs="Arial"/>
          <w:sz w:val="20"/>
          <w:szCs w:val="20"/>
        </w:rPr>
        <w:t xml:space="preserve"> the Factors Influencing the Adoption of Integrated Pest Management (IPM) Technology in Cotton in Rajasthan. </w:t>
      </w:r>
      <w:r w:rsidRPr="002E59A3">
        <w:rPr>
          <w:rFonts w:ascii="Arial" w:hAnsi="Arial" w:cs="Arial"/>
          <w:i/>
          <w:iCs/>
          <w:sz w:val="20"/>
          <w:szCs w:val="20"/>
        </w:rPr>
        <w:t>Indian Journal of Agricultural Research</w:t>
      </w:r>
      <w:r w:rsidRPr="002E59A3">
        <w:rPr>
          <w:rFonts w:ascii="Arial" w:hAnsi="Arial" w:cs="Arial"/>
          <w:sz w:val="20"/>
          <w:szCs w:val="20"/>
        </w:rPr>
        <w:t>, </w:t>
      </w:r>
      <w:r w:rsidRPr="002E59A3">
        <w:rPr>
          <w:rFonts w:ascii="Arial" w:hAnsi="Arial" w:cs="Arial"/>
          <w:i/>
          <w:iCs/>
          <w:sz w:val="20"/>
          <w:szCs w:val="20"/>
        </w:rPr>
        <w:t>59</w:t>
      </w:r>
      <w:r w:rsidRPr="002E59A3">
        <w:rPr>
          <w:rFonts w:ascii="Arial" w:hAnsi="Arial" w:cs="Arial"/>
          <w:sz w:val="20"/>
          <w:szCs w:val="20"/>
        </w:rPr>
        <w:t>(1): 147–152.</w:t>
      </w:r>
    </w:p>
    <w:p w14:paraId="6B40122B"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Muduli, D., Panda, S. and Biswas, S. (2024). Analysing factors influencing the pesticide business among the intermediaries in </w:t>
      </w:r>
      <w:proofErr w:type="spellStart"/>
      <w:r w:rsidRPr="002E59A3">
        <w:rPr>
          <w:rFonts w:ascii="Arial" w:hAnsi="Arial" w:cs="Arial"/>
          <w:sz w:val="20"/>
          <w:szCs w:val="20"/>
        </w:rPr>
        <w:t>Khordha</w:t>
      </w:r>
      <w:proofErr w:type="spellEnd"/>
      <w:r w:rsidRPr="002E59A3">
        <w:rPr>
          <w:rFonts w:ascii="Arial" w:hAnsi="Arial" w:cs="Arial"/>
          <w:sz w:val="20"/>
          <w:szCs w:val="20"/>
        </w:rPr>
        <w:t xml:space="preserve"> district of Odisha, India. The Pharma Innovation, 13(1): 01–04. </w:t>
      </w:r>
    </w:p>
    <w:p w14:paraId="1405E007"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Muduli, D., Panda, S. and Biswas, S. (2024). Behavioural pattern of pesticide dealers towards sales-promotional strategies in </w:t>
      </w:r>
      <w:proofErr w:type="spellStart"/>
      <w:r w:rsidRPr="002E59A3">
        <w:rPr>
          <w:rFonts w:ascii="Arial" w:hAnsi="Arial" w:cs="Arial"/>
          <w:sz w:val="20"/>
          <w:szCs w:val="20"/>
        </w:rPr>
        <w:t>Khordha</w:t>
      </w:r>
      <w:proofErr w:type="spellEnd"/>
      <w:r w:rsidRPr="002E59A3">
        <w:rPr>
          <w:rFonts w:ascii="Arial" w:hAnsi="Arial" w:cs="Arial"/>
          <w:sz w:val="20"/>
          <w:szCs w:val="20"/>
        </w:rPr>
        <w:t xml:space="preserve"> district of Odisha, India. The Pharma Innovation, 13(1): 46–50. </w:t>
      </w:r>
    </w:p>
    <w:p w14:paraId="40702F4E"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Panda, S., Sharma, A., and Biswas, S. (2023). Assessment of awareness level and constraints of cotton farmers following Integrated Pest Management (IPM) technology in Rajasthan, India. The Pharma Innovation, SP-12(10): 2037–2040.</w:t>
      </w:r>
    </w:p>
    <w:p w14:paraId="2AD3971B"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Panda, S., Sharma, A., &amp; Tyagi, S. (2022). Integrated Pest Management Technology as a Means to Cost Efficiency for Cotton Crop in Rajasthan, India. Asian Journal of Agricultural Extension, Economics &amp; Sociology, 40(9): 53-63. </w:t>
      </w:r>
    </w:p>
    <w:p w14:paraId="1258C37F"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color w:val="222222"/>
          <w:sz w:val="20"/>
          <w:szCs w:val="20"/>
          <w:shd w:val="clear" w:color="auto" w:fill="FFFFFF"/>
        </w:rPr>
        <w:t xml:space="preserve">Sahu, P., &amp; Pathak, H. (2023). Analysis of factors influencing preferences for sources and brands of pesticides in </w:t>
      </w:r>
      <w:proofErr w:type="spellStart"/>
      <w:r w:rsidRPr="002E59A3">
        <w:rPr>
          <w:rFonts w:ascii="Arial" w:hAnsi="Arial" w:cs="Arial"/>
          <w:color w:val="222222"/>
          <w:sz w:val="20"/>
          <w:szCs w:val="20"/>
          <w:shd w:val="clear" w:color="auto" w:fill="FFFFFF"/>
        </w:rPr>
        <w:t>Bemetara</w:t>
      </w:r>
      <w:proofErr w:type="spellEnd"/>
      <w:r w:rsidRPr="002E59A3">
        <w:rPr>
          <w:rFonts w:ascii="Arial" w:hAnsi="Arial" w:cs="Arial"/>
          <w:color w:val="222222"/>
          <w:sz w:val="20"/>
          <w:szCs w:val="20"/>
          <w:shd w:val="clear" w:color="auto" w:fill="FFFFFF"/>
        </w:rPr>
        <w:t xml:space="preserve"> district of Chhattisgarh. </w:t>
      </w:r>
      <w:r w:rsidRPr="002E59A3">
        <w:rPr>
          <w:rFonts w:ascii="Arial" w:hAnsi="Arial" w:cs="Arial"/>
          <w:i/>
          <w:iCs/>
          <w:sz w:val="20"/>
          <w:szCs w:val="20"/>
        </w:rPr>
        <w:t>The Pharma Innovation</w:t>
      </w:r>
      <w:r w:rsidRPr="002E59A3">
        <w:rPr>
          <w:rFonts w:ascii="Arial" w:hAnsi="Arial" w:cs="Arial"/>
          <w:sz w:val="20"/>
          <w:szCs w:val="20"/>
        </w:rPr>
        <w:t>, SP-12(7): 1480-1483.</w:t>
      </w:r>
    </w:p>
    <w:p w14:paraId="7250AD0F"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proofErr w:type="spellStart"/>
      <w:r w:rsidRPr="002E59A3">
        <w:rPr>
          <w:rFonts w:ascii="Arial" w:hAnsi="Arial" w:cs="Arial"/>
          <w:color w:val="222222"/>
          <w:sz w:val="20"/>
          <w:szCs w:val="20"/>
          <w:shd w:val="clear" w:color="auto" w:fill="FFFFFF"/>
        </w:rPr>
        <w:t>Kachroo</w:t>
      </w:r>
      <w:proofErr w:type="spellEnd"/>
      <w:r w:rsidRPr="002E59A3">
        <w:rPr>
          <w:rFonts w:ascii="Arial" w:hAnsi="Arial" w:cs="Arial"/>
          <w:color w:val="222222"/>
          <w:sz w:val="20"/>
          <w:szCs w:val="20"/>
          <w:shd w:val="clear" w:color="auto" w:fill="FFFFFF"/>
        </w:rPr>
        <w:t xml:space="preserve">, J., </w:t>
      </w:r>
      <w:proofErr w:type="spellStart"/>
      <w:r w:rsidRPr="002E59A3">
        <w:rPr>
          <w:rFonts w:ascii="Arial" w:hAnsi="Arial" w:cs="Arial"/>
          <w:color w:val="222222"/>
          <w:sz w:val="20"/>
          <w:szCs w:val="20"/>
          <w:shd w:val="clear" w:color="auto" w:fill="FFFFFF"/>
        </w:rPr>
        <w:t>Chalotra</w:t>
      </w:r>
      <w:proofErr w:type="spellEnd"/>
      <w:r w:rsidRPr="002E59A3">
        <w:rPr>
          <w:rFonts w:ascii="Arial" w:hAnsi="Arial" w:cs="Arial"/>
          <w:color w:val="222222"/>
          <w:sz w:val="20"/>
          <w:szCs w:val="20"/>
          <w:shd w:val="clear" w:color="auto" w:fill="FFFFFF"/>
        </w:rPr>
        <w:t xml:space="preserve">, G., Singh, S. P., &amp; Hamid, N. (2023). Factors influencing farmer’s buying </w:t>
      </w:r>
      <w:proofErr w:type="spellStart"/>
      <w:r w:rsidRPr="002E59A3">
        <w:rPr>
          <w:rFonts w:ascii="Arial" w:hAnsi="Arial" w:cs="Arial"/>
          <w:color w:val="222222"/>
          <w:sz w:val="20"/>
          <w:szCs w:val="20"/>
          <w:shd w:val="clear" w:color="auto" w:fill="FFFFFF"/>
        </w:rPr>
        <w:t>behavior</w:t>
      </w:r>
      <w:proofErr w:type="spellEnd"/>
      <w:r w:rsidRPr="002E59A3">
        <w:rPr>
          <w:rFonts w:ascii="Arial" w:hAnsi="Arial" w:cs="Arial"/>
          <w:color w:val="222222"/>
          <w:sz w:val="20"/>
          <w:szCs w:val="20"/>
          <w:shd w:val="clear" w:color="auto" w:fill="FFFFFF"/>
        </w:rPr>
        <w:t xml:space="preserve"> towards pesticides in Jammu and Kashmir (UT). </w:t>
      </w:r>
      <w:r w:rsidRPr="002E59A3">
        <w:rPr>
          <w:rFonts w:ascii="Arial" w:hAnsi="Arial" w:cs="Arial"/>
          <w:i/>
          <w:iCs/>
          <w:color w:val="222222"/>
          <w:sz w:val="20"/>
          <w:szCs w:val="20"/>
          <w:shd w:val="clear" w:color="auto" w:fill="FFFFFF"/>
        </w:rPr>
        <w:t>SKUAST Journal of Research</w:t>
      </w:r>
      <w:r w:rsidRPr="002E59A3">
        <w:rPr>
          <w:rFonts w:ascii="Arial" w:hAnsi="Arial" w:cs="Arial"/>
          <w:color w:val="222222"/>
          <w:sz w:val="20"/>
          <w:szCs w:val="20"/>
          <w:shd w:val="clear" w:color="auto" w:fill="FFFFFF"/>
        </w:rPr>
        <w:t>, 25(3)</w:t>
      </w:r>
      <w:r>
        <w:rPr>
          <w:rFonts w:ascii="Arial" w:hAnsi="Arial" w:cs="Arial"/>
          <w:color w:val="222222"/>
          <w:sz w:val="20"/>
          <w:szCs w:val="20"/>
          <w:shd w:val="clear" w:color="auto" w:fill="FFFFFF"/>
        </w:rPr>
        <w:t>:</w:t>
      </w:r>
      <w:r w:rsidRPr="002E59A3">
        <w:rPr>
          <w:rFonts w:ascii="Arial" w:hAnsi="Arial" w:cs="Arial"/>
          <w:color w:val="222222"/>
          <w:sz w:val="20"/>
          <w:szCs w:val="20"/>
          <w:shd w:val="clear" w:color="auto" w:fill="FFFFFF"/>
        </w:rPr>
        <w:t xml:space="preserve"> 426-436.</w:t>
      </w:r>
    </w:p>
    <w:p w14:paraId="1C0C150F"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r w:rsidRPr="002E59A3">
        <w:rPr>
          <w:rFonts w:ascii="Arial" w:hAnsi="Arial" w:cs="Arial"/>
          <w:color w:val="222222"/>
          <w:sz w:val="20"/>
          <w:szCs w:val="20"/>
          <w:shd w:val="clear" w:color="auto" w:fill="FFFFFF"/>
        </w:rPr>
        <w:t xml:space="preserve">Police, K., Gautam, V., </w:t>
      </w:r>
      <w:proofErr w:type="spellStart"/>
      <w:r w:rsidRPr="002E59A3">
        <w:rPr>
          <w:rFonts w:ascii="Arial" w:hAnsi="Arial" w:cs="Arial"/>
          <w:color w:val="222222"/>
          <w:sz w:val="20"/>
          <w:szCs w:val="20"/>
          <w:shd w:val="clear" w:color="auto" w:fill="FFFFFF"/>
        </w:rPr>
        <w:t>Chandakavate</w:t>
      </w:r>
      <w:proofErr w:type="spellEnd"/>
      <w:r w:rsidRPr="002E59A3">
        <w:rPr>
          <w:rFonts w:ascii="Arial" w:hAnsi="Arial" w:cs="Arial"/>
          <w:color w:val="222222"/>
          <w:sz w:val="20"/>
          <w:szCs w:val="20"/>
          <w:shd w:val="clear" w:color="auto" w:fill="FFFFFF"/>
        </w:rPr>
        <w:t xml:space="preserve">, S., &amp; </w:t>
      </w:r>
      <w:proofErr w:type="spellStart"/>
      <w:r w:rsidRPr="002E59A3">
        <w:rPr>
          <w:rFonts w:ascii="Arial" w:hAnsi="Arial" w:cs="Arial"/>
          <w:color w:val="222222"/>
          <w:sz w:val="20"/>
          <w:szCs w:val="20"/>
          <w:shd w:val="clear" w:color="auto" w:fill="FFFFFF"/>
        </w:rPr>
        <w:t>Dwesar</w:t>
      </w:r>
      <w:proofErr w:type="spellEnd"/>
      <w:r w:rsidRPr="002E59A3">
        <w:rPr>
          <w:rFonts w:ascii="Arial" w:hAnsi="Arial" w:cs="Arial"/>
          <w:color w:val="222222"/>
          <w:sz w:val="20"/>
          <w:szCs w:val="20"/>
          <w:shd w:val="clear" w:color="auto" w:fill="FFFFFF"/>
        </w:rPr>
        <w:t xml:space="preserve">, R. (2023). </w:t>
      </w:r>
      <w:proofErr w:type="spellStart"/>
      <w:r w:rsidRPr="002E59A3">
        <w:rPr>
          <w:rFonts w:ascii="Arial" w:hAnsi="Arial" w:cs="Arial"/>
          <w:color w:val="222222"/>
          <w:sz w:val="20"/>
          <w:szCs w:val="20"/>
          <w:shd w:val="clear" w:color="auto" w:fill="FFFFFF"/>
        </w:rPr>
        <w:t>Modeling</w:t>
      </w:r>
      <w:proofErr w:type="spellEnd"/>
      <w:r w:rsidRPr="002E59A3">
        <w:rPr>
          <w:rFonts w:ascii="Arial" w:hAnsi="Arial" w:cs="Arial"/>
          <w:color w:val="222222"/>
          <w:sz w:val="20"/>
          <w:szCs w:val="20"/>
          <w:shd w:val="clear" w:color="auto" w:fill="FFFFFF"/>
        </w:rPr>
        <w:t xml:space="preserve"> determinants of farmers’ purchase </w:t>
      </w:r>
      <w:proofErr w:type="spellStart"/>
      <w:r w:rsidRPr="002E59A3">
        <w:rPr>
          <w:rFonts w:ascii="Arial" w:hAnsi="Arial" w:cs="Arial"/>
          <w:color w:val="222222"/>
          <w:sz w:val="20"/>
          <w:szCs w:val="20"/>
          <w:shd w:val="clear" w:color="auto" w:fill="FFFFFF"/>
        </w:rPr>
        <w:t>behavior</w:t>
      </w:r>
      <w:proofErr w:type="spellEnd"/>
      <w:r w:rsidRPr="002E59A3">
        <w:rPr>
          <w:rFonts w:ascii="Arial" w:hAnsi="Arial" w:cs="Arial"/>
          <w:color w:val="222222"/>
          <w:sz w:val="20"/>
          <w:szCs w:val="20"/>
          <w:shd w:val="clear" w:color="auto" w:fill="FFFFFF"/>
        </w:rPr>
        <w:t>: A case of chemical pesticides. </w:t>
      </w:r>
      <w:r w:rsidRPr="002E59A3">
        <w:rPr>
          <w:rFonts w:ascii="Arial" w:hAnsi="Arial" w:cs="Arial"/>
          <w:i/>
          <w:iCs/>
          <w:color w:val="222222"/>
          <w:sz w:val="20"/>
          <w:szCs w:val="20"/>
          <w:shd w:val="clear" w:color="auto" w:fill="FFFFFF"/>
        </w:rPr>
        <w:t>Environment, Development and Sustainability</w:t>
      </w:r>
      <w:r w:rsidRPr="002E59A3">
        <w:rPr>
          <w:rFonts w:ascii="Arial" w:hAnsi="Arial" w:cs="Arial"/>
          <w:color w:val="222222"/>
          <w:sz w:val="20"/>
          <w:szCs w:val="20"/>
          <w:shd w:val="clear" w:color="auto" w:fill="FFFFFF"/>
        </w:rPr>
        <w:t>, 1-29.</w:t>
      </w:r>
    </w:p>
    <w:p w14:paraId="169096A0" w14:textId="77777777" w:rsidR="000B4138" w:rsidRPr="002E59A3" w:rsidRDefault="000B4138" w:rsidP="000B4138">
      <w:pPr>
        <w:pStyle w:val="ListParagraph"/>
        <w:numPr>
          <w:ilvl w:val="0"/>
          <w:numId w:val="33"/>
        </w:numPr>
        <w:spacing w:before="240" w:after="0" w:line="240" w:lineRule="auto"/>
        <w:jc w:val="both"/>
        <w:rPr>
          <w:rFonts w:ascii="Arial" w:hAnsi="Arial" w:cs="Arial"/>
          <w:color w:val="222222"/>
          <w:sz w:val="20"/>
          <w:szCs w:val="20"/>
          <w:shd w:val="clear" w:color="auto" w:fill="FFFFFF"/>
        </w:rPr>
      </w:pPr>
      <w:proofErr w:type="spellStart"/>
      <w:r w:rsidRPr="002E59A3">
        <w:rPr>
          <w:rFonts w:ascii="Arial" w:hAnsi="Arial" w:cs="Arial"/>
          <w:color w:val="222222"/>
          <w:sz w:val="20"/>
          <w:szCs w:val="20"/>
          <w:shd w:val="clear" w:color="auto" w:fill="FFFFFF"/>
        </w:rPr>
        <w:t>Mottaleb</w:t>
      </w:r>
      <w:proofErr w:type="spellEnd"/>
      <w:r w:rsidRPr="002E59A3">
        <w:rPr>
          <w:rFonts w:ascii="Arial" w:hAnsi="Arial" w:cs="Arial"/>
          <w:color w:val="222222"/>
          <w:sz w:val="20"/>
          <w:szCs w:val="20"/>
          <w:shd w:val="clear" w:color="auto" w:fill="FFFFFF"/>
        </w:rPr>
        <w:t xml:space="preserve">, K. A., </w:t>
      </w:r>
      <w:proofErr w:type="spellStart"/>
      <w:r w:rsidRPr="002E59A3">
        <w:rPr>
          <w:rFonts w:ascii="Arial" w:hAnsi="Arial" w:cs="Arial"/>
          <w:color w:val="222222"/>
          <w:sz w:val="20"/>
          <w:szCs w:val="20"/>
          <w:shd w:val="clear" w:color="auto" w:fill="FFFFFF"/>
        </w:rPr>
        <w:t>Rahut</w:t>
      </w:r>
      <w:proofErr w:type="spellEnd"/>
      <w:r w:rsidRPr="002E59A3">
        <w:rPr>
          <w:rFonts w:ascii="Arial" w:hAnsi="Arial" w:cs="Arial"/>
          <w:color w:val="222222"/>
          <w:sz w:val="20"/>
          <w:szCs w:val="20"/>
          <w:shd w:val="clear" w:color="auto" w:fill="FFFFFF"/>
        </w:rPr>
        <w:t>, D. B., &amp; Shakur, S. (2023). Exploring the role of pesticide traders in protecting farmers' benefit. </w:t>
      </w:r>
      <w:r w:rsidRPr="002E59A3">
        <w:rPr>
          <w:rFonts w:ascii="Arial" w:hAnsi="Arial" w:cs="Arial"/>
          <w:i/>
          <w:iCs/>
          <w:color w:val="222222"/>
          <w:sz w:val="20"/>
          <w:szCs w:val="20"/>
          <w:shd w:val="clear" w:color="auto" w:fill="FFFFFF"/>
        </w:rPr>
        <w:t>Review of Development Economics</w:t>
      </w:r>
      <w:r w:rsidRPr="002E59A3">
        <w:rPr>
          <w:rFonts w:ascii="Arial" w:hAnsi="Arial" w:cs="Arial"/>
          <w:color w:val="222222"/>
          <w:sz w:val="20"/>
          <w:szCs w:val="20"/>
          <w:shd w:val="clear" w:color="auto" w:fill="FFFFFF"/>
        </w:rPr>
        <w:t>.</w:t>
      </w:r>
    </w:p>
    <w:p w14:paraId="43EF381D"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proofErr w:type="spellStart"/>
      <w:r w:rsidRPr="002E59A3">
        <w:rPr>
          <w:rFonts w:ascii="Arial" w:hAnsi="Arial" w:cs="Arial"/>
          <w:color w:val="222222"/>
          <w:sz w:val="20"/>
          <w:szCs w:val="20"/>
          <w:shd w:val="clear" w:color="auto" w:fill="FFFFFF"/>
        </w:rPr>
        <w:lastRenderedPageBreak/>
        <w:t>Faldu</w:t>
      </w:r>
      <w:proofErr w:type="spellEnd"/>
      <w:r w:rsidRPr="002E59A3">
        <w:rPr>
          <w:rFonts w:ascii="Arial" w:hAnsi="Arial" w:cs="Arial"/>
          <w:color w:val="222222"/>
          <w:sz w:val="20"/>
          <w:szCs w:val="20"/>
          <w:shd w:val="clear" w:color="auto" w:fill="FFFFFF"/>
        </w:rPr>
        <w:t xml:space="preserve">, N. V., Dubey, L. R., </w:t>
      </w:r>
      <w:proofErr w:type="spellStart"/>
      <w:r w:rsidRPr="002E59A3">
        <w:rPr>
          <w:rFonts w:ascii="Arial" w:hAnsi="Arial" w:cs="Arial"/>
          <w:color w:val="222222"/>
          <w:sz w:val="20"/>
          <w:szCs w:val="20"/>
          <w:shd w:val="clear" w:color="auto" w:fill="FFFFFF"/>
        </w:rPr>
        <w:t>Savaliya</w:t>
      </w:r>
      <w:proofErr w:type="spellEnd"/>
      <w:r w:rsidRPr="002E59A3">
        <w:rPr>
          <w:rFonts w:ascii="Arial" w:hAnsi="Arial" w:cs="Arial"/>
          <w:color w:val="222222"/>
          <w:sz w:val="20"/>
          <w:szCs w:val="20"/>
          <w:shd w:val="clear" w:color="auto" w:fill="FFFFFF"/>
        </w:rPr>
        <w:t xml:space="preserve">, N. G., Chudasama, V. R., &amp; Modi, R. P. (2023). Analysis of the Marketing Status of Insecticide Brands and Buying </w:t>
      </w:r>
      <w:proofErr w:type="spellStart"/>
      <w:r w:rsidRPr="002E59A3">
        <w:rPr>
          <w:rFonts w:ascii="Arial" w:hAnsi="Arial" w:cs="Arial"/>
          <w:color w:val="222222"/>
          <w:sz w:val="20"/>
          <w:szCs w:val="20"/>
          <w:shd w:val="clear" w:color="auto" w:fill="FFFFFF"/>
        </w:rPr>
        <w:t>Behavior</w:t>
      </w:r>
      <w:proofErr w:type="spellEnd"/>
      <w:r w:rsidRPr="002E59A3">
        <w:rPr>
          <w:rFonts w:ascii="Arial" w:hAnsi="Arial" w:cs="Arial"/>
          <w:color w:val="222222"/>
          <w:sz w:val="20"/>
          <w:szCs w:val="20"/>
          <w:shd w:val="clear" w:color="auto" w:fill="FFFFFF"/>
        </w:rPr>
        <w:t xml:space="preserve"> of Chilli Growers in Rajkot District, Gujarat, India. </w:t>
      </w:r>
      <w:r w:rsidRPr="002E59A3">
        <w:rPr>
          <w:rFonts w:ascii="Arial" w:hAnsi="Arial" w:cs="Arial"/>
          <w:i/>
          <w:iCs/>
          <w:color w:val="222222"/>
          <w:sz w:val="20"/>
          <w:szCs w:val="20"/>
          <w:shd w:val="clear" w:color="auto" w:fill="FFFFFF"/>
        </w:rPr>
        <w:t>Asian Journal of Agricultural Extension, Economics &amp; Sociology</w:t>
      </w:r>
      <w:r w:rsidRPr="002E59A3">
        <w:rPr>
          <w:rFonts w:ascii="Arial" w:hAnsi="Arial" w:cs="Arial"/>
          <w:color w:val="222222"/>
          <w:sz w:val="20"/>
          <w:szCs w:val="20"/>
          <w:shd w:val="clear" w:color="auto" w:fill="FFFFFF"/>
        </w:rPr>
        <w:t>, 41(10)</w:t>
      </w:r>
      <w:r>
        <w:rPr>
          <w:rFonts w:ascii="Arial" w:hAnsi="Arial" w:cs="Arial"/>
          <w:color w:val="222222"/>
          <w:sz w:val="20"/>
          <w:szCs w:val="20"/>
          <w:shd w:val="clear" w:color="auto" w:fill="FFFFFF"/>
        </w:rPr>
        <w:t>:</w:t>
      </w:r>
      <w:r w:rsidRPr="002E59A3">
        <w:rPr>
          <w:rFonts w:ascii="Arial" w:hAnsi="Arial" w:cs="Arial"/>
          <w:color w:val="222222"/>
          <w:sz w:val="20"/>
          <w:szCs w:val="20"/>
          <w:shd w:val="clear" w:color="auto" w:fill="FFFFFF"/>
        </w:rPr>
        <w:t xml:space="preserve"> 709-715.</w:t>
      </w:r>
    </w:p>
    <w:p w14:paraId="4B488F05"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Kumar, S., &amp; Kumar, S. (2021). Constraints faced by Agri-input Dealers in Dissemination of Information to Farmers. </w:t>
      </w:r>
      <w:r w:rsidRPr="002E59A3">
        <w:rPr>
          <w:rFonts w:ascii="Arial" w:hAnsi="Arial" w:cs="Arial"/>
          <w:i/>
          <w:iCs/>
          <w:sz w:val="20"/>
          <w:szCs w:val="20"/>
        </w:rPr>
        <w:t>Biological Forum – An International Journal</w:t>
      </w:r>
      <w:r w:rsidRPr="002E59A3">
        <w:rPr>
          <w:rFonts w:ascii="Arial" w:hAnsi="Arial" w:cs="Arial"/>
          <w:sz w:val="20"/>
          <w:szCs w:val="20"/>
        </w:rPr>
        <w:t>, 13(3a): 643-648.</w:t>
      </w:r>
    </w:p>
    <w:p w14:paraId="39A38E88" w14:textId="77777777" w:rsidR="000B4138" w:rsidRPr="002E59A3"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color w:val="222222"/>
          <w:sz w:val="20"/>
          <w:szCs w:val="20"/>
          <w:shd w:val="clear" w:color="auto" w:fill="FFFFFF"/>
        </w:rPr>
        <w:t>Kaur, S. Agri input marketing models and market perspective. </w:t>
      </w:r>
      <w:r w:rsidRPr="002E59A3">
        <w:rPr>
          <w:rFonts w:ascii="Arial" w:hAnsi="Arial" w:cs="Arial"/>
          <w:i/>
          <w:iCs/>
          <w:color w:val="222222"/>
          <w:sz w:val="20"/>
          <w:szCs w:val="20"/>
          <w:shd w:val="clear" w:color="auto" w:fill="FFFFFF"/>
        </w:rPr>
        <w:t>Recent Trends in Agricultural Economics and Agricultural Extension</w:t>
      </w:r>
      <w:r w:rsidRPr="002E59A3">
        <w:rPr>
          <w:rFonts w:ascii="Arial" w:hAnsi="Arial" w:cs="Arial"/>
          <w:color w:val="222222"/>
          <w:sz w:val="20"/>
          <w:szCs w:val="20"/>
          <w:shd w:val="clear" w:color="auto" w:fill="FFFFFF"/>
        </w:rPr>
        <w:t>, 72–79.</w:t>
      </w:r>
    </w:p>
    <w:p w14:paraId="02301762" w14:textId="32CC5DBA" w:rsidR="00B01FCD" w:rsidRPr="000B4138" w:rsidRDefault="000B4138" w:rsidP="000B4138">
      <w:pPr>
        <w:pStyle w:val="ListParagraph"/>
        <w:numPr>
          <w:ilvl w:val="0"/>
          <w:numId w:val="33"/>
        </w:numPr>
        <w:spacing w:before="240" w:after="0" w:line="240" w:lineRule="auto"/>
        <w:jc w:val="both"/>
        <w:rPr>
          <w:rFonts w:ascii="Arial" w:hAnsi="Arial" w:cs="Arial"/>
          <w:sz w:val="20"/>
          <w:szCs w:val="20"/>
        </w:rPr>
      </w:pPr>
      <w:r w:rsidRPr="002E59A3">
        <w:rPr>
          <w:rFonts w:ascii="Arial" w:hAnsi="Arial" w:cs="Arial"/>
          <w:sz w:val="20"/>
          <w:szCs w:val="20"/>
        </w:rPr>
        <w:t xml:space="preserve">Indira Devi, P.I., Jayasree, M.G. Sarada, A.P. &amp; Rajesh K. Raju, R.K. (2017). Sales Practices in Pesticides Retail: A Case Study of Kerala. </w:t>
      </w:r>
      <w:r w:rsidRPr="002E59A3">
        <w:rPr>
          <w:rFonts w:ascii="Arial" w:hAnsi="Arial" w:cs="Arial"/>
          <w:i/>
          <w:iCs/>
          <w:sz w:val="20"/>
          <w:szCs w:val="20"/>
        </w:rPr>
        <w:t>Indian Journal of Agricultural Economics</w:t>
      </w:r>
      <w:r w:rsidRPr="002E59A3">
        <w:rPr>
          <w:rFonts w:ascii="Arial" w:hAnsi="Arial" w:cs="Arial"/>
          <w:sz w:val="20"/>
          <w:szCs w:val="20"/>
        </w:rPr>
        <w:t>, 72(1): 102–116</w:t>
      </w:r>
      <w:bookmarkEnd w:id="20"/>
      <w:r>
        <w:rPr>
          <w:rFonts w:ascii="Arial" w:hAnsi="Arial" w:cs="Arial"/>
          <w:sz w:val="20"/>
          <w:szCs w:val="20"/>
        </w:rPr>
        <w:t>.</w:t>
      </w:r>
      <w:r w:rsidR="00D74D37" w:rsidRPr="00E22AA4">
        <w:t xml:space="preserve"> </w:t>
      </w:r>
      <w:bookmarkEnd w:id="19"/>
    </w:p>
    <w:sectPr w:rsidR="00B01FCD" w:rsidRPr="000B4138" w:rsidSect="0009076A">
      <w:headerReference w:type="even" r:id="rId26"/>
      <w:headerReference w:type="default" r:id="rId27"/>
      <w:footerReference w:type="default" r:id="rId28"/>
      <w:headerReference w:type="first" r:id="rId29"/>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FEB4" w14:textId="77777777" w:rsidR="00E97CB8" w:rsidRDefault="00E97CB8" w:rsidP="00C37E61">
      <w:r>
        <w:separator/>
      </w:r>
    </w:p>
  </w:endnote>
  <w:endnote w:type="continuationSeparator" w:id="0">
    <w:p w14:paraId="663C209E" w14:textId="77777777" w:rsidR="00E97CB8" w:rsidRDefault="00E97C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6778" w14:textId="77777777" w:rsidR="00C34DA5" w:rsidRDefault="00C3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2818" w14:textId="77777777" w:rsidR="00C34DA5" w:rsidRDefault="00C34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CB6F" w14:textId="77777777" w:rsidR="009E048A" w:rsidRDefault="009E048A">
    <w:pPr>
      <w:pStyle w:val="Footer"/>
      <w:rPr>
        <w:rFonts w:ascii="Arial" w:hAnsi="Arial" w:cs="Arial"/>
        <w:sz w:val="16"/>
      </w:rPr>
    </w:pPr>
  </w:p>
  <w:p w14:paraId="08AA2D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3A16379" w14:textId="77777777" w:rsidR="009E048A" w:rsidRDefault="009E048A">
    <w:pPr>
      <w:pStyle w:val="Footer"/>
      <w:rPr>
        <w:rFonts w:ascii="Arial" w:hAnsi="Arial" w:cs="Arial"/>
        <w:sz w:val="16"/>
      </w:rPr>
    </w:pPr>
  </w:p>
  <w:p w14:paraId="6171BA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64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22E2E" w14:textId="77777777" w:rsidR="00E97CB8" w:rsidRDefault="00E97CB8" w:rsidP="00C37E61">
      <w:r>
        <w:separator/>
      </w:r>
    </w:p>
  </w:footnote>
  <w:footnote w:type="continuationSeparator" w:id="0">
    <w:p w14:paraId="2BE9E119" w14:textId="77777777" w:rsidR="00E97CB8" w:rsidRDefault="00E97C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5E22" w14:textId="24945178" w:rsidR="00C34DA5" w:rsidRDefault="00C34DA5">
    <w:pPr>
      <w:pStyle w:val="Header"/>
    </w:pPr>
    <w:r>
      <w:rPr>
        <w:noProof/>
      </w:rPr>
      <w:pict w14:anchorId="22474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EEEC" w14:textId="6D15B122" w:rsidR="00C34DA5" w:rsidRDefault="00C34DA5">
    <w:pPr>
      <w:pStyle w:val="Header"/>
    </w:pPr>
    <w:r>
      <w:rPr>
        <w:noProof/>
      </w:rPr>
      <w:pict w14:anchorId="0A9E1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36D3" w14:textId="05FA9D89" w:rsidR="00296529" w:rsidRPr="00296529" w:rsidRDefault="00C34DA5" w:rsidP="00296529">
    <w:pPr>
      <w:ind w:left="2160"/>
      <w:jc w:val="center"/>
      <w:rPr>
        <w:rFonts w:ascii="Times New Roman" w:eastAsia="Calibri" w:hAnsi="Times New Roman"/>
        <w:i/>
        <w:sz w:val="18"/>
        <w:szCs w:val="22"/>
      </w:rPr>
    </w:pPr>
    <w:r>
      <w:rPr>
        <w:noProof/>
      </w:rPr>
      <w:pict w14:anchorId="28B01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3"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8420D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81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AD1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54A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EB5D1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E617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D6AB" w14:textId="2E8F2673" w:rsidR="00C34DA5" w:rsidRDefault="00C34DA5">
    <w:pPr>
      <w:pStyle w:val="Header"/>
    </w:pPr>
    <w:r>
      <w:rPr>
        <w:noProof/>
      </w:rPr>
      <w:pict w14:anchorId="248F7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7"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FA36" w14:textId="6D72AFFB" w:rsidR="00C34DA5" w:rsidRDefault="00C34DA5">
    <w:pPr>
      <w:pStyle w:val="Header"/>
    </w:pPr>
    <w:r>
      <w:rPr>
        <w:noProof/>
      </w:rPr>
      <w:pict w14:anchorId="36261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8"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BFDB" w14:textId="7CFEEE94" w:rsidR="00C34DA5" w:rsidRDefault="00C34DA5">
    <w:pPr>
      <w:pStyle w:val="Header"/>
    </w:pPr>
    <w:r>
      <w:rPr>
        <w:noProof/>
      </w:rPr>
      <w:pict w14:anchorId="0AAF2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87456"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331F28"/>
    <w:multiLevelType w:val="hybridMultilevel"/>
    <w:tmpl w:val="D2E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34FE8"/>
    <w:multiLevelType w:val="hybridMultilevel"/>
    <w:tmpl w:val="9A82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AB54F9"/>
    <w:multiLevelType w:val="hybridMultilevel"/>
    <w:tmpl w:val="5290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3"/>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076A"/>
    <w:rsid w:val="00095D1F"/>
    <w:rsid w:val="000A1401"/>
    <w:rsid w:val="000A47FA"/>
    <w:rsid w:val="000A65D3"/>
    <w:rsid w:val="000B1E33"/>
    <w:rsid w:val="000B4138"/>
    <w:rsid w:val="000D689F"/>
    <w:rsid w:val="000E7B7B"/>
    <w:rsid w:val="000E7D62"/>
    <w:rsid w:val="00103357"/>
    <w:rsid w:val="001140C5"/>
    <w:rsid w:val="0011649E"/>
    <w:rsid w:val="00123C9F"/>
    <w:rsid w:val="00126190"/>
    <w:rsid w:val="00130F17"/>
    <w:rsid w:val="001320BF"/>
    <w:rsid w:val="00147325"/>
    <w:rsid w:val="00163BC4"/>
    <w:rsid w:val="00191062"/>
    <w:rsid w:val="00192B72"/>
    <w:rsid w:val="001A29D8"/>
    <w:rsid w:val="001A5CAA"/>
    <w:rsid w:val="001B0427"/>
    <w:rsid w:val="001B156A"/>
    <w:rsid w:val="001D3A51"/>
    <w:rsid w:val="001E10D2"/>
    <w:rsid w:val="001E25B4"/>
    <w:rsid w:val="001E44FE"/>
    <w:rsid w:val="001F6488"/>
    <w:rsid w:val="00200595"/>
    <w:rsid w:val="00204835"/>
    <w:rsid w:val="00231920"/>
    <w:rsid w:val="0023195C"/>
    <w:rsid w:val="0024282C"/>
    <w:rsid w:val="002460DC"/>
    <w:rsid w:val="00250985"/>
    <w:rsid w:val="0025124F"/>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7ADF"/>
    <w:rsid w:val="003C7EB7"/>
    <w:rsid w:val="003E2904"/>
    <w:rsid w:val="00401927"/>
    <w:rsid w:val="0041027F"/>
    <w:rsid w:val="00412475"/>
    <w:rsid w:val="00423789"/>
    <w:rsid w:val="00440F43"/>
    <w:rsid w:val="00441B6F"/>
    <w:rsid w:val="00446221"/>
    <w:rsid w:val="00450E62"/>
    <w:rsid w:val="00452DA4"/>
    <w:rsid w:val="004539DB"/>
    <w:rsid w:val="00471A80"/>
    <w:rsid w:val="004C6457"/>
    <w:rsid w:val="004D2B5E"/>
    <w:rsid w:val="004D305E"/>
    <w:rsid w:val="004D4277"/>
    <w:rsid w:val="004F5F9C"/>
    <w:rsid w:val="00502516"/>
    <w:rsid w:val="00505F06"/>
    <w:rsid w:val="00506828"/>
    <w:rsid w:val="0053056E"/>
    <w:rsid w:val="00554FDA"/>
    <w:rsid w:val="00565DB2"/>
    <w:rsid w:val="0057390C"/>
    <w:rsid w:val="005C2812"/>
    <w:rsid w:val="005C784C"/>
    <w:rsid w:val="005D17F6"/>
    <w:rsid w:val="005E5539"/>
    <w:rsid w:val="00602BF5"/>
    <w:rsid w:val="00617FDD"/>
    <w:rsid w:val="00633614"/>
    <w:rsid w:val="00633F68"/>
    <w:rsid w:val="00636EB2"/>
    <w:rsid w:val="006375B8"/>
    <w:rsid w:val="006567A1"/>
    <w:rsid w:val="0066510A"/>
    <w:rsid w:val="00673F9F"/>
    <w:rsid w:val="00685CF7"/>
    <w:rsid w:val="00686953"/>
    <w:rsid w:val="00687DEA"/>
    <w:rsid w:val="00687E67"/>
    <w:rsid w:val="006967F7"/>
    <w:rsid w:val="00697958"/>
    <w:rsid w:val="006A250C"/>
    <w:rsid w:val="006B21D3"/>
    <w:rsid w:val="006B57D0"/>
    <w:rsid w:val="006D30FF"/>
    <w:rsid w:val="006D6940"/>
    <w:rsid w:val="006E3421"/>
    <w:rsid w:val="006F11EC"/>
    <w:rsid w:val="0070082C"/>
    <w:rsid w:val="007148BA"/>
    <w:rsid w:val="0072640E"/>
    <w:rsid w:val="007369E6"/>
    <w:rsid w:val="00746E59"/>
    <w:rsid w:val="00754C9A"/>
    <w:rsid w:val="0075599A"/>
    <w:rsid w:val="00761D52"/>
    <w:rsid w:val="0077749E"/>
    <w:rsid w:val="007803C2"/>
    <w:rsid w:val="00790ADA"/>
    <w:rsid w:val="007D2288"/>
    <w:rsid w:val="007D3812"/>
    <w:rsid w:val="007D61BB"/>
    <w:rsid w:val="007E088F"/>
    <w:rsid w:val="007F7B32"/>
    <w:rsid w:val="00804BC2"/>
    <w:rsid w:val="0081431A"/>
    <w:rsid w:val="0083216F"/>
    <w:rsid w:val="00854062"/>
    <w:rsid w:val="00860000"/>
    <w:rsid w:val="00862CCD"/>
    <w:rsid w:val="00863BD3"/>
    <w:rsid w:val="008641ED"/>
    <w:rsid w:val="00866D66"/>
    <w:rsid w:val="008671C6"/>
    <w:rsid w:val="00875803"/>
    <w:rsid w:val="008A591F"/>
    <w:rsid w:val="008B459E"/>
    <w:rsid w:val="008D4E1A"/>
    <w:rsid w:val="008E13AE"/>
    <w:rsid w:val="008E1506"/>
    <w:rsid w:val="008E710C"/>
    <w:rsid w:val="008F69D6"/>
    <w:rsid w:val="00902823"/>
    <w:rsid w:val="00915CA6"/>
    <w:rsid w:val="00927834"/>
    <w:rsid w:val="009500A6"/>
    <w:rsid w:val="00957C18"/>
    <w:rsid w:val="0096027A"/>
    <w:rsid w:val="00963B97"/>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674C"/>
    <w:rsid w:val="00A347C0"/>
    <w:rsid w:val="00A51431"/>
    <w:rsid w:val="00A539AD"/>
    <w:rsid w:val="00A85B9A"/>
    <w:rsid w:val="00A94063"/>
    <w:rsid w:val="00AA6219"/>
    <w:rsid w:val="00AA74E0"/>
    <w:rsid w:val="00AB703F"/>
    <w:rsid w:val="00AC3D91"/>
    <w:rsid w:val="00AC6BB8"/>
    <w:rsid w:val="00AE008F"/>
    <w:rsid w:val="00B01FCD"/>
    <w:rsid w:val="00B06AF0"/>
    <w:rsid w:val="00B1776C"/>
    <w:rsid w:val="00B24145"/>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4DA5"/>
    <w:rsid w:val="00C37E61"/>
    <w:rsid w:val="00C70F1B"/>
    <w:rsid w:val="00C71A47"/>
    <w:rsid w:val="00C7464C"/>
    <w:rsid w:val="00C85588"/>
    <w:rsid w:val="00C9264D"/>
    <w:rsid w:val="00CD6755"/>
    <w:rsid w:val="00CD6856"/>
    <w:rsid w:val="00CE0089"/>
    <w:rsid w:val="00CE793C"/>
    <w:rsid w:val="00CE7E93"/>
    <w:rsid w:val="00CF08D3"/>
    <w:rsid w:val="00CF193C"/>
    <w:rsid w:val="00D173F1"/>
    <w:rsid w:val="00D54827"/>
    <w:rsid w:val="00D561B9"/>
    <w:rsid w:val="00D74CB0"/>
    <w:rsid w:val="00D74D37"/>
    <w:rsid w:val="00D8295D"/>
    <w:rsid w:val="00D84C40"/>
    <w:rsid w:val="00DC2A65"/>
    <w:rsid w:val="00DD49A1"/>
    <w:rsid w:val="00DE15F0"/>
    <w:rsid w:val="00DE3991"/>
    <w:rsid w:val="00DE5663"/>
    <w:rsid w:val="00DE78AA"/>
    <w:rsid w:val="00E03400"/>
    <w:rsid w:val="00E04292"/>
    <w:rsid w:val="00E053D0"/>
    <w:rsid w:val="00E15994"/>
    <w:rsid w:val="00E3114E"/>
    <w:rsid w:val="00E31A70"/>
    <w:rsid w:val="00E35B02"/>
    <w:rsid w:val="00E66496"/>
    <w:rsid w:val="00E66B35"/>
    <w:rsid w:val="00E66E10"/>
    <w:rsid w:val="00E769F6"/>
    <w:rsid w:val="00E8407C"/>
    <w:rsid w:val="00E84F3C"/>
    <w:rsid w:val="00E97CB8"/>
    <w:rsid w:val="00EA012C"/>
    <w:rsid w:val="00EB2F8A"/>
    <w:rsid w:val="00EC4A12"/>
    <w:rsid w:val="00EC557B"/>
    <w:rsid w:val="00EC6A55"/>
    <w:rsid w:val="00ED0288"/>
    <w:rsid w:val="00ED4B15"/>
    <w:rsid w:val="00EE52CB"/>
    <w:rsid w:val="00EF581D"/>
    <w:rsid w:val="00EF7FD8"/>
    <w:rsid w:val="00F06F59"/>
    <w:rsid w:val="00F17988"/>
    <w:rsid w:val="00F20B77"/>
    <w:rsid w:val="00F469F0"/>
    <w:rsid w:val="00F53273"/>
    <w:rsid w:val="00F707E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940AA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semiHidden/>
    <w:unhideWhenUsed/>
    <w:rsid w:val="00D84C40"/>
  </w:style>
  <w:style w:type="character" w:customStyle="1" w:styleId="EndnoteTextChar">
    <w:name w:val="Endnote Text Char"/>
    <w:basedOn w:val="DefaultParagraphFont"/>
    <w:link w:val="EndnoteText"/>
    <w:semiHidden/>
    <w:rsid w:val="00D84C40"/>
    <w:rPr>
      <w:rFonts w:ascii="Helvetica" w:hAnsi="Helvetica"/>
    </w:rPr>
  </w:style>
  <w:style w:type="character" w:styleId="EndnoteReference">
    <w:name w:val="endnote reference"/>
    <w:basedOn w:val="DefaultParagraphFont"/>
    <w:semiHidden/>
    <w:unhideWhenUsed/>
    <w:rsid w:val="00D84C40"/>
    <w:rPr>
      <w:vertAlign w:val="superscript"/>
    </w:rPr>
  </w:style>
  <w:style w:type="paragraph" w:styleId="FootnoteText">
    <w:name w:val="footnote text"/>
    <w:basedOn w:val="Normal"/>
    <w:link w:val="FootnoteTextChar"/>
    <w:semiHidden/>
    <w:unhideWhenUsed/>
    <w:rsid w:val="00D84C40"/>
  </w:style>
  <w:style w:type="character" w:customStyle="1" w:styleId="FootnoteTextChar">
    <w:name w:val="Footnote Text Char"/>
    <w:basedOn w:val="DefaultParagraphFont"/>
    <w:link w:val="FootnoteText"/>
    <w:semiHidden/>
    <w:rsid w:val="00D84C40"/>
    <w:rPr>
      <w:rFonts w:ascii="Helvetica" w:hAnsi="Helvetica"/>
    </w:rPr>
  </w:style>
  <w:style w:type="character" w:styleId="FootnoteReference">
    <w:name w:val="footnote reference"/>
    <w:basedOn w:val="DefaultParagraphFont"/>
    <w:semiHidden/>
    <w:unhideWhenUsed/>
    <w:rsid w:val="00D84C40"/>
    <w:rPr>
      <w:vertAlign w:val="superscript"/>
    </w:rPr>
  </w:style>
  <w:style w:type="paragraph" w:styleId="ListParagraph">
    <w:name w:val="List Paragraph"/>
    <w:basedOn w:val="Normal"/>
    <w:uiPriority w:val="34"/>
    <w:qFormat/>
    <w:rsid w:val="00D74D37"/>
    <w:pPr>
      <w:spacing w:after="160" w:line="259" w:lineRule="auto"/>
      <w:ind w:left="720"/>
      <w:contextualSpacing/>
    </w:pPr>
    <w:rPr>
      <w:rFonts w:asciiTheme="minorHAnsi" w:eastAsiaTheme="minorHAnsi" w:hAnsiTheme="minorHAnsi" w:cstheme="minorBidi"/>
      <w:kern w:val="2"/>
      <w:sz w:val="22"/>
      <w:szCs w:val="22"/>
      <w:lang w:val="en-GB" w:bidi="or-IN"/>
    </w:rPr>
  </w:style>
  <w:style w:type="table" w:customStyle="1" w:styleId="TableGridLight1">
    <w:name w:val="Table Grid Light1"/>
    <w:basedOn w:val="TableNormal"/>
    <w:uiPriority w:val="40"/>
    <w:rsid w:val="00D74D37"/>
    <w:rPr>
      <w:rFonts w:asciiTheme="minorHAnsi" w:eastAsiaTheme="minorHAnsi" w:hAnsiTheme="minorHAnsi" w:cstheme="minorBidi"/>
      <w:kern w:val="2"/>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www.custommarketinsights.com/report/india-biopesticides-market/"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ortunebusinessinsights.com/industry-reports/biopesticides-market-100073"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inal\ins%20fun%20herb.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ownloads\thesis%20abm.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ownloads\thesis%20ab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ownloads\thesis%20abm.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ownloads\thesis%20abm.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Downloads\thesis%20abm.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Desktop\Final\thesis%20a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latin typeface="+mn-lt"/>
              </a:rPr>
              <a:t>Top five insecticides</a:t>
            </a:r>
          </a:p>
        </c:rich>
      </c:tx>
      <c:overlay val="0"/>
      <c:spPr>
        <a:noFill/>
        <a:ln>
          <a:noFill/>
        </a:ln>
        <a:effectLst/>
      </c:spPr>
    </c:title>
    <c:autoTitleDeleted val="0"/>
    <c:plotArea>
      <c:layout/>
      <c:barChart>
        <c:barDir val="col"/>
        <c:grouping val="clustered"/>
        <c:varyColors val="0"/>
        <c:ser>
          <c:idx val="0"/>
          <c:order val="0"/>
          <c:tx>
            <c:strRef>
              <c:f>Sheet3!$E$2</c:f>
              <c:strCache>
                <c:ptCount val="1"/>
                <c:pt idx="0">
                  <c:v>Frequency of responses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Sheet3!$B$3:$D$7</c:f>
              <c:multiLvlStrCache>
                <c:ptCount val="5"/>
                <c:lvl>
                  <c:pt idx="0">
                    <c:v>Cypermethrin25%EC</c:v>
                  </c:pt>
                  <c:pt idx="1">
                    <c:v>Chloropyriphos 50% + Cypermethrin 5% EC</c:v>
                  </c:pt>
                  <c:pt idx="2">
                    <c:v>Dimethoate 30% EC</c:v>
                  </c:pt>
                  <c:pt idx="3">
                    <c:v>Chloropyriphos 50% + Cypermethrin 5% EC</c:v>
                  </c:pt>
                  <c:pt idx="4">
                    <c:v>Chloropyriphos 50% + Cypermethrin 5% EC</c:v>
                  </c:pt>
                </c:lvl>
                <c:lvl>
                  <c:pt idx="0">
                    <c:v>Dhanuka</c:v>
                  </c:pt>
                  <c:pt idx="1">
                    <c:v>HPM</c:v>
                  </c:pt>
                  <c:pt idx="2">
                    <c:v>HPM</c:v>
                  </c:pt>
                  <c:pt idx="3">
                    <c:v>NACL Industries Limited</c:v>
                  </c:pt>
                  <c:pt idx="4">
                    <c:v>Zuari FarmHub Limited</c:v>
                  </c:pt>
                </c:lvl>
                <c:lvl>
                  <c:pt idx="0">
                    <c:v>Super killer</c:v>
                  </c:pt>
                  <c:pt idx="1">
                    <c:v>Terminator</c:v>
                  </c:pt>
                  <c:pt idx="2">
                    <c:v>Rogor</c:v>
                  </c:pt>
                  <c:pt idx="3">
                    <c:v>Cannon</c:v>
                  </c:pt>
                  <c:pt idx="4">
                    <c:v>Zailo</c:v>
                  </c:pt>
                </c:lvl>
              </c:multiLvlStrCache>
            </c:multiLvlStrRef>
          </c:cat>
          <c:val>
            <c:numRef>
              <c:f>Sheet3!$E$3:$E$7</c:f>
              <c:numCache>
                <c:formatCode>General</c:formatCode>
                <c:ptCount val="5"/>
                <c:pt idx="0">
                  <c:v>15</c:v>
                </c:pt>
                <c:pt idx="1">
                  <c:v>10</c:v>
                </c:pt>
                <c:pt idx="2">
                  <c:v>10</c:v>
                </c:pt>
                <c:pt idx="3">
                  <c:v>10</c:v>
                </c:pt>
                <c:pt idx="4">
                  <c:v>6</c:v>
                </c:pt>
              </c:numCache>
            </c:numRef>
          </c:val>
          <c:extLst>
            <c:ext xmlns:c16="http://schemas.microsoft.com/office/drawing/2014/chart" uri="{C3380CC4-5D6E-409C-BE32-E72D297353CC}">
              <c16:uniqueId val="{00000000-3B2F-4AB5-AB60-BBC9F960DFB3}"/>
            </c:ext>
          </c:extLst>
        </c:ser>
        <c:dLbls>
          <c:showLegendKey val="0"/>
          <c:showVal val="1"/>
          <c:showCatName val="0"/>
          <c:showSerName val="0"/>
          <c:showPercent val="0"/>
          <c:showBubbleSize val="0"/>
        </c:dLbls>
        <c:gapWidth val="444"/>
        <c:overlap val="-90"/>
        <c:axId val="105847040"/>
        <c:axId val="105873408"/>
      </c:barChart>
      <c:catAx>
        <c:axId val="105847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105873408"/>
        <c:crosses val="autoZero"/>
        <c:auto val="1"/>
        <c:lblAlgn val="ctr"/>
        <c:lblOffset val="100"/>
        <c:noMultiLvlLbl val="0"/>
      </c:catAx>
      <c:valAx>
        <c:axId val="105873408"/>
        <c:scaling>
          <c:orientation val="minMax"/>
        </c:scaling>
        <c:delete val="1"/>
        <c:axPos val="l"/>
        <c:numFmt formatCode="General" sourceLinked="1"/>
        <c:majorTickMark val="none"/>
        <c:minorTickMark val="none"/>
        <c:tickLblPos val="none"/>
        <c:crossAx val="105847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100" b="1"/>
              <a:t>Promotional tools preferred by dealers/retailers</a:t>
            </a:r>
          </a:p>
        </c:rich>
      </c:tx>
      <c:overlay val="0"/>
      <c:spPr>
        <a:noFill/>
        <a:ln>
          <a:noFill/>
        </a:ln>
        <a:effectLst/>
      </c:spPr>
    </c:title>
    <c:autoTitleDeleted val="0"/>
    <c:plotArea>
      <c:layout>
        <c:manualLayout>
          <c:layoutTarget val="inner"/>
          <c:xMode val="edge"/>
          <c:yMode val="edge"/>
          <c:x val="9.5345396401845028E-2"/>
          <c:y val="0.12001579927410352"/>
          <c:w val="0.89256730858249766"/>
          <c:h val="0.51903297483036859"/>
        </c:manualLayout>
      </c:layout>
      <c:barChart>
        <c:barDir val="col"/>
        <c:grouping val="percentStacked"/>
        <c:varyColors val="0"/>
        <c:ser>
          <c:idx val="0"/>
          <c:order val="0"/>
          <c:tx>
            <c:strRef>
              <c:f>Sheet2!$C$2</c:f>
              <c:strCache>
                <c:ptCount val="1"/>
                <c:pt idx="0">
                  <c:v>Number of respondents responded positively</c:v>
                </c:pt>
              </c:strCache>
            </c:strRef>
          </c:tx>
          <c:spPr>
            <a:solidFill>
              <a:schemeClr val="accent1"/>
            </a:solidFill>
            <a:ln>
              <a:noFill/>
            </a:ln>
            <a:effectLst/>
          </c:spPr>
          <c:invertIfNegative val="0"/>
          <c:cat>
            <c:strRef>
              <c:f>Sheet2!$B$3:$B$13</c:f>
              <c:strCache>
                <c:ptCount val="11"/>
                <c:pt idx="0">
                  <c:v>Outside posters/ banners</c:v>
                </c:pt>
                <c:pt idx="1">
                  <c:v>Farmers meeting</c:v>
                </c:pt>
                <c:pt idx="2">
                  <c:v>Field visits</c:v>
                </c:pt>
                <c:pt idx="3">
                  <c:v>Point of Purchase materials</c:v>
                </c:pt>
                <c:pt idx="4">
                  <c:v>Promotional schemes or packages</c:v>
                </c:pt>
                <c:pt idx="5">
                  <c:v>Jeep campaigning</c:v>
                </c:pt>
                <c:pt idx="6">
                  <c:v>Personal accessories for dealers</c:v>
                </c:pt>
                <c:pt idx="7">
                  <c:v>Channel partners meeting</c:v>
                </c:pt>
                <c:pt idx="8">
                  <c:v>Mega farmers meetings</c:v>
                </c:pt>
                <c:pt idx="9">
                  <c:v>Crop seminars</c:v>
                </c:pt>
                <c:pt idx="10">
                  <c:v>Need company staff at store</c:v>
                </c:pt>
              </c:strCache>
            </c:strRef>
          </c:cat>
          <c:val>
            <c:numRef>
              <c:f>Sheet2!$C$3:$C$13</c:f>
            </c:numRef>
          </c:val>
          <c:extLst>
            <c:ext xmlns:c16="http://schemas.microsoft.com/office/drawing/2014/chart" uri="{C3380CC4-5D6E-409C-BE32-E72D297353CC}">
              <c16:uniqueId val="{00000000-5371-4767-816C-D609809EFEBE}"/>
            </c:ext>
          </c:extLst>
        </c:ser>
        <c:ser>
          <c:idx val="1"/>
          <c:order val="1"/>
          <c:tx>
            <c:strRef>
              <c:f>Sheet2!$D$2</c:f>
              <c:strCache>
                <c:ptCount val="1"/>
                <c:pt idx="0">
                  <c:v>% of response (Yes)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Sheet2!$B$3:$B$13</c:f>
              <c:strCache>
                <c:ptCount val="11"/>
                <c:pt idx="0">
                  <c:v>Outside posters/ banners</c:v>
                </c:pt>
                <c:pt idx="1">
                  <c:v>Farmers meeting</c:v>
                </c:pt>
                <c:pt idx="2">
                  <c:v>Field visits</c:v>
                </c:pt>
                <c:pt idx="3">
                  <c:v>Point of Purchase materials</c:v>
                </c:pt>
                <c:pt idx="4">
                  <c:v>Promotional schemes or packages</c:v>
                </c:pt>
                <c:pt idx="5">
                  <c:v>Jeep campaigning</c:v>
                </c:pt>
                <c:pt idx="6">
                  <c:v>Personal accessories for dealers</c:v>
                </c:pt>
                <c:pt idx="7">
                  <c:v>Channel partners meeting</c:v>
                </c:pt>
                <c:pt idx="8">
                  <c:v>Mega farmers meetings</c:v>
                </c:pt>
                <c:pt idx="9">
                  <c:v>Crop seminars</c:v>
                </c:pt>
                <c:pt idx="10">
                  <c:v>Need company staff at store</c:v>
                </c:pt>
              </c:strCache>
            </c:strRef>
          </c:cat>
          <c:val>
            <c:numRef>
              <c:f>Sheet2!$D$3:$D$13</c:f>
              <c:numCache>
                <c:formatCode>0.00</c:formatCode>
                <c:ptCount val="11"/>
                <c:pt idx="0">
                  <c:v>96.296296296296291</c:v>
                </c:pt>
                <c:pt idx="1">
                  <c:v>92.592592592592396</c:v>
                </c:pt>
                <c:pt idx="2">
                  <c:v>88.888888888888658</c:v>
                </c:pt>
                <c:pt idx="3">
                  <c:v>85.185185185185148</c:v>
                </c:pt>
                <c:pt idx="4">
                  <c:v>77.777777777777672</c:v>
                </c:pt>
                <c:pt idx="5">
                  <c:v>66.666666666666657</c:v>
                </c:pt>
                <c:pt idx="6">
                  <c:v>59.259259259259245</c:v>
                </c:pt>
                <c:pt idx="7">
                  <c:v>55.555555555555557</c:v>
                </c:pt>
                <c:pt idx="8">
                  <c:v>48.148148148148223</c:v>
                </c:pt>
                <c:pt idx="9">
                  <c:v>37.037037037037024</c:v>
                </c:pt>
                <c:pt idx="10">
                  <c:v>29.629629629629626</c:v>
                </c:pt>
              </c:numCache>
            </c:numRef>
          </c:val>
          <c:extLst>
            <c:ext xmlns:c16="http://schemas.microsoft.com/office/drawing/2014/chart" uri="{C3380CC4-5D6E-409C-BE32-E72D297353CC}">
              <c16:uniqueId val="{00000001-5371-4767-816C-D609809EFEBE}"/>
            </c:ext>
          </c:extLst>
        </c:ser>
        <c:ser>
          <c:idx val="2"/>
          <c:order val="2"/>
          <c:tx>
            <c:strRef>
              <c:f>Sheet2!$E$2</c:f>
              <c:strCache>
                <c:ptCount val="1"/>
                <c:pt idx="0">
                  <c:v>% of response (No)</c:v>
                </c:pt>
              </c:strCache>
            </c:strRef>
          </c:tx>
          <c:spPr>
            <a:solidFill>
              <a:schemeClr val="accent3"/>
            </a:solidFill>
            <a:ln>
              <a:noFill/>
            </a:ln>
            <a:effectLst/>
          </c:spPr>
          <c:invertIfNegative val="0"/>
          <c:cat>
            <c:strRef>
              <c:f>Sheet2!$B$3:$B$13</c:f>
              <c:strCache>
                <c:ptCount val="11"/>
                <c:pt idx="0">
                  <c:v>Outside posters/ banners</c:v>
                </c:pt>
                <c:pt idx="1">
                  <c:v>Farmers meeting</c:v>
                </c:pt>
                <c:pt idx="2">
                  <c:v>Field visits</c:v>
                </c:pt>
                <c:pt idx="3">
                  <c:v>Point of Purchase materials</c:v>
                </c:pt>
                <c:pt idx="4">
                  <c:v>Promotional schemes or packages</c:v>
                </c:pt>
                <c:pt idx="5">
                  <c:v>Jeep campaigning</c:v>
                </c:pt>
                <c:pt idx="6">
                  <c:v>Personal accessories for dealers</c:v>
                </c:pt>
                <c:pt idx="7">
                  <c:v>Channel partners meeting</c:v>
                </c:pt>
                <c:pt idx="8">
                  <c:v>Mega farmers meetings</c:v>
                </c:pt>
                <c:pt idx="9">
                  <c:v>Crop seminars</c:v>
                </c:pt>
                <c:pt idx="10">
                  <c:v>Need company staff at store</c:v>
                </c:pt>
              </c:strCache>
            </c:strRef>
          </c:cat>
          <c:val>
            <c:numRef>
              <c:f>Sheet2!$E$3:$E$13</c:f>
              <c:numCache>
                <c:formatCode>0.00</c:formatCode>
                <c:ptCount val="11"/>
                <c:pt idx="0">
                  <c:v>3.7037037037037095</c:v>
                </c:pt>
                <c:pt idx="1">
                  <c:v>7.4074074074074048</c:v>
                </c:pt>
                <c:pt idx="2">
                  <c:v>11.111111111111093</c:v>
                </c:pt>
                <c:pt idx="3">
                  <c:v>14.81481481481482</c:v>
                </c:pt>
                <c:pt idx="4">
                  <c:v>22.222222222222168</c:v>
                </c:pt>
                <c:pt idx="5">
                  <c:v>33.333333333333343</c:v>
                </c:pt>
                <c:pt idx="6">
                  <c:v>40.740740740740762</c:v>
                </c:pt>
                <c:pt idx="7">
                  <c:v>44.444444444444329</c:v>
                </c:pt>
                <c:pt idx="8">
                  <c:v>51.851851851851784</c:v>
                </c:pt>
                <c:pt idx="9">
                  <c:v>62.962962962962962</c:v>
                </c:pt>
                <c:pt idx="10">
                  <c:v>70.370370370370196</c:v>
                </c:pt>
              </c:numCache>
            </c:numRef>
          </c:val>
          <c:extLst>
            <c:ext xmlns:c16="http://schemas.microsoft.com/office/drawing/2014/chart" uri="{C3380CC4-5D6E-409C-BE32-E72D297353CC}">
              <c16:uniqueId val="{00000002-5371-4767-816C-D609809EFEBE}"/>
            </c:ext>
          </c:extLst>
        </c:ser>
        <c:dLbls>
          <c:showLegendKey val="0"/>
          <c:showVal val="0"/>
          <c:showCatName val="0"/>
          <c:showSerName val="0"/>
          <c:showPercent val="0"/>
          <c:showBubbleSize val="0"/>
        </c:dLbls>
        <c:gapWidth val="150"/>
        <c:overlap val="100"/>
        <c:axId val="133902720"/>
        <c:axId val="133904256"/>
      </c:barChart>
      <c:catAx>
        <c:axId val="13390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3904256"/>
        <c:crosses val="autoZero"/>
        <c:auto val="1"/>
        <c:lblAlgn val="ctr"/>
        <c:lblOffset val="100"/>
        <c:noMultiLvlLbl val="0"/>
      </c:catAx>
      <c:valAx>
        <c:axId val="133904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3902720"/>
        <c:crosses val="autoZero"/>
        <c:crossBetween val="between"/>
      </c:valAx>
      <c:spPr>
        <a:noFill/>
        <a:ln>
          <a:noFill/>
        </a:ln>
        <a:effectLst/>
      </c:spPr>
    </c:plotArea>
    <c:legend>
      <c:legendPos val="b"/>
      <c:layout>
        <c:manualLayout>
          <c:xMode val="edge"/>
          <c:yMode val="edge"/>
          <c:x val="0.26755636821710188"/>
          <c:y val="0.91810870698843761"/>
          <c:w val="0.47375054741246198"/>
          <c:h val="7.023854490513409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600" b="1" i="0" u="none" strike="noStrike" kern="1200" cap="all" spc="120" normalizeH="0" baseline="0">
                <a:solidFill>
                  <a:sysClr val="windowText" lastClr="000000">
                    <a:lumMod val="65000"/>
                    <a:lumOff val="35000"/>
                  </a:sysClr>
                </a:solidFill>
              </a:rPr>
              <a:t>top five FUNGIcides</a:t>
            </a:r>
          </a:p>
        </c:rich>
      </c:tx>
      <c:overlay val="0"/>
      <c:spPr>
        <a:noFill/>
        <a:ln>
          <a:noFill/>
        </a:ln>
        <a:effectLst/>
      </c:spPr>
    </c:title>
    <c:autoTitleDeleted val="0"/>
    <c:plotArea>
      <c:layout/>
      <c:barChart>
        <c:barDir val="col"/>
        <c:grouping val="clustered"/>
        <c:varyColors val="0"/>
        <c:ser>
          <c:idx val="0"/>
          <c:order val="0"/>
          <c:tx>
            <c:strRef>
              <c:f>Sheet3!$E$23</c:f>
              <c:strCache>
                <c:ptCount val="1"/>
                <c:pt idx="0">
                  <c:v>Frequency of responses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Sheet3!$B$24:$D$28</c:f>
              <c:multiLvlStrCache>
                <c:ptCount val="5"/>
                <c:lvl>
                  <c:pt idx="0">
                    <c:v>Carbendazim 12% + Mancozeb 63% WP</c:v>
                  </c:pt>
                  <c:pt idx="1">
                    <c:v>Mancozeb 75% WP</c:v>
                  </c:pt>
                  <c:pt idx="2">
                    <c:v>Carbendazim 50% WP</c:v>
                  </c:pt>
                  <c:pt idx="3">
                    <c:v>Copper Oxy Cholride 50% Wp</c:v>
                  </c:pt>
                  <c:pt idx="4">
                    <c:v>Carbendazim 12% + Mancozeb 63% WP</c:v>
                  </c:pt>
                </c:lvl>
                <c:lvl>
                  <c:pt idx="0">
                    <c:v>UPL</c:v>
                  </c:pt>
                  <c:pt idx="1">
                    <c:v>Indofil Industries Ltd</c:v>
                  </c:pt>
                  <c:pt idx="2">
                    <c:v>Crystal Crop Protection Limited</c:v>
                  </c:pt>
                  <c:pt idx="3">
                    <c:v>TATA</c:v>
                  </c:pt>
                  <c:pt idx="4">
                    <c:v>Dhanuka</c:v>
                  </c:pt>
                </c:lvl>
                <c:lvl>
                  <c:pt idx="0">
                    <c:v>Saaf</c:v>
                  </c:pt>
                  <c:pt idx="1">
                    <c:v>Indofil M45</c:v>
                  </c:pt>
                  <c:pt idx="2">
                    <c:v>Bavistin</c:v>
                  </c:pt>
                  <c:pt idx="3">
                    <c:v>Blitox</c:v>
                  </c:pt>
                  <c:pt idx="4">
                    <c:v>Sixer</c:v>
                  </c:pt>
                </c:lvl>
              </c:multiLvlStrCache>
            </c:multiLvlStrRef>
          </c:cat>
          <c:val>
            <c:numRef>
              <c:f>Sheet3!$E$24:$E$28</c:f>
              <c:numCache>
                <c:formatCode>General</c:formatCode>
                <c:ptCount val="5"/>
                <c:pt idx="0">
                  <c:v>24</c:v>
                </c:pt>
                <c:pt idx="1">
                  <c:v>15</c:v>
                </c:pt>
                <c:pt idx="2">
                  <c:v>13</c:v>
                </c:pt>
                <c:pt idx="3">
                  <c:v>13</c:v>
                </c:pt>
                <c:pt idx="4">
                  <c:v>12</c:v>
                </c:pt>
              </c:numCache>
            </c:numRef>
          </c:val>
          <c:extLst>
            <c:ext xmlns:c16="http://schemas.microsoft.com/office/drawing/2014/chart" uri="{C3380CC4-5D6E-409C-BE32-E72D297353CC}">
              <c16:uniqueId val="{00000000-0C7C-4C38-A9C9-AAC869BFFCE1}"/>
            </c:ext>
          </c:extLst>
        </c:ser>
        <c:dLbls>
          <c:showLegendKey val="0"/>
          <c:showVal val="1"/>
          <c:showCatName val="0"/>
          <c:showSerName val="0"/>
          <c:showPercent val="0"/>
          <c:showBubbleSize val="0"/>
        </c:dLbls>
        <c:gapWidth val="444"/>
        <c:overlap val="-90"/>
        <c:axId val="105998976"/>
        <c:axId val="106008960"/>
      </c:barChart>
      <c:catAx>
        <c:axId val="105998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6008960"/>
        <c:crosses val="autoZero"/>
        <c:auto val="1"/>
        <c:lblAlgn val="ctr"/>
        <c:lblOffset val="100"/>
        <c:noMultiLvlLbl val="0"/>
      </c:catAx>
      <c:valAx>
        <c:axId val="106008960"/>
        <c:scaling>
          <c:orientation val="minMax"/>
        </c:scaling>
        <c:delete val="1"/>
        <c:axPos val="l"/>
        <c:numFmt formatCode="General" sourceLinked="1"/>
        <c:majorTickMark val="none"/>
        <c:minorTickMark val="none"/>
        <c:tickLblPos val="none"/>
        <c:crossAx val="105998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top five herbicides</a:t>
            </a:r>
          </a:p>
        </c:rich>
      </c:tx>
      <c:overlay val="0"/>
      <c:spPr>
        <a:noFill/>
        <a:ln>
          <a:noFill/>
        </a:ln>
        <a:effectLst/>
      </c:spPr>
    </c:title>
    <c:autoTitleDeleted val="0"/>
    <c:plotArea>
      <c:layout/>
      <c:barChart>
        <c:barDir val="col"/>
        <c:grouping val="clustered"/>
        <c:varyColors val="0"/>
        <c:ser>
          <c:idx val="0"/>
          <c:order val="0"/>
          <c:tx>
            <c:strRef>
              <c:f>Sheet3!$E$43</c:f>
              <c:strCache>
                <c:ptCount val="1"/>
                <c:pt idx="0">
                  <c:v>Frequency of responses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Sheet3!$B$44:$D$48</c:f>
              <c:multiLvlStrCache>
                <c:ptCount val="5"/>
                <c:lvl>
                  <c:pt idx="0">
                    <c:v>Paraquat Dichloride 24% SL</c:v>
                  </c:pt>
                  <c:pt idx="1">
                    <c:v>Glyphosate 41% SL</c:v>
                  </c:pt>
                  <c:pt idx="2">
                    <c:v>Glyphosate 41% SL</c:v>
                  </c:pt>
                  <c:pt idx="3">
                    <c:v>2,4-d Ethyl Ester 38% EC</c:v>
                  </c:pt>
                  <c:pt idx="4">
                    <c:v>Pyrazosulfuron Ethyl 10% WP</c:v>
                  </c:pt>
                </c:lvl>
                <c:lvl>
                  <c:pt idx="0">
                    <c:v>HPM</c:v>
                  </c:pt>
                  <c:pt idx="1">
                    <c:v>HPM</c:v>
                  </c:pt>
                  <c:pt idx="2">
                    <c:v>Dhanuka</c:v>
                  </c:pt>
                  <c:pt idx="3">
                    <c:v>HPM</c:v>
                  </c:pt>
                  <c:pt idx="4">
                    <c:v>UPL</c:v>
                  </c:pt>
                </c:lvl>
                <c:lvl>
                  <c:pt idx="0">
                    <c:v>All Clear</c:v>
                  </c:pt>
                  <c:pt idx="1">
                    <c:v>Garud</c:v>
                  </c:pt>
                  <c:pt idx="2">
                    <c:v>Noweed</c:v>
                  </c:pt>
                  <c:pt idx="3">
                    <c:v>Heera</c:v>
                  </c:pt>
                  <c:pt idx="4">
                    <c:v>Saathi</c:v>
                  </c:pt>
                </c:lvl>
              </c:multiLvlStrCache>
            </c:multiLvlStrRef>
          </c:cat>
          <c:val>
            <c:numRef>
              <c:f>Sheet3!$E$44:$E$48</c:f>
              <c:numCache>
                <c:formatCode>General</c:formatCode>
                <c:ptCount val="5"/>
                <c:pt idx="0">
                  <c:v>12</c:v>
                </c:pt>
                <c:pt idx="1">
                  <c:v>9</c:v>
                </c:pt>
                <c:pt idx="2">
                  <c:v>8</c:v>
                </c:pt>
                <c:pt idx="3">
                  <c:v>6</c:v>
                </c:pt>
                <c:pt idx="4">
                  <c:v>5</c:v>
                </c:pt>
              </c:numCache>
            </c:numRef>
          </c:val>
          <c:extLst>
            <c:ext xmlns:c16="http://schemas.microsoft.com/office/drawing/2014/chart" uri="{C3380CC4-5D6E-409C-BE32-E72D297353CC}">
              <c16:uniqueId val="{00000000-DF9A-46EC-A212-3C99A9914111}"/>
            </c:ext>
          </c:extLst>
        </c:ser>
        <c:dLbls>
          <c:showLegendKey val="0"/>
          <c:showVal val="1"/>
          <c:showCatName val="0"/>
          <c:showSerName val="0"/>
          <c:showPercent val="0"/>
          <c:showBubbleSize val="0"/>
        </c:dLbls>
        <c:gapWidth val="444"/>
        <c:overlap val="-90"/>
        <c:axId val="106104320"/>
        <c:axId val="106106240"/>
      </c:barChart>
      <c:catAx>
        <c:axId val="106104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106106240"/>
        <c:crosses val="autoZero"/>
        <c:auto val="1"/>
        <c:lblAlgn val="ctr"/>
        <c:lblOffset val="100"/>
        <c:noMultiLvlLbl val="0"/>
      </c:catAx>
      <c:valAx>
        <c:axId val="106106240"/>
        <c:scaling>
          <c:orientation val="minMax"/>
        </c:scaling>
        <c:delete val="1"/>
        <c:axPos val="l"/>
        <c:numFmt formatCode="General" sourceLinked="1"/>
        <c:majorTickMark val="none"/>
        <c:minorTickMark val="none"/>
        <c:tickLblPos val="none"/>
        <c:crossAx val="106104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r>
              <a:rPr lang="en-GB" sz="1050"/>
              <a:t>Preference to international level tours</a:t>
            </a:r>
          </a:p>
        </c:rich>
      </c:tx>
      <c:overlay val="0"/>
      <c:spPr>
        <a:noFill/>
        <a:ln>
          <a:noFill/>
        </a:ln>
        <a:effectLst/>
      </c:spPr>
    </c:title>
    <c:autoTitleDeleted val="0"/>
    <c:plotArea>
      <c:layout>
        <c:manualLayout>
          <c:layoutTarget val="inner"/>
          <c:xMode val="edge"/>
          <c:yMode val="edge"/>
          <c:x val="0.26715418162115839"/>
          <c:y val="0.17313858211613842"/>
          <c:w val="0.4342093847218953"/>
          <c:h val="0.68789780329828021"/>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385-44AB-A4EC-CCD18E2419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385-44AB-A4EC-CCD18E241982}"/>
              </c:ext>
            </c:extLst>
          </c:dPt>
          <c:dLbls>
            <c:dLbl>
              <c:idx val="0"/>
              <c:layout>
                <c:manualLayout>
                  <c:x val="9.3894317853848247E-2"/>
                  <c:y val="0.12765835691984867"/>
                </c:manualLayout>
              </c:layout>
              <c:tx>
                <c:rich>
                  <a:bodyPr/>
                  <a:lstStyle/>
                  <a:p>
                    <a:fld id="{6DA56DB5-2ADF-4476-A43D-200084EB1CDA}" type="CATEGORYNAME">
                      <a:rPr lang="en-US">
                        <a:solidFill>
                          <a:sysClr val="windowText" lastClr="000000"/>
                        </a:solidFill>
                      </a:rPr>
                      <a:pPr/>
                      <a:t>[CATEGORY NAME]</a:t>
                    </a:fld>
                    <a:r>
                      <a:rPr lang="en-US" baseline="0">
                        <a:solidFill>
                          <a:sysClr val="windowText" lastClr="000000"/>
                        </a:solidFill>
                      </a:rPr>
                      <a:t>
</a:t>
                    </a:r>
                    <a:fld id="{A6EA78F2-1458-45D3-889D-8DDFAD87A7BD}" type="PERCENTAGE">
                      <a:rPr lang="en-US" baseline="0">
                        <a:solidFill>
                          <a:sysClr val="windowText" lastClr="000000"/>
                        </a:solidFill>
                      </a:rPr>
                      <a:pPr/>
                      <a:t>[PERCENTAGE]</a:t>
                    </a:fld>
                    <a:endParaRPr lang="en-US"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16289633460760064"/>
                      <c:h val="0.21667260420377626"/>
                    </c:manualLayout>
                  </c15:layout>
                  <c15:dlblFieldTable/>
                  <c15:showDataLabelsRange val="0"/>
                </c:ext>
                <c:ext xmlns:c16="http://schemas.microsoft.com/office/drawing/2014/chart" uri="{C3380CC4-5D6E-409C-BE32-E72D297353CC}">
                  <c16:uniqueId val="{00000001-A385-44AB-A4EC-CCD18E241982}"/>
                </c:ext>
              </c:extLst>
            </c:dLbl>
            <c:dLbl>
              <c:idx val="1"/>
              <c:layout>
                <c:manualLayout>
                  <c:x val="-0.2145868487824226"/>
                  <c:y val="-0.1668462280943164"/>
                </c:manualLayout>
              </c:layout>
              <c:tx>
                <c:rich>
                  <a:bodyPr/>
                  <a:lstStyle/>
                  <a:p>
                    <a:fld id="{D3E1229C-861D-47F9-988C-11D78A2557E6}" type="CATEGORYNAME">
                      <a:rPr lang="en-US">
                        <a:solidFill>
                          <a:sysClr val="windowText" lastClr="000000"/>
                        </a:solidFill>
                      </a:rPr>
                      <a:pPr/>
                      <a:t>[CATEGORY NAME]</a:t>
                    </a:fld>
                    <a:r>
                      <a:rPr lang="en-US" baseline="0">
                        <a:solidFill>
                          <a:sysClr val="windowText" lastClr="000000"/>
                        </a:solidFill>
                      </a:rPr>
                      <a:t>
</a:t>
                    </a:r>
                    <a:fld id="{76202E6E-492D-440C-ACF4-A5C22F8D53E3}" type="PERCENTAGE">
                      <a:rPr lang="en-US" baseline="0">
                        <a:solidFill>
                          <a:sysClr val="windowText" lastClr="000000"/>
                        </a:solidFill>
                      </a:rPr>
                      <a:pPr/>
                      <a:t>[PERCENTAGE]</a:t>
                    </a:fld>
                    <a:endParaRPr lang="en-US"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85-44AB-A4EC-CCD18E241982}"/>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Sheet4!$I$15:$J$15</c:f>
              <c:strCache>
                <c:ptCount val="2"/>
                <c:pt idx="0">
                  <c:v>Yes</c:v>
                </c:pt>
                <c:pt idx="1">
                  <c:v>No</c:v>
                </c:pt>
              </c:strCache>
            </c:strRef>
          </c:cat>
          <c:val>
            <c:numRef>
              <c:f>Sheet4!$I$16:$J$16</c:f>
              <c:numCache>
                <c:formatCode>General</c:formatCode>
                <c:ptCount val="2"/>
                <c:pt idx="0">
                  <c:v>2</c:v>
                </c:pt>
                <c:pt idx="1">
                  <c:v>25</c:v>
                </c:pt>
              </c:numCache>
            </c:numRef>
          </c:val>
          <c:extLst>
            <c:ext xmlns:c16="http://schemas.microsoft.com/office/drawing/2014/chart" uri="{C3380CC4-5D6E-409C-BE32-E72D297353CC}">
              <c16:uniqueId val="{00000004-A385-44AB-A4EC-CCD18E241982}"/>
            </c:ext>
          </c:extLst>
        </c:ser>
        <c:dLbls>
          <c:showLegendKey val="0"/>
          <c:showVal val="0"/>
          <c:showCatName val="1"/>
          <c:showSerName val="0"/>
          <c:showPercent val="0"/>
          <c:showBubbleSize val="0"/>
          <c:showLeaderLines val="1"/>
        </c:dLbls>
        <c:firstSliceAng val="0"/>
      </c:pieChart>
      <c:spPr>
        <a:noFill/>
        <a:ln>
          <a:noFill/>
        </a:ln>
        <a:effectLst/>
      </c:spPr>
    </c:plotArea>
    <c:legend>
      <c:legendPos val="b"/>
      <c:layout>
        <c:manualLayout>
          <c:xMode val="edge"/>
          <c:yMode val="edge"/>
          <c:x val="0.67010972627747023"/>
          <c:y val="0.82541116275677506"/>
          <c:w val="0.30740780743985691"/>
          <c:h val="0.14608865911711183"/>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tx1"/>
      </a:solidFill>
      <a:round/>
    </a:ln>
    <a:effectLst/>
  </c:spPr>
  <c:txPr>
    <a:bodyPr/>
    <a:lstStyle/>
    <a:p>
      <a:pPr>
        <a:defRPr sz="1200"/>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65000"/>
                    <a:lumOff val="35000"/>
                  </a:schemeClr>
                </a:solidFill>
                <a:latin typeface="+mn-lt"/>
                <a:ea typeface="+mn-ea"/>
                <a:cs typeface="+mn-cs"/>
              </a:defRPr>
            </a:pPr>
            <a:r>
              <a:rPr lang="en-GB" sz="1050"/>
              <a:t>Preference to national level tours</a:t>
            </a:r>
          </a:p>
        </c:rich>
      </c:tx>
      <c:layout>
        <c:manualLayout>
          <c:xMode val="edge"/>
          <c:yMode val="edge"/>
          <c:x val="0.15830897234090399"/>
          <c:y val="2.850017812611334E-2"/>
        </c:manualLayout>
      </c:layout>
      <c:overlay val="0"/>
      <c:spPr>
        <a:noFill/>
        <a:ln>
          <a:noFill/>
        </a:ln>
        <a:effectLst/>
      </c:spPr>
    </c:title>
    <c:autoTitleDeleted val="0"/>
    <c:plotArea>
      <c:layout>
        <c:manualLayout>
          <c:layoutTarget val="inner"/>
          <c:xMode val="edge"/>
          <c:yMode val="edge"/>
          <c:x val="0.26024941170637861"/>
          <c:y val="0.16138225863911637"/>
          <c:w val="0.44801927867853925"/>
          <c:h val="0.7097761782270986"/>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100-435A-A775-A9B3237D6CC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100-435A-A775-A9B3237D6CCD}"/>
              </c:ext>
            </c:extLst>
          </c:dPt>
          <c:dLbls>
            <c:dLbl>
              <c:idx val="0"/>
              <c:layout>
                <c:manualLayout>
                  <c:x val="-1.2842418758819994E-2"/>
                  <c:y val="-6.2964074627829382E-3"/>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00-435A-A775-A9B3237D6CCD}"/>
                </c:ext>
              </c:extLst>
            </c:dLbl>
            <c:dLbl>
              <c:idx val="1"/>
              <c:layout>
                <c:manualLayout>
                  <c:x val="-5.1472371890100479E-3"/>
                  <c:y val="-7.9531205731453152E-3"/>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00-435A-A775-A9B3237D6CCD}"/>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Sheet4!$I$18:$J$18</c:f>
              <c:strCache>
                <c:ptCount val="2"/>
                <c:pt idx="0">
                  <c:v>Yes</c:v>
                </c:pt>
                <c:pt idx="1">
                  <c:v>No</c:v>
                </c:pt>
              </c:strCache>
            </c:strRef>
          </c:cat>
          <c:val>
            <c:numRef>
              <c:f>Sheet4!$I$19:$J$19</c:f>
              <c:numCache>
                <c:formatCode>General</c:formatCode>
                <c:ptCount val="2"/>
                <c:pt idx="0">
                  <c:v>16</c:v>
                </c:pt>
                <c:pt idx="1">
                  <c:v>11</c:v>
                </c:pt>
              </c:numCache>
            </c:numRef>
          </c:val>
          <c:extLst>
            <c:ext xmlns:c16="http://schemas.microsoft.com/office/drawing/2014/chart" uri="{C3380CC4-5D6E-409C-BE32-E72D297353CC}">
              <c16:uniqueId val="{00000004-E100-435A-A775-A9B3237D6CCD}"/>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1823488895459964"/>
          <c:y val="0.81415808061398864"/>
          <c:w val="0.25613197608225668"/>
          <c:h val="0.12884156313378517"/>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tx1"/>
      </a:solidFill>
      <a:round/>
    </a:ln>
    <a:effectLst/>
  </c:spPr>
  <c:txPr>
    <a:bodyPr/>
    <a:lstStyle/>
    <a:p>
      <a:pPr>
        <a:defRPr sz="1000"/>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en-GB" sz="1050"/>
              <a:t>Preference of Companies for Business</a:t>
            </a:r>
          </a:p>
        </c:rich>
      </c:tx>
      <c:overlay val="0"/>
      <c:spPr>
        <a:noFill/>
        <a:ln>
          <a:noFill/>
        </a:ln>
        <a:effectLst/>
      </c:spPr>
    </c:title>
    <c:autoTitleDeleted val="0"/>
    <c:plotArea>
      <c:layout>
        <c:manualLayout>
          <c:layoutTarget val="inner"/>
          <c:xMode val="edge"/>
          <c:yMode val="edge"/>
          <c:x val="5.8732412546792401E-2"/>
          <c:y val="0.22145285935085007"/>
          <c:w val="0.52336065573770385"/>
          <c:h val="0.7105409582689336"/>
        </c:manualLayout>
      </c:layout>
      <c:pieChart>
        <c:varyColors val="1"/>
        <c:ser>
          <c:idx val="0"/>
          <c:order val="0"/>
          <c:explosion val="6"/>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01-4DC0-8988-F3D37E5821A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01-4DC0-8988-F3D37E5821A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101-4DC0-8988-F3D37E5821A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101-4DC0-8988-F3D37E5821AD}"/>
              </c:ext>
            </c:extLst>
          </c:dPt>
          <c:dLbls>
            <c:dLbl>
              <c:idx val="0"/>
              <c:layout>
                <c:manualLayout>
                  <c:x val="-1.3375025401527227E-2"/>
                  <c:y val="2.871449950235456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01-4DC0-8988-F3D37E5821AD}"/>
                </c:ext>
              </c:extLst>
            </c:dLbl>
            <c:dLbl>
              <c:idx val="3"/>
              <c:layout>
                <c:manualLayout>
                  <c:x val="0.10908212153555223"/>
                  <c:y val="0.10907815062068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101-4DC0-8988-F3D37E5821A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Sheet4!$I$21:$L$21</c:f>
              <c:strCache>
                <c:ptCount val="4"/>
                <c:pt idx="0">
                  <c:v>International</c:v>
                </c:pt>
                <c:pt idx="1">
                  <c:v>National</c:v>
                </c:pt>
                <c:pt idx="2">
                  <c:v>Local</c:v>
                </c:pt>
                <c:pt idx="3">
                  <c:v>All types</c:v>
                </c:pt>
              </c:strCache>
            </c:strRef>
          </c:cat>
          <c:val>
            <c:numRef>
              <c:f>Sheet4!$I$22:$L$22</c:f>
              <c:numCache>
                <c:formatCode>General</c:formatCode>
                <c:ptCount val="4"/>
                <c:pt idx="0">
                  <c:v>1</c:v>
                </c:pt>
                <c:pt idx="1">
                  <c:v>5</c:v>
                </c:pt>
                <c:pt idx="2">
                  <c:v>14</c:v>
                </c:pt>
                <c:pt idx="3">
                  <c:v>7</c:v>
                </c:pt>
              </c:numCache>
            </c:numRef>
          </c:val>
          <c:extLst>
            <c:ext xmlns:c16="http://schemas.microsoft.com/office/drawing/2014/chart" uri="{C3380CC4-5D6E-409C-BE32-E72D297353CC}">
              <c16:uniqueId val="{00000008-3101-4DC0-8988-F3D37E5821A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en-GB" sz="1050"/>
              <a:t>Preferred attributes of company representatives</a:t>
            </a:r>
          </a:p>
        </c:rich>
      </c:tx>
      <c:overlay val="0"/>
      <c:spPr>
        <a:noFill/>
        <a:ln>
          <a:noFill/>
        </a:ln>
        <a:effectLst/>
      </c:spPr>
    </c:title>
    <c:autoTitleDeleted val="0"/>
    <c:plotArea>
      <c:layout>
        <c:manualLayout>
          <c:layoutTarget val="inner"/>
          <c:xMode val="edge"/>
          <c:yMode val="edge"/>
          <c:x val="0.1280067404305468"/>
          <c:y val="0.23888717156105096"/>
          <c:w val="0.51156741957563256"/>
          <c:h val="0.69310664605873262"/>
        </c:manualLayout>
      </c:layout>
      <c:pieChart>
        <c:varyColors val="1"/>
        <c:ser>
          <c:idx val="0"/>
          <c:order val="0"/>
          <c:explosion val="5"/>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FA-4B48-A6A0-B0A15DE979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FA-4B48-A6A0-B0A15DE979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FA-4B48-A6A0-B0A15DE9792A}"/>
              </c:ext>
            </c:extLst>
          </c:dPt>
          <c:dLbls>
            <c:dLbl>
              <c:idx val="0"/>
              <c:layout>
                <c:manualLayout>
                  <c:x val="-0.12254970612117205"/>
                  <c:y val="-0.110624451245340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FA-4B48-A6A0-B0A15DE9792A}"/>
                </c:ext>
              </c:extLst>
            </c:dLbl>
            <c:dLbl>
              <c:idx val="1"/>
              <c:layout>
                <c:manualLayout>
                  <c:x val="3.847652321605495E-2"/>
                  <c:y val="1.501701314767061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FA-4B48-A6A0-B0A15DE9792A}"/>
                </c:ext>
              </c:extLst>
            </c:dLbl>
            <c:dLbl>
              <c:idx val="2"/>
              <c:layout>
                <c:manualLayout>
                  <c:x val="2.1168959840284791E-2"/>
                  <c:y val="6.64261730375972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2FA-4B48-A6A0-B0A15DE9792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Sheet4!$I$12:$K$12</c:f>
              <c:strCache>
                <c:ptCount val="3"/>
                <c:pt idx="0">
                  <c:v>Business oriented</c:v>
                </c:pt>
                <c:pt idx="1">
                  <c:v>Friendly</c:v>
                </c:pt>
                <c:pt idx="2">
                  <c:v>Helpful</c:v>
                </c:pt>
              </c:strCache>
            </c:strRef>
          </c:cat>
          <c:val>
            <c:numRef>
              <c:f>Sheet4!$I$13:$K$13</c:f>
              <c:numCache>
                <c:formatCode>General</c:formatCode>
                <c:ptCount val="3"/>
                <c:pt idx="0">
                  <c:v>17</c:v>
                </c:pt>
                <c:pt idx="1">
                  <c:v>5</c:v>
                </c:pt>
                <c:pt idx="2">
                  <c:v>5</c:v>
                </c:pt>
              </c:numCache>
            </c:numRef>
          </c:val>
          <c:extLst>
            <c:ext xmlns:c16="http://schemas.microsoft.com/office/drawing/2014/chart" uri="{C3380CC4-5D6E-409C-BE32-E72D297353CC}">
              <c16:uniqueId val="{00000006-C2FA-4B48-A6A0-B0A15DE9792A}"/>
            </c:ext>
          </c:extLst>
        </c:ser>
        <c:dLbls>
          <c:showLegendKey val="0"/>
          <c:showVal val="0"/>
          <c:showCatName val="1"/>
          <c:showSerName val="0"/>
          <c:showPercent val="0"/>
          <c:showBubbleSize val="0"/>
          <c:showLeaderLines val="1"/>
        </c:dLbls>
        <c:firstSliceAng val="0"/>
      </c:pieChart>
      <c:spPr>
        <a:noFill/>
        <a:ln>
          <a:noFill/>
        </a:ln>
        <a:effectLst/>
      </c:spPr>
    </c:plotArea>
    <c:legend>
      <c:legendPos val="r"/>
      <c:layout>
        <c:manualLayout>
          <c:xMode val="edge"/>
          <c:yMode val="edge"/>
          <c:x val="0.65499221537705221"/>
          <c:y val="0.3140450336476025"/>
          <c:w val="0.31662557081027204"/>
          <c:h val="0.644798577235203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sz="1200"/>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mn-cs"/>
              </a:defRPr>
            </a:pPr>
            <a:r>
              <a:rPr lang="en-GB" sz="1050" cap="none" dirty="0"/>
              <a:t>Preference to gain benefits from companies</a:t>
            </a:r>
          </a:p>
        </c:rich>
      </c:tx>
      <c:overlay val="0"/>
      <c:spPr>
        <a:noFill/>
        <a:ln>
          <a:noFill/>
        </a:ln>
        <a:effectLst/>
      </c:spPr>
    </c:title>
    <c:autoTitleDeleted val="0"/>
    <c:plotArea>
      <c:layout>
        <c:manualLayout>
          <c:layoutTarget val="inner"/>
          <c:xMode val="edge"/>
          <c:yMode val="edge"/>
          <c:x val="0.30240775688162952"/>
          <c:y val="0.24874688764502445"/>
          <c:w val="0.42273305712818898"/>
          <c:h val="0.64770495844192622"/>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36A-41B8-A196-94D17C2568E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36A-41B8-A196-94D17C2568E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36A-41B8-A196-94D17C2568ED}"/>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999B8F1-BA32-4D71-9ADA-9F9AF164AF9C}" type="CATEGORYNAME">
                      <a:rPr lang="en-US" sz="1000"/>
                      <a:pPr>
                        <a:defRPr sz="1000" b="1" i="0" u="none" strike="noStrike" kern="1200" spc="0" baseline="0">
                          <a:solidFill>
                            <a:schemeClr val="accent1"/>
                          </a:solidFill>
                          <a:latin typeface="+mn-lt"/>
                          <a:ea typeface="+mn-ea"/>
                          <a:cs typeface="+mn-cs"/>
                        </a:defRPr>
                      </a:pPr>
                      <a:t>[CATEGORY NAME]</a:t>
                    </a:fld>
                    <a:r>
                      <a:rPr lang="en-US" sz="1000" baseline="0"/>
                      <a:t>
</a:t>
                    </a:r>
                    <a:fld id="{A9B13889-F2BE-4ACA-9B9F-DFC797FFB8C8}" type="PERCENTAGE">
                      <a:rPr lang="en-US" sz="1000" baseline="0"/>
                      <a:pPr>
                        <a:defRPr sz="1000" b="1" i="0" u="none" strike="noStrike" kern="1200" spc="0" baseline="0">
                          <a:solidFill>
                            <a:schemeClr val="accent1"/>
                          </a:solidFill>
                          <a:latin typeface="+mn-lt"/>
                          <a:ea typeface="+mn-ea"/>
                          <a:cs typeface="+mn-cs"/>
                        </a:defRPr>
                      </a:pPr>
                      <a:t>[PERCENTAGE]</a:t>
                    </a:fld>
                    <a:endParaRPr lang="en-US" sz="1000" baseline="0"/>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36A-41B8-A196-94D17C2568ED}"/>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60C2B47-7B5A-4276-975C-CB3BE3A425C4}" type="CATEGORYNAME">
                      <a:rPr lang="en-US" sz="1000">
                        <a:solidFill>
                          <a:schemeClr val="accent2"/>
                        </a:solidFill>
                      </a:rPr>
                      <a:pPr>
                        <a:defRPr sz="1000" b="1" i="0" u="none" strike="noStrike" kern="1200" spc="0" baseline="0">
                          <a:solidFill>
                            <a:schemeClr val="accent1"/>
                          </a:solidFill>
                          <a:latin typeface="+mn-lt"/>
                          <a:ea typeface="+mn-ea"/>
                          <a:cs typeface="+mn-cs"/>
                        </a:defRPr>
                      </a:pPr>
                      <a:t>[CATEGORY NAME]</a:t>
                    </a:fld>
                    <a:r>
                      <a:rPr lang="en-US" sz="1000" baseline="0">
                        <a:solidFill>
                          <a:schemeClr val="accent2"/>
                        </a:solidFill>
                      </a:rPr>
                      <a:t>
</a:t>
                    </a:r>
                    <a:fld id="{811966D3-8FA9-4EC0-8FB0-05D7A1069A7E}" type="PERCENTAGE">
                      <a:rPr lang="en-US" sz="1000" baseline="0">
                        <a:solidFill>
                          <a:schemeClr val="accent2"/>
                        </a:solidFill>
                      </a:rPr>
                      <a:pPr>
                        <a:defRPr sz="1000" b="1" i="0" u="none" strike="noStrike" kern="1200" spc="0" baseline="0">
                          <a:solidFill>
                            <a:schemeClr val="accent1"/>
                          </a:solidFill>
                          <a:latin typeface="+mn-lt"/>
                          <a:ea typeface="+mn-ea"/>
                          <a:cs typeface="+mn-cs"/>
                        </a:defRPr>
                      </a:pPr>
                      <a:t>[PERCENTAGE]</a:t>
                    </a:fld>
                    <a:endParaRPr lang="en-US" sz="1000" baseline="0">
                      <a:solidFill>
                        <a:schemeClr val="accent2"/>
                      </a:solidFill>
                    </a:endParaRP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6A-41B8-A196-94D17C2568ED}"/>
                </c:ext>
              </c:extLst>
            </c:dLbl>
            <c:dLbl>
              <c:idx val="2"/>
              <c:layout>
                <c:manualLayout>
                  <c:x val="-3.6730945821855009E-2"/>
                  <c:y val="5.62785789658810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83F49F9-14E6-4D39-84AE-CE0F7C3F7DD8}" type="CATEGORYNAME">
                      <a:rPr lang="en-US" sz="1000">
                        <a:solidFill>
                          <a:schemeClr val="bg1">
                            <a:lumMod val="50000"/>
                          </a:schemeClr>
                        </a:solidFill>
                      </a:rPr>
                      <a:pPr>
                        <a:defRPr sz="1000" b="1" i="0" u="none" strike="noStrike" kern="1200" spc="0" baseline="0">
                          <a:solidFill>
                            <a:schemeClr val="accent1"/>
                          </a:solidFill>
                          <a:latin typeface="+mn-lt"/>
                          <a:ea typeface="+mn-ea"/>
                          <a:cs typeface="+mn-cs"/>
                        </a:defRPr>
                      </a:pPr>
                      <a:t>[CATEGORY NAME]</a:t>
                    </a:fld>
                    <a:r>
                      <a:rPr lang="en-US" sz="1000" baseline="0">
                        <a:solidFill>
                          <a:schemeClr val="bg1">
                            <a:lumMod val="50000"/>
                          </a:schemeClr>
                        </a:solidFill>
                      </a:rPr>
                      <a:t>
</a:t>
                    </a:r>
                    <a:fld id="{81F57060-EC49-446B-A778-6FF3421833C0}" type="PERCENTAGE">
                      <a:rPr lang="en-US" sz="1000" baseline="0">
                        <a:solidFill>
                          <a:schemeClr val="bg1">
                            <a:lumMod val="50000"/>
                          </a:schemeClr>
                        </a:solidFill>
                      </a:rPr>
                      <a:pPr>
                        <a:defRPr sz="1000" b="1" i="0" u="none" strike="noStrike" kern="1200" spc="0" baseline="0">
                          <a:solidFill>
                            <a:schemeClr val="accent1"/>
                          </a:solidFill>
                          <a:latin typeface="+mn-lt"/>
                          <a:ea typeface="+mn-ea"/>
                          <a:cs typeface="+mn-cs"/>
                        </a:defRPr>
                      </a:pPr>
                      <a:t>[PERCENTAGE]</a:t>
                    </a:fld>
                    <a:endParaRPr lang="en-US" sz="1000" baseline="0">
                      <a:solidFill>
                        <a:schemeClr val="bg1">
                          <a:lumMod val="50000"/>
                        </a:schemeClr>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36A-41B8-A196-94D17C2568ED}"/>
                </c:ext>
              </c:extLst>
            </c:dLbl>
            <c:spPr>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Sheet4!$I$9:$K$9</c:f>
              <c:strCache>
                <c:ptCount val="3"/>
                <c:pt idx="0">
                  <c:v>Cash</c:v>
                </c:pt>
                <c:pt idx="1">
                  <c:v>Kind</c:v>
                </c:pt>
                <c:pt idx="2">
                  <c:v>Both</c:v>
                </c:pt>
              </c:strCache>
            </c:strRef>
          </c:cat>
          <c:val>
            <c:numRef>
              <c:f>Sheet4!$I$10:$K$10</c:f>
              <c:numCache>
                <c:formatCode>General</c:formatCode>
                <c:ptCount val="3"/>
                <c:pt idx="0">
                  <c:v>15</c:v>
                </c:pt>
                <c:pt idx="1">
                  <c:v>6</c:v>
                </c:pt>
                <c:pt idx="2">
                  <c:v>6</c:v>
                </c:pt>
              </c:numCache>
            </c:numRef>
          </c:val>
          <c:extLst>
            <c:ext xmlns:c16="http://schemas.microsoft.com/office/drawing/2014/chart" uri="{C3380CC4-5D6E-409C-BE32-E72D297353CC}">
              <c16:uniqueId val="{00000006-A36A-41B8-A196-94D17C2568ED}"/>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mn-lt"/>
                <a:ea typeface="+mn-ea"/>
                <a:cs typeface="+mn-cs"/>
              </a:defRPr>
            </a:pPr>
            <a:r>
              <a:rPr lang="en-GB" sz="1050"/>
              <a:t>Business Enhancement Plan</a:t>
            </a:r>
          </a:p>
        </c:rich>
      </c:tx>
      <c:overlay val="0"/>
      <c:spPr>
        <a:noFill/>
        <a:ln>
          <a:noFill/>
        </a:ln>
        <a:effectLst/>
      </c:spPr>
    </c:title>
    <c:autoTitleDeleted val="0"/>
    <c:plotArea>
      <c:layout>
        <c:manualLayout>
          <c:layoutTarget val="inner"/>
          <c:xMode val="edge"/>
          <c:yMode val="edge"/>
          <c:x val="0.27287892914823092"/>
          <c:y val="0.18881704069988611"/>
          <c:w val="0.44511561311509562"/>
          <c:h val="0.74208510166735042"/>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948-4600-94C1-91DA9DACAFF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948-4600-94C1-91DA9DACAFF4}"/>
              </c:ext>
            </c:extLst>
          </c:dPt>
          <c:dLbls>
            <c:dLbl>
              <c:idx val="0"/>
              <c:layout>
                <c:manualLayout>
                  <c:x val="0.10038786219484329"/>
                  <c:y val="-6.08596424496007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948-4600-94C1-91DA9DACAFF4}"/>
                </c:ext>
              </c:extLst>
            </c:dLbl>
            <c:dLbl>
              <c:idx val="1"/>
              <c:layout>
                <c:manualLayout>
                  <c:x val="-0.10038786219484337"/>
                  <c:y val="0.1521491061240018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48-4600-94C1-91DA9DACAFF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Sheet2!$D$5:$E$5</c:f>
              <c:strCache>
                <c:ptCount val="2"/>
                <c:pt idx="0">
                  <c:v>Yes</c:v>
                </c:pt>
                <c:pt idx="1">
                  <c:v>No</c:v>
                </c:pt>
              </c:strCache>
            </c:strRef>
          </c:cat>
          <c:val>
            <c:numRef>
              <c:f>Sheet2!$D$6:$E$6</c:f>
              <c:numCache>
                <c:formatCode>General</c:formatCode>
                <c:ptCount val="2"/>
                <c:pt idx="0">
                  <c:v>22</c:v>
                </c:pt>
                <c:pt idx="1">
                  <c:v>5</c:v>
                </c:pt>
              </c:numCache>
            </c:numRef>
          </c:val>
          <c:extLst>
            <c:ext xmlns:c16="http://schemas.microsoft.com/office/drawing/2014/chart" uri="{C3380CC4-5D6E-409C-BE32-E72D297353CC}">
              <c16:uniqueId val="{00000004-D948-4600-94C1-91DA9DACAFF4}"/>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0.79314</cdr:x>
      <cdr:y>0.19285</cdr:y>
    </cdr:from>
    <cdr:to>
      <cdr:x>0.96616</cdr:x>
      <cdr:y>0.34741</cdr:y>
    </cdr:to>
    <cdr:sp macro="" textlink="">
      <cdr:nvSpPr>
        <cdr:cNvPr id="2" name="Rectangle 1">
          <a:extLst xmlns:a="http://schemas.openxmlformats.org/drawingml/2006/main">
            <a:ext uri="{FF2B5EF4-FFF2-40B4-BE49-F238E27FC236}">
              <a16:creationId xmlns:a16="http://schemas.microsoft.com/office/drawing/2014/main" id="{FA18CB2E-24C0-ADB0-48DE-32E51350A834}"/>
            </a:ext>
          </a:extLst>
        </cdr:cNvPr>
        <cdr:cNvSpPr/>
      </cdr:nvSpPr>
      <cdr:spPr>
        <a:xfrm xmlns:a="http://schemas.openxmlformats.org/drawingml/2006/main">
          <a:off x="2239701" y="343736"/>
          <a:ext cx="488576" cy="275510"/>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2.xml><?xml version="1.0" encoding="utf-8"?>
<c:userShapes xmlns:c="http://schemas.openxmlformats.org/drawingml/2006/chart">
  <cdr:relSizeAnchor xmlns:cdr="http://schemas.openxmlformats.org/drawingml/2006/chartDrawing">
    <cdr:from>
      <cdr:x>0.80134</cdr:x>
      <cdr:y>0.17032</cdr:y>
    </cdr:from>
    <cdr:to>
      <cdr:x>0.96928</cdr:x>
      <cdr:y>0.33443</cdr:y>
    </cdr:to>
    <cdr:sp macro="" textlink="">
      <cdr:nvSpPr>
        <cdr:cNvPr id="2" name="Rectangle 1">
          <a:extLst xmlns:a="http://schemas.openxmlformats.org/drawingml/2006/main">
            <a:ext uri="{FF2B5EF4-FFF2-40B4-BE49-F238E27FC236}">
              <a16:creationId xmlns:a16="http://schemas.microsoft.com/office/drawing/2014/main" id="{36FABE21-DD1D-AB25-A1E3-F9368B034D72}"/>
            </a:ext>
          </a:extLst>
        </cdr:cNvPr>
        <cdr:cNvSpPr/>
      </cdr:nvSpPr>
      <cdr:spPr>
        <a:xfrm xmlns:a="http://schemas.openxmlformats.org/drawingml/2006/main">
          <a:off x="2262851" y="303594"/>
          <a:ext cx="474234" cy="292503"/>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3.xml><?xml version="1.0" encoding="utf-8"?>
<c:userShapes xmlns:c="http://schemas.openxmlformats.org/drawingml/2006/chart">
  <cdr:relSizeAnchor xmlns:cdr="http://schemas.openxmlformats.org/drawingml/2006/chartDrawing">
    <cdr:from>
      <cdr:x>0.77469</cdr:x>
      <cdr:y>0.12853</cdr:y>
    </cdr:from>
    <cdr:to>
      <cdr:x>0.95147</cdr:x>
      <cdr:y>0.25416</cdr:y>
    </cdr:to>
    <cdr:sp macro="" textlink="">
      <cdr:nvSpPr>
        <cdr:cNvPr id="2" name="Rectangle 1">
          <a:extLst xmlns:a="http://schemas.openxmlformats.org/drawingml/2006/main">
            <a:ext uri="{FF2B5EF4-FFF2-40B4-BE49-F238E27FC236}">
              <a16:creationId xmlns:a16="http://schemas.microsoft.com/office/drawing/2014/main" id="{2BAF3B68-7140-930A-0738-A6C388DD6B69}"/>
            </a:ext>
          </a:extLst>
        </cdr:cNvPr>
        <cdr:cNvSpPr/>
      </cdr:nvSpPr>
      <cdr:spPr>
        <a:xfrm xmlns:a="http://schemas.openxmlformats.org/drawingml/2006/main">
          <a:off x="2089230" y="269244"/>
          <a:ext cx="476731" cy="26319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4.xml><?xml version="1.0" encoding="utf-8"?>
<c:userShapes xmlns:c="http://schemas.openxmlformats.org/drawingml/2006/chart">
  <cdr:relSizeAnchor xmlns:cdr="http://schemas.openxmlformats.org/drawingml/2006/chartDrawing">
    <cdr:from>
      <cdr:x>0.78033</cdr:x>
      <cdr:y>0.16459</cdr:y>
    </cdr:from>
    <cdr:to>
      <cdr:x>0.96537</cdr:x>
      <cdr:y>0.3117</cdr:y>
    </cdr:to>
    <cdr:sp macro="" textlink="">
      <cdr:nvSpPr>
        <cdr:cNvPr id="2" name="Rectangle 1">
          <a:extLst xmlns:a="http://schemas.openxmlformats.org/drawingml/2006/main">
            <a:ext uri="{FF2B5EF4-FFF2-40B4-BE49-F238E27FC236}">
              <a16:creationId xmlns:a16="http://schemas.microsoft.com/office/drawing/2014/main" id="{C191391B-F2D3-4E06-8F31-4263726D9632}"/>
            </a:ext>
          </a:extLst>
        </cdr:cNvPr>
        <cdr:cNvSpPr/>
      </cdr:nvSpPr>
      <cdr:spPr>
        <a:xfrm xmlns:a="http://schemas.openxmlformats.org/drawingml/2006/main">
          <a:off x="2095019" y="293365"/>
          <a:ext cx="496795" cy="262222"/>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drawings/drawing5.xml><?xml version="1.0" encoding="utf-8"?>
<c:userShapes xmlns:c="http://schemas.openxmlformats.org/drawingml/2006/chart">
  <cdr:relSizeAnchor xmlns:cdr="http://schemas.openxmlformats.org/drawingml/2006/chartDrawing">
    <cdr:from>
      <cdr:x>0.75112</cdr:x>
      <cdr:y>0.19047</cdr:y>
    </cdr:from>
    <cdr:to>
      <cdr:x>0.96787</cdr:x>
      <cdr:y>0.34943</cdr:y>
    </cdr:to>
    <cdr:sp macro="" textlink="">
      <cdr:nvSpPr>
        <cdr:cNvPr id="2" name="Rectangle 1">
          <a:extLst xmlns:a="http://schemas.openxmlformats.org/drawingml/2006/main">
            <a:ext uri="{FF2B5EF4-FFF2-40B4-BE49-F238E27FC236}">
              <a16:creationId xmlns:a16="http://schemas.microsoft.com/office/drawing/2014/main" id="{3B4B1E4D-8990-7B2B-AC8C-DE12562C21E7}"/>
            </a:ext>
          </a:extLst>
        </cdr:cNvPr>
        <cdr:cNvSpPr/>
      </cdr:nvSpPr>
      <cdr:spPr>
        <a:xfrm xmlns:a="http://schemas.openxmlformats.org/drawingml/2006/main">
          <a:off x="2077656" y="343856"/>
          <a:ext cx="599530" cy="286965"/>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en-US" sz="1000" dirty="0"/>
            <a:t>N=27</a:t>
          </a:r>
        </a:p>
      </cdr:txBody>
    </cdr:sp>
  </cdr:relSizeAnchor>
</c:userShapes>
</file>

<file path=word/drawings/drawing6.xml><?xml version="1.0" encoding="utf-8"?>
<c:userShapes xmlns:c="http://schemas.openxmlformats.org/drawingml/2006/chart">
  <cdr:relSizeAnchor xmlns:cdr="http://schemas.openxmlformats.org/drawingml/2006/chartDrawing">
    <cdr:from>
      <cdr:x>0.7656</cdr:x>
      <cdr:y>0.22365</cdr:y>
    </cdr:from>
    <cdr:to>
      <cdr:x>0.98126</cdr:x>
      <cdr:y>0.38491</cdr:y>
    </cdr:to>
    <cdr:sp macro="" textlink="">
      <cdr:nvSpPr>
        <cdr:cNvPr id="2" name="Rectangle 1"/>
        <cdr:cNvSpPr/>
      </cdr:nvSpPr>
      <cdr:spPr>
        <a:xfrm xmlns:a="http://schemas.openxmlformats.org/drawingml/2006/main">
          <a:off x="2130828" y="373370"/>
          <a:ext cx="600231" cy="269205"/>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1000" dirty="0"/>
            <a:t>N=27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E2AE-9566-4728-9575-B7EC4A51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13</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2025-05-26T11:05:00Z</dcterms:created>
  <dcterms:modified xsi:type="dcterms:W3CDTF">2025-05-29T09:49:00Z</dcterms:modified>
</cp:coreProperties>
</file>