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24BF" w14:textId="77777777" w:rsidR="00A71866" w:rsidRPr="001E0A5E" w:rsidRDefault="001E0A5E" w:rsidP="001E0A5E">
      <w:pPr>
        <w:pStyle w:val="Default"/>
        <w:spacing w:line="360" w:lineRule="auto"/>
        <w:jc w:val="center"/>
        <w:rPr>
          <w:b/>
          <w:bCs/>
          <w:sz w:val="32"/>
          <w:szCs w:val="32"/>
        </w:rPr>
      </w:pPr>
      <w:r w:rsidRPr="0076279D">
        <w:rPr>
          <w:b/>
          <w:bCs/>
          <w:color w:val="221E1F"/>
          <w:sz w:val="32"/>
          <w:szCs w:val="32"/>
        </w:rPr>
        <w:t xml:space="preserve">AGRICULTURAL </w:t>
      </w:r>
      <w:r w:rsidRPr="0076279D">
        <w:rPr>
          <w:b/>
          <w:bCs/>
          <w:sz w:val="32"/>
          <w:szCs w:val="32"/>
        </w:rPr>
        <w:t>EXPORT</w:t>
      </w:r>
      <w:r w:rsidRPr="0076279D">
        <w:rPr>
          <w:b/>
          <w:bCs/>
          <w:color w:val="221E1F"/>
          <w:sz w:val="32"/>
          <w:szCs w:val="32"/>
        </w:rPr>
        <w:t xml:space="preserve"> IN INDIA</w:t>
      </w:r>
      <w:r w:rsidRPr="0076279D">
        <w:rPr>
          <w:b/>
          <w:bCs/>
          <w:sz w:val="32"/>
          <w:szCs w:val="32"/>
        </w:rPr>
        <w:t>: PERFORMANCE</w:t>
      </w:r>
      <w:r w:rsidRPr="0076279D">
        <w:rPr>
          <w:b/>
          <w:sz w:val="32"/>
          <w:szCs w:val="32"/>
        </w:rPr>
        <w:t xml:space="preserve"> </w:t>
      </w:r>
      <w:r w:rsidRPr="0076279D">
        <w:rPr>
          <w:b/>
          <w:bCs/>
          <w:sz w:val="32"/>
          <w:szCs w:val="32"/>
        </w:rPr>
        <w:t xml:space="preserve">AND </w:t>
      </w:r>
      <w:r>
        <w:rPr>
          <w:b/>
          <w:sz w:val="32"/>
          <w:szCs w:val="32"/>
        </w:rPr>
        <w:t>P</w:t>
      </w:r>
      <w:r w:rsidRPr="0076279D">
        <w:rPr>
          <w:b/>
          <w:sz w:val="32"/>
          <w:szCs w:val="32"/>
        </w:rPr>
        <w:t>ROSPECTS</w:t>
      </w:r>
    </w:p>
    <w:p w14:paraId="1457A46D" w14:textId="77777777" w:rsidR="00D057B6" w:rsidRPr="00A71866" w:rsidRDefault="00D057B6" w:rsidP="001E0A5E">
      <w:pPr>
        <w:autoSpaceDE w:val="0"/>
        <w:autoSpaceDN w:val="0"/>
        <w:adjustRightInd w:val="0"/>
        <w:spacing w:after="0" w:line="240" w:lineRule="auto"/>
        <w:jc w:val="center"/>
        <w:rPr>
          <w:rFonts w:ascii="Times New Roman" w:hAnsi="Times New Roman" w:cs="Times New Roman"/>
          <w:b/>
          <w:bCs/>
          <w:color w:val="221E1F"/>
          <w:sz w:val="28"/>
          <w:szCs w:val="28"/>
        </w:rPr>
      </w:pPr>
    </w:p>
    <w:p w14:paraId="014BB44E" w14:textId="77777777" w:rsidR="005F5E36" w:rsidRPr="00571144" w:rsidRDefault="001E0A5E" w:rsidP="00A71866">
      <w:pPr>
        <w:pStyle w:val="Default"/>
        <w:spacing w:line="360" w:lineRule="auto"/>
        <w:jc w:val="center"/>
        <w:rPr>
          <w:b/>
        </w:rPr>
      </w:pPr>
      <w:r w:rsidRPr="00571144">
        <w:rPr>
          <w:b/>
        </w:rPr>
        <w:t>ABSTRACT</w:t>
      </w:r>
    </w:p>
    <w:p w14:paraId="5050CB7C" w14:textId="77777777" w:rsidR="005F5E36" w:rsidRPr="0040284B" w:rsidRDefault="005F5E36" w:rsidP="005F5E36">
      <w:pPr>
        <w:pStyle w:val="Default"/>
        <w:spacing w:line="360" w:lineRule="auto"/>
        <w:jc w:val="both"/>
      </w:pPr>
    </w:p>
    <w:p w14:paraId="469B21E6" w14:textId="77777777" w:rsidR="00DA55B7" w:rsidRPr="00DA55B7" w:rsidRDefault="005F5E36" w:rsidP="00DA55B7">
      <w:pPr>
        <w:autoSpaceDE w:val="0"/>
        <w:autoSpaceDN w:val="0"/>
        <w:adjustRightInd w:val="0"/>
        <w:spacing w:after="0" w:line="360" w:lineRule="auto"/>
        <w:jc w:val="both"/>
        <w:rPr>
          <w:rFonts w:ascii="Times New Roman" w:hAnsi="Times New Roman" w:cs="Times New Roman"/>
          <w:sz w:val="24"/>
          <w:szCs w:val="24"/>
        </w:rPr>
      </w:pPr>
      <w:r w:rsidRPr="0040284B">
        <w:rPr>
          <w:rFonts w:ascii="Times New Roman" w:hAnsi="Times New Roman" w:cs="Times New Roman"/>
          <w:sz w:val="24"/>
          <w:szCs w:val="24"/>
        </w:rPr>
        <w:t xml:space="preserve"> </w:t>
      </w:r>
      <w:r w:rsidR="00FB5283">
        <w:rPr>
          <w:rFonts w:ascii="Times New Roman" w:hAnsi="Times New Roman" w:cs="Times New Roman"/>
          <w:sz w:val="24"/>
          <w:szCs w:val="24"/>
        </w:rPr>
        <w:t>The study examines the</w:t>
      </w:r>
      <w:r w:rsidR="00FB5283" w:rsidRPr="00FB5283">
        <w:rPr>
          <w:rFonts w:ascii="Times New Roman" w:hAnsi="Times New Roman" w:cs="Times New Roman"/>
          <w:sz w:val="24"/>
          <w:szCs w:val="24"/>
        </w:rPr>
        <w:t xml:space="preserve"> Indian agricultural exports in recent years.</w:t>
      </w:r>
      <w:r w:rsidR="008E3525" w:rsidRPr="008E3525">
        <w:t xml:space="preserve"> </w:t>
      </w:r>
      <w:r w:rsidR="008E3525" w:rsidRPr="008E3525">
        <w:rPr>
          <w:rFonts w:ascii="Times New Roman" w:hAnsi="Times New Roman" w:cs="Times New Roman"/>
          <w:sz w:val="24"/>
          <w:szCs w:val="24"/>
        </w:rPr>
        <w:t>It examines the developments in agricultur</w:t>
      </w:r>
      <w:r w:rsidR="008E3525">
        <w:rPr>
          <w:rFonts w:ascii="Times New Roman" w:hAnsi="Times New Roman" w:cs="Times New Roman"/>
          <w:sz w:val="24"/>
          <w:szCs w:val="24"/>
        </w:rPr>
        <w:t>al commodity exports from India</w:t>
      </w:r>
      <w:r w:rsidR="00FB5283" w:rsidRPr="00FB5283">
        <w:rPr>
          <w:rFonts w:ascii="Times New Roman" w:hAnsi="Times New Roman" w:cs="Times New Roman"/>
          <w:sz w:val="24"/>
          <w:szCs w:val="24"/>
        </w:rPr>
        <w:t>, explores shifts in comparative advantage, and assesses the changes observed in Indian agricult</w:t>
      </w:r>
      <w:r w:rsidR="00DA55B7">
        <w:rPr>
          <w:rFonts w:ascii="Times New Roman" w:hAnsi="Times New Roman" w:cs="Times New Roman"/>
          <w:sz w:val="24"/>
          <w:szCs w:val="24"/>
        </w:rPr>
        <w:t>ural export</w:t>
      </w:r>
      <w:r w:rsidR="00FF0A51">
        <w:rPr>
          <w:rFonts w:ascii="Times New Roman" w:hAnsi="Times New Roman" w:cs="Times New Roman"/>
          <w:sz w:val="24"/>
          <w:szCs w:val="24"/>
        </w:rPr>
        <w:t>s</w:t>
      </w:r>
      <w:r w:rsidR="00DA55B7">
        <w:rPr>
          <w:rFonts w:ascii="Times New Roman" w:hAnsi="Times New Roman" w:cs="Times New Roman"/>
          <w:sz w:val="24"/>
          <w:szCs w:val="24"/>
        </w:rPr>
        <w:t xml:space="preserve"> </w:t>
      </w:r>
      <w:r w:rsidR="00FB5283" w:rsidRPr="00FB5283">
        <w:rPr>
          <w:rFonts w:ascii="Times New Roman" w:hAnsi="Times New Roman" w:cs="Times New Roman"/>
          <w:sz w:val="24"/>
          <w:szCs w:val="24"/>
        </w:rPr>
        <w:t>over the past decade. Furthermore, the study discusses the potential for enhancing agricultural exports in the future.</w:t>
      </w:r>
      <w:r w:rsidR="00FB5283">
        <w:rPr>
          <w:rFonts w:ascii="Times New Roman" w:hAnsi="Times New Roman" w:cs="Times New Roman"/>
          <w:sz w:val="24"/>
          <w:szCs w:val="24"/>
        </w:rPr>
        <w:t xml:space="preserve"> </w:t>
      </w:r>
      <w:r w:rsidR="00DA55B7" w:rsidRPr="00DA55B7">
        <w:rPr>
          <w:rFonts w:ascii="Times New Roman" w:hAnsi="Times New Roman" w:cs="Times New Roman"/>
          <w:sz w:val="24"/>
          <w:szCs w:val="24"/>
        </w:rPr>
        <w:t xml:space="preserve">The study findings indicate a decline in the global share of agricultural exports from India compared to leading exporting nations. Analyzing specific products, the export shares of cereals, spices, rice, maize, and meat &amp; </w:t>
      </w:r>
      <w:proofErr w:type="spellStart"/>
      <w:r w:rsidR="00DA55B7" w:rsidRPr="00DA55B7">
        <w:rPr>
          <w:rFonts w:ascii="Times New Roman" w:hAnsi="Times New Roman" w:cs="Times New Roman"/>
          <w:sz w:val="24"/>
          <w:szCs w:val="24"/>
        </w:rPr>
        <w:t>offals</w:t>
      </w:r>
      <w:proofErr w:type="spellEnd"/>
      <w:r w:rsidR="00DA55B7" w:rsidRPr="00DA55B7">
        <w:rPr>
          <w:rFonts w:ascii="Times New Roman" w:hAnsi="Times New Roman" w:cs="Times New Roman"/>
          <w:sz w:val="24"/>
          <w:szCs w:val="24"/>
        </w:rPr>
        <w:t xml:space="preserve"> have increased, while wheat &amp; meslin, coffee, </w:t>
      </w:r>
      <w:r w:rsidR="00FF0A51">
        <w:rPr>
          <w:rFonts w:ascii="Times New Roman" w:hAnsi="Times New Roman" w:cs="Times New Roman"/>
          <w:sz w:val="24"/>
          <w:szCs w:val="24"/>
        </w:rPr>
        <w:t>t</w:t>
      </w:r>
      <w:r w:rsidR="00DA55B7" w:rsidRPr="00DA55B7">
        <w:rPr>
          <w:rFonts w:ascii="Times New Roman" w:hAnsi="Times New Roman" w:cs="Times New Roman"/>
          <w:sz w:val="24"/>
          <w:szCs w:val="24"/>
        </w:rPr>
        <w:t>ea, fish, vegetables &amp; tubers, and fruits and nuts have experienced a decline in export sh</w:t>
      </w:r>
      <w:r w:rsidR="00DA55B7">
        <w:rPr>
          <w:rFonts w:ascii="Times New Roman" w:hAnsi="Times New Roman" w:cs="Times New Roman"/>
          <w:sz w:val="24"/>
          <w:szCs w:val="24"/>
        </w:rPr>
        <w:t>ares from 2003 to 2013. R</w:t>
      </w:r>
      <w:r w:rsidR="00DA55B7" w:rsidRPr="00DA55B7">
        <w:rPr>
          <w:rFonts w:ascii="Times New Roman" w:hAnsi="Times New Roman" w:cs="Times New Roman"/>
          <w:sz w:val="24"/>
          <w:szCs w:val="24"/>
        </w:rPr>
        <w:t xml:space="preserve">ice has maintained a consistent </w:t>
      </w:r>
      <w:r w:rsidR="00FF0A51">
        <w:rPr>
          <w:rFonts w:ascii="Times New Roman" w:hAnsi="Times New Roman" w:cs="Times New Roman"/>
          <w:sz w:val="24"/>
          <w:szCs w:val="24"/>
        </w:rPr>
        <w:t>export share</w:t>
      </w:r>
      <w:r w:rsidR="00DA55B7" w:rsidRPr="00DA55B7">
        <w:rPr>
          <w:rFonts w:ascii="Times New Roman" w:hAnsi="Times New Roman" w:cs="Times New Roman"/>
          <w:sz w:val="24"/>
          <w:szCs w:val="24"/>
        </w:rPr>
        <w:t xml:space="preserve"> from 2014 to 2023, while other commodities have seen varying trends.</w:t>
      </w:r>
      <w:r w:rsidR="00DA55B7">
        <w:rPr>
          <w:rFonts w:ascii="Times New Roman" w:hAnsi="Times New Roman" w:cs="Times New Roman"/>
          <w:sz w:val="24"/>
          <w:szCs w:val="24"/>
        </w:rPr>
        <w:t xml:space="preserve"> </w:t>
      </w:r>
      <w:r w:rsidR="00FF0A51">
        <w:rPr>
          <w:rFonts w:ascii="Times New Roman" w:hAnsi="Times New Roman" w:cs="Times New Roman"/>
          <w:sz w:val="24"/>
          <w:szCs w:val="24"/>
        </w:rPr>
        <w:t>However, e</w:t>
      </w:r>
      <w:r w:rsidR="00DA55B7" w:rsidRPr="00DA55B7">
        <w:rPr>
          <w:rFonts w:ascii="Times New Roman" w:hAnsi="Times New Roman" w:cs="Times New Roman"/>
          <w:sz w:val="24"/>
          <w:szCs w:val="24"/>
        </w:rPr>
        <w:t>xamining the growth rates</w:t>
      </w:r>
      <w:r w:rsidR="00FF0A51">
        <w:rPr>
          <w:rFonts w:ascii="Times New Roman" w:hAnsi="Times New Roman" w:cs="Times New Roman"/>
          <w:sz w:val="24"/>
          <w:szCs w:val="24"/>
        </w:rPr>
        <w:t xml:space="preserve"> from 2003 to 2014</w:t>
      </w:r>
      <w:r w:rsidR="00DA55B7" w:rsidRPr="00DA55B7">
        <w:rPr>
          <w:rFonts w:ascii="Times New Roman" w:hAnsi="Times New Roman" w:cs="Times New Roman"/>
          <w:sz w:val="24"/>
          <w:szCs w:val="24"/>
        </w:rPr>
        <w:t xml:space="preserve">, there has been significant positive growth in exports of maize, meat &amp; </w:t>
      </w:r>
      <w:proofErr w:type="spellStart"/>
      <w:r w:rsidR="00DA55B7" w:rsidRPr="00DA55B7">
        <w:rPr>
          <w:rFonts w:ascii="Times New Roman" w:hAnsi="Times New Roman" w:cs="Times New Roman"/>
          <w:sz w:val="24"/>
          <w:szCs w:val="24"/>
        </w:rPr>
        <w:t>offals</w:t>
      </w:r>
      <w:proofErr w:type="spellEnd"/>
      <w:r w:rsidR="00DA55B7" w:rsidRPr="00DA55B7">
        <w:rPr>
          <w:rFonts w:ascii="Times New Roman" w:hAnsi="Times New Roman" w:cs="Times New Roman"/>
          <w:sz w:val="24"/>
          <w:szCs w:val="24"/>
        </w:rPr>
        <w:t xml:space="preserve">, fruits &amp; nuts, spices, cereals, rice, coffee, vegetables &amp; tubers, fish, and </w:t>
      </w:r>
      <w:r w:rsidR="00FF0A51">
        <w:rPr>
          <w:rFonts w:ascii="Times New Roman" w:hAnsi="Times New Roman" w:cs="Times New Roman"/>
          <w:sz w:val="24"/>
          <w:szCs w:val="24"/>
        </w:rPr>
        <w:t>t</w:t>
      </w:r>
      <w:r w:rsidR="00DA55B7" w:rsidRPr="00DA55B7">
        <w:rPr>
          <w:rFonts w:ascii="Times New Roman" w:hAnsi="Times New Roman" w:cs="Times New Roman"/>
          <w:sz w:val="24"/>
          <w:szCs w:val="24"/>
        </w:rPr>
        <w:t>ea, with notable variations among commodity groups.</w:t>
      </w:r>
      <w:r w:rsidR="002621C9">
        <w:rPr>
          <w:rFonts w:ascii="Times New Roman" w:hAnsi="Times New Roman" w:cs="Times New Roman"/>
          <w:sz w:val="24"/>
          <w:szCs w:val="24"/>
        </w:rPr>
        <w:t xml:space="preserve"> </w:t>
      </w:r>
      <w:r w:rsidR="00DA55B7" w:rsidRPr="00DA55B7">
        <w:rPr>
          <w:rFonts w:ascii="Times New Roman" w:hAnsi="Times New Roman" w:cs="Times New Roman"/>
          <w:sz w:val="24"/>
          <w:szCs w:val="24"/>
        </w:rPr>
        <w:t xml:space="preserve">Conversely, wheat &amp; meslin experienced negative growth. However, from 2014 to 2023, growth rates have declined for cereals, spices, rice, wheat &amp; meslin, maize, coffee, </w:t>
      </w:r>
      <w:r w:rsidR="00FF0A51">
        <w:rPr>
          <w:rFonts w:ascii="Times New Roman" w:hAnsi="Times New Roman" w:cs="Times New Roman"/>
          <w:sz w:val="24"/>
          <w:szCs w:val="24"/>
        </w:rPr>
        <w:t>t</w:t>
      </w:r>
      <w:r w:rsidR="00DA55B7" w:rsidRPr="00DA55B7">
        <w:rPr>
          <w:rFonts w:ascii="Times New Roman" w:hAnsi="Times New Roman" w:cs="Times New Roman"/>
          <w:sz w:val="24"/>
          <w:szCs w:val="24"/>
        </w:rPr>
        <w:t xml:space="preserve">ea, fish, vegetables &amp; tubers, fruits and nuts, with meat &amp; </w:t>
      </w:r>
      <w:proofErr w:type="spellStart"/>
      <w:r w:rsidR="00DA55B7" w:rsidRPr="00DA55B7">
        <w:rPr>
          <w:rFonts w:ascii="Times New Roman" w:hAnsi="Times New Roman" w:cs="Times New Roman"/>
          <w:sz w:val="24"/>
          <w:szCs w:val="24"/>
        </w:rPr>
        <w:t>offals</w:t>
      </w:r>
      <w:proofErr w:type="spellEnd"/>
      <w:r w:rsidR="00DA55B7" w:rsidRPr="00DA55B7">
        <w:rPr>
          <w:rFonts w:ascii="Times New Roman" w:hAnsi="Times New Roman" w:cs="Times New Roman"/>
          <w:sz w:val="24"/>
          <w:szCs w:val="24"/>
        </w:rPr>
        <w:t xml:space="preserve"> exhibiting a negative growth rate.</w:t>
      </w:r>
      <w:r w:rsidR="00DA55B7">
        <w:rPr>
          <w:rFonts w:ascii="Times New Roman" w:hAnsi="Times New Roman" w:cs="Times New Roman"/>
          <w:sz w:val="24"/>
          <w:szCs w:val="24"/>
        </w:rPr>
        <w:t xml:space="preserve"> </w:t>
      </w:r>
      <w:r w:rsidR="00DA55B7" w:rsidRPr="00DA55B7">
        <w:rPr>
          <w:rFonts w:ascii="Times New Roman" w:hAnsi="Times New Roman" w:cs="Times New Roman"/>
          <w:sz w:val="24"/>
          <w:szCs w:val="24"/>
        </w:rPr>
        <w:t>In light of these findings, the study recommends that the government strategically promote exports across different sectors by offering tailored incentives</w:t>
      </w:r>
      <w:r w:rsidR="00FF0A51">
        <w:rPr>
          <w:rFonts w:ascii="Times New Roman" w:hAnsi="Times New Roman" w:cs="Times New Roman"/>
          <w:sz w:val="24"/>
          <w:szCs w:val="24"/>
        </w:rPr>
        <w:t>, making industry-friendly rules, and focusing on competitiveness</w:t>
      </w:r>
      <w:r w:rsidR="00DA55B7" w:rsidRPr="00DA55B7">
        <w:rPr>
          <w:rFonts w:ascii="Times New Roman" w:hAnsi="Times New Roman" w:cs="Times New Roman"/>
          <w:sz w:val="24"/>
          <w:szCs w:val="24"/>
        </w:rPr>
        <w:t>. This approach aims to capitalize on opportunities, address existing gaps, and further stimulate growth in Indian agricultural exports.</w:t>
      </w:r>
    </w:p>
    <w:p w14:paraId="48704F4B" w14:textId="77777777" w:rsidR="00DA55B7" w:rsidRPr="00DA55B7" w:rsidRDefault="00DA55B7" w:rsidP="00DA55B7">
      <w:pPr>
        <w:autoSpaceDE w:val="0"/>
        <w:autoSpaceDN w:val="0"/>
        <w:adjustRightInd w:val="0"/>
        <w:spacing w:after="0" w:line="360" w:lineRule="auto"/>
        <w:jc w:val="both"/>
        <w:rPr>
          <w:rFonts w:ascii="Times New Roman" w:hAnsi="Times New Roman" w:cs="Times New Roman"/>
          <w:sz w:val="24"/>
          <w:szCs w:val="24"/>
        </w:rPr>
      </w:pPr>
    </w:p>
    <w:p w14:paraId="179EC8D0" w14:textId="77777777" w:rsidR="005F5E36" w:rsidRDefault="005F5E36" w:rsidP="005F5E36">
      <w:pPr>
        <w:autoSpaceDE w:val="0"/>
        <w:autoSpaceDN w:val="0"/>
        <w:adjustRightInd w:val="0"/>
        <w:spacing w:after="0" w:line="360" w:lineRule="auto"/>
        <w:jc w:val="both"/>
        <w:rPr>
          <w:rFonts w:ascii="Times New Roman" w:hAnsi="Times New Roman" w:cs="Times New Roman"/>
          <w:sz w:val="24"/>
          <w:szCs w:val="24"/>
        </w:rPr>
      </w:pPr>
      <w:r w:rsidRPr="00387080">
        <w:rPr>
          <w:rFonts w:ascii="Times New Roman" w:hAnsi="Times New Roman" w:cs="Times New Roman"/>
          <w:b/>
          <w:iCs/>
          <w:sz w:val="24"/>
          <w:szCs w:val="24"/>
        </w:rPr>
        <w:t xml:space="preserve">Keywords: </w:t>
      </w:r>
      <w:r w:rsidR="00387080" w:rsidRPr="00387080">
        <w:rPr>
          <w:rFonts w:ascii="Times New Roman" w:hAnsi="Times New Roman" w:cs="Times New Roman"/>
          <w:sz w:val="24"/>
          <w:szCs w:val="24"/>
        </w:rPr>
        <w:t>Agricultural export, Comparative advantage growth rate, India</w:t>
      </w:r>
      <w:r w:rsidR="00DE33F2">
        <w:rPr>
          <w:rFonts w:ascii="Times New Roman" w:hAnsi="Times New Roman" w:cs="Times New Roman"/>
          <w:sz w:val="24"/>
          <w:szCs w:val="24"/>
        </w:rPr>
        <w:t>.</w:t>
      </w:r>
    </w:p>
    <w:p w14:paraId="418AA1DD" w14:textId="77777777" w:rsidR="00855EBE" w:rsidRDefault="00855EBE" w:rsidP="005F5E36">
      <w:pPr>
        <w:autoSpaceDE w:val="0"/>
        <w:autoSpaceDN w:val="0"/>
        <w:adjustRightInd w:val="0"/>
        <w:spacing w:after="0" w:line="360" w:lineRule="auto"/>
        <w:jc w:val="both"/>
        <w:rPr>
          <w:rFonts w:ascii="Times New Roman" w:hAnsi="Times New Roman" w:cs="Times New Roman"/>
          <w:sz w:val="24"/>
          <w:szCs w:val="24"/>
        </w:rPr>
      </w:pPr>
    </w:p>
    <w:p w14:paraId="7E706E01" w14:textId="77777777" w:rsidR="00F73E46" w:rsidRDefault="00F73E46" w:rsidP="005F5E36">
      <w:pPr>
        <w:autoSpaceDE w:val="0"/>
        <w:autoSpaceDN w:val="0"/>
        <w:adjustRightInd w:val="0"/>
        <w:spacing w:after="0" w:line="360" w:lineRule="auto"/>
        <w:jc w:val="both"/>
        <w:rPr>
          <w:rFonts w:ascii="Times New Roman" w:hAnsi="Times New Roman" w:cs="Times New Roman"/>
          <w:sz w:val="24"/>
          <w:szCs w:val="24"/>
        </w:rPr>
      </w:pPr>
    </w:p>
    <w:p w14:paraId="3A390A95" w14:textId="77777777" w:rsidR="00B53F42" w:rsidRPr="009F79C6" w:rsidRDefault="001E0A5E" w:rsidP="009F79C6">
      <w:pPr>
        <w:spacing w:line="360" w:lineRule="auto"/>
        <w:jc w:val="both"/>
        <w:rPr>
          <w:rFonts w:ascii="Times New Roman" w:hAnsi="Times New Roman" w:cs="Times New Roman"/>
          <w:b/>
          <w:sz w:val="24"/>
          <w:szCs w:val="24"/>
        </w:rPr>
      </w:pPr>
      <w:r w:rsidRPr="009F79C6">
        <w:rPr>
          <w:rFonts w:ascii="Times New Roman" w:hAnsi="Times New Roman" w:cs="Times New Roman"/>
          <w:b/>
          <w:sz w:val="24"/>
          <w:szCs w:val="24"/>
        </w:rPr>
        <w:t>INTRODUCTION</w:t>
      </w:r>
    </w:p>
    <w:p w14:paraId="3957D776" w14:textId="77777777" w:rsidR="00CE1F79" w:rsidRPr="00E87264" w:rsidRDefault="009B4BA4" w:rsidP="00E87264">
      <w:pPr>
        <w:spacing w:line="360" w:lineRule="auto"/>
        <w:jc w:val="both"/>
        <w:rPr>
          <w:rFonts w:ascii="Times New Roman" w:hAnsi="Times New Roman" w:cs="Times New Roman"/>
          <w:color w:val="FF0000"/>
          <w:sz w:val="24"/>
          <w:szCs w:val="24"/>
        </w:rPr>
      </w:pPr>
      <w:r w:rsidRPr="009B4BA4">
        <w:rPr>
          <w:rFonts w:ascii="Times New Roman" w:hAnsi="Times New Roman" w:cs="Times New Roman"/>
          <w:sz w:val="24"/>
          <w:szCs w:val="24"/>
        </w:rPr>
        <w:lastRenderedPageBreak/>
        <w:t>Agriculture in India is the backbone of our civilization</w:t>
      </w:r>
      <w:r w:rsidR="00D31198">
        <w:rPr>
          <w:rFonts w:ascii="Times New Roman" w:hAnsi="Times New Roman" w:cs="Times New Roman"/>
          <w:sz w:val="24"/>
          <w:szCs w:val="24"/>
        </w:rPr>
        <w:t>, providing a living for more than</w:t>
      </w:r>
      <w:r w:rsidR="00EB1255">
        <w:rPr>
          <w:rFonts w:ascii="Times New Roman" w:hAnsi="Times New Roman" w:cs="Times New Roman"/>
          <w:sz w:val="24"/>
          <w:szCs w:val="24"/>
        </w:rPr>
        <w:t xml:space="preserve"> half of </w:t>
      </w:r>
      <w:r w:rsidR="00CD0F96">
        <w:rPr>
          <w:rFonts w:ascii="Times New Roman" w:hAnsi="Times New Roman" w:cs="Times New Roman"/>
          <w:sz w:val="24"/>
          <w:szCs w:val="24"/>
        </w:rPr>
        <w:t xml:space="preserve">the </w:t>
      </w:r>
      <w:r w:rsidRPr="009B4BA4">
        <w:rPr>
          <w:rFonts w:ascii="Times New Roman" w:hAnsi="Times New Roman" w:cs="Times New Roman"/>
          <w:sz w:val="24"/>
          <w:szCs w:val="24"/>
        </w:rPr>
        <w:t xml:space="preserve">population. It is one of the most </w:t>
      </w:r>
      <w:r w:rsidR="00EB1255">
        <w:rPr>
          <w:rFonts w:ascii="Times New Roman" w:hAnsi="Times New Roman" w:cs="Times New Roman"/>
          <w:sz w:val="24"/>
          <w:szCs w:val="24"/>
        </w:rPr>
        <w:t xml:space="preserve">vital </w:t>
      </w:r>
      <w:r w:rsidR="00326DEB">
        <w:rPr>
          <w:rFonts w:ascii="Times New Roman" w:hAnsi="Times New Roman" w:cs="Times New Roman"/>
          <w:sz w:val="24"/>
          <w:szCs w:val="24"/>
        </w:rPr>
        <w:t>jobs for Indian households (</w:t>
      </w:r>
      <w:proofErr w:type="spellStart"/>
      <w:r w:rsidR="00326DEB" w:rsidRPr="00F0752D">
        <w:rPr>
          <w:rFonts w:ascii="Times New Roman" w:hAnsi="Times New Roman" w:cs="Times New Roman"/>
          <w:color w:val="222222"/>
          <w:sz w:val="24"/>
          <w:szCs w:val="24"/>
          <w:shd w:val="clear" w:color="auto" w:fill="FFFFFF"/>
        </w:rPr>
        <w:t>Kumareswaran</w:t>
      </w:r>
      <w:proofErr w:type="spellEnd"/>
      <w:r w:rsidR="00326DEB">
        <w:rPr>
          <w:rFonts w:ascii="Times New Roman" w:hAnsi="Times New Roman" w:cs="Times New Roman"/>
          <w:color w:val="222222"/>
          <w:sz w:val="24"/>
          <w:szCs w:val="24"/>
          <w:shd w:val="clear" w:color="auto" w:fill="FFFFFF"/>
        </w:rPr>
        <w:t xml:space="preserve"> </w:t>
      </w:r>
      <w:r w:rsidR="00326DEB" w:rsidRPr="001E0A5E">
        <w:rPr>
          <w:rFonts w:ascii="Times New Roman" w:hAnsi="Times New Roman" w:cs="Times New Roman"/>
          <w:i/>
          <w:color w:val="222222"/>
          <w:sz w:val="24"/>
          <w:szCs w:val="24"/>
          <w:shd w:val="clear" w:color="auto" w:fill="FFFFFF"/>
        </w:rPr>
        <w:t>et al</w:t>
      </w:r>
      <w:r w:rsidR="00CD0F96" w:rsidRPr="001E0A5E">
        <w:rPr>
          <w:rFonts w:ascii="Times New Roman" w:hAnsi="Times New Roman" w:cs="Times New Roman"/>
          <w:i/>
          <w:color w:val="222222"/>
          <w:sz w:val="24"/>
          <w:szCs w:val="24"/>
          <w:shd w:val="clear" w:color="auto" w:fill="FFFFFF"/>
        </w:rPr>
        <w:t>.</w:t>
      </w:r>
      <w:r w:rsidR="00326DEB" w:rsidRPr="001E0A5E">
        <w:rPr>
          <w:rFonts w:ascii="Times New Roman" w:hAnsi="Times New Roman" w:cs="Times New Roman"/>
          <w:i/>
          <w:color w:val="222222"/>
          <w:sz w:val="24"/>
          <w:szCs w:val="24"/>
          <w:shd w:val="clear" w:color="auto" w:fill="FFFFFF"/>
        </w:rPr>
        <w:t>,</w:t>
      </w:r>
      <w:r w:rsidR="00326DEB">
        <w:rPr>
          <w:rFonts w:ascii="Times New Roman" w:hAnsi="Times New Roman" w:cs="Times New Roman"/>
          <w:color w:val="222222"/>
          <w:sz w:val="24"/>
          <w:szCs w:val="24"/>
          <w:shd w:val="clear" w:color="auto" w:fill="FFFFFF"/>
        </w:rPr>
        <w:t xml:space="preserve"> 2018).</w:t>
      </w:r>
      <w:r w:rsidR="00D615BF" w:rsidRPr="009F79C6">
        <w:rPr>
          <w:rFonts w:ascii="Times New Roman" w:hAnsi="Times New Roman" w:cs="Times New Roman"/>
          <w:sz w:val="24"/>
          <w:szCs w:val="24"/>
        </w:rPr>
        <w:t xml:space="preserve"> </w:t>
      </w:r>
      <w:r w:rsidRPr="009B4BA4">
        <w:rPr>
          <w:rFonts w:ascii="Times New Roman" w:hAnsi="Times New Roman" w:cs="Times New Roman"/>
          <w:sz w:val="24"/>
          <w:szCs w:val="24"/>
        </w:rPr>
        <w:t xml:space="preserve">In the fiscal year 2021-22, the agricultural sector contributed 19% to the gross value added at current prices and engaged 45.5% of the nation's workforce, demonstrating a 4.6% annual growth from 2014 to 2022. </w:t>
      </w:r>
      <w:r w:rsidR="00EB1255" w:rsidRPr="00EB1255">
        <w:rPr>
          <w:rFonts w:ascii="Times New Roman" w:hAnsi="Times New Roman" w:cs="Times New Roman"/>
          <w:sz w:val="24"/>
          <w:szCs w:val="24"/>
        </w:rPr>
        <w:t xml:space="preserve">Leveraging advantageous </w:t>
      </w:r>
      <w:proofErr w:type="spellStart"/>
      <w:r w:rsidR="00EB1255" w:rsidRPr="00EB1255">
        <w:rPr>
          <w:rFonts w:ascii="Times New Roman" w:hAnsi="Times New Roman" w:cs="Times New Roman"/>
          <w:sz w:val="24"/>
          <w:szCs w:val="24"/>
        </w:rPr>
        <w:t>agro</w:t>
      </w:r>
      <w:proofErr w:type="spellEnd"/>
      <w:r w:rsidR="00EB1255" w:rsidRPr="00EB1255">
        <w:rPr>
          <w:rFonts w:ascii="Times New Roman" w:hAnsi="Times New Roman" w:cs="Times New Roman"/>
          <w:sz w:val="24"/>
          <w:szCs w:val="24"/>
        </w:rPr>
        <w:t xml:space="preserve">-climatic conditions, India </w:t>
      </w:r>
      <w:r w:rsidR="003A23C6">
        <w:rPr>
          <w:rFonts w:ascii="Times New Roman" w:hAnsi="Times New Roman" w:cs="Times New Roman"/>
          <w:sz w:val="24"/>
          <w:szCs w:val="24"/>
        </w:rPr>
        <w:t>is the foremost global producer of diverse</w:t>
      </w:r>
      <w:r w:rsidR="00EB1255" w:rsidRPr="00EB1255">
        <w:rPr>
          <w:rFonts w:ascii="Times New Roman" w:hAnsi="Times New Roman" w:cs="Times New Roman"/>
          <w:sz w:val="24"/>
          <w:szCs w:val="24"/>
        </w:rPr>
        <w:t xml:space="preserve"> agricultural commodities.</w:t>
      </w:r>
      <w:r w:rsidR="00EB1255">
        <w:rPr>
          <w:rFonts w:ascii="Times New Roman" w:hAnsi="Times New Roman" w:cs="Times New Roman"/>
          <w:sz w:val="24"/>
          <w:szCs w:val="24"/>
        </w:rPr>
        <w:t xml:space="preserve"> </w:t>
      </w:r>
      <w:r w:rsidRPr="009B4BA4">
        <w:rPr>
          <w:rFonts w:ascii="Times New Roman" w:hAnsi="Times New Roman" w:cs="Times New Roman"/>
          <w:sz w:val="24"/>
          <w:szCs w:val="24"/>
        </w:rPr>
        <w:t xml:space="preserve">Approximately 12% of total exports are attributed to this sector. Since the economic reforms </w:t>
      </w:r>
      <w:r w:rsidR="00D31198">
        <w:rPr>
          <w:rFonts w:ascii="Times New Roman" w:hAnsi="Times New Roman" w:cs="Times New Roman"/>
          <w:sz w:val="24"/>
          <w:szCs w:val="24"/>
        </w:rPr>
        <w:t xml:space="preserve">in </w:t>
      </w:r>
      <w:r w:rsidRPr="009B4BA4">
        <w:rPr>
          <w:rFonts w:ascii="Times New Roman" w:hAnsi="Times New Roman" w:cs="Times New Roman"/>
          <w:sz w:val="24"/>
          <w:szCs w:val="24"/>
        </w:rPr>
        <w:t>1991, India has consistently maintained a positive net export of agricultural products, reaching US$ 50.2 billion in agricultural exports and US$ 28.27 billion in imports during the 2021-22 fiscal year</w:t>
      </w:r>
      <w:r w:rsidR="00326DEB">
        <w:rPr>
          <w:rFonts w:ascii="Times New Roman" w:hAnsi="Times New Roman" w:cs="Times New Roman"/>
          <w:sz w:val="24"/>
          <w:szCs w:val="24"/>
        </w:rPr>
        <w:t xml:space="preserve"> (Saxena </w:t>
      </w:r>
      <w:r w:rsidR="00326DEB" w:rsidRPr="001E0A5E">
        <w:rPr>
          <w:rFonts w:ascii="Times New Roman" w:hAnsi="Times New Roman" w:cs="Times New Roman"/>
          <w:i/>
          <w:sz w:val="24"/>
          <w:szCs w:val="24"/>
        </w:rPr>
        <w:t>et al</w:t>
      </w:r>
      <w:r w:rsidR="003A23C6" w:rsidRPr="001E0A5E">
        <w:rPr>
          <w:rFonts w:ascii="Times New Roman" w:hAnsi="Times New Roman" w:cs="Times New Roman"/>
          <w:i/>
          <w:sz w:val="24"/>
          <w:szCs w:val="24"/>
        </w:rPr>
        <w:t>.</w:t>
      </w:r>
      <w:r w:rsidR="00326DEB">
        <w:rPr>
          <w:rFonts w:ascii="Times New Roman" w:hAnsi="Times New Roman" w:cs="Times New Roman"/>
          <w:sz w:val="24"/>
          <w:szCs w:val="24"/>
        </w:rPr>
        <w:t xml:space="preserve">, 2023). </w:t>
      </w:r>
      <w:r w:rsidR="00CE1F79">
        <w:rPr>
          <w:rFonts w:ascii="Times New Roman" w:hAnsi="Times New Roman" w:cs="Times New Roman"/>
          <w:sz w:val="24"/>
          <w:szCs w:val="24"/>
        </w:rPr>
        <w:t xml:space="preserve">In </w:t>
      </w:r>
      <w:r w:rsidR="004124CF" w:rsidRPr="004124CF">
        <w:rPr>
          <w:rFonts w:ascii="Times New Roman" w:hAnsi="Times New Roman" w:cs="Times New Roman"/>
          <w:bCs/>
          <w:color w:val="000000" w:themeColor="text1"/>
          <w:sz w:val="24"/>
          <w:szCs w:val="24"/>
        </w:rPr>
        <w:t>2011, the contribution of Indian agricultural trade constitutes merely around 1.6% of the total global agricultural trade</w:t>
      </w:r>
      <w:r w:rsidR="00326DEB">
        <w:rPr>
          <w:rFonts w:ascii="Times New Roman" w:hAnsi="Times New Roman" w:cs="Times New Roman"/>
          <w:bCs/>
          <w:color w:val="000000" w:themeColor="text1"/>
          <w:sz w:val="24"/>
          <w:szCs w:val="24"/>
        </w:rPr>
        <w:t xml:space="preserve"> (Suresh </w:t>
      </w:r>
      <w:r w:rsidR="001E0A5E">
        <w:rPr>
          <w:rFonts w:ascii="Times New Roman" w:hAnsi="Times New Roman" w:cs="Times New Roman"/>
          <w:bCs/>
          <w:color w:val="000000" w:themeColor="text1"/>
          <w:sz w:val="24"/>
          <w:szCs w:val="24"/>
        </w:rPr>
        <w:t>and</w:t>
      </w:r>
      <w:r w:rsidR="00326DEB">
        <w:rPr>
          <w:rFonts w:ascii="Times New Roman" w:hAnsi="Times New Roman" w:cs="Times New Roman"/>
          <w:bCs/>
          <w:color w:val="000000" w:themeColor="text1"/>
          <w:sz w:val="24"/>
          <w:szCs w:val="24"/>
        </w:rPr>
        <w:t xml:space="preserve"> Mathur</w:t>
      </w:r>
      <w:r w:rsidR="00DF7A84">
        <w:rPr>
          <w:rFonts w:ascii="Times New Roman" w:hAnsi="Times New Roman" w:cs="Times New Roman"/>
          <w:bCs/>
          <w:color w:val="000000" w:themeColor="text1"/>
          <w:sz w:val="24"/>
          <w:szCs w:val="24"/>
        </w:rPr>
        <w:t>, 2016</w:t>
      </w:r>
      <w:r w:rsidR="00326DEB">
        <w:rPr>
          <w:rFonts w:ascii="Times New Roman" w:hAnsi="Times New Roman" w:cs="Times New Roman"/>
          <w:bCs/>
          <w:color w:val="000000" w:themeColor="text1"/>
          <w:sz w:val="24"/>
          <w:szCs w:val="24"/>
        </w:rPr>
        <w:t>).</w:t>
      </w:r>
      <w:r w:rsidR="009F79C6" w:rsidRPr="009F79C6">
        <w:rPr>
          <w:rFonts w:ascii="Times New Roman" w:hAnsi="Times New Roman" w:cs="Times New Roman"/>
          <w:sz w:val="24"/>
          <w:szCs w:val="24"/>
        </w:rPr>
        <w:t xml:space="preserve"> </w:t>
      </w:r>
      <w:r w:rsidR="00F51F3A" w:rsidRPr="00D31198">
        <w:rPr>
          <w:rFonts w:ascii="Times New Roman" w:hAnsi="Times New Roman" w:cs="Times New Roman"/>
          <w:sz w:val="24"/>
          <w:szCs w:val="24"/>
        </w:rPr>
        <w:t>The share of agricultural exports in gros</w:t>
      </w:r>
      <w:r w:rsidR="007928C3">
        <w:rPr>
          <w:rFonts w:ascii="Times New Roman" w:hAnsi="Times New Roman" w:cs="Times New Roman"/>
          <w:sz w:val="24"/>
          <w:szCs w:val="24"/>
        </w:rPr>
        <w:t>s value added</w:t>
      </w:r>
      <w:r w:rsidR="00F51F3A" w:rsidRPr="00D31198">
        <w:rPr>
          <w:rFonts w:ascii="Times New Roman" w:hAnsi="Times New Roman" w:cs="Times New Roman"/>
          <w:sz w:val="24"/>
          <w:szCs w:val="24"/>
        </w:rPr>
        <w:t xml:space="preserve"> from agricultural and allied activities increased from 7.12% in 2002-03 and </w:t>
      </w:r>
      <w:r w:rsidR="00D31198" w:rsidRPr="00D31198">
        <w:rPr>
          <w:rFonts w:ascii="Times New Roman" w:hAnsi="Times New Roman" w:cs="Times New Roman"/>
          <w:sz w:val="24"/>
          <w:szCs w:val="24"/>
        </w:rPr>
        <w:t>peaked at</w:t>
      </w:r>
      <w:r w:rsidR="00F51F3A" w:rsidRPr="00D31198">
        <w:rPr>
          <w:rFonts w:ascii="Times New Roman" w:hAnsi="Times New Roman" w:cs="Times New Roman"/>
          <w:sz w:val="24"/>
          <w:szCs w:val="24"/>
        </w:rPr>
        <w:t xml:space="preserve"> about 14% in 2013-14, then decelerated to 7.3% in 2019-20. However, the share of agricultural exports in agriculture GVA has increased after 2019-20 and reached 9.5% in 2021-22.</w:t>
      </w:r>
      <w:r w:rsidR="00F51F3A" w:rsidRPr="009F79C6">
        <w:rPr>
          <w:rFonts w:ascii="Times New Roman" w:hAnsi="Times New Roman" w:cs="Times New Roman"/>
          <w:sz w:val="24"/>
          <w:szCs w:val="24"/>
        </w:rPr>
        <w:t xml:space="preserve"> Similarly, </w:t>
      </w:r>
      <w:r w:rsidR="008E3525" w:rsidRPr="008E3525">
        <w:rPr>
          <w:rFonts w:ascii="Times New Roman" w:hAnsi="Times New Roman" w:cs="Times New Roman"/>
          <w:sz w:val="24"/>
          <w:szCs w:val="24"/>
        </w:rPr>
        <w:t xml:space="preserve">agriculture exports as a percentage of total exports </w:t>
      </w:r>
      <w:r w:rsidR="00F51F3A" w:rsidRPr="009F79C6">
        <w:rPr>
          <w:rFonts w:ascii="Times New Roman" w:hAnsi="Times New Roman" w:cs="Times New Roman"/>
          <w:sz w:val="24"/>
          <w:szCs w:val="24"/>
        </w:rPr>
        <w:t>14.2% in 2001-02, which declined to 9.71% in 2010-11. However, with concerted policy facilitation, the share</w:t>
      </w:r>
      <w:r w:rsidR="00DF7A84">
        <w:rPr>
          <w:rFonts w:ascii="Times New Roman" w:hAnsi="Times New Roman" w:cs="Times New Roman"/>
          <w:sz w:val="24"/>
          <w:szCs w:val="24"/>
        </w:rPr>
        <w:t xml:space="preserve"> increased to 11.95% in 2021-22 (Saxena </w:t>
      </w:r>
      <w:r w:rsidR="00DF7A84" w:rsidRPr="001E0A5E">
        <w:rPr>
          <w:rFonts w:ascii="Times New Roman" w:hAnsi="Times New Roman" w:cs="Times New Roman"/>
          <w:i/>
          <w:sz w:val="24"/>
          <w:szCs w:val="24"/>
        </w:rPr>
        <w:t>et al</w:t>
      </w:r>
      <w:r w:rsidR="001E0A5E">
        <w:rPr>
          <w:rFonts w:ascii="Times New Roman" w:hAnsi="Times New Roman" w:cs="Times New Roman"/>
          <w:i/>
          <w:sz w:val="24"/>
          <w:szCs w:val="24"/>
        </w:rPr>
        <w:t>.</w:t>
      </w:r>
      <w:r w:rsidR="00DF7A84">
        <w:rPr>
          <w:rFonts w:ascii="Times New Roman" w:hAnsi="Times New Roman" w:cs="Times New Roman"/>
          <w:sz w:val="24"/>
          <w:szCs w:val="24"/>
        </w:rPr>
        <w:t>, 2023).</w:t>
      </w:r>
      <w:r w:rsidR="006C43F8">
        <w:rPr>
          <w:rFonts w:ascii="Times New Roman" w:hAnsi="Times New Roman" w:cs="Times New Roman"/>
          <w:sz w:val="24"/>
          <w:szCs w:val="24"/>
        </w:rPr>
        <w:t xml:space="preserve"> </w:t>
      </w:r>
      <w:r w:rsidR="00B764FF" w:rsidRPr="009F79C6">
        <w:rPr>
          <w:rFonts w:ascii="Times New Roman" w:hAnsi="Times New Roman" w:cs="Times New Roman"/>
          <w:sz w:val="24"/>
          <w:szCs w:val="24"/>
        </w:rPr>
        <w:t xml:space="preserve">More than 75% of India's agricultural exports are cereals, cotton, fish and crustaceans, sugar and sugar confectionery, coffee, </w:t>
      </w:r>
      <w:r w:rsidR="00FF0A51">
        <w:rPr>
          <w:rFonts w:ascii="Times New Roman" w:hAnsi="Times New Roman" w:cs="Times New Roman"/>
          <w:sz w:val="24"/>
          <w:szCs w:val="24"/>
        </w:rPr>
        <w:t>t</w:t>
      </w:r>
      <w:r w:rsidR="00B764FF" w:rsidRPr="009F79C6">
        <w:rPr>
          <w:rFonts w:ascii="Times New Roman" w:hAnsi="Times New Roman" w:cs="Times New Roman"/>
          <w:sz w:val="24"/>
          <w:szCs w:val="24"/>
        </w:rPr>
        <w:t xml:space="preserve">ea, spices, and edible meat. Among these groups, rice, crustaceans, bovine meat, pepper, </w:t>
      </w:r>
      <w:r w:rsidR="00FF0A51">
        <w:rPr>
          <w:rFonts w:ascii="Times New Roman" w:hAnsi="Times New Roman" w:cs="Times New Roman"/>
          <w:sz w:val="24"/>
          <w:szCs w:val="24"/>
        </w:rPr>
        <w:t>t</w:t>
      </w:r>
      <w:r w:rsidR="00B764FF" w:rsidRPr="009F79C6">
        <w:rPr>
          <w:rFonts w:ascii="Times New Roman" w:hAnsi="Times New Roman" w:cs="Times New Roman"/>
          <w:sz w:val="24"/>
          <w:szCs w:val="24"/>
        </w:rPr>
        <w:t>ea, cane sugar, and cotton are the most exported agri</w:t>
      </w:r>
      <w:r w:rsidR="00DF7A84">
        <w:rPr>
          <w:rFonts w:ascii="Times New Roman" w:hAnsi="Times New Roman" w:cs="Times New Roman"/>
          <w:sz w:val="24"/>
          <w:szCs w:val="24"/>
        </w:rPr>
        <w:t xml:space="preserve">cultural commodities from India (Saxena </w:t>
      </w:r>
      <w:r w:rsidR="00DF7A84" w:rsidRPr="001E0A5E">
        <w:rPr>
          <w:rFonts w:ascii="Times New Roman" w:hAnsi="Times New Roman" w:cs="Times New Roman"/>
          <w:i/>
          <w:sz w:val="24"/>
          <w:szCs w:val="24"/>
        </w:rPr>
        <w:t>et al</w:t>
      </w:r>
      <w:r w:rsidR="001E0A5E">
        <w:rPr>
          <w:rFonts w:ascii="Times New Roman" w:hAnsi="Times New Roman" w:cs="Times New Roman"/>
          <w:i/>
          <w:sz w:val="24"/>
          <w:szCs w:val="24"/>
        </w:rPr>
        <w:t>.</w:t>
      </w:r>
      <w:r w:rsidR="00DF7A84">
        <w:rPr>
          <w:rFonts w:ascii="Times New Roman" w:hAnsi="Times New Roman" w:cs="Times New Roman"/>
          <w:sz w:val="24"/>
          <w:szCs w:val="24"/>
        </w:rPr>
        <w:t>, 2023).</w:t>
      </w:r>
      <w:r w:rsidR="007A33BC" w:rsidRPr="007A33BC">
        <w:rPr>
          <w:rFonts w:ascii="Times New Roman" w:hAnsi="Times New Roman" w:cs="Times New Roman"/>
          <w:sz w:val="24"/>
          <w:szCs w:val="24"/>
        </w:rPr>
        <w:t xml:space="preserve"> Despite these factors, India's presence in the global </w:t>
      </w:r>
      <w:r w:rsidR="00D31198">
        <w:rPr>
          <w:rFonts w:ascii="Times New Roman" w:hAnsi="Times New Roman" w:cs="Times New Roman"/>
          <w:sz w:val="24"/>
          <w:szCs w:val="24"/>
        </w:rPr>
        <w:t>export market</w:t>
      </w:r>
      <w:r w:rsidR="007A33BC" w:rsidRPr="007A33BC">
        <w:rPr>
          <w:rFonts w:ascii="Times New Roman" w:hAnsi="Times New Roman" w:cs="Times New Roman"/>
          <w:sz w:val="24"/>
          <w:szCs w:val="24"/>
        </w:rPr>
        <w:t xml:space="preserve"> is limited, primarily due to the insufficient participation of farmers in the export process. </w:t>
      </w:r>
      <w:r w:rsidR="004124CF" w:rsidRPr="004124CF">
        <w:rPr>
          <w:rFonts w:ascii="Times New Roman" w:hAnsi="Times New Roman" w:cs="Times New Roman"/>
          <w:sz w:val="24"/>
          <w:szCs w:val="24"/>
        </w:rPr>
        <w:t xml:space="preserve">Export activities </w:t>
      </w:r>
      <w:r w:rsidR="00D31198">
        <w:rPr>
          <w:rFonts w:ascii="Times New Roman" w:hAnsi="Times New Roman" w:cs="Times New Roman"/>
          <w:sz w:val="24"/>
          <w:szCs w:val="24"/>
        </w:rPr>
        <w:t>are foundational</w:t>
      </w:r>
      <w:r w:rsidR="004124CF" w:rsidRPr="004124CF">
        <w:rPr>
          <w:rFonts w:ascii="Times New Roman" w:hAnsi="Times New Roman" w:cs="Times New Roman"/>
          <w:sz w:val="24"/>
          <w:szCs w:val="24"/>
        </w:rPr>
        <w:t xml:space="preserve"> for a country's overall growth trajectory. </w:t>
      </w:r>
      <w:r w:rsidR="00E87264" w:rsidRPr="00E87264">
        <w:rPr>
          <w:rFonts w:ascii="Times New Roman" w:hAnsi="Times New Roman" w:cs="Times New Roman"/>
          <w:color w:val="000000" w:themeColor="text1"/>
          <w:sz w:val="24"/>
          <w:szCs w:val="24"/>
        </w:rPr>
        <w:t>As a result, there is a need to expand export while addressing quality factors and lowering pesticide consumption, as these commodities are critical to increasing the country's foreign exchange reserves.</w:t>
      </w:r>
      <w:r w:rsidR="00E87264" w:rsidRPr="00E87264">
        <w:rPr>
          <w:color w:val="000000" w:themeColor="text1"/>
        </w:rPr>
        <w:t xml:space="preserve"> </w:t>
      </w:r>
      <w:r w:rsidR="00E87264" w:rsidRPr="00E87264">
        <w:rPr>
          <w:rFonts w:ascii="Times New Roman" w:hAnsi="Times New Roman" w:cs="Times New Roman"/>
          <w:color w:val="000000" w:themeColor="text1"/>
          <w:sz w:val="24"/>
          <w:szCs w:val="24"/>
        </w:rPr>
        <w:t>The export value serves as a substantial contributor to foreign exchange earnings in the agricultural sector, thereby reinforcing the country's Balance of Payment.</w:t>
      </w:r>
      <w:r w:rsidR="00E87264">
        <w:rPr>
          <w:rFonts w:ascii="Times New Roman" w:hAnsi="Times New Roman" w:cs="Times New Roman"/>
          <w:color w:val="FF0000"/>
          <w:sz w:val="24"/>
          <w:szCs w:val="24"/>
        </w:rPr>
        <w:t xml:space="preserve"> </w:t>
      </w:r>
      <w:r w:rsidR="004124CF" w:rsidRPr="004124CF">
        <w:rPr>
          <w:rFonts w:ascii="Times New Roman" w:hAnsi="Times New Roman" w:cs="Times New Roman"/>
          <w:sz w:val="24"/>
          <w:szCs w:val="24"/>
        </w:rPr>
        <w:t>Elevating export rates can be a pivotal strategy for developing nations, as it facilitates the accumulat</w:t>
      </w:r>
      <w:r w:rsidR="00D31198">
        <w:rPr>
          <w:rFonts w:ascii="Times New Roman" w:hAnsi="Times New Roman" w:cs="Times New Roman"/>
          <w:sz w:val="24"/>
          <w:szCs w:val="24"/>
        </w:rPr>
        <w:t>ion of international liquidity; t</w:t>
      </w:r>
      <w:r w:rsidR="004124CF" w:rsidRPr="004124CF">
        <w:rPr>
          <w:rFonts w:ascii="Times New Roman" w:hAnsi="Times New Roman" w:cs="Times New Roman"/>
          <w:sz w:val="24"/>
          <w:szCs w:val="24"/>
        </w:rPr>
        <w:t>his, in turn, addresses issues related to reserves and provides the necessary financial foundation to initiate various projects,</w:t>
      </w:r>
      <w:r w:rsidR="00DF7A84">
        <w:rPr>
          <w:rFonts w:ascii="Times New Roman" w:hAnsi="Times New Roman" w:cs="Times New Roman"/>
          <w:sz w:val="24"/>
          <w:szCs w:val="24"/>
        </w:rPr>
        <w:t xml:space="preserve"> breaking the cycle of poverty (Patil </w:t>
      </w:r>
      <w:r w:rsidR="00DF7A84" w:rsidRPr="001E0A5E">
        <w:rPr>
          <w:rFonts w:ascii="Times New Roman" w:hAnsi="Times New Roman" w:cs="Times New Roman"/>
          <w:i/>
          <w:sz w:val="24"/>
          <w:szCs w:val="24"/>
        </w:rPr>
        <w:t>et al</w:t>
      </w:r>
      <w:r w:rsidR="001E0A5E">
        <w:rPr>
          <w:rFonts w:ascii="Times New Roman" w:hAnsi="Times New Roman" w:cs="Times New Roman"/>
          <w:i/>
          <w:sz w:val="24"/>
          <w:szCs w:val="24"/>
        </w:rPr>
        <w:t>.</w:t>
      </w:r>
      <w:r w:rsidR="00DF7A84" w:rsidRPr="001E0A5E">
        <w:rPr>
          <w:rFonts w:ascii="Times New Roman" w:hAnsi="Times New Roman" w:cs="Times New Roman"/>
          <w:i/>
          <w:sz w:val="24"/>
          <w:szCs w:val="24"/>
        </w:rPr>
        <w:t>,</w:t>
      </w:r>
      <w:r w:rsidR="00DF7A84">
        <w:rPr>
          <w:rFonts w:ascii="Times New Roman" w:hAnsi="Times New Roman" w:cs="Times New Roman"/>
          <w:sz w:val="24"/>
          <w:szCs w:val="24"/>
        </w:rPr>
        <w:t xml:space="preserve"> 2020). </w:t>
      </w:r>
      <w:r w:rsidR="00EF62AA" w:rsidRPr="00EF62AA">
        <w:rPr>
          <w:rFonts w:ascii="Times New Roman" w:hAnsi="Times New Roman" w:cs="Times New Roman"/>
          <w:sz w:val="24"/>
          <w:szCs w:val="24"/>
        </w:rPr>
        <w:t>With this backdrop, th</w:t>
      </w:r>
      <w:r w:rsidR="00D31198">
        <w:rPr>
          <w:rFonts w:ascii="Times New Roman" w:hAnsi="Times New Roman" w:cs="Times New Roman"/>
          <w:sz w:val="24"/>
          <w:szCs w:val="24"/>
        </w:rPr>
        <w:t>is study aimed</w:t>
      </w:r>
      <w:r w:rsidR="00EF62AA" w:rsidRPr="00EF62AA">
        <w:rPr>
          <w:rFonts w:ascii="Times New Roman" w:hAnsi="Times New Roman" w:cs="Times New Roman"/>
          <w:sz w:val="24"/>
          <w:szCs w:val="24"/>
        </w:rPr>
        <w:t xml:space="preserve"> to </w:t>
      </w:r>
      <w:r w:rsidR="00EF62AA" w:rsidRPr="00EF62AA">
        <w:rPr>
          <w:rFonts w:ascii="Times New Roman" w:hAnsi="Times New Roman" w:cs="Times New Roman"/>
          <w:sz w:val="24"/>
          <w:szCs w:val="24"/>
        </w:rPr>
        <w:lastRenderedPageBreak/>
        <w:t>evaluate the percentage of agricultural exports to national exports, the top exporting nations' export share, and the composition of changes in agricultural exports.</w:t>
      </w:r>
    </w:p>
    <w:p w14:paraId="79F1A1D4" w14:textId="77777777" w:rsidR="00A14F06" w:rsidRDefault="001E0A5E" w:rsidP="009F79C6">
      <w:pPr>
        <w:spacing w:line="360" w:lineRule="auto"/>
        <w:jc w:val="both"/>
        <w:rPr>
          <w:rFonts w:ascii="Times New Roman" w:hAnsi="Times New Roman" w:cs="Times New Roman"/>
          <w:b/>
          <w:sz w:val="24"/>
          <w:szCs w:val="24"/>
        </w:rPr>
      </w:pPr>
      <w:r w:rsidRPr="00A14F06">
        <w:rPr>
          <w:rFonts w:ascii="Times New Roman" w:hAnsi="Times New Roman" w:cs="Times New Roman"/>
          <w:b/>
          <w:sz w:val="24"/>
          <w:szCs w:val="24"/>
        </w:rPr>
        <w:t>MATERIAL AND METHODS</w:t>
      </w:r>
    </w:p>
    <w:p w14:paraId="45DA4BA9" w14:textId="77777777" w:rsidR="0037409C" w:rsidRDefault="007A33BC" w:rsidP="004326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w:t>
      </w:r>
      <w:r w:rsidRPr="007A33BC">
        <w:rPr>
          <w:rFonts w:ascii="Times New Roman" w:hAnsi="Times New Roman" w:cs="Times New Roman"/>
          <w:sz w:val="24"/>
          <w:szCs w:val="24"/>
        </w:rPr>
        <w:t xml:space="preserve"> examines the export </w:t>
      </w:r>
      <w:r w:rsidR="00DC582C">
        <w:rPr>
          <w:rFonts w:ascii="Times New Roman" w:hAnsi="Times New Roman" w:cs="Times New Roman"/>
          <w:sz w:val="24"/>
          <w:szCs w:val="24"/>
        </w:rPr>
        <w:t xml:space="preserve">outcome </w:t>
      </w:r>
      <w:r w:rsidRPr="007A33BC">
        <w:rPr>
          <w:rFonts w:ascii="Times New Roman" w:hAnsi="Times New Roman" w:cs="Times New Roman"/>
          <w:sz w:val="24"/>
          <w:szCs w:val="24"/>
        </w:rPr>
        <w:t>of agricultural commodities, their contribution to total agricultural exports, and the share of leading agricultural export countries, along w</w:t>
      </w:r>
      <w:r>
        <w:rPr>
          <w:rFonts w:ascii="Times New Roman" w:hAnsi="Times New Roman" w:cs="Times New Roman"/>
          <w:sz w:val="24"/>
          <w:szCs w:val="24"/>
        </w:rPr>
        <w:t>ith compositional changes in pri</w:t>
      </w:r>
      <w:r w:rsidR="00EF62AA">
        <w:rPr>
          <w:rFonts w:ascii="Times New Roman" w:hAnsi="Times New Roman" w:cs="Times New Roman"/>
          <w:sz w:val="24"/>
          <w:szCs w:val="24"/>
        </w:rPr>
        <w:t>n</w:t>
      </w:r>
      <w:r>
        <w:rPr>
          <w:rFonts w:ascii="Times New Roman" w:hAnsi="Times New Roman" w:cs="Times New Roman"/>
          <w:sz w:val="24"/>
          <w:szCs w:val="24"/>
        </w:rPr>
        <w:t>cip</w:t>
      </w:r>
      <w:r w:rsidR="00D31198">
        <w:rPr>
          <w:rFonts w:ascii="Times New Roman" w:hAnsi="Times New Roman" w:cs="Times New Roman"/>
          <w:sz w:val="24"/>
          <w:szCs w:val="24"/>
        </w:rPr>
        <w:t>al</w:t>
      </w:r>
      <w:r w:rsidRPr="007A33BC">
        <w:rPr>
          <w:rFonts w:ascii="Times New Roman" w:hAnsi="Times New Roman" w:cs="Times New Roman"/>
          <w:sz w:val="24"/>
          <w:szCs w:val="24"/>
        </w:rPr>
        <w:t xml:space="preserve"> commodities. Dat</w:t>
      </w:r>
      <w:r>
        <w:rPr>
          <w:rFonts w:ascii="Times New Roman" w:hAnsi="Times New Roman" w:cs="Times New Roman"/>
          <w:sz w:val="24"/>
          <w:szCs w:val="24"/>
        </w:rPr>
        <w:t>a for this analysis were collected from various sources</w:t>
      </w:r>
      <w:r w:rsidRPr="007A33BC">
        <w:rPr>
          <w:rFonts w:ascii="Times New Roman" w:hAnsi="Times New Roman" w:cs="Times New Roman"/>
          <w:sz w:val="24"/>
          <w:szCs w:val="24"/>
        </w:rPr>
        <w:t xml:space="preserve">, including the Ministry of Commerce's export-import data bank </w:t>
      </w:r>
      <w:r w:rsidR="0037409C">
        <w:rPr>
          <w:rFonts w:ascii="Times New Roman" w:hAnsi="Times New Roman" w:cs="Times New Roman"/>
          <w:sz w:val="24"/>
          <w:szCs w:val="24"/>
        </w:rPr>
        <w:t xml:space="preserve">and </w:t>
      </w:r>
      <w:r w:rsidRPr="007A33BC">
        <w:rPr>
          <w:rFonts w:ascii="Times New Roman" w:hAnsi="Times New Roman" w:cs="Times New Roman"/>
          <w:sz w:val="24"/>
          <w:szCs w:val="24"/>
        </w:rPr>
        <w:t>the World Trade Organization</w:t>
      </w:r>
      <w:r w:rsidR="00EF62AA">
        <w:rPr>
          <w:rFonts w:ascii="Times New Roman" w:hAnsi="Times New Roman" w:cs="Times New Roman"/>
          <w:sz w:val="24"/>
          <w:szCs w:val="24"/>
        </w:rPr>
        <w:t>.</w:t>
      </w:r>
      <w:r w:rsidR="00EF62AA" w:rsidRPr="00EF62AA">
        <w:rPr>
          <w:rFonts w:ascii="Times New Roman" w:hAnsi="Times New Roman" w:cs="Times New Roman"/>
          <w:sz w:val="24"/>
          <w:szCs w:val="24"/>
        </w:rPr>
        <w:t xml:space="preserve"> </w:t>
      </w:r>
      <w:r w:rsidR="00EF62AA" w:rsidRPr="007A33BC">
        <w:rPr>
          <w:rFonts w:ascii="Times New Roman" w:hAnsi="Times New Roman" w:cs="Times New Roman"/>
          <w:sz w:val="24"/>
          <w:szCs w:val="24"/>
        </w:rPr>
        <w:t xml:space="preserve">Initially, the study calculated the relative </w:t>
      </w:r>
      <w:r w:rsidR="00EF62AA">
        <w:rPr>
          <w:rFonts w:ascii="Times New Roman" w:hAnsi="Times New Roman" w:cs="Times New Roman"/>
          <w:sz w:val="24"/>
          <w:szCs w:val="24"/>
        </w:rPr>
        <w:t xml:space="preserve">agricultural export </w:t>
      </w:r>
      <w:r w:rsidR="00EF62AA" w:rsidRPr="007A33BC">
        <w:rPr>
          <w:rFonts w:ascii="Times New Roman" w:hAnsi="Times New Roman" w:cs="Times New Roman"/>
          <w:sz w:val="24"/>
          <w:szCs w:val="24"/>
        </w:rPr>
        <w:t>shares</w:t>
      </w:r>
      <w:r w:rsidR="00EF62AA">
        <w:rPr>
          <w:rFonts w:ascii="Times New Roman" w:hAnsi="Times New Roman" w:cs="Times New Roman"/>
          <w:sz w:val="24"/>
          <w:szCs w:val="24"/>
        </w:rPr>
        <w:t xml:space="preserve"> to national export</w:t>
      </w:r>
      <w:r w:rsidR="00D31198">
        <w:rPr>
          <w:rFonts w:ascii="Times New Roman" w:hAnsi="Times New Roman" w:cs="Times New Roman"/>
          <w:sz w:val="24"/>
          <w:szCs w:val="24"/>
        </w:rPr>
        <w:t>s</w:t>
      </w:r>
      <w:r w:rsidR="00EF62AA" w:rsidRPr="007A33BC">
        <w:rPr>
          <w:rFonts w:ascii="Times New Roman" w:hAnsi="Times New Roman" w:cs="Times New Roman"/>
          <w:sz w:val="24"/>
          <w:szCs w:val="24"/>
        </w:rPr>
        <w:t xml:space="preserve"> </w:t>
      </w:r>
      <w:r w:rsidR="00EF62AA">
        <w:rPr>
          <w:rFonts w:ascii="Times New Roman" w:hAnsi="Times New Roman" w:cs="Times New Roman"/>
          <w:sz w:val="24"/>
          <w:szCs w:val="24"/>
        </w:rPr>
        <w:t>by</w:t>
      </w:r>
      <w:r w:rsidR="001437A9">
        <w:rPr>
          <w:rFonts w:ascii="Times New Roman" w:hAnsi="Times New Roman" w:cs="Times New Roman"/>
          <w:sz w:val="24"/>
          <w:szCs w:val="24"/>
        </w:rPr>
        <w:t xml:space="preserve"> DGCI &amp;S.</w:t>
      </w:r>
      <w:r w:rsidRPr="007A33BC">
        <w:rPr>
          <w:rFonts w:ascii="Times New Roman" w:hAnsi="Times New Roman" w:cs="Times New Roman"/>
          <w:sz w:val="24"/>
          <w:szCs w:val="24"/>
        </w:rPr>
        <w:t xml:space="preserve"> </w:t>
      </w:r>
      <w:r w:rsidR="0037409C">
        <w:rPr>
          <w:rFonts w:ascii="Times New Roman" w:hAnsi="Times New Roman" w:cs="Times New Roman"/>
          <w:sz w:val="24"/>
          <w:szCs w:val="24"/>
        </w:rPr>
        <w:t>To assess the agriculture export share in relation to leading export countries with the help of world trade data and to examine the</w:t>
      </w:r>
      <w:r w:rsidRPr="007A33BC">
        <w:rPr>
          <w:rFonts w:ascii="Times New Roman" w:hAnsi="Times New Roman" w:cs="Times New Roman"/>
          <w:sz w:val="24"/>
          <w:szCs w:val="24"/>
        </w:rPr>
        <w:t xml:space="preserve"> compositional changes</w:t>
      </w:r>
      <w:r w:rsidR="0037409C">
        <w:rPr>
          <w:rFonts w:ascii="Times New Roman" w:hAnsi="Times New Roman" w:cs="Times New Roman"/>
          <w:sz w:val="24"/>
          <w:szCs w:val="24"/>
        </w:rPr>
        <w:t xml:space="preserve"> of agricultural principal commodities (the focus</w:t>
      </w:r>
      <w:r w:rsidRPr="007A33BC">
        <w:rPr>
          <w:rFonts w:ascii="Times New Roman" w:hAnsi="Times New Roman" w:cs="Times New Roman"/>
          <w:sz w:val="24"/>
          <w:szCs w:val="24"/>
        </w:rPr>
        <w:t xml:space="preserve"> on crop-origin </w:t>
      </w:r>
      <w:r w:rsidR="0037409C">
        <w:rPr>
          <w:rFonts w:ascii="Times New Roman" w:hAnsi="Times New Roman" w:cs="Times New Roman"/>
          <w:sz w:val="24"/>
          <w:szCs w:val="24"/>
        </w:rPr>
        <w:t>item</w:t>
      </w:r>
      <w:r w:rsidRPr="007A33BC">
        <w:rPr>
          <w:rFonts w:ascii="Times New Roman" w:hAnsi="Times New Roman" w:cs="Times New Roman"/>
          <w:sz w:val="24"/>
          <w:szCs w:val="24"/>
        </w:rPr>
        <w:t>s, with major crop groups such as cereals, spices, fruits and nuts, rice, meat, vegetables, and wheat and meslin</w:t>
      </w:r>
      <w:r w:rsidR="0037409C">
        <w:rPr>
          <w:rFonts w:ascii="Times New Roman" w:hAnsi="Times New Roman" w:cs="Times New Roman"/>
          <w:sz w:val="24"/>
          <w:szCs w:val="24"/>
        </w:rPr>
        <w:t>) by</w:t>
      </w:r>
      <w:r w:rsidR="0037409C" w:rsidRPr="0037409C">
        <w:rPr>
          <w:rFonts w:ascii="Times New Roman" w:hAnsi="Times New Roman" w:cs="Times New Roman"/>
          <w:sz w:val="24"/>
          <w:szCs w:val="24"/>
        </w:rPr>
        <w:t xml:space="preserve"> </w:t>
      </w:r>
      <w:r w:rsidR="0037409C" w:rsidRPr="007A33BC">
        <w:rPr>
          <w:rFonts w:ascii="Times New Roman" w:hAnsi="Times New Roman" w:cs="Times New Roman"/>
          <w:sz w:val="24"/>
          <w:szCs w:val="24"/>
        </w:rPr>
        <w:t>Ministry of Commerce and Indu</w:t>
      </w:r>
      <w:r w:rsidR="0037409C">
        <w:rPr>
          <w:rFonts w:ascii="Times New Roman" w:hAnsi="Times New Roman" w:cs="Times New Roman"/>
          <w:sz w:val="24"/>
          <w:szCs w:val="24"/>
        </w:rPr>
        <w:t>stry (Department of Commerce).</w:t>
      </w:r>
      <w:r w:rsidRPr="007A33BC">
        <w:rPr>
          <w:rFonts w:ascii="Times New Roman" w:hAnsi="Times New Roman" w:cs="Times New Roman"/>
          <w:sz w:val="24"/>
          <w:szCs w:val="24"/>
        </w:rPr>
        <w:t xml:space="preserve"> Compositional changes in export data were analyzed us</w:t>
      </w:r>
      <w:r w:rsidR="0037409C">
        <w:rPr>
          <w:rFonts w:ascii="Times New Roman" w:hAnsi="Times New Roman" w:cs="Times New Roman"/>
          <w:sz w:val="24"/>
          <w:szCs w:val="24"/>
        </w:rPr>
        <w:t xml:space="preserve">ing </w:t>
      </w:r>
      <w:r w:rsidRPr="007A33BC">
        <w:rPr>
          <w:rFonts w:ascii="Times New Roman" w:hAnsi="Times New Roman" w:cs="Times New Roman"/>
          <w:sz w:val="24"/>
          <w:szCs w:val="24"/>
        </w:rPr>
        <w:t xml:space="preserve">growth rates. </w:t>
      </w:r>
      <w:r w:rsidR="00BD78F9" w:rsidRPr="00BD78F9">
        <w:rPr>
          <w:rFonts w:ascii="Times New Roman" w:hAnsi="Times New Roman" w:cs="Times New Roman"/>
          <w:sz w:val="24"/>
          <w:szCs w:val="24"/>
        </w:rPr>
        <w:t>These growth rates were calculated using a semi-log growth model and ordinary least squares (OLS) regression.</w:t>
      </w:r>
    </w:p>
    <w:p w14:paraId="62955FCB" w14:textId="77777777" w:rsidR="0037409C" w:rsidRPr="008305CB" w:rsidRDefault="0037409C" w:rsidP="00432698">
      <w:pPr>
        <w:autoSpaceDE w:val="0"/>
        <w:autoSpaceDN w:val="0"/>
        <w:adjustRightInd w:val="0"/>
        <w:spacing w:after="0" w:line="360" w:lineRule="auto"/>
        <w:jc w:val="both"/>
        <w:rPr>
          <w:rFonts w:ascii="Times New Roman" w:hAnsi="Times New Roman" w:cs="Times New Roman"/>
          <w:color w:val="FF0000"/>
          <w:sz w:val="24"/>
          <w:szCs w:val="24"/>
        </w:rPr>
      </w:pPr>
    </w:p>
    <w:p w14:paraId="1788E0F1" w14:textId="77777777" w:rsidR="00D0218E" w:rsidRPr="0022339D" w:rsidRDefault="0037409C" w:rsidP="00432698">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39D">
        <w:rPr>
          <w:rFonts w:ascii="Times New Roman" w:hAnsi="Times New Roman" w:cs="Times New Roman"/>
          <w:color w:val="000000" w:themeColor="text1"/>
          <w:sz w:val="24"/>
          <w:szCs w:val="24"/>
        </w:rPr>
        <w:t xml:space="preserve">                    </w:t>
      </w:r>
      <w:r w:rsidR="00D0218E" w:rsidRPr="0022339D">
        <w:rPr>
          <w:rFonts w:ascii="Times New Roman" w:hAnsi="Times New Roman" w:cs="Times New Roman"/>
          <w:color w:val="000000" w:themeColor="text1"/>
          <w:sz w:val="24"/>
          <w:szCs w:val="24"/>
        </w:rPr>
        <w:t xml:space="preserve">Ln </w:t>
      </w:r>
      <w:proofErr w:type="spellStart"/>
      <w:r w:rsidR="00D0218E" w:rsidRPr="0022339D">
        <w:rPr>
          <w:rFonts w:ascii="Times New Roman" w:hAnsi="Times New Roman" w:cs="Times New Roman"/>
          <w:color w:val="000000" w:themeColor="text1"/>
          <w:sz w:val="24"/>
          <w:szCs w:val="24"/>
        </w:rPr>
        <w:t>Yt</w:t>
      </w:r>
      <w:proofErr w:type="spellEnd"/>
      <w:r w:rsidR="00D0218E" w:rsidRPr="0022339D">
        <w:rPr>
          <w:rFonts w:ascii="Times New Roman" w:hAnsi="Times New Roman" w:cs="Times New Roman"/>
          <w:color w:val="000000" w:themeColor="text1"/>
          <w:sz w:val="24"/>
          <w:szCs w:val="24"/>
        </w:rPr>
        <w:t xml:space="preserve"> = a + </w:t>
      </w:r>
      <w:proofErr w:type="spellStart"/>
      <w:r w:rsidR="00D0218E" w:rsidRPr="0022339D">
        <w:rPr>
          <w:rFonts w:ascii="Times New Roman" w:hAnsi="Times New Roman" w:cs="Times New Roman"/>
          <w:color w:val="000000" w:themeColor="text1"/>
          <w:sz w:val="24"/>
          <w:szCs w:val="24"/>
        </w:rPr>
        <w:t>bt</w:t>
      </w:r>
      <w:proofErr w:type="spellEnd"/>
      <w:r w:rsidR="00D0218E" w:rsidRPr="0022339D">
        <w:rPr>
          <w:rFonts w:ascii="Times New Roman" w:hAnsi="Times New Roman" w:cs="Times New Roman"/>
          <w:color w:val="000000" w:themeColor="text1"/>
          <w:sz w:val="24"/>
          <w:szCs w:val="24"/>
        </w:rPr>
        <w:t>…</w:t>
      </w:r>
      <w:proofErr w:type="gramStart"/>
      <w:r w:rsidR="00D0218E" w:rsidRPr="0022339D">
        <w:rPr>
          <w:rFonts w:ascii="Times New Roman" w:hAnsi="Times New Roman" w:cs="Times New Roman"/>
          <w:color w:val="000000" w:themeColor="text1"/>
          <w:sz w:val="24"/>
          <w:szCs w:val="24"/>
        </w:rPr>
        <w:t>…..</w:t>
      </w:r>
      <w:proofErr w:type="gramEnd"/>
      <w:r w:rsidRPr="0022339D">
        <w:rPr>
          <w:rFonts w:ascii="Times New Roman" w:hAnsi="Times New Roman" w:cs="Times New Roman"/>
          <w:color w:val="000000" w:themeColor="text1"/>
          <w:sz w:val="24"/>
          <w:szCs w:val="24"/>
        </w:rPr>
        <w:t>(</w:t>
      </w:r>
      <w:r w:rsidR="00D0218E" w:rsidRPr="0022339D">
        <w:rPr>
          <w:rFonts w:ascii="Times New Roman" w:hAnsi="Times New Roman" w:cs="Times New Roman"/>
          <w:color w:val="000000" w:themeColor="text1"/>
          <w:sz w:val="24"/>
          <w:szCs w:val="24"/>
        </w:rPr>
        <w:t>1</w:t>
      </w:r>
      <w:r w:rsidRPr="0022339D">
        <w:rPr>
          <w:rFonts w:ascii="Times New Roman" w:hAnsi="Times New Roman" w:cs="Times New Roman"/>
          <w:color w:val="000000" w:themeColor="text1"/>
          <w:sz w:val="24"/>
          <w:szCs w:val="24"/>
        </w:rPr>
        <w:t>)</w:t>
      </w:r>
    </w:p>
    <w:p w14:paraId="792A2A21" w14:textId="77777777" w:rsidR="00BD78F9" w:rsidRPr="0022339D" w:rsidRDefault="00BD78F9" w:rsidP="00432698">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39D">
        <w:rPr>
          <w:rFonts w:ascii="Times New Roman" w:hAnsi="Times New Roman" w:cs="Times New Roman"/>
          <w:color w:val="000000" w:themeColor="text1"/>
          <w:sz w:val="24"/>
          <w:szCs w:val="24"/>
        </w:rPr>
        <w:t xml:space="preserve">The variable under study is Y, and the time in years is t. </w:t>
      </w:r>
    </w:p>
    <w:p w14:paraId="619F371C" w14:textId="77777777" w:rsidR="0037409C" w:rsidRPr="0022339D" w:rsidRDefault="00BD78F9" w:rsidP="00432698">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39D">
        <w:rPr>
          <w:rFonts w:ascii="Times New Roman" w:hAnsi="Times New Roman" w:cs="Times New Roman"/>
          <w:color w:val="000000" w:themeColor="text1"/>
          <w:sz w:val="24"/>
          <w:szCs w:val="24"/>
        </w:rPr>
        <w:t>The formula was used to calculate the growth rate.</w:t>
      </w:r>
    </w:p>
    <w:p w14:paraId="34122894" w14:textId="77777777" w:rsidR="00D0218E" w:rsidRPr="0022339D" w:rsidRDefault="0037409C" w:rsidP="00432698">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39D">
        <w:rPr>
          <w:rFonts w:ascii="Times New Roman" w:hAnsi="Times New Roman" w:cs="Times New Roman"/>
          <w:color w:val="000000" w:themeColor="text1"/>
          <w:sz w:val="24"/>
          <w:szCs w:val="24"/>
        </w:rPr>
        <w:t xml:space="preserve">                     </w:t>
      </w:r>
      <w:r w:rsidR="00A14F06" w:rsidRPr="0022339D">
        <w:rPr>
          <w:rFonts w:ascii="Times New Roman" w:hAnsi="Times New Roman" w:cs="Times New Roman"/>
          <w:color w:val="000000" w:themeColor="text1"/>
          <w:sz w:val="24"/>
          <w:szCs w:val="24"/>
        </w:rPr>
        <w:t>r = (exp(b)-</w:t>
      </w:r>
      <w:proofErr w:type="gramStart"/>
      <w:r w:rsidR="00A14F06" w:rsidRPr="0022339D">
        <w:rPr>
          <w:rFonts w:ascii="Times New Roman" w:hAnsi="Times New Roman" w:cs="Times New Roman"/>
          <w:color w:val="000000" w:themeColor="text1"/>
          <w:sz w:val="24"/>
          <w:szCs w:val="24"/>
        </w:rPr>
        <w:t>1)*</w:t>
      </w:r>
      <w:proofErr w:type="gramEnd"/>
      <w:r w:rsidR="00A14F06" w:rsidRPr="0022339D">
        <w:rPr>
          <w:rFonts w:ascii="Times New Roman" w:hAnsi="Times New Roman" w:cs="Times New Roman"/>
          <w:color w:val="000000" w:themeColor="text1"/>
          <w:sz w:val="24"/>
          <w:szCs w:val="24"/>
        </w:rPr>
        <w:t xml:space="preserve">100 </w:t>
      </w:r>
      <w:r w:rsidR="00D0218E" w:rsidRPr="0022339D">
        <w:rPr>
          <w:rFonts w:ascii="Times New Roman" w:hAnsi="Times New Roman" w:cs="Times New Roman"/>
          <w:color w:val="000000" w:themeColor="text1"/>
          <w:sz w:val="24"/>
          <w:szCs w:val="24"/>
        </w:rPr>
        <w:t>……</w:t>
      </w:r>
      <w:proofErr w:type="gramStart"/>
      <w:r w:rsidR="00D0218E" w:rsidRPr="0022339D">
        <w:rPr>
          <w:rFonts w:ascii="Times New Roman" w:hAnsi="Times New Roman" w:cs="Times New Roman"/>
          <w:color w:val="000000" w:themeColor="text1"/>
          <w:sz w:val="24"/>
          <w:szCs w:val="24"/>
        </w:rPr>
        <w:t>….</w:t>
      </w:r>
      <w:r w:rsidRPr="0022339D">
        <w:rPr>
          <w:rFonts w:ascii="Times New Roman" w:hAnsi="Times New Roman" w:cs="Times New Roman"/>
          <w:color w:val="000000" w:themeColor="text1"/>
          <w:sz w:val="24"/>
          <w:szCs w:val="24"/>
        </w:rPr>
        <w:t>(</w:t>
      </w:r>
      <w:proofErr w:type="gramEnd"/>
      <w:r w:rsidR="00D0218E" w:rsidRPr="0022339D">
        <w:rPr>
          <w:rFonts w:ascii="Times New Roman" w:hAnsi="Times New Roman" w:cs="Times New Roman"/>
          <w:color w:val="000000" w:themeColor="text1"/>
          <w:sz w:val="24"/>
          <w:szCs w:val="24"/>
        </w:rPr>
        <w:t>2</w:t>
      </w:r>
      <w:r w:rsidRPr="0022339D">
        <w:rPr>
          <w:rFonts w:ascii="Times New Roman" w:hAnsi="Times New Roman" w:cs="Times New Roman"/>
          <w:color w:val="000000" w:themeColor="text1"/>
          <w:sz w:val="24"/>
          <w:szCs w:val="24"/>
        </w:rPr>
        <w:t>)</w:t>
      </w:r>
    </w:p>
    <w:p w14:paraId="37AB95D3" w14:textId="77777777" w:rsidR="00DB10FF" w:rsidRPr="0022339D" w:rsidRDefault="00B74EB8" w:rsidP="00432698">
      <w:pPr>
        <w:autoSpaceDE w:val="0"/>
        <w:autoSpaceDN w:val="0"/>
        <w:adjustRightInd w:val="0"/>
        <w:spacing w:after="0" w:line="360" w:lineRule="auto"/>
        <w:jc w:val="both"/>
        <w:rPr>
          <w:rFonts w:ascii="Times New Roman" w:hAnsi="Times New Roman" w:cs="Times New Roman"/>
          <w:color w:val="000000" w:themeColor="text1"/>
          <w:sz w:val="24"/>
          <w:szCs w:val="24"/>
        </w:rPr>
      </w:pPr>
      <w:r w:rsidRPr="0022339D">
        <w:rPr>
          <w:rFonts w:ascii="Times New Roman" w:hAnsi="Times New Roman" w:cs="Times New Roman"/>
          <w:color w:val="000000" w:themeColor="text1"/>
          <w:sz w:val="24"/>
          <w:szCs w:val="24"/>
        </w:rPr>
        <w:t>We chose the semi-log growth mode because it provided the greatest match and was the easiest to comprehend.</w:t>
      </w:r>
    </w:p>
    <w:p w14:paraId="4C9F943F" w14:textId="77777777" w:rsidR="00B74EB8" w:rsidRPr="008305CB" w:rsidRDefault="00B74EB8" w:rsidP="00432698">
      <w:pPr>
        <w:autoSpaceDE w:val="0"/>
        <w:autoSpaceDN w:val="0"/>
        <w:adjustRightInd w:val="0"/>
        <w:spacing w:after="0" w:line="360" w:lineRule="auto"/>
        <w:jc w:val="both"/>
        <w:rPr>
          <w:rFonts w:ascii="Times New Roman" w:hAnsi="Times New Roman" w:cs="Times New Roman"/>
          <w:color w:val="FF0000"/>
          <w:sz w:val="24"/>
          <w:szCs w:val="24"/>
        </w:rPr>
      </w:pPr>
    </w:p>
    <w:p w14:paraId="21071180" w14:textId="77777777" w:rsidR="00A14F06" w:rsidRDefault="00A14F06" w:rsidP="009F79C6">
      <w:pPr>
        <w:spacing w:line="360" w:lineRule="auto"/>
        <w:jc w:val="both"/>
        <w:rPr>
          <w:rFonts w:ascii="TimesNewRoman" w:hAnsi="TimesNewRoman" w:cs="TimesNewRoman"/>
          <w:b/>
          <w:sz w:val="24"/>
          <w:szCs w:val="24"/>
        </w:rPr>
      </w:pPr>
      <w:r w:rsidRPr="008305CB">
        <w:rPr>
          <w:rFonts w:ascii="TimesNewRoman" w:hAnsi="TimesNewRoman" w:cs="TimesNewRoman"/>
          <w:b/>
          <w:sz w:val="24"/>
          <w:szCs w:val="24"/>
        </w:rPr>
        <w:t>RESULTS AND DISCUSSION</w:t>
      </w:r>
    </w:p>
    <w:p w14:paraId="27372275" w14:textId="77777777" w:rsidR="00327093" w:rsidRPr="007850E1" w:rsidRDefault="00327093" w:rsidP="003270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w:t>
      </w:r>
      <w:r w:rsidRPr="00FC3ADD">
        <w:rPr>
          <w:rFonts w:ascii="Times New Roman" w:hAnsi="Times New Roman" w:cs="Times New Roman"/>
          <w:sz w:val="24"/>
          <w:szCs w:val="24"/>
        </w:rPr>
        <w:t xml:space="preserve"> demonstrates that exports of all product groups increased in value terms from 2003-04 to 2012-2013 under consideration. However, the composition of exports changed, with an increase in the percentage of meat, cereals, spices, rice, and maize and a decrease in the </w:t>
      </w:r>
      <w:r>
        <w:rPr>
          <w:rFonts w:ascii="Times New Roman" w:hAnsi="Times New Roman" w:cs="Times New Roman"/>
          <w:sz w:val="24"/>
          <w:szCs w:val="24"/>
        </w:rPr>
        <w:t xml:space="preserve">percentage </w:t>
      </w:r>
      <w:r w:rsidRPr="00FC3ADD">
        <w:rPr>
          <w:rFonts w:ascii="Times New Roman" w:hAnsi="Times New Roman" w:cs="Times New Roman"/>
          <w:sz w:val="24"/>
          <w:szCs w:val="24"/>
        </w:rPr>
        <w:t>of wheat and meslin, fish, fruits,</w:t>
      </w:r>
      <w:r w:rsidRPr="008305CB">
        <w:rPr>
          <w:rFonts w:ascii="Times New Roman" w:hAnsi="Times New Roman" w:cs="Times New Roman"/>
          <w:sz w:val="24"/>
          <w:szCs w:val="24"/>
        </w:rPr>
        <w:t xml:space="preserve"> </w:t>
      </w:r>
      <w:r w:rsidRPr="00FC3ADD">
        <w:rPr>
          <w:rFonts w:ascii="Times New Roman" w:hAnsi="Times New Roman" w:cs="Times New Roman"/>
          <w:sz w:val="24"/>
          <w:szCs w:val="24"/>
        </w:rPr>
        <w:t>vegetables,</w:t>
      </w:r>
      <w:r>
        <w:rPr>
          <w:rFonts w:ascii="Times New Roman" w:hAnsi="Times New Roman" w:cs="Times New Roman"/>
          <w:sz w:val="24"/>
          <w:szCs w:val="24"/>
        </w:rPr>
        <w:t xml:space="preserve"> tea, &amp;</w:t>
      </w:r>
      <w:r w:rsidRPr="00FC3ADD">
        <w:rPr>
          <w:rFonts w:ascii="Times New Roman" w:hAnsi="Times New Roman" w:cs="Times New Roman"/>
          <w:sz w:val="24"/>
          <w:szCs w:val="24"/>
        </w:rPr>
        <w:t xml:space="preserve"> coffee. Cereals (3.35%), rice (2.47%), fish (1.53%), spices (0.93%), and meat (1.4%) were the top exports. Despite the fall in commodity share, all commodity categories have shown considerable positive growth rates with the </w:t>
      </w:r>
      <w:r w:rsidRPr="00FC3ADD">
        <w:rPr>
          <w:rFonts w:ascii="Times New Roman" w:hAnsi="Times New Roman" w:cs="Times New Roman"/>
          <w:sz w:val="24"/>
          <w:szCs w:val="24"/>
        </w:rPr>
        <w:lastRenderedPageBreak/>
        <w:t>e</w:t>
      </w:r>
      <w:r>
        <w:rPr>
          <w:rFonts w:ascii="Times New Roman" w:hAnsi="Times New Roman" w:cs="Times New Roman"/>
          <w:sz w:val="24"/>
          <w:szCs w:val="24"/>
        </w:rPr>
        <w:t xml:space="preserve">xception of wheat and meslin. </w:t>
      </w:r>
      <w:r w:rsidRPr="00FC3ADD">
        <w:rPr>
          <w:rFonts w:ascii="Times New Roman" w:hAnsi="Times New Roman" w:cs="Times New Roman"/>
          <w:sz w:val="24"/>
          <w:szCs w:val="24"/>
        </w:rPr>
        <w:t>Significant sectors with the highest growth rates include maize (39.83%), beef (28.26%), rice (19.71%), and cereals (19.82%). The export of marine goods (11.57%) has recently slowed, owing mostly to lower demand in the European and American markets. Furthermore, marine fish output has been stagnant in recent years. This increase in exports was facilitated by increased productivi</w:t>
      </w:r>
      <w:r>
        <w:rPr>
          <w:rFonts w:ascii="Times New Roman" w:hAnsi="Times New Roman" w:cs="Times New Roman"/>
          <w:sz w:val="24"/>
          <w:szCs w:val="24"/>
        </w:rPr>
        <w:t xml:space="preserve">ty as a result of R&amp;D activity </w:t>
      </w:r>
      <w:r w:rsidRPr="007850E1">
        <w:rPr>
          <w:rFonts w:ascii="Times New Roman" w:hAnsi="Times New Roman" w:cs="Times New Roman"/>
          <w:sz w:val="24"/>
          <w:szCs w:val="24"/>
        </w:rPr>
        <w:t xml:space="preserve">(Rajendran </w:t>
      </w:r>
      <w:r w:rsidRPr="007850E1">
        <w:rPr>
          <w:rFonts w:ascii="Times New Roman" w:hAnsi="Times New Roman" w:cs="Times New Roman"/>
          <w:i/>
          <w:iCs/>
          <w:sz w:val="24"/>
          <w:szCs w:val="24"/>
        </w:rPr>
        <w:t>et al</w:t>
      </w:r>
      <w:r w:rsidRPr="007850E1">
        <w:rPr>
          <w:rFonts w:ascii="Times New Roman" w:hAnsi="Times New Roman" w:cs="Times New Roman"/>
          <w:sz w:val="24"/>
          <w:szCs w:val="24"/>
        </w:rPr>
        <w:t xml:space="preserve">. 2005). </w:t>
      </w:r>
    </w:p>
    <w:p w14:paraId="0931BCDF" w14:textId="77777777" w:rsidR="00327093" w:rsidRDefault="00327093" w:rsidP="00327093">
      <w:pPr>
        <w:pStyle w:val="Normal1"/>
        <w:spacing w:line="360" w:lineRule="auto"/>
        <w:jc w:val="both"/>
        <w:rPr>
          <w:rFonts w:ascii="Times New Roman" w:hAnsi="Times New Roman" w:cs="Times New Roman"/>
          <w:sz w:val="24"/>
          <w:szCs w:val="24"/>
        </w:rPr>
      </w:pPr>
      <w:r w:rsidRPr="00F8427B">
        <w:rPr>
          <w:rFonts w:ascii="Times New Roman" w:hAnsi="Times New Roman" w:cs="Times New Roman"/>
          <w:sz w:val="24"/>
          <w:szCs w:val="24"/>
        </w:rPr>
        <w:t xml:space="preserve">In contrast, the analysis of the period spanning from 2012-2013 to 2022-23 indicates an overall decline in the value of exports across all commodity groups. Despite this decline, a notable shift in the export composition is observed, primarily marked by </w:t>
      </w:r>
      <w:r>
        <w:rPr>
          <w:rFonts w:ascii="Times New Roman" w:hAnsi="Times New Roman" w:cs="Times New Roman"/>
          <w:sz w:val="24"/>
          <w:szCs w:val="24"/>
        </w:rPr>
        <w:t>rise in the proportion</w:t>
      </w:r>
      <w:r w:rsidRPr="00F8427B">
        <w:rPr>
          <w:rFonts w:ascii="Times New Roman" w:hAnsi="Times New Roman" w:cs="Times New Roman"/>
          <w:sz w:val="24"/>
          <w:szCs w:val="24"/>
        </w:rPr>
        <w:t xml:space="preserve"> of meat and </w:t>
      </w:r>
      <w:proofErr w:type="spellStart"/>
      <w:r w:rsidRPr="00F8427B">
        <w:rPr>
          <w:rFonts w:ascii="Times New Roman" w:hAnsi="Times New Roman" w:cs="Times New Roman"/>
          <w:sz w:val="24"/>
          <w:szCs w:val="24"/>
        </w:rPr>
        <w:t>offals</w:t>
      </w:r>
      <w:proofErr w:type="spellEnd"/>
      <w:r w:rsidRPr="00F8427B">
        <w:rPr>
          <w:rFonts w:ascii="Times New Roman" w:hAnsi="Times New Roman" w:cs="Times New Roman"/>
          <w:sz w:val="24"/>
          <w:szCs w:val="24"/>
        </w:rPr>
        <w:t>, which experienced a growth of 0.72%.</w:t>
      </w:r>
      <w:r>
        <w:rPr>
          <w:rFonts w:ascii="Times New Roman" w:hAnsi="Times New Roman" w:cs="Times New Roman"/>
          <w:sz w:val="24"/>
          <w:szCs w:val="24"/>
        </w:rPr>
        <w:t xml:space="preserve"> </w:t>
      </w:r>
      <w:r w:rsidRPr="00790B82">
        <w:rPr>
          <w:rFonts w:ascii="Times New Roman" w:hAnsi="Times New Roman" w:cs="Times New Roman"/>
          <w:sz w:val="24"/>
          <w:szCs w:val="24"/>
        </w:rPr>
        <w:t xml:space="preserve">With the exception of meat and </w:t>
      </w:r>
      <w:proofErr w:type="spellStart"/>
      <w:r w:rsidRPr="00790B82">
        <w:rPr>
          <w:rFonts w:ascii="Times New Roman" w:hAnsi="Times New Roman" w:cs="Times New Roman"/>
          <w:sz w:val="24"/>
          <w:szCs w:val="24"/>
        </w:rPr>
        <w:t>offals</w:t>
      </w:r>
      <w:proofErr w:type="spellEnd"/>
      <w:r w:rsidRPr="00790B82">
        <w:rPr>
          <w:rFonts w:ascii="Times New Roman" w:hAnsi="Times New Roman" w:cs="Times New Roman"/>
          <w:sz w:val="24"/>
          <w:szCs w:val="24"/>
        </w:rPr>
        <w:t>, all commodity groups have demonstrated noteworthy positive growth rates. The significant sectors, including maize (6.57%), rice (4.37%), cereals (4.48%), fish (3.74%), spices (5.8%), wheat and meslin (7.43%), coffee (2.21%), tea (0.38%), vegetables (2.69%), and fruits and nuts (8.5%), have exhibited positive trends.</w:t>
      </w:r>
      <w:r w:rsidR="00A17E1C">
        <w:rPr>
          <w:rFonts w:ascii="Times New Roman" w:hAnsi="Times New Roman" w:cs="Times New Roman"/>
          <w:sz w:val="24"/>
          <w:szCs w:val="24"/>
        </w:rPr>
        <w:t xml:space="preserve"> </w:t>
      </w:r>
      <w:r w:rsidR="00C54742" w:rsidRPr="00C54742">
        <w:rPr>
          <w:rFonts w:ascii="Times New Roman" w:hAnsi="Times New Roman" w:cs="Times New Roman"/>
          <w:sz w:val="24"/>
          <w:szCs w:val="24"/>
        </w:rPr>
        <w:t>The compound annual growth rate for agricultural exports was 17.0% in the first decade and 6.2% in the second decade.</w:t>
      </w:r>
      <w:r w:rsidR="00C54742">
        <w:rPr>
          <w:rFonts w:ascii="Times New Roman" w:hAnsi="Times New Roman" w:cs="Times New Roman"/>
          <w:sz w:val="24"/>
          <w:szCs w:val="24"/>
        </w:rPr>
        <w:t xml:space="preserve"> </w:t>
      </w:r>
      <w:r w:rsidR="00397F87" w:rsidRPr="00790B82">
        <w:rPr>
          <w:rFonts w:ascii="Times New Roman" w:hAnsi="Times New Roman" w:cs="Times New Roman"/>
          <w:sz w:val="24"/>
          <w:szCs w:val="24"/>
        </w:rPr>
        <w:t>However, these growth rates appear less impressive when compared to the preceding decades, particularly the period from 2003-13, during which the agriculture export growth rate was notably higher than t</w:t>
      </w:r>
      <w:r w:rsidR="00397F87">
        <w:rPr>
          <w:rFonts w:ascii="Times New Roman" w:hAnsi="Times New Roman" w:cs="Times New Roman"/>
          <w:sz w:val="24"/>
          <w:szCs w:val="24"/>
        </w:rPr>
        <w:t>hat observed from 2014-2023.</w:t>
      </w:r>
      <w:r w:rsidR="00C54742">
        <w:rPr>
          <w:rFonts w:ascii="Times New Roman" w:hAnsi="Times New Roman" w:cs="Times New Roman"/>
          <w:sz w:val="24"/>
          <w:szCs w:val="24"/>
        </w:rPr>
        <w:t xml:space="preserve"> </w:t>
      </w:r>
      <w:r w:rsidR="00C54742" w:rsidRPr="00C54742">
        <w:rPr>
          <w:rFonts w:ascii="Times New Roman" w:hAnsi="Times New Roman" w:cs="Times New Roman"/>
          <w:sz w:val="24"/>
          <w:szCs w:val="24"/>
        </w:rPr>
        <w:t>The agricultural output in India is slightly higher than the population growth rate, indicating the need for an increased acceleration in the growth rate of the agriculture sector.</w:t>
      </w:r>
      <w:r w:rsidR="00C54742">
        <w:rPr>
          <w:rFonts w:ascii="Times New Roman" w:hAnsi="Times New Roman" w:cs="Times New Roman"/>
          <w:sz w:val="24"/>
          <w:szCs w:val="24"/>
        </w:rPr>
        <w:t xml:space="preserve"> </w:t>
      </w:r>
      <w:r w:rsidRPr="00790B82">
        <w:rPr>
          <w:rFonts w:ascii="Times New Roman" w:hAnsi="Times New Roman" w:cs="Times New Roman"/>
          <w:sz w:val="24"/>
          <w:szCs w:val="24"/>
        </w:rPr>
        <w:t xml:space="preserve">A substantial explanation for this comparative underperformance lies in the imposition of restrictive export policies that prioritize domestic consumers at the expense of farmers, indicating a prevalent urban consumer bias. This approach imposes a considerable "implicit tax" on farmers, highlighting a need for a reevaluation and redesign of </w:t>
      </w:r>
      <w:proofErr w:type="spellStart"/>
      <w:r w:rsidRPr="00790B82">
        <w:rPr>
          <w:rFonts w:ascii="Times New Roman" w:hAnsi="Times New Roman" w:cs="Times New Roman"/>
          <w:sz w:val="24"/>
          <w:szCs w:val="24"/>
        </w:rPr>
        <w:t>agri</w:t>
      </w:r>
      <w:proofErr w:type="spellEnd"/>
      <w:r w:rsidRPr="00790B82">
        <w:rPr>
          <w:rFonts w:ascii="Times New Roman" w:hAnsi="Times New Roman" w:cs="Times New Roman"/>
          <w:sz w:val="24"/>
          <w:szCs w:val="24"/>
        </w:rPr>
        <w:t>-export policies. To thrive in premium export markets, it is imperative to adopt strategies that focus on long-term development and maintenance</w:t>
      </w:r>
      <w:r w:rsidRPr="00AF74A6">
        <w:rPr>
          <w:rFonts w:ascii="Times New Roman" w:hAnsi="Times New Roman" w:cs="Times New Roman"/>
          <w:color w:val="FF0000"/>
          <w:sz w:val="24"/>
          <w:szCs w:val="24"/>
        </w:rPr>
        <w:t xml:space="preserve"> </w:t>
      </w:r>
      <w:r w:rsidRPr="00790B82">
        <w:rPr>
          <w:rFonts w:ascii="Times New Roman" w:hAnsi="Times New Roman" w:cs="Times New Roman"/>
          <w:color w:val="000000" w:themeColor="text1"/>
          <w:sz w:val="24"/>
          <w:szCs w:val="24"/>
        </w:rPr>
        <w:t>(</w:t>
      </w:r>
      <w:r w:rsidRPr="003D632E">
        <w:rPr>
          <w:rFonts w:ascii="Times New Roman" w:hAnsi="Times New Roman" w:cs="Times New Roman"/>
          <w:sz w:val="24"/>
          <w:szCs w:val="24"/>
        </w:rPr>
        <w:t xml:space="preserve">Ashok Gulati </w:t>
      </w:r>
      <w:r>
        <w:rPr>
          <w:rFonts w:ascii="Times New Roman" w:hAnsi="Times New Roman" w:cs="Times New Roman"/>
          <w:sz w:val="24"/>
          <w:szCs w:val="24"/>
        </w:rPr>
        <w:t>October 30</w:t>
      </w:r>
      <w:r w:rsidRPr="003D632E">
        <w:rPr>
          <w:rFonts w:ascii="Times New Roman" w:hAnsi="Times New Roman" w:cs="Times New Roman"/>
          <w:sz w:val="24"/>
          <w:szCs w:val="24"/>
        </w:rPr>
        <w:t>)</w:t>
      </w:r>
      <w:r>
        <w:rPr>
          <w:rFonts w:ascii="Times New Roman" w:hAnsi="Times New Roman" w:cs="Times New Roman"/>
          <w:sz w:val="24"/>
          <w:szCs w:val="24"/>
        </w:rPr>
        <w:t>.</w:t>
      </w:r>
    </w:p>
    <w:p w14:paraId="54276CBC" w14:textId="77777777" w:rsidR="007B565F" w:rsidRDefault="007B565F" w:rsidP="00327093">
      <w:pPr>
        <w:pStyle w:val="Normal1"/>
        <w:spacing w:line="360" w:lineRule="auto"/>
        <w:jc w:val="both"/>
        <w:rPr>
          <w:rFonts w:ascii="Times New Roman" w:hAnsi="Times New Roman" w:cs="Times New Roman"/>
          <w:sz w:val="24"/>
          <w:szCs w:val="24"/>
        </w:rPr>
      </w:pPr>
    </w:p>
    <w:p w14:paraId="07834B35" w14:textId="77777777" w:rsidR="007B565F" w:rsidRDefault="007B565F" w:rsidP="00327093">
      <w:pPr>
        <w:pStyle w:val="Normal1"/>
        <w:spacing w:line="360" w:lineRule="auto"/>
        <w:jc w:val="both"/>
        <w:rPr>
          <w:rFonts w:ascii="Times New Roman" w:hAnsi="Times New Roman" w:cs="Times New Roman"/>
          <w:sz w:val="24"/>
          <w:szCs w:val="24"/>
        </w:rPr>
      </w:pPr>
    </w:p>
    <w:p w14:paraId="52E8DABD" w14:textId="77777777" w:rsidR="007B565F" w:rsidRDefault="007B565F" w:rsidP="00327093">
      <w:pPr>
        <w:pStyle w:val="Normal1"/>
        <w:spacing w:line="360" w:lineRule="auto"/>
        <w:jc w:val="both"/>
        <w:rPr>
          <w:rFonts w:ascii="Times New Roman" w:hAnsi="Times New Roman" w:cs="Times New Roman"/>
          <w:sz w:val="24"/>
          <w:szCs w:val="24"/>
        </w:rPr>
      </w:pPr>
    </w:p>
    <w:p w14:paraId="4A1C5E20" w14:textId="77777777" w:rsidR="007B565F" w:rsidRDefault="007B565F" w:rsidP="00327093">
      <w:pPr>
        <w:pStyle w:val="Normal1"/>
        <w:spacing w:line="360" w:lineRule="auto"/>
        <w:jc w:val="both"/>
        <w:rPr>
          <w:rFonts w:ascii="Times New Roman" w:hAnsi="Times New Roman" w:cs="Times New Roman"/>
          <w:sz w:val="24"/>
          <w:szCs w:val="24"/>
        </w:rPr>
      </w:pPr>
    </w:p>
    <w:p w14:paraId="3D53C6D2" w14:textId="77777777" w:rsidR="007B565F" w:rsidRDefault="007B565F" w:rsidP="00327093">
      <w:pPr>
        <w:pStyle w:val="Normal1"/>
        <w:spacing w:line="360" w:lineRule="auto"/>
        <w:jc w:val="both"/>
        <w:rPr>
          <w:rFonts w:ascii="Times New Roman" w:hAnsi="Times New Roman" w:cs="Times New Roman"/>
          <w:sz w:val="24"/>
          <w:szCs w:val="24"/>
        </w:rPr>
      </w:pPr>
    </w:p>
    <w:p w14:paraId="51FF2DEB" w14:textId="77777777" w:rsidR="00327093" w:rsidRPr="002E131A" w:rsidRDefault="00327093" w:rsidP="00327093">
      <w:pPr>
        <w:pStyle w:val="Normal1"/>
        <w:spacing w:line="360" w:lineRule="auto"/>
        <w:jc w:val="both"/>
        <w:rPr>
          <w:rFonts w:ascii="Times New Roman" w:hAnsi="Times New Roman" w:cs="Times New Roman"/>
          <w:sz w:val="24"/>
          <w:szCs w:val="24"/>
        </w:rPr>
      </w:pPr>
    </w:p>
    <w:p w14:paraId="45918316" w14:textId="77777777" w:rsidR="00327093" w:rsidRPr="009F79C6" w:rsidRDefault="00327093" w:rsidP="0032709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1</w:t>
      </w:r>
      <w:r w:rsidRPr="009F79C6">
        <w:rPr>
          <w:rFonts w:ascii="Times New Roman" w:hAnsi="Times New Roman" w:cs="Times New Roman"/>
          <w:b/>
          <w:sz w:val="24"/>
          <w:szCs w:val="24"/>
        </w:rPr>
        <w:t xml:space="preserve">: </w:t>
      </w:r>
      <w:r w:rsidRPr="00E57400">
        <w:rPr>
          <w:rFonts w:ascii="Times New Roman" w:hAnsi="Times New Roman" w:cs="Times New Roman"/>
          <w:b/>
          <w:sz w:val="24"/>
          <w:szCs w:val="24"/>
        </w:rPr>
        <w:t>Transformations in the composition of India's agricultu</w:t>
      </w:r>
      <w:r>
        <w:rPr>
          <w:rFonts w:ascii="Times New Roman" w:hAnsi="Times New Roman" w:cs="Times New Roman"/>
          <w:b/>
          <w:sz w:val="24"/>
          <w:szCs w:val="24"/>
        </w:rPr>
        <w:t>ral exports from 2003-04 to 2014-2023</w:t>
      </w:r>
      <w:r w:rsidRPr="00E57400">
        <w:rPr>
          <w:rFonts w:ascii="Times New Roman" w:hAnsi="Times New Roman" w:cs="Times New Roman"/>
          <w:b/>
          <w:sz w:val="24"/>
          <w:szCs w:val="24"/>
        </w:rPr>
        <w:t>.</w:t>
      </w:r>
    </w:p>
    <w:tbl>
      <w:tblPr>
        <w:tblStyle w:val="TableGrid"/>
        <w:tblW w:w="0" w:type="auto"/>
        <w:tblLayout w:type="fixed"/>
        <w:tblLook w:val="04A0" w:firstRow="1" w:lastRow="0" w:firstColumn="1" w:lastColumn="0" w:noHBand="0" w:noVBand="1"/>
      </w:tblPr>
      <w:tblGrid>
        <w:gridCol w:w="1018"/>
        <w:gridCol w:w="1075"/>
        <w:gridCol w:w="850"/>
        <w:gridCol w:w="1276"/>
        <w:gridCol w:w="1134"/>
        <w:gridCol w:w="1134"/>
        <w:gridCol w:w="992"/>
        <w:gridCol w:w="993"/>
        <w:gridCol w:w="1104"/>
      </w:tblGrid>
      <w:tr w:rsidR="00327093" w:rsidRPr="007A77F6" w14:paraId="3B753EFA" w14:textId="77777777" w:rsidTr="001D3292">
        <w:tc>
          <w:tcPr>
            <w:tcW w:w="1018" w:type="dxa"/>
            <w:vMerge w:val="restart"/>
          </w:tcPr>
          <w:p w14:paraId="7A5EC059"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Item</w:t>
            </w:r>
          </w:p>
        </w:tc>
        <w:tc>
          <w:tcPr>
            <w:tcW w:w="6461" w:type="dxa"/>
            <w:gridSpan w:val="6"/>
          </w:tcPr>
          <w:p w14:paraId="200622FA"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proofErr w:type="gramStart"/>
            <w:r w:rsidRPr="007A77F6">
              <w:rPr>
                <w:rFonts w:ascii="Times New Roman" w:hAnsi="Times New Roman" w:cs="Times New Roman"/>
                <w:b/>
                <w:sz w:val="24"/>
                <w:szCs w:val="24"/>
              </w:rPr>
              <w:t>Value(</w:t>
            </w:r>
            <w:proofErr w:type="spellStart"/>
            <w:proofErr w:type="gramEnd"/>
            <w:r w:rsidRPr="007A77F6">
              <w:rPr>
                <w:rFonts w:ascii="Times New Roman" w:hAnsi="Times New Roman" w:cs="Times New Roman"/>
                <w:b/>
                <w:sz w:val="24"/>
                <w:szCs w:val="24"/>
              </w:rPr>
              <w:t>US$million</w:t>
            </w:r>
            <w:proofErr w:type="spellEnd"/>
            <w:r w:rsidRPr="007A77F6">
              <w:rPr>
                <w:rFonts w:ascii="Times New Roman" w:hAnsi="Times New Roman" w:cs="Times New Roman"/>
                <w:b/>
                <w:sz w:val="24"/>
                <w:szCs w:val="24"/>
              </w:rPr>
              <w:t>)</w:t>
            </w:r>
          </w:p>
        </w:tc>
        <w:tc>
          <w:tcPr>
            <w:tcW w:w="993" w:type="dxa"/>
            <w:vMerge w:val="restart"/>
          </w:tcPr>
          <w:p w14:paraId="2678820D"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Growth rate</w:t>
            </w:r>
          </w:p>
          <w:p w14:paraId="7821ED28"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[2003-13]</w:t>
            </w:r>
          </w:p>
          <w:p w14:paraId="48941FD3"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w:t>
            </w:r>
          </w:p>
        </w:tc>
        <w:tc>
          <w:tcPr>
            <w:tcW w:w="1104" w:type="dxa"/>
            <w:vMerge w:val="restart"/>
          </w:tcPr>
          <w:p w14:paraId="7595CB13"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Growth rate</w:t>
            </w:r>
          </w:p>
          <w:p w14:paraId="0E9C878D" w14:textId="77777777" w:rsidR="00327093" w:rsidRPr="007A77F6" w:rsidRDefault="00C54742" w:rsidP="001D329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[2014</w:t>
            </w:r>
            <w:r w:rsidR="00327093" w:rsidRPr="007A77F6">
              <w:rPr>
                <w:rFonts w:ascii="Times New Roman" w:hAnsi="Times New Roman" w:cs="Times New Roman"/>
                <w:b/>
                <w:sz w:val="24"/>
                <w:szCs w:val="24"/>
              </w:rPr>
              <w:t>-2023]</w:t>
            </w:r>
          </w:p>
          <w:p w14:paraId="2608D237"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w:t>
            </w:r>
          </w:p>
        </w:tc>
      </w:tr>
      <w:tr w:rsidR="00327093" w:rsidRPr="007A77F6" w14:paraId="2A943898" w14:textId="77777777" w:rsidTr="001D3292">
        <w:tc>
          <w:tcPr>
            <w:tcW w:w="1018" w:type="dxa"/>
            <w:vMerge/>
          </w:tcPr>
          <w:p w14:paraId="1BFDE31A"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p>
        </w:tc>
        <w:tc>
          <w:tcPr>
            <w:tcW w:w="1925" w:type="dxa"/>
            <w:gridSpan w:val="2"/>
          </w:tcPr>
          <w:p w14:paraId="75FE0D98"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2003-2004</w:t>
            </w:r>
          </w:p>
        </w:tc>
        <w:tc>
          <w:tcPr>
            <w:tcW w:w="2410" w:type="dxa"/>
            <w:gridSpan w:val="2"/>
          </w:tcPr>
          <w:p w14:paraId="2E5C866B"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2013-2014</w:t>
            </w:r>
          </w:p>
        </w:tc>
        <w:tc>
          <w:tcPr>
            <w:tcW w:w="2126" w:type="dxa"/>
            <w:gridSpan w:val="2"/>
          </w:tcPr>
          <w:p w14:paraId="2E9D76A3"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2022-2023</w:t>
            </w:r>
          </w:p>
        </w:tc>
        <w:tc>
          <w:tcPr>
            <w:tcW w:w="993" w:type="dxa"/>
            <w:vMerge/>
          </w:tcPr>
          <w:p w14:paraId="69DD14CB"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p>
        </w:tc>
        <w:tc>
          <w:tcPr>
            <w:tcW w:w="1104" w:type="dxa"/>
            <w:vMerge/>
          </w:tcPr>
          <w:p w14:paraId="617397D2"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p>
        </w:tc>
      </w:tr>
      <w:tr w:rsidR="00327093" w:rsidRPr="007A77F6" w14:paraId="5120F2CB" w14:textId="77777777" w:rsidTr="001D3292">
        <w:tc>
          <w:tcPr>
            <w:tcW w:w="1018" w:type="dxa"/>
            <w:vMerge/>
          </w:tcPr>
          <w:p w14:paraId="134BE8E0"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p>
        </w:tc>
        <w:tc>
          <w:tcPr>
            <w:tcW w:w="1075" w:type="dxa"/>
          </w:tcPr>
          <w:p w14:paraId="6231A20E" w14:textId="77777777" w:rsidR="00327093" w:rsidRPr="007A77F6" w:rsidRDefault="00327093" w:rsidP="001D3292">
            <w:pPr>
              <w:autoSpaceDE w:val="0"/>
              <w:autoSpaceDN w:val="0"/>
              <w:adjustRightInd w:val="0"/>
              <w:jc w:val="both"/>
              <w:rPr>
                <w:rFonts w:ascii="Times New Roman" w:hAnsi="Times New Roman" w:cs="Times New Roman"/>
                <w:sz w:val="24"/>
                <w:szCs w:val="24"/>
              </w:rPr>
            </w:pPr>
          </w:p>
        </w:tc>
        <w:tc>
          <w:tcPr>
            <w:tcW w:w="850" w:type="dxa"/>
          </w:tcPr>
          <w:p w14:paraId="2522D445" w14:textId="77777777" w:rsidR="00327093" w:rsidRPr="007A77F6" w:rsidRDefault="00327093" w:rsidP="001D3292">
            <w:pPr>
              <w:autoSpaceDE w:val="0"/>
              <w:autoSpaceDN w:val="0"/>
              <w:adjustRightInd w:val="0"/>
              <w:jc w:val="both"/>
              <w:rPr>
                <w:rFonts w:ascii="Times New Roman" w:hAnsi="Times New Roman" w:cs="Times New Roman"/>
                <w:sz w:val="24"/>
                <w:szCs w:val="24"/>
              </w:rPr>
            </w:pPr>
            <w:r w:rsidRPr="007A77F6">
              <w:rPr>
                <w:rFonts w:ascii="Times New Roman" w:hAnsi="Times New Roman" w:cs="Times New Roman"/>
                <w:sz w:val="24"/>
                <w:szCs w:val="24"/>
              </w:rPr>
              <w:t>%Share</w:t>
            </w:r>
          </w:p>
        </w:tc>
        <w:tc>
          <w:tcPr>
            <w:tcW w:w="1276" w:type="dxa"/>
          </w:tcPr>
          <w:p w14:paraId="44362518" w14:textId="77777777" w:rsidR="00327093" w:rsidRPr="007A77F6" w:rsidRDefault="00327093" w:rsidP="001D3292">
            <w:pPr>
              <w:autoSpaceDE w:val="0"/>
              <w:autoSpaceDN w:val="0"/>
              <w:adjustRightInd w:val="0"/>
              <w:jc w:val="both"/>
              <w:rPr>
                <w:rFonts w:ascii="Times New Roman" w:hAnsi="Times New Roman" w:cs="Times New Roman"/>
                <w:sz w:val="24"/>
                <w:szCs w:val="24"/>
              </w:rPr>
            </w:pPr>
          </w:p>
        </w:tc>
        <w:tc>
          <w:tcPr>
            <w:tcW w:w="1134" w:type="dxa"/>
          </w:tcPr>
          <w:p w14:paraId="6C39F53D" w14:textId="77777777" w:rsidR="00327093" w:rsidRPr="007A77F6" w:rsidRDefault="00327093" w:rsidP="001D3292">
            <w:pPr>
              <w:autoSpaceDE w:val="0"/>
              <w:autoSpaceDN w:val="0"/>
              <w:adjustRightInd w:val="0"/>
              <w:jc w:val="both"/>
              <w:rPr>
                <w:rFonts w:ascii="Times New Roman" w:hAnsi="Times New Roman" w:cs="Times New Roman"/>
                <w:sz w:val="24"/>
                <w:szCs w:val="24"/>
              </w:rPr>
            </w:pPr>
            <w:r w:rsidRPr="007A77F6">
              <w:rPr>
                <w:rFonts w:ascii="Times New Roman" w:hAnsi="Times New Roman" w:cs="Times New Roman"/>
                <w:sz w:val="24"/>
                <w:szCs w:val="24"/>
              </w:rPr>
              <w:t>% Share</w:t>
            </w:r>
          </w:p>
        </w:tc>
        <w:tc>
          <w:tcPr>
            <w:tcW w:w="1134" w:type="dxa"/>
          </w:tcPr>
          <w:p w14:paraId="0682181B" w14:textId="77777777" w:rsidR="00327093" w:rsidRPr="007A77F6" w:rsidRDefault="00327093" w:rsidP="001D3292">
            <w:pPr>
              <w:autoSpaceDE w:val="0"/>
              <w:autoSpaceDN w:val="0"/>
              <w:adjustRightInd w:val="0"/>
              <w:jc w:val="both"/>
              <w:rPr>
                <w:rFonts w:ascii="Times New Roman" w:hAnsi="Times New Roman" w:cs="Times New Roman"/>
                <w:sz w:val="24"/>
                <w:szCs w:val="24"/>
              </w:rPr>
            </w:pPr>
          </w:p>
        </w:tc>
        <w:tc>
          <w:tcPr>
            <w:tcW w:w="992" w:type="dxa"/>
          </w:tcPr>
          <w:p w14:paraId="47E3697F" w14:textId="77777777" w:rsidR="00327093" w:rsidRPr="007A77F6" w:rsidRDefault="00327093" w:rsidP="001D3292">
            <w:pPr>
              <w:autoSpaceDE w:val="0"/>
              <w:autoSpaceDN w:val="0"/>
              <w:adjustRightInd w:val="0"/>
              <w:jc w:val="both"/>
              <w:rPr>
                <w:rFonts w:ascii="Times New Roman" w:hAnsi="Times New Roman" w:cs="Times New Roman"/>
                <w:sz w:val="24"/>
                <w:szCs w:val="24"/>
              </w:rPr>
            </w:pPr>
            <w:r w:rsidRPr="007A77F6">
              <w:rPr>
                <w:rFonts w:ascii="Times New Roman" w:hAnsi="Times New Roman" w:cs="Times New Roman"/>
                <w:sz w:val="24"/>
                <w:szCs w:val="24"/>
              </w:rPr>
              <w:t>%Share</w:t>
            </w:r>
          </w:p>
        </w:tc>
        <w:tc>
          <w:tcPr>
            <w:tcW w:w="993" w:type="dxa"/>
            <w:vMerge/>
          </w:tcPr>
          <w:p w14:paraId="7A5314FC" w14:textId="77777777" w:rsidR="00327093" w:rsidRPr="007A77F6" w:rsidRDefault="00327093" w:rsidP="001D3292">
            <w:pPr>
              <w:autoSpaceDE w:val="0"/>
              <w:autoSpaceDN w:val="0"/>
              <w:adjustRightInd w:val="0"/>
              <w:jc w:val="both"/>
              <w:rPr>
                <w:rFonts w:ascii="Times New Roman" w:hAnsi="Times New Roman" w:cs="Times New Roman"/>
                <w:sz w:val="24"/>
                <w:szCs w:val="24"/>
              </w:rPr>
            </w:pPr>
          </w:p>
        </w:tc>
        <w:tc>
          <w:tcPr>
            <w:tcW w:w="1104" w:type="dxa"/>
            <w:vMerge/>
          </w:tcPr>
          <w:p w14:paraId="6058FE4E" w14:textId="77777777" w:rsidR="00327093" w:rsidRPr="007A77F6" w:rsidRDefault="00327093" w:rsidP="001D3292">
            <w:pPr>
              <w:autoSpaceDE w:val="0"/>
              <w:autoSpaceDN w:val="0"/>
              <w:adjustRightInd w:val="0"/>
              <w:jc w:val="both"/>
              <w:rPr>
                <w:rFonts w:ascii="Times New Roman" w:hAnsi="Times New Roman" w:cs="Times New Roman"/>
                <w:sz w:val="24"/>
                <w:szCs w:val="24"/>
              </w:rPr>
            </w:pPr>
          </w:p>
        </w:tc>
      </w:tr>
      <w:tr w:rsidR="00327093" w:rsidRPr="007A77F6" w14:paraId="133D5215" w14:textId="77777777" w:rsidTr="001D3292">
        <w:tc>
          <w:tcPr>
            <w:tcW w:w="1018" w:type="dxa"/>
          </w:tcPr>
          <w:p w14:paraId="780F2445"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Cereals</w:t>
            </w:r>
          </w:p>
        </w:tc>
        <w:tc>
          <w:tcPr>
            <w:tcW w:w="1075" w:type="dxa"/>
          </w:tcPr>
          <w:p w14:paraId="77EF52B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1513.91</w:t>
            </w:r>
          </w:p>
        </w:tc>
        <w:tc>
          <w:tcPr>
            <w:tcW w:w="850" w:type="dxa"/>
          </w:tcPr>
          <w:p w14:paraId="3344323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2.37</w:t>
            </w:r>
          </w:p>
        </w:tc>
        <w:tc>
          <w:tcPr>
            <w:tcW w:w="1276" w:type="dxa"/>
          </w:tcPr>
          <w:p w14:paraId="5A47EADB"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10562.89</w:t>
            </w:r>
          </w:p>
        </w:tc>
        <w:tc>
          <w:tcPr>
            <w:tcW w:w="1134" w:type="dxa"/>
          </w:tcPr>
          <w:p w14:paraId="1409C33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3.35</w:t>
            </w:r>
          </w:p>
        </w:tc>
        <w:tc>
          <w:tcPr>
            <w:tcW w:w="1134" w:type="dxa"/>
          </w:tcPr>
          <w:p w14:paraId="55926E1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13857.95</w:t>
            </w:r>
          </w:p>
        </w:tc>
        <w:tc>
          <w:tcPr>
            <w:tcW w:w="992" w:type="dxa"/>
          </w:tcPr>
          <w:p w14:paraId="6D965E2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3.07</w:t>
            </w:r>
          </w:p>
        </w:tc>
        <w:tc>
          <w:tcPr>
            <w:tcW w:w="993" w:type="dxa"/>
          </w:tcPr>
          <w:p w14:paraId="3CA6799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19.82</w:t>
            </w:r>
          </w:p>
        </w:tc>
        <w:tc>
          <w:tcPr>
            <w:tcW w:w="1104" w:type="dxa"/>
          </w:tcPr>
          <w:p w14:paraId="5993B96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4.48</w:t>
            </w:r>
          </w:p>
        </w:tc>
      </w:tr>
      <w:tr w:rsidR="00327093" w:rsidRPr="007A77F6" w14:paraId="3C2475CA" w14:textId="77777777" w:rsidTr="001D3292">
        <w:tc>
          <w:tcPr>
            <w:tcW w:w="1018" w:type="dxa"/>
          </w:tcPr>
          <w:p w14:paraId="3282AE0C"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Spices</w:t>
            </w:r>
          </w:p>
        </w:tc>
        <w:tc>
          <w:tcPr>
            <w:tcW w:w="1075" w:type="dxa"/>
          </w:tcPr>
          <w:p w14:paraId="5A5BC19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73.07</w:t>
            </w:r>
          </w:p>
        </w:tc>
        <w:tc>
          <w:tcPr>
            <w:tcW w:w="850" w:type="dxa"/>
          </w:tcPr>
          <w:p w14:paraId="0D1EF01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0.11</w:t>
            </w:r>
          </w:p>
        </w:tc>
        <w:tc>
          <w:tcPr>
            <w:tcW w:w="1276" w:type="dxa"/>
          </w:tcPr>
          <w:p w14:paraId="76EE40BA"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293.66</w:t>
            </w:r>
          </w:p>
        </w:tc>
        <w:tc>
          <w:tcPr>
            <w:tcW w:w="1134" w:type="dxa"/>
          </w:tcPr>
          <w:p w14:paraId="2D36289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0.93</w:t>
            </w:r>
          </w:p>
        </w:tc>
        <w:tc>
          <w:tcPr>
            <w:tcW w:w="1134" w:type="dxa"/>
          </w:tcPr>
          <w:p w14:paraId="11C0F16B"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491.94</w:t>
            </w:r>
          </w:p>
        </w:tc>
        <w:tc>
          <w:tcPr>
            <w:tcW w:w="992" w:type="dxa"/>
          </w:tcPr>
          <w:p w14:paraId="31FA5C4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0.10</w:t>
            </w:r>
          </w:p>
        </w:tc>
        <w:tc>
          <w:tcPr>
            <w:tcW w:w="993" w:type="dxa"/>
          </w:tcPr>
          <w:p w14:paraId="6CB3EC48"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22.06</w:t>
            </w:r>
          </w:p>
        </w:tc>
        <w:tc>
          <w:tcPr>
            <w:tcW w:w="1104" w:type="dxa"/>
          </w:tcPr>
          <w:p w14:paraId="4D7C7F1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5.80</w:t>
            </w:r>
          </w:p>
        </w:tc>
      </w:tr>
      <w:tr w:rsidR="00327093" w:rsidRPr="007A77F6" w14:paraId="5DC44516" w14:textId="77777777" w:rsidTr="001D3292">
        <w:tc>
          <w:tcPr>
            <w:tcW w:w="1018" w:type="dxa"/>
          </w:tcPr>
          <w:p w14:paraId="5DC79774"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Rice</w:t>
            </w:r>
          </w:p>
        </w:tc>
        <w:tc>
          <w:tcPr>
            <w:tcW w:w="1075" w:type="dxa"/>
          </w:tcPr>
          <w:p w14:paraId="4D0A2B82"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907.04</w:t>
            </w:r>
          </w:p>
        </w:tc>
        <w:tc>
          <w:tcPr>
            <w:tcW w:w="850" w:type="dxa"/>
          </w:tcPr>
          <w:p w14:paraId="1A34096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1.42</w:t>
            </w:r>
          </w:p>
        </w:tc>
        <w:tc>
          <w:tcPr>
            <w:tcW w:w="1276" w:type="dxa"/>
          </w:tcPr>
          <w:p w14:paraId="595A3CF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7789.75</w:t>
            </w:r>
          </w:p>
        </w:tc>
        <w:tc>
          <w:tcPr>
            <w:tcW w:w="1134" w:type="dxa"/>
          </w:tcPr>
          <w:p w14:paraId="75E29E0F"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2.47</w:t>
            </w:r>
          </w:p>
        </w:tc>
        <w:tc>
          <w:tcPr>
            <w:tcW w:w="1134" w:type="dxa"/>
          </w:tcPr>
          <w:p w14:paraId="11D691B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11143.24</w:t>
            </w:r>
          </w:p>
        </w:tc>
        <w:tc>
          <w:tcPr>
            <w:tcW w:w="992" w:type="dxa"/>
          </w:tcPr>
          <w:p w14:paraId="6FA12BD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2.47</w:t>
            </w:r>
          </w:p>
        </w:tc>
        <w:tc>
          <w:tcPr>
            <w:tcW w:w="993" w:type="dxa"/>
          </w:tcPr>
          <w:p w14:paraId="151AC0F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19.71</w:t>
            </w:r>
          </w:p>
        </w:tc>
        <w:tc>
          <w:tcPr>
            <w:tcW w:w="1104" w:type="dxa"/>
          </w:tcPr>
          <w:p w14:paraId="3E6903D1"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4.37</w:t>
            </w:r>
          </w:p>
        </w:tc>
      </w:tr>
      <w:tr w:rsidR="00327093" w:rsidRPr="007A77F6" w14:paraId="1D204029" w14:textId="77777777" w:rsidTr="001D3292">
        <w:tc>
          <w:tcPr>
            <w:tcW w:w="1018" w:type="dxa"/>
          </w:tcPr>
          <w:p w14:paraId="4D9B46DE"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Wheat&amp; Meslin</w:t>
            </w:r>
          </w:p>
        </w:tc>
        <w:tc>
          <w:tcPr>
            <w:tcW w:w="1075" w:type="dxa"/>
          </w:tcPr>
          <w:p w14:paraId="58FA7F6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520.36</w:t>
            </w:r>
          </w:p>
        </w:tc>
        <w:tc>
          <w:tcPr>
            <w:tcW w:w="850" w:type="dxa"/>
          </w:tcPr>
          <w:p w14:paraId="1CF55FB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0.81</w:t>
            </w:r>
          </w:p>
        </w:tc>
        <w:tc>
          <w:tcPr>
            <w:tcW w:w="1276" w:type="dxa"/>
          </w:tcPr>
          <w:p w14:paraId="0C65C128"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1569.03</w:t>
            </w:r>
          </w:p>
        </w:tc>
        <w:tc>
          <w:tcPr>
            <w:tcW w:w="1134" w:type="dxa"/>
          </w:tcPr>
          <w:p w14:paraId="36AFCE8F"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0.49</w:t>
            </w:r>
          </w:p>
        </w:tc>
        <w:tc>
          <w:tcPr>
            <w:tcW w:w="1134" w:type="dxa"/>
          </w:tcPr>
          <w:p w14:paraId="1194122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1519.69</w:t>
            </w:r>
          </w:p>
        </w:tc>
        <w:tc>
          <w:tcPr>
            <w:tcW w:w="992" w:type="dxa"/>
          </w:tcPr>
          <w:p w14:paraId="788A141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0.33</w:t>
            </w:r>
          </w:p>
        </w:tc>
        <w:tc>
          <w:tcPr>
            <w:tcW w:w="993" w:type="dxa"/>
          </w:tcPr>
          <w:p w14:paraId="6431F56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-23.18</w:t>
            </w:r>
          </w:p>
        </w:tc>
        <w:tc>
          <w:tcPr>
            <w:tcW w:w="1104" w:type="dxa"/>
          </w:tcPr>
          <w:p w14:paraId="6BA1114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7.43</w:t>
            </w:r>
          </w:p>
        </w:tc>
      </w:tr>
      <w:tr w:rsidR="00327093" w:rsidRPr="007A77F6" w14:paraId="3508B218" w14:textId="77777777" w:rsidTr="001D3292">
        <w:tc>
          <w:tcPr>
            <w:tcW w:w="1018" w:type="dxa"/>
          </w:tcPr>
          <w:p w14:paraId="794A3271"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Maize</w:t>
            </w:r>
          </w:p>
        </w:tc>
        <w:tc>
          <w:tcPr>
            <w:tcW w:w="1075" w:type="dxa"/>
          </w:tcPr>
          <w:p w14:paraId="2E7E192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77.14</w:t>
            </w:r>
          </w:p>
        </w:tc>
        <w:tc>
          <w:tcPr>
            <w:tcW w:w="850" w:type="dxa"/>
          </w:tcPr>
          <w:p w14:paraId="3698C491"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0.12</w:t>
            </w:r>
          </w:p>
        </w:tc>
        <w:tc>
          <w:tcPr>
            <w:tcW w:w="1276" w:type="dxa"/>
          </w:tcPr>
          <w:p w14:paraId="1DB9B3C3"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1009.87</w:t>
            </w:r>
          </w:p>
        </w:tc>
        <w:tc>
          <w:tcPr>
            <w:tcW w:w="1134" w:type="dxa"/>
          </w:tcPr>
          <w:p w14:paraId="78320572"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0.32</w:t>
            </w:r>
          </w:p>
        </w:tc>
        <w:tc>
          <w:tcPr>
            <w:tcW w:w="1134" w:type="dxa"/>
          </w:tcPr>
          <w:p w14:paraId="3207DCC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1116.17</w:t>
            </w:r>
          </w:p>
        </w:tc>
        <w:tc>
          <w:tcPr>
            <w:tcW w:w="992" w:type="dxa"/>
          </w:tcPr>
          <w:p w14:paraId="72AE7E02"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0.24</w:t>
            </w:r>
          </w:p>
        </w:tc>
        <w:tc>
          <w:tcPr>
            <w:tcW w:w="993" w:type="dxa"/>
          </w:tcPr>
          <w:p w14:paraId="2B251541"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39.83</w:t>
            </w:r>
          </w:p>
        </w:tc>
        <w:tc>
          <w:tcPr>
            <w:tcW w:w="1104" w:type="dxa"/>
          </w:tcPr>
          <w:p w14:paraId="48AD224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6.57</w:t>
            </w:r>
          </w:p>
        </w:tc>
      </w:tr>
      <w:tr w:rsidR="00327093" w:rsidRPr="007A77F6" w14:paraId="2A9279C7" w14:textId="77777777" w:rsidTr="001D3292">
        <w:tc>
          <w:tcPr>
            <w:tcW w:w="1018" w:type="dxa"/>
          </w:tcPr>
          <w:p w14:paraId="29A51451"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Coffee</w:t>
            </w:r>
          </w:p>
        </w:tc>
        <w:tc>
          <w:tcPr>
            <w:tcW w:w="1075" w:type="dxa"/>
          </w:tcPr>
          <w:p w14:paraId="3D0939D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162.24</w:t>
            </w:r>
          </w:p>
        </w:tc>
        <w:tc>
          <w:tcPr>
            <w:tcW w:w="850" w:type="dxa"/>
          </w:tcPr>
          <w:p w14:paraId="25FD0C2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0.25</w:t>
            </w:r>
          </w:p>
        </w:tc>
        <w:tc>
          <w:tcPr>
            <w:tcW w:w="1276" w:type="dxa"/>
          </w:tcPr>
          <w:p w14:paraId="77C90C1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540.02</w:t>
            </w:r>
          </w:p>
        </w:tc>
        <w:tc>
          <w:tcPr>
            <w:tcW w:w="1134" w:type="dxa"/>
          </w:tcPr>
          <w:p w14:paraId="76E19DDA"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0.17</w:t>
            </w:r>
          </w:p>
        </w:tc>
        <w:tc>
          <w:tcPr>
            <w:tcW w:w="1134" w:type="dxa"/>
          </w:tcPr>
          <w:p w14:paraId="4871A9C2"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750.62</w:t>
            </w:r>
          </w:p>
        </w:tc>
        <w:tc>
          <w:tcPr>
            <w:tcW w:w="992" w:type="dxa"/>
          </w:tcPr>
          <w:p w14:paraId="4B8A512A"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0.16</w:t>
            </w:r>
          </w:p>
        </w:tc>
        <w:tc>
          <w:tcPr>
            <w:tcW w:w="993" w:type="dxa"/>
          </w:tcPr>
          <w:p w14:paraId="1458A25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15.95</w:t>
            </w:r>
          </w:p>
        </w:tc>
        <w:tc>
          <w:tcPr>
            <w:tcW w:w="1104" w:type="dxa"/>
          </w:tcPr>
          <w:p w14:paraId="27595EB1"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2.21</w:t>
            </w:r>
          </w:p>
        </w:tc>
      </w:tr>
      <w:tr w:rsidR="00327093" w:rsidRPr="007A77F6" w14:paraId="739E877A" w14:textId="77777777" w:rsidTr="001D3292">
        <w:tc>
          <w:tcPr>
            <w:tcW w:w="1018" w:type="dxa"/>
          </w:tcPr>
          <w:p w14:paraId="50569A17"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Tea</w:t>
            </w:r>
          </w:p>
        </w:tc>
        <w:tc>
          <w:tcPr>
            <w:tcW w:w="1075" w:type="dxa"/>
          </w:tcPr>
          <w:p w14:paraId="2562332F"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337.78</w:t>
            </w:r>
          </w:p>
        </w:tc>
        <w:tc>
          <w:tcPr>
            <w:tcW w:w="850" w:type="dxa"/>
          </w:tcPr>
          <w:p w14:paraId="435248D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0.52</w:t>
            </w:r>
          </w:p>
        </w:tc>
        <w:tc>
          <w:tcPr>
            <w:tcW w:w="1276" w:type="dxa"/>
          </w:tcPr>
          <w:p w14:paraId="46C17E3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760.58</w:t>
            </w:r>
          </w:p>
        </w:tc>
        <w:tc>
          <w:tcPr>
            <w:tcW w:w="1134" w:type="dxa"/>
          </w:tcPr>
          <w:p w14:paraId="081374C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0.24</w:t>
            </w:r>
          </w:p>
        </w:tc>
        <w:tc>
          <w:tcPr>
            <w:tcW w:w="1134" w:type="dxa"/>
          </w:tcPr>
          <w:p w14:paraId="6D73884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740.38</w:t>
            </w:r>
          </w:p>
        </w:tc>
        <w:tc>
          <w:tcPr>
            <w:tcW w:w="992" w:type="dxa"/>
          </w:tcPr>
          <w:p w14:paraId="043FD60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0.16</w:t>
            </w:r>
          </w:p>
        </w:tc>
        <w:tc>
          <w:tcPr>
            <w:tcW w:w="993" w:type="dxa"/>
          </w:tcPr>
          <w:p w14:paraId="2003648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11.34</w:t>
            </w:r>
          </w:p>
        </w:tc>
        <w:tc>
          <w:tcPr>
            <w:tcW w:w="1104" w:type="dxa"/>
          </w:tcPr>
          <w:p w14:paraId="3D3349AF"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0.38</w:t>
            </w:r>
          </w:p>
        </w:tc>
      </w:tr>
      <w:tr w:rsidR="00327093" w:rsidRPr="007A77F6" w14:paraId="00442922" w14:textId="77777777" w:rsidTr="001D3292">
        <w:tc>
          <w:tcPr>
            <w:tcW w:w="1018" w:type="dxa"/>
          </w:tcPr>
          <w:p w14:paraId="23C04969"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 xml:space="preserve">Meat &amp; </w:t>
            </w:r>
            <w:proofErr w:type="spellStart"/>
            <w:r w:rsidRPr="007A77F6">
              <w:rPr>
                <w:rFonts w:ascii="Times New Roman" w:hAnsi="Times New Roman" w:cs="Times New Roman"/>
                <w:b/>
                <w:sz w:val="24"/>
                <w:szCs w:val="24"/>
              </w:rPr>
              <w:t>Offals</w:t>
            </w:r>
            <w:proofErr w:type="spellEnd"/>
          </w:p>
        </w:tc>
        <w:tc>
          <w:tcPr>
            <w:tcW w:w="1075" w:type="dxa"/>
          </w:tcPr>
          <w:p w14:paraId="22CCFED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368.62</w:t>
            </w:r>
          </w:p>
        </w:tc>
        <w:tc>
          <w:tcPr>
            <w:tcW w:w="850" w:type="dxa"/>
          </w:tcPr>
          <w:p w14:paraId="2D5837D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0.57</w:t>
            </w:r>
          </w:p>
        </w:tc>
        <w:tc>
          <w:tcPr>
            <w:tcW w:w="1276" w:type="dxa"/>
          </w:tcPr>
          <w:p w14:paraId="2C6341D8"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4475.53</w:t>
            </w:r>
          </w:p>
        </w:tc>
        <w:tc>
          <w:tcPr>
            <w:tcW w:w="1134" w:type="dxa"/>
          </w:tcPr>
          <w:p w14:paraId="76E1D64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1.4</w:t>
            </w:r>
          </w:p>
        </w:tc>
        <w:tc>
          <w:tcPr>
            <w:tcW w:w="1134" w:type="dxa"/>
          </w:tcPr>
          <w:p w14:paraId="50E667B0"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3273.35</w:t>
            </w:r>
          </w:p>
        </w:tc>
        <w:tc>
          <w:tcPr>
            <w:tcW w:w="992" w:type="dxa"/>
          </w:tcPr>
          <w:p w14:paraId="3224BB8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0.72</w:t>
            </w:r>
          </w:p>
        </w:tc>
        <w:tc>
          <w:tcPr>
            <w:tcW w:w="993" w:type="dxa"/>
          </w:tcPr>
          <w:p w14:paraId="463C10A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28.26</w:t>
            </w:r>
          </w:p>
        </w:tc>
        <w:tc>
          <w:tcPr>
            <w:tcW w:w="1104" w:type="dxa"/>
          </w:tcPr>
          <w:p w14:paraId="095796E3"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-4.45</w:t>
            </w:r>
          </w:p>
        </w:tc>
      </w:tr>
      <w:tr w:rsidR="00327093" w:rsidRPr="007A77F6" w14:paraId="10A4D4C4" w14:textId="77777777" w:rsidTr="001D3292">
        <w:tc>
          <w:tcPr>
            <w:tcW w:w="1018" w:type="dxa"/>
          </w:tcPr>
          <w:p w14:paraId="51EAA656"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Fish</w:t>
            </w:r>
          </w:p>
        </w:tc>
        <w:tc>
          <w:tcPr>
            <w:tcW w:w="1075" w:type="dxa"/>
          </w:tcPr>
          <w:p w14:paraId="31FC18C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1236.29</w:t>
            </w:r>
          </w:p>
        </w:tc>
        <w:tc>
          <w:tcPr>
            <w:tcW w:w="850" w:type="dxa"/>
          </w:tcPr>
          <w:p w14:paraId="2F500D0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1.93</w:t>
            </w:r>
          </w:p>
        </w:tc>
        <w:tc>
          <w:tcPr>
            <w:tcW w:w="1276" w:type="dxa"/>
          </w:tcPr>
          <w:p w14:paraId="2D105A8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4823.02</w:t>
            </w:r>
          </w:p>
        </w:tc>
        <w:tc>
          <w:tcPr>
            <w:tcW w:w="1134" w:type="dxa"/>
          </w:tcPr>
          <w:p w14:paraId="676D9B1F"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1.53</w:t>
            </w:r>
          </w:p>
        </w:tc>
        <w:tc>
          <w:tcPr>
            <w:tcW w:w="1134" w:type="dxa"/>
          </w:tcPr>
          <w:p w14:paraId="72E4E94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6823.38</w:t>
            </w:r>
          </w:p>
        </w:tc>
        <w:tc>
          <w:tcPr>
            <w:tcW w:w="992" w:type="dxa"/>
          </w:tcPr>
          <w:p w14:paraId="52D6FE2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1.51</w:t>
            </w:r>
          </w:p>
        </w:tc>
        <w:tc>
          <w:tcPr>
            <w:tcW w:w="993" w:type="dxa"/>
          </w:tcPr>
          <w:p w14:paraId="1CE1B7A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11.57</w:t>
            </w:r>
          </w:p>
        </w:tc>
        <w:tc>
          <w:tcPr>
            <w:tcW w:w="1104" w:type="dxa"/>
          </w:tcPr>
          <w:p w14:paraId="1A502B9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3.74</w:t>
            </w:r>
          </w:p>
        </w:tc>
      </w:tr>
      <w:tr w:rsidR="00327093" w:rsidRPr="007A77F6" w14:paraId="0A333D67" w14:textId="77777777" w:rsidTr="001D3292">
        <w:tc>
          <w:tcPr>
            <w:tcW w:w="1018" w:type="dxa"/>
          </w:tcPr>
          <w:p w14:paraId="1E830A51"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Vegetable &amp; Tubers</w:t>
            </w:r>
          </w:p>
        </w:tc>
        <w:tc>
          <w:tcPr>
            <w:tcW w:w="1075" w:type="dxa"/>
          </w:tcPr>
          <w:p w14:paraId="242F9839"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328.61</w:t>
            </w:r>
          </w:p>
        </w:tc>
        <w:tc>
          <w:tcPr>
            <w:tcW w:w="850" w:type="dxa"/>
          </w:tcPr>
          <w:p w14:paraId="50EF9188"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0.51</w:t>
            </w:r>
          </w:p>
        </w:tc>
        <w:tc>
          <w:tcPr>
            <w:tcW w:w="1276" w:type="dxa"/>
          </w:tcPr>
          <w:p w14:paraId="11AEEB8C"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1356.07</w:t>
            </w:r>
          </w:p>
        </w:tc>
        <w:tc>
          <w:tcPr>
            <w:tcW w:w="1134" w:type="dxa"/>
          </w:tcPr>
          <w:p w14:paraId="7E8F04D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0.43</w:t>
            </w:r>
          </w:p>
        </w:tc>
        <w:tc>
          <w:tcPr>
            <w:tcW w:w="1134" w:type="dxa"/>
          </w:tcPr>
          <w:p w14:paraId="4FBA9C8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1915.54</w:t>
            </w:r>
          </w:p>
        </w:tc>
        <w:tc>
          <w:tcPr>
            <w:tcW w:w="992" w:type="dxa"/>
          </w:tcPr>
          <w:p w14:paraId="4513C5D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0.42</w:t>
            </w:r>
          </w:p>
        </w:tc>
        <w:tc>
          <w:tcPr>
            <w:tcW w:w="993" w:type="dxa"/>
          </w:tcPr>
          <w:p w14:paraId="2299273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13.24</w:t>
            </w:r>
          </w:p>
        </w:tc>
        <w:tc>
          <w:tcPr>
            <w:tcW w:w="1104" w:type="dxa"/>
          </w:tcPr>
          <w:p w14:paraId="6883251A"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2.69</w:t>
            </w:r>
          </w:p>
        </w:tc>
      </w:tr>
      <w:tr w:rsidR="00327093" w:rsidRPr="007A77F6" w14:paraId="1BCA6124" w14:textId="77777777" w:rsidTr="001D3292">
        <w:tc>
          <w:tcPr>
            <w:tcW w:w="1018" w:type="dxa"/>
          </w:tcPr>
          <w:p w14:paraId="6AC73B8F" w14:textId="77777777" w:rsidR="00327093" w:rsidRPr="007A77F6" w:rsidRDefault="00327093" w:rsidP="001D3292">
            <w:pPr>
              <w:autoSpaceDE w:val="0"/>
              <w:autoSpaceDN w:val="0"/>
              <w:adjustRightInd w:val="0"/>
              <w:jc w:val="both"/>
              <w:rPr>
                <w:rFonts w:ascii="Times New Roman" w:hAnsi="Times New Roman" w:cs="Times New Roman"/>
                <w:b/>
                <w:sz w:val="24"/>
                <w:szCs w:val="24"/>
              </w:rPr>
            </w:pPr>
            <w:r w:rsidRPr="007A77F6">
              <w:rPr>
                <w:rFonts w:ascii="Times New Roman" w:hAnsi="Times New Roman" w:cs="Times New Roman"/>
                <w:b/>
                <w:sz w:val="24"/>
                <w:szCs w:val="24"/>
              </w:rPr>
              <w:t>Fruits&amp; Nuts</w:t>
            </w:r>
          </w:p>
        </w:tc>
        <w:tc>
          <w:tcPr>
            <w:tcW w:w="1075" w:type="dxa"/>
          </w:tcPr>
          <w:p w14:paraId="7844BE0E"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9.74</w:t>
            </w:r>
          </w:p>
        </w:tc>
        <w:tc>
          <w:tcPr>
            <w:tcW w:w="850" w:type="dxa"/>
          </w:tcPr>
          <w:p w14:paraId="003C0884"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0.015</w:t>
            </w:r>
          </w:p>
        </w:tc>
        <w:tc>
          <w:tcPr>
            <w:tcW w:w="1276" w:type="dxa"/>
          </w:tcPr>
          <w:p w14:paraId="1A1F52F3"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0.86</w:t>
            </w:r>
          </w:p>
        </w:tc>
        <w:tc>
          <w:tcPr>
            <w:tcW w:w="1134" w:type="dxa"/>
          </w:tcPr>
          <w:p w14:paraId="3EBDE116"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0.0003</w:t>
            </w:r>
          </w:p>
        </w:tc>
        <w:tc>
          <w:tcPr>
            <w:tcW w:w="1134" w:type="dxa"/>
          </w:tcPr>
          <w:p w14:paraId="1570E2AA"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0.12</w:t>
            </w:r>
          </w:p>
        </w:tc>
        <w:tc>
          <w:tcPr>
            <w:tcW w:w="992" w:type="dxa"/>
          </w:tcPr>
          <w:p w14:paraId="26B45F5D"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0.0001</w:t>
            </w:r>
          </w:p>
        </w:tc>
        <w:tc>
          <w:tcPr>
            <w:tcW w:w="993" w:type="dxa"/>
          </w:tcPr>
          <w:p w14:paraId="70BB30D3"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22.71</w:t>
            </w:r>
          </w:p>
        </w:tc>
        <w:tc>
          <w:tcPr>
            <w:tcW w:w="1104" w:type="dxa"/>
          </w:tcPr>
          <w:p w14:paraId="584CF7C7" w14:textId="77777777" w:rsidR="00327093" w:rsidRPr="004F2DA7" w:rsidRDefault="0032709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8.50</w:t>
            </w:r>
          </w:p>
        </w:tc>
      </w:tr>
      <w:tr w:rsidR="00B53C7D" w:rsidRPr="007A77F6" w14:paraId="2CB10D4B" w14:textId="77777777" w:rsidTr="001D3292">
        <w:tc>
          <w:tcPr>
            <w:tcW w:w="1018" w:type="dxa"/>
          </w:tcPr>
          <w:p w14:paraId="3DFD5F5F" w14:textId="77777777" w:rsidR="00B53C7D" w:rsidRPr="007A77F6" w:rsidRDefault="00B53C7D" w:rsidP="001D329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Total</w:t>
            </w:r>
          </w:p>
        </w:tc>
        <w:tc>
          <w:tcPr>
            <w:tcW w:w="1075" w:type="dxa"/>
          </w:tcPr>
          <w:p w14:paraId="3C408951" w14:textId="77777777" w:rsidR="00B53C7D" w:rsidRPr="004F2DA7" w:rsidRDefault="00B53C7D"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6834.2</w:t>
            </w:r>
          </w:p>
        </w:tc>
        <w:tc>
          <w:tcPr>
            <w:tcW w:w="850" w:type="dxa"/>
          </w:tcPr>
          <w:p w14:paraId="12E0BF0C" w14:textId="77777777" w:rsidR="00B53C7D" w:rsidRPr="004F2DA7" w:rsidRDefault="00B53C7D" w:rsidP="004F2DA7">
            <w:pPr>
              <w:autoSpaceDE w:val="0"/>
              <w:autoSpaceDN w:val="0"/>
              <w:adjustRightInd w:val="0"/>
              <w:jc w:val="both"/>
              <w:rPr>
                <w:rFonts w:ascii="Times New Roman" w:hAnsi="Times New Roman" w:cs="Times New Roman"/>
              </w:rPr>
            </w:pPr>
          </w:p>
        </w:tc>
        <w:tc>
          <w:tcPr>
            <w:tcW w:w="1276" w:type="dxa"/>
          </w:tcPr>
          <w:p w14:paraId="530DE1EF" w14:textId="77777777" w:rsidR="00B53C7D" w:rsidRPr="004F2DA7" w:rsidRDefault="004F2DA7" w:rsidP="004F2DA7">
            <w:pPr>
              <w:autoSpaceDE w:val="0"/>
              <w:autoSpaceDN w:val="0"/>
              <w:adjustRightInd w:val="0"/>
              <w:jc w:val="both"/>
              <w:rPr>
                <w:rFonts w:ascii="Times New Roman" w:hAnsi="Times New Roman" w:cs="Times New Roman"/>
              </w:rPr>
            </w:pPr>
            <w:r w:rsidRPr="007D5DDD">
              <w:rPr>
                <w:rFonts w:ascii="Times New Roman" w:hAnsi="Times New Roman" w:cs="Times New Roman"/>
                <w:bCs/>
                <w:color w:val="000000"/>
                <w:shd w:val="clear" w:color="auto" w:fill="EFEFEF"/>
              </w:rPr>
              <w:t>23450.75</w:t>
            </w:r>
          </w:p>
        </w:tc>
        <w:tc>
          <w:tcPr>
            <w:tcW w:w="1134" w:type="dxa"/>
          </w:tcPr>
          <w:p w14:paraId="56A17EF7" w14:textId="77777777" w:rsidR="00B53C7D" w:rsidRPr="004F2DA7" w:rsidRDefault="00B53C7D" w:rsidP="004F2DA7">
            <w:pPr>
              <w:autoSpaceDE w:val="0"/>
              <w:autoSpaceDN w:val="0"/>
              <w:adjustRightInd w:val="0"/>
              <w:jc w:val="both"/>
              <w:rPr>
                <w:rFonts w:ascii="Times New Roman" w:hAnsi="Times New Roman" w:cs="Times New Roman"/>
              </w:rPr>
            </w:pPr>
          </w:p>
        </w:tc>
        <w:tc>
          <w:tcPr>
            <w:tcW w:w="1134" w:type="dxa"/>
          </w:tcPr>
          <w:p w14:paraId="0C90AE36" w14:textId="77777777" w:rsidR="00B53C7D" w:rsidRPr="004F2DA7" w:rsidRDefault="00015083" w:rsidP="004F2DA7">
            <w:pPr>
              <w:autoSpaceDE w:val="0"/>
              <w:autoSpaceDN w:val="0"/>
              <w:adjustRightInd w:val="0"/>
              <w:jc w:val="both"/>
              <w:rPr>
                <w:rFonts w:ascii="Times New Roman" w:hAnsi="Times New Roman" w:cs="Times New Roman"/>
              </w:rPr>
            </w:pPr>
            <w:r w:rsidRPr="004F2DA7">
              <w:rPr>
                <w:rFonts w:ascii="Times New Roman" w:hAnsi="Times New Roman" w:cs="Times New Roman"/>
                <w:bCs/>
                <w:color w:val="000000"/>
                <w:shd w:val="clear" w:color="auto" w:fill="EFEFEF"/>
              </w:rPr>
              <w:t>26,717.72</w:t>
            </w:r>
          </w:p>
        </w:tc>
        <w:tc>
          <w:tcPr>
            <w:tcW w:w="992" w:type="dxa"/>
          </w:tcPr>
          <w:p w14:paraId="25781759" w14:textId="77777777" w:rsidR="00B53C7D" w:rsidRPr="004F2DA7" w:rsidRDefault="00B53C7D" w:rsidP="004F2DA7">
            <w:pPr>
              <w:autoSpaceDE w:val="0"/>
              <w:autoSpaceDN w:val="0"/>
              <w:adjustRightInd w:val="0"/>
              <w:jc w:val="both"/>
              <w:rPr>
                <w:rFonts w:ascii="Times New Roman" w:hAnsi="Times New Roman" w:cs="Times New Roman"/>
              </w:rPr>
            </w:pPr>
          </w:p>
        </w:tc>
        <w:tc>
          <w:tcPr>
            <w:tcW w:w="993" w:type="dxa"/>
          </w:tcPr>
          <w:p w14:paraId="0B2480FC" w14:textId="77777777" w:rsidR="00B53C7D" w:rsidRPr="004F2DA7" w:rsidRDefault="00015083" w:rsidP="004F2DA7">
            <w:pPr>
              <w:autoSpaceDE w:val="0"/>
              <w:autoSpaceDN w:val="0"/>
              <w:adjustRightInd w:val="0"/>
              <w:jc w:val="both"/>
              <w:rPr>
                <w:rFonts w:ascii="Times New Roman" w:hAnsi="Times New Roman" w:cs="Times New Roman"/>
              </w:rPr>
            </w:pPr>
            <w:r w:rsidRPr="004F2DA7">
              <w:rPr>
                <w:rFonts w:ascii="Times New Roman" w:hAnsi="Times New Roman" w:cs="Times New Roman"/>
              </w:rPr>
              <w:t>17.0</w:t>
            </w:r>
          </w:p>
        </w:tc>
        <w:tc>
          <w:tcPr>
            <w:tcW w:w="1104" w:type="dxa"/>
          </w:tcPr>
          <w:p w14:paraId="1274FA3F" w14:textId="77777777" w:rsidR="00B53C7D" w:rsidRPr="004F2DA7" w:rsidRDefault="00471FD8" w:rsidP="004F2DA7">
            <w:pPr>
              <w:autoSpaceDE w:val="0"/>
              <w:autoSpaceDN w:val="0"/>
              <w:adjustRightInd w:val="0"/>
              <w:jc w:val="both"/>
              <w:rPr>
                <w:rFonts w:ascii="Times New Roman" w:hAnsi="Times New Roman" w:cs="Times New Roman"/>
              </w:rPr>
            </w:pPr>
            <w:r>
              <w:rPr>
                <w:rFonts w:ascii="Times New Roman" w:hAnsi="Times New Roman" w:cs="Times New Roman"/>
              </w:rPr>
              <w:t>6</w:t>
            </w:r>
            <w:r w:rsidR="00A7774B">
              <w:rPr>
                <w:rFonts w:ascii="Times New Roman" w:hAnsi="Times New Roman" w:cs="Times New Roman"/>
              </w:rPr>
              <w:t>.</w:t>
            </w:r>
            <w:r>
              <w:rPr>
                <w:rFonts w:ascii="Times New Roman" w:hAnsi="Times New Roman" w:cs="Times New Roman"/>
              </w:rPr>
              <w:t>2</w:t>
            </w:r>
          </w:p>
        </w:tc>
      </w:tr>
    </w:tbl>
    <w:p w14:paraId="1F57B7E3" w14:textId="77777777" w:rsidR="00327093" w:rsidRDefault="00327093" w:rsidP="00327093">
      <w:pPr>
        <w:autoSpaceDE w:val="0"/>
        <w:autoSpaceDN w:val="0"/>
        <w:adjustRightInd w:val="0"/>
        <w:spacing w:after="0" w:line="360" w:lineRule="auto"/>
        <w:jc w:val="both"/>
        <w:rPr>
          <w:rFonts w:ascii="Times New Roman" w:hAnsi="Times New Roman" w:cs="Times New Roman"/>
        </w:rPr>
      </w:pPr>
      <w:r w:rsidRPr="007A77F6">
        <w:rPr>
          <w:rFonts w:ascii="Times New Roman" w:hAnsi="Times New Roman" w:cs="Times New Roman"/>
          <w:color w:val="000000" w:themeColor="text1"/>
        </w:rPr>
        <w:t>Source:  Authors own calculation using data Ministry of Commerce,</w:t>
      </w:r>
      <w:r>
        <w:rPr>
          <w:rFonts w:ascii="Times New Roman" w:hAnsi="Times New Roman" w:cs="Times New Roman"/>
          <w:color w:val="000000" w:themeColor="text1"/>
        </w:rPr>
        <w:t xml:space="preserve"> </w:t>
      </w:r>
      <w:proofErr w:type="spellStart"/>
      <w:r w:rsidRPr="007A77F6">
        <w:rPr>
          <w:rFonts w:ascii="Times New Roman" w:hAnsi="Times New Roman" w:cs="Times New Roman"/>
          <w:color w:val="000000" w:themeColor="text1"/>
        </w:rPr>
        <w:t>GoI</w:t>
      </w:r>
      <w:proofErr w:type="spellEnd"/>
      <w:r w:rsidRPr="007A77F6">
        <w:rPr>
          <w:rFonts w:ascii="Times New Roman" w:hAnsi="Times New Roman" w:cs="Times New Roman"/>
        </w:rPr>
        <w:t>.</w:t>
      </w:r>
    </w:p>
    <w:p w14:paraId="03363771" w14:textId="77777777" w:rsidR="00327093" w:rsidRPr="00327093" w:rsidRDefault="00327093" w:rsidP="00327093">
      <w:pPr>
        <w:autoSpaceDE w:val="0"/>
        <w:autoSpaceDN w:val="0"/>
        <w:adjustRightInd w:val="0"/>
        <w:spacing w:after="0" w:line="360" w:lineRule="auto"/>
        <w:jc w:val="both"/>
        <w:rPr>
          <w:rFonts w:ascii="Times New Roman" w:hAnsi="Times New Roman" w:cs="Times New Roman"/>
        </w:rPr>
      </w:pPr>
    </w:p>
    <w:p w14:paraId="51F99176" w14:textId="77777777" w:rsidR="00327093" w:rsidRPr="002E131A" w:rsidRDefault="00327093" w:rsidP="009F79C6">
      <w:pPr>
        <w:spacing w:line="360" w:lineRule="auto"/>
        <w:jc w:val="both"/>
        <w:rPr>
          <w:rFonts w:ascii="Times New Roman" w:hAnsi="Times New Roman" w:cs="Times New Roman"/>
          <w:color w:val="211D1E"/>
          <w:sz w:val="24"/>
          <w:szCs w:val="24"/>
        </w:rPr>
      </w:pPr>
      <w:r>
        <w:rPr>
          <w:rFonts w:ascii="Times New Roman" w:hAnsi="Times New Roman" w:cs="Times New Roman"/>
          <w:color w:val="211D1E"/>
          <w:sz w:val="24"/>
          <w:szCs w:val="24"/>
        </w:rPr>
        <w:t>Table 2</w:t>
      </w:r>
      <w:r w:rsidR="00DC582C" w:rsidRPr="00DC582C">
        <w:rPr>
          <w:rFonts w:ascii="Times New Roman" w:hAnsi="Times New Roman" w:cs="Times New Roman"/>
          <w:color w:val="211D1E"/>
          <w:sz w:val="24"/>
          <w:szCs w:val="24"/>
        </w:rPr>
        <w:t xml:space="preserve"> depicts India's export share in terms of chosen commodities and agricultural exports, total national agricultural exports, and their respective value </w:t>
      </w:r>
      <w:r w:rsidR="00CF5318">
        <w:rPr>
          <w:rFonts w:ascii="Times New Roman" w:hAnsi="Times New Roman" w:cs="Times New Roman"/>
          <w:color w:val="211D1E"/>
          <w:sz w:val="24"/>
          <w:szCs w:val="24"/>
        </w:rPr>
        <w:t>(in US$ billion) between 200</w:t>
      </w:r>
      <w:r w:rsidR="00DC582C" w:rsidRPr="00DC582C">
        <w:rPr>
          <w:rFonts w:ascii="Times New Roman" w:hAnsi="Times New Roman" w:cs="Times New Roman"/>
          <w:color w:val="211D1E"/>
          <w:sz w:val="24"/>
          <w:szCs w:val="24"/>
        </w:rPr>
        <w:t>3 and 2023.</w:t>
      </w:r>
      <w:r w:rsidR="00DC582C">
        <w:rPr>
          <w:rFonts w:ascii="Times New Roman" w:hAnsi="Times New Roman" w:cs="Times New Roman"/>
          <w:color w:val="211D1E"/>
          <w:sz w:val="24"/>
          <w:szCs w:val="24"/>
        </w:rPr>
        <w:t xml:space="preserve"> The findings indicated</w:t>
      </w:r>
      <w:r w:rsidR="002E131A" w:rsidRPr="00BD35DB">
        <w:rPr>
          <w:rFonts w:ascii="Times New Roman" w:hAnsi="Times New Roman" w:cs="Times New Roman"/>
          <w:color w:val="211D1E"/>
          <w:sz w:val="24"/>
          <w:szCs w:val="24"/>
        </w:rPr>
        <w:t xml:space="preserve"> that In</w:t>
      </w:r>
      <w:r w:rsidR="002E131A" w:rsidRPr="00BD35DB">
        <w:rPr>
          <w:rFonts w:ascii="Times New Roman" w:hAnsi="Times New Roman" w:cs="Times New Roman"/>
          <w:color w:val="211D1E"/>
          <w:sz w:val="24"/>
          <w:szCs w:val="24"/>
        </w:rPr>
        <w:softHyphen/>
        <w:t>dia</w:t>
      </w:r>
      <w:r w:rsidR="002E131A">
        <w:rPr>
          <w:rFonts w:ascii="Times New Roman" w:hAnsi="Times New Roman" w:cs="Times New Roman"/>
          <w:color w:val="211D1E"/>
          <w:sz w:val="24"/>
          <w:szCs w:val="24"/>
        </w:rPr>
        <w:t xml:space="preserve">'s exports reached </w:t>
      </w:r>
      <w:r w:rsidR="002E131A" w:rsidRPr="00BD35DB">
        <w:rPr>
          <w:rFonts w:ascii="Times New Roman" w:hAnsi="Times New Roman" w:cs="Times New Roman"/>
          <w:color w:val="211D1E"/>
          <w:sz w:val="24"/>
          <w:szCs w:val="24"/>
        </w:rPr>
        <w:t xml:space="preserve">from US$ </w:t>
      </w:r>
      <w:r w:rsidR="00FF6C0D">
        <w:rPr>
          <w:rFonts w:ascii="Times New Roman" w:hAnsi="Times New Roman" w:cs="Times New Roman"/>
          <w:color w:val="211D1E"/>
          <w:sz w:val="24"/>
          <w:szCs w:val="24"/>
        </w:rPr>
        <w:t xml:space="preserve">63.84 </w:t>
      </w:r>
      <w:r w:rsidR="002E131A" w:rsidRPr="00BD35DB">
        <w:rPr>
          <w:rFonts w:ascii="Times New Roman" w:hAnsi="Times New Roman" w:cs="Times New Roman"/>
          <w:color w:val="211D1E"/>
          <w:sz w:val="24"/>
          <w:szCs w:val="24"/>
        </w:rPr>
        <w:t>billion to US$ 451.07 billion</w:t>
      </w:r>
      <w:r w:rsidR="002E131A">
        <w:rPr>
          <w:rFonts w:ascii="Times New Roman" w:hAnsi="Times New Roman" w:cs="Times New Roman"/>
          <w:color w:val="211D1E"/>
          <w:sz w:val="24"/>
          <w:szCs w:val="24"/>
        </w:rPr>
        <w:t>. O</w:t>
      </w:r>
      <w:r w:rsidR="002E131A" w:rsidRPr="00BD35DB">
        <w:rPr>
          <w:rFonts w:ascii="Times New Roman" w:hAnsi="Times New Roman" w:cs="Times New Roman"/>
          <w:color w:val="211D1E"/>
          <w:sz w:val="24"/>
          <w:szCs w:val="24"/>
        </w:rPr>
        <w:t>n the other hand</w:t>
      </w:r>
      <w:r w:rsidR="002E131A">
        <w:rPr>
          <w:rFonts w:ascii="Times New Roman" w:hAnsi="Times New Roman" w:cs="Times New Roman"/>
          <w:color w:val="211D1E"/>
          <w:sz w:val="24"/>
          <w:szCs w:val="24"/>
        </w:rPr>
        <w:t>,</w:t>
      </w:r>
      <w:r w:rsidR="002E131A" w:rsidRPr="00BD35DB">
        <w:rPr>
          <w:rFonts w:ascii="Times New Roman" w:hAnsi="Times New Roman" w:cs="Times New Roman"/>
          <w:color w:val="211D1E"/>
          <w:sz w:val="24"/>
          <w:szCs w:val="24"/>
        </w:rPr>
        <w:t xml:space="preserve"> total agriculture export</w:t>
      </w:r>
      <w:r w:rsidR="002E131A">
        <w:rPr>
          <w:rFonts w:ascii="Times New Roman" w:hAnsi="Times New Roman" w:cs="Times New Roman"/>
          <w:color w:val="211D1E"/>
          <w:sz w:val="24"/>
          <w:szCs w:val="24"/>
        </w:rPr>
        <w:t>s reached</w:t>
      </w:r>
      <w:r w:rsidR="002E131A" w:rsidRPr="00BD35DB">
        <w:rPr>
          <w:rFonts w:ascii="Times New Roman" w:hAnsi="Times New Roman" w:cs="Times New Roman"/>
          <w:color w:val="211D1E"/>
          <w:sz w:val="24"/>
          <w:szCs w:val="24"/>
        </w:rPr>
        <w:t xml:space="preserve"> from US$ </w:t>
      </w:r>
      <w:r w:rsidR="00FF6C0D">
        <w:rPr>
          <w:rFonts w:ascii="Times New Roman" w:hAnsi="Times New Roman" w:cs="Times New Roman"/>
          <w:color w:val="211D1E"/>
          <w:sz w:val="24"/>
          <w:szCs w:val="24"/>
        </w:rPr>
        <w:t xml:space="preserve">7.92 </w:t>
      </w:r>
      <w:r w:rsidR="002E131A" w:rsidRPr="00BD35DB">
        <w:rPr>
          <w:rFonts w:ascii="Times New Roman" w:hAnsi="Times New Roman" w:cs="Times New Roman"/>
          <w:color w:val="211D1E"/>
          <w:sz w:val="24"/>
          <w:szCs w:val="24"/>
        </w:rPr>
        <w:t>billion to 52.50 billion.</w:t>
      </w:r>
      <w:r w:rsidR="002E131A" w:rsidRPr="00EF1387">
        <w:rPr>
          <w:rFonts w:ascii="Times New Roman" w:hAnsi="Times New Roman" w:cs="Times New Roman"/>
          <w:color w:val="211D1E"/>
          <w:sz w:val="24"/>
          <w:szCs w:val="24"/>
        </w:rPr>
        <w:t xml:space="preserve"> </w:t>
      </w:r>
      <w:r w:rsidR="002E131A" w:rsidRPr="0037409C">
        <w:rPr>
          <w:rFonts w:ascii="Times New Roman" w:hAnsi="Times New Roman" w:cs="Times New Roman"/>
          <w:color w:val="211D1E"/>
          <w:sz w:val="24"/>
          <w:szCs w:val="24"/>
        </w:rPr>
        <w:t xml:space="preserve">In 2013-14, the final year of the UPA administration, India's </w:t>
      </w:r>
      <w:proofErr w:type="spellStart"/>
      <w:r w:rsidR="002E131A" w:rsidRPr="0037409C">
        <w:rPr>
          <w:rFonts w:ascii="Times New Roman" w:hAnsi="Times New Roman" w:cs="Times New Roman"/>
          <w:color w:val="211D1E"/>
          <w:sz w:val="24"/>
          <w:szCs w:val="24"/>
        </w:rPr>
        <w:t>agri</w:t>
      </w:r>
      <w:proofErr w:type="spellEnd"/>
      <w:r w:rsidR="002E131A" w:rsidRPr="0037409C">
        <w:rPr>
          <w:rFonts w:ascii="Times New Roman" w:hAnsi="Times New Roman" w:cs="Times New Roman"/>
          <w:color w:val="211D1E"/>
          <w:sz w:val="24"/>
          <w:szCs w:val="24"/>
        </w:rPr>
        <w:t xml:space="preserve">-exports reached $43.27 billion, up from $8.67 billion when it assumed control at the </w:t>
      </w:r>
      <w:r w:rsidR="002E131A">
        <w:rPr>
          <w:rFonts w:ascii="Times New Roman" w:hAnsi="Times New Roman" w:cs="Times New Roman"/>
          <w:color w:val="211D1E"/>
          <w:sz w:val="24"/>
          <w:szCs w:val="24"/>
        </w:rPr>
        <w:t>C</w:t>
      </w:r>
      <w:r w:rsidR="002E131A" w:rsidRPr="0037409C">
        <w:rPr>
          <w:rFonts w:ascii="Times New Roman" w:hAnsi="Times New Roman" w:cs="Times New Roman"/>
          <w:color w:val="211D1E"/>
          <w:sz w:val="24"/>
          <w:szCs w:val="24"/>
        </w:rPr>
        <w:t xml:space="preserve">entre in 2004-05; this represents an almost five-fold increase in ten years. If the same momentum had been maintained during the NDA's ten years in power, agricultural exports </w:t>
      </w:r>
      <w:r w:rsidR="002E131A">
        <w:rPr>
          <w:rFonts w:ascii="Times New Roman" w:hAnsi="Times New Roman" w:cs="Times New Roman"/>
          <w:color w:val="211D1E"/>
          <w:sz w:val="24"/>
          <w:szCs w:val="24"/>
        </w:rPr>
        <w:t>w</w:t>
      </w:r>
      <w:r w:rsidR="002E131A" w:rsidRPr="0037409C">
        <w:rPr>
          <w:rFonts w:ascii="Times New Roman" w:hAnsi="Times New Roman" w:cs="Times New Roman"/>
          <w:color w:val="211D1E"/>
          <w:sz w:val="24"/>
          <w:szCs w:val="24"/>
        </w:rPr>
        <w:t>ould have reached $200 billion. However, they may not reach $50 billion this year (2023-24)</w:t>
      </w:r>
      <w:r w:rsidR="002E131A">
        <w:rPr>
          <w:rFonts w:ascii="Times New Roman" w:hAnsi="Times New Roman" w:cs="Times New Roman"/>
          <w:sz w:val="24"/>
          <w:szCs w:val="24"/>
        </w:rPr>
        <w:t xml:space="preserve"> (Ashok Gulati).</w:t>
      </w:r>
      <w:r w:rsidR="002E131A" w:rsidRPr="00BD35DB">
        <w:rPr>
          <w:rFonts w:ascii="Times New Roman" w:hAnsi="Times New Roman" w:cs="Times New Roman"/>
          <w:color w:val="211D1E"/>
          <w:sz w:val="24"/>
          <w:szCs w:val="24"/>
        </w:rPr>
        <w:t xml:space="preserve"> </w:t>
      </w:r>
      <w:r w:rsidR="00B74EB8" w:rsidRPr="00B74EB8">
        <w:rPr>
          <w:rFonts w:ascii="Times New Roman" w:hAnsi="Times New Roman" w:cs="Times New Roman"/>
          <w:color w:val="211D1E"/>
          <w:sz w:val="24"/>
          <w:szCs w:val="24"/>
        </w:rPr>
        <w:t>India, with the world's second-largest population and fifth-largest economy, is now ranked 13th in global commerce.</w:t>
      </w:r>
      <w:r w:rsidR="00B74EB8">
        <w:rPr>
          <w:rFonts w:ascii="Times New Roman" w:hAnsi="Times New Roman" w:cs="Times New Roman"/>
          <w:color w:val="211D1E"/>
          <w:sz w:val="24"/>
          <w:szCs w:val="24"/>
        </w:rPr>
        <w:t xml:space="preserve"> </w:t>
      </w:r>
      <w:r w:rsidR="008E3525" w:rsidRPr="008E3525">
        <w:rPr>
          <w:rFonts w:ascii="Times New Roman" w:hAnsi="Times New Roman" w:cs="Times New Roman"/>
          <w:color w:val="211D1E"/>
          <w:sz w:val="24"/>
          <w:szCs w:val="24"/>
        </w:rPr>
        <w:t>The country has earned a substantial US$ 623 billion in merchandise trade and US$ 294 billion in services trade.</w:t>
      </w:r>
      <w:r w:rsidR="008E3525">
        <w:rPr>
          <w:rFonts w:ascii="Times New Roman" w:hAnsi="Times New Roman" w:cs="Times New Roman"/>
          <w:color w:val="211D1E"/>
          <w:sz w:val="24"/>
          <w:szCs w:val="24"/>
        </w:rPr>
        <w:t xml:space="preserve"> </w:t>
      </w:r>
      <w:r w:rsidR="00156100" w:rsidRPr="00156100">
        <w:rPr>
          <w:rFonts w:ascii="Times New Roman" w:hAnsi="Times New Roman" w:cs="Times New Roman"/>
          <w:color w:val="211D1E"/>
          <w:sz w:val="24"/>
          <w:szCs w:val="24"/>
        </w:rPr>
        <w:t xml:space="preserve">Between 1960-61 and 2013-14, the percentage of total exports represented by </w:t>
      </w:r>
      <w:r w:rsidR="00156100" w:rsidRPr="00156100">
        <w:rPr>
          <w:rFonts w:ascii="Times New Roman" w:hAnsi="Times New Roman" w:cs="Times New Roman"/>
          <w:color w:val="211D1E"/>
          <w:sz w:val="24"/>
          <w:szCs w:val="24"/>
        </w:rPr>
        <w:lastRenderedPageBreak/>
        <w:t>agriculture and allied products in the Indian economy decreased from 44.2 percent to 13.6 percent</w:t>
      </w:r>
      <w:r w:rsidR="00156100">
        <w:rPr>
          <w:rFonts w:ascii="Times New Roman" w:hAnsi="Times New Roman" w:cs="Times New Roman"/>
          <w:color w:val="211D1E"/>
          <w:sz w:val="24"/>
          <w:szCs w:val="24"/>
        </w:rPr>
        <w:t xml:space="preserve"> (Indian Economy)</w:t>
      </w:r>
      <w:r w:rsidR="00156100" w:rsidRPr="00156100">
        <w:rPr>
          <w:rFonts w:ascii="Times New Roman" w:hAnsi="Times New Roman" w:cs="Times New Roman"/>
          <w:color w:val="211D1E"/>
          <w:sz w:val="24"/>
          <w:szCs w:val="24"/>
        </w:rPr>
        <w:t>. Subsequently, from 2013-14 to 2022-23, India's share in the global agricultural export market witnessed a decline, dropping from 13.79 percent to 11.63 percent.</w:t>
      </w:r>
    </w:p>
    <w:p w14:paraId="6E4E4A89" w14:textId="77777777" w:rsidR="00BB0DDB" w:rsidRPr="00BB0DDB" w:rsidRDefault="00327093" w:rsidP="00BB0DDB">
      <w:pPr>
        <w:spacing w:line="360" w:lineRule="auto"/>
        <w:jc w:val="both"/>
        <w:rPr>
          <w:rFonts w:ascii="Times New Roman" w:hAnsi="Times New Roman" w:cs="Times New Roman"/>
          <w:b/>
          <w:color w:val="221E1F"/>
          <w:sz w:val="24"/>
          <w:szCs w:val="24"/>
        </w:rPr>
      </w:pPr>
      <w:r>
        <w:rPr>
          <w:rFonts w:ascii="Times New Roman" w:hAnsi="Times New Roman" w:cs="Times New Roman"/>
          <w:b/>
          <w:bCs/>
          <w:color w:val="221E1F"/>
          <w:sz w:val="24"/>
          <w:szCs w:val="24"/>
        </w:rPr>
        <w:t>Table 2</w:t>
      </w:r>
      <w:r w:rsidR="00BB0DDB" w:rsidRPr="00BB0DDB">
        <w:rPr>
          <w:rFonts w:ascii="Times New Roman" w:hAnsi="Times New Roman" w:cs="Times New Roman"/>
          <w:b/>
          <w:bCs/>
          <w:color w:val="221E1F"/>
          <w:sz w:val="24"/>
          <w:szCs w:val="24"/>
        </w:rPr>
        <w:t xml:space="preserve">: </w:t>
      </w:r>
      <w:r w:rsidR="00BB0DDB" w:rsidRPr="00BB0DDB">
        <w:rPr>
          <w:rFonts w:ascii="Times New Roman" w:hAnsi="Times New Roman" w:cs="Times New Roman"/>
          <w:b/>
          <w:color w:val="221E1F"/>
          <w:sz w:val="24"/>
          <w:szCs w:val="24"/>
        </w:rPr>
        <w:t>India</w:t>
      </w:r>
      <w:r w:rsidR="00D31198">
        <w:rPr>
          <w:rFonts w:ascii="Times New Roman" w:hAnsi="Times New Roman" w:cs="Times New Roman"/>
          <w:b/>
          <w:color w:val="221E1F"/>
          <w:sz w:val="24"/>
          <w:szCs w:val="24"/>
        </w:rPr>
        <w:t>'</w:t>
      </w:r>
      <w:r w:rsidR="00BB0DDB" w:rsidRPr="00BB0DDB">
        <w:rPr>
          <w:rFonts w:ascii="Times New Roman" w:hAnsi="Times New Roman" w:cs="Times New Roman"/>
          <w:b/>
          <w:color w:val="221E1F"/>
          <w:sz w:val="24"/>
          <w:szCs w:val="24"/>
        </w:rPr>
        <w:t>s Exports of Agricultural Commodities (US$ Billion)</w:t>
      </w:r>
    </w:p>
    <w:tbl>
      <w:tblPr>
        <w:tblStyle w:val="TableGrid"/>
        <w:tblW w:w="0" w:type="auto"/>
        <w:tblLook w:val="04A0" w:firstRow="1" w:lastRow="0" w:firstColumn="1" w:lastColumn="0" w:noHBand="0" w:noVBand="1"/>
      </w:tblPr>
      <w:tblGrid>
        <w:gridCol w:w="1668"/>
        <w:gridCol w:w="1701"/>
        <w:gridCol w:w="1984"/>
        <w:gridCol w:w="2693"/>
      </w:tblGrid>
      <w:tr w:rsidR="00BB0DDB" w:rsidRPr="0076279D" w14:paraId="553DCE78" w14:textId="77777777" w:rsidTr="00BB0DDB">
        <w:tc>
          <w:tcPr>
            <w:tcW w:w="1668" w:type="dxa"/>
          </w:tcPr>
          <w:p w14:paraId="4C8E657A" w14:textId="77777777" w:rsidR="00BB0DDB" w:rsidRPr="007A77F6" w:rsidRDefault="00BB0DDB" w:rsidP="00AF74A6">
            <w:pPr>
              <w:spacing w:line="360" w:lineRule="auto"/>
              <w:jc w:val="both"/>
              <w:rPr>
                <w:rFonts w:ascii="Times New Roman" w:hAnsi="Times New Roman" w:cs="Times New Roman"/>
                <w:b/>
                <w:sz w:val="24"/>
                <w:szCs w:val="24"/>
              </w:rPr>
            </w:pPr>
            <w:bookmarkStart w:id="0" w:name="OLE_LINK1"/>
            <w:bookmarkStart w:id="1" w:name="OLE_LINK2"/>
            <w:r w:rsidRPr="007A77F6">
              <w:rPr>
                <w:rFonts w:ascii="Times New Roman" w:hAnsi="Times New Roman" w:cs="Times New Roman"/>
                <w:b/>
                <w:sz w:val="24"/>
                <w:szCs w:val="24"/>
              </w:rPr>
              <w:t>Year</w:t>
            </w:r>
          </w:p>
        </w:tc>
        <w:tc>
          <w:tcPr>
            <w:tcW w:w="1701" w:type="dxa"/>
          </w:tcPr>
          <w:p w14:paraId="0DD7CEF7" w14:textId="77777777" w:rsidR="00BB0DDB" w:rsidRPr="007A77F6" w:rsidRDefault="00BB0DDB" w:rsidP="00AF74A6">
            <w:pPr>
              <w:pStyle w:val="Pa10"/>
              <w:jc w:val="both"/>
              <w:rPr>
                <w:color w:val="221E1F"/>
              </w:rPr>
            </w:pPr>
            <w:r w:rsidRPr="007A77F6">
              <w:rPr>
                <w:b/>
                <w:bCs/>
                <w:color w:val="221E1F"/>
              </w:rPr>
              <w:t xml:space="preserve">Agricultural </w:t>
            </w:r>
          </w:p>
          <w:p w14:paraId="2B2BA4CF"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bCs/>
                <w:color w:val="221E1F"/>
                <w:sz w:val="24"/>
                <w:szCs w:val="24"/>
              </w:rPr>
              <w:t xml:space="preserve">Exports </w:t>
            </w:r>
          </w:p>
        </w:tc>
        <w:tc>
          <w:tcPr>
            <w:tcW w:w="1984" w:type="dxa"/>
          </w:tcPr>
          <w:p w14:paraId="445E7330" w14:textId="77777777" w:rsidR="00BB0DDB" w:rsidRPr="007A77F6" w:rsidRDefault="00BB0DDB" w:rsidP="00AF74A6">
            <w:pPr>
              <w:pStyle w:val="Pa10"/>
              <w:jc w:val="center"/>
              <w:rPr>
                <w:color w:val="221E1F"/>
              </w:rPr>
            </w:pPr>
            <w:r w:rsidRPr="007A77F6">
              <w:rPr>
                <w:b/>
                <w:bCs/>
                <w:color w:val="221E1F"/>
              </w:rPr>
              <w:t xml:space="preserve">Total National </w:t>
            </w:r>
          </w:p>
          <w:p w14:paraId="7675D80B" w14:textId="77777777" w:rsidR="00BB0DDB" w:rsidRPr="007A77F6" w:rsidRDefault="00BB0DDB" w:rsidP="00AF74A6">
            <w:pPr>
              <w:pStyle w:val="Pa10"/>
              <w:jc w:val="center"/>
              <w:rPr>
                <w:color w:val="221E1F"/>
              </w:rPr>
            </w:pPr>
            <w:r w:rsidRPr="007A77F6">
              <w:rPr>
                <w:b/>
                <w:bCs/>
                <w:color w:val="221E1F"/>
              </w:rPr>
              <w:t xml:space="preserve">Exports </w:t>
            </w:r>
          </w:p>
        </w:tc>
        <w:tc>
          <w:tcPr>
            <w:tcW w:w="2693" w:type="dxa"/>
          </w:tcPr>
          <w:p w14:paraId="21EE1582" w14:textId="77777777" w:rsidR="00BB0DDB" w:rsidRPr="007A77F6" w:rsidRDefault="00BB0DDB" w:rsidP="00AF74A6">
            <w:pPr>
              <w:pStyle w:val="Pa10"/>
              <w:jc w:val="center"/>
              <w:rPr>
                <w:color w:val="221E1F"/>
              </w:rPr>
            </w:pPr>
            <w:r w:rsidRPr="007A77F6">
              <w:rPr>
                <w:b/>
                <w:bCs/>
                <w:color w:val="221E1F"/>
              </w:rPr>
              <w:t xml:space="preserve">% of Agricultural </w:t>
            </w:r>
          </w:p>
          <w:p w14:paraId="45BBEB47" w14:textId="77777777" w:rsidR="00BB0DDB" w:rsidRPr="007A77F6" w:rsidRDefault="00BB0DDB" w:rsidP="00AF74A6">
            <w:pPr>
              <w:pStyle w:val="Pa10"/>
              <w:jc w:val="center"/>
              <w:rPr>
                <w:color w:val="221E1F"/>
              </w:rPr>
            </w:pPr>
            <w:r w:rsidRPr="007A77F6">
              <w:rPr>
                <w:b/>
                <w:bCs/>
                <w:color w:val="221E1F"/>
              </w:rPr>
              <w:t xml:space="preserve">Exports to Total National Exports </w:t>
            </w:r>
          </w:p>
        </w:tc>
      </w:tr>
      <w:tr w:rsidR="001D4FDA" w:rsidRPr="0076279D" w14:paraId="5A44C9AA" w14:textId="77777777" w:rsidTr="00BB0DDB">
        <w:tc>
          <w:tcPr>
            <w:tcW w:w="1668" w:type="dxa"/>
          </w:tcPr>
          <w:p w14:paraId="3F26BCF7"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2003-04</w:t>
            </w:r>
          </w:p>
        </w:tc>
        <w:tc>
          <w:tcPr>
            <w:tcW w:w="1701" w:type="dxa"/>
          </w:tcPr>
          <w:p w14:paraId="4C2C34BC"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7.92</w:t>
            </w:r>
          </w:p>
        </w:tc>
        <w:tc>
          <w:tcPr>
            <w:tcW w:w="1984" w:type="dxa"/>
          </w:tcPr>
          <w:p w14:paraId="56EFE471"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63.84</w:t>
            </w:r>
          </w:p>
        </w:tc>
        <w:tc>
          <w:tcPr>
            <w:tcW w:w="2693" w:type="dxa"/>
          </w:tcPr>
          <w:p w14:paraId="4C1B9C37"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12.41</w:t>
            </w:r>
          </w:p>
        </w:tc>
      </w:tr>
      <w:tr w:rsidR="001D4FDA" w:rsidRPr="0076279D" w14:paraId="68B7D91E" w14:textId="77777777" w:rsidTr="00BB0DDB">
        <w:tc>
          <w:tcPr>
            <w:tcW w:w="1668" w:type="dxa"/>
          </w:tcPr>
          <w:p w14:paraId="1BF956E0"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2004-05</w:t>
            </w:r>
          </w:p>
        </w:tc>
        <w:tc>
          <w:tcPr>
            <w:tcW w:w="1701" w:type="dxa"/>
          </w:tcPr>
          <w:p w14:paraId="47869A3A"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9.26</w:t>
            </w:r>
          </w:p>
        </w:tc>
        <w:tc>
          <w:tcPr>
            <w:tcW w:w="1984" w:type="dxa"/>
          </w:tcPr>
          <w:p w14:paraId="11D78E85"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83.54</w:t>
            </w:r>
          </w:p>
        </w:tc>
        <w:tc>
          <w:tcPr>
            <w:tcW w:w="2693" w:type="dxa"/>
          </w:tcPr>
          <w:p w14:paraId="158349ED"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11.08</w:t>
            </w:r>
          </w:p>
        </w:tc>
      </w:tr>
      <w:tr w:rsidR="001D4FDA" w:rsidRPr="0076279D" w14:paraId="5999E43A" w14:textId="77777777" w:rsidTr="00BB0DDB">
        <w:tc>
          <w:tcPr>
            <w:tcW w:w="1668" w:type="dxa"/>
          </w:tcPr>
          <w:p w14:paraId="701153CC"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2005-06</w:t>
            </w:r>
          </w:p>
        </w:tc>
        <w:tc>
          <w:tcPr>
            <w:tcW w:w="1701" w:type="dxa"/>
          </w:tcPr>
          <w:p w14:paraId="63C8BBA2"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10.32</w:t>
            </w:r>
          </w:p>
        </w:tc>
        <w:tc>
          <w:tcPr>
            <w:tcW w:w="1984" w:type="dxa"/>
          </w:tcPr>
          <w:p w14:paraId="26D31FE1"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103.09</w:t>
            </w:r>
          </w:p>
        </w:tc>
        <w:tc>
          <w:tcPr>
            <w:tcW w:w="2693" w:type="dxa"/>
          </w:tcPr>
          <w:p w14:paraId="0C7AAF0B"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10.02</w:t>
            </w:r>
          </w:p>
        </w:tc>
      </w:tr>
      <w:tr w:rsidR="001D4FDA" w:rsidRPr="0076279D" w14:paraId="2018675C" w14:textId="77777777" w:rsidTr="00BB0DDB">
        <w:tc>
          <w:tcPr>
            <w:tcW w:w="1668" w:type="dxa"/>
          </w:tcPr>
          <w:p w14:paraId="7FD57DDA"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2006-07</w:t>
            </w:r>
          </w:p>
        </w:tc>
        <w:tc>
          <w:tcPr>
            <w:tcW w:w="1701" w:type="dxa"/>
          </w:tcPr>
          <w:p w14:paraId="3C4A0CE8"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12.76</w:t>
            </w:r>
          </w:p>
        </w:tc>
        <w:tc>
          <w:tcPr>
            <w:tcW w:w="1984" w:type="dxa"/>
          </w:tcPr>
          <w:p w14:paraId="7FDDEBBB"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126.26</w:t>
            </w:r>
          </w:p>
        </w:tc>
        <w:tc>
          <w:tcPr>
            <w:tcW w:w="2693" w:type="dxa"/>
          </w:tcPr>
          <w:p w14:paraId="7FA961C3"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10.10</w:t>
            </w:r>
          </w:p>
        </w:tc>
      </w:tr>
      <w:tr w:rsidR="001D4FDA" w:rsidRPr="0076279D" w14:paraId="2983CEC4" w14:textId="77777777" w:rsidTr="00BB0DDB">
        <w:tc>
          <w:tcPr>
            <w:tcW w:w="1668" w:type="dxa"/>
          </w:tcPr>
          <w:p w14:paraId="6341EF17"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2007-08</w:t>
            </w:r>
          </w:p>
        </w:tc>
        <w:tc>
          <w:tcPr>
            <w:tcW w:w="1701" w:type="dxa"/>
          </w:tcPr>
          <w:p w14:paraId="737E27CF"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18.56</w:t>
            </w:r>
          </w:p>
        </w:tc>
        <w:tc>
          <w:tcPr>
            <w:tcW w:w="1984" w:type="dxa"/>
          </w:tcPr>
          <w:p w14:paraId="49CA23F7" w14:textId="77777777" w:rsidR="001D4FDA" w:rsidRPr="007A77F6" w:rsidRDefault="001D4FDA"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162.98</w:t>
            </w:r>
          </w:p>
        </w:tc>
        <w:tc>
          <w:tcPr>
            <w:tcW w:w="2693" w:type="dxa"/>
          </w:tcPr>
          <w:p w14:paraId="6AD286A1"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11.39</w:t>
            </w:r>
          </w:p>
        </w:tc>
      </w:tr>
      <w:tr w:rsidR="001D4FDA" w:rsidRPr="0076279D" w14:paraId="4DE08DC6" w14:textId="77777777" w:rsidTr="00BB0DDB">
        <w:tc>
          <w:tcPr>
            <w:tcW w:w="1668" w:type="dxa"/>
          </w:tcPr>
          <w:p w14:paraId="40A00DD8"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2008-09</w:t>
            </w:r>
          </w:p>
        </w:tc>
        <w:tc>
          <w:tcPr>
            <w:tcW w:w="1701" w:type="dxa"/>
          </w:tcPr>
          <w:p w14:paraId="573FECBC"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17.65</w:t>
            </w:r>
          </w:p>
        </w:tc>
        <w:tc>
          <w:tcPr>
            <w:tcW w:w="1984" w:type="dxa"/>
          </w:tcPr>
          <w:p w14:paraId="4A69DD42"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183.10</w:t>
            </w:r>
          </w:p>
        </w:tc>
        <w:tc>
          <w:tcPr>
            <w:tcW w:w="2693" w:type="dxa"/>
          </w:tcPr>
          <w:p w14:paraId="5A5A1B92"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9.64</w:t>
            </w:r>
          </w:p>
        </w:tc>
      </w:tr>
      <w:tr w:rsidR="001D4FDA" w:rsidRPr="0076279D" w14:paraId="68306D70" w14:textId="77777777" w:rsidTr="00BB0DDB">
        <w:tc>
          <w:tcPr>
            <w:tcW w:w="1668" w:type="dxa"/>
          </w:tcPr>
          <w:p w14:paraId="3AABC7B0"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2009-10</w:t>
            </w:r>
          </w:p>
        </w:tc>
        <w:tc>
          <w:tcPr>
            <w:tcW w:w="1701" w:type="dxa"/>
          </w:tcPr>
          <w:p w14:paraId="6B186DD9"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17.81</w:t>
            </w:r>
          </w:p>
        </w:tc>
        <w:tc>
          <w:tcPr>
            <w:tcW w:w="1984" w:type="dxa"/>
          </w:tcPr>
          <w:p w14:paraId="233AFF8A"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178.32</w:t>
            </w:r>
          </w:p>
        </w:tc>
        <w:tc>
          <w:tcPr>
            <w:tcW w:w="2693" w:type="dxa"/>
          </w:tcPr>
          <w:p w14:paraId="296A2594"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9.99</w:t>
            </w:r>
          </w:p>
        </w:tc>
      </w:tr>
      <w:tr w:rsidR="001D4FDA" w:rsidRPr="0076279D" w14:paraId="1BA27F98" w14:textId="77777777" w:rsidTr="00BB0DDB">
        <w:tc>
          <w:tcPr>
            <w:tcW w:w="1668" w:type="dxa"/>
          </w:tcPr>
          <w:p w14:paraId="24E35741"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2010-11</w:t>
            </w:r>
          </w:p>
        </w:tc>
        <w:tc>
          <w:tcPr>
            <w:tcW w:w="1701" w:type="dxa"/>
          </w:tcPr>
          <w:p w14:paraId="40970BDD"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24.80</w:t>
            </w:r>
          </w:p>
        </w:tc>
        <w:tc>
          <w:tcPr>
            <w:tcW w:w="1984" w:type="dxa"/>
          </w:tcPr>
          <w:p w14:paraId="7DAF0069"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249.46</w:t>
            </w:r>
          </w:p>
        </w:tc>
        <w:tc>
          <w:tcPr>
            <w:tcW w:w="2693" w:type="dxa"/>
          </w:tcPr>
          <w:p w14:paraId="3DAFC843"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9.94</w:t>
            </w:r>
          </w:p>
        </w:tc>
      </w:tr>
      <w:tr w:rsidR="001D4FDA" w:rsidRPr="0076279D" w14:paraId="43F19B4F" w14:textId="77777777" w:rsidTr="00BB0DDB">
        <w:tc>
          <w:tcPr>
            <w:tcW w:w="1668" w:type="dxa"/>
          </w:tcPr>
          <w:p w14:paraId="4405A81C"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2011-12</w:t>
            </w:r>
          </w:p>
        </w:tc>
        <w:tc>
          <w:tcPr>
            <w:tcW w:w="1701" w:type="dxa"/>
          </w:tcPr>
          <w:p w14:paraId="280F155D"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38.14</w:t>
            </w:r>
          </w:p>
        </w:tc>
        <w:tc>
          <w:tcPr>
            <w:tcW w:w="1984" w:type="dxa"/>
          </w:tcPr>
          <w:p w14:paraId="65B3466F"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305.90</w:t>
            </w:r>
          </w:p>
        </w:tc>
        <w:tc>
          <w:tcPr>
            <w:tcW w:w="2693" w:type="dxa"/>
          </w:tcPr>
          <w:p w14:paraId="29A1EC43"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12.47</w:t>
            </w:r>
          </w:p>
        </w:tc>
      </w:tr>
      <w:tr w:rsidR="001D4FDA" w:rsidRPr="0076279D" w14:paraId="60FEEA8A" w14:textId="77777777" w:rsidTr="00BB0DDB">
        <w:tc>
          <w:tcPr>
            <w:tcW w:w="1668" w:type="dxa"/>
          </w:tcPr>
          <w:p w14:paraId="26DFFECA" w14:textId="77777777" w:rsidR="001D4FDA" w:rsidRPr="007A77F6" w:rsidRDefault="001D4FDA" w:rsidP="00AF74A6">
            <w:pPr>
              <w:spacing w:line="360" w:lineRule="auto"/>
              <w:jc w:val="both"/>
              <w:rPr>
                <w:rFonts w:ascii="Times New Roman" w:hAnsi="Times New Roman" w:cs="Times New Roman"/>
                <w:b/>
                <w:sz w:val="24"/>
                <w:szCs w:val="24"/>
              </w:rPr>
            </w:pPr>
            <w:r>
              <w:rPr>
                <w:rFonts w:ascii="Times New Roman" w:hAnsi="Times New Roman" w:cs="Times New Roman"/>
                <w:b/>
                <w:sz w:val="24"/>
                <w:szCs w:val="24"/>
              </w:rPr>
              <w:t>2012-13</w:t>
            </w:r>
          </w:p>
        </w:tc>
        <w:tc>
          <w:tcPr>
            <w:tcW w:w="1701" w:type="dxa"/>
          </w:tcPr>
          <w:p w14:paraId="7A3E6418"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42.70</w:t>
            </w:r>
          </w:p>
        </w:tc>
        <w:tc>
          <w:tcPr>
            <w:tcW w:w="1984" w:type="dxa"/>
          </w:tcPr>
          <w:p w14:paraId="4692EF52"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307.14</w:t>
            </w:r>
          </w:p>
        </w:tc>
        <w:tc>
          <w:tcPr>
            <w:tcW w:w="2693" w:type="dxa"/>
          </w:tcPr>
          <w:p w14:paraId="0DF3E759" w14:textId="77777777" w:rsidR="001D4FDA" w:rsidRPr="007A77F6" w:rsidRDefault="00AF25E8" w:rsidP="00AF74A6">
            <w:pPr>
              <w:spacing w:line="360" w:lineRule="auto"/>
              <w:jc w:val="both"/>
              <w:rPr>
                <w:rFonts w:ascii="Times New Roman" w:hAnsi="Times New Roman" w:cs="Times New Roman"/>
                <w:sz w:val="24"/>
                <w:szCs w:val="24"/>
              </w:rPr>
            </w:pPr>
            <w:r>
              <w:rPr>
                <w:rFonts w:ascii="Times New Roman" w:hAnsi="Times New Roman" w:cs="Times New Roman"/>
                <w:sz w:val="24"/>
                <w:szCs w:val="24"/>
              </w:rPr>
              <w:t>13.90</w:t>
            </w:r>
          </w:p>
        </w:tc>
      </w:tr>
      <w:tr w:rsidR="00BB0DDB" w:rsidRPr="0076279D" w14:paraId="1A24CE76" w14:textId="77777777" w:rsidTr="00BB0DDB">
        <w:tc>
          <w:tcPr>
            <w:tcW w:w="1668" w:type="dxa"/>
          </w:tcPr>
          <w:p w14:paraId="2E78AC97"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2013-14</w:t>
            </w:r>
          </w:p>
        </w:tc>
        <w:tc>
          <w:tcPr>
            <w:tcW w:w="1701" w:type="dxa"/>
          </w:tcPr>
          <w:p w14:paraId="6681EB61"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43.43</w:t>
            </w:r>
          </w:p>
        </w:tc>
        <w:tc>
          <w:tcPr>
            <w:tcW w:w="1984" w:type="dxa"/>
          </w:tcPr>
          <w:p w14:paraId="212FCFD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314.87</w:t>
            </w:r>
          </w:p>
        </w:tc>
        <w:tc>
          <w:tcPr>
            <w:tcW w:w="2693" w:type="dxa"/>
          </w:tcPr>
          <w:p w14:paraId="42463324"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13.79</w:t>
            </w:r>
          </w:p>
        </w:tc>
      </w:tr>
      <w:tr w:rsidR="00BB0DDB" w:rsidRPr="0076279D" w14:paraId="01038EE7" w14:textId="77777777" w:rsidTr="00BB0DDB">
        <w:tc>
          <w:tcPr>
            <w:tcW w:w="1668" w:type="dxa"/>
          </w:tcPr>
          <w:p w14:paraId="11114B4E"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2014-15</w:t>
            </w:r>
          </w:p>
        </w:tc>
        <w:tc>
          <w:tcPr>
            <w:tcW w:w="1701" w:type="dxa"/>
          </w:tcPr>
          <w:p w14:paraId="5F8298EB"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39.20</w:t>
            </w:r>
          </w:p>
        </w:tc>
        <w:tc>
          <w:tcPr>
            <w:tcW w:w="1984" w:type="dxa"/>
          </w:tcPr>
          <w:p w14:paraId="3031684F"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310.15</w:t>
            </w:r>
          </w:p>
        </w:tc>
        <w:tc>
          <w:tcPr>
            <w:tcW w:w="2693" w:type="dxa"/>
          </w:tcPr>
          <w:p w14:paraId="727B589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12.64</w:t>
            </w:r>
          </w:p>
        </w:tc>
      </w:tr>
      <w:tr w:rsidR="00BB0DDB" w:rsidRPr="0076279D" w14:paraId="0EC3A1C9" w14:textId="77777777" w:rsidTr="00BB0DDB">
        <w:tc>
          <w:tcPr>
            <w:tcW w:w="1668" w:type="dxa"/>
          </w:tcPr>
          <w:p w14:paraId="008DDDCF"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2015-16</w:t>
            </w:r>
          </w:p>
        </w:tc>
        <w:tc>
          <w:tcPr>
            <w:tcW w:w="1701" w:type="dxa"/>
          </w:tcPr>
          <w:p w14:paraId="5D82EFEB"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32.90</w:t>
            </w:r>
          </w:p>
        </w:tc>
        <w:tc>
          <w:tcPr>
            <w:tcW w:w="1984" w:type="dxa"/>
          </w:tcPr>
          <w:p w14:paraId="033AE5AC"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262.17</w:t>
            </w:r>
          </w:p>
        </w:tc>
        <w:tc>
          <w:tcPr>
            <w:tcW w:w="2693" w:type="dxa"/>
          </w:tcPr>
          <w:p w14:paraId="0589B3C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12.55</w:t>
            </w:r>
          </w:p>
        </w:tc>
      </w:tr>
      <w:tr w:rsidR="00BB0DDB" w:rsidRPr="0076279D" w14:paraId="0C76CA1E" w14:textId="77777777" w:rsidTr="00BB0DDB">
        <w:tc>
          <w:tcPr>
            <w:tcW w:w="1668" w:type="dxa"/>
          </w:tcPr>
          <w:p w14:paraId="02224C1E"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2016-17</w:t>
            </w:r>
          </w:p>
        </w:tc>
        <w:tc>
          <w:tcPr>
            <w:tcW w:w="1701" w:type="dxa"/>
          </w:tcPr>
          <w:p w14:paraId="78CED6A7"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33.79</w:t>
            </w:r>
          </w:p>
        </w:tc>
        <w:tc>
          <w:tcPr>
            <w:tcW w:w="1984" w:type="dxa"/>
          </w:tcPr>
          <w:p w14:paraId="320DAC43"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275.74</w:t>
            </w:r>
          </w:p>
        </w:tc>
        <w:tc>
          <w:tcPr>
            <w:tcW w:w="2693" w:type="dxa"/>
          </w:tcPr>
          <w:p w14:paraId="51964235"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12.26</w:t>
            </w:r>
          </w:p>
        </w:tc>
      </w:tr>
      <w:tr w:rsidR="00BB0DDB" w:rsidRPr="0076279D" w14:paraId="21218EF5" w14:textId="77777777" w:rsidTr="00BB0DDB">
        <w:tc>
          <w:tcPr>
            <w:tcW w:w="1668" w:type="dxa"/>
          </w:tcPr>
          <w:p w14:paraId="443492BA"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2017-18</w:t>
            </w:r>
          </w:p>
        </w:tc>
        <w:tc>
          <w:tcPr>
            <w:tcW w:w="1701" w:type="dxa"/>
          </w:tcPr>
          <w:p w14:paraId="2FEDBB65"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39.03</w:t>
            </w:r>
          </w:p>
        </w:tc>
        <w:tc>
          <w:tcPr>
            <w:tcW w:w="1984" w:type="dxa"/>
          </w:tcPr>
          <w:p w14:paraId="4E3AD2A7"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303.55</w:t>
            </w:r>
          </w:p>
        </w:tc>
        <w:tc>
          <w:tcPr>
            <w:tcW w:w="2693" w:type="dxa"/>
          </w:tcPr>
          <w:p w14:paraId="41B03D04"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12.86</w:t>
            </w:r>
          </w:p>
        </w:tc>
      </w:tr>
      <w:tr w:rsidR="00BB0DDB" w:rsidRPr="0076279D" w14:paraId="27203518" w14:textId="77777777" w:rsidTr="00BB0DDB">
        <w:tc>
          <w:tcPr>
            <w:tcW w:w="1668" w:type="dxa"/>
          </w:tcPr>
          <w:p w14:paraId="1F7611F1"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2018-19</w:t>
            </w:r>
          </w:p>
        </w:tc>
        <w:tc>
          <w:tcPr>
            <w:tcW w:w="1701" w:type="dxa"/>
          </w:tcPr>
          <w:p w14:paraId="0F9B023A"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39.27</w:t>
            </w:r>
          </w:p>
        </w:tc>
        <w:tc>
          <w:tcPr>
            <w:tcW w:w="1984" w:type="dxa"/>
          </w:tcPr>
          <w:p w14:paraId="48B11CF9"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330.04</w:t>
            </w:r>
          </w:p>
        </w:tc>
        <w:tc>
          <w:tcPr>
            <w:tcW w:w="2693" w:type="dxa"/>
          </w:tcPr>
          <w:p w14:paraId="4DB1553F"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11.90</w:t>
            </w:r>
          </w:p>
        </w:tc>
      </w:tr>
      <w:tr w:rsidR="00BB0DDB" w:rsidRPr="0076279D" w14:paraId="029BB382" w14:textId="77777777" w:rsidTr="00BB0DDB">
        <w:tc>
          <w:tcPr>
            <w:tcW w:w="1668" w:type="dxa"/>
          </w:tcPr>
          <w:p w14:paraId="19A1A014"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2019-20</w:t>
            </w:r>
          </w:p>
        </w:tc>
        <w:tc>
          <w:tcPr>
            <w:tcW w:w="1701" w:type="dxa"/>
          </w:tcPr>
          <w:p w14:paraId="6886E83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35.93</w:t>
            </w:r>
          </w:p>
        </w:tc>
        <w:tc>
          <w:tcPr>
            <w:tcW w:w="1984" w:type="dxa"/>
          </w:tcPr>
          <w:p w14:paraId="1A888F95"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315.32</w:t>
            </w:r>
          </w:p>
        </w:tc>
        <w:tc>
          <w:tcPr>
            <w:tcW w:w="2693" w:type="dxa"/>
          </w:tcPr>
          <w:p w14:paraId="03F900A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11.40</w:t>
            </w:r>
          </w:p>
        </w:tc>
      </w:tr>
      <w:tr w:rsidR="00BB0DDB" w:rsidRPr="0076279D" w14:paraId="414A3A54" w14:textId="77777777" w:rsidTr="00BB0DDB">
        <w:tc>
          <w:tcPr>
            <w:tcW w:w="1668" w:type="dxa"/>
          </w:tcPr>
          <w:p w14:paraId="2A4240B8"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2020-21</w:t>
            </w:r>
          </w:p>
        </w:tc>
        <w:tc>
          <w:tcPr>
            <w:tcW w:w="1701" w:type="dxa"/>
          </w:tcPr>
          <w:p w14:paraId="4AB9990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41.56</w:t>
            </w:r>
          </w:p>
        </w:tc>
        <w:tc>
          <w:tcPr>
            <w:tcW w:w="1984" w:type="dxa"/>
          </w:tcPr>
          <w:p w14:paraId="4D318022"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292.76</w:t>
            </w:r>
          </w:p>
        </w:tc>
        <w:tc>
          <w:tcPr>
            <w:tcW w:w="2693" w:type="dxa"/>
          </w:tcPr>
          <w:p w14:paraId="7F0D6E37"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14.20</w:t>
            </w:r>
          </w:p>
        </w:tc>
      </w:tr>
      <w:tr w:rsidR="00BB0DDB" w:rsidRPr="0076279D" w14:paraId="6BB50E36" w14:textId="77777777" w:rsidTr="00BB0DDB">
        <w:tc>
          <w:tcPr>
            <w:tcW w:w="1668" w:type="dxa"/>
          </w:tcPr>
          <w:p w14:paraId="57AC7637"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2021-22</w:t>
            </w:r>
          </w:p>
        </w:tc>
        <w:tc>
          <w:tcPr>
            <w:tcW w:w="1701" w:type="dxa"/>
          </w:tcPr>
          <w:p w14:paraId="0E4003AF"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49.59</w:t>
            </w:r>
          </w:p>
        </w:tc>
        <w:tc>
          <w:tcPr>
            <w:tcW w:w="1984" w:type="dxa"/>
          </w:tcPr>
          <w:p w14:paraId="48DA1309"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422.00</w:t>
            </w:r>
          </w:p>
        </w:tc>
        <w:tc>
          <w:tcPr>
            <w:tcW w:w="2693" w:type="dxa"/>
          </w:tcPr>
          <w:p w14:paraId="71191E87"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11.75</w:t>
            </w:r>
          </w:p>
        </w:tc>
      </w:tr>
      <w:tr w:rsidR="00BB0DDB" w:rsidRPr="0076279D" w14:paraId="64BEC5BD" w14:textId="77777777" w:rsidTr="00BB0DDB">
        <w:tc>
          <w:tcPr>
            <w:tcW w:w="1668" w:type="dxa"/>
          </w:tcPr>
          <w:p w14:paraId="1BEF207C" w14:textId="77777777" w:rsidR="00BB0DDB" w:rsidRPr="007A77F6" w:rsidRDefault="00BB0DDB" w:rsidP="00AF74A6">
            <w:pPr>
              <w:spacing w:line="360" w:lineRule="auto"/>
              <w:jc w:val="both"/>
              <w:rPr>
                <w:rFonts w:ascii="Times New Roman" w:hAnsi="Times New Roman" w:cs="Times New Roman"/>
                <w:b/>
                <w:sz w:val="24"/>
                <w:szCs w:val="24"/>
              </w:rPr>
            </w:pPr>
            <w:r w:rsidRPr="007A77F6">
              <w:rPr>
                <w:rFonts w:ascii="Times New Roman" w:hAnsi="Times New Roman" w:cs="Times New Roman"/>
                <w:b/>
                <w:sz w:val="24"/>
                <w:szCs w:val="24"/>
              </w:rPr>
              <w:t>2022-23</w:t>
            </w:r>
          </w:p>
        </w:tc>
        <w:tc>
          <w:tcPr>
            <w:tcW w:w="1701" w:type="dxa"/>
          </w:tcPr>
          <w:p w14:paraId="3FBDFA0E"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52.50</w:t>
            </w:r>
          </w:p>
        </w:tc>
        <w:tc>
          <w:tcPr>
            <w:tcW w:w="1984" w:type="dxa"/>
          </w:tcPr>
          <w:p w14:paraId="762ED016"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451.07</w:t>
            </w:r>
          </w:p>
        </w:tc>
        <w:tc>
          <w:tcPr>
            <w:tcW w:w="2693" w:type="dxa"/>
          </w:tcPr>
          <w:p w14:paraId="7CF1D67F" w14:textId="77777777" w:rsidR="00BB0DDB" w:rsidRPr="007A77F6" w:rsidRDefault="00BB0DDB" w:rsidP="00AF74A6">
            <w:pPr>
              <w:spacing w:line="360" w:lineRule="auto"/>
              <w:jc w:val="both"/>
              <w:rPr>
                <w:rFonts w:ascii="Times New Roman" w:hAnsi="Times New Roman" w:cs="Times New Roman"/>
                <w:sz w:val="24"/>
                <w:szCs w:val="24"/>
              </w:rPr>
            </w:pPr>
            <w:r w:rsidRPr="007A77F6">
              <w:rPr>
                <w:rFonts w:ascii="Times New Roman" w:hAnsi="Times New Roman" w:cs="Times New Roman"/>
                <w:sz w:val="24"/>
                <w:szCs w:val="24"/>
              </w:rPr>
              <w:t>11.63</w:t>
            </w:r>
          </w:p>
        </w:tc>
      </w:tr>
    </w:tbl>
    <w:bookmarkEnd w:id="0"/>
    <w:bookmarkEnd w:id="1"/>
    <w:p w14:paraId="05B4CA64" w14:textId="77777777" w:rsidR="00BB0DDB" w:rsidRDefault="00BB0DDB" w:rsidP="00BB0DDB">
      <w:pPr>
        <w:spacing w:line="360" w:lineRule="auto"/>
        <w:jc w:val="both"/>
        <w:rPr>
          <w:rFonts w:ascii="Times New Roman" w:hAnsi="Times New Roman" w:cs="Times New Roman"/>
          <w:color w:val="000000" w:themeColor="text1"/>
        </w:rPr>
      </w:pPr>
      <w:r w:rsidRPr="007A77F6">
        <w:rPr>
          <w:rFonts w:ascii="Times New Roman" w:hAnsi="Times New Roman" w:cs="Times New Roman"/>
          <w:color w:val="000000" w:themeColor="text1"/>
        </w:rPr>
        <w:t>Source: DGCI &amp; S</w:t>
      </w:r>
    </w:p>
    <w:p w14:paraId="03C512EF" w14:textId="77777777" w:rsidR="00873641" w:rsidRDefault="00873641" w:rsidP="00BB0DDB">
      <w:pPr>
        <w:spacing w:line="360" w:lineRule="auto"/>
        <w:jc w:val="both"/>
        <w:rPr>
          <w:rFonts w:ascii="Times New Roman" w:hAnsi="Times New Roman" w:cs="Times New Roman"/>
          <w:color w:val="000000" w:themeColor="text1"/>
        </w:rPr>
      </w:pPr>
    </w:p>
    <w:p w14:paraId="3A73FB92" w14:textId="77777777" w:rsidR="00873641" w:rsidRDefault="00873641" w:rsidP="00BB0DDB">
      <w:pPr>
        <w:spacing w:line="360" w:lineRule="auto"/>
        <w:jc w:val="both"/>
        <w:rPr>
          <w:rFonts w:ascii="Times New Roman" w:hAnsi="Times New Roman" w:cs="Times New Roman"/>
          <w:color w:val="000000" w:themeColor="text1"/>
        </w:rPr>
      </w:pPr>
      <w:r w:rsidRPr="00873641">
        <w:rPr>
          <w:rFonts w:ascii="Times New Roman" w:hAnsi="Times New Roman" w:cs="Times New Roman"/>
          <w:noProof/>
          <w:color w:val="000000" w:themeColor="text1"/>
        </w:rPr>
        <w:lastRenderedPageBreak/>
        <w:drawing>
          <wp:inline distT="0" distB="0" distL="0" distR="0" wp14:anchorId="49A20245" wp14:editId="673DF0AC">
            <wp:extent cx="5398597" cy="275705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A2920E" w14:textId="77777777" w:rsidR="004B0420" w:rsidRDefault="004B0420" w:rsidP="00BB0DDB">
      <w:pPr>
        <w:spacing w:line="360" w:lineRule="auto"/>
        <w:jc w:val="both"/>
        <w:rPr>
          <w:rFonts w:ascii="Times New Roman" w:hAnsi="Times New Roman" w:cs="Times New Roman"/>
          <w:color w:val="000000" w:themeColor="text1"/>
        </w:rPr>
      </w:pPr>
    </w:p>
    <w:p w14:paraId="5B1E971B" w14:textId="194754F2" w:rsidR="004B0420" w:rsidRPr="00324015" w:rsidRDefault="004B0420" w:rsidP="00BB0DDB">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Figure 1.</w:t>
      </w:r>
      <w:r w:rsidR="00324015">
        <w:rPr>
          <w:rFonts w:ascii="Times New Roman" w:hAnsi="Times New Roman" w:cs="Times New Roman"/>
          <w:color w:val="000000" w:themeColor="text1"/>
        </w:rPr>
        <w:t xml:space="preserve"> </w:t>
      </w:r>
      <w:r w:rsidR="00324015" w:rsidRPr="00324015">
        <w:rPr>
          <w:rFonts w:ascii="Times New Roman" w:hAnsi="Times New Roman" w:cs="Times New Roman"/>
          <w:color w:val="000000" w:themeColor="text1"/>
        </w:rPr>
        <w:t xml:space="preserve">Graphical Presentation of </w:t>
      </w:r>
      <w:r w:rsidR="00324015">
        <w:rPr>
          <w:rFonts w:ascii="Times New Roman" w:hAnsi="Times New Roman" w:cs="Times New Roman"/>
          <w:color w:val="221E1F"/>
          <w:sz w:val="24"/>
          <w:szCs w:val="24"/>
        </w:rPr>
        <w:t>Agricultural Commodities in Relation t</w:t>
      </w:r>
      <w:r w:rsidR="00324015" w:rsidRPr="00324015">
        <w:rPr>
          <w:rFonts w:ascii="Times New Roman" w:hAnsi="Times New Roman" w:cs="Times New Roman"/>
          <w:color w:val="221E1F"/>
          <w:sz w:val="24"/>
          <w:szCs w:val="24"/>
        </w:rPr>
        <w:t>o Total National Exports</w:t>
      </w:r>
    </w:p>
    <w:p w14:paraId="0E86D1FB" w14:textId="77777777" w:rsidR="00873641" w:rsidRPr="002E131A" w:rsidRDefault="00327093" w:rsidP="00BB0DDB">
      <w:pPr>
        <w:spacing w:line="360" w:lineRule="auto"/>
        <w:jc w:val="both"/>
        <w:rPr>
          <w:rFonts w:ascii="Times New Roman" w:hAnsi="Times New Roman" w:cs="Times New Roman"/>
          <w:sz w:val="24"/>
          <w:szCs w:val="24"/>
        </w:rPr>
      </w:pPr>
      <w:r>
        <w:rPr>
          <w:rFonts w:ascii="Times New Roman" w:hAnsi="Times New Roman" w:cs="Times New Roman"/>
          <w:sz w:val="24"/>
          <w:szCs w:val="24"/>
        </w:rPr>
        <w:t>Table 3</w:t>
      </w:r>
      <w:r w:rsidR="002E131A" w:rsidRPr="00C30A6D">
        <w:rPr>
          <w:rFonts w:ascii="Times New Roman" w:hAnsi="Times New Roman" w:cs="Times New Roman"/>
          <w:sz w:val="24"/>
          <w:szCs w:val="24"/>
        </w:rPr>
        <w:t xml:space="preserve"> provides insights into the percentage share of agricultural ex</w:t>
      </w:r>
      <w:r w:rsidR="00CF5318">
        <w:rPr>
          <w:rFonts w:ascii="Times New Roman" w:hAnsi="Times New Roman" w:cs="Times New Roman"/>
          <w:sz w:val="24"/>
          <w:szCs w:val="24"/>
        </w:rPr>
        <w:t>ports for key countries from 200</w:t>
      </w:r>
      <w:r w:rsidR="002E131A" w:rsidRPr="00C30A6D">
        <w:rPr>
          <w:rFonts w:ascii="Times New Roman" w:hAnsi="Times New Roman" w:cs="Times New Roman"/>
          <w:sz w:val="24"/>
          <w:szCs w:val="24"/>
        </w:rPr>
        <w:t>3 to 2023. The United States holds the top position as the leading exporting country throughout this period, although its share of agricultural exports has experienced a gradual decline</w:t>
      </w:r>
      <w:r w:rsidR="005F6E52">
        <w:rPr>
          <w:rFonts w:ascii="Times New Roman" w:hAnsi="Times New Roman" w:cs="Times New Roman"/>
          <w:sz w:val="24"/>
          <w:szCs w:val="24"/>
        </w:rPr>
        <w:t xml:space="preserve"> from 11.18 </w:t>
      </w:r>
      <w:r w:rsidR="002E131A" w:rsidRPr="00C30A6D">
        <w:rPr>
          <w:rFonts w:ascii="Times New Roman" w:hAnsi="Times New Roman" w:cs="Times New Roman"/>
          <w:sz w:val="24"/>
          <w:szCs w:val="24"/>
        </w:rPr>
        <w:t>percent to 9.55 percent. Brazil ranks second in terms of agricultural exports, wit</w:t>
      </w:r>
      <w:r w:rsidR="005F6E52">
        <w:rPr>
          <w:rFonts w:ascii="Times New Roman" w:hAnsi="Times New Roman" w:cs="Times New Roman"/>
          <w:sz w:val="24"/>
          <w:szCs w:val="24"/>
        </w:rPr>
        <w:t>h its share increasing from 3.55 percent to 6.36</w:t>
      </w:r>
      <w:r w:rsidR="002E131A" w:rsidRPr="00C30A6D">
        <w:rPr>
          <w:rFonts w:ascii="Times New Roman" w:hAnsi="Times New Roman" w:cs="Times New Roman"/>
          <w:sz w:val="24"/>
          <w:szCs w:val="24"/>
        </w:rPr>
        <w:t xml:space="preserve"> percent. China occupies the third position, witnessing a rise in the shar</w:t>
      </w:r>
      <w:r w:rsidR="005F6E52">
        <w:rPr>
          <w:rFonts w:ascii="Times New Roman" w:hAnsi="Times New Roman" w:cs="Times New Roman"/>
          <w:sz w:val="24"/>
          <w:szCs w:val="24"/>
        </w:rPr>
        <w:t>e of agricultural exports from 3.1</w:t>
      </w:r>
      <w:r w:rsidR="002E131A" w:rsidRPr="00C30A6D">
        <w:rPr>
          <w:rFonts w:ascii="Times New Roman" w:hAnsi="Times New Roman" w:cs="Times New Roman"/>
          <w:sz w:val="24"/>
          <w:szCs w:val="24"/>
        </w:rPr>
        <w:t>5 perc</w:t>
      </w:r>
      <w:r w:rsidR="005F6E52">
        <w:rPr>
          <w:rFonts w:ascii="Times New Roman" w:hAnsi="Times New Roman" w:cs="Times New Roman"/>
          <w:sz w:val="24"/>
          <w:szCs w:val="24"/>
        </w:rPr>
        <w:t>ent to 4.14</w:t>
      </w:r>
      <w:r w:rsidR="002E131A" w:rsidRPr="00C30A6D">
        <w:rPr>
          <w:rFonts w:ascii="Times New Roman" w:hAnsi="Times New Roman" w:cs="Times New Roman"/>
          <w:sz w:val="24"/>
          <w:szCs w:val="24"/>
        </w:rPr>
        <w:t xml:space="preserve"> percent. </w:t>
      </w:r>
      <w:r w:rsidR="008D36F5" w:rsidRPr="008D36F5">
        <w:rPr>
          <w:rFonts w:ascii="Times New Roman" w:hAnsi="Times New Roman" w:cs="Times New Roman"/>
          <w:sz w:val="24"/>
          <w:szCs w:val="24"/>
        </w:rPr>
        <w:t xml:space="preserve">Canada's agricultural export share has fallen from 4.96 to 3.93, while Australia's proportion has remained stable from 2.40 to 2.40. </w:t>
      </w:r>
      <w:r w:rsidR="00957396" w:rsidRPr="00957396">
        <w:rPr>
          <w:rFonts w:ascii="Times New Roman" w:hAnsi="Times New Roman" w:cs="Times New Roman"/>
          <w:sz w:val="24"/>
          <w:szCs w:val="24"/>
        </w:rPr>
        <w:t xml:space="preserve">In contrast, India experienced a notable increase in its share of agricultural exports from 1.06 percent to 2.35 percent between 2003 and 2013. However, in the subsequent period from 2013 to 2022, there was a decline in India's share, decreasing from 2.71 </w:t>
      </w:r>
      <w:r w:rsidR="00957396">
        <w:rPr>
          <w:rFonts w:ascii="Times New Roman" w:hAnsi="Times New Roman" w:cs="Times New Roman"/>
          <w:sz w:val="24"/>
          <w:szCs w:val="24"/>
        </w:rPr>
        <w:t xml:space="preserve">percent to 2.35 percent. </w:t>
      </w:r>
      <w:r w:rsidR="002E131A" w:rsidRPr="00C30A6D">
        <w:rPr>
          <w:rFonts w:ascii="Times New Roman" w:hAnsi="Times New Roman" w:cs="Times New Roman"/>
          <w:sz w:val="24"/>
          <w:szCs w:val="24"/>
        </w:rPr>
        <w:t>It is worth noting that India's over</w:t>
      </w:r>
      <w:r w:rsidR="00957396">
        <w:rPr>
          <w:rFonts w:ascii="Times New Roman" w:hAnsi="Times New Roman" w:cs="Times New Roman"/>
          <w:sz w:val="24"/>
          <w:szCs w:val="24"/>
        </w:rPr>
        <w:t>all investment in agricultural research and d</w:t>
      </w:r>
      <w:r w:rsidR="002E131A" w:rsidRPr="00C30A6D">
        <w:rPr>
          <w:rFonts w:ascii="Times New Roman" w:hAnsi="Times New Roman" w:cs="Times New Roman"/>
          <w:sz w:val="24"/>
          <w:szCs w:val="24"/>
        </w:rPr>
        <w:t>evelopmen</w:t>
      </w:r>
      <w:r w:rsidR="00957396">
        <w:rPr>
          <w:rFonts w:ascii="Times New Roman" w:hAnsi="Times New Roman" w:cs="Times New Roman"/>
          <w:sz w:val="24"/>
          <w:szCs w:val="24"/>
        </w:rPr>
        <w:t>t</w:t>
      </w:r>
      <w:r w:rsidR="002E131A" w:rsidRPr="00C30A6D">
        <w:rPr>
          <w:rFonts w:ascii="Times New Roman" w:hAnsi="Times New Roman" w:cs="Times New Roman"/>
          <w:sz w:val="24"/>
          <w:szCs w:val="24"/>
        </w:rPr>
        <w:t>, encompassing both central and state contributions, hovers around 0.5 percent of the agricultural GDP, as highlighted by Ashok Gulati. In comparison, developed countries like the USA and Japan allocate approximately 6.9 percent and 14.5 percent of their agricultural GDP to agricultural research and development, respectively</w:t>
      </w:r>
      <w:r w:rsidR="00957396">
        <w:rPr>
          <w:rFonts w:ascii="Times New Roman" w:hAnsi="Times New Roman" w:cs="Times New Roman"/>
          <w:sz w:val="24"/>
          <w:szCs w:val="24"/>
        </w:rPr>
        <w:t>. Conversely, according to the trends in agricultural research and d</w:t>
      </w:r>
      <w:r w:rsidR="002E131A" w:rsidRPr="00C30A6D">
        <w:rPr>
          <w:rFonts w:ascii="Times New Roman" w:hAnsi="Times New Roman" w:cs="Times New Roman"/>
          <w:sz w:val="24"/>
          <w:szCs w:val="24"/>
        </w:rPr>
        <w:t xml:space="preserve">evelopment in India, developing countries allocate less than 1 percent of their agricultural GDP to such endeavors. This allocation is considered insufficient and needs </w:t>
      </w:r>
      <w:r w:rsidR="002E131A" w:rsidRPr="00C30A6D">
        <w:rPr>
          <w:rFonts w:ascii="Times New Roman" w:hAnsi="Times New Roman" w:cs="Times New Roman"/>
          <w:sz w:val="24"/>
          <w:szCs w:val="24"/>
        </w:rPr>
        <w:lastRenderedPageBreak/>
        <w:t>an immediate doubling, if not tripling, to propel India into a powerhouse of agric</w:t>
      </w:r>
      <w:r w:rsidR="00532407">
        <w:rPr>
          <w:rFonts w:ascii="Times New Roman" w:hAnsi="Times New Roman" w:cs="Times New Roman"/>
          <w:sz w:val="24"/>
          <w:szCs w:val="24"/>
        </w:rPr>
        <w:t xml:space="preserve">ultural production and exports </w:t>
      </w:r>
      <w:r w:rsidR="002E131A" w:rsidRPr="00C30A6D">
        <w:rPr>
          <w:rFonts w:ascii="Times New Roman" w:hAnsi="Times New Roman" w:cs="Times New Roman"/>
          <w:sz w:val="24"/>
          <w:szCs w:val="24"/>
        </w:rPr>
        <w:t>(</w:t>
      </w:r>
      <w:r w:rsidR="002E131A">
        <w:rPr>
          <w:rFonts w:ascii="Times New Roman" w:hAnsi="Times New Roman" w:cs="Times New Roman"/>
          <w:sz w:val="24"/>
          <w:szCs w:val="24"/>
        </w:rPr>
        <w:t>Ashok Gulati</w:t>
      </w:r>
      <w:r w:rsidR="002E131A" w:rsidRPr="00C30A6D">
        <w:rPr>
          <w:rFonts w:ascii="Times New Roman" w:hAnsi="Times New Roman" w:cs="Times New Roman"/>
          <w:sz w:val="24"/>
          <w:szCs w:val="24"/>
        </w:rPr>
        <w:t>)</w:t>
      </w:r>
      <w:r w:rsidR="00051089">
        <w:rPr>
          <w:rFonts w:ascii="Times New Roman" w:hAnsi="Times New Roman" w:cs="Times New Roman"/>
          <w:sz w:val="24"/>
          <w:szCs w:val="24"/>
        </w:rPr>
        <w:t>.</w:t>
      </w:r>
    </w:p>
    <w:p w14:paraId="653237AA" w14:textId="77777777" w:rsidR="00974249" w:rsidRPr="007A77F6" w:rsidRDefault="00327093" w:rsidP="009F79C6">
      <w:pPr>
        <w:spacing w:line="360" w:lineRule="auto"/>
        <w:jc w:val="both"/>
        <w:rPr>
          <w:rFonts w:ascii="TimesNewRoman" w:hAnsi="TimesNewRoman" w:cs="TimesNewRoman"/>
        </w:rPr>
      </w:pPr>
      <w:r>
        <w:rPr>
          <w:rFonts w:ascii="TimesNewRoman" w:hAnsi="TimesNewRoman" w:cs="TimesNewRoman"/>
          <w:b/>
          <w:sz w:val="24"/>
          <w:szCs w:val="24"/>
        </w:rPr>
        <w:t>Table 3</w:t>
      </w:r>
      <w:r w:rsidR="00763FD5" w:rsidRPr="007A77F6">
        <w:rPr>
          <w:rFonts w:ascii="TimesNewRoman" w:hAnsi="TimesNewRoman" w:cs="TimesNewRoman"/>
          <w:b/>
          <w:sz w:val="24"/>
          <w:szCs w:val="24"/>
        </w:rPr>
        <w:t xml:space="preserve">: </w:t>
      </w:r>
      <w:r w:rsidR="00281D6E" w:rsidRPr="007A77F6">
        <w:rPr>
          <w:rFonts w:ascii="TimesNewRoman" w:hAnsi="TimesNewRoman" w:cs="TimesNewRoman"/>
          <w:b/>
          <w:sz w:val="24"/>
          <w:szCs w:val="24"/>
        </w:rPr>
        <w:t>Agriculture Export Share</w:t>
      </w:r>
      <w:r w:rsidR="008D6107" w:rsidRPr="007A77F6">
        <w:rPr>
          <w:rFonts w:ascii="TimesNewRoman" w:hAnsi="TimesNewRoman" w:cs="TimesNewRoman"/>
          <w:b/>
          <w:sz w:val="24"/>
          <w:szCs w:val="24"/>
        </w:rPr>
        <w:t xml:space="preserve"> (%) of Countries</w:t>
      </w:r>
    </w:p>
    <w:tbl>
      <w:tblPr>
        <w:tblW w:w="6720" w:type="dxa"/>
        <w:tblInd w:w="97" w:type="dxa"/>
        <w:tblLook w:val="04A0" w:firstRow="1" w:lastRow="0" w:firstColumn="1" w:lastColumn="0" w:noHBand="0" w:noVBand="1"/>
      </w:tblPr>
      <w:tblGrid>
        <w:gridCol w:w="960"/>
        <w:gridCol w:w="1176"/>
        <w:gridCol w:w="960"/>
        <w:gridCol w:w="1017"/>
        <w:gridCol w:w="960"/>
        <w:gridCol w:w="960"/>
        <w:gridCol w:w="960"/>
      </w:tblGrid>
      <w:tr w:rsidR="00974249" w:rsidRPr="00974249" w14:paraId="406353E2" w14:textId="77777777" w:rsidTr="00974249">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E5869"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E2A450"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Australia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C667AE"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Brazil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845727"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Canada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103DF3"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China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255165"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India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B0596C"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USA</w:t>
            </w:r>
          </w:p>
        </w:tc>
      </w:tr>
      <w:tr w:rsidR="00974249" w:rsidRPr="00974249" w14:paraId="5429E1DE"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5E22A"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2003</w:t>
            </w:r>
          </w:p>
        </w:tc>
        <w:tc>
          <w:tcPr>
            <w:tcW w:w="960" w:type="dxa"/>
            <w:tcBorders>
              <w:top w:val="nil"/>
              <w:left w:val="nil"/>
              <w:bottom w:val="single" w:sz="4" w:space="0" w:color="auto"/>
              <w:right w:val="single" w:sz="4" w:space="0" w:color="auto"/>
            </w:tcBorders>
            <w:shd w:val="clear" w:color="auto" w:fill="auto"/>
            <w:noWrap/>
            <w:vAlign w:val="bottom"/>
            <w:hideMark/>
          </w:tcPr>
          <w:p w14:paraId="3A122FA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noWrap/>
            <w:vAlign w:val="bottom"/>
            <w:hideMark/>
          </w:tcPr>
          <w:p w14:paraId="66BB4E6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3.55</w:t>
            </w:r>
          </w:p>
        </w:tc>
        <w:tc>
          <w:tcPr>
            <w:tcW w:w="960" w:type="dxa"/>
            <w:tcBorders>
              <w:top w:val="nil"/>
              <w:left w:val="nil"/>
              <w:bottom w:val="single" w:sz="4" w:space="0" w:color="auto"/>
              <w:right w:val="single" w:sz="4" w:space="0" w:color="auto"/>
            </w:tcBorders>
            <w:shd w:val="clear" w:color="auto" w:fill="auto"/>
            <w:noWrap/>
            <w:vAlign w:val="bottom"/>
            <w:hideMark/>
          </w:tcPr>
          <w:p w14:paraId="3ABB570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4.96</w:t>
            </w:r>
          </w:p>
        </w:tc>
        <w:tc>
          <w:tcPr>
            <w:tcW w:w="960" w:type="dxa"/>
            <w:tcBorders>
              <w:top w:val="nil"/>
              <w:left w:val="nil"/>
              <w:bottom w:val="single" w:sz="4" w:space="0" w:color="auto"/>
              <w:right w:val="single" w:sz="4" w:space="0" w:color="auto"/>
            </w:tcBorders>
            <w:shd w:val="clear" w:color="auto" w:fill="auto"/>
            <w:noWrap/>
            <w:vAlign w:val="bottom"/>
            <w:hideMark/>
          </w:tcPr>
          <w:p w14:paraId="4006755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3.25</w:t>
            </w:r>
          </w:p>
        </w:tc>
        <w:tc>
          <w:tcPr>
            <w:tcW w:w="960" w:type="dxa"/>
            <w:tcBorders>
              <w:top w:val="nil"/>
              <w:left w:val="nil"/>
              <w:bottom w:val="single" w:sz="4" w:space="0" w:color="auto"/>
              <w:right w:val="single" w:sz="4" w:space="0" w:color="auto"/>
            </w:tcBorders>
            <w:shd w:val="clear" w:color="auto" w:fill="auto"/>
            <w:noWrap/>
            <w:vAlign w:val="bottom"/>
            <w:hideMark/>
          </w:tcPr>
          <w:p w14:paraId="52CF931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1.06</w:t>
            </w:r>
          </w:p>
        </w:tc>
        <w:tc>
          <w:tcPr>
            <w:tcW w:w="960" w:type="dxa"/>
            <w:tcBorders>
              <w:top w:val="nil"/>
              <w:left w:val="nil"/>
              <w:bottom w:val="single" w:sz="4" w:space="0" w:color="auto"/>
              <w:right w:val="single" w:sz="4" w:space="0" w:color="auto"/>
            </w:tcBorders>
            <w:shd w:val="clear" w:color="auto" w:fill="auto"/>
            <w:noWrap/>
            <w:vAlign w:val="bottom"/>
            <w:hideMark/>
          </w:tcPr>
          <w:p w14:paraId="004AE46D"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11.18</w:t>
            </w:r>
          </w:p>
        </w:tc>
      </w:tr>
      <w:tr w:rsidR="00974249" w:rsidRPr="00974249" w14:paraId="1AD839E0"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CAEB4C"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34B1AF2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2.82</w:t>
            </w:r>
          </w:p>
        </w:tc>
        <w:tc>
          <w:tcPr>
            <w:tcW w:w="960" w:type="dxa"/>
            <w:tcBorders>
              <w:top w:val="nil"/>
              <w:left w:val="nil"/>
              <w:bottom w:val="single" w:sz="4" w:space="0" w:color="auto"/>
              <w:right w:val="single" w:sz="4" w:space="0" w:color="auto"/>
            </w:tcBorders>
            <w:shd w:val="clear" w:color="auto" w:fill="auto"/>
            <w:noWrap/>
            <w:vAlign w:val="bottom"/>
            <w:hideMark/>
          </w:tcPr>
          <w:p w14:paraId="1F9A591F"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3.94</w:t>
            </w:r>
          </w:p>
        </w:tc>
        <w:tc>
          <w:tcPr>
            <w:tcW w:w="960" w:type="dxa"/>
            <w:tcBorders>
              <w:top w:val="nil"/>
              <w:left w:val="nil"/>
              <w:bottom w:val="single" w:sz="4" w:space="0" w:color="auto"/>
              <w:right w:val="single" w:sz="4" w:space="0" w:color="auto"/>
            </w:tcBorders>
            <w:shd w:val="clear" w:color="auto" w:fill="auto"/>
            <w:noWrap/>
            <w:vAlign w:val="bottom"/>
            <w:hideMark/>
          </w:tcPr>
          <w:p w14:paraId="7F59B2D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5.17</w:t>
            </w:r>
          </w:p>
        </w:tc>
        <w:tc>
          <w:tcPr>
            <w:tcW w:w="960" w:type="dxa"/>
            <w:tcBorders>
              <w:top w:val="nil"/>
              <w:left w:val="nil"/>
              <w:bottom w:val="single" w:sz="4" w:space="0" w:color="auto"/>
              <w:right w:val="single" w:sz="4" w:space="0" w:color="auto"/>
            </w:tcBorders>
            <w:shd w:val="clear" w:color="auto" w:fill="auto"/>
            <w:noWrap/>
            <w:vAlign w:val="bottom"/>
            <w:hideMark/>
          </w:tcPr>
          <w:p w14:paraId="2F2E748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3.09</w:t>
            </w:r>
          </w:p>
        </w:tc>
        <w:tc>
          <w:tcPr>
            <w:tcW w:w="960" w:type="dxa"/>
            <w:tcBorders>
              <w:top w:val="nil"/>
              <w:left w:val="nil"/>
              <w:bottom w:val="single" w:sz="4" w:space="0" w:color="auto"/>
              <w:right w:val="single" w:sz="4" w:space="0" w:color="auto"/>
            </w:tcBorders>
            <w:shd w:val="clear" w:color="auto" w:fill="auto"/>
            <w:noWrap/>
            <w:vAlign w:val="bottom"/>
            <w:hideMark/>
          </w:tcPr>
          <w:p w14:paraId="24399FFC"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bottom"/>
            <w:hideMark/>
          </w:tcPr>
          <w:p w14:paraId="51BB55D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10.20</w:t>
            </w:r>
          </w:p>
        </w:tc>
      </w:tr>
      <w:tr w:rsidR="00974249" w:rsidRPr="00974249" w14:paraId="59AEDC64"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30FF05"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16B448F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2.50</w:t>
            </w:r>
          </w:p>
        </w:tc>
        <w:tc>
          <w:tcPr>
            <w:tcW w:w="960" w:type="dxa"/>
            <w:tcBorders>
              <w:top w:val="nil"/>
              <w:left w:val="nil"/>
              <w:bottom w:val="single" w:sz="4" w:space="0" w:color="auto"/>
              <w:right w:val="single" w:sz="4" w:space="0" w:color="auto"/>
            </w:tcBorders>
            <w:shd w:val="clear" w:color="auto" w:fill="auto"/>
            <w:noWrap/>
            <w:vAlign w:val="bottom"/>
            <w:hideMark/>
          </w:tcPr>
          <w:p w14:paraId="1D5F359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4.13</w:t>
            </w:r>
          </w:p>
        </w:tc>
        <w:tc>
          <w:tcPr>
            <w:tcW w:w="960" w:type="dxa"/>
            <w:tcBorders>
              <w:top w:val="nil"/>
              <w:left w:val="nil"/>
              <w:bottom w:val="single" w:sz="4" w:space="0" w:color="auto"/>
              <w:right w:val="single" w:sz="4" w:space="0" w:color="auto"/>
            </w:tcBorders>
            <w:shd w:val="clear" w:color="auto" w:fill="auto"/>
            <w:noWrap/>
            <w:vAlign w:val="bottom"/>
            <w:hideMark/>
          </w:tcPr>
          <w:p w14:paraId="6896EAB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4.86</w:t>
            </w:r>
          </w:p>
        </w:tc>
        <w:tc>
          <w:tcPr>
            <w:tcW w:w="960" w:type="dxa"/>
            <w:tcBorders>
              <w:top w:val="nil"/>
              <w:left w:val="nil"/>
              <w:bottom w:val="single" w:sz="4" w:space="0" w:color="auto"/>
              <w:right w:val="single" w:sz="4" w:space="0" w:color="auto"/>
            </w:tcBorders>
            <w:shd w:val="clear" w:color="auto" w:fill="auto"/>
            <w:noWrap/>
            <w:vAlign w:val="bottom"/>
            <w:hideMark/>
          </w:tcPr>
          <w:p w14:paraId="00B7760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3.39</w:t>
            </w:r>
          </w:p>
        </w:tc>
        <w:tc>
          <w:tcPr>
            <w:tcW w:w="960" w:type="dxa"/>
            <w:tcBorders>
              <w:top w:val="nil"/>
              <w:left w:val="nil"/>
              <w:bottom w:val="single" w:sz="4" w:space="0" w:color="auto"/>
              <w:right w:val="single" w:sz="4" w:space="0" w:color="auto"/>
            </w:tcBorders>
            <w:shd w:val="clear" w:color="auto" w:fill="auto"/>
            <w:noWrap/>
            <w:vAlign w:val="bottom"/>
            <w:hideMark/>
          </w:tcPr>
          <w:p w14:paraId="1937B493"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1.21</w:t>
            </w:r>
          </w:p>
        </w:tc>
        <w:tc>
          <w:tcPr>
            <w:tcW w:w="960" w:type="dxa"/>
            <w:tcBorders>
              <w:top w:val="nil"/>
              <w:left w:val="nil"/>
              <w:bottom w:val="single" w:sz="4" w:space="0" w:color="auto"/>
              <w:right w:val="single" w:sz="4" w:space="0" w:color="auto"/>
            </w:tcBorders>
            <w:shd w:val="clear" w:color="auto" w:fill="auto"/>
            <w:noWrap/>
            <w:vAlign w:val="bottom"/>
            <w:hideMark/>
          </w:tcPr>
          <w:p w14:paraId="0917309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9.78</w:t>
            </w:r>
          </w:p>
        </w:tc>
      </w:tr>
      <w:tr w:rsidR="00974249" w:rsidRPr="00974249" w14:paraId="5607AAC7"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49C2E2"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3CC60C1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2.35</w:t>
            </w:r>
          </w:p>
        </w:tc>
        <w:tc>
          <w:tcPr>
            <w:tcW w:w="960" w:type="dxa"/>
            <w:tcBorders>
              <w:top w:val="nil"/>
              <w:left w:val="nil"/>
              <w:bottom w:val="single" w:sz="4" w:space="0" w:color="auto"/>
              <w:right w:val="single" w:sz="4" w:space="0" w:color="auto"/>
            </w:tcBorders>
            <w:shd w:val="clear" w:color="auto" w:fill="auto"/>
            <w:noWrap/>
            <w:vAlign w:val="bottom"/>
            <w:hideMark/>
          </w:tcPr>
          <w:p w14:paraId="14CB1D8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4.19</w:t>
            </w:r>
          </w:p>
        </w:tc>
        <w:tc>
          <w:tcPr>
            <w:tcW w:w="960" w:type="dxa"/>
            <w:tcBorders>
              <w:top w:val="nil"/>
              <w:left w:val="nil"/>
              <w:bottom w:val="single" w:sz="4" w:space="0" w:color="auto"/>
              <w:right w:val="single" w:sz="4" w:space="0" w:color="auto"/>
            </w:tcBorders>
            <w:shd w:val="clear" w:color="auto" w:fill="auto"/>
            <w:noWrap/>
            <w:vAlign w:val="bottom"/>
            <w:hideMark/>
          </w:tcPr>
          <w:p w14:paraId="4F38CD5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4.69</w:t>
            </w:r>
          </w:p>
        </w:tc>
        <w:tc>
          <w:tcPr>
            <w:tcW w:w="960" w:type="dxa"/>
            <w:tcBorders>
              <w:top w:val="nil"/>
              <w:left w:val="nil"/>
              <w:bottom w:val="single" w:sz="4" w:space="0" w:color="auto"/>
              <w:right w:val="single" w:sz="4" w:space="0" w:color="auto"/>
            </w:tcBorders>
            <w:shd w:val="clear" w:color="auto" w:fill="auto"/>
            <w:noWrap/>
            <w:vAlign w:val="bottom"/>
            <w:hideMark/>
          </w:tcPr>
          <w:p w14:paraId="512946E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3.45</w:t>
            </w:r>
          </w:p>
        </w:tc>
        <w:tc>
          <w:tcPr>
            <w:tcW w:w="960" w:type="dxa"/>
            <w:tcBorders>
              <w:top w:val="nil"/>
              <w:left w:val="nil"/>
              <w:bottom w:val="single" w:sz="4" w:space="0" w:color="auto"/>
              <w:right w:val="single" w:sz="4" w:space="0" w:color="auto"/>
            </w:tcBorders>
            <w:shd w:val="clear" w:color="auto" w:fill="auto"/>
            <w:noWrap/>
            <w:vAlign w:val="bottom"/>
            <w:hideMark/>
          </w:tcPr>
          <w:p w14:paraId="3792321C"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bottom"/>
            <w:hideMark/>
          </w:tcPr>
          <w:p w14:paraId="7E99315D"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9.83</w:t>
            </w:r>
          </w:p>
        </w:tc>
      </w:tr>
      <w:tr w:rsidR="00974249" w:rsidRPr="00974249" w14:paraId="57F17C7A"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F8701"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5D5B351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1.98</w:t>
            </w:r>
          </w:p>
        </w:tc>
        <w:tc>
          <w:tcPr>
            <w:tcW w:w="960" w:type="dxa"/>
            <w:tcBorders>
              <w:top w:val="nil"/>
              <w:left w:val="nil"/>
              <w:bottom w:val="single" w:sz="4" w:space="0" w:color="auto"/>
              <w:right w:val="single" w:sz="4" w:space="0" w:color="auto"/>
            </w:tcBorders>
            <w:shd w:val="clear" w:color="auto" w:fill="auto"/>
            <w:noWrap/>
            <w:vAlign w:val="bottom"/>
            <w:hideMark/>
          </w:tcPr>
          <w:p w14:paraId="0F10736C"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4.26</w:t>
            </w:r>
          </w:p>
        </w:tc>
        <w:tc>
          <w:tcPr>
            <w:tcW w:w="960" w:type="dxa"/>
            <w:tcBorders>
              <w:top w:val="nil"/>
              <w:left w:val="nil"/>
              <w:bottom w:val="single" w:sz="4" w:space="0" w:color="auto"/>
              <w:right w:val="single" w:sz="4" w:space="0" w:color="auto"/>
            </w:tcBorders>
            <w:shd w:val="clear" w:color="auto" w:fill="auto"/>
            <w:noWrap/>
            <w:vAlign w:val="bottom"/>
            <w:hideMark/>
          </w:tcPr>
          <w:p w14:paraId="0528B55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4.31</w:t>
            </w:r>
          </w:p>
        </w:tc>
        <w:tc>
          <w:tcPr>
            <w:tcW w:w="960" w:type="dxa"/>
            <w:tcBorders>
              <w:top w:val="nil"/>
              <w:left w:val="nil"/>
              <w:bottom w:val="single" w:sz="4" w:space="0" w:color="auto"/>
              <w:right w:val="single" w:sz="4" w:space="0" w:color="auto"/>
            </w:tcBorders>
            <w:shd w:val="clear" w:color="auto" w:fill="auto"/>
            <w:noWrap/>
            <w:vAlign w:val="bottom"/>
            <w:hideMark/>
          </w:tcPr>
          <w:p w14:paraId="05C108BF"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3.43</w:t>
            </w:r>
          </w:p>
        </w:tc>
        <w:tc>
          <w:tcPr>
            <w:tcW w:w="960" w:type="dxa"/>
            <w:tcBorders>
              <w:top w:val="nil"/>
              <w:left w:val="nil"/>
              <w:bottom w:val="single" w:sz="4" w:space="0" w:color="auto"/>
              <w:right w:val="single" w:sz="4" w:space="0" w:color="auto"/>
            </w:tcBorders>
            <w:shd w:val="clear" w:color="auto" w:fill="auto"/>
            <w:noWrap/>
            <w:vAlign w:val="bottom"/>
            <w:hideMark/>
          </w:tcPr>
          <w:p w14:paraId="597947D3"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1.44</w:t>
            </w:r>
          </w:p>
        </w:tc>
        <w:tc>
          <w:tcPr>
            <w:tcW w:w="960" w:type="dxa"/>
            <w:tcBorders>
              <w:top w:val="nil"/>
              <w:left w:val="nil"/>
              <w:bottom w:val="single" w:sz="4" w:space="0" w:color="auto"/>
              <w:right w:val="single" w:sz="4" w:space="0" w:color="auto"/>
            </w:tcBorders>
            <w:shd w:val="clear" w:color="auto" w:fill="auto"/>
            <w:noWrap/>
            <w:vAlign w:val="bottom"/>
            <w:hideMark/>
          </w:tcPr>
          <w:p w14:paraId="1CC54B9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10.04</w:t>
            </w:r>
          </w:p>
        </w:tc>
      </w:tr>
      <w:tr w:rsidR="00974249" w:rsidRPr="00974249" w14:paraId="14C833EA"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13CFE"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6FCDD2F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1.95</w:t>
            </w:r>
          </w:p>
        </w:tc>
        <w:tc>
          <w:tcPr>
            <w:tcW w:w="960" w:type="dxa"/>
            <w:tcBorders>
              <w:top w:val="nil"/>
              <w:left w:val="nil"/>
              <w:bottom w:val="single" w:sz="4" w:space="0" w:color="auto"/>
              <w:right w:val="single" w:sz="4" w:space="0" w:color="auto"/>
            </w:tcBorders>
            <w:shd w:val="clear" w:color="auto" w:fill="auto"/>
            <w:noWrap/>
            <w:vAlign w:val="bottom"/>
            <w:hideMark/>
          </w:tcPr>
          <w:p w14:paraId="4622F66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4.56</w:t>
            </w:r>
          </w:p>
        </w:tc>
        <w:tc>
          <w:tcPr>
            <w:tcW w:w="960" w:type="dxa"/>
            <w:tcBorders>
              <w:top w:val="nil"/>
              <w:left w:val="nil"/>
              <w:bottom w:val="single" w:sz="4" w:space="0" w:color="auto"/>
              <w:right w:val="single" w:sz="4" w:space="0" w:color="auto"/>
            </w:tcBorders>
            <w:shd w:val="clear" w:color="auto" w:fill="auto"/>
            <w:noWrap/>
            <w:vAlign w:val="bottom"/>
            <w:hideMark/>
          </w:tcPr>
          <w:p w14:paraId="465432A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4.03</w:t>
            </w:r>
          </w:p>
        </w:tc>
        <w:tc>
          <w:tcPr>
            <w:tcW w:w="960" w:type="dxa"/>
            <w:tcBorders>
              <w:top w:val="nil"/>
              <w:left w:val="nil"/>
              <w:bottom w:val="single" w:sz="4" w:space="0" w:color="auto"/>
              <w:right w:val="single" w:sz="4" w:space="0" w:color="auto"/>
            </w:tcBorders>
            <w:shd w:val="clear" w:color="auto" w:fill="auto"/>
            <w:noWrap/>
            <w:vAlign w:val="bottom"/>
            <w:hideMark/>
          </w:tcPr>
          <w:p w14:paraId="2726F01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3.15</w:t>
            </w:r>
          </w:p>
        </w:tc>
        <w:tc>
          <w:tcPr>
            <w:tcW w:w="960" w:type="dxa"/>
            <w:tcBorders>
              <w:top w:val="nil"/>
              <w:left w:val="nil"/>
              <w:bottom w:val="single" w:sz="4" w:space="0" w:color="auto"/>
              <w:right w:val="single" w:sz="4" w:space="0" w:color="auto"/>
            </w:tcBorders>
            <w:shd w:val="clear" w:color="auto" w:fill="auto"/>
            <w:noWrap/>
            <w:vAlign w:val="bottom"/>
            <w:hideMark/>
          </w:tcPr>
          <w:p w14:paraId="1BD5F65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1.58</w:t>
            </w:r>
          </w:p>
        </w:tc>
        <w:tc>
          <w:tcPr>
            <w:tcW w:w="960" w:type="dxa"/>
            <w:tcBorders>
              <w:top w:val="nil"/>
              <w:left w:val="nil"/>
              <w:bottom w:val="single" w:sz="4" w:space="0" w:color="auto"/>
              <w:right w:val="single" w:sz="4" w:space="0" w:color="auto"/>
            </w:tcBorders>
            <w:shd w:val="clear" w:color="auto" w:fill="auto"/>
            <w:noWrap/>
            <w:vAlign w:val="bottom"/>
            <w:hideMark/>
          </w:tcPr>
          <w:p w14:paraId="7A57C90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10.44</w:t>
            </w:r>
          </w:p>
        </w:tc>
      </w:tr>
      <w:tr w:rsidR="00974249" w:rsidRPr="00974249" w14:paraId="4BC71647"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C6329"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41F4FCD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6E9512A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4.89</w:t>
            </w:r>
          </w:p>
        </w:tc>
        <w:tc>
          <w:tcPr>
            <w:tcW w:w="960" w:type="dxa"/>
            <w:tcBorders>
              <w:top w:val="nil"/>
              <w:left w:val="nil"/>
              <w:bottom w:val="single" w:sz="4" w:space="0" w:color="auto"/>
              <w:right w:val="single" w:sz="4" w:space="0" w:color="auto"/>
            </w:tcBorders>
            <w:shd w:val="clear" w:color="auto" w:fill="auto"/>
            <w:noWrap/>
            <w:vAlign w:val="bottom"/>
            <w:hideMark/>
          </w:tcPr>
          <w:p w14:paraId="67FA951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3.71</w:t>
            </w:r>
          </w:p>
        </w:tc>
        <w:tc>
          <w:tcPr>
            <w:tcW w:w="960" w:type="dxa"/>
            <w:tcBorders>
              <w:top w:val="nil"/>
              <w:left w:val="nil"/>
              <w:bottom w:val="single" w:sz="4" w:space="0" w:color="auto"/>
              <w:right w:val="single" w:sz="4" w:space="0" w:color="auto"/>
            </w:tcBorders>
            <w:shd w:val="clear" w:color="auto" w:fill="auto"/>
            <w:noWrap/>
            <w:vAlign w:val="bottom"/>
            <w:hideMark/>
          </w:tcPr>
          <w:p w14:paraId="1336AB8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3.47</w:t>
            </w:r>
          </w:p>
        </w:tc>
        <w:tc>
          <w:tcPr>
            <w:tcW w:w="960" w:type="dxa"/>
            <w:tcBorders>
              <w:top w:val="nil"/>
              <w:left w:val="nil"/>
              <w:bottom w:val="single" w:sz="4" w:space="0" w:color="auto"/>
              <w:right w:val="single" w:sz="4" w:space="0" w:color="auto"/>
            </w:tcBorders>
            <w:shd w:val="clear" w:color="auto" w:fill="auto"/>
            <w:noWrap/>
            <w:vAlign w:val="bottom"/>
            <w:hideMark/>
          </w:tcPr>
          <w:p w14:paraId="335F7D3D"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1.39</w:t>
            </w:r>
          </w:p>
        </w:tc>
        <w:tc>
          <w:tcPr>
            <w:tcW w:w="960" w:type="dxa"/>
            <w:tcBorders>
              <w:top w:val="nil"/>
              <w:left w:val="nil"/>
              <w:bottom w:val="single" w:sz="4" w:space="0" w:color="auto"/>
              <w:right w:val="single" w:sz="4" w:space="0" w:color="auto"/>
            </w:tcBorders>
            <w:shd w:val="clear" w:color="auto" w:fill="auto"/>
            <w:noWrap/>
            <w:vAlign w:val="bottom"/>
            <w:hideMark/>
          </w:tcPr>
          <w:p w14:paraId="7154582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10.17</w:t>
            </w:r>
          </w:p>
        </w:tc>
      </w:tr>
      <w:tr w:rsidR="00974249" w:rsidRPr="00974249" w14:paraId="127C798C"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E8586"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5545367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14:paraId="5B46D2A3"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5.06</w:t>
            </w:r>
          </w:p>
        </w:tc>
        <w:tc>
          <w:tcPr>
            <w:tcW w:w="960" w:type="dxa"/>
            <w:tcBorders>
              <w:top w:val="nil"/>
              <w:left w:val="nil"/>
              <w:bottom w:val="single" w:sz="4" w:space="0" w:color="auto"/>
              <w:right w:val="single" w:sz="4" w:space="0" w:color="auto"/>
            </w:tcBorders>
            <w:shd w:val="clear" w:color="auto" w:fill="auto"/>
            <w:noWrap/>
            <w:vAlign w:val="bottom"/>
            <w:hideMark/>
          </w:tcPr>
          <w:p w14:paraId="470B908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3.85</w:t>
            </w:r>
          </w:p>
        </w:tc>
        <w:tc>
          <w:tcPr>
            <w:tcW w:w="960" w:type="dxa"/>
            <w:tcBorders>
              <w:top w:val="nil"/>
              <w:left w:val="nil"/>
              <w:bottom w:val="single" w:sz="4" w:space="0" w:color="auto"/>
              <w:right w:val="single" w:sz="4" w:space="0" w:color="auto"/>
            </w:tcBorders>
            <w:shd w:val="clear" w:color="auto" w:fill="auto"/>
            <w:noWrap/>
            <w:vAlign w:val="bottom"/>
            <w:hideMark/>
          </w:tcPr>
          <w:p w14:paraId="21B478A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3.81</w:t>
            </w:r>
          </w:p>
        </w:tc>
        <w:tc>
          <w:tcPr>
            <w:tcW w:w="960" w:type="dxa"/>
            <w:tcBorders>
              <w:top w:val="nil"/>
              <w:left w:val="nil"/>
              <w:bottom w:val="single" w:sz="4" w:space="0" w:color="auto"/>
              <w:right w:val="single" w:sz="4" w:space="0" w:color="auto"/>
            </w:tcBorders>
            <w:shd w:val="clear" w:color="auto" w:fill="auto"/>
            <w:noWrap/>
            <w:vAlign w:val="bottom"/>
            <w:hideMark/>
          </w:tcPr>
          <w:p w14:paraId="2385E1A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1.71</w:t>
            </w:r>
          </w:p>
        </w:tc>
        <w:tc>
          <w:tcPr>
            <w:tcW w:w="960" w:type="dxa"/>
            <w:tcBorders>
              <w:top w:val="nil"/>
              <w:left w:val="nil"/>
              <w:bottom w:val="single" w:sz="4" w:space="0" w:color="auto"/>
              <w:right w:val="single" w:sz="4" w:space="0" w:color="auto"/>
            </w:tcBorders>
            <w:shd w:val="clear" w:color="auto" w:fill="auto"/>
            <w:noWrap/>
            <w:vAlign w:val="bottom"/>
            <w:hideMark/>
          </w:tcPr>
          <w:p w14:paraId="622DCF7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10.53</w:t>
            </w:r>
          </w:p>
        </w:tc>
      </w:tr>
      <w:tr w:rsidR="00974249" w:rsidRPr="00974249" w14:paraId="715DE9C5"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FB29F"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2884518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2.27</w:t>
            </w:r>
          </w:p>
        </w:tc>
        <w:tc>
          <w:tcPr>
            <w:tcW w:w="960" w:type="dxa"/>
            <w:tcBorders>
              <w:top w:val="nil"/>
              <w:left w:val="nil"/>
              <w:bottom w:val="single" w:sz="4" w:space="0" w:color="auto"/>
              <w:right w:val="single" w:sz="4" w:space="0" w:color="auto"/>
            </w:tcBorders>
            <w:shd w:val="clear" w:color="auto" w:fill="auto"/>
            <w:noWrap/>
            <w:vAlign w:val="bottom"/>
            <w:hideMark/>
          </w:tcPr>
          <w:p w14:paraId="7738AB1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5.24</w:t>
            </w:r>
          </w:p>
        </w:tc>
        <w:tc>
          <w:tcPr>
            <w:tcW w:w="960" w:type="dxa"/>
            <w:tcBorders>
              <w:top w:val="nil"/>
              <w:left w:val="nil"/>
              <w:bottom w:val="single" w:sz="4" w:space="0" w:color="auto"/>
              <w:right w:val="single" w:sz="4" w:space="0" w:color="auto"/>
            </w:tcBorders>
            <w:shd w:val="clear" w:color="auto" w:fill="auto"/>
            <w:noWrap/>
            <w:vAlign w:val="bottom"/>
            <w:hideMark/>
          </w:tcPr>
          <w:p w14:paraId="540885A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3.65</w:t>
            </w:r>
          </w:p>
        </w:tc>
        <w:tc>
          <w:tcPr>
            <w:tcW w:w="960" w:type="dxa"/>
            <w:tcBorders>
              <w:top w:val="nil"/>
              <w:left w:val="nil"/>
              <w:bottom w:val="single" w:sz="4" w:space="0" w:color="auto"/>
              <w:right w:val="single" w:sz="4" w:space="0" w:color="auto"/>
            </w:tcBorders>
            <w:shd w:val="clear" w:color="auto" w:fill="auto"/>
            <w:noWrap/>
            <w:vAlign w:val="bottom"/>
            <w:hideMark/>
          </w:tcPr>
          <w:p w14:paraId="65FBE12F"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3.92</w:t>
            </w:r>
          </w:p>
        </w:tc>
        <w:tc>
          <w:tcPr>
            <w:tcW w:w="960" w:type="dxa"/>
            <w:tcBorders>
              <w:top w:val="nil"/>
              <w:left w:val="nil"/>
              <w:bottom w:val="single" w:sz="4" w:space="0" w:color="auto"/>
              <w:right w:val="single" w:sz="4" w:space="0" w:color="auto"/>
            </w:tcBorders>
            <w:shd w:val="clear" w:color="auto" w:fill="auto"/>
            <w:noWrap/>
            <w:vAlign w:val="bottom"/>
            <w:hideMark/>
          </w:tcPr>
          <w:p w14:paraId="0AFAA48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2.09</w:t>
            </w:r>
          </w:p>
        </w:tc>
        <w:tc>
          <w:tcPr>
            <w:tcW w:w="960" w:type="dxa"/>
            <w:tcBorders>
              <w:top w:val="nil"/>
              <w:left w:val="nil"/>
              <w:bottom w:val="single" w:sz="4" w:space="0" w:color="auto"/>
              <w:right w:val="single" w:sz="4" w:space="0" w:color="auto"/>
            </w:tcBorders>
            <w:shd w:val="clear" w:color="auto" w:fill="auto"/>
            <w:noWrap/>
            <w:vAlign w:val="bottom"/>
            <w:hideMark/>
          </w:tcPr>
          <w:p w14:paraId="4C86FB2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10.20</w:t>
            </w:r>
          </w:p>
        </w:tc>
      </w:tr>
      <w:tr w:rsidR="00974249" w:rsidRPr="00974249" w14:paraId="15B8BC20"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DE2C45"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85516B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2.32</w:t>
            </w:r>
          </w:p>
        </w:tc>
        <w:tc>
          <w:tcPr>
            <w:tcW w:w="960" w:type="dxa"/>
            <w:tcBorders>
              <w:top w:val="nil"/>
              <w:left w:val="nil"/>
              <w:bottom w:val="single" w:sz="4" w:space="0" w:color="auto"/>
              <w:right w:val="single" w:sz="4" w:space="0" w:color="auto"/>
            </w:tcBorders>
            <w:shd w:val="clear" w:color="auto" w:fill="auto"/>
            <w:noWrap/>
            <w:vAlign w:val="bottom"/>
            <w:hideMark/>
          </w:tcPr>
          <w:p w14:paraId="7355B83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5.25</w:t>
            </w:r>
          </w:p>
        </w:tc>
        <w:tc>
          <w:tcPr>
            <w:tcW w:w="960" w:type="dxa"/>
            <w:tcBorders>
              <w:top w:val="nil"/>
              <w:left w:val="nil"/>
              <w:bottom w:val="single" w:sz="4" w:space="0" w:color="auto"/>
              <w:right w:val="single" w:sz="4" w:space="0" w:color="auto"/>
            </w:tcBorders>
            <w:shd w:val="clear" w:color="auto" w:fill="auto"/>
            <w:noWrap/>
            <w:vAlign w:val="bottom"/>
            <w:hideMark/>
          </w:tcPr>
          <w:p w14:paraId="3A89A78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3.80</w:t>
            </w:r>
          </w:p>
        </w:tc>
        <w:tc>
          <w:tcPr>
            <w:tcW w:w="960" w:type="dxa"/>
            <w:tcBorders>
              <w:top w:val="nil"/>
              <w:left w:val="nil"/>
              <w:bottom w:val="single" w:sz="4" w:space="0" w:color="auto"/>
              <w:right w:val="single" w:sz="4" w:space="0" w:color="auto"/>
            </w:tcBorders>
            <w:shd w:val="clear" w:color="auto" w:fill="auto"/>
            <w:noWrap/>
            <w:vAlign w:val="bottom"/>
            <w:hideMark/>
          </w:tcPr>
          <w:p w14:paraId="4DED5FE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685FE8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2.56</w:t>
            </w:r>
          </w:p>
        </w:tc>
        <w:tc>
          <w:tcPr>
            <w:tcW w:w="960" w:type="dxa"/>
            <w:tcBorders>
              <w:top w:val="nil"/>
              <w:left w:val="nil"/>
              <w:bottom w:val="single" w:sz="4" w:space="0" w:color="auto"/>
              <w:right w:val="single" w:sz="4" w:space="0" w:color="auto"/>
            </w:tcBorders>
            <w:shd w:val="clear" w:color="auto" w:fill="auto"/>
            <w:noWrap/>
            <w:vAlign w:val="bottom"/>
            <w:hideMark/>
          </w:tcPr>
          <w:p w14:paraId="7D8295C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10.41</w:t>
            </w:r>
          </w:p>
        </w:tc>
      </w:tr>
      <w:tr w:rsidR="00974249" w:rsidRPr="00974249" w14:paraId="69973896"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15E061"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414DD16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2.17</w:t>
            </w:r>
          </w:p>
        </w:tc>
        <w:tc>
          <w:tcPr>
            <w:tcW w:w="960" w:type="dxa"/>
            <w:tcBorders>
              <w:top w:val="nil"/>
              <w:left w:val="nil"/>
              <w:bottom w:val="single" w:sz="4" w:space="0" w:color="auto"/>
              <w:right w:val="single" w:sz="4" w:space="0" w:color="auto"/>
            </w:tcBorders>
            <w:shd w:val="clear" w:color="auto" w:fill="auto"/>
            <w:noWrap/>
            <w:vAlign w:val="bottom"/>
            <w:hideMark/>
          </w:tcPr>
          <w:p w14:paraId="6166AF6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5.23</w:t>
            </w:r>
          </w:p>
        </w:tc>
        <w:tc>
          <w:tcPr>
            <w:tcW w:w="960" w:type="dxa"/>
            <w:tcBorders>
              <w:top w:val="nil"/>
              <w:left w:val="nil"/>
              <w:bottom w:val="single" w:sz="4" w:space="0" w:color="auto"/>
              <w:right w:val="single" w:sz="4" w:space="0" w:color="auto"/>
            </w:tcBorders>
            <w:shd w:val="clear" w:color="auto" w:fill="auto"/>
            <w:noWrap/>
            <w:vAlign w:val="bottom"/>
            <w:hideMark/>
          </w:tcPr>
          <w:p w14:paraId="3B633C7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3.79</w:t>
            </w:r>
          </w:p>
        </w:tc>
        <w:tc>
          <w:tcPr>
            <w:tcW w:w="960" w:type="dxa"/>
            <w:tcBorders>
              <w:top w:val="nil"/>
              <w:left w:val="nil"/>
              <w:bottom w:val="single" w:sz="4" w:space="0" w:color="auto"/>
              <w:right w:val="single" w:sz="4" w:space="0" w:color="auto"/>
            </w:tcBorders>
            <w:shd w:val="clear" w:color="auto" w:fill="auto"/>
            <w:noWrap/>
            <w:vAlign w:val="bottom"/>
            <w:hideMark/>
          </w:tcPr>
          <w:p w14:paraId="6912558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4.05</w:t>
            </w:r>
          </w:p>
        </w:tc>
        <w:tc>
          <w:tcPr>
            <w:tcW w:w="960" w:type="dxa"/>
            <w:tcBorders>
              <w:top w:val="nil"/>
              <w:left w:val="nil"/>
              <w:bottom w:val="single" w:sz="4" w:space="0" w:color="auto"/>
              <w:right w:val="single" w:sz="4" w:space="0" w:color="auto"/>
            </w:tcBorders>
            <w:shd w:val="clear" w:color="auto" w:fill="auto"/>
            <w:noWrap/>
            <w:vAlign w:val="bottom"/>
            <w:hideMark/>
          </w:tcPr>
          <w:p w14:paraId="7F66EDE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2.71</w:t>
            </w:r>
          </w:p>
        </w:tc>
        <w:tc>
          <w:tcPr>
            <w:tcW w:w="960" w:type="dxa"/>
            <w:tcBorders>
              <w:top w:val="nil"/>
              <w:left w:val="nil"/>
              <w:bottom w:val="single" w:sz="4" w:space="0" w:color="auto"/>
              <w:right w:val="single" w:sz="4" w:space="0" w:color="auto"/>
            </w:tcBorders>
            <w:shd w:val="clear" w:color="auto" w:fill="auto"/>
            <w:noWrap/>
            <w:vAlign w:val="bottom"/>
            <w:hideMark/>
          </w:tcPr>
          <w:p w14:paraId="2AC1D86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10.15</w:t>
            </w:r>
          </w:p>
        </w:tc>
      </w:tr>
      <w:tr w:rsidR="00974249" w:rsidRPr="00974249" w14:paraId="7997AFB0"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62BE89"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0C348B2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2.21</w:t>
            </w:r>
          </w:p>
        </w:tc>
        <w:tc>
          <w:tcPr>
            <w:tcW w:w="960" w:type="dxa"/>
            <w:tcBorders>
              <w:top w:val="nil"/>
              <w:left w:val="nil"/>
              <w:bottom w:val="single" w:sz="4" w:space="0" w:color="auto"/>
              <w:right w:val="single" w:sz="4" w:space="0" w:color="auto"/>
            </w:tcBorders>
            <w:shd w:val="clear" w:color="auto" w:fill="auto"/>
            <w:noWrap/>
            <w:vAlign w:val="bottom"/>
            <w:hideMark/>
          </w:tcPr>
          <w:p w14:paraId="56CA200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5.03</w:t>
            </w:r>
          </w:p>
        </w:tc>
        <w:tc>
          <w:tcPr>
            <w:tcW w:w="960" w:type="dxa"/>
            <w:tcBorders>
              <w:top w:val="nil"/>
              <w:left w:val="nil"/>
              <w:bottom w:val="single" w:sz="4" w:space="0" w:color="auto"/>
              <w:right w:val="single" w:sz="4" w:space="0" w:color="auto"/>
            </w:tcBorders>
            <w:shd w:val="clear" w:color="auto" w:fill="auto"/>
            <w:noWrap/>
            <w:vAlign w:val="bottom"/>
            <w:hideMark/>
          </w:tcPr>
          <w:p w14:paraId="233C228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3.90</w:t>
            </w:r>
          </w:p>
        </w:tc>
        <w:tc>
          <w:tcPr>
            <w:tcW w:w="960" w:type="dxa"/>
            <w:tcBorders>
              <w:top w:val="nil"/>
              <w:left w:val="nil"/>
              <w:bottom w:val="single" w:sz="4" w:space="0" w:color="auto"/>
              <w:right w:val="single" w:sz="4" w:space="0" w:color="auto"/>
            </w:tcBorders>
            <w:shd w:val="clear" w:color="auto" w:fill="auto"/>
            <w:noWrap/>
            <w:vAlign w:val="bottom"/>
            <w:hideMark/>
          </w:tcPr>
          <w:p w14:paraId="5505A1C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4.26</w:t>
            </w:r>
          </w:p>
        </w:tc>
        <w:tc>
          <w:tcPr>
            <w:tcW w:w="960" w:type="dxa"/>
            <w:tcBorders>
              <w:top w:val="nil"/>
              <w:left w:val="nil"/>
              <w:bottom w:val="single" w:sz="4" w:space="0" w:color="auto"/>
              <w:right w:val="single" w:sz="4" w:space="0" w:color="auto"/>
            </w:tcBorders>
            <w:shd w:val="clear" w:color="auto" w:fill="auto"/>
            <w:noWrap/>
            <w:vAlign w:val="bottom"/>
            <w:hideMark/>
          </w:tcPr>
          <w:p w14:paraId="541B6DF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2.46</w:t>
            </w:r>
          </w:p>
        </w:tc>
        <w:tc>
          <w:tcPr>
            <w:tcW w:w="960" w:type="dxa"/>
            <w:tcBorders>
              <w:top w:val="nil"/>
              <w:left w:val="nil"/>
              <w:bottom w:val="single" w:sz="4" w:space="0" w:color="auto"/>
              <w:right w:val="single" w:sz="4" w:space="0" w:color="auto"/>
            </w:tcBorders>
            <w:shd w:val="clear" w:color="auto" w:fill="auto"/>
            <w:noWrap/>
            <w:vAlign w:val="bottom"/>
            <w:hideMark/>
          </w:tcPr>
          <w:p w14:paraId="3B56521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10.44</w:t>
            </w:r>
          </w:p>
        </w:tc>
      </w:tr>
      <w:tr w:rsidR="00974249" w:rsidRPr="00974249" w14:paraId="448A6EC0"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BFEC1"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57A909D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2.30</w:t>
            </w:r>
          </w:p>
        </w:tc>
        <w:tc>
          <w:tcPr>
            <w:tcW w:w="960" w:type="dxa"/>
            <w:tcBorders>
              <w:top w:val="nil"/>
              <w:left w:val="nil"/>
              <w:bottom w:val="single" w:sz="4" w:space="0" w:color="auto"/>
              <w:right w:val="single" w:sz="4" w:space="0" w:color="auto"/>
            </w:tcBorders>
            <w:shd w:val="clear" w:color="auto" w:fill="auto"/>
            <w:noWrap/>
            <w:vAlign w:val="bottom"/>
            <w:hideMark/>
          </w:tcPr>
          <w:p w14:paraId="0AEBE4F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5.10</w:t>
            </w:r>
          </w:p>
        </w:tc>
        <w:tc>
          <w:tcPr>
            <w:tcW w:w="960" w:type="dxa"/>
            <w:tcBorders>
              <w:top w:val="nil"/>
              <w:left w:val="nil"/>
              <w:bottom w:val="single" w:sz="4" w:space="0" w:color="auto"/>
              <w:right w:val="single" w:sz="4" w:space="0" w:color="auto"/>
            </w:tcBorders>
            <w:shd w:val="clear" w:color="auto" w:fill="auto"/>
            <w:noWrap/>
            <w:vAlign w:val="bottom"/>
            <w:hideMark/>
          </w:tcPr>
          <w:p w14:paraId="16BA7E8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4.06</w:t>
            </w:r>
          </w:p>
        </w:tc>
        <w:tc>
          <w:tcPr>
            <w:tcW w:w="960" w:type="dxa"/>
            <w:tcBorders>
              <w:top w:val="nil"/>
              <w:left w:val="nil"/>
              <w:bottom w:val="single" w:sz="4" w:space="0" w:color="auto"/>
              <w:right w:val="single" w:sz="4" w:space="0" w:color="auto"/>
            </w:tcBorders>
            <w:shd w:val="clear" w:color="auto" w:fill="auto"/>
            <w:noWrap/>
            <w:vAlign w:val="bottom"/>
            <w:hideMark/>
          </w:tcPr>
          <w:p w14:paraId="0B9451B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4.64</w:t>
            </w:r>
          </w:p>
        </w:tc>
        <w:tc>
          <w:tcPr>
            <w:tcW w:w="960" w:type="dxa"/>
            <w:tcBorders>
              <w:top w:val="nil"/>
              <w:left w:val="nil"/>
              <w:bottom w:val="single" w:sz="4" w:space="0" w:color="auto"/>
              <w:right w:val="single" w:sz="4" w:space="0" w:color="auto"/>
            </w:tcBorders>
            <w:shd w:val="clear" w:color="auto" w:fill="auto"/>
            <w:noWrap/>
            <w:vAlign w:val="bottom"/>
            <w:hideMark/>
          </w:tcPr>
          <w:p w14:paraId="540EAE9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2.21</w:t>
            </w:r>
          </w:p>
        </w:tc>
        <w:tc>
          <w:tcPr>
            <w:tcW w:w="960" w:type="dxa"/>
            <w:tcBorders>
              <w:top w:val="nil"/>
              <w:left w:val="nil"/>
              <w:bottom w:val="single" w:sz="4" w:space="0" w:color="auto"/>
              <w:right w:val="single" w:sz="4" w:space="0" w:color="auto"/>
            </w:tcBorders>
            <w:shd w:val="clear" w:color="auto" w:fill="auto"/>
            <w:noWrap/>
            <w:vAlign w:val="bottom"/>
            <w:hideMark/>
          </w:tcPr>
          <w:p w14:paraId="524BE48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10.43</w:t>
            </w:r>
          </w:p>
        </w:tc>
      </w:tr>
      <w:tr w:rsidR="00974249" w:rsidRPr="00974249" w14:paraId="766ADC6A"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78A94"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3B1C068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14:paraId="3D33AD8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4.85</w:t>
            </w:r>
          </w:p>
        </w:tc>
        <w:tc>
          <w:tcPr>
            <w:tcW w:w="960" w:type="dxa"/>
            <w:tcBorders>
              <w:top w:val="nil"/>
              <w:left w:val="nil"/>
              <w:bottom w:val="single" w:sz="4" w:space="0" w:color="auto"/>
              <w:right w:val="single" w:sz="4" w:space="0" w:color="auto"/>
            </w:tcBorders>
            <w:shd w:val="clear" w:color="auto" w:fill="auto"/>
            <w:noWrap/>
            <w:vAlign w:val="bottom"/>
            <w:hideMark/>
          </w:tcPr>
          <w:p w14:paraId="029411BF"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3.98</w:t>
            </w:r>
          </w:p>
        </w:tc>
        <w:tc>
          <w:tcPr>
            <w:tcW w:w="960" w:type="dxa"/>
            <w:tcBorders>
              <w:top w:val="nil"/>
              <w:left w:val="nil"/>
              <w:bottom w:val="single" w:sz="4" w:space="0" w:color="auto"/>
              <w:right w:val="single" w:sz="4" w:space="0" w:color="auto"/>
            </w:tcBorders>
            <w:shd w:val="clear" w:color="auto" w:fill="auto"/>
            <w:noWrap/>
            <w:vAlign w:val="bottom"/>
            <w:hideMark/>
          </w:tcPr>
          <w:p w14:paraId="057984BD"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4.76</w:t>
            </w:r>
          </w:p>
        </w:tc>
        <w:tc>
          <w:tcPr>
            <w:tcW w:w="960" w:type="dxa"/>
            <w:tcBorders>
              <w:top w:val="nil"/>
              <w:left w:val="nil"/>
              <w:bottom w:val="single" w:sz="4" w:space="0" w:color="auto"/>
              <w:right w:val="single" w:sz="4" w:space="0" w:color="auto"/>
            </w:tcBorders>
            <w:shd w:val="clear" w:color="auto" w:fill="auto"/>
            <w:noWrap/>
            <w:vAlign w:val="bottom"/>
            <w:hideMark/>
          </w:tcPr>
          <w:p w14:paraId="21E5EA8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2.09</w:t>
            </w:r>
          </w:p>
        </w:tc>
        <w:tc>
          <w:tcPr>
            <w:tcW w:w="960" w:type="dxa"/>
            <w:tcBorders>
              <w:top w:val="nil"/>
              <w:left w:val="nil"/>
              <w:bottom w:val="single" w:sz="4" w:space="0" w:color="auto"/>
              <w:right w:val="single" w:sz="4" w:space="0" w:color="auto"/>
            </w:tcBorders>
            <w:shd w:val="clear" w:color="auto" w:fill="auto"/>
            <w:noWrap/>
            <w:vAlign w:val="bottom"/>
            <w:hideMark/>
          </w:tcPr>
          <w:p w14:paraId="0C64144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10.37</w:t>
            </w:r>
          </w:p>
        </w:tc>
      </w:tr>
      <w:tr w:rsidR="00974249" w:rsidRPr="00974249" w14:paraId="63D610C6"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96D749"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1CE0F0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2.43</w:t>
            </w:r>
          </w:p>
        </w:tc>
        <w:tc>
          <w:tcPr>
            <w:tcW w:w="960" w:type="dxa"/>
            <w:tcBorders>
              <w:top w:val="nil"/>
              <w:left w:val="nil"/>
              <w:bottom w:val="single" w:sz="4" w:space="0" w:color="auto"/>
              <w:right w:val="single" w:sz="4" w:space="0" w:color="auto"/>
            </w:tcBorders>
            <w:shd w:val="clear" w:color="auto" w:fill="auto"/>
            <w:noWrap/>
            <w:vAlign w:val="bottom"/>
            <w:hideMark/>
          </w:tcPr>
          <w:p w14:paraId="19230444"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5.07</w:t>
            </w:r>
          </w:p>
        </w:tc>
        <w:tc>
          <w:tcPr>
            <w:tcW w:w="960" w:type="dxa"/>
            <w:tcBorders>
              <w:top w:val="nil"/>
              <w:left w:val="nil"/>
              <w:bottom w:val="single" w:sz="4" w:space="0" w:color="auto"/>
              <w:right w:val="single" w:sz="4" w:space="0" w:color="auto"/>
            </w:tcBorders>
            <w:shd w:val="clear" w:color="auto" w:fill="auto"/>
            <w:noWrap/>
            <w:vAlign w:val="bottom"/>
            <w:hideMark/>
          </w:tcPr>
          <w:p w14:paraId="6F67692F"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3.85</w:t>
            </w:r>
          </w:p>
        </w:tc>
        <w:tc>
          <w:tcPr>
            <w:tcW w:w="960" w:type="dxa"/>
            <w:tcBorders>
              <w:top w:val="nil"/>
              <w:left w:val="nil"/>
              <w:bottom w:val="single" w:sz="4" w:space="0" w:color="auto"/>
              <w:right w:val="single" w:sz="4" w:space="0" w:color="auto"/>
            </w:tcBorders>
            <w:shd w:val="clear" w:color="auto" w:fill="auto"/>
            <w:noWrap/>
            <w:vAlign w:val="bottom"/>
            <w:hideMark/>
          </w:tcPr>
          <w:p w14:paraId="6D3B310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4.53</w:t>
            </w:r>
          </w:p>
        </w:tc>
        <w:tc>
          <w:tcPr>
            <w:tcW w:w="960" w:type="dxa"/>
            <w:tcBorders>
              <w:top w:val="nil"/>
              <w:left w:val="nil"/>
              <w:bottom w:val="single" w:sz="4" w:space="0" w:color="auto"/>
              <w:right w:val="single" w:sz="4" w:space="0" w:color="auto"/>
            </w:tcBorders>
            <w:shd w:val="clear" w:color="auto" w:fill="auto"/>
            <w:noWrap/>
            <w:vAlign w:val="bottom"/>
            <w:hideMark/>
          </w:tcPr>
          <w:p w14:paraId="12D4A44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2.24</w:t>
            </w:r>
          </w:p>
        </w:tc>
        <w:tc>
          <w:tcPr>
            <w:tcW w:w="960" w:type="dxa"/>
            <w:tcBorders>
              <w:top w:val="nil"/>
              <w:left w:val="nil"/>
              <w:bottom w:val="single" w:sz="4" w:space="0" w:color="auto"/>
              <w:right w:val="single" w:sz="4" w:space="0" w:color="auto"/>
            </w:tcBorders>
            <w:shd w:val="clear" w:color="auto" w:fill="auto"/>
            <w:noWrap/>
            <w:vAlign w:val="bottom"/>
            <w:hideMark/>
          </w:tcPr>
          <w:p w14:paraId="02ADE27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9.74</w:t>
            </w:r>
          </w:p>
        </w:tc>
      </w:tr>
      <w:tr w:rsidR="00974249" w:rsidRPr="00974249" w14:paraId="5B90E4AF"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4E6D73"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29C9A66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2.28</w:t>
            </w:r>
          </w:p>
        </w:tc>
        <w:tc>
          <w:tcPr>
            <w:tcW w:w="960" w:type="dxa"/>
            <w:tcBorders>
              <w:top w:val="nil"/>
              <w:left w:val="nil"/>
              <w:bottom w:val="single" w:sz="4" w:space="0" w:color="auto"/>
              <w:right w:val="single" w:sz="4" w:space="0" w:color="auto"/>
            </w:tcBorders>
            <w:shd w:val="clear" w:color="auto" w:fill="auto"/>
            <w:noWrap/>
            <w:vAlign w:val="bottom"/>
            <w:hideMark/>
          </w:tcPr>
          <w:p w14:paraId="3800834C"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5.13</w:t>
            </w:r>
          </w:p>
        </w:tc>
        <w:tc>
          <w:tcPr>
            <w:tcW w:w="960" w:type="dxa"/>
            <w:tcBorders>
              <w:top w:val="nil"/>
              <w:left w:val="nil"/>
              <w:bottom w:val="single" w:sz="4" w:space="0" w:color="auto"/>
              <w:right w:val="single" w:sz="4" w:space="0" w:color="auto"/>
            </w:tcBorders>
            <w:shd w:val="clear" w:color="auto" w:fill="auto"/>
            <w:noWrap/>
            <w:vAlign w:val="bottom"/>
            <w:hideMark/>
          </w:tcPr>
          <w:p w14:paraId="06B9CCF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3.82</w:t>
            </w:r>
          </w:p>
        </w:tc>
        <w:tc>
          <w:tcPr>
            <w:tcW w:w="960" w:type="dxa"/>
            <w:tcBorders>
              <w:top w:val="nil"/>
              <w:left w:val="nil"/>
              <w:bottom w:val="single" w:sz="4" w:space="0" w:color="auto"/>
              <w:right w:val="single" w:sz="4" w:space="0" w:color="auto"/>
            </w:tcBorders>
            <w:shd w:val="clear" w:color="auto" w:fill="auto"/>
            <w:noWrap/>
            <w:vAlign w:val="bottom"/>
            <w:hideMark/>
          </w:tcPr>
          <w:p w14:paraId="20F89E62"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4.57</w:t>
            </w:r>
          </w:p>
        </w:tc>
        <w:tc>
          <w:tcPr>
            <w:tcW w:w="960" w:type="dxa"/>
            <w:tcBorders>
              <w:top w:val="nil"/>
              <w:left w:val="nil"/>
              <w:bottom w:val="single" w:sz="4" w:space="0" w:color="auto"/>
              <w:right w:val="single" w:sz="4" w:space="0" w:color="auto"/>
            </w:tcBorders>
            <w:shd w:val="clear" w:color="auto" w:fill="auto"/>
            <w:noWrap/>
            <w:vAlign w:val="bottom"/>
            <w:hideMark/>
          </w:tcPr>
          <w:p w14:paraId="7CE0E51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2.15</w:t>
            </w:r>
          </w:p>
        </w:tc>
        <w:tc>
          <w:tcPr>
            <w:tcW w:w="960" w:type="dxa"/>
            <w:tcBorders>
              <w:top w:val="nil"/>
              <w:left w:val="nil"/>
              <w:bottom w:val="single" w:sz="4" w:space="0" w:color="auto"/>
              <w:right w:val="single" w:sz="4" w:space="0" w:color="auto"/>
            </w:tcBorders>
            <w:shd w:val="clear" w:color="auto" w:fill="auto"/>
            <w:noWrap/>
            <w:vAlign w:val="bottom"/>
            <w:hideMark/>
          </w:tcPr>
          <w:p w14:paraId="5AC1E591"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9.47</w:t>
            </w:r>
          </w:p>
        </w:tc>
      </w:tr>
      <w:tr w:rsidR="00974249" w:rsidRPr="00974249" w14:paraId="6897C856"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1F4D3"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403A280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2.16</w:t>
            </w:r>
          </w:p>
        </w:tc>
        <w:tc>
          <w:tcPr>
            <w:tcW w:w="960" w:type="dxa"/>
            <w:tcBorders>
              <w:top w:val="nil"/>
              <w:left w:val="nil"/>
              <w:bottom w:val="single" w:sz="4" w:space="0" w:color="auto"/>
              <w:right w:val="single" w:sz="4" w:space="0" w:color="auto"/>
            </w:tcBorders>
            <w:shd w:val="clear" w:color="auto" w:fill="auto"/>
            <w:noWrap/>
            <w:vAlign w:val="bottom"/>
            <w:hideMark/>
          </w:tcPr>
          <w:p w14:paraId="121E8B8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4.98</w:t>
            </w:r>
          </w:p>
        </w:tc>
        <w:tc>
          <w:tcPr>
            <w:tcW w:w="960" w:type="dxa"/>
            <w:tcBorders>
              <w:top w:val="nil"/>
              <w:left w:val="nil"/>
              <w:bottom w:val="single" w:sz="4" w:space="0" w:color="auto"/>
              <w:right w:val="single" w:sz="4" w:space="0" w:color="auto"/>
            </w:tcBorders>
            <w:shd w:val="clear" w:color="auto" w:fill="auto"/>
            <w:noWrap/>
            <w:vAlign w:val="bottom"/>
            <w:hideMark/>
          </w:tcPr>
          <w:p w14:paraId="38DBA4F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3.63</w:t>
            </w:r>
          </w:p>
        </w:tc>
        <w:tc>
          <w:tcPr>
            <w:tcW w:w="960" w:type="dxa"/>
            <w:tcBorders>
              <w:top w:val="nil"/>
              <w:left w:val="nil"/>
              <w:bottom w:val="single" w:sz="4" w:space="0" w:color="auto"/>
              <w:right w:val="single" w:sz="4" w:space="0" w:color="auto"/>
            </w:tcBorders>
            <w:shd w:val="clear" w:color="auto" w:fill="auto"/>
            <w:noWrap/>
            <w:vAlign w:val="bottom"/>
            <w:hideMark/>
          </w:tcPr>
          <w:p w14:paraId="5D54794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4.57</w:t>
            </w:r>
          </w:p>
        </w:tc>
        <w:tc>
          <w:tcPr>
            <w:tcW w:w="960" w:type="dxa"/>
            <w:tcBorders>
              <w:top w:val="nil"/>
              <w:left w:val="nil"/>
              <w:bottom w:val="single" w:sz="4" w:space="0" w:color="auto"/>
              <w:right w:val="single" w:sz="4" w:space="0" w:color="auto"/>
            </w:tcBorders>
            <w:shd w:val="clear" w:color="auto" w:fill="auto"/>
            <w:noWrap/>
            <w:vAlign w:val="bottom"/>
            <w:hideMark/>
          </w:tcPr>
          <w:p w14:paraId="0CBDD26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2.09</w:t>
            </w:r>
          </w:p>
        </w:tc>
        <w:tc>
          <w:tcPr>
            <w:tcW w:w="960" w:type="dxa"/>
            <w:tcBorders>
              <w:top w:val="nil"/>
              <w:left w:val="nil"/>
              <w:bottom w:val="single" w:sz="4" w:space="0" w:color="auto"/>
              <w:right w:val="single" w:sz="4" w:space="0" w:color="auto"/>
            </w:tcBorders>
            <w:shd w:val="clear" w:color="auto" w:fill="auto"/>
            <w:noWrap/>
            <w:vAlign w:val="bottom"/>
            <w:hideMark/>
          </w:tcPr>
          <w:p w14:paraId="693D1D3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9.22</w:t>
            </w:r>
          </w:p>
        </w:tc>
      </w:tr>
      <w:tr w:rsidR="00974249" w:rsidRPr="00974249" w14:paraId="573A3EE9"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D6BE7"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2C513C8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1.83</w:t>
            </w:r>
          </w:p>
        </w:tc>
        <w:tc>
          <w:tcPr>
            <w:tcW w:w="960" w:type="dxa"/>
            <w:tcBorders>
              <w:top w:val="nil"/>
              <w:left w:val="nil"/>
              <w:bottom w:val="single" w:sz="4" w:space="0" w:color="auto"/>
              <w:right w:val="single" w:sz="4" w:space="0" w:color="auto"/>
            </w:tcBorders>
            <w:shd w:val="clear" w:color="auto" w:fill="auto"/>
            <w:noWrap/>
            <w:vAlign w:val="bottom"/>
            <w:hideMark/>
          </w:tcPr>
          <w:p w14:paraId="438C0F6A"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5.15</w:t>
            </w:r>
          </w:p>
        </w:tc>
        <w:tc>
          <w:tcPr>
            <w:tcW w:w="960" w:type="dxa"/>
            <w:tcBorders>
              <w:top w:val="nil"/>
              <w:left w:val="nil"/>
              <w:bottom w:val="single" w:sz="4" w:space="0" w:color="auto"/>
              <w:right w:val="single" w:sz="4" w:space="0" w:color="auto"/>
            </w:tcBorders>
            <w:shd w:val="clear" w:color="auto" w:fill="auto"/>
            <w:noWrap/>
            <w:vAlign w:val="bottom"/>
            <w:hideMark/>
          </w:tcPr>
          <w:p w14:paraId="6F381F7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3.85</w:t>
            </w:r>
          </w:p>
        </w:tc>
        <w:tc>
          <w:tcPr>
            <w:tcW w:w="960" w:type="dxa"/>
            <w:tcBorders>
              <w:top w:val="nil"/>
              <w:left w:val="nil"/>
              <w:bottom w:val="single" w:sz="4" w:space="0" w:color="auto"/>
              <w:right w:val="single" w:sz="4" w:space="0" w:color="auto"/>
            </w:tcBorders>
            <w:shd w:val="clear" w:color="auto" w:fill="auto"/>
            <w:noWrap/>
            <w:vAlign w:val="bottom"/>
            <w:hideMark/>
          </w:tcPr>
          <w:p w14:paraId="571BD66B"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4.32</w:t>
            </w:r>
          </w:p>
        </w:tc>
        <w:tc>
          <w:tcPr>
            <w:tcW w:w="960" w:type="dxa"/>
            <w:tcBorders>
              <w:top w:val="nil"/>
              <w:left w:val="nil"/>
              <w:bottom w:val="single" w:sz="4" w:space="0" w:color="auto"/>
              <w:right w:val="single" w:sz="4" w:space="0" w:color="auto"/>
            </w:tcBorders>
            <w:shd w:val="clear" w:color="auto" w:fill="auto"/>
            <w:noWrap/>
            <w:vAlign w:val="bottom"/>
            <w:hideMark/>
          </w:tcPr>
          <w:p w14:paraId="61FDBE1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2.15</w:t>
            </w:r>
          </w:p>
        </w:tc>
        <w:tc>
          <w:tcPr>
            <w:tcW w:w="960" w:type="dxa"/>
            <w:tcBorders>
              <w:top w:val="nil"/>
              <w:left w:val="nil"/>
              <w:bottom w:val="single" w:sz="4" w:space="0" w:color="auto"/>
              <w:right w:val="single" w:sz="4" w:space="0" w:color="auto"/>
            </w:tcBorders>
            <w:shd w:val="clear" w:color="auto" w:fill="auto"/>
            <w:noWrap/>
            <w:vAlign w:val="bottom"/>
            <w:hideMark/>
          </w:tcPr>
          <w:p w14:paraId="5E72051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9.42</w:t>
            </w:r>
          </w:p>
        </w:tc>
      </w:tr>
      <w:tr w:rsidR="00974249" w:rsidRPr="00974249" w14:paraId="224D84CD"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C5EA3"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541785E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2.17</w:t>
            </w:r>
          </w:p>
        </w:tc>
        <w:tc>
          <w:tcPr>
            <w:tcW w:w="960" w:type="dxa"/>
            <w:tcBorders>
              <w:top w:val="nil"/>
              <w:left w:val="nil"/>
              <w:bottom w:val="single" w:sz="4" w:space="0" w:color="auto"/>
              <w:right w:val="single" w:sz="4" w:space="0" w:color="auto"/>
            </w:tcBorders>
            <w:shd w:val="clear" w:color="auto" w:fill="auto"/>
            <w:noWrap/>
            <w:vAlign w:val="bottom"/>
            <w:hideMark/>
          </w:tcPr>
          <w:p w14:paraId="2579D8E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5.17</w:t>
            </w:r>
          </w:p>
        </w:tc>
        <w:tc>
          <w:tcPr>
            <w:tcW w:w="960" w:type="dxa"/>
            <w:tcBorders>
              <w:top w:val="nil"/>
              <w:left w:val="nil"/>
              <w:bottom w:val="single" w:sz="4" w:space="0" w:color="auto"/>
              <w:right w:val="single" w:sz="4" w:space="0" w:color="auto"/>
            </w:tcBorders>
            <w:shd w:val="clear" w:color="auto" w:fill="auto"/>
            <w:noWrap/>
            <w:vAlign w:val="bottom"/>
            <w:hideMark/>
          </w:tcPr>
          <w:p w14:paraId="4E82B670"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4.07</w:t>
            </w:r>
          </w:p>
        </w:tc>
        <w:tc>
          <w:tcPr>
            <w:tcW w:w="960" w:type="dxa"/>
            <w:tcBorders>
              <w:top w:val="nil"/>
              <w:left w:val="nil"/>
              <w:bottom w:val="single" w:sz="4" w:space="0" w:color="auto"/>
              <w:right w:val="single" w:sz="4" w:space="0" w:color="auto"/>
            </w:tcBorders>
            <w:shd w:val="clear" w:color="auto" w:fill="auto"/>
            <w:noWrap/>
            <w:vAlign w:val="bottom"/>
            <w:hideMark/>
          </w:tcPr>
          <w:p w14:paraId="079DBA1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4.12</w:t>
            </w:r>
          </w:p>
        </w:tc>
        <w:tc>
          <w:tcPr>
            <w:tcW w:w="960" w:type="dxa"/>
            <w:tcBorders>
              <w:top w:val="nil"/>
              <w:left w:val="nil"/>
              <w:bottom w:val="single" w:sz="4" w:space="0" w:color="auto"/>
              <w:right w:val="single" w:sz="4" w:space="0" w:color="auto"/>
            </w:tcBorders>
            <w:shd w:val="clear" w:color="auto" w:fill="auto"/>
            <w:noWrap/>
            <w:vAlign w:val="bottom"/>
            <w:hideMark/>
          </w:tcPr>
          <w:p w14:paraId="48F897D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2.35</w:t>
            </w:r>
          </w:p>
        </w:tc>
        <w:tc>
          <w:tcPr>
            <w:tcW w:w="960" w:type="dxa"/>
            <w:tcBorders>
              <w:top w:val="nil"/>
              <w:left w:val="nil"/>
              <w:bottom w:val="single" w:sz="4" w:space="0" w:color="auto"/>
              <w:right w:val="single" w:sz="4" w:space="0" w:color="auto"/>
            </w:tcBorders>
            <w:shd w:val="clear" w:color="auto" w:fill="auto"/>
            <w:noWrap/>
            <w:vAlign w:val="bottom"/>
            <w:hideMark/>
          </w:tcPr>
          <w:p w14:paraId="03E5CF47"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9.38</w:t>
            </w:r>
          </w:p>
        </w:tc>
      </w:tr>
      <w:tr w:rsidR="00974249" w:rsidRPr="00974249" w14:paraId="67F86A93" w14:textId="77777777" w:rsidTr="00974249">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C742F" w14:textId="77777777" w:rsidR="00974249" w:rsidRPr="00974249" w:rsidRDefault="00974249" w:rsidP="00974249">
            <w:pPr>
              <w:spacing w:after="0" w:line="240" w:lineRule="auto"/>
              <w:jc w:val="center"/>
              <w:rPr>
                <w:rFonts w:ascii="Times New Roman" w:eastAsia="Times New Roman" w:hAnsi="Times New Roman" w:cs="Times New Roman"/>
                <w:b/>
                <w:color w:val="000000"/>
                <w:sz w:val="24"/>
                <w:szCs w:val="24"/>
              </w:rPr>
            </w:pPr>
            <w:r w:rsidRPr="00974249">
              <w:rPr>
                <w:rFonts w:ascii="Times New Roman" w:eastAsia="Times New Roman" w:hAnsi="Times New Roman" w:cs="Times New Roman"/>
                <w:b/>
                <w:color w:val="000000"/>
                <w:sz w:val="24"/>
                <w:szCs w:val="24"/>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1431DC09"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2.40</w:t>
            </w:r>
          </w:p>
        </w:tc>
        <w:tc>
          <w:tcPr>
            <w:tcW w:w="960" w:type="dxa"/>
            <w:tcBorders>
              <w:top w:val="nil"/>
              <w:left w:val="nil"/>
              <w:bottom w:val="single" w:sz="4" w:space="0" w:color="auto"/>
              <w:right w:val="single" w:sz="4" w:space="0" w:color="auto"/>
            </w:tcBorders>
            <w:shd w:val="clear" w:color="auto" w:fill="auto"/>
            <w:noWrap/>
            <w:vAlign w:val="bottom"/>
            <w:hideMark/>
          </w:tcPr>
          <w:p w14:paraId="57D2F82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6.36</w:t>
            </w:r>
          </w:p>
        </w:tc>
        <w:tc>
          <w:tcPr>
            <w:tcW w:w="960" w:type="dxa"/>
            <w:tcBorders>
              <w:top w:val="nil"/>
              <w:left w:val="nil"/>
              <w:bottom w:val="single" w:sz="4" w:space="0" w:color="auto"/>
              <w:right w:val="single" w:sz="4" w:space="0" w:color="auto"/>
            </w:tcBorders>
            <w:shd w:val="clear" w:color="auto" w:fill="auto"/>
            <w:noWrap/>
            <w:vAlign w:val="bottom"/>
            <w:hideMark/>
          </w:tcPr>
          <w:p w14:paraId="53868A18"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3.93</w:t>
            </w:r>
          </w:p>
        </w:tc>
        <w:tc>
          <w:tcPr>
            <w:tcW w:w="960" w:type="dxa"/>
            <w:tcBorders>
              <w:top w:val="nil"/>
              <w:left w:val="nil"/>
              <w:bottom w:val="single" w:sz="4" w:space="0" w:color="auto"/>
              <w:right w:val="single" w:sz="4" w:space="0" w:color="auto"/>
            </w:tcBorders>
            <w:shd w:val="clear" w:color="auto" w:fill="auto"/>
            <w:noWrap/>
            <w:vAlign w:val="bottom"/>
            <w:hideMark/>
          </w:tcPr>
          <w:p w14:paraId="6B6C8EB6"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4.14</w:t>
            </w:r>
          </w:p>
        </w:tc>
        <w:tc>
          <w:tcPr>
            <w:tcW w:w="960" w:type="dxa"/>
            <w:tcBorders>
              <w:top w:val="nil"/>
              <w:left w:val="nil"/>
              <w:bottom w:val="single" w:sz="4" w:space="0" w:color="auto"/>
              <w:right w:val="single" w:sz="4" w:space="0" w:color="auto"/>
            </w:tcBorders>
            <w:shd w:val="clear" w:color="auto" w:fill="auto"/>
            <w:noWrap/>
            <w:vAlign w:val="bottom"/>
            <w:hideMark/>
          </w:tcPr>
          <w:p w14:paraId="3EABCDB5"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2.35</w:t>
            </w:r>
          </w:p>
        </w:tc>
        <w:tc>
          <w:tcPr>
            <w:tcW w:w="960" w:type="dxa"/>
            <w:tcBorders>
              <w:top w:val="nil"/>
              <w:left w:val="nil"/>
              <w:bottom w:val="single" w:sz="4" w:space="0" w:color="auto"/>
              <w:right w:val="single" w:sz="4" w:space="0" w:color="auto"/>
            </w:tcBorders>
            <w:shd w:val="clear" w:color="auto" w:fill="auto"/>
            <w:noWrap/>
            <w:vAlign w:val="bottom"/>
            <w:hideMark/>
          </w:tcPr>
          <w:p w14:paraId="5FFF80AE" w14:textId="77777777" w:rsidR="00974249" w:rsidRPr="00974249" w:rsidRDefault="00974249" w:rsidP="00974249">
            <w:pPr>
              <w:spacing w:after="0" w:line="240" w:lineRule="auto"/>
              <w:jc w:val="center"/>
              <w:rPr>
                <w:rFonts w:ascii="Times New Roman" w:eastAsia="Times New Roman" w:hAnsi="Times New Roman" w:cs="Times New Roman"/>
                <w:color w:val="000000"/>
                <w:sz w:val="24"/>
                <w:szCs w:val="24"/>
              </w:rPr>
            </w:pPr>
            <w:r w:rsidRPr="00974249">
              <w:rPr>
                <w:rFonts w:ascii="Times New Roman" w:eastAsia="Times New Roman" w:hAnsi="Times New Roman" w:cs="Times New Roman"/>
                <w:color w:val="000000"/>
                <w:sz w:val="24"/>
                <w:szCs w:val="24"/>
              </w:rPr>
              <w:t>9.55</w:t>
            </w:r>
          </w:p>
        </w:tc>
      </w:tr>
    </w:tbl>
    <w:p w14:paraId="401D81AA" w14:textId="77777777" w:rsidR="00281D6E" w:rsidRDefault="001A1C92" w:rsidP="009F79C6">
      <w:pPr>
        <w:spacing w:line="360" w:lineRule="auto"/>
        <w:jc w:val="both"/>
        <w:rPr>
          <w:rFonts w:ascii="TimesNewRoman" w:hAnsi="TimesNewRoman" w:cs="TimesNewRoman"/>
        </w:rPr>
      </w:pPr>
      <w:r w:rsidRPr="007A77F6">
        <w:rPr>
          <w:rFonts w:ascii="TimesNewRoman" w:hAnsi="TimesNewRoman" w:cs="TimesNewRoman"/>
        </w:rPr>
        <w:t xml:space="preserve">Source: </w:t>
      </w:r>
      <w:r w:rsidR="00057989" w:rsidRPr="007A77F6">
        <w:rPr>
          <w:rFonts w:ascii="TimesNewRoman" w:hAnsi="TimesNewRoman" w:cs="TimesNewRoman"/>
        </w:rPr>
        <w:t xml:space="preserve">Computed by the author using </w:t>
      </w:r>
      <w:r w:rsidRPr="007A77F6">
        <w:rPr>
          <w:rFonts w:ascii="TimesNewRoman" w:hAnsi="TimesNewRoman" w:cs="TimesNewRoman"/>
        </w:rPr>
        <w:t>WTO</w:t>
      </w:r>
      <w:r w:rsidR="00057989" w:rsidRPr="007A77F6">
        <w:rPr>
          <w:rFonts w:ascii="TimesNewRoman" w:hAnsi="TimesNewRoman" w:cs="TimesNewRoman"/>
        </w:rPr>
        <w:t xml:space="preserve"> data</w:t>
      </w:r>
    </w:p>
    <w:p w14:paraId="47041EB0" w14:textId="77777777" w:rsidR="007B588E" w:rsidRDefault="00202EE4" w:rsidP="009F79C6">
      <w:pPr>
        <w:spacing w:line="360" w:lineRule="auto"/>
        <w:jc w:val="both"/>
        <w:rPr>
          <w:rFonts w:ascii="TimesNewRoman" w:hAnsi="TimesNewRoman" w:cs="TimesNewRoman"/>
        </w:rPr>
      </w:pPr>
      <w:r w:rsidRPr="00202EE4">
        <w:rPr>
          <w:rFonts w:ascii="TimesNewRoman" w:hAnsi="TimesNewRoman" w:cs="TimesNewRoman"/>
          <w:noProof/>
        </w:rPr>
        <w:lastRenderedPageBreak/>
        <w:drawing>
          <wp:inline distT="0" distB="0" distL="0" distR="0" wp14:anchorId="4E46EDFF" wp14:editId="12251E9D">
            <wp:extent cx="4828309" cy="3214254"/>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E0E26E" w14:textId="07F90B33" w:rsidR="004B0420" w:rsidRPr="004B0420" w:rsidRDefault="004B0420" w:rsidP="009F79C6">
      <w:pPr>
        <w:spacing w:line="360" w:lineRule="auto"/>
        <w:jc w:val="both"/>
        <w:rPr>
          <w:rFonts w:cstheme="minorHAnsi"/>
        </w:rPr>
      </w:pPr>
      <w:r w:rsidRPr="004B0420">
        <w:rPr>
          <w:rFonts w:cstheme="minorHAnsi"/>
        </w:rPr>
        <w:t xml:space="preserve">Figure 2. </w:t>
      </w:r>
      <w:r w:rsidR="00324015" w:rsidRPr="00324015">
        <w:rPr>
          <w:rFonts w:ascii="Times New Roman" w:hAnsi="Times New Roman" w:cs="Times New Roman"/>
          <w:color w:val="000000" w:themeColor="text1"/>
        </w:rPr>
        <w:t>Graphical Presentation of</w:t>
      </w:r>
      <w:r w:rsidR="00324015">
        <w:rPr>
          <w:rFonts w:ascii="Times New Roman" w:hAnsi="Times New Roman" w:cs="Times New Roman"/>
          <w:color w:val="000000" w:themeColor="text1"/>
        </w:rPr>
        <w:t xml:space="preserve"> </w:t>
      </w:r>
      <w:r w:rsidR="00324015" w:rsidRPr="00C30A6D">
        <w:rPr>
          <w:rFonts w:ascii="Times New Roman" w:hAnsi="Times New Roman" w:cs="Times New Roman"/>
          <w:sz w:val="24"/>
          <w:szCs w:val="24"/>
        </w:rPr>
        <w:t>the percentage share of agricultural ex</w:t>
      </w:r>
      <w:r w:rsidR="00324015">
        <w:rPr>
          <w:rFonts w:ascii="Times New Roman" w:hAnsi="Times New Roman" w:cs="Times New Roman"/>
          <w:sz w:val="24"/>
          <w:szCs w:val="24"/>
        </w:rPr>
        <w:t>ports</w:t>
      </w:r>
    </w:p>
    <w:p w14:paraId="041A2E2B" w14:textId="77777777" w:rsidR="0022339D" w:rsidRDefault="00DA1178" w:rsidP="00352EB2">
      <w:pPr>
        <w:spacing w:line="360" w:lineRule="auto"/>
        <w:jc w:val="both"/>
        <w:rPr>
          <w:rFonts w:ascii="Times New Roman" w:hAnsi="Times New Roman" w:cs="Times New Roman"/>
          <w:b/>
          <w:sz w:val="24"/>
          <w:szCs w:val="24"/>
        </w:rPr>
      </w:pPr>
      <w:r w:rsidRPr="00BD35DB">
        <w:rPr>
          <w:rFonts w:ascii="Times New Roman" w:hAnsi="Times New Roman" w:cs="Times New Roman"/>
          <w:b/>
          <w:sz w:val="24"/>
          <w:szCs w:val="24"/>
        </w:rPr>
        <w:t>CONCLUSION</w:t>
      </w:r>
    </w:p>
    <w:p w14:paraId="7B69CE22" w14:textId="77777777" w:rsidR="0022339D" w:rsidRDefault="00492885" w:rsidP="007A77F6">
      <w:pPr>
        <w:spacing w:line="360" w:lineRule="auto"/>
        <w:jc w:val="both"/>
        <w:rPr>
          <w:rFonts w:ascii="Times New Roman" w:hAnsi="Times New Roman" w:cs="Times New Roman"/>
          <w:sz w:val="24"/>
          <w:szCs w:val="24"/>
        </w:rPr>
      </w:pPr>
      <w:r w:rsidRPr="00492885">
        <w:rPr>
          <w:rFonts w:ascii="Times New Roman" w:hAnsi="Times New Roman" w:cs="Times New Roman"/>
          <w:sz w:val="24"/>
          <w:szCs w:val="24"/>
        </w:rPr>
        <w:t>The current investigation has assessed the export trends of agricultural commodities from India over the last decade and explored possibilities for enhancement. The findings indicate a decline in India's share of agricultural exports when compared to other nations such as the USA, Canada, Brazil, China, and Australia.</w:t>
      </w:r>
      <w:r>
        <w:rPr>
          <w:rFonts w:ascii="Times New Roman" w:hAnsi="Times New Roman" w:cs="Times New Roman"/>
          <w:sz w:val="24"/>
          <w:szCs w:val="24"/>
        </w:rPr>
        <w:t xml:space="preserve"> </w:t>
      </w:r>
      <w:r w:rsidR="006311BE">
        <w:rPr>
          <w:rFonts w:ascii="Times New Roman" w:hAnsi="Times New Roman" w:cs="Times New Roman"/>
          <w:sz w:val="24"/>
          <w:szCs w:val="24"/>
        </w:rPr>
        <w:t>The share of agriculture export to national export has been declined</w:t>
      </w:r>
      <w:r w:rsidR="000940BB">
        <w:rPr>
          <w:rFonts w:ascii="Times New Roman" w:hAnsi="Times New Roman" w:cs="Times New Roman"/>
          <w:sz w:val="24"/>
          <w:szCs w:val="24"/>
        </w:rPr>
        <w:t>. The</w:t>
      </w:r>
      <w:r w:rsidR="006311BE">
        <w:rPr>
          <w:rFonts w:ascii="Times New Roman" w:hAnsi="Times New Roman" w:cs="Times New Roman"/>
          <w:sz w:val="24"/>
          <w:szCs w:val="24"/>
        </w:rPr>
        <w:t xml:space="preserve"> growth rate of</w:t>
      </w:r>
      <w:r w:rsidR="00143C6E" w:rsidRPr="00143C6E">
        <w:rPr>
          <w:rFonts w:ascii="Times New Roman" w:hAnsi="Times New Roman" w:cs="Times New Roman"/>
          <w:sz w:val="24"/>
          <w:szCs w:val="24"/>
        </w:rPr>
        <w:t xml:space="preserve"> the</w:t>
      </w:r>
      <w:r w:rsidR="006311BE">
        <w:rPr>
          <w:rFonts w:ascii="Times New Roman" w:hAnsi="Times New Roman" w:cs="Times New Roman"/>
          <w:sz w:val="24"/>
          <w:szCs w:val="24"/>
        </w:rPr>
        <w:t xml:space="preserve"> agricultural commodities</w:t>
      </w:r>
      <w:r w:rsidR="000940BB">
        <w:rPr>
          <w:rFonts w:ascii="Times New Roman" w:hAnsi="Times New Roman" w:cs="Times New Roman"/>
          <w:sz w:val="24"/>
          <w:szCs w:val="24"/>
        </w:rPr>
        <w:t xml:space="preserve"> export </w:t>
      </w:r>
      <w:proofErr w:type="gramStart"/>
      <w:r w:rsidR="000940BB">
        <w:rPr>
          <w:rFonts w:ascii="Times New Roman" w:hAnsi="Times New Roman" w:cs="Times New Roman"/>
          <w:sz w:val="24"/>
          <w:szCs w:val="24"/>
        </w:rPr>
        <w:t>have</w:t>
      </w:r>
      <w:proofErr w:type="gramEnd"/>
      <w:r w:rsidR="000940BB">
        <w:rPr>
          <w:rFonts w:ascii="Times New Roman" w:hAnsi="Times New Roman" w:cs="Times New Roman"/>
          <w:sz w:val="24"/>
          <w:szCs w:val="24"/>
        </w:rPr>
        <w:t xml:space="preserve"> been quite impressive from 2003 to 2013 however this growth ra</w:t>
      </w:r>
      <w:r w:rsidR="00F911A1">
        <w:rPr>
          <w:rFonts w:ascii="Times New Roman" w:hAnsi="Times New Roman" w:cs="Times New Roman"/>
          <w:sz w:val="24"/>
          <w:szCs w:val="24"/>
        </w:rPr>
        <w:t>te has been declined during 2014</w:t>
      </w:r>
      <w:r w:rsidR="000940BB">
        <w:rPr>
          <w:rFonts w:ascii="Times New Roman" w:hAnsi="Times New Roman" w:cs="Times New Roman"/>
          <w:sz w:val="24"/>
          <w:szCs w:val="24"/>
        </w:rPr>
        <w:t xml:space="preserve"> to 2023</w:t>
      </w:r>
      <w:r w:rsidR="006311BE">
        <w:rPr>
          <w:rFonts w:ascii="Times New Roman" w:hAnsi="Times New Roman" w:cs="Times New Roman"/>
          <w:sz w:val="24"/>
          <w:szCs w:val="24"/>
        </w:rPr>
        <w:t>.</w:t>
      </w:r>
      <w:r w:rsidR="00143C6E" w:rsidRPr="00143C6E">
        <w:rPr>
          <w:rFonts w:ascii="Times New Roman" w:hAnsi="Times New Roman" w:cs="Times New Roman"/>
          <w:sz w:val="24"/>
          <w:szCs w:val="24"/>
        </w:rPr>
        <w:t xml:space="preserve"> </w:t>
      </w:r>
      <w:r w:rsidR="00C01F08">
        <w:rPr>
          <w:rFonts w:ascii="Times New Roman" w:hAnsi="Times New Roman" w:cs="Times New Roman"/>
          <w:sz w:val="24"/>
          <w:szCs w:val="24"/>
        </w:rPr>
        <w:t>During 2003-2014 the share of cereals (2.37</w:t>
      </w:r>
      <w:r w:rsidR="004D1D6C">
        <w:rPr>
          <w:rFonts w:ascii="Times New Roman" w:hAnsi="Times New Roman" w:cs="Times New Roman"/>
          <w:sz w:val="24"/>
          <w:szCs w:val="24"/>
        </w:rPr>
        <w:t>%- 3.35</w:t>
      </w:r>
      <w:r w:rsidR="00C01F08">
        <w:rPr>
          <w:rFonts w:ascii="Times New Roman" w:hAnsi="Times New Roman" w:cs="Times New Roman"/>
          <w:sz w:val="24"/>
          <w:szCs w:val="24"/>
        </w:rPr>
        <w:t xml:space="preserve">%), spices (0.11-0.93%), rice (1.42-2.47%), Maize (0.12-0.32%), and Meat &amp; </w:t>
      </w:r>
      <w:proofErr w:type="spellStart"/>
      <w:r w:rsidR="00C01F08">
        <w:rPr>
          <w:rFonts w:ascii="Times New Roman" w:hAnsi="Times New Roman" w:cs="Times New Roman"/>
          <w:sz w:val="24"/>
          <w:szCs w:val="24"/>
        </w:rPr>
        <w:t>offals</w:t>
      </w:r>
      <w:proofErr w:type="spellEnd"/>
      <w:r w:rsidR="00C01F08">
        <w:rPr>
          <w:rFonts w:ascii="Times New Roman" w:hAnsi="Times New Roman" w:cs="Times New Roman"/>
          <w:sz w:val="24"/>
          <w:szCs w:val="24"/>
        </w:rPr>
        <w:t xml:space="preserve"> (0.57-1.4%) have been raised. On the other </w:t>
      </w:r>
      <w:proofErr w:type="gramStart"/>
      <w:r w:rsidR="00C01F08">
        <w:rPr>
          <w:rFonts w:ascii="Times New Roman" w:hAnsi="Times New Roman" w:cs="Times New Roman"/>
          <w:sz w:val="24"/>
          <w:szCs w:val="24"/>
        </w:rPr>
        <w:t>hand</w:t>
      </w:r>
      <w:proofErr w:type="gramEnd"/>
      <w:r w:rsidR="00C01F08">
        <w:rPr>
          <w:rFonts w:ascii="Times New Roman" w:hAnsi="Times New Roman" w:cs="Times New Roman"/>
          <w:sz w:val="24"/>
          <w:szCs w:val="24"/>
        </w:rPr>
        <w:t xml:space="preserve"> </w:t>
      </w:r>
      <w:r w:rsidR="00926FCC">
        <w:rPr>
          <w:rFonts w:ascii="Times New Roman" w:hAnsi="Times New Roman" w:cs="Times New Roman"/>
          <w:sz w:val="24"/>
          <w:szCs w:val="24"/>
        </w:rPr>
        <w:t xml:space="preserve">the share of wheat &amp; meslin (0.81-0.49%), coffee (0.25-0.17%), </w:t>
      </w:r>
      <w:r w:rsidR="00FF0A51">
        <w:rPr>
          <w:rFonts w:ascii="Times New Roman" w:hAnsi="Times New Roman" w:cs="Times New Roman"/>
          <w:sz w:val="24"/>
          <w:szCs w:val="24"/>
        </w:rPr>
        <w:t>t</w:t>
      </w:r>
      <w:r w:rsidR="00926FCC">
        <w:rPr>
          <w:rFonts w:ascii="Times New Roman" w:hAnsi="Times New Roman" w:cs="Times New Roman"/>
          <w:sz w:val="24"/>
          <w:szCs w:val="24"/>
        </w:rPr>
        <w:t xml:space="preserve">ea (0.52-0.24%), </w:t>
      </w:r>
      <w:r w:rsidR="00FF0A51">
        <w:rPr>
          <w:rFonts w:ascii="Times New Roman" w:hAnsi="Times New Roman" w:cs="Times New Roman"/>
          <w:sz w:val="24"/>
          <w:szCs w:val="24"/>
        </w:rPr>
        <w:t>f</w:t>
      </w:r>
      <w:r w:rsidR="00926FCC">
        <w:rPr>
          <w:rFonts w:ascii="Times New Roman" w:hAnsi="Times New Roman" w:cs="Times New Roman"/>
          <w:sz w:val="24"/>
          <w:szCs w:val="24"/>
        </w:rPr>
        <w:t xml:space="preserve">ish (1.93-1.53%), vegetable &amp; Tubers (0.51-0.43%), and fruits &amp; nuts (0.015-0.0003%) have been declined during this period. </w:t>
      </w:r>
      <w:proofErr w:type="gramStart"/>
      <w:r w:rsidR="00F911A1">
        <w:rPr>
          <w:rFonts w:ascii="Times New Roman" w:hAnsi="Times New Roman" w:cs="Times New Roman"/>
          <w:sz w:val="24"/>
          <w:szCs w:val="24"/>
        </w:rPr>
        <w:t>However</w:t>
      </w:r>
      <w:proofErr w:type="gramEnd"/>
      <w:r w:rsidR="00F911A1">
        <w:rPr>
          <w:rFonts w:ascii="Times New Roman" w:hAnsi="Times New Roman" w:cs="Times New Roman"/>
          <w:sz w:val="24"/>
          <w:szCs w:val="24"/>
        </w:rPr>
        <w:t xml:space="preserve"> during 2014</w:t>
      </w:r>
      <w:r w:rsidR="00926FCC" w:rsidRPr="00DE33F2">
        <w:rPr>
          <w:rFonts w:ascii="Times New Roman" w:hAnsi="Times New Roman" w:cs="Times New Roman"/>
          <w:sz w:val="24"/>
          <w:szCs w:val="24"/>
        </w:rPr>
        <w:t xml:space="preserve">-2023 the share of </w:t>
      </w:r>
      <w:r w:rsidR="004D1D6C" w:rsidRPr="00DE33F2">
        <w:rPr>
          <w:rFonts w:ascii="Times New Roman" w:hAnsi="Times New Roman" w:cs="Times New Roman"/>
          <w:sz w:val="24"/>
          <w:szCs w:val="24"/>
        </w:rPr>
        <w:t xml:space="preserve">cereals (3.35-3.07%), spices (0.93-0.10%), Maize (0.32-0.24%), and Meat &amp; </w:t>
      </w:r>
      <w:proofErr w:type="spellStart"/>
      <w:r w:rsidR="004D1D6C" w:rsidRPr="00DE33F2">
        <w:rPr>
          <w:rFonts w:ascii="Times New Roman" w:hAnsi="Times New Roman" w:cs="Times New Roman"/>
          <w:sz w:val="24"/>
          <w:szCs w:val="24"/>
        </w:rPr>
        <w:t>offals</w:t>
      </w:r>
      <w:proofErr w:type="spellEnd"/>
      <w:r w:rsidR="004D1D6C" w:rsidRPr="00DE33F2">
        <w:rPr>
          <w:rFonts w:ascii="Times New Roman" w:hAnsi="Times New Roman" w:cs="Times New Roman"/>
          <w:sz w:val="24"/>
          <w:szCs w:val="24"/>
        </w:rPr>
        <w:t xml:space="preserve"> (1.4-0.72%), wheat &amp; meslin (0.49-0.33%), coffee (0.17-0.16%), Tea (0.24-0.16%), </w:t>
      </w:r>
      <w:r w:rsidR="00DF1179" w:rsidRPr="00DE33F2">
        <w:rPr>
          <w:rFonts w:ascii="Times New Roman" w:hAnsi="Times New Roman" w:cs="Times New Roman"/>
          <w:sz w:val="24"/>
          <w:szCs w:val="24"/>
        </w:rPr>
        <w:t>Fish (</w:t>
      </w:r>
      <w:r w:rsidR="004D1D6C" w:rsidRPr="00DE33F2">
        <w:rPr>
          <w:rFonts w:ascii="Times New Roman" w:hAnsi="Times New Roman" w:cs="Times New Roman"/>
          <w:sz w:val="24"/>
          <w:szCs w:val="24"/>
        </w:rPr>
        <w:t>1.53</w:t>
      </w:r>
      <w:r w:rsidR="00DF1179" w:rsidRPr="00DE33F2">
        <w:rPr>
          <w:rFonts w:ascii="Times New Roman" w:hAnsi="Times New Roman" w:cs="Times New Roman"/>
          <w:sz w:val="24"/>
          <w:szCs w:val="24"/>
        </w:rPr>
        <w:t>-1.51</w:t>
      </w:r>
      <w:r w:rsidR="004D1D6C" w:rsidRPr="00DE33F2">
        <w:rPr>
          <w:rFonts w:ascii="Times New Roman" w:hAnsi="Times New Roman" w:cs="Times New Roman"/>
          <w:sz w:val="24"/>
          <w:szCs w:val="24"/>
        </w:rPr>
        <w:t>%), vegetable &amp; Tubers (0.43</w:t>
      </w:r>
      <w:r w:rsidR="00DF1179" w:rsidRPr="00DE33F2">
        <w:rPr>
          <w:rFonts w:ascii="Times New Roman" w:hAnsi="Times New Roman" w:cs="Times New Roman"/>
          <w:sz w:val="24"/>
          <w:szCs w:val="24"/>
        </w:rPr>
        <w:t>-0.42</w:t>
      </w:r>
      <w:r w:rsidR="004D1D6C" w:rsidRPr="00DE33F2">
        <w:rPr>
          <w:rFonts w:ascii="Times New Roman" w:hAnsi="Times New Roman" w:cs="Times New Roman"/>
          <w:sz w:val="24"/>
          <w:szCs w:val="24"/>
        </w:rPr>
        <w:t>%), an</w:t>
      </w:r>
      <w:r w:rsidR="00DF1179" w:rsidRPr="00DE33F2">
        <w:rPr>
          <w:rFonts w:ascii="Times New Roman" w:hAnsi="Times New Roman" w:cs="Times New Roman"/>
          <w:sz w:val="24"/>
          <w:szCs w:val="24"/>
        </w:rPr>
        <w:t>d fruits &amp; nuts (</w:t>
      </w:r>
      <w:r w:rsidR="004D1D6C" w:rsidRPr="00DE33F2">
        <w:rPr>
          <w:rFonts w:ascii="Times New Roman" w:hAnsi="Times New Roman" w:cs="Times New Roman"/>
          <w:sz w:val="24"/>
          <w:szCs w:val="24"/>
        </w:rPr>
        <w:t>0.0003</w:t>
      </w:r>
      <w:r w:rsidR="00DF1179" w:rsidRPr="00DE33F2">
        <w:rPr>
          <w:rFonts w:ascii="Times New Roman" w:hAnsi="Times New Roman" w:cs="Times New Roman"/>
          <w:sz w:val="24"/>
          <w:szCs w:val="24"/>
        </w:rPr>
        <w:t>-0.0001</w:t>
      </w:r>
      <w:r w:rsidR="004D1D6C" w:rsidRPr="00DE33F2">
        <w:rPr>
          <w:rFonts w:ascii="Times New Roman" w:hAnsi="Times New Roman" w:cs="Times New Roman"/>
          <w:sz w:val="24"/>
          <w:szCs w:val="24"/>
        </w:rPr>
        <w:t>%)</w:t>
      </w:r>
      <w:r w:rsidR="00CC21DD" w:rsidRPr="00DE33F2">
        <w:rPr>
          <w:rFonts w:ascii="Times New Roman" w:hAnsi="Times New Roman" w:cs="Times New Roman"/>
          <w:sz w:val="24"/>
          <w:szCs w:val="24"/>
        </w:rPr>
        <w:t xml:space="preserve"> have been decreased except rice has a stagnant share (2.47-2.47%) during this period</w:t>
      </w:r>
      <w:r w:rsidR="004D1D6C" w:rsidRPr="00DE33F2">
        <w:rPr>
          <w:rFonts w:ascii="Times New Roman" w:hAnsi="Times New Roman" w:cs="Times New Roman"/>
          <w:sz w:val="24"/>
          <w:szCs w:val="24"/>
        </w:rPr>
        <w:t>.</w:t>
      </w:r>
      <w:r w:rsidR="00761480">
        <w:rPr>
          <w:rFonts w:ascii="Times New Roman" w:hAnsi="Times New Roman" w:cs="Times New Roman"/>
          <w:sz w:val="24"/>
          <w:szCs w:val="24"/>
        </w:rPr>
        <w:t xml:space="preserve"> </w:t>
      </w:r>
      <w:r w:rsidR="00CC21DD">
        <w:rPr>
          <w:rFonts w:ascii="Times New Roman" w:hAnsi="Times New Roman" w:cs="Times New Roman"/>
          <w:sz w:val="24"/>
          <w:szCs w:val="24"/>
        </w:rPr>
        <w:t xml:space="preserve">The overall share of agriculture commodities </w:t>
      </w:r>
      <w:proofErr w:type="gramStart"/>
      <w:r w:rsidR="00CC21DD">
        <w:rPr>
          <w:rFonts w:ascii="Times New Roman" w:hAnsi="Times New Roman" w:cs="Times New Roman"/>
          <w:sz w:val="24"/>
          <w:szCs w:val="24"/>
        </w:rPr>
        <w:t>have</w:t>
      </w:r>
      <w:proofErr w:type="gramEnd"/>
      <w:r w:rsidR="00CC21DD">
        <w:rPr>
          <w:rFonts w:ascii="Times New Roman" w:hAnsi="Times New Roman" w:cs="Times New Roman"/>
          <w:sz w:val="24"/>
          <w:szCs w:val="24"/>
        </w:rPr>
        <w:t xml:space="preserve"> been declined from 2013-2023.</w:t>
      </w:r>
      <w:r w:rsidR="004D1D6C">
        <w:rPr>
          <w:rFonts w:ascii="Times New Roman" w:hAnsi="Times New Roman" w:cs="Times New Roman"/>
          <w:sz w:val="24"/>
          <w:szCs w:val="24"/>
        </w:rPr>
        <w:t xml:space="preserve"> </w:t>
      </w:r>
      <w:r w:rsidR="00143C6E" w:rsidRPr="00143C6E">
        <w:rPr>
          <w:rFonts w:ascii="Times New Roman" w:hAnsi="Times New Roman" w:cs="Times New Roman"/>
          <w:sz w:val="24"/>
          <w:szCs w:val="24"/>
        </w:rPr>
        <w:t xml:space="preserve">Consistent </w:t>
      </w:r>
      <w:r w:rsidR="00143C6E" w:rsidRPr="00143C6E">
        <w:rPr>
          <w:rFonts w:ascii="Times New Roman" w:hAnsi="Times New Roman" w:cs="Times New Roman"/>
          <w:sz w:val="24"/>
          <w:szCs w:val="24"/>
        </w:rPr>
        <w:lastRenderedPageBreak/>
        <w:t xml:space="preserve">growth </w:t>
      </w:r>
      <w:r w:rsidR="00761480">
        <w:rPr>
          <w:rFonts w:ascii="Times New Roman" w:hAnsi="Times New Roman" w:cs="Times New Roman"/>
          <w:sz w:val="24"/>
          <w:szCs w:val="24"/>
        </w:rPr>
        <w:t xml:space="preserve">rate </w:t>
      </w:r>
      <w:r w:rsidR="00143C6E" w:rsidRPr="00143C6E">
        <w:rPr>
          <w:rFonts w:ascii="Times New Roman" w:hAnsi="Times New Roman" w:cs="Times New Roman"/>
          <w:sz w:val="24"/>
          <w:szCs w:val="24"/>
        </w:rPr>
        <w:t xml:space="preserve">was noted in case of </w:t>
      </w:r>
      <w:r w:rsidR="00761480">
        <w:rPr>
          <w:rFonts w:ascii="Times New Roman" w:hAnsi="Times New Roman" w:cs="Times New Roman"/>
          <w:sz w:val="24"/>
          <w:szCs w:val="24"/>
        </w:rPr>
        <w:t xml:space="preserve">maize (39.83%), meat &amp; </w:t>
      </w:r>
      <w:proofErr w:type="spellStart"/>
      <w:r w:rsidR="00761480">
        <w:rPr>
          <w:rFonts w:ascii="Times New Roman" w:hAnsi="Times New Roman" w:cs="Times New Roman"/>
          <w:sz w:val="24"/>
          <w:szCs w:val="24"/>
        </w:rPr>
        <w:t>offals</w:t>
      </w:r>
      <w:proofErr w:type="spellEnd"/>
      <w:r w:rsidR="00761480">
        <w:rPr>
          <w:rFonts w:ascii="Times New Roman" w:hAnsi="Times New Roman" w:cs="Times New Roman"/>
          <w:sz w:val="24"/>
          <w:szCs w:val="24"/>
        </w:rPr>
        <w:t xml:space="preserve"> (28.26%), fruits &amp; nuts</w:t>
      </w:r>
      <w:r w:rsidR="0097419F">
        <w:rPr>
          <w:rFonts w:ascii="Times New Roman" w:hAnsi="Times New Roman" w:cs="Times New Roman"/>
          <w:sz w:val="24"/>
          <w:szCs w:val="24"/>
        </w:rPr>
        <w:t xml:space="preserve"> </w:t>
      </w:r>
      <w:r w:rsidR="000F099B">
        <w:rPr>
          <w:rFonts w:ascii="Times New Roman" w:hAnsi="Times New Roman" w:cs="Times New Roman"/>
          <w:sz w:val="24"/>
          <w:szCs w:val="24"/>
        </w:rPr>
        <w:t xml:space="preserve">(22.71%), </w:t>
      </w:r>
      <w:r w:rsidR="00143C6E" w:rsidRPr="00143C6E">
        <w:rPr>
          <w:rFonts w:ascii="Times New Roman" w:hAnsi="Times New Roman" w:cs="Times New Roman"/>
          <w:sz w:val="24"/>
          <w:szCs w:val="24"/>
        </w:rPr>
        <w:t>spices</w:t>
      </w:r>
      <w:r w:rsidR="000F099B">
        <w:rPr>
          <w:rFonts w:ascii="Times New Roman" w:hAnsi="Times New Roman" w:cs="Times New Roman"/>
          <w:sz w:val="24"/>
          <w:szCs w:val="24"/>
        </w:rPr>
        <w:t xml:space="preserve"> (22</w:t>
      </w:r>
      <w:r w:rsidR="00143C6E" w:rsidRPr="00143C6E">
        <w:rPr>
          <w:rFonts w:ascii="Times New Roman" w:hAnsi="Times New Roman" w:cs="Times New Roman"/>
          <w:sz w:val="24"/>
          <w:szCs w:val="24"/>
        </w:rPr>
        <w:t>.</w:t>
      </w:r>
      <w:r w:rsidR="000F099B">
        <w:rPr>
          <w:rFonts w:ascii="Times New Roman" w:hAnsi="Times New Roman" w:cs="Times New Roman"/>
          <w:sz w:val="24"/>
          <w:szCs w:val="24"/>
        </w:rPr>
        <w:t xml:space="preserve">06%), cereals (19.82%), coffee (15.95%), veg &amp; tubers (13.24%), fish (11.57%). On the other </w:t>
      </w:r>
      <w:proofErr w:type="gramStart"/>
      <w:r w:rsidR="000F099B">
        <w:rPr>
          <w:rFonts w:ascii="Times New Roman" w:hAnsi="Times New Roman" w:cs="Times New Roman"/>
          <w:sz w:val="24"/>
          <w:szCs w:val="24"/>
        </w:rPr>
        <w:t>hand</w:t>
      </w:r>
      <w:proofErr w:type="gramEnd"/>
      <w:r w:rsidR="000F099B">
        <w:rPr>
          <w:rFonts w:ascii="Times New Roman" w:hAnsi="Times New Roman" w:cs="Times New Roman"/>
          <w:sz w:val="24"/>
          <w:szCs w:val="24"/>
        </w:rPr>
        <w:t xml:space="preserve"> wheat &amp; meslin (-23.18%) has a negative growth rate during 2003-2013</w:t>
      </w:r>
      <w:r w:rsidR="00241972">
        <w:rPr>
          <w:rFonts w:ascii="Times New Roman" w:hAnsi="Times New Roman" w:cs="Times New Roman"/>
          <w:sz w:val="24"/>
          <w:szCs w:val="24"/>
        </w:rPr>
        <w:t>.</w:t>
      </w:r>
      <w:r w:rsidR="000F099B">
        <w:rPr>
          <w:rFonts w:ascii="Times New Roman" w:hAnsi="Times New Roman" w:cs="Times New Roman"/>
          <w:sz w:val="24"/>
          <w:szCs w:val="24"/>
        </w:rPr>
        <w:t xml:space="preserve"> </w:t>
      </w:r>
      <w:r w:rsidR="00241972">
        <w:rPr>
          <w:rFonts w:ascii="Times New Roman" w:hAnsi="Times New Roman" w:cs="Times New Roman"/>
          <w:sz w:val="24"/>
          <w:szCs w:val="24"/>
        </w:rPr>
        <w:t xml:space="preserve">During 2014-2023 the growth rate of cereals (4.48%), spices (5.80%), rice (4.37%), wheat &amp; meslin (7.43%), maize (6.57%), coffee (2.21%), </w:t>
      </w:r>
      <w:r w:rsidR="00FF0A51">
        <w:rPr>
          <w:rFonts w:ascii="Times New Roman" w:hAnsi="Times New Roman" w:cs="Times New Roman"/>
          <w:sz w:val="24"/>
          <w:szCs w:val="24"/>
        </w:rPr>
        <w:t>t</w:t>
      </w:r>
      <w:r w:rsidR="00241972">
        <w:rPr>
          <w:rFonts w:ascii="Times New Roman" w:hAnsi="Times New Roman" w:cs="Times New Roman"/>
          <w:sz w:val="24"/>
          <w:szCs w:val="24"/>
        </w:rPr>
        <w:t xml:space="preserve">ea (0.38%), </w:t>
      </w:r>
      <w:r w:rsidR="00D642AC">
        <w:rPr>
          <w:rFonts w:ascii="Times New Roman" w:hAnsi="Times New Roman" w:cs="Times New Roman"/>
          <w:sz w:val="24"/>
          <w:szCs w:val="24"/>
        </w:rPr>
        <w:t xml:space="preserve">fish (3.74%), veg &amp; tubers (2.69%), fruits &amp; nuts (8.50%) and meat and </w:t>
      </w:r>
      <w:proofErr w:type="spellStart"/>
      <w:r w:rsidR="00D642AC">
        <w:rPr>
          <w:rFonts w:ascii="Times New Roman" w:hAnsi="Times New Roman" w:cs="Times New Roman"/>
          <w:sz w:val="24"/>
          <w:szCs w:val="24"/>
        </w:rPr>
        <w:t>offals</w:t>
      </w:r>
      <w:proofErr w:type="spellEnd"/>
      <w:r w:rsidR="00D642AC">
        <w:rPr>
          <w:rFonts w:ascii="Times New Roman" w:hAnsi="Times New Roman" w:cs="Times New Roman"/>
          <w:sz w:val="24"/>
          <w:szCs w:val="24"/>
        </w:rPr>
        <w:t xml:space="preserve"> has negative growth rate (-4.45%).</w:t>
      </w:r>
      <w:r w:rsidR="00143C6E" w:rsidRPr="00143C6E">
        <w:rPr>
          <w:rFonts w:ascii="Times New Roman" w:hAnsi="Times New Roman" w:cs="Times New Roman"/>
          <w:sz w:val="24"/>
          <w:szCs w:val="24"/>
        </w:rPr>
        <w:t xml:space="preserve"> </w:t>
      </w:r>
      <w:r w:rsidR="00D642AC">
        <w:rPr>
          <w:rFonts w:ascii="Times New Roman" w:hAnsi="Times New Roman" w:cs="Times New Roman"/>
          <w:sz w:val="24"/>
          <w:szCs w:val="24"/>
        </w:rPr>
        <w:t xml:space="preserve">The overall growth rate of commodities </w:t>
      </w:r>
      <w:proofErr w:type="gramStart"/>
      <w:r w:rsidR="00D642AC">
        <w:rPr>
          <w:rFonts w:ascii="Times New Roman" w:hAnsi="Times New Roman" w:cs="Times New Roman"/>
          <w:sz w:val="24"/>
          <w:szCs w:val="24"/>
        </w:rPr>
        <w:t>have</w:t>
      </w:r>
      <w:proofErr w:type="gramEnd"/>
      <w:r w:rsidR="00D642AC">
        <w:rPr>
          <w:rFonts w:ascii="Times New Roman" w:hAnsi="Times New Roman" w:cs="Times New Roman"/>
          <w:sz w:val="24"/>
          <w:szCs w:val="24"/>
        </w:rPr>
        <w:t xml:space="preserve"> been declined. </w:t>
      </w:r>
      <w:r w:rsidR="00D31198" w:rsidRPr="007A33BC">
        <w:rPr>
          <w:rFonts w:ascii="Times New Roman" w:hAnsi="Times New Roman" w:cs="Times New Roman"/>
          <w:sz w:val="24"/>
          <w:szCs w:val="24"/>
        </w:rPr>
        <w:t>Establishing agricultural export clusters can serve as a solution to connect farmers with industries and facilitate the export of agricultural products.</w:t>
      </w:r>
    </w:p>
    <w:p w14:paraId="2DFDB4CA" w14:textId="77777777" w:rsidR="00496D2D" w:rsidRDefault="00496D2D" w:rsidP="007A77F6">
      <w:pPr>
        <w:spacing w:line="360" w:lineRule="auto"/>
        <w:jc w:val="both"/>
        <w:rPr>
          <w:rFonts w:ascii="Times New Roman" w:hAnsi="Times New Roman" w:cs="Times New Roman"/>
          <w:sz w:val="24"/>
          <w:szCs w:val="24"/>
        </w:rPr>
      </w:pPr>
    </w:p>
    <w:p w14:paraId="2515D621" w14:textId="77777777" w:rsidR="005F5E36" w:rsidRPr="00A12C57" w:rsidRDefault="00DA1178" w:rsidP="00DA1178">
      <w:pPr>
        <w:autoSpaceDE w:val="0"/>
        <w:autoSpaceDN w:val="0"/>
        <w:adjustRightInd w:val="0"/>
        <w:spacing w:after="0" w:line="360" w:lineRule="auto"/>
        <w:rPr>
          <w:rFonts w:ascii="Times New Roman" w:hAnsi="Times New Roman" w:cs="Times New Roman"/>
          <w:b/>
          <w:color w:val="000000"/>
          <w:sz w:val="24"/>
          <w:szCs w:val="24"/>
        </w:rPr>
      </w:pPr>
      <w:r w:rsidRPr="00A12C57">
        <w:rPr>
          <w:rFonts w:ascii="Times New Roman" w:hAnsi="Times New Roman" w:cs="Times New Roman"/>
          <w:b/>
          <w:color w:val="000000"/>
          <w:sz w:val="24"/>
          <w:szCs w:val="24"/>
        </w:rPr>
        <w:t>REFERENCES</w:t>
      </w:r>
    </w:p>
    <w:p w14:paraId="51C4797E" w14:textId="77777777" w:rsidR="00A12C57" w:rsidRPr="00DA1178" w:rsidRDefault="00A12C57" w:rsidP="007850E1">
      <w:pPr>
        <w:spacing w:line="360" w:lineRule="auto"/>
        <w:jc w:val="both"/>
        <w:rPr>
          <w:rFonts w:ascii="Times New Roman" w:hAnsi="Times New Roman" w:cs="Times New Roman"/>
          <w:color w:val="222222"/>
          <w:sz w:val="24"/>
          <w:szCs w:val="24"/>
          <w:shd w:val="clear" w:color="auto" w:fill="FFFFFF"/>
        </w:rPr>
      </w:pPr>
      <w:proofErr w:type="spellStart"/>
      <w:r w:rsidRPr="00A12C57">
        <w:rPr>
          <w:rFonts w:ascii="Times New Roman" w:hAnsi="Times New Roman" w:cs="Times New Roman"/>
          <w:color w:val="222222"/>
          <w:sz w:val="24"/>
          <w:szCs w:val="24"/>
          <w:shd w:val="clear" w:color="auto" w:fill="FFFFFF"/>
        </w:rPr>
        <w:t>Kumareswaran</w:t>
      </w:r>
      <w:proofErr w:type="spellEnd"/>
      <w:r w:rsidRPr="00A12C57">
        <w:rPr>
          <w:rFonts w:ascii="Times New Roman" w:hAnsi="Times New Roman" w:cs="Times New Roman"/>
          <w:color w:val="222222"/>
          <w:sz w:val="24"/>
          <w:szCs w:val="24"/>
          <w:shd w:val="clear" w:color="auto" w:fill="FFFFFF"/>
        </w:rPr>
        <w:t xml:space="preserve">, T., Jolia, P., Maurya, M., Maurya, A., </w:t>
      </w:r>
      <w:proofErr w:type="spellStart"/>
      <w:r w:rsidRPr="00A12C57">
        <w:rPr>
          <w:rFonts w:ascii="Times New Roman" w:hAnsi="Times New Roman" w:cs="Times New Roman"/>
          <w:color w:val="222222"/>
          <w:sz w:val="24"/>
          <w:szCs w:val="24"/>
          <w:shd w:val="clear" w:color="auto" w:fill="FFFFFF"/>
        </w:rPr>
        <w:t>Abba</w:t>
      </w:r>
      <w:r w:rsidR="00DA1178">
        <w:rPr>
          <w:rFonts w:ascii="Times New Roman" w:hAnsi="Times New Roman" w:cs="Times New Roman"/>
          <w:color w:val="222222"/>
          <w:sz w:val="24"/>
          <w:szCs w:val="24"/>
          <w:shd w:val="clear" w:color="auto" w:fill="FFFFFF"/>
        </w:rPr>
        <w:t>smandri</w:t>
      </w:r>
      <w:proofErr w:type="spellEnd"/>
      <w:r w:rsidR="00DA1178">
        <w:rPr>
          <w:rFonts w:ascii="Times New Roman" w:hAnsi="Times New Roman" w:cs="Times New Roman"/>
          <w:color w:val="222222"/>
          <w:sz w:val="24"/>
          <w:szCs w:val="24"/>
          <w:shd w:val="clear" w:color="auto" w:fill="FFFFFF"/>
        </w:rPr>
        <w:t xml:space="preserve">, S., &amp; </w:t>
      </w:r>
      <w:proofErr w:type="spellStart"/>
      <w:r w:rsidR="00DA1178">
        <w:rPr>
          <w:rFonts w:ascii="Times New Roman" w:hAnsi="Times New Roman" w:cs="Times New Roman"/>
          <w:color w:val="222222"/>
          <w:sz w:val="24"/>
          <w:szCs w:val="24"/>
          <w:shd w:val="clear" w:color="auto" w:fill="FFFFFF"/>
        </w:rPr>
        <w:t>Kamalvanshi</w:t>
      </w:r>
      <w:proofErr w:type="spellEnd"/>
      <w:r w:rsidR="00DA1178">
        <w:rPr>
          <w:rFonts w:ascii="Times New Roman" w:hAnsi="Times New Roman" w:cs="Times New Roman"/>
          <w:color w:val="222222"/>
          <w:sz w:val="24"/>
          <w:szCs w:val="24"/>
          <w:shd w:val="clear" w:color="auto" w:fill="FFFFFF"/>
        </w:rPr>
        <w:t>, V. 2018</w:t>
      </w:r>
      <w:r w:rsidRPr="00A12C57">
        <w:rPr>
          <w:rFonts w:ascii="Times New Roman" w:hAnsi="Times New Roman" w:cs="Times New Roman"/>
          <w:color w:val="222222"/>
          <w:sz w:val="24"/>
          <w:szCs w:val="24"/>
          <w:shd w:val="clear" w:color="auto" w:fill="FFFFFF"/>
        </w:rPr>
        <w:t>. Export scenario of Indian agriculture: A review</w:t>
      </w:r>
      <w:r w:rsidRPr="00DA1178">
        <w:rPr>
          <w:rFonts w:ascii="Times New Roman" w:hAnsi="Times New Roman" w:cs="Times New Roman"/>
          <w:color w:val="222222"/>
          <w:sz w:val="24"/>
          <w:szCs w:val="24"/>
          <w:shd w:val="clear" w:color="auto" w:fill="FFFFFF"/>
        </w:rPr>
        <w:t>. </w:t>
      </w:r>
      <w:r w:rsidRPr="00DA1178">
        <w:rPr>
          <w:rFonts w:ascii="Times New Roman" w:hAnsi="Times New Roman" w:cs="Times New Roman"/>
          <w:iCs/>
          <w:color w:val="222222"/>
          <w:sz w:val="24"/>
          <w:szCs w:val="24"/>
          <w:shd w:val="clear" w:color="auto" w:fill="FFFFFF"/>
        </w:rPr>
        <w:t>Journal of Pharmacognosy and Phytochemistry</w:t>
      </w:r>
      <w:r w:rsidR="00DA1178" w:rsidRPr="00DA1178">
        <w:rPr>
          <w:rFonts w:ascii="Times New Roman" w:hAnsi="Times New Roman" w:cs="Times New Roman"/>
          <w:color w:val="222222"/>
          <w:sz w:val="24"/>
          <w:szCs w:val="24"/>
          <w:shd w:val="clear" w:color="auto" w:fill="FFFFFF"/>
        </w:rPr>
        <w:t xml:space="preserve">. </w:t>
      </w:r>
      <w:r w:rsidRPr="00DA1178">
        <w:rPr>
          <w:rFonts w:ascii="Times New Roman" w:hAnsi="Times New Roman" w:cs="Times New Roman"/>
          <w:iCs/>
          <w:color w:val="222222"/>
          <w:sz w:val="24"/>
          <w:szCs w:val="24"/>
          <w:shd w:val="clear" w:color="auto" w:fill="FFFFFF"/>
        </w:rPr>
        <w:t>7</w:t>
      </w:r>
      <w:r w:rsidR="00DA1178">
        <w:rPr>
          <w:rFonts w:ascii="Times New Roman" w:hAnsi="Times New Roman" w:cs="Times New Roman"/>
          <w:color w:val="222222"/>
          <w:sz w:val="24"/>
          <w:szCs w:val="24"/>
          <w:shd w:val="clear" w:color="auto" w:fill="FFFFFF"/>
        </w:rPr>
        <w:t>(6):</w:t>
      </w:r>
      <w:r w:rsidRPr="00DA1178">
        <w:rPr>
          <w:rFonts w:ascii="Times New Roman" w:hAnsi="Times New Roman" w:cs="Times New Roman"/>
          <w:color w:val="222222"/>
          <w:sz w:val="24"/>
          <w:szCs w:val="24"/>
          <w:shd w:val="clear" w:color="auto" w:fill="FFFFFF"/>
        </w:rPr>
        <w:t xml:space="preserve"> 2733-2736.</w:t>
      </w:r>
    </w:p>
    <w:p w14:paraId="7975B7E1" w14:textId="77777777" w:rsidR="00A12C57" w:rsidRPr="00A12C57" w:rsidRDefault="00DA1178" w:rsidP="007850E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Suresh, A., &amp; Mathur, V. C. 2016</w:t>
      </w:r>
      <w:r w:rsidR="00A12C57" w:rsidRPr="00A12C57">
        <w:rPr>
          <w:rFonts w:ascii="Times New Roman" w:hAnsi="Times New Roman" w:cs="Times New Roman"/>
          <w:color w:val="222222"/>
          <w:sz w:val="24"/>
          <w:szCs w:val="24"/>
          <w:shd w:val="clear" w:color="auto" w:fill="FFFFFF"/>
        </w:rPr>
        <w:t>. Export of agricultural commodities from India: Performance and prospects. </w:t>
      </w:r>
      <w:r w:rsidR="00A12C57" w:rsidRPr="00DA1178">
        <w:rPr>
          <w:rFonts w:ascii="Times New Roman" w:hAnsi="Times New Roman" w:cs="Times New Roman"/>
          <w:iCs/>
          <w:color w:val="222222"/>
          <w:sz w:val="24"/>
          <w:szCs w:val="24"/>
          <w:shd w:val="clear" w:color="auto" w:fill="FFFFFF"/>
        </w:rPr>
        <w:t>Indian Journal of Agricultural Sciences</w:t>
      </w:r>
      <w:r>
        <w:rPr>
          <w:rFonts w:ascii="Times New Roman" w:hAnsi="Times New Roman" w:cs="Times New Roman"/>
          <w:color w:val="222222"/>
          <w:sz w:val="24"/>
          <w:szCs w:val="24"/>
          <w:shd w:val="clear" w:color="auto" w:fill="FFFFFF"/>
        </w:rPr>
        <w:t>.</w:t>
      </w:r>
      <w:r w:rsidR="00A12C57" w:rsidRPr="00A12C57">
        <w:rPr>
          <w:rFonts w:ascii="Times New Roman" w:hAnsi="Times New Roman" w:cs="Times New Roman"/>
          <w:color w:val="222222"/>
          <w:sz w:val="24"/>
          <w:szCs w:val="24"/>
          <w:shd w:val="clear" w:color="auto" w:fill="FFFFFF"/>
        </w:rPr>
        <w:t> </w:t>
      </w:r>
      <w:r w:rsidR="00A12C57" w:rsidRPr="00A12C57">
        <w:rPr>
          <w:rFonts w:ascii="Times New Roman" w:hAnsi="Times New Roman" w:cs="Times New Roman"/>
          <w:i/>
          <w:iCs/>
          <w:color w:val="222222"/>
          <w:sz w:val="24"/>
          <w:szCs w:val="24"/>
          <w:shd w:val="clear" w:color="auto" w:fill="FFFFFF"/>
        </w:rPr>
        <w:t>86</w:t>
      </w:r>
      <w:r>
        <w:rPr>
          <w:rFonts w:ascii="Times New Roman" w:hAnsi="Times New Roman" w:cs="Times New Roman"/>
          <w:color w:val="222222"/>
          <w:sz w:val="24"/>
          <w:szCs w:val="24"/>
          <w:shd w:val="clear" w:color="auto" w:fill="FFFFFF"/>
        </w:rPr>
        <w:t>(7):</w:t>
      </w:r>
      <w:r w:rsidR="00A12C57" w:rsidRPr="00A12C57">
        <w:rPr>
          <w:rFonts w:ascii="Times New Roman" w:hAnsi="Times New Roman" w:cs="Times New Roman"/>
          <w:color w:val="222222"/>
          <w:sz w:val="24"/>
          <w:szCs w:val="24"/>
          <w:shd w:val="clear" w:color="auto" w:fill="FFFFFF"/>
        </w:rPr>
        <w:t xml:space="preserve"> 876-83.</w:t>
      </w:r>
    </w:p>
    <w:p w14:paraId="341C1C2A" w14:textId="77777777" w:rsidR="00A12C57" w:rsidRPr="00A12C57" w:rsidRDefault="00A12C57" w:rsidP="007850E1">
      <w:pPr>
        <w:spacing w:line="360" w:lineRule="auto"/>
        <w:jc w:val="both"/>
        <w:rPr>
          <w:rFonts w:ascii="Times New Roman" w:hAnsi="Times New Roman" w:cs="Times New Roman"/>
          <w:color w:val="222222"/>
          <w:sz w:val="24"/>
          <w:szCs w:val="24"/>
          <w:shd w:val="clear" w:color="auto" w:fill="FFFFFF"/>
        </w:rPr>
      </w:pPr>
      <w:r w:rsidRPr="00A12C57">
        <w:rPr>
          <w:rFonts w:ascii="Times New Roman" w:hAnsi="Times New Roman" w:cs="Times New Roman"/>
          <w:color w:val="222222"/>
          <w:sz w:val="24"/>
          <w:szCs w:val="24"/>
          <w:shd w:val="clear" w:color="auto" w:fill="FFFFFF"/>
        </w:rPr>
        <w:t>Patil, P., Jadhav, P., &amp; Maiti, M. (2020). The impact of new agricultural export policy on Indian agriculture exports. </w:t>
      </w:r>
      <w:r w:rsidRPr="00A12C57">
        <w:rPr>
          <w:rFonts w:ascii="Times New Roman" w:hAnsi="Times New Roman" w:cs="Times New Roman"/>
          <w:i/>
          <w:iCs/>
          <w:color w:val="222222"/>
          <w:sz w:val="24"/>
          <w:szCs w:val="24"/>
          <w:shd w:val="clear" w:color="auto" w:fill="FFFFFF"/>
        </w:rPr>
        <w:t>Journal of Public Affairs</w:t>
      </w:r>
      <w:r w:rsidRPr="00A12C57">
        <w:rPr>
          <w:rFonts w:ascii="Times New Roman" w:hAnsi="Times New Roman" w:cs="Times New Roman"/>
          <w:color w:val="222222"/>
          <w:sz w:val="24"/>
          <w:szCs w:val="24"/>
          <w:shd w:val="clear" w:color="auto" w:fill="FFFFFF"/>
        </w:rPr>
        <w:t>, </w:t>
      </w:r>
      <w:r w:rsidRPr="00A12C57">
        <w:rPr>
          <w:rFonts w:ascii="Times New Roman" w:hAnsi="Times New Roman" w:cs="Times New Roman"/>
          <w:i/>
          <w:iCs/>
          <w:color w:val="222222"/>
          <w:sz w:val="24"/>
          <w:szCs w:val="24"/>
          <w:shd w:val="clear" w:color="auto" w:fill="FFFFFF"/>
        </w:rPr>
        <w:t>20</w:t>
      </w:r>
      <w:r w:rsidRPr="00A12C57">
        <w:rPr>
          <w:rFonts w:ascii="Times New Roman" w:hAnsi="Times New Roman" w:cs="Times New Roman"/>
          <w:color w:val="222222"/>
          <w:sz w:val="24"/>
          <w:szCs w:val="24"/>
          <w:shd w:val="clear" w:color="auto" w:fill="FFFFFF"/>
        </w:rPr>
        <w:t>(4), e2303.</w:t>
      </w:r>
    </w:p>
    <w:p w14:paraId="3571409D" w14:textId="77777777" w:rsidR="008B56D9" w:rsidRPr="00A12C57" w:rsidRDefault="00A12C57" w:rsidP="008B56D9">
      <w:pPr>
        <w:pStyle w:val="Default"/>
      </w:pPr>
      <w:r w:rsidRPr="00A12C57">
        <w:rPr>
          <w:color w:val="222222"/>
          <w:shd w:val="clear" w:color="auto" w:fill="FFFFFF"/>
        </w:rPr>
        <w:t>Saxena, R., Pant, D</w:t>
      </w:r>
      <w:r w:rsidR="00DA1178">
        <w:rPr>
          <w:color w:val="222222"/>
          <w:shd w:val="clear" w:color="auto" w:fill="FFFFFF"/>
        </w:rPr>
        <w:t>. K., Sharma, P., Paul, R. K., and Kumar, R. 2023</w:t>
      </w:r>
      <w:r w:rsidRPr="00A12C57">
        <w:rPr>
          <w:color w:val="222222"/>
          <w:shd w:val="clear" w:color="auto" w:fill="FFFFFF"/>
        </w:rPr>
        <w:t>. Sustaining long-term agricultural exports from India. </w:t>
      </w:r>
      <w:r w:rsidRPr="00A12C57">
        <w:rPr>
          <w:i/>
          <w:iCs/>
          <w:color w:val="222222"/>
          <w:shd w:val="clear" w:color="auto" w:fill="FFFFFF"/>
        </w:rPr>
        <w:t>CURRENT SCIENCE</w:t>
      </w:r>
      <w:r w:rsidR="00DA1178">
        <w:rPr>
          <w:color w:val="222222"/>
          <w:shd w:val="clear" w:color="auto" w:fill="FFFFFF"/>
        </w:rPr>
        <w:t>.</w:t>
      </w:r>
      <w:r w:rsidRPr="00A12C57">
        <w:rPr>
          <w:color w:val="222222"/>
          <w:shd w:val="clear" w:color="auto" w:fill="FFFFFF"/>
        </w:rPr>
        <w:t> </w:t>
      </w:r>
      <w:r w:rsidRPr="00A12C57">
        <w:rPr>
          <w:i/>
          <w:iCs/>
          <w:color w:val="222222"/>
          <w:shd w:val="clear" w:color="auto" w:fill="FFFFFF"/>
        </w:rPr>
        <w:t>125</w:t>
      </w:r>
      <w:r w:rsidR="00DA1178">
        <w:rPr>
          <w:color w:val="222222"/>
          <w:shd w:val="clear" w:color="auto" w:fill="FFFFFF"/>
        </w:rPr>
        <w:t>(10):</w:t>
      </w:r>
      <w:r w:rsidRPr="00A12C57">
        <w:rPr>
          <w:color w:val="222222"/>
          <w:shd w:val="clear" w:color="auto" w:fill="FFFFFF"/>
        </w:rPr>
        <w:t xml:space="preserve"> 1109.</w:t>
      </w:r>
    </w:p>
    <w:p w14:paraId="54C89A34" w14:textId="77777777" w:rsidR="00A12C57" w:rsidRPr="00A12C57" w:rsidRDefault="00A12C57" w:rsidP="000F2D33">
      <w:pPr>
        <w:pStyle w:val="Default"/>
        <w:jc w:val="both"/>
      </w:pPr>
    </w:p>
    <w:p w14:paraId="2ED0AE8F" w14:textId="77777777" w:rsidR="007850E1" w:rsidRPr="00A12C57" w:rsidRDefault="00DA1178" w:rsidP="000F2D33">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Sharma, G., &amp; Singh, S. 2011</w:t>
      </w:r>
      <w:r w:rsidR="00A12C57" w:rsidRPr="00A12C57">
        <w:rPr>
          <w:rFonts w:ascii="Times New Roman" w:hAnsi="Times New Roman" w:cs="Times New Roman"/>
          <w:color w:val="222222"/>
          <w:sz w:val="24"/>
          <w:szCs w:val="24"/>
          <w:shd w:val="clear" w:color="auto" w:fill="FFFFFF"/>
        </w:rPr>
        <w:t>. Economic Analysis of Post-harvest Losses in Marketin</w:t>
      </w:r>
      <w:r>
        <w:rPr>
          <w:rFonts w:ascii="Times New Roman" w:hAnsi="Times New Roman" w:cs="Times New Roman"/>
          <w:color w:val="222222"/>
          <w:sz w:val="24"/>
          <w:szCs w:val="24"/>
          <w:shd w:val="clear" w:color="auto" w:fill="FFFFFF"/>
        </w:rPr>
        <w:t>g of Vegetables in Uttarakhand</w:t>
      </w:r>
      <w:r w:rsidR="00A12C57" w:rsidRPr="00A12C57">
        <w:rPr>
          <w:rFonts w:ascii="Times New Roman" w:hAnsi="Times New Roman" w:cs="Times New Roman"/>
          <w:color w:val="222222"/>
          <w:sz w:val="24"/>
          <w:szCs w:val="24"/>
          <w:shd w:val="clear" w:color="auto" w:fill="FFFFFF"/>
        </w:rPr>
        <w:t>. </w:t>
      </w:r>
      <w:r w:rsidR="00A12C57" w:rsidRPr="00DA1178">
        <w:rPr>
          <w:rFonts w:ascii="Times New Roman" w:hAnsi="Times New Roman" w:cs="Times New Roman"/>
          <w:iCs/>
          <w:color w:val="222222"/>
          <w:sz w:val="24"/>
          <w:szCs w:val="24"/>
          <w:shd w:val="clear" w:color="auto" w:fill="FFFFFF"/>
        </w:rPr>
        <w:t>Agricultural Economics Research Review</w:t>
      </w:r>
      <w:r>
        <w:rPr>
          <w:rFonts w:ascii="Times New Roman" w:hAnsi="Times New Roman" w:cs="Times New Roman"/>
          <w:color w:val="222222"/>
          <w:sz w:val="24"/>
          <w:szCs w:val="24"/>
          <w:shd w:val="clear" w:color="auto" w:fill="FFFFFF"/>
        </w:rPr>
        <w:t>.</w:t>
      </w:r>
      <w:r w:rsidR="00A12C57" w:rsidRPr="00A12C57">
        <w:rPr>
          <w:rFonts w:ascii="Times New Roman" w:hAnsi="Times New Roman" w:cs="Times New Roman"/>
          <w:color w:val="222222"/>
          <w:sz w:val="24"/>
          <w:szCs w:val="24"/>
          <w:shd w:val="clear" w:color="auto" w:fill="FFFFFF"/>
        </w:rPr>
        <w:t> </w:t>
      </w:r>
      <w:r w:rsidR="00A12C57" w:rsidRPr="00A12C57">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(2):</w:t>
      </w:r>
      <w:r w:rsidR="00A12C57" w:rsidRPr="00A12C57">
        <w:rPr>
          <w:rFonts w:ascii="Times New Roman" w:hAnsi="Times New Roman" w:cs="Times New Roman"/>
          <w:color w:val="222222"/>
          <w:sz w:val="24"/>
          <w:szCs w:val="24"/>
          <w:shd w:val="clear" w:color="auto" w:fill="FFFFFF"/>
        </w:rPr>
        <w:t xml:space="preserve"> 309-315.</w:t>
      </w:r>
    </w:p>
    <w:p w14:paraId="16C56C7C" w14:textId="77777777" w:rsidR="008B56D9" w:rsidRPr="00A12C57" w:rsidRDefault="008B56D9" w:rsidP="000F2D33">
      <w:pPr>
        <w:pStyle w:val="Default"/>
        <w:jc w:val="both"/>
      </w:pPr>
    </w:p>
    <w:p w14:paraId="2EDF7DEE" w14:textId="77777777" w:rsidR="00A12C57" w:rsidRPr="00DA1178" w:rsidRDefault="00A12C57" w:rsidP="000F2D33">
      <w:pPr>
        <w:pStyle w:val="Default"/>
        <w:jc w:val="both"/>
      </w:pPr>
      <w:r w:rsidRPr="00A12C57">
        <w:rPr>
          <w:color w:val="222222"/>
          <w:shd w:val="clear" w:color="auto" w:fill="FFFFFF"/>
        </w:rPr>
        <w:t xml:space="preserve">Panwar, </w:t>
      </w:r>
      <w:r w:rsidR="00DA1178">
        <w:rPr>
          <w:color w:val="222222"/>
          <w:shd w:val="clear" w:color="auto" w:fill="FFFFFF"/>
        </w:rPr>
        <w:t>S., Sharma, S. C., &amp; Kumar, A. 2009</w:t>
      </w:r>
      <w:r w:rsidRPr="00A12C57">
        <w:rPr>
          <w:color w:val="222222"/>
          <w:shd w:val="clear" w:color="auto" w:fill="FFFFFF"/>
        </w:rPr>
        <w:t>. A critical study of onion (Allium cepa) export of India: non-linear approach. </w:t>
      </w:r>
      <w:r w:rsidRPr="00DA1178">
        <w:rPr>
          <w:iCs/>
          <w:color w:val="222222"/>
          <w:shd w:val="clear" w:color="auto" w:fill="FFFFFF"/>
        </w:rPr>
        <w:t>Indian Journal of Agricultural Sciences</w:t>
      </w:r>
      <w:r w:rsidR="00DA1178">
        <w:rPr>
          <w:color w:val="222222"/>
          <w:shd w:val="clear" w:color="auto" w:fill="FFFFFF"/>
        </w:rPr>
        <w:t>.</w:t>
      </w:r>
      <w:r w:rsidRPr="00DA1178">
        <w:rPr>
          <w:color w:val="222222"/>
          <w:shd w:val="clear" w:color="auto" w:fill="FFFFFF"/>
        </w:rPr>
        <w:t> </w:t>
      </w:r>
      <w:r w:rsidRPr="00DA1178">
        <w:rPr>
          <w:iCs/>
          <w:color w:val="222222"/>
          <w:shd w:val="clear" w:color="auto" w:fill="FFFFFF"/>
        </w:rPr>
        <w:t>79</w:t>
      </w:r>
      <w:r w:rsidR="00DA1178">
        <w:rPr>
          <w:color w:val="222222"/>
          <w:shd w:val="clear" w:color="auto" w:fill="FFFFFF"/>
        </w:rPr>
        <w:t>(3):</w:t>
      </w:r>
      <w:r w:rsidRPr="00DA1178">
        <w:rPr>
          <w:color w:val="222222"/>
          <w:shd w:val="clear" w:color="auto" w:fill="FFFFFF"/>
        </w:rPr>
        <w:t xml:space="preserve"> 178.</w:t>
      </w:r>
    </w:p>
    <w:p w14:paraId="4EEEE5BB" w14:textId="77777777" w:rsidR="008B56D9" w:rsidRPr="00DA1178" w:rsidRDefault="008B56D9" w:rsidP="000F2D33">
      <w:pPr>
        <w:spacing w:line="360" w:lineRule="auto"/>
        <w:jc w:val="both"/>
        <w:rPr>
          <w:rFonts w:ascii="Times New Roman" w:hAnsi="Times New Roman" w:cs="Times New Roman"/>
          <w:sz w:val="24"/>
          <w:szCs w:val="24"/>
        </w:rPr>
      </w:pPr>
    </w:p>
    <w:p w14:paraId="3DF021B5" w14:textId="77777777" w:rsidR="003C57CC" w:rsidRPr="00A12C57" w:rsidRDefault="00A12C57" w:rsidP="000F2D33">
      <w:pPr>
        <w:autoSpaceDE w:val="0"/>
        <w:autoSpaceDN w:val="0"/>
        <w:adjustRightInd w:val="0"/>
        <w:spacing w:after="0" w:line="360" w:lineRule="auto"/>
        <w:jc w:val="both"/>
        <w:rPr>
          <w:rFonts w:ascii="Times New Roman" w:hAnsi="Times New Roman" w:cs="Times New Roman"/>
          <w:sz w:val="24"/>
          <w:szCs w:val="24"/>
        </w:rPr>
      </w:pPr>
      <w:r w:rsidRPr="00A12C57">
        <w:rPr>
          <w:rFonts w:ascii="Times New Roman" w:hAnsi="Times New Roman" w:cs="Times New Roman"/>
          <w:color w:val="222222"/>
          <w:sz w:val="24"/>
          <w:szCs w:val="24"/>
          <w:shd w:val="clear" w:color="auto" w:fill="FFFFFF"/>
        </w:rPr>
        <w:t xml:space="preserve">Vanitha, </w:t>
      </w:r>
      <w:r w:rsidR="00DA1178">
        <w:rPr>
          <w:rFonts w:ascii="Times New Roman" w:hAnsi="Times New Roman" w:cs="Times New Roman"/>
          <w:color w:val="222222"/>
          <w:sz w:val="24"/>
          <w:szCs w:val="24"/>
          <w:shd w:val="clear" w:color="auto" w:fill="FFFFFF"/>
        </w:rPr>
        <w:t>S. M., Kumari, G., &amp; Singh, R. 2014</w:t>
      </w:r>
      <w:r w:rsidRPr="00A12C57">
        <w:rPr>
          <w:rFonts w:ascii="Times New Roman" w:hAnsi="Times New Roman" w:cs="Times New Roman"/>
          <w:color w:val="222222"/>
          <w:sz w:val="24"/>
          <w:szCs w:val="24"/>
          <w:shd w:val="clear" w:color="auto" w:fill="FFFFFF"/>
        </w:rPr>
        <w:t>. Export competitiveness of fresh vegetables in India. </w:t>
      </w:r>
      <w:r w:rsidRPr="00DA1178">
        <w:rPr>
          <w:rFonts w:ascii="Times New Roman" w:hAnsi="Times New Roman" w:cs="Times New Roman"/>
          <w:iCs/>
          <w:color w:val="222222"/>
          <w:sz w:val="24"/>
          <w:szCs w:val="24"/>
          <w:shd w:val="clear" w:color="auto" w:fill="FFFFFF"/>
        </w:rPr>
        <w:t>International Journal of Vegetable Science</w:t>
      </w:r>
      <w:r w:rsidR="00DA1178">
        <w:rPr>
          <w:rFonts w:ascii="Times New Roman" w:hAnsi="Times New Roman" w:cs="Times New Roman"/>
          <w:color w:val="222222"/>
          <w:sz w:val="24"/>
          <w:szCs w:val="24"/>
          <w:shd w:val="clear" w:color="auto" w:fill="FFFFFF"/>
        </w:rPr>
        <w:t>.</w:t>
      </w:r>
      <w:r w:rsidRPr="00A12C57">
        <w:rPr>
          <w:rFonts w:ascii="Times New Roman" w:hAnsi="Times New Roman" w:cs="Times New Roman"/>
          <w:color w:val="222222"/>
          <w:sz w:val="24"/>
          <w:szCs w:val="24"/>
          <w:shd w:val="clear" w:color="auto" w:fill="FFFFFF"/>
        </w:rPr>
        <w:t> </w:t>
      </w:r>
      <w:r w:rsidRPr="00A12C57">
        <w:rPr>
          <w:rFonts w:ascii="Times New Roman" w:hAnsi="Times New Roman" w:cs="Times New Roman"/>
          <w:i/>
          <w:iCs/>
          <w:color w:val="222222"/>
          <w:sz w:val="24"/>
          <w:szCs w:val="24"/>
          <w:shd w:val="clear" w:color="auto" w:fill="FFFFFF"/>
        </w:rPr>
        <w:t>20</w:t>
      </w:r>
      <w:r w:rsidR="00DA1178">
        <w:rPr>
          <w:rFonts w:ascii="Times New Roman" w:hAnsi="Times New Roman" w:cs="Times New Roman"/>
          <w:color w:val="222222"/>
          <w:sz w:val="24"/>
          <w:szCs w:val="24"/>
          <w:shd w:val="clear" w:color="auto" w:fill="FFFFFF"/>
        </w:rPr>
        <w:t>(3):</w:t>
      </w:r>
      <w:r w:rsidRPr="00A12C57">
        <w:rPr>
          <w:rFonts w:ascii="Times New Roman" w:hAnsi="Times New Roman" w:cs="Times New Roman"/>
          <w:color w:val="222222"/>
          <w:sz w:val="24"/>
          <w:szCs w:val="24"/>
          <w:shd w:val="clear" w:color="auto" w:fill="FFFFFF"/>
        </w:rPr>
        <w:t xml:space="preserve"> 227-234.</w:t>
      </w:r>
    </w:p>
    <w:p w14:paraId="4049F060" w14:textId="77777777" w:rsidR="003C57CC" w:rsidRPr="00A12C57" w:rsidRDefault="003C57CC" w:rsidP="000F2D33">
      <w:pPr>
        <w:pStyle w:val="Default"/>
        <w:jc w:val="both"/>
      </w:pPr>
    </w:p>
    <w:p w14:paraId="6F97619F" w14:textId="77777777" w:rsidR="009A13DA" w:rsidRPr="00A12C57" w:rsidRDefault="00A12C57" w:rsidP="000F2D33">
      <w:pPr>
        <w:jc w:val="both"/>
        <w:rPr>
          <w:rFonts w:ascii="Times New Roman" w:hAnsi="Times New Roman" w:cs="Times New Roman"/>
          <w:sz w:val="24"/>
          <w:szCs w:val="24"/>
        </w:rPr>
      </w:pPr>
      <w:r w:rsidRPr="00A12C57">
        <w:rPr>
          <w:rFonts w:ascii="Times New Roman" w:hAnsi="Times New Roman" w:cs="Times New Roman"/>
          <w:color w:val="222222"/>
          <w:sz w:val="24"/>
          <w:szCs w:val="24"/>
          <w:shd w:val="clear" w:color="auto" w:fill="FFFFFF"/>
        </w:rPr>
        <w:lastRenderedPageBreak/>
        <w:t>Satishkumar, M., Harish</w:t>
      </w:r>
      <w:r w:rsidR="00DA1178">
        <w:rPr>
          <w:rFonts w:ascii="Times New Roman" w:hAnsi="Times New Roman" w:cs="Times New Roman"/>
          <w:color w:val="222222"/>
          <w:sz w:val="24"/>
          <w:szCs w:val="24"/>
          <w:shd w:val="clear" w:color="auto" w:fill="FFFFFF"/>
        </w:rPr>
        <w:t xml:space="preserve">kumar, H. V., &amp; </w:t>
      </w:r>
      <w:proofErr w:type="spellStart"/>
      <w:r w:rsidR="00DA1178">
        <w:rPr>
          <w:rFonts w:ascii="Times New Roman" w:hAnsi="Times New Roman" w:cs="Times New Roman"/>
          <w:color w:val="222222"/>
          <w:sz w:val="24"/>
          <w:szCs w:val="24"/>
          <w:shd w:val="clear" w:color="auto" w:fill="FFFFFF"/>
        </w:rPr>
        <w:t>Rangegowda</w:t>
      </w:r>
      <w:proofErr w:type="spellEnd"/>
      <w:r w:rsidR="00DA1178">
        <w:rPr>
          <w:rFonts w:ascii="Times New Roman" w:hAnsi="Times New Roman" w:cs="Times New Roman"/>
          <w:color w:val="222222"/>
          <w:sz w:val="24"/>
          <w:szCs w:val="24"/>
          <w:shd w:val="clear" w:color="auto" w:fill="FFFFFF"/>
        </w:rPr>
        <w:t>, R. 2016</w:t>
      </w:r>
      <w:r w:rsidRPr="00A12C57">
        <w:rPr>
          <w:rFonts w:ascii="Times New Roman" w:hAnsi="Times New Roman" w:cs="Times New Roman"/>
          <w:color w:val="222222"/>
          <w:sz w:val="24"/>
          <w:szCs w:val="24"/>
          <w:shd w:val="clear" w:color="auto" w:fill="FFFFFF"/>
        </w:rPr>
        <w:t>. Growth, export performance and competitiveness of basmati and non-basmati rice of India-</w:t>
      </w:r>
      <w:proofErr w:type="gramStart"/>
      <w:r w:rsidRPr="00A12C57">
        <w:rPr>
          <w:rFonts w:ascii="Times New Roman" w:hAnsi="Times New Roman" w:cs="Times New Roman"/>
          <w:color w:val="222222"/>
          <w:sz w:val="24"/>
          <w:szCs w:val="24"/>
          <w:shd w:val="clear" w:color="auto" w:fill="FFFFFF"/>
        </w:rPr>
        <w:t>an</w:t>
      </w:r>
      <w:proofErr w:type="gramEnd"/>
      <w:r w:rsidRPr="00A12C57">
        <w:rPr>
          <w:rFonts w:ascii="Times New Roman" w:hAnsi="Times New Roman" w:cs="Times New Roman"/>
          <w:color w:val="222222"/>
          <w:sz w:val="24"/>
          <w:szCs w:val="24"/>
          <w:shd w:val="clear" w:color="auto" w:fill="FFFFFF"/>
        </w:rPr>
        <w:t xml:space="preserve"> Markov chain approach. </w:t>
      </w:r>
      <w:r w:rsidRPr="00DA1178">
        <w:rPr>
          <w:rFonts w:ascii="Times New Roman" w:hAnsi="Times New Roman" w:cs="Times New Roman"/>
          <w:iCs/>
          <w:color w:val="222222"/>
          <w:sz w:val="24"/>
          <w:szCs w:val="24"/>
          <w:shd w:val="clear" w:color="auto" w:fill="FFFFFF"/>
        </w:rPr>
        <w:t>International Journal of Agriculture, Environment and Biotechnology</w:t>
      </w:r>
      <w:r w:rsidR="00DA1178">
        <w:rPr>
          <w:rFonts w:ascii="Times New Roman" w:hAnsi="Times New Roman" w:cs="Times New Roman"/>
          <w:color w:val="222222"/>
          <w:sz w:val="24"/>
          <w:szCs w:val="24"/>
          <w:shd w:val="clear" w:color="auto" w:fill="FFFFFF"/>
        </w:rPr>
        <w:t xml:space="preserve">. </w:t>
      </w:r>
      <w:r w:rsidRPr="00A12C57">
        <w:rPr>
          <w:rFonts w:ascii="Times New Roman" w:hAnsi="Times New Roman" w:cs="Times New Roman"/>
          <w:i/>
          <w:iCs/>
          <w:color w:val="222222"/>
          <w:sz w:val="24"/>
          <w:szCs w:val="24"/>
          <w:shd w:val="clear" w:color="auto" w:fill="FFFFFF"/>
        </w:rPr>
        <w:t>9</w:t>
      </w:r>
      <w:r w:rsidR="00DA1178">
        <w:rPr>
          <w:rFonts w:ascii="Times New Roman" w:hAnsi="Times New Roman" w:cs="Times New Roman"/>
          <w:color w:val="222222"/>
          <w:sz w:val="24"/>
          <w:szCs w:val="24"/>
          <w:shd w:val="clear" w:color="auto" w:fill="FFFFFF"/>
        </w:rPr>
        <w:t>(2):</w:t>
      </w:r>
      <w:r w:rsidRPr="00A12C57">
        <w:rPr>
          <w:rFonts w:ascii="Times New Roman" w:hAnsi="Times New Roman" w:cs="Times New Roman"/>
          <w:color w:val="222222"/>
          <w:sz w:val="24"/>
          <w:szCs w:val="24"/>
          <w:shd w:val="clear" w:color="auto" w:fill="FFFFFF"/>
        </w:rPr>
        <w:t xml:space="preserve"> 305-311.</w:t>
      </w:r>
    </w:p>
    <w:p w14:paraId="1D890D4C" w14:textId="77777777" w:rsidR="009A13DA" w:rsidRPr="00A12C57" w:rsidRDefault="00DA1178" w:rsidP="000F2D33">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Govindasamy, R. 2015</w:t>
      </w:r>
      <w:r w:rsidR="00A12C57" w:rsidRPr="00A12C57">
        <w:rPr>
          <w:rFonts w:ascii="Times New Roman" w:hAnsi="Times New Roman" w:cs="Times New Roman"/>
          <w:color w:val="222222"/>
          <w:sz w:val="24"/>
          <w:szCs w:val="24"/>
          <w:shd w:val="clear" w:color="auto" w:fill="FFFFFF"/>
        </w:rPr>
        <w:t>. Production and export performance of cardamom in India. </w:t>
      </w:r>
      <w:proofErr w:type="spellStart"/>
      <w:r w:rsidR="00A12C57" w:rsidRPr="00DA1178">
        <w:rPr>
          <w:rFonts w:ascii="Times New Roman" w:hAnsi="Times New Roman" w:cs="Times New Roman"/>
          <w:iCs/>
          <w:color w:val="222222"/>
          <w:sz w:val="24"/>
          <w:szCs w:val="24"/>
          <w:shd w:val="clear" w:color="auto" w:fill="FFFFFF"/>
        </w:rPr>
        <w:t>Shanlax</w:t>
      </w:r>
      <w:proofErr w:type="spellEnd"/>
      <w:r w:rsidR="00A12C57" w:rsidRPr="00DA1178">
        <w:rPr>
          <w:rFonts w:ascii="Times New Roman" w:hAnsi="Times New Roman" w:cs="Times New Roman"/>
          <w:iCs/>
          <w:color w:val="222222"/>
          <w:sz w:val="24"/>
          <w:szCs w:val="24"/>
          <w:shd w:val="clear" w:color="auto" w:fill="FFFFFF"/>
        </w:rPr>
        <w:t xml:space="preserve"> International Journal of Management</w:t>
      </w:r>
      <w:r>
        <w:rPr>
          <w:rFonts w:ascii="Times New Roman" w:hAnsi="Times New Roman" w:cs="Times New Roman"/>
          <w:color w:val="222222"/>
          <w:sz w:val="24"/>
          <w:szCs w:val="24"/>
          <w:shd w:val="clear" w:color="auto" w:fill="FFFFFF"/>
        </w:rPr>
        <w:t>.</w:t>
      </w:r>
      <w:r w:rsidR="00A12C57" w:rsidRPr="00A12C57">
        <w:rPr>
          <w:rFonts w:ascii="Times New Roman" w:hAnsi="Times New Roman" w:cs="Times New Roman"/>
          <w:color w:val="222222"/>
          <w:sz w:val="24"/>
          <w:szCs w:val="24"/>
          <w:shd w:val="clear" w:color="auto" w:fill="FFFFFF"/>
        </w:rPr>
        <w:t> </w:t>
      </w:r>
      <w:r w:rsidR="00A12C57" w:rsidRPr="00A12C57">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(4):</w:t>
      </w:r>
      <w:r w:rsidR="00A12C57" w:rsidRPr="00A12C57">
        <w:rPr>
          <w:rFonts w:ascii="Times New Roman" w:hAnsi="Times New Roman" w:cs="Times New Roman"/>
          <w:color w:val="222222"/>
          <w:sz w:val="24"/>
          <w:szCs w:val="24"/>
          <w:shd w:val="clear" w:color="auto" w:fill="FFFFFF"/>
        </w:rPr>
        <w:t xml:space="preserve"> 76-85.</w:t>
      </w:r>
    </w:p>
    <w:p w14:paraId="2DCFCBE4" w14:textId="77777777" w:rsidR="009A13DA" w:rsidRPr="00A12C57" w:rsidRDefault="009A13DA" w:rsidP="000F2D33">
      <w:pPr>
        <w:pStyle w:val="Default"/>
        <w:jc w:val="both"/>
      </w:pPr>
    </w:p>
    <w:p w14:paraId="17CDB4E9" w14:textId="77777777" w:rsidR="007850E1" w:rsidRPr="00A12C57" w:rsidRDefault="00A12C57" w:rsidP="000F2D33">
      <w:pPr>
        <w:jc w:val="both"/>
        <w:rPr>
          <w:rFonts w:ascii="Times New Roman" w:hAnsi="Times New Roman" w:cs="Times New Roman"/>
          <w:sz w:val="24"/>
          <w:szCs w:val="24"/>
        </w:rPr>
      </w:pPr>
      <w:r w:rsidRPr="00A12C57">
        <w:rPr>
          <w:rFonts w:ascii="Times New Roman" w:hAnsi="Times New Roman" w:cs="Times New Roman"/>
          <w:color w:val="222222"/>
          <w:sz w:val="24"/>
          <w:szCs w:val="24"/>
          <w:shd w:val="clear" w:color="auto" w:fill="FFFFFF"/>
        </w:rPr>
        <w:t>Yo</w:t>
      </w:r>
      <w:r w:rsidR="00DA1178">
        <w:rPr>
          <w:rFonts w:ascii="Times New Roman" w:hAnsi="Times New Roman" w:cs="Times New Roman"/>
          <w:color w:val="222222"/>
          <w:sz w:val="24"/>
          <w:szCs w:val="24"/>
          <w:shd w:val="clear" w:color="auto" w:fill="FFFFFF"/>
        </w:rPr>
        <w:t xml:space="preserve">gesh, M. S., &amp; </w:t>
      </w:r>
      <w:proofErr w:type="spellStart"/>
      <w:r w:rsidR="00DA1178">
        <w:rPr>
          <w:rFonts w:ascii="Times New Roman" w:hAnsi="Times New Roman" w:cs="Times New Roman"/>
          <w:color w:val="222222"/>
          <w:sz w:val="24"/>
          <w:szCs w:val="24"/>
          <w:shd w:val="clear" w:color="auto" w:fill="FFFFFF"/>
        </w:rPr>
        <w:t>Mokshapathy</w:t>
      </w:r>
      <w:proofErr w:type="spellEnd"/>
      <w:r w:rsidR="00DA1178">
        <w:rPr>
          <w:rFonts w:ascii="Times New Roman" w:hAnsi="Times New Roman" w:cs="Times New Roman"/>
          <w:color w:val="222222"/>
          <w:sz w:val="24"/>
          <w:szCs w:val="24"/>
          <w:shd w:val="clear" w:color="auto" w:fill="FFFFFF"/>
        </w:rPr>
        <w:t>, S. 2014</w:t>
      </w:r>
      <w:r w:rsidRPr="00A12C57">
        <w:rPr>
          <w:rFonts w:ascii="Times New Roman" w:hAnsi="Times New Roman" w:cs="Times New Roman"/>
          <w:color w:val="222222"/>
          <w:sz w:val="24"/>
          <w:szCs w:val="24"/>
          <w:shd w:val="clear" w:color="auto" w:fill="FFFFFF"/>
        </w:rPr>
        <w:t>. Growth of Indian export and import of spices. </w:t>
      </w:r>
      <w:r w:rsidRPr="00DA1178">
        <w:rPr>
          <w:rFonts w:ascii="Times New Roman" w:hAnsi="Times New Roman" w:cs="Times New Roman"/>
          <w:iCs/>
          <w:color w:val="222222"/>
          <w:sz w:val="24"/>
          <w:szCs w:val="24"/>
          <w:shd w:val="clear" w:color="auto" w:fill="FFFFFF"/>
        </w:rPr>
        <w:t>International Journal of Humanities, Arts, Medicine and Sciences</w:t>
      </w:r>
      <w:r w:rsidR="00DA1178">
        <w:rPr>
          <w:rFonts w:ascii="Times New Roman" w:hAnsi="Times New Roman" w:cs="Times New Roman"/>
          <w:color w:val="222222"/>
          <w:sz w:val="24"/>
          <w:szCs w:val="24"/>
          <w:shd w:val="clear" w:color="auto" w:fill="FFFFFF"/>
        </w:rPr>
        <w:t xml:space="preserve">. </w:t>
      </w:r>
      <w:r w:rsidRPr="00A12C57">
        <w:rPr>
          <w:rFonts w:ascii="Times New Roman" w:hAnsi="Times New Roman" w:cs="Times New Roman"/>
          <w:i/>
          <w:iCs/>
          <w:color w:val="222222"/>
          <w:sz w:val="24"/>
          <w:szCs w:val="24"/>
          <w:shd w:val="clear" w:color="auto" w:fill="FFFFFF"/>
        </w:rPr>
        <w:t>2</w:t>
      </w:r>
      <w:r w:rsidR="00DA1178">
        <w:rPr>
          <w:rFonts w:ascii="Times New Roman" w:hAnsi="Times New Roman" w:cs="Times New Roman"/>
          <w:color w:val="222222"/>
          <w:sz w:val="24"/>
          <w:szCs w:val="24"/>
          <w:shd w:val="clear" w:color="auto" w:fill="FFFFFF"/>
        </w:rPr>
        <w:t>(9):</w:t>
      </w:r>
      <w:r w:rsidRPr="00A12C57">
        <w:rPr>
          <w:rFonts w:ascii="Times New Roman" w:hAnsi="Times New Roman" w:cs="Times New Roman"/>
          <w:color w:val="222222"/>
          <w:sz w:val="24"/>
          <w:szCs w:val="24"/>
          <w:shd w:val="clear" w:color="auto" w:fill="FFFFFF"/>
        </w:rPr>
        <w:t xml:space="preserve"> 41-46.</w:t>
      </w:r>
    </w:p>
    <w:sectPr w:rsidR="007850E1" w:rsidRPr="00A12C57" w:rsidSect="00F73E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4A55" w14:textId="77777777" w:rsidR="004F736E" w:rsidRDefault="004F736E" w:rsidP="0082390E">
      <w:pPr>
        <w:spacing w:after="0" w:line="240" w:lineRule="auto"/>
      </w:pPr>
      <w:r>
        <w:separator/>
      </w:r>
    </w:p>
  </w:endnote>
  <w:endnote w:type="continuationSeparator" w:id="0">
    <w:p w14:paraId="04CC97F0" w14:textId="77777777" w:rsidR="004F736E" w:rsidRDefault="004F736E" w:rsidP="0082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D36A" w14:textId="77777777" w:rsidR="00597864" w:rsidRDefault="0059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678490"/>
      <w:docPartObj>
        <w:docPartGallery w:val="Page Numbers (Bottom of Page)"/>
        <w:docPartUnique/>
      </w:docPartObj>
    </w:sdtPr>
    <w:sdtContent>
      <w:p w14:paraId="3D3B895B" w14:textId="0E36C4A0" w:rsidR="00F73E46" w:rsidRDefault="00F73E46">
        <w:pPr>
          <w:pStyle w:val="Footer"/>
          <w:jc w:val="center"/>
        </w:pPr>
        <w:r>
          <w:fldChar w:fldCharType="begin"/>
        </w:r>
        <w:r>
          <w:instrText xml:space="preserve"> PAGE   \* MERGEFORMAT </w:instrText>
        </w:r>
        <w:r>
          <w:fldChar w:fldCharType="separate"/>
        </w:r>
        <w:r w:rsidR="007E02B5">
          <w:rPr>
            <w:noProof/>
          </w:rPr>
          <w:t>9</w:t>
        </w:r>
        <w:r>
          <w:rPr>
            <w:noProof/>
          </w:rPr>
          <w:fldChar w:fldCharType="end"/>
        </w:r>
      </w:p>
    </w:sdtContent>
  </w:sdt>
  <w:p w14:paraId="301133E3" w14:textId="77777777" w:rsidR="00683414" w:rsidRDefault="0068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E8CF" w14:textId="77777777" w:rsidR="00597864" w:rsidRDefault="0059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BBF3A" w14:textId="77777777" w:rsidR="004F736E" w:rsidRDefault="004F736E" w:rsidP="0082390E">
      <w:pPr>
        <w:spacing w:after="0" w:line="240" w:lineRule="auto"/>
      </w:pPr>
      <w:r>
        <w:separator/>
      </w:r>
    </w:p>
  </w:footnote>
  <w:footnote w:type="continuationSeparator" w:id="0">
    <w:p w14:paraId="1585E8FA" w14:textId="77777777" w:rsidR="004F736E" w:rsidRDefault="004F736E" w:rsidP="00823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5D2B" w14:textId="1C893752" w:rsidR="00597864" w:rsidRDefault="00597864">
    <w:pPr>
      <w:pStyle w:val="Header"/>
    </w:pPr>
    <w:r>
      <w:rPr>
        <w:noProof/>
      </w:rPr>
      <w:pict w14:anchorId="1984F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5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40CE" w14:textId="42A014E7" w:rsidR="00597864" w:rsidRDefault="00597864">
    <w:pPr>
      <w:pStyle w:val="Header"/>
    </w:pPr>
    <w:r>
      <w:rPr>
        <w:noProof/>
      </w:rPr>
      <w:pict w14:anchorId="2C5B3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5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C3EC" w14:textId="048530B5" w:rsidR="00597864" w:rsidRDefault="00597864">
    <w:pPr>
      <w:pStyle w:val="Header"/>
    </w:pPr>
    <w:r>
      <w:rPr>
        <w:noProof/>
      </w:rPr>
      <w:pict w14:anchorId="7B123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5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D1284"/>
    <w:multiLevelType w:val="multilevel"/>
    <w:tmpl w:val="04C09A9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num w:numId="1" w16cid:durableId="67773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Y1NTcyNrKwMDMxNDZR0lEKTi0uzszPAykwNq0FACTOOxktAAAA"/>
  </w:docVars>
  <w:rsids>
    <w:rsidRoot w:val="00B53F42"/>
    <w:rsid w:val="000030C4"/>
    <w:rsid w:val="00015083"/>
    <w:rsid w:val="0005005A"/>
    <w:rsid w:val="00051089"/>
    <w:rsid w:val="00054811"/>
    <w:rsid w:val="00057989"/>
    <w:rsid w:val="00062A25"/>
    <w:rsid w:val="00086039"/>
    <w:rsid w:val="000911DF"/>
    <w:rsid w:val="000940BB"/>
    <w:rsid w:val="000B1EDA"/>
    <w:rsid w:val="000B2E24"/>
    <w:rsid w:val="000C0E8C"/>
    <w:rsid w:val="000C56CA"/>
    <w:rsid w:val="000C6B1D"/>
    <w:rsid w:val="000E2876"/>
    <w:rsid w:val="000F099B"/>
    <w:rsid w:val="000F2D33"/>
    <w:rsid w:val="000F525E"/>
    <w:rsid w:val="000F5CBD"/>
    <w:rsid w:val="000F709F"/>
    <w:rsid w:val="00111F94"/>
    <w:rsid w:val="00122D2D"/>
    <w:rsid w:val="001437A9"/>
    <w:rsid w:val="00143C6E"/>
    <w:rsid w:val="00156100"/>
    <w:rsid w:val="00172724"/>
    <w:rsid w:val="00182A09"/>
    <w:rsid w:val="00193F22"/>
    <w:rsid w:val="001A078E"/>
    <w:rsid w:val="001A1C92"/>
    <w:rsid w:val="001B0FC8"/>
    <w:rsid w:val="001C6892"/>
    <w:rsid w:val="001D4FDA"/>
    <w:rsid w:val="001E0A5E"/>
    <w:rsid w:val="001E1451"/>
    <w:rsid w:val="001E43F9"/>
    <w:rsid w:val="001F3D3C"/>
    <w:rsid w:val="00202EE4"/>
    <w:rsid w:val="00212997"/>
    <w:rsid w:val="00222296"/>
    <w:rsid w:val="0022339D"/>
    <w:rsid w:val="00226031"/>
    <w:rsid w:val="00230F8E"/>
    <w:rsid w:val="00241972"/>
    <w:rsid w:val="00242204"/>
    <w:rsid w:val="002552FF"/>
    <w:rsid w:val="00257B09"/>
    <w:rsid w:val="002621C9"/>
    <w:rsid w:val="002701BE"/>
    <w:rsid w:val="00271786"/>
    <w:rsid w:val="00281D6E"/>
    <w:rsid w:val="00283D58"/>
    <w:rsid w:val="002974D8"/>
    <w:rsid w:val="002A18B4"/>
    <w:rsid w:val="002A7E02"/>
    <w:rsid w:val="002B579C"/>
    <w:rsid w:val="002C0C1C"/>
    <w:rsid w:val="002C25F0"/>
    <w:rsid w:val="002C6FE0"/>
    <w:rsid w:val="002D6C5C"/>
    <w:rsid w:val="002E131A"/>
    <w:rsid w:val="002E287F"/>
    <w:rsid w:val="002E5384"/>
    <w:rsid w:val="002F05D4"/>
    <w:rsid w:val="002F406F"/>
    <w:rsid w:val="00301E50"/>
    <w:rsid w:val="00320C2B"/>
    <w:rsid w:val="003213A7"/>
    <w:rsid w:val="00323E54"/>
    <w:rsid w:val="00324015"/>
    <w:rsid w:val="00326DEB"/>
    <w:rsid w:val="00327093"/>
    <w:rsid w:val="00336362"/>
    <w:rsid w:val="00336BE0"/>
    <w:rsid w:val="00352EB2"/>
    <w:rsid w:val="003632CC"/>
    <w:rsid w:val="00366330"/>
    <w:rsid w:val="0037409C"/>
    <w:rsid w:val="00387080"/>
    <w:rsid w:val="003978AF"/>
    <w:rsid w:val="00397F87"/>
    <w:rsid w:val="003A23C6"/>
    <w:rsid w:val="003A45E5"/>
    <w:rsid w:val="003A67EF"/>
    <w:rsid w:val="003B2A74"/>
    <w:rsid w:val="003B4D22"/>
    <w:rsid w:val="003C4CAF"/>
    <w:rsid w:val="003C57CC"/>
    <w:rsid w:val="003D632E"/>
    <w:rsid w:val="003D794C"/>
    <w:rsid w:val="003E0463"/>
    <w:rsid w:val="003F1DCF"/>
    <w:rsid w:val="004012C5"/>
    <w:rsid w:val="0040284B"/>
    <w:rsid w:val="00410D50"/>
    <w:rsid w:val="004124CF"/>
    <w:rsid w:val="00415769"/>
    <w:rsid w:val="004169CD"/>
    <w:rsid w:val="004248AF"/>
    <w:rsid w:val="00432465"/>
    <w:rsid w:val="00432698"/>
    <w:rsid w:val="00471FD8"/>
    <w:rsid w:val="0047357E"/>
    <w:rsid w:val="00476C35"/>
    <w:rsid w:val="00482DFF"/>
    <w:rsid w:val="0049027F"/>
    <w:rsid w:val="00492885"/>
    <w:rsid w:val="00496D2D"/>
    <w:rsid w:val="004A1BA5"/>
    <w:rsid w:val="004A2E48"/>
    <w:rsid w:val="004A3DBB"/>
    <w:rsid w:val="004B0420"/>
    <w:rsid w:val="004B37CF"/>
    <w:rsid w:val="004D1D6C"/>
    <w:rsid w:val="004D6B51"/>
    <w:rsid w:val="004E22C1"/>
    <w:rsid w:val="004F144C"/>
    <w:rsid w:val="004F2DA7"/>
    <w:rsid w:val="004F5432"/>
    <w:rsid w:val="004F5C81"/>
    <w:rsid w:val="004F736E"/>
    <w:rsid w:val="00511627"/>
    <w:rsid w:val="00513E51"/>
    <w:rsid w:val="00525571"/>
    <w:rsid w:val="00527F93"/>
    <w:rsid w:val="00532407"/>
    <w:rsid w:val="00550BE2"/>
    <w:rsid w:val="005628A0"/>
    <w:rsid w:val="00571144"/>
    <w:rsid w:val="0058142C"/>
    <w:rsid w:val="00581E2A"/>
    <w:rsid w:val="00597864"/>
    <w:rsid w:val="005A4FA2"/>
    <w:rsid w:val="005B34D4"/>
    <w:rsid w:val="005C10F1"/>
    <w:rsid w:val="005C3553"/>
    <w:rsid w:val="005D67B2"/>
    <w:rsid w:val="005E518B"/>
    <w:rsid w:val="005F5E1A"/>
    <w:rsid w:val="005F5E36"/>
    <w:rsid w:val="005F6E52"/>
    <w:rsid w:val="00607051"/>
    <w:rsid w:val="00611E19"/>
    <w:rsid w:val="0061651F"/>
    <w:rsid w:val="006304C4"/>
    <w:rsid w:val="006311BE"/>
    <w:rsid w:val="00633B4B"/>
    <w:rsid w:val="00643E76"/>
    <w:rsid w:val="00663DA8"/>
    <w:rsid w:val="0067455F"/>
    <w:rsid w:val="00675A34"/>
    <w:rsid w:val="00683414"/>
    <w:rsid w:val="0069734D"/>
    <w:rsid w:val="006C43F8"/>
    <w:rsid w:val="006D64CB"/>
    <w:rsid w:val="0070510A"/>
    <w:rsid w:val="007133A6"/>
    <w:rsid w:val="007152AC"/>
    <w:rsid w:val="00736F55"/>
    <w:rsid w:val="00737FF8"/>
    <w:rsid w:val="00753666"/>
    <w:rsid w:val="00761480"/>
    <w:rsid w:val="0076279D"/>
    <w:rsid w:val="00763FD5"/>
    <w:rsid w:val="007850E1"/>
    <w:rsid w:val="0078551F"/>
    <w:rsid w:val="00790B82"/>
    <w:rsid w:val="007928C3"/>
    <w:rsid w:val="00793437"/>
    <w:rsid w:val="007A2F52"/>
    <w:rsid w:val="007A33BC"/>
    <w:rsid w:val="007A50AD"/>
    <w:rsid w:val="007A77F6"/>
    <w:rsid w:val="007B565F"/>
    <w:rsid w:val="007B588E"/>
    <w:rsid w:val="007B6526"/>
    <w:rsid w:val="007B65E7"/>
    <w:rsid w:val="007C17CF"/>
    <w:rsid w:val="007C53DC"/>
    <w:rsid w:val="007C7074"/>
    <w:rsid w:val="007D5DDD"/>
    <w:rsid w:val="007D6C50"/>
    <w:rsid w:val="007E02B5"/>
    <w:rsid w:val="007F5098"/>
    <w:rsid w:val="0081477D"/>
    <w:rsid w:val="0082306F"/>
    <w:rsid w:val="0082390E"/>
    <w:rsid w:val="008274FA"/>
    <w:rsid w:val="008305CB"/>
    <w:rsid w:val="0085375E"/>
    <w:rsid w:val="00855EBE"/>
    <w:rsid w:val="0085622D"/>
    <w:rsid w:val="00861562"/>
    <w:rsid w:val="00867554"/>
    <w:rsid w:val="00873641"/>
    <w:rsid w:val="008825BE"/>
    <w:rsid w:val="008B56D9"/>
    <w:rsid w:val="008C2CE4"/>
    <w:rsid w:val="008D36F5"/>
    <w:rsid w:val="008D6107"/>
    <w:rsid w:val="008E3525"/>
    <w:rsid w:val="008F1577"/>
    <w:rsid w:val="00905846"/>
    <w:rsid w:val="00916F38"/>
    <w:rsid w:val="00926FCC"/>
    <w:rsid w:val="00937D1E"/>
    <w:rsid w:val="00941EA8"/>
    <w:rsid w:val="00943429"/>
    <w:rsid w:val="00943BFA"/>
    <w:rsid w:val="00944134"/>
    <w:rsid w:val="0094438D"/>
    <w:rsid w:val="009472EC"/>
    <w:rsid w:val="00957396"/>
    <w:rsid w:val="0096266E"/>
    <w:rsid w:val="00971ABB"/>
    <w:rsid w:val="0097419F"/>
    <w:rsid w:val="00974249"/>
    <w:rsid w:val="00993D0D"/>
    <w:rsid w:val="00997E10"/>
    <w:rsid w:val="009A13DA"/>
    <w:rsid w:val="009B4BA4"/>
    <w:rsid w:val="009E7DDD"/>
    <w:rsid w:val="009F35F5"/>
    <w:rsid w:val="009F3EC4"/>
    <w:rsid w:val="009F79C6"/>
    <w:rsid w:val="009F7A6A"/>
    <w:rsid w:val="00A05D16"/>
    <w:rsid w:val="00A067A8"/>
    <w:rsid w:val="00A11F4E"/>
    <w:rsid w:val="00A12C3D"/>
    <w:rsid w:val="00A12C57"/>
    <w:rsid w:val="00A14F06"/>
    <w:rsid w:val="00A17E1C"/>
    <w:rsid w:val="00A3738F"/>
    <w:rsid w:val="00A545AD"/>
    <w:rsid w:val="00A66FEE"/>
    <w:rsid w:val="00A71866"/>
    <w:rsid w:val="00A722E7"/>
    <w:rsid w:val="00A751AC"/>
    <w:rsid w:val="00A7774B"/>
    <w:rsid w:val="00A94BA7"/>
    <w:rsid w:val="00AA238F"/>
    <w:rsid w:val="00AB2CC5"/>
    <w:rsid w:val="00AC1320"/>
    <w:rsid w:val="00AC489F"/>
    <w:rsid w:val="00AF25E8"/>
    <w:rsid w:val="00AF74A6"/>
    <w:rsid w:val="00B11A88"/>
    <w:rsid w:val="00B1715F"/>
    <w:rsid w:val="00B21E30"/>
    <w:rsid w:val="00B228B1"/>
    <w:rsid w:val="00B236CA"/>
    <w:rsid w:val="00B45D78"/>
    <w:rsid w:val="00B470EF"/>
    <w:rsid w:val="00B50371"/>
    <w:rsid w:val="00B53C7D"/>
    <w:rsid w:val="00B53F42"/>
    <w:rsid w:val="00B5687A"/>
    <w:rsid w:val="00B74EB8"/>
    <w:rsid w:val="00B75A42"/>
    <w:rsid w:val="00B764FF"/>
    <w:rsid w:val="00BB0DDB"/>
    <w:rsid w:val="00BC5F11"/>
    <w:rsid w:val="00BD35DB"/>
    <w:rsid w:val="00BD78F9"/>
    <w:rsid w:val="00BD7987"/>
    <w:rsid w:val="00C0152C"/>
    <w:rsid w:val="00C01F08"/>
    <w:rsid w:val="00C233D1"/>
    <w:rsid w:val="00C30A6D"/>
    <w:rsid w:val="00C30DC9"/>
    <w:rsid w:val="00C479DF"/>
    <w:rsid w:val="00C52F73"/>
    <w:rsid w:val="00C54742"/>
    <w:rsid w:val="00C66EB8"/>
    <w:rsid w:val="00C749DF"/>
    <w:rsid w:val="00C84491"/>
    <w:rsid w:val="00C94AD0"/>
    <w:rsid w:val="00CA4D09"/>
    <w:rsid w:val="00CA64DC"/>
    <w:rsid w:val="00CC21DD"/>
    <w:rsid w:val="00CC2BAE"/>
    <w:rsid w:val="00CD0510"/>
    <w:rsid w:val="00CD0F96"/>
    <w:rsid w:val="00CD5C23"/>
    <w:rsid w:val="00CE1F79"/>
    <w:rsid w:val="00CE2FAE"/>
    <w:rsid w:val="00CF5318"/>
    <w:rsid w:val="00D0218E"/>
    <w:rsid w:val="00D057B6"/>
    <w:rsid w:val="00D07EBD"/>
    <w:rsid w:val="00D16FC6"/>
    <w:rsid w:val="00D31198"/>
    <w:rsid w:val="00D53FF8"/>
    <w:rsid w:val="00D54621"/>
    <w:rsid w:val="00D615BF"/>
    <w:rsid w:val="00D642AC"/>
    <w:rsid w:val="00D65940"/>
    <w:rsid w:val="00D73159"/>
    <w:rsid w:val="00D81079"/>
    <w:rsid w:val="00D9003D"/>
    <w:rsid w:val="00D916EE"/>
    <w:rsid w:val="00D92738"/>
    <w:rsid w:val="00D96D91"/>
    <w:rsid w:val="00D977EF"/>
    <w:rsid w:val="00DA1178"/>
    <w:rsid w:val="00DA55B7"/>
    <w:rsid w:val="00DB10FF"/>
    <w:rsid w:val="00DB446D"/>
    <w:rsid w:val="00DC582C"/>
    <w:rsid w:val="00DD3A65"/>
    <w:rsid w:val="00DE317D"/>
    <w:rsid w:val="00DE33F2"/>
    <w:rsid w:val="00DE7D34"/>
    <w:rsid w:val="00DF1179"/>
    <w:rsid w:val="00DF705A"/>
    <w:rsid w:val="00DF7A84"/>
    <w:rsid w:val="00E03D7C"/>
    <w:rsid w:val="00E17533"/>
    <w:rsid w:val="00E2267B"/>
    <w:rsid w:val="00E3422C"/>
    <w:rsid w:val="00E3430B"/>
    <w:rsid w:val="00E37CE0"/>
    <w:rsid w:val="00E42DF2"/>
    <w:rsid w:val="00E50219"/>
    <w:rsid w:val="00E57400"/>
    <w:rsid w:val="00E76A6C"/>
    <w:rsid w:val="00E87264"/>
    <w:rsid w:val="00EA1216"/>
    <w:rsid w:val="00EB1255"/>
    <w:rsid w:val="00EB6F93"/>
    <w:rsid w:val="00EB77F4"/>
    <w:rsid w:val="00EC14B6"/>
    <w:rsid w:val="00EC5063"/>
    <w:rsid w:val="00ED5C5C"/>
    <w:rsid w:val="00EE2216"/>
    <w:rsid w:val="00EE4BE6"/>
    <w:rsid w:val="00EF1387"/>
    <w:rsid w:val="00EF228D"/>
    <w:rsid w:val="00EF25F8"/>
    <w:rsid w:val="00EF62AA"/>
    <w:rsid w:val="00EF7BBC"/>
    <w:rsid w:val="00F0752D"/>
    <w:rsid w:val="00F25942"/>
    <w:rsid w:val="00F35BC3"/>
    <w:rsid w:val="00F51F3A"/>
    <w:rsid w:val="00F65854"/>
    <w:rsid w:val="00F73E46"/>
    <w:rsid w:val="00F8427B"/>
    <w:rsid w:val="00F911A1"/>
    <w:rsid w:val="00FA3A4E"/>
    <w:rsid w:val="00FB5283"/>
    <w:rsid w:val="00FB7B83"/>
    <w:rsid w:val="00FC1C8B"/>
    <w:rsid w:val="00FC3ADD"/>
    <w:rsid w:val="00FC77CC"/>
    <w:rsid w:val="00FE7F27"/>
    <w:rsid w:val="00FF0A51"/>
    <w:rsid w:val="00FF6683"/>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A7BB"/>
  <w15:docId w15:val="{17439CC5-2E70-49DD-8011-043142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91"/>
  </w:style>
  <w:style w:type="paragraph" w:styleId="Heading3">
    <w:name w:val="heading 3"/>
    <w:basedOn w:val="Normal"/>
    <w:link w:val="Heading3Char"/>
    <w:uiPriority w:val="9"/>
    <w:qFormat/>
    <w:rsid w:val="00301E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F4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43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2698"/>
    <w:rPr>
      <w:color w:val="0000FF" w:themeColor="hyperlink"/>
      <w:u w:val="single"/>
    </w:rPr>
  </w:style>
  <w:style w:type="character" w:customStyle="1" w:styleId="Heading3Char">
    <w:name w:val="Heading 3 Char"/>
    <w:basedOn w:val="DefaultParagraphFont"/>
    <w:link w:val="Heading3"/>
    <w:uiPriority w:val="9"/>
    <w:rsid w:val="00301E5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23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D1"/>
    <w:rPr>
      <w:rFonts w:ascii="Tahoma" w:hAnsi="Tahoma" w:cs="Tahoma"/>
      <w:sz w:val="16"/>
      <w:szCs w:val="16"/>
    </w:rPr>
  </w:style>
  <w:style w:type="paragraph" w:customStyle="1" w:styleId="Pa10">
    <w:name w:val="Pa10"/>
    <w:basedOn w:val="Default"/>
    <w:next w:val="Default"/>
    <w:uiPriority w:val="99"/>
    <w:rsid w:val="00D16FC6"/>
    <w:pPr>
      <w:spacing w:line="160" w:lineRule="atLeast"/>
    </w:pPr>
    <w:rPr>
      <w:color w:val="auto"/>
    </w:rPr>
  </w:style>
  <w:style w:type="character" w:customStyle="1" w:styleId="A6">
    <w:name w:val="A6"/>
    <w:uiPriority w:val="99"/>
    <w:rsid w:val="00C749DF"/>
    <w:rPr>
      <w:color w:val="211D1E"/>
      <w:sz w:val="11"/>
      <w:szCs w:val="11"/>
    </w:rPr>
  </w:style>
  <w:style w:type="paragraph" w:customStyle="1" w:styleId="Normal1">
    <w:name w:val="Normal1"/>
    <w:rsid w:val="00F35BC3"/>
    <w:pPr>
      <w:spacing w:after="0"/>
    </w:pPr>
    <w:rPr>
      <w:rFonts w:ascii="Arial" w:eastAsia="Arial" w:hAnsi="Arial" w:cs="Arial"/>
    </w:rPr>
  </w:style>
  <w:style w:type="character" w:styleId="Strong">
    <w:name w:val="Strong"/>
    <w:basedOn w:val="DefaultParagraphFont"/>
    <w:uiPriority w:val="22"/>
    <w:qFormat/>
    <w:rsid w:val="00527F93"/>
    <w:rPr>
      <w:b/>
      <w:bCs/>
    </w:rPr>
  </w:style>
  <w:style w:type="paragraph" w:styleId="Header">
    <w:name w:val="header"/>
    <w:basedOn w:val="Normal"/>
    <w:link w:val="HeaderChar"/>
    <w:uiPriority w:val="99"/>
    <w:unhideWhenUsed/>
    <w:rsid w:val="00823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90E"/>
  </w:style>
  <w:style w:type="paragraph" w:styleId="Footer">
    <w:name w:val="footer"/>
    <w:basedOn w:val="Normal"/>
    <w:link w:val="FooterChar"/>
    <w:uiPriority w:val="99"/>
    <w:unhideWhenUsed/>
    <w:rsid w:val="00823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90E"/>
  </w:style>
  <w:style w:type="character" w:customStyle="1" w:styleId="UnresolvedMention1">
    <w:name w:val="Unresolved Mention1"/>
    <w:basedOn w:val="DefaultParagraphFont"/>
    <w:uiPriority w:val="99"/>
    <w:semiHidden/>
    <w:unhideWhenUsed/>
    <w:rsid w:val="0005005A"/>
    <w:rPr>
      <w:color w:val="605E5C"/>
      <w:shd w:val="clear" w:color="auto" w:fill="E1DFDD"/>
    </w:rPr>
  </w:style>
  <w:style w:type="paragraph" w:styleId="ListParagraph">
    <w:name w:val="List Paragraph"/>
    <w:basedOn w:val="Normal"/>
    <w:uiPriority w:val="34"/>
    <w:qFormat/>
    <w:rsid w:val="00DE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830">
      <w:bodyDiv w:val="1"/>
      <w:marLeft w:val="0"/>
      <w:marRight w:val="0"/>
      <w:marTop w:val="0"/>
      <w:marBottom w:val="0"/>
      <w:divBdr>
        <w:top w:val="none" w:sz="0" w:space="0" w:color="auto"/>
        <w:left w:val="none" w:sz="0" w:space="0" w:color="auto"/>
        <w:bottom w:val="none" w:sz="0" w:space="0" w:color="auto"/>
        <w:right w:val="none" w:sz="0" w:space="0" w:color="auto"/>
      </w:divBdr>
    </w:div>
    <w:div w:id="81530679">
      <w:bodyDiv w:val="1"/>
      <w:marLeft w:val="0"/>
      <w:marRight w:val="0"/>
      <w:marTop w:val="0"/>
      <w:marBottom w:val="0"/>
      <w:divBdr>
        <w:top w:val="none" w:sz="0" w:space="0" w:color="auto"/>
        <w:left w:val="none" w:sz="0" w:space="0" w:color="auto"/>
        <w:bottom w:val="none" w:sz="0" w:space="0" w:color="auto"/>
        <w:right w:val="none" w:sz="0" w:space="0" w:color="auto"/>
      </w:divBdr>
    </w:div>
    <w:div w:id="86316658">
      <w:bodyDiv w:val="1"/>
      <w:marLeft w:val="0"/>
      <w:marRight w:val="0"/>
      <w:marTop w:val="0"/>
      <w:marBottom w:val="0"/>
      <w:divBdr>
        <w:top w:val="none" w:sz="0" w:space="0" w:color="auto"/>
        <w:left w:val="none" w:sz="0" w:space="0" w:color="auto"/>
        <w:bottom w:val="none" w:sz="0" w:space="0" w:color="auto"/>
        <w:right w:val="none" w:sz="0" w:space="0" w:color="auto"/>
      </w:divBdr>
    </w:div>
    <w:div w:id="558830424">
      <w:bodyDiv w:val="1"/>
      <w:marLeft w:val="0"/>
      <w:marRight w:val="0"/>
      <w:marTop w:val="0"/>
      <w:marBottom w:val="0"/>
      <w:divBdr>
        <w:top w:val="none" w:sz="0" w:space="0" w:color="auto"/>
        <w:left w:val="none" w:sz="0" w:space="0" w:color="auto"/>
        <w:bottom w:val="none" w:sz="0" w:space="0" w:color="auto"/>
        <w:right w:val="none" w:sz="0" w:space="0" w:color="auto"/>
      </w:divBdr>
    </w:div>
    <w:div w:id="908806404">
      <w:bodyDiv w:val="1"/>
      <w:marLeft w:val="0"/>
      <w:marRight w:val="0"/>
      <w:marTop w:val="0"/>
      <w:marBottom w:val="0"/>
      <w:divBdr>
        <w:top w:val="none" w:sz="0" w:space="0" w:color="auto"/>
        <w:left w:val="none" w:sz="0" w:space="0" w:color="auto"/>
        <w:bottom w:val="none" w:sz="0" w:space="0" w:color="auto"/>
        <w:right w:val="none" w:sz="0" w:space="0" w:color="auto"/>
      </w:divBdr>
    </w:div>
    <w:div w:id="15017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Sheet3!$B$30:$B$31</c:f>
              <c:strCache>
                <c:ptCount val="1"/>
                <c:pt idx="0">
                  <c:v>% of Agricultural  Exports to Total National Exports </c:v>
                </c:pt>
              </c:strCache>
            </c:strRef>
          </c:tx>
          <c:marker>
            <c:symbol val="none"/>
          </c:marker>
          <c:cat>
            <c:strRef>
              <c:f>Sheet3!$A$32:$A$51</c:f>
              <c:strCache>
                <c:ptCount val="20"/>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pt idx="13">
                  <c:v>2016-17</c:v>
                </c:pt>
                <c:pt idx="14">
                  <c:v>2017-18</c:v>
                </c:pt>
                <c:pt idx="15">
                  <c:v>2018-19</c:v>
                </c:pt>
                <c:pt idx="16">
                  <c:v>2019-20</c:v>
                </c:pt>
                <c:pt idx="17">
                  <c:v>2020-21</c:v>
                </c:pt>
                <c:pt idx="18">
                  <c:v>2021-22</c:v>
                </c:pt>
                <c:pt idx="19">
                  <c:v>2022-23</c:v>
                </c:pt>
              </c:strCache>
            </c:strRef>
          </c:cat>
          <c:val>
            <c:numRef>
              <c:f>Sheet3!$B$32:$B$51</c:f>
              <c:numCache>
                <c:formatCode>General</c:formatCode>
                <c:ptCount val="20"/>
                <c:pt idx="0">
                  <c:v>12.41</c:v>
                </c:pt>
                <c:pt idx="1">
                  <c:v>11.08</c:v>
                </c:pt>
                <c:pt idx="2">
                  <c:v>10.02</c:v>
                </c:pt>
                <c:pt idx="3">
                  <c:v>10.1</c:v>
                </c:pt>
                <c:pt idx="4">
                  <c:v>11.39</c:v>
                </c:pt>
                <c:pt idx="5">
                  <c:v>9.6399999999999988</c:v>
                </c:pt>
                <c:pt idx="6">
                  <c:v>9.99</c:v>
                </c:pt>
                <c:pt idx="7">
                  <c:v>9.94</c:v>
                </c:pt>
                <c:pt idx="8">
                  <c:v>12.47</c:v>
                </c:pt>
                <c:pt idx="9">
                  <c:v>13.9</c:v>
                </c:pt>
                <c:pt idx="10">
                  <c:v>13.79</c:v>
                </c:pt>
                <c:pt idx="11">
                  <c:v>12.639999999999999</c:v>
                </c:pt>
                <c:pt idx="12">
                  <c:v>12.55</c:v>
                </c:pt>
                <c:pt idx="13">
                  <c:v>12.26</c:v>
                </c:pt>
                <c:pt idx="14">
                  <c:v>12.860000000000024</c:v>
                </c:pt>
                <c:pt idx="15">
                  <c:v>11.9</c:v>
                </c:pt>
                <c:pt idx="16">
                  <c:v>11.4</c:v>
                </c:pt>
                <c:pt idx="17">
                  <c:v>14.2</c:v>
                </c:pt>
                <c:pt idx="18">
                  <c:v>11.75</c:v>
                </c:pt>
                <c:pt idx="19">
                  <c:v>11.629999999999999</c:v>
                </c:pt>
              </c:numCache>
            </c:numRef>
          </c:val>
          <c:smooth val="0"/>
          <c:extLst>
            <c:ext xmlns:c16="http://schemas.microsoft.com/office/drawing/2014/chart" uri="{C3380CC4-5D6E-409C-BE32-E72D297353CC}">
              <c16:uniqueId val="{00000000-2A0D-4908-95E9-F43BFC87C924}"/>
            </c:ext>
          </c:extLst>
        </c:ser>
        <c:dLbls>
          <c:showLegendKey val="0"/>
          <c:showVal val="0"/>
          <c:showCatName val="0"/>
          <c:showSerName val="0"/>
          <c:showPercent val="0"/>
          <c:showBubbleSize val="0"/>
        </c:dLbls>
        <c:smooth val="0"/>
        <c:axId val="53914240"/>
        <c:axId val="73512064"/>
      </c:lineChart>
      <c:catAx>
        <c:axId val="53914240"/>
        <c:scaling>
          <c:orientation val="minMax"/>
        </c:scaling>
        <c:delete val="0"/>
        <c:axPos val="b"/>
        <c:title>
          <c:tx>
            <c:rich>
              <a:bodyPr/>
              <a:lstStyle/>
              <a:p>
                <a:pPr>
                  <a:defRPr/>
                </a:pPr>
                <a:r>
                  <a:rPr lang="en-US"/>
                  <a:t>Years</a:t>
                </a:r>
              </a:p>
            </c:rich>
          </c:tx>
          <c:overlay val="0"/>
        </c:title>
        <c:numFmt formatCode="General" sourceLinked="0"/>
        <c:majorTickMark val="out"/>
        <c:minorTickMark val="none"/>
        <c:tickLblPos val="nextTo"/>
        <c:crossAx val="73512064"/>
        <c:crosses val="autoZero"/>
        <c:auto val="1"/>
        <c:lblAlgn val="ctr"/>
        <c:lblOffset val="100"/>
        <c:noMultiLvlLbl val="0"/>
      </c:catAx>
      <c:valAx>
        <c:axId val="73512064"/>
        <c:scaling>
          <c:orientation val="minMax"/>
        </c:scaling>
        <c:delete val="0"/>
        <c:axPos val="l"/>
        <c:title>
          <c:tx>
            <c:rich>
              <a:bodyPr rot="-5400000" vert="horz"/>
              <a:lstStyle/>
              <a:p>
                <a:pPr>
                  <a:defRPr/>
                </a:pPr>
                <a:r>
                  <a:rPr lang="en-US"/>
                  <a:t>Percentage</a:t>
                </a:r>
              </a:p>
            </c:rich>
          </c:tx>
          <c:overlay val="0"/>
        </c:title>
        <c:numFmt formatCode="General" sourceLinked="1"/>
        <c:majorTickMark val="out"/>
        <c:minorTickMark val="none"/>
        <c:tickLblPos val="nextTo"/>
        <c:crossAx val="53914240"/>
        <c:crosses val="autoZero"/>
        <c:crossBetween val="between"/>
      </c:valAx>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Sheet2!$F$51</c:f>
              <c:strCache>
                <c:ptCount val="1"/>
                <c:pt idx="0">
                  <c:v>Australia</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Sheet2!$F$52:$F$71</c:f>
              <c:numCache>
                <c:formatCode>0.00</c:formatCode>
                <c:ptCount val="20"/>
                <c:pt idx="0">
                  <c:v>2.3965860714296188</c:v>
                </c:pt>
                <c:pt idx="1">
                  <c:v>2.8240197860606586</c:v>
                </c:pt>
                <c:pt idx="2">
                  <c:v>2.5019021723102677</c:v>
                </c:pt>
                <c:pt idx="3">
                  <c:v>2.3532282879728372</c:v>
                </c:pt>
                <c:pt idx="4">
                  <c:v>1.9792505197973715</c:v>
                </c:pt>
                <c:pt idx="5">
                  <c:v>1.9461984193002411</c:v>
                </c:pt>
                <c:pt idx="6">
                  <c:v>1.9956912370363318</c:v>
                </c:pt>
                <c:pt idx="7">
                  <c:v>1.997003903489958</c:v>
                </c:pt>
                <c:pt idx="8">
                  <c:v>2.2674457026207886</c:v>
                </c:pt>
                <c:pt idx="9">
                  <c:v>2.3204050029635677</c:v>
                </c:pt>
                <c:pt idx="10">
                  <c:v>2.171257690448499</c:v>
                </c:pt>
                <c:pt idx="11">
                  <c:v>2.2117299779525492</c:v>
                </c:pt>
                <c:pt idx="12">
                  <c:v>2.2977148674766426</c:v>
                </c:pt>
                <c:pt idx="13">
                  <c:v>2.1333259338346067</c:v>
                </c:pt>
                <c:pt idx="14">
                  <c:v>2.432624592738398</c:v>
                </c:pt>
                <c:pt idx="15">
                  <c:v>2.2849065139970812</c:v>
                </c:pt>
                <c:pt idx="16">
                  <c:v>2.1637400738172472</c:v>
                </c:pt>
                <c:pt idx="17">
                  <c:v>1.8305309551112889</c:v>
                </c:pt>
                <c:pt idx="18">
                  <c:v>2.1741872278833729</c:v>
                </c:pt>
                <c:pt idx="19">
                  <c:v>2.4023433888578087</c:v>
                </c:pt>
              </c:numCache>
            </c:numRef>
          </c:val>
          <c:smooth val="0"/>
          <c:extLst>
            <c:ext xmlns:c16="http://schemas.microsoft.com/office/drawing/2014/chart" uri="{C3380CC4-5D6E-409C-BE32-E72D297353CC}">
              <c16:uniqueId val="{00000000-010F-4213-AE21-4023D5B3F57A}"/>
            </c:ext>
          </c:extLst>
        </c:ser>
        <c:ser>
          <c:idx val="1"/>
          <c:order val="1"/>
          <c:tx>
            <c:strRef>
              <c:f>Sheet2!$G$51</c:f>
              <c:strCache>
                <c:ptCount val="1"/>
                <c:pt idx="0">
                  <c:v>Brazil</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Sheet2!$G$52:$G$71</c:f>
              <c:numCache>
                <c:formatCode>0.00</c:formatCode>
                <c:ptCount val="20"/>
                <c:pt idx="0">
                  <c:v>3.5477160770921325</c:v>
                </c:pt>
                <c:pt idx="1">
                  <c:v>3.9399300523839051</c:v>
                </c:pt>
                <c:pt idx="2">
                  <c:v>4.1300437057265924</c:v>
                </c:pt>
                <c:pt idx="3">
                  <c:v>4.1873839460979001</c:v>
                </c:pt>
                <c:pt idx="4">
                  <c:v>4.2595549491866445</c:v>
                </c:pt>
                <c:pt idx="5">
                  <c:v>4.5647118049065245</c:v>
                </c:pt>
                <c:pt idx="6">
                  <c:v>4.894761522882658</c:v>
                </c:pt>
                <c:pt idx="7">
                  <c:v>5.0638313267066755</c:v>
                </c:pt>
                <c:pt idx="8">
                  <c:v>5.2376971108695534</c:v>
                </c:pt>
                <c:pt idx="9">
                  <c:v>5.2457889225961711</c:v>
                </c:pt>
                <c:pt idx="10">
                  <c:v>5.2345583186209206</c:v>
                </c:pt>
                <c:pt idx="11">
                  <c:v>5.0277468143977675</c:v>
                </c:pt>
                <c:pt idx="12">
                  <c:v>5.1042162987980726</c:v>
                </c:pt>
                <c:pt idx="13">
                  <c:v>4.8498669036187962</c:v>
                </c:pt>
                <c:pt idx="14">
                  <c:v>5.0706343664392755</c:v>
                </c:pt>
                <c:pt idx="15">
                  <c:v>5.1321597705536899</c:v>
                </c:pt>
                <c:pt idx="16">
                  <c:v>4.9818812213398944</c:v>
                </c:pt>
                <c:pt idx="17">
                  <c:v>5.1527100402049939</c:v>
                </c:pt>
                <c:pt idx="18">
                  <c:v>5.1700009075402615</c:v>
                </c:pt>
                <c:pt idx="19">
                  <c:v>6.3634772595044256</c:v>
                </c:pt>
              </c:numCache>
            </c:numRef>
          </c:val>
          <c:smooth val="0"/>
          <c:extLst>
            <c:ext xmlns:c16="http://schemas.microsoft.com/office/drawing/2014/chart" uri="{C3380CC4-5D6E-409C-BE32-E72D297353CC}">
              <c16:uniqueId val="{00000001-010F-4213-AE21-4023D5B3F57A}"/>
            </c:ext>
          </c:extLst>
        </c:ser>
        <c:ser>
          <c:idx val="2"/>
          <c:order val="2"/>
          <c:tx>
            <c:strRef>
              <c:f>Sheet2!$H$51</c:f>
              <c:strCache>
                <c:ptCount val="1"/>
                <c:pt idx="0">
                  <c:v>Canada</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Sheet2!$H$52:$H$71</c:f>
              <c:numCache>
                <c:formatCode>0.00</c:formatCode>
                <c:ptCount val="20"/>
                <c:pt idx="0">
                  <c:v>4.9640739469368205</c:v>
                </c:pt>
                <c:pt idx="1">
                  <c:v>5.1716942582531535</c:v>
                </c:pt>
                <c:pt idx="2">
                  <c:v>4.861303622089971</c:v>
                </c:pt>
                <c:pt idx="3">
                  <c:v>4.6907528250835586</c:v>
                </c:pt>
                <c:pt idx="4">
                  <c:v>4.3057689775742674</c:v>
                </c:pt>
                <c:pt idx="5">
                  <c:v>4.0315812285014445</c:v>
                </c:pt>
                <c:pt idx="6">
                  <c:v>3.7106162754346141</c:v>
                </c:pt>
                <c:pt idx="7">
                  <c:v>3.8487067243834847</c:v>
                </c:pt>
                <c:pt idx="8">
                  <c:v>3.6464411973160971</c:v>
                </c:pt>
                <c:pt idx="9">
                  <c:v>3.7984434767950437</c:v>
                </c:pt>
                <c:pt idx="10">
                  <c:v>3.7930594369953532</c:v>
                </c:pt>
                <c:pt idx="11">
                  <c:v>3.9028171618612837</c:v>
                </c:pt>
                <c:pt idx="12">
                  <c:v>4.0564966410889465</c:v>
                </c:pt>
                <c:pt idx="13">
                  <c:v>3.9764317557055491</c:v>
                </c:pt>
                <c:pt idx="14">
                  <c:v>3.8457739804237177</c:v>
                </c:pt>
                <c:pt idx="15">
                  <c:v>3.8189862180855796</c:v>
                </c:pt>
                <c:pt idx="16">
                  <c:v>3.6343809417291202</c:v>
                </c:pt>
                <c:pt idx="17">
                  <c:v>3.8506196548722667</c:v>
                </c:pt>
                <c:pt idx="18">
                  <c:v>4.0709463783325885</c:v>
                </c:pt>
                <c:pt idx="19">
                  <c:v>3.9326671313653967</c:v>
                </c:pt>
              </c:numCache>
            </c:numRef>
          </c:val>
          <c:smooth val="0"/>
          <c:extLst>
            <c:ext xmlns:c16="http://schemas.microsoft.com/office/drawing/2014/chart" uri="{C3380CC4-5D6E-409C-BE32-E72D297353CC}">
              <c16:uniqueId val="{00000002-010F-4213-AE21-4023D5B3F57A}"/>
            </c:ext>
          </c:extLst>
        </c:ser>
        <c:ser>
          <c:idx val="3"/>
          <c:order val="3"/>
          <c:tx>
            <c:strRef>
              <c:f>Sheet2!$I$51</c:f>
              <c:strCache>
                <c:ptCount val="1"/>
                <c:pt idx="0">
                  <c:v>China</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Sheet2!$I$52:$I$71</c:f>
              <c:numCache>
                <c:formatCode>0.00</c:formatCode>
                <c:ptCount val="20"/>
                <c:pt idx="0">
                  <c:v>3.2505083045074072</c:v>
                </c:pt>
                <c:pt idx="1">
                  <c:v>3.0878595312587978</c:v>
                </c:pt>
                <c:pt idx="2">
                  <c:v>3.3868694077608481</c:v>
                </c:pt>
                <c:pt idx="3">
                  <c:v>3.4529152740198263</c:v>
                </c:pt>
                <c:pt idx="4">
                  <c:v>3.4339762355625352</c:v>
                </c:pt>
                <c:pt idx="5">
                  <c:v>3.1469523533630177</c:v>
                </c:pt>
                <c:pt idx="6">
                  <c:v>3.4730906199453591</c:v>
                </c:pt>
                <c:pt idx="7">
                  <c:v>3.8102403300578933</c:v>
                </c:pt>
                <c:pt idx="8">
                  <c:v>3.9173900153329635</c:v>
                </c:pt>
                <c:pt idx="9">
                  <c:v>3.9982502557248827</c:v>
                </c:pt>
                <c:pt idx="10">
                  <c:v>4.0518477578512888</c:v>
                </c:pt>
                <c:pt idx="11">
                  <c:v>4.2638434934250089</c:v>
                </c:pt>
                <c:pt idx="12">
                  <c:v>4.6419269253221911</c:v>
                </c:pt>
                <c:pt idx="13">
                  <c:v>4.7598116407148163</c:v>
                </c:pt>
                <c:pt idx="14">
                  <c:v>4.5303719978444974</c:v>
                </c:pt>
                <c:pt idx="15">
                  <c:v>4.5733484102656758</c:v>
                </c:pt>
                <c:pt idx="16">
                  <c:v>4.5677776535063055</c:v>
                </c:pt>
                <c:pt idx="17">
                  <c:v>4.3204244325011398</c:v>
                </c:pt>
                <c:pt idx="18">
                  <c:v>4.1200466336073776</c:v>
                </c:pt>
                <c:pt idx="19">
                  <c:v>4.1441036223710705</c:v>
                </c:pt>
              </c:numCache>
            </c:numRef>
          </c:val>
          <c:smooth val="0"/>
          <c:extLst>
            <c:ext xmlns:c16="http://schemas.microsoft.com/office/drawing/2014/chart" uri="{C3380CC4-5D6E-409C-BE32-E72D297353CC}">
              <c16:uniqueId val="{00000003-010F-4213-AE21-4023D5B3F57A}"/>
            </c:ext>
          </c:extLst>
        </c:ser>
        <c:ser>
          <c:idx val="4"/>
          <c:order val="4"/>
          <c:tx>
            <c:strRef>
              <c:f>Sheet2!$J$51</c:f>
              <c:strCache>
                <c:ptCount val="1"/>
                <c:pt idx="0">
                  <c:v>India</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Sheet2!$J$52:$J$71</c:f>
              <c:numCache>
                <c:formatCode>0.00</c:formatCode>
                <c:ptCount val="20"/>
                <c:pt idx="0">
                  <c:v>1.0569506423854078</c:v>
                </c:pt>
                <c:pt idx="1">
                  <c:v>1.1264075293539428</c:v>
                </c:pt>
                <c:pt idx="2">
                  <c:v>1.2119639265555051</c:v>
                </c:pt>
                <c:pt idx="3">
                  <c:v>1.3212372009125153</c:v>
                </c:pt>
                <c:pt idx="4">
                  <c:v>1.4404108541996004</c:v>
                </c:pt>
                <c:pt idx="5">
                  <c:v>1.5825615140640279</c:v>
                </c:pt>
                <c:pt idx="6">
                  <c:v>1.3918527680743773</c:v>
                </c:pt>
                <c:pt idx="7">
                  <c:v>1.7059587471916198</c:v>
                </c:pt>
                <c:pt idx="8">
                  <c:v>2.0911379910985217</c:v>
                </c:pt>
                <c:pt idx="9">
                  <c:v>2.561478195564117</c:v>
                </c:pt>
                <c:pt idx="10">
                  <c:v>2.7117042663400306</c:v>
                </c:pt>
                <c:pt idx="11">
                  <c:v>2.4559065247522867</c:v>
                </c:pt>
                <c:pt idx="12">
                  <c:v>2.2126403378455177</c:v>
                </c:pt>
                <c:pt idx="13">
                  <c:v>2.0851451069027864</c:v>
                </c:pt>
                <c:pt idx="14">
                  <c:v>2.2428916570067492</c:v>
                </c:pt>
                <c:pt idx="15">
                  <c:v>2.1503410262883293</c:v>
                </c:pt>
                <c:pt idx="16">
                  <c:v>2.0898669052678667</c:v>
                </c:pt>
                <c:pt idx="17">
                  <c:v>2.1482474198317187</c:v>
                </c:pt>
                <c:pt idx="18">
                  <c:v>2.3498311742407467</c:v>
                </c:pt>
                <c:pt idx="19">
                  <c:v>2.351516068872324</c:v>
                </c:pt>
              </c:numCache>
            </c:numRef>
          </c:val>
          <c:smooth val="0"/>
          <c:extLst>
            <c:ext xmlns:c16="http://schemas.microsoft.com/office/drawing/2014/chart" uri="{C3380CC4-5D6E-409C-BE32-E72D297353CC}">
              <c16:uniqueId val="{00000004-010F-4213-AE21-4023D5B3F57A}"/>
            </c:ext>
          </c:extLst>
        </c:ser>
        <c:ser>
          <c:idx val="5"/>
          <c:order val="5"/>
          <c:tx>
            <c:strRef>
              <c:f>Sheet2!$K$51</c:f>
              <c:strCache>
                <c:ptCount val="1"/>
                <c:pt idx="0">
                  <c:v>USA</c:v>
                </c:pt>
              </c:strCache>
            </c:strRef>
          </c:tx>
          <c:marker>
            <c:symbol val="none"/>
          </c:marker>
          <c:cat>
            <c:strRef>
              <c:f>Sheet2!$E$52:$E$71</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Sheet2!$K$52:$K$71</c:f>
              <c:numCache>
                <c:formatCode>0.00</c:formatCode>
                <c:ptCount val="20"/>
                <c:pt idx="0">
                  <c:v>11.184459524878324</c:v>
                </c:pt>
                <c:pt idx="1">
                  <c:v>10.197322941896319</c:v>
                </c:pt>
                <c:pt idx="2">
                  <c:v>9.7822971163657595</c:v>
                </c:pt>
                <c:pt idx="3">
                  <c:v>9.8322457424797083</c:v>
                </c:pt>
                <c:pt idx="4">
                  <c:v>10.040549938101504</c:v>
                </c:pt>
                <c:pt idx="5">
                  <c:v>10.437786662873664</c:v>
                </c:pt>
                <c:pt idx="6">
                  <c:v>10.171891778010348</c:v>
                </c:pt>
                <c:pt idx="7">
                  <c:v>10.526502312044462</c:v>
                </c:pt>
                <c:pt idx="8">
                  <c:v>10.202080891772654</c:v>
                </c:pt>
                <c:pt idx="9">
                  <c:v>10.410313824127742</c:v>
                </c:pt>
                <c:pt idx="10">
                  <c:v>10.149919348830601</c:v>
                </c:pt>
                <c:pt idx="11">
                  <c:v>10.443370792820918</c:v>
                </c:pt>
                <c:pt idx="12">
                  <c:v>10.434467702974921</c:v>
                </c:pt>
                <c:pt idx="13">
                  <c:v>10.371490572260887</c:v>
                </c:pt>
                <c:pt idx="14">
                  <c:v>9.7371982250007179</c:v>
                </c:pt>
                <c:pt idx="15">
                  <c:v>9.4689137703691859</c:v>
                </c:pt>
                <c:pt idx="16">
                  <c:v>9.2161391343250205</c:v>
                </c:pt>
                <c:pt idx="17">
                  <c:v>9.4222357313585423</c:v>
                </c:pt>
                <c:pt idx="18">
                  <c:v>9.3812669727481968</c:v>
                </c:pt>
                <c:pt idx="19">
                  <c:v>9.5532570980868368</c:v>
                </c:pt>
              </c:numCache>
            </c:numRef>
          </c:val>
          <c:smooth val="0"/>
          <c:extLst>
            <c:ext xmlns:c16="http://schemas.microsoft.com/office/drawing/2014/chart" uri="{C3380CC4-5D6E-409C-BE32-E72D297353CC}">
              <c16:uniqueId val="{00000005-010F-4213-AE21-4023D5B3F57A}"/>
            </c:ext>
          </c:extLst>
        </c:ser>
        <c:dLbls>
          <c:showLegendKey val="0"/>
          <c:showVal val="0"/>
          <c:showCatName val="0"/>
          <c:showSerName val="0"/>
          <c:showPercent val="0"/>
          <c:showBubbleSize val="0"/>
        </c:dLbls>
        <c:smooth val="0"/>
        <c:axId val="75005312"/>
        <c:axId val="75036928"/>
      </c:lineChart>
      <c:catAx>
        <c:axId val="75005312"/>
        <c:scaling>
          <c:orientation val="minMax"/>
        </c:scaling>
        <c:delete val="0"/>
        <c:axPos val="b"/>
        <c:title>
          <c:tx>
            <c:rich>
              <a:bodyPr/>
              <a:lstStyle/>
              <a:p>
                <a:pPr>
                  <a:defRPr/>
                </a:pPr>
                <a:r>
                  <a:rPr lang="en-US"/>
                  <a:t>Years</a:t>
                </a:r>
              </a:p>
            </c:rich>
          </c:tx>
          <c:overlay val="0"/>
        </c:title>
        <c:numFmt formatCode="General" sourceLinked="0"/>
        <c:majorTickMark val="out"/>
        <c:minorTickMark val="none"/>
        <c:tickLblPos val="nextTo"/>
        <c:crossAx val="75036928"/>
        <c:crosses val="autoZero"/>
        <c:auto val="1"/>
        <c:lblAlgn val="ctr"/>
        <c:lblOffset val="100"/>
        <c:noMultiLvlLbl val="0"/>
      </c:catAx>
      <c:valAx>
        <c:axId val="75036928"/>
        <c:scaling>
          <c:orientation val="minMax"/>
        </c:scaling>
        <c:delete val="0"/>
        <c:axPos val="l"/>
        <c:title>
          <c:tx>
            <c:rich>
              <a:bodyPr rot="-5400000" vert="horz"/>
              <a:lstStyle/>
              <a:p>
                <a:pPr>
                  <a:defRPr/>
                </a:pPr>
                <a:r>
                  <a:rPr lang="en-US"/>
                  <a:t>%Share</a:t>
                </a:r>
                <a:r>
                  <a:rPr lang="en-US" baseline="0"/>
                  <a:t> of agriculture export</a:t>
                </a:r>
                <a:endParaRPr lang="en-US"/>
              </a:p>
            </c:rich>
          </c:tx>
          <c:overlay val="0"/>
        </c:title>
        <c:numFmt formatCode="0.00" sourceLinked="1"/>
        <c:majorTickMark val="out"/>
        <c:minorTickMark val="none"/>
        <c:tickLblPos val="nextTo"/>
        <c:crossAx val="75005312"/>
        <c:crosses val="autoZero"/>
        <c:crossBetween val="between"/>
      </c:valAx>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CC99-616A-4DC1-B09E-180B100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5231</TotalTime>
  <Pages>11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281</cp:revision>
  <dcterms:created xsi:type="dcterms:W3CDTF">2023-11-04T07:40:00Z</dcterms:created>
  <dcterms:modified xsi:type="dcterms:W3CDTF">2025-04-22T13:48:00Z</dcterms:modified>
</cp:coreProperties>
</file>