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C75FB" w14:textId="77777777" w:rsidR="00754C9A" w:rsidRDefault="00754C9A" w:rsidP="00441B6F">
      <w:pPr>
        <w:pStyle w:val="Title"/>
        <w:spacing w:after="0"/>
        <w:jc w:val="both"/>
        <w:rPr>
          <w:rFonts w:ascii="Arial" w:hAnsi="Arial" w:cs="Arial"/>
        </w:rPr>
      </w:pPr>
    </w:p>
    <w:p w14:paraId="7C3CD275" w14:textId="77777777" w:rsidR="009430A5" w:rsidRDefault="009430A5" w:rsidP="00165EE5">
      <w:pPr>
        <w:rPr>
          <w:rFonts w:ascii="Arial" w:hAnsi="Arial" w:cs="Arial"/>
          <w:bCs/>
          <w:i/>
          <w:iCs/>
          <w:kern w:val="28"/>
          <w:sz w:val="36"/>
          <w:u w:val="single"/>
        </w:rPr>
      </w:pPr>
      <w:r>
        <w:rPr>
          <w:rFonts w:ascii="Arial" w:hAnsi="Arial" w:cs="Arial"/>
          <w:bCs/>
          <w:i/>
          <w:iCs/>
          <w:kern w:val="28"/>
          <w:sz w:val="36"/>
          <w:u w:val="single"/>
        </w:rPr>
        <w:t xml:space="preserve">Case report </w:t>
      </w:r>
    </w:p>
    <w:p w14:paraId="76C26342" w14:textId="77777777" w:rsidR="009430A5" w:rsidRDefault="009430A5" w:rsidP="00165EE5">
      <w:pPr>
        <w:rPr>
          <w:rFonts w:ascii="Arial" w:hAnsi="Arial" w:cs="Arial"/>
          <w:bCs/>
          <w:i/>
          <w:iCs/>
          <w:kern w:val="28"/>
          <w:sz w:val="36"/>
          <w:u w:val="single"/>
        </w:rPr>
      </w:pPr>
    </w:p>
    <w:p w14:paraId="632692B2" w14:textId="44B15E01" w:rsidR="00A258C3" w:rsidRDefault="00165EE5" w:rsidP="00165EE5">
      <w:pPr>
        <w:rPr>
          <w:b/>
          <w:bCs/>
          <w:sz w:val="36"/>
          <w:szCs w:val="36"/>
        </w:rPr>
      </w:pPr>
      <w:r w:rsidRPr="00B66E38">
        <w:rPr>
          <w:b/>
          <w:bCs/>
          <w:sz w:val="36"/>
          <w:szCs w:val="36"/>
        </w:rPr>
        <w:t>Pregnancy-Related Autoimmune Hemolytic Anemia in a Sickle Cell and Beta-Thalassemia Trait Patient: A Complex Case</w:t>
      </w:r>
    </w:p>
    <w:p w14:paraId="63701F4F" w14:textId="77777777" w:rsidR="00AF709B" w:rsidRPr="00165EE5" w:rsidRDefault="00AF709B" w:rsidP="00165EE5">
      <w:pPr>
        <w:rPr>
          <w:b/>
          <w:bCs/>
          <w:sz w:val="36"/>
          <w:szCs w:val="36"/>
        </w:rPr>
      </w:pPr>
    </w:p>
    <w:p w14:paraId="61B8729C" w14:textId="77777777" w:rsidR="0018711F" w:rsidRPr="00CB43F6" w:rsidRDefault="0018711F" w:rsidP="000A41AC">
      <w:pPr>
        <w:rPr>
          <w:b/>
          <w:bCs/>
        </w:rPr>
      </w:pPr>
    </w:p>
    <w:p w14:paraId="40894901" w14:textId="77777777" w:rsidR="000A41AC" w:rsidRPr="00956137" w:rsidRDefault="000A41AC" w:rsidP="00441B6F">
      <w:pPr>
        <w:pStyle w:val="Affiliation"/>
        <w:spacing w:after="0" w:line="240" w:lineRule="auto"/>
        <w:jc w:val="both"/>
        <w:rPr>
          <w:rFonts w:ascii="Arial" w:hAnsi="Arial" w:cs="Arial"/>
          <w:i/>
          <w:iCs/>
        </w:rPr>
      </w:pPr>
    </w:p>
    <w:p w14:paraId="4C3A993E" w14:textId="69F353A5" w:rsidR="00956137" w:rsidRPr="00956137" w:rsidRDefault="00956137" w:rsidP="00441B6F">
      <w:pPr>
        <w:pStyle w:val="Affiliation"/>
        <w:spacing w:after="0" w:line="240" w:lineRule="auto"/>
        <w:jc w:val="both"/>
        <w:rPr>
          <w:rFonts w:ascii="Arial" w:hAnsi="Arial" w:cs="Arial"/>
          <w:i/>
          <w:iCs/>
          <w:vertAlign w:val="superscript"/>
        </w:rPr>
      </w:pPr>
      <w:r>
        <w:rPr>
          <w:rFonts w:ascii="Arial" w:hAnsi="Arial" w:cs="Arial"/>
          <w:i/>
          <w:iCs/>
        </w:rPr>
        <w:t xml:space="preserve">                     </w:t>
      </w:r>
    </w:p>
    <w:p w14:paraId="1FA76D39" w14:textId="77777777" w:rsidR="00B01FCD" w:rsidRPr="00FB3A86" w:rsidRDefault="00300A67" w:rsidP="00441B6F">
      <w:pPr>
        <w:pStyle w:val="Copyright"/>
        <w:spacing w:after="0" w:line="240" w:lineRule="auto"/>
        <w:jc w:val="both"/>
        <w:rPr>
          <w:rFonts w:ascii="Arial" w:hAnsi="Arial" w:cs="Arial"/>
        </w:rPr>
        <w:sectPr w:rsidR="00B01FCD" w:rsidRPr="00FB3A86" w:rsidSect="0063747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153A2C8">
          <v:shapetype id="_x0000_t32" coordsize="21600,21600" o:spt="32" o:oned="t" path="m,l21600,21600e" filled="f">
            <v:path arrowok="t" fillok="f" o:connecttype="none"/>
            <o:lock v:ext="edit" shapetype="t"/>
          </v:shapetype>
          <v:shape id="_x0000_s103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515F108" w14:textId="18D930D2"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5CCAB2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EDDF64C" w14:textId="77777777" w:rsidTr="001E44FE">
        <w:tc>
          <w:tcPr>
            <w:tcW w:w="9576" w:type="dxa"/>
            <w:shd w:val="clear" w:color="auto" w:fill="F2F2F2"/>
          </w:tcPr>
          <w:p w14:paraId="31F56986" w14:textId="2AB0AD2C" w:rsidR="00505F06" w:rsidRPr="00BA1B01" w:rsidRDefault="00D42ABD" w:rsidP="00D42ABD">
            <w:pPr>
              <w:pStyle w:val="Body"/>
              <w:spacing w:after="0"/>
              <w:rPr>
                <w:rFonts w:ascii="Arial" w:eastAsia="Calibri" w:hAnsi="Arial" w:cs="Arial"/>
                <w:szCs w:val="22"/>
              </w:rPr>
            </w:pPr>
            <w:r w:rsidRPr="00D42ABD">
              <w:rPr>
                <w:rFonts w:ascii="Times New Roman" w:hAnsi="Times New Roman"/>
                <w:b/>
                <w:bCs/>
                <w:sz w:val="22"/>
                <w:szCs w:val="22"/>
              </w:rPr>
              <w:t>This case report discusses a 29-year-old pregnant patient with sickle cell anemia (</w:t>
            </w:r>
            <w:proofErr w:type="spellStart"/>
            <w:r w:rsidRPr="00D42ABD">
              <w:rPr>
                <w:rFonts w:ascii="Times New Roman" w:hAnsi="Times New Roman"/>
                <w:b/>
                <w:bCs/>
                <w:sz w:val="22"/>
                <w:szCs w:val="22"/>
              </w:rPr>
              <w:t>sca</w:t>
            </w:r>
            <w:proofErr w:type="spellEnd"/>
            <w:r w:rsidRPr="00D42ABD">
              <w:rPr>
                <w:rFonts w:ascii="Times New Roman" w:hAnsi="Times New Roman"/>
                <w:b/>
                <w:bCs/>
                <w:sz w:val="22"/>
                <w:szCs w:val="22"/>
              </w:rPr>
              <w:t>) and β-thalassemia trait, complicated by autoimmune hemolytic anemia (</w:t>
            </w:r>
            <w:proofErr w:type="spellStart"/>
            <w:r w:rsidRPr="00D42ABD">
              <w:rPr>
                <w:rFonts w:ascii="Times New Roman" w:hAnsi="Times New Roman"/>
                <w:b/>
                <w:bCs/>
                <w:sz w:val="22"/>
                <w:szCs w:val="22"/>
              </w:rPr>
              <w:t>aiha</w:t>
            </w:r>
            <w:proofErr w:type="spellEnd"/>
            <w:r w:rsidRPr="00D42ABD">
              <w:rPr>
                <w:rFonts w:ascii="Times New Roman" w:hAnsi="Times New Roman"/>
                <w:b/>
                <w:bCs/>
                <w:sz w:val="22"/>
                <w:szCs w:val="22"/>
              </w:rPr>
              <w:t xml:space="preserve">). She presented with severe anemia and jaundice at 36 weeks, requiring transfusions, plasma exchange, and hemodialysis due to inadequate response to transfusions. The interplay of oxidative stress, immune dysregulation, and pregnancy-related changes exacerbated </w:t>
            </w:r>
            <w:proofErr w:type="spellStart"/>
            <w:r w:rsidRPr="00D42ABD">
              <w:rPr>
                <w:rFonts w:ascii="Times New Roman" w:hAnsi="Times New Roman"/>
                <w:b/>
                <w:bCs/>
                <w:sz w:val="22"/>
                <w:szCs w:val="22"/>
              </w:rPr>
              <w:t>aiha</w:t>
            </w:r>
            <w:proofErr w:type="spellEnd"/>
            <w:r w:rsidRPr="00D42ABD">
              <w:rPr>
                <w:rFonts w:ascii="Times New Roman" w:hAnsi="Times New Roman"/>
                <w:b/>
                <w:bCs/>
                <w:sz w:val="22"/>
                <w:szCs w:val="22"/>
              </w:rPr>
              <w:t xml:space="preserve">. This case highlights the challenges of managing </w:t>
            </w:r>
            <w:proofErr w:type="spellStart"/>
            <w:r w:rsidRPr="00D42ABD">
              <w:rPr>
                <w:rFonts w:ascii="Times New Roman" w:hAnsi="Times New Roman"/>
                <w:b/>
                <w:bCs/>
                <w:sz w:val="22"/>
                <w:szCs w:val="22"/>
              </w:rPr>
              <w:t>aiha</w:t>
            </w:r>
            <w:proofErr w:type="spellEnd"/>
            <w:r w:rsidRPr="00D42ABD">
              <w:rPr>
                <w:rFonts w:ascii="Times New Roman" w:hAnsi="Times New Roman"/>
                <w:b/>
                <w:bCs/>
                <w:sz w:val="22"/>
                <w:szCs w:val="22"/>
              </w:rPr>
              <w:t xml:space="preserve"> in </w:t>
            </w:r>
            <w:proofErr w:type="spellStart"/>
            <w:r w:rsidRPr="00D42ABD">
              <w:rPr>
                <w:rFonts w:ascii="Times New Roman" w:hAnsi="Times New Roman"/>
                <w:b/>
                <w:bCs/>
                <w:sz w:val="22"/>
                <w:szCs w:val="22"/>
              </w:rPr>
              <w:t>sca</w:t>
            </w:r>
            <w:proofErr w:type="spellEnd"/>
            <w:r w:rsidRPr="00D42ABD">
              <w:rPr>
                <w:rFonts w:ascii="Times New Roman" w:hAnsi="Times New Roman"/>
                <w:b/>
                <w:bCs/>
                <w:sz w:val="22"/>
                <w:szCs w:val="22"/>
              </w:rPr>
              <w:t xml:space="preserve"> during pregnancy and the need for coordinated care to optimize maternal and fetal outcomes</w:t>
            </w:r>
            <w:r w:rsidRPr="00B66E38">
              <w:rPr>
                <w:rFonts w:ascii="Times New Roman" w:hAnsi="Times New Roman"/>
                <w:sz w:val="24"/>
                <w:szCs w:val="24"/>
              </w:rPr>
              <w:t>.</w:t>
            </w:r>
          </w:p>
        </w:tc>
      </w:tr>
    </w:tbl>
    <w:p w14:paraId="143E996E" w14:textId="77777777" w:rsidR="00636EB2" w:rsidRDefault="00636EB2" w:rsidP="00441B6F">
      <w:pPr>
        <w:pStyle w:val="Body"/>
        <w:spacing w:after="0"/>
        <w:rPr>
          <w:rFonts w:ascii="Arial" w:hAnsi="Arial" w:cs="Arial"/>
          <w:i/>
        </w:rPr>
      </w:pPr>
    </w:p>
    <w:p w14:paraId="0C20561F" w14:textId="1CC2135E" w:rsidR="00790ADA" w:rsidRDefault="00A24E7E" w:rsidP="00441B6F">
      <w:pPr>
        <w:pStyle w:val="Body"/>
        <w:spacing w:after="0"/>
        <w:rPr>
          <w:rFonts w:ascii="Arial" w:hAnsi="Arial" w:cs="Arial"/>
          <w:i/>
        </w:rPr>
      </w:pPr>
      <w:r>
        <w:rPr>
          <w:rFonts w:ascii="Arial" w:hAnsi="Arial" w:cs="Arial"/>
          <w:i/>
        </w:rPr>
        <w:t>Keywords:</w:t>
      </w:r>
      <w:r w:rsidR="00675168">
        <w:rPr>
          <w:rFonts w:ascii="Arial" w:hAnsi="Arial" w:cs="Arial"/>
          <w:i/>
        </w:rPr>
        <w:t xml:space="preserve"> Sickle cell </w:t>
      </w:r>
      <w:proofErr w:type="spellStart"/>
      <w:r w:rsidR="00675168">
        <w:rPr>
          <w:rFonts w:ascii="Arial" w:hAnsi="Arial" w:cs="Arial"/>
          <w:i/>
        </w:rPr>
        <w:t>anaemia</w:t>
      </w:r>
      <w:proofErr w:type="spellEnd"/>
      <w:r w:rsidR="00675168">
        <w:rPr>
          <w:rFonts w:ascii="Arial" w:hAnsi="Arial" w:cs="Arial"/>
          <w:i/>
        </w:rPr>
        <w:t xml:space="preserve">, Beta Thalassemia Trait, Autoimmune hemolytic </w:t>
      </w:r>
      <w:proofErr w:type="spellStart"/>
      <w:r w:rsidR="00675168">
        <w:rPr>
          <w:rFonts w:ascii="Arial" w:hAnsi="Arial" w:cs="Arial"/>
          <w:i/>
        </w:rPr>
        <w:t>anaemia</w:t>
      </w:r>
      <w:proofErr w:type="spellEnd"/>
      <w:r w:rsidR="00675168">
        <w:rPr>
          <w:rFonts w:ascii="Arial" w:hAnsi="Arial" w:cs="Arial"/>
          <w:i/>
        </w:rPr>
        <w:t>, direct coombs test, indirect coombs test</w:t>
      </w:r>
    </w:p>
    <w:p w14:paraId="6FCC624E" w14:textId="77777777" w:rsidR="0024282C" w:rsidRDefault="0024282C" w:rsidP="00441B6F">
      <w:pPr>
        <w:pStyle w:val="Body"/>
        <w:spacing w:after="0"/>
        <w:rPr>
          <w:rFonts w:ascii="Arial" w:hAnsi="Arial" w:cs="Arial"/>
          <w:i/>
          <w:sz w:val="18"/>
        </w:rPr>
      </w:pPr>
    </w:p>
    <w:p w14:paraId="0EE42DEB" w14:textId="77777777" w:rsidR="00505F06" w:rsidRPr="00A24E7E" w:rsidRDefault="00505F06" w:rsidP="00441B6F">
      <w:pPr>
        <w:pStyle w:val="Body"/>
        <w:spacing w:after="0"/>
        <w:rPr>
          <w:rFonts w:ascii="Arial" w:hAnsi="Arial" w:cs="Arial"/>
          <w:i/>
        </w:rPr>
      </w:pPr>
    </w:p>
    <w:p w14:paraId="62C25348" w14:textId="6BC7769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401D2DD" w14:textId="77777777" w:rsidR="00790ADA" w:rsidRPr="00FB3A86" w:rsidRDefault="00790ADA" w:rsidP="00441B6F">
      <w:pPr>
        <w:pStyle w:val="AbstHead"/>
        <w:spacing w:after="0"/>
        <w:jc w:val="both"/>
        <w:rPr>
          <w:rFonts w:ascii="Arial" w:hAnsi="Arial" w:cs="Arial"/>
        </w:rPr>
      </w:pPr>
    </w:p>
    <w:p w14:paraId="0714C4C7" w14:textId="77777777" w:rsidR="00D42ABD" w:rsidRPr="00582C1A" w:rsidRDefault="00D42ABD" w:rsidP="00D42ABD">
      <w:pPr>
        <w:jc w:val="both"/>
        <w:rPr>
          <w:rFonts w:ascii="Times New Roman" w:hAnsi="Times New Roman"/>
          <w:sz w:val="22"/>
          <w:szCs w:val="22"/>
        </w:rPr>
      </w:pPr>
      <w:r w:rsidRPr="00582C1A">
        <w:rPr>
          <w:rFonts w:ascii="Times New Roman" w:hAnsi="Times New Roman"/>
          <w:sz w:val="22"/>
          <w:szCs w:val="22"/>
        </w:rPr>
        <w:t xml:space="preserve">A distinct array of challenges arises during pregnancy with sickle cell anemia, as the underlying hematologic condition markedly heightens the risk of complications for both the mother and the developing fetus. Sickle cell anemia, a genetic disorder, which leads to chronic hemolytic anemia, </w:t>
      </w:r>
      <w:proofErr w:type="spellStart"/>
      <w:r w:rsidRPr="00582C1A">
        <w:rPr>
          <w:rFonts w:ascii="Times New Roman" w:hAnsi="Times New Roman"/>
          <w:sz w:val="22"/>
          <w:szCs w:val="22"/>
        </w:rPr>
        <w:t>vaso</w:t>
      </w:r>
      <w:proofErr w:type="spellEnd"/>
      <w:r w:rsidRPr="00582C1A">
        <w:rPr>
          <w:rFonts w:ascii="Times New Roman" w:hAnsi="Times New Roman"/>
          <w:sz w:val="22"/>
          <w:szCs w:val="22"/>
        </w:rPr>
        <w:t>-occlusive crises, and various organ dysfunctions. These complications can be exacerbated during pregnancy due to physiological changes. (1)</w:t>
      </w:r>
    </w:p>
    <w:p w14:paraId="167718BA" w14:textId="77777777" w:rsidR="00D42ABD" w:rsidRPr="00582C1A" w:rsidRDefault="00D42ABD" w:rsidP="00D42ABD">
      <w:pPr>
        <w:jc w:val="both"/>
        <w:rPr>
          <w:rFonts w:ascii="Times New Roman" w:hAnsi="Times New Roman"/>
          <w:sz w:val="22"/>
          <w:szCs w:val="22"/>
        </w:rPr>
      </w:pPr>
      <w:r w:rsidRPr="00582C1A">
        <w:rPr>
          <w:rFonts w:ascii="Times New Roman" w:hAnsi="Times New Roman"/>
          <w:sz w:val="22"/>
          <w:szCs w:val="22"/>
        </w:rPr>
        <w:t xml:space="preserve">In addition, the presence of autoimmune hemolytic anemia (AIHA) further complicates the clinical landscape. The coexistence of sickle cell anemia and AIHA during pregnancy poses significant risks, including severe anemia, increased likelihood of crises, and heightened maternal and fetal morbidity. (1) </w:t>
      </w:r>
    </w:p>
    <w:p w14:paraId="4173E437" w14:textId="0A2BBDA5" w:rsidR="00956137" w:rsidRPr="00956137" w:rsidRDefault="00D42ABD" w:rsidP="00D42ABD">
      <w:pPr>
        <w:jc w:val="both"/>
        <w:rPr>
          <w:rFonts w:ascii="Times New Roman" w:hAnsi="Times New Roman"/>
          <w:sz w:val="22"/>
          <w:szCs w:val="22"/>
        </w:rPr>
      </w:pPr>
      <w:r w:rsidRPr="00582C1A">
        <w:rPr>
          <w:rFonts w:ascii="Times New Roman" w:hAnsi="Times New Roman"/>
          <w:sz w:val="22"/>
          <w:szCs w:val="22"/>
        </w:rPr>
        <w:t>This case illustrates the intricate challenges faced in managing a pregnancy complicated by these two hematologic conditions, emphasizing the need for comprehensive and coordinated care to optimize outcomes for both mother and child.</w:t>
      </w:r>
    </w:p>
    <w:p w14:paraId="017BEBA2" w14:textId="77777777" w:rsidR="00956137" w:rsidRDefault="00902823" w:rsidP="00956137">
      <w:pPr>
        <w:shd w:val="clear" w:color="auto" w:fill="FFFFFF"/>
        <w:spacing w:before="100" w:beforeAutospacing="1" w:after="100" w:afterAutospacing="1"/>
        <w:jc w:val="both"/>
        <w:outlineLvl w:val="1"/>
        <w:rPr>
          <w:rFonts w:ascii="Times New Roman" w:hAnsi="Times New Roman"/>
          <w:b/>
          <w:bCs/>
          <w:color w:val="222222"/>
          <w:sz w:val="24"/>
          <w:szCs w:val="24"/>
          <w:lang w:eastAsia="en-IN" w:bidi="hi-IN"/>
        </w:rPr>
      </w:pPr>
      <w:r>
        <w:rPr>
          <w:rFonts w:ascii="Arial" w:hAnsi="Arial" w:cs="Arial"/>
        </w:rPr>
        <w:t xml:space="preserve">2. </w:t>
      </w:r>
      <w:r w:rsidR="00582C1A" w:rsidRPr="00B66E38">
        <w:rPr>
          <w:rFonts w:ascii="Times New Roman" w:hAnsi="Times New Roman"/>
          <w:b/>
          <w:bCs/>
          <w:color w:val="222222"/>
          <w:sz w:val="24"/>
          <w:szCs w:val="24"/>
          <w:lang w:eastAsia="en-IN" w:bidi="hi-IN"/>
        </w:rPr>
        <w:t>Case Presentation</w:t>
      </w:r>
    </w:p>
    <w:p w14:paraId="25A1991F" w14:textId="4AA6F117" w:rsidR="00582C1A" w:rsidRPr="00956137" w:rsidRDefault="00582C1A" w:rsidP="00956137">
      <w:pPr>
        <w:shd w:val="clear" w:color="auto" w:fill="FFFFFF"/>
        <w:spacing w:before="100" w:beforeAutospacing="1" w:after="100" w:afterAutospacing="1"/>
        <w:jc w:val="both"/>
        <w:outlineLvl w:val="1"/>
        <w:rPr>
          <w:rFonts w:ascii="Times New Roman" w:hAnsi="Times New Roman"/>
          <w:b/>
          <w:bCs/>
          <w:color w:val="222222"/>
          <w:sz w:val="24"/>
          <w:szCs w:val="24"/>
          <w:lang w:eastAsia="en-IN" w:bidi="hi-IN"/>
        </w:rPr>
      </w:pPr>
      <w:r w:rsidRPr="00582C1A">
        <w:rPr>
          <w:rFonts w:ascii="Times New Roman" w:hAnsi="Times New Roman"/>
          <w:color w:val="222222"/>
          <w:sz w:val="22"/>
          <w:szCs w:val="22"/>
          <w:lang w:eastAsia="en-IN" w:bidi="hi-IN"/>
        </w:rPr>
        <w:lastRenderedPageBreak/>
        <w:t>A 29-year-old female, gravida 2, para 1, living 1 (G2P1L1), with a history of full-term normal delivery, presented at 36 weeks and 4 days of gestation with jaundice and severe anemia. She was diagnosed with sickle cell anemia with a compound beta-thalassemia trait.</w:t>
      </w:r>
    </w:p>
    <w:p w14:paraId="437BF455" w14:textId="77777777" w:rsidR="00582C1A" w:rsidRPr="00B66E38" w:rsidRDefault="00582C1A" w:rsidP="00582C1A">
      <w:pPr>
        <w:shd w:val="clear" w:color="auto" w:fill="FFFFFF"/>
        <w:spacing w:before="100" w:beforeAutospacing="1" w:after="100" w:afterAutospacing="1"/>
        <w:jc w:val="both"/>
        <w:outlineLvl w:val="2"/>
        <w:rPr>
          <w:rFonts w:ascii="Times New Roman" w:hAnsi="Times New Roman"/>
          <w:b/>
          <w:bCs/>
          <w:color w:val="222222"/>
          <w:sz w:val="24"/>
          <w:szCs w:val="24"/>
          <w:lang w:eastAsia="en-IN" w:bidi="hi-IN"/>
        </w:rPr>
      </w:pPr>
      <w:r w:rsidRPr="00B66E38">
        <w:rPr>
          <w:rFonts w:ascii="Times New Roman" w:hAnsi="Times New Roman"/>
          <w:b/>
          <w:bCs/>
          <w:color w:val="222222"/>
          <w:sz w:val="24"/>
          <w:szCs w:val="24"/>
          <w:lang w:eastAsia="en-IN" w:bidi="hi-IN"/>
        </w:rPr>
        <w:t>Initial Presentation</w:t>
      </w:r>
    </w:p>
    <w:p w14:paraId="504AD8BE" w14:textId="2998A680" w:rsidR="00582C1A" w:rsidRDefault="00582C1A" w:rsidP="00582C1A">
      <w:pPr>
        <w:shd w:val="clear" w:color="auto" w:fill="FFFFFF"/>
        <w:spacing w:before="100" w:beforeAutospacing="1" w:after="100" w:afterAutospacing="1"/>
        <w:jc w:val="both"/>
        <w:rPr>
          <w:rFonts w:ascii="Times New Roman" w:hAnsi="Times New Roman"/>
          <w:color w:val="222222"/>
          <w:sz w:val="22"/>
          <w:szCs w:val="22"/>
          <w:lang w:eastAsia="en-IN" w:bidi="hi-IN"/>
        </w:rPr>
      </w:pPr>
      <w:r w:rsidRPr="00582C1A">
        <w:rPr>
          <w:rFonts w:ascii="Times New Roman" w:hAnsi="Times New Roman"/>
          <w:color w:val="222222"/>
          <w:sz w:val="22"/>
          <w:szCs w:val="22"/>
          <w:lang w:eastAsia="en-IN" w:bidi="hi-IN"/>
        </w:rPr>
        <w:t>On admission, her hemoglobin (Hb) was 6 g/dL. Blood samples were sent for 2 units of packed red blood cells (PRBC). Initial immunohematology testing showed:</w:t>
      </w:r>
    </w:p>
    <w:p w14:paraId="3ADE989D" w14:textId="6EBA9A80" w:rsidR="00492AB9" w:rsidRPr="00582C1A" w:rsidRDefault="00492AB9" w:rsidP="00582C1A">
      <w:pPr>
        <w:shd w:val="clear" w:color="auto" w:fill="FFFFFF"/>
        <w:spacing w:before="100" w:beforeAutospacing="1" w:after="100" w:afterAutospacing="1"/>
        <w:jc w:val="both"/>
        <w:rPr>
          <w:rFonts w:ascii="Times New Roman" w:hAnsi="Times New Roman"/>
          <w:color w:val="222222"/>
          <w:sz w:val="22"/>
          <w:szCs w:val="22"/>
          <w:lang w:eastAsia="en-IN" w:bidi="hi-IN"/>
        </w:rPr>
      </w:pPr>
      <w:proofErr w:type="gramStart"/>
      <w:r>
        <w:rPr>
          <w:rFonts w:ascii="Times New Roman" w:hAnsi="Times New Roman"/>
          <w:color w:val="222222"/>
          <w:sz w:val="22"/>
          <w:szCs w:val="22"/>
          <w:lang w:eastAsia="en-IN" w:bidi="hi-IN"/>
        </w:rPr>
        <w:t>Table  1</w:t>
      </w:r>
      <w:proofErr w:type="gramEnd"/>
      <w:r>
        <w:rPr>
          <w:rFonts w:ascii="Times New Roman" w:hAnsi="Times New Roman"/>
          <w:color w:val="222222"/>
          <w:sz w:val="22"/>
          <w:szCs w:val="22"/>
          <w:lang w:eastAsia="en-IN" w:bidi="hi-IN"/>
        </w:rPr>
        <w:t xml:space="preserve"> : </w:t>
      </w:r>
      <w:r w:rsidR="00077EC5">
        <w:rPr>
          <w:rFonts w:ascii="Times New Roman" w:hAnsi="Times New Roman"/>
          <w:color w:val="222222"/>
          <w:sz w:val="22"/>
          <w:szCs w:val="22"/>
          <w:lang w:eastAsia="en-IN" w:bidi="hi-IN"/>
        </w:rPr>
        <w:t>Initial immunohematology test result</w:t>
      </w:r>
      <w:r w:rsidR="00F66533" w:rsidRPr="00582C1A">
        <w:rPr>
          <w:rFonts w:ascii="Times New Roman" w:hAnsi="Times New Roman"/>
          <w:color w:val="222222"/>
          <w:sz w:val="22"/>
          <w:szCs w:val="22"/>
          <w:lang w:eastAsia="en-IN" w:bidi="hi-IN"/>
        </w:rPr>
        <w:t xml:space="preserve"> </w:t>
      </w:r>
      <w:r w:rsidR="00F66533">
        <w:rPr>
          <w:rFonts w:ascii="Times New Roman" w:hAnsi="Times New Roman"/>
          <w:color w:val="222222"/>
          <w:sz w:val="22"/>
          <w:szCs w:val="22"/>
          <w:lang w:eastAsia="en-IN" w:bidi="hi-IN"/>
        </w:rPr>
        <w:t>of the patient</w:t>
      </w:r>
    </w:p>
    <w:tbl>
      <w:tblPr>
        <w:tblStyle w:val="TableGrid"/>
        <w:tblW w:w="0" w:type="auto"/>
        <w:tblInd w:w="945" w:type="dxa"/>
        <w:tblLook w:val="04A0" w:firstRow="1" w:lastRow="0" w:firstColumn="1" w:lastColumn="0" w:noHBand="0" w:noVBand="1"/>
      </w:tblPr>
      <w:tblGrid>
        <w:gridCol w:w="2711"/>
        <w:gridCol w:w="2677"/>
      </w:tblGrid>
      <w:tr w:rsidR="00582C1A" w14:paraId="5936BE7F" w14:textId="77777777" w:rsidTr="008C00A3">
        <w:tc>
          <w:tcPr>
            <w:tcW w:w="2711" w:type="dxa"/>
          </w:tcPr>
          <w:p w14:paraId="6269DD4B"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p>
        </w:tc>
        <w:tc>
          <w:tcPr>
            <w:tcW w:w="2677" w:type="dxa"/>
          </w:tcPr>
          <w:p w14:paraId="125B7225"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r>
              <w:rPr>
                <w:rFonts w:ascii="Times New Roman" w:eastAsia="Times New Roman" w:hAnsi="Times New Roman"/>
                <w:color w:val="222222"/>
                <w:sz w:val="24"/>
                <w:szCs w:val="24"/>
                <w:lang w:eastAsia="en-IN" w:bidi="hi-IN"/>
              </w:rPr>
              <w:t>Initial presentation</w:t>
            </w:r>
          </w:p>
        </w:tc>
      </w:tr>
      <w:tr w:rsidR="00582C1A" w14:paraId="3BC15A96" w14:textId="77777777" w:rsidTr="008C00A3">
        <w:tc>
          <w:tcPr>
            <w:tcW w:w="2711" w:type="dxa"/>
          </w:tcPr>
          <w:p w14:paraId="2436EBCD"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r w:rsidRPr="00944523">
              <w:rPr>
                <w:rFonts w:ascii="Times New Roman" w:eastAsia="Times New Roman" w:hAnsi="Times New Roman"/>
                <w:color w:val="222222"/>
                <w:sz w:val="24"/>
                <w:szCs w:val="24"/>
                <w:lang w:eastAsia="en-IN" w:bidi="hi-IN"/>
              </w:rPr>
              <w:t>Indirect Coombs Test (ICT):</w:t>
            </w:r>
          </w:p>
        </w:tc>
        <w:tc>
          <w:tcPr>
            <w:tcW w:w="2677" w:type="dxa"/>
          </w:tcPr>
          <w:p w14:paraId="6A00CCE5"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r w:rsidRPr="00944523">
              <w:rPr>
                <w:rFonts w:ascii="Times New Roman" w:eastAsia="Times New Roman" w:hAnsi="Times New Roman"/>
                <w:color w:val="222222"/>
                <w:sz w:val="24"/>
                <w:szCs w:val="24"/>
                <w:lang w:eastAsia="en-IN" w:bidi="hi-IN"/>
              </w:rPr>
              <w:t>Positive</w:t>
            </w:r>
          </w:p>
        </w:tc>
      </w:tr>
      <w:tr w:rsidR="00582C1A" w14:paraId="48D7A3AE" w14:textId="77777777" w:rsidTr="008C00A3">
        <w:tc>
          <w:tcPr>
            <w:tcW w:w="2711" w:type="dxa"/>
          </w:tcPr>
          <w:p w14:paraId="03BD0DD4"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r w:rsidRPr="00944523">
              <w:rPr>
                <w:rFonts w:ascii="Times New Roman" w:eastAsia="Times New Roman" w:hAnsi="Times New Roman"/>
                <w:color w:val="222222"/>
                <w:sz w:val="24"/>
                <w:szCs w:val="24"/>
                <w:lang w:eastAsia="en-IN" w:bidi="hi-IN"/>
              </w:rPr>
              <w:t>Direct Coombs Test (DCT):</w:t>
            </w:r>
          </w:p>
        </w:tc>
        <w:tc>
          <w:tcPr>
            <w:tcW w:w="2677" w:type="dxa"/>
          </w:tcPr>
          <w:p w14:paraId="06C82F9F"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r w:rsidRPr="00944523">
              <w:rPr>
                <w:rFonts w:ascii="Times New Roman" w:eastAsia="Times New Roman" w:hAnsi="Times New Roman"/>
                <w:color w:val="222222"/>
                <w:sz w:val="24"/>
                <w:szCs w:val="24"/>
                <w:lang w:eastAsia="en-IN" w:bidi="hi-IN"/>
              </w:rPr>
              <w:t>Negative</w:t>
            </w:r>
          </w:p>
        </w:tc>
      </w:tr>
      <w:tr w:rsidR="00582C1A" w14:paraId="4EB96057" w14:textId="77777777" w:rsidTr="008C00A3">
        <w:tc>
          <w:tcPr>
            <w:tcW w:w="2711" w:type="dxa"/>
          </w:tcPr>
          <w:p w14:paraId="13AF178A"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r w:rsidRPr="00944523">
              <w:rPr>
                <w:rFonts w:ascii="Times New Roman" w:eastAsia="Times New Roman" w:hAnsi="Times New Roman"/>
                <w:color w:val="222222"/>
                <w:sz w:val="24"/>
                <w:szCs w:val="24"/>
                <w:lang w:eastAsia="en-IN" w:bidi="hi-IN"/>
              </w:rPr>
              <w:t>Autoantibody screen</w:t>
            </w:r>
          </w:p>
        </w:tc>
        <w:tc>
          <w:tcPr>
            <w:tcW w:w="2677" w:type="dxa"/>
          </w:tcPr>
          <w:p w14:paraId="3F26CDFE"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r w:rsidRPr="00944523">
              <w:rPr>
                <w:rFonts w:ascii="Times New Roman" w:eastAsia="Times New Roman" w:hAnsi="Times New Roman"/>
                <w:color w:val="222222"/>
                <w:sz w:val="24"/>
                <w:szCs w:val="24"/>
                <w:lang w:eastAsia="en-IN" w:bidi="hi-IN"/>
              </w:rPr>
              <w:t>Negative</w:t>
            </w:r>
          </w:p>
        </w:tc>
      </w:tr>
      <w:tr w:rsidR="00582C1A" w14:paraId="481A3BAA" w14:textId="77777777" w:rsidTr="008C00A3">
        <w:tc>
          <w:tcPr>
            <w:tcW w:w="2711" w:type="dxa"/>
          </w:tcPr>
          <w:p w14:paraId="38B1C5FE" w14:textId="77777777" w:rsidR="00582C1A" w:rsidRPr="00944523"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r w:rsidRPr="00944523">
              <w:rPr>
                <w:rFonts w:ascii="Times New Roman" w:eastAsia="Times New Roman" w:hAnsi="Times New Roman"/>
                <w:color w:val="222222"/>
                <w:sz w:val="24"/>
                <w:szCs w:val="24"/>
                <w:lang w:eastAsia="en-IN" w:bidi="hi-IN"/>
              </w:rPr>
              <w:t>Antibody identification panel</w:t>
            </w:r>
          </w:p>
        </w:tc>
        <w:tc>
          <w:tcPr>
            <w:tcW w:w="2677" w:type="dxa"/>
          </w:tcPr>
          <w:p w14:paraId="170579B1"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r w:rsidRPr="00944523">
              <w:rPr>
                <w:rFonts w:ascii="Times New Roman" w:eastAsia="Times New Roman" w:hAnsi="Times New Roman"/>
                <w:color w:val="222222"/>
                <w:sz w:val="24"/>
                <w:szCs w:val="24"/>
                <w:lang w:eastAsia="en-IN" w:bidi="hi-IN"/>
              </w:rPr>
              <w:t>Positive for anti-c and anti-E antibodies</w:t>
            </w:r>
          </w:p>
        </w:tc>
      </w:tr>
    </w:tbl>
    <w:p w14:paraId="316FC3B9" w14:textId="77777777" w:rsidR="00582C1A" w:rsidRDefault="00582C1A" w:rsidP="00582C1A">
      <w:pPr>
        <w:spacing w:before="240"/>
        <w:jc w:val="both"/>
        <w:rPr>
          <w:rFonts w:ascii="Times New Roman" w:hAnsi="Times New Roman"/>
          <w:color w:val="222222"/>
          <w:sz w:val="24"/>
          <w:szCs w:val="24"/>
          <w:lang w:eastAsia="en-IN" w:bidi="hi-IN"/>
        </w:rPr>
      </w:pPr>
    </w:p>
    <w:p w14:paraId="609C62B5" w14:textId="2A67625E" w:rsidR="00492AB9" w:rsidRDefault="00492AB9" w:rsidP="00582C1A">
      <w:pPr>
        <w:spacing w:before="240"/>
        <w:jc w:val="both"/>
        <w:rPr>
          <w:rFonts w:ascii="Times New Roman" w:hAnsi="Times New Roman"/>
          <w:color w:val="222222"/>
          <w:sz w:val="24"/>
          <w:szCs w:val="24"/>
          <w:lang w:eastAsia="en-IN" w:bidi="hi-IN"/>
        </w:rPr>
      </w:pPr>
      <w:r>
        <w:rPr>
          <w:rFonts w:ascii="Times New Roman" w:hAnsi="Times New Roman"/>
          <w:color w:val="222222"/>
          <w:sz w:val="24"/>
          <w:szCs w:val="24"/>
          <w:lang w:eastAsia="en-IN" w:bidi="hi-IN"/>
        </w:rPr>
        <w:t xml:space="preserve">Fig 1 : </w:t>
      </w:r>
      <w:r w:rsidR="003E7AF8" w:rsidRPr="00582C1A">
        <w:rPr>
          <w:rFonts w:ascii="Times New Roman" w:hAnsi="Times New Roman"/>
          <w:color w:val="222222"/>
          <w:sz w:val="22"/>
          <w:szCs w:val="22"/>
          <w:lang w:eastAsia="en-IN" w:bidi="hi-IN"/>
        </w:rPr>
        <w:t xml:space="preserve">Initial </w:t>
      </w:r>
      <w:r w:rsidR="00151783" w:rsidRPr="00582C1A">
        <w:rPr>
          <w:rFonts w:ascii="Times New Roman" w:hAnsi="Times New Roman"/>
          <w:color w:val="222222"/>
          <w:sz w:val="22"/>
          <w:szCs w:val="22"/>
          <w:lang w:eastAsia="en-IN" w:bidi="hi-IN"/>
        </w:rPr>
        <w:t xml:space="preserve">immunohematology testing </w:t>
      </w:r>
      <w:r w:rsidR="000F5406">
        <w:rPr>
          <w:rFonts w:ascii="Times New Roman" w:hAnsi="Times New Roman"/>
          <w:color w:val="222222"/>
          <w:sz w:val="22"/>
          <w:szCs w:val="22"/>
          <w:lang w:eastAsia="en-IN" w:bidi="hi-IN"/>
        </w:rPr>
        <w:t xml:space="preserve">of the patient </w:t>
      </w:r>
    </w:p>
    <w:p w14:paraId="27B45751" w14:textId="77777777" w:rsidR="00582C1A" w:rsidRDefault="00582C1A" w:rsidP="00582C1A">
      <w:pPr>
        <w:spacing w:before="240"/>
        <w:jc w:val="both"/>
        <w:rPr>
          <w:rFonts w:ascii="Times New Roman" w:hAnsi="Times New Roman"/>
          <w:color w:val="222222"/>
          <w:sz w:val="24"/>
          <w:szCs w:val="24"/>
          <w:lang w:eastAsia="en-IN" w:bidi="hi-IN"/>
        </w:rPr>
      </w:pPr>
      <w:r>
        <w:rPr>
          <w:rFonts w:ascii="Times New Roman" w:hAnsi="Times New Roman"/>
          <w:color w:val="222222"/>
          <w:sz w:val="24"/>
          <w:szCs w:val="24"/>
          <w:lang w:eastAsia="en-IN" w:bidi="hi-IN"/>
        </w:rPr>
        <w:t xml:space="preserve">                     </w:t>
      </w:r>
      <w:r>
        <w:rPr>
          <w:rFonts w:ascii="Times New Roman" w:hAnsi="Times New Roman"/>
          <w:noProof/>
          <w:color w:val="222222"/>
          <w:sz w:val="24"/>
          <w:szCs w:val="24"/>
        </w:rPr>
        <w:drawing>
          <wp:inline distT="0" distB="0" distL="0" distR="0" wp14:anchorId="2285FA8A" wp14:editId="4BFB40EA">
            <wp:extent cx="3683000" cy="2019300"/>
            <wp:effectExtent l="0" t="0" r="0" b="0"/>
            <wp:docPr id="3104009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00984" name="Picture 31040098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83000" cy="2019300"/>
                    </a:xfrm>
                    <a:prstGeom prst="rect">
                      <a:avLst/>
                    </a:prstGeom>
                  </pic:spPr>
                </pic:pic>
              </a:graphicData>
            </a:graphic>
          </wp:inline>
        </w:drawing>
      </w:r>
    </w:p>
    <w:p w14:paraId="4C86805D" w14:textId="77777777" w:rsidR="00582C1A" w:rsidRDefault="00582C1A" w:rsidP="00582C1A">
      <w:pPr>
        <w:spacing w:before="240"/>
        <w:jc w:val="both"/>
        <w:rPr>
          <w:rFonts w:ascii="Times New Roman" w:hAnsi="Times New Roman"/>
          <w:color w:val="222222"/>
          <w:sz w:val="24"/>
          <w:szCs w:val="24"/>
          <w:lang w:eastAsia="en-IN" w:bidi="hi-IN"/>
        </w:rPr>
      </w:pPr>
    </w:p>
    <w:p w14:paraId="5EF743A1" w14:textId="77777777" w:rsidR="00582C1A" w:rsidRPr="00582C1A" w:rsidRDefault="00582C1A" w:rsidP="00582C1A">
      <w:pPr>
        <w:spacing w:before="240"/>
        <w:jc w:val="both"/>
        <w:rPr>
          <w:rFonts w:ascii="Times New Roman" w:hAnsi="Times New Roman"/>
          <w:color w:val="222222"/>
          <w:sz w:val="22"/>
          <w:szCs w:val="22"/>
          <w:lang w:eastAsia="en-IN" w:bidi="hi-IN"/>
        </w:rPr>
      </w:pPr>
      <w:r w:rsidRPr="00582C1A">
        <w:rPr>
          <w:rFonts w:ascii="Times New Roman" w:hAnsi="Times New Roman"/>
          <w:color w:val="222222"/>
          <w:sz w:val="22"/>
          <w:szCs w:val="22"/>
          <w:lang w:eastAsia="en-IN" w:bidi="hi-IN"/>
        </w:rPr>
        <w:t>Two units of c- and E-negative PRBCs were issued and transfused. During her hospital stay, she was diagnosed with sickle cell anemia complicated by a sickle cell crisis.</w:t>
      </w:r>
      <w:r w:rsidRPr="00582C1A">
        <w:rPr>
          <w:rFonts w:ascii="Times New Roman" w:hAnsi="Times New Roman"/>
          <w:sz w:val="22"/>
          <w:szCs w:val="22"/>
        </w:rPr>
        <w:t xml:space="preserve"> </w:t>
      </w:r>
    </w:p>
    <w:p w14:paraId="4EEA5B24" w14:textId="77FB51D8" w:rsidR="00582C1A" w:rsidRPr="00B66E38" w:rsidRDefault="00582C1A" w:rsidP="00582C1A">
      <w:pPr>
        <w:rPr>
          <w:rFonts w:ascii="Times New Roman" w:hAnsi="Times New Roman"/>
          <w:sz w:val="24"/>
          <w:szCs w:val="24"/>
        </w:rPr>
      </w:pPr>
      <w:r w:rsidRPr="00B66E38">
        <w:rPr>
          <w:rFonts w:ascii="Times New Roman" w:hAnsi="Times New Roman"/>
          <w:b/>
          <w:bCs/>
          <w:sz w:val="24"/>
          <w:szCs w:val="24"/>
        </w:rPr>
        <w:t>Antigen-Negative</w:t>
      </w:r>
      <w:r>
        <w:rPr>
          <w:rFonts w:ascii="Times New Roman" w:hAnsi="Times New Roman"/>
          <w:b/>
          <w:bCs/>
          <w:sz w:val="24"/>
          <w:szCs w:val="24"/>
        </w:rPr>
        <w:t xml:space="preserve"> </w:t>
      </w:r>
      <w:r w:rsidRPr="00B66E38">
        <w:rPr>
          <w:rFonts w:ascii="Times New Roman" w:hAnsi="Times New Roman"/>
          <w:b/>
          <w:bCs/>
          <w:sz w:val="24"/>
          <w:szCs w:val="24"/>
        </w:rPr>
        <w:t>Blood Calculation:</w:t>
      </w:r>
      <w:r w:rsidRPr="00B66E38">
        <w:rPr>
          <w:rFonts w:ascii="Times New Roman" w:hAnsi="Times New Roman"/>
          <w:sz w:val="24"/>
          <w:szCs w:val="24"/>
        </w:rPr>
        <w:br/>
      </w:r>
      <w:r w:rsidRPr="00582C1A">
        <w:rPr>
          <w:rFonts w:ascii="Times New Roman" w:hAnsi="Times New Roman"/>
          <w:sz w:val="22"/>
          <w:szCs w:val="22"/>
        </w:rPr>
        <w:t>The formula used:</w:t>
      </w:r>
      <w:r w:rsidRPr="00582C1A">
        <w:rPr>
          <w:rFonts w:ascii="Times New Roman" w:hAnsi="Times New Roman"/>
          <w:sz w:val="22"/>
          <w:szCs w:val="22"/>
        </w:rPr>
        <w:br/>
      </w:r>
      <w:r w:rsidRPr="00B66E38">
        <w:rPr>
          <w:rFonts w:ascii="Times New Roman" w:hAnsi="Times New Roman"/>
          <w:sz w:val="24"/>
          <w:szCs w:val="24"/>
        </w:rPr>
        <w:t xml:space="preserve">                                     N =            X</w:t>
      </w:r>
    </w:p>
    <w:p w14:paraId="0FB76440" w14:textId="7F7FC5E6" w:rsidR="00582C1A" w:rsidRPr="00B66E38" w:rsidRDefault="00300A67" w:rsidP="00582C1A">
      <w:pPr>
        <w:jc w:val="both"/>
        <w:rPr>
          <w:rFonts w:ascii="Times New Roman" w:hAnsi="Times New Roman"/>
          <w:sz w:val="24"/>
          <w:szCs w:val="24"/>
        </w:rPr>
      </w:pPr>
      <w:r>
        <w:rPr>
          <w:noProof/>
        </w:rPr>
        <w:pict w14:anchorId="107AF69F">
          <v:line id="Straight Connector 1" o:spid="_x0000_s1027" style="position:absolute;left:0;text-align:left;z-index:251659264;visibility:visible;mso-wrap-style:square;mso-wrap-distance-left:9pt;mso-wrap-distance-top:0;mso-wrap-distance-right:9pt;mso-wrap-distance-bottom:0;mso-position-horizontal-relative:text;mso-position-vertical-relative:text;mso-width-relative:margin;mso-height-relative:margin" from="143.35pt,.1pt" to="222.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" strokecolor="black [3040]"/>
        </w:pict>
      </w:r>
      <w:r w:rsidR="00582C1A" w:rsidRPr="00B66E38">
        <w:rPr>
          <w:rFonts w:ascii="Times New Roman" w:hAnsi="Times New Roman"/>
          <w:sz w:val="24"/>
          <w:szCs w:val="24"/>
        </w:rPr>
        <w:t xml:space="preserve">                                             {(1-PA1) (1-PA2)}     </w:t>
      </w:r>
    </w:p>
    <w:p w14:paraId="098D9B82" w14:textId="77777777" w:rsidR="00582C1A" w:rsidRPr="00582C1A" w:rsidRDefault="00582C1A" w:rsidP="00582C1A">
      <w:pPr>
        <w:ind w:left="720"/>
        <w:jc w:val="both"/>
        <w:rPr>
          <w:rFonts w:ascii="Times New Roman" w:hAnsi="Times New Roman"/>
          <w:sz w:val="22"/>
          <w:szCs w:val="22"/>
        </w:rPr>
      </w:pPr>
      <w:r w:rsidRPr="00582C1A">
        <w:rPr>
          <w:rFonts w:ascii="Times New Roman" w:hAnsi="Times New Roman"/>
          <w:sz w:val="22"/>
          <w:szCs w:val="22"/>
        </w:rPr>
        <w:t xml:space="preserve">Where </w:t>
      </w:r>
      <w:r w:rsidRPr="00582C1A">
        <w:rPr>
          <w:rFonts w:ascii="Times New Roman" w:hAnsi="Times New Roman"/>
          <w:b/>
          <w:bCs/>
          <w:sz w:val="22"/>
          <w:szCs w:val="22"/>
        </w:rPr>
        <w:t xml:space="preserve">  N</w:t>
      </w:r>
      <w:r w:rsidRPr="00582C1A">
        <w:rPr>
          <w:rFonts w:ascii="Times New Roman" w:hAnsi="Times New Roman"/>
          <w:sz w:val="22"/>
          <w:szCs w:val="22"/>
        </w:rPr>
        <w:t xml:space="preserve"> = Average number of units to be screened </w:t>
      </w:r>
    </w:p>
    <w:p w14:paraId="18937CCE" w14:textId="77777777" w:rsidR="00582C1A" w:rsidRPr="00582C1A" w:rsidRDefault="00582C1A" w:rsidP="00582C1A">
      <w:pPr>
        <w:ind w:left="720"/>
        <w:jc w:val="both"/>
        <w:rPr>
          <w:rFonts w:ascii="Times New Roman" w:hAnsi="Times New Roman"/>
          <w:sz w:val="22"/>
          <w:szCs w:val="22"/>
        </w:rPr>
      </w:pPr>
      <w:r w:rsidRPr="00582C1A">
        <w:rPr>
          <w:rFonts w:ascii="Times New Roman" w:hAnsi="Times New Roman"/>
          <w:b/>
          <w:bCs/>
          <w:sz w:val="22"/>
          <w:szCs w:val="22"/>
        </w:rPr>
        <w:lastRenderedPageBreak/>
        <w:t xml:space="preserve">              X</w:t>
      </w:r>
      <w:r w:rsidRPr="00582C1A">
        <w:rPr>
          <w:rFonts w:ascii="Times New Roman" w:hAnsi="Times New Roman"/>
          <w:sz w:val="22"/>
          <w:szCs w:val="22"/>
        </w:rPr>
        <w:t xml:space="preserve"> = Number of antigen-negative units required</w:t>
      </w:r>
    </w:p>
    <w:p w14:paraId="6D27B59D" w14:textId="77777777" w:rsidR="00582C1A" w:rsidRPr="00582C1A" w:rsidRDefault="00582C1A" w:rsidP="00582C1A">
      <w:pPr>
        <w:ind w:left="720"/>
        <w:jc w:val="both"/>
        <w:rPr>
          <w:rFonts w:ascii="Times New Roman" w:hAnsi="Times New Roman"/>
          <w:sz w:val="22"/>
          <w:szCs w:val="22"/>
        </w:rPr>
      </w:pPr>
      <w:r w:rsidRPr="00582C1A">
        <w:rPr>
          <w:rFonts w:ascii="Times New Roman" w:hAnsi="Times New Roman"/>
          <w:b/>
          <w:bCs/>
          <w:sz w:val="22"/>
          <w:szCs w:val="22"/>
        </w:rPr>
        <w:t xml:space="preserve">              PA1</w:t>
      </w:r>
      <w:r w:rsidRPr="00582C1A">
        <w:rPr>
          <w:rFonts w:ascii="Times New Roman" w:hAnsi="Times New Roman"/>
          <w:sz w:val="22"/>
          <w:szCs w:val="22"/>
        </w:rPr>
        <w:t xml:space="preserve"> = Phenotype prevalence of the first alloantibody antigen</w:t>
      </w:r>
    </w:p>
    <w:p w14:paraId="276F2C84" w14:textId="77777777" w:rsidR="00582C1A" w:rsidRPr="00582C1A" w:rsidRDefault="00582C1A" w:rsidP="00582C1A">
      <w:pPr>
        <w:ind w:left="720"/>
        <w:jc w:val="both"/>
        <w:rPr>
          <w:rFonts w:ascii="Times New Roman" w:hAnsi="Times New Roman"/>
          <w:sz w:val="22"/>
          <w:szCs w:val="22"/>
        </w:rPr>
      </w:pPr>
      <w:r w:rsidRPr="00582C1A">
        <w:rPr>
          <w:rFonts w:ascii="Times New Roman" w:hAnsi="Times New Roman"/>
          <w:b/>
          <w:bCs/>
          <w:sz w:val="22"/>
          <w:szCs w:val="22"/>
        </w:rPr>
        <w:t xml:space="preserve">              PA2</w:t>
      </w:r>
      <w:r w:rsidRPr="00582C1A">
        <w:rPr>
          <w:rFonts w:ascii="Times New Roman" w:hAnsi="Times New Roman"/>
          <w:sz w:val="22"/>
          <w:szCs w:val="22"/>
        </w:rPr>
        <w:t xml:space="preserve"> = Phenotype prevalence of the second alloantibody antigen</w:t>
      </w:r>
    </w:p>
    <w:p w14:paraId="6F0B8DC1" w14:textId="77777777" w:rsidR="00582C1A" w:rsidRPr="00582C1A" w:rsidRDefault="00582C1A" w:rsidP="00582C1A">
      <w:pPr>
        <w:spacing w:before="240"/>
        <w:jc w:val="both"/>
        <w:rPr>
          <w:rFonts w:ascii="Times New Roman" w:hAnsi="Times New Roman"/>
          <w:sz w:val="22"/>
          <w:szCs w:val="22"/>
        </w:rPr>
      </w:pPr>
      <w:r w:rsidRPr="00582C1A">
        <w:rPr>
          <w:rFonts w:ascii="Times New Roman" w:hAnsi="Times New Roman"/>
          <w:sz w:val="22"/>
          <w:szCs w:val="22"/>
        </w:rPr>
        <w:t>The prevalence of c and E were 58.1%, and 19.4% respectively</w:t>
      </w:r>
    </w:p>
    <w:p w14:paraId="294A2218" w14:textId="77777777" w:rsidR="00582C1A" w:rsidRPr="00582C1A" w:rsidRDefault="00582C1A" w:rsidP="00582C1A">
      <w:pPr>
        <w:spacing w:before="240"/>
        <w:jc w:val="both"/>
        <w:rPr>
          <w:rFonts w:ascii="Times New Roman" w:hAnsi="Times New Roman"/>
          <w:sz w:val="22"/>
          <w:szCs w:val="22"/>
        </w:rPr>
      </w:pPr>
      <w:r w:rsidRPr="00582C1A">
        <w:rPr>
          <w:rFonts w:ascii="Times New Roman" w:hAnsi="Times New Roman"/>
          <w:sz w:val="22"/>
          <w:szCs w:val="22"/>
        </w:rPr>
        <w:t>Using that Formula, we got 6 units which are crossmatched and issued 2 units which came to be compatible. There was an increment of 1.2 g/dl after one transfusion</w:t>
      </w:r>
    </w:p>
    <w:p w14:paraId="1C0ACBA9" w14:textId="77777777" w:rsidR="00582C1A" w:rsidRPr="00582C1A" w:rsidRDefault="00582C1A" w:rsidP="00582C1A">
      <w:pPr>
        <w:spacing w:before="240"/>
        <w:jc w:val="both"/>
        <w:rPr>
          <w:rFonts w:ascii="Times New Roman" w:hAnsi="Times New Roman"/>
          <w:sz w:val="22"/>
          <w:szCs w:val="22"/>
        </w:rPr>
      </w:pPr>
    </w:p>
    <w:p w14:paraId="6533DD2C" w14:textId="77777777" w:rsidR="00582C1A" w:rsidRPr="00B66E38" w:rsidRDefault="00582C1A" w:rsidP="00582C1A">
      <w:pPr>
        <w:shd w:val="clear" w:color="auto" w:fill="FFFFFF"/>
        <w:spacing w:before="100" w:beforeAutospacing="1" w:after="100" w:afterAutospacing="1"/>
        <w:jc w:val="both"/>
        <w:outlineLvl w:val="2"/>
        <w:rPr>
          <w:rFonts w:ascii="Times New Roman" w:hAnsi="Times New Roman"/>
          <w:b/>
          <w:bCs/>
          <w:color w:val="222222"/>
          <w:sz w:val="24"/>
          <w:szCs w:val="24"/>
          <w:lang w:eastAsia="en-IN" w:bidi="hi-IN"/>
        </w:rPr>
      </w:pPr>
      <w:r w:rsidRPr="00B66E38">
        <w:rPr>
          <w:rFonts w:ascii="Times New Roman" w:hAnsi="Times New Roman"/>
          <w:b/>
          <w:bCs/>
          <w:color w:val="222222"/>
          <w:sz w:val="24"/>
          <w:szCs w:val="24"/>
          <w:lang w:eastAsia="en-IN" w:bidi="hi-IN"/>
        </w:rPr>
        <w:t>Complications During Labor</w:t>
      </w:r>
    </w:p>
    <w:p w14:paraId="11B8C577" w14:textId="77777777" w:rsidR="00582C1A" w:rsidRDefault="00582C1A" w:rsidP="00582C1A">
      <w:pPr>
        <w:shd w:val="clear" w:color="auto" w:fill="FFFFFF"/>
        <w:spacing w:before="100" w:beforeAutospacing="1" w:after="100" w:afterAutospacing="1"/>
        <w:jc w:val="both"/>
        <w:rPr>
          <w:rFonts w:ascii="Times New Roman" w:hAnsi="Times New Roman"/>
          <w:color w:val="222222"/>
          <w:sz w:val="22"/>
          <w:szCs w:val="22"/>
          <w:lang w:eastAsia="en-IN" w:bidi="hi-IN"/>
        </w:rPr>
      </w:pPr>
      <w:r w:rsidRPr="00582C1A">
        <w:rPr>
          <w:rFonts w:ascii="Times New Roman" w:hAnsi="Times New Roman"/>
          <w:color w:val="222222"/>
          <w:sz w:val="22"/>
          <w:szCs w:val="22"/>
          <w:lang w:eastAsia="en-IN" w:bidi="hi-IN"/>
        </w:rPr>
        <w:t>During Labor, she experienced a further decline in Hb levels, necessitating additional blood transfusions. Blood samples were again sent to the blood bank, revealing:</w:t>
      </w:r>
    </w:p>
    <w:p w14:paraId="3B5B18ED" w14:textId="5B573F64" w:rsidR="00492AB9" w:rsidRPr="00582C1A" w:rsidRDefault="00492AB9" w:rsidP="00582C1A">
      <w:pPr>
        <w:shd w:val="clear" w:color="auto" w:fill="FFFFFF"/>
        <w:spacing w:before="100" w:beforeAutospacing="1" w:after="100" w:afterAutospacing="1"/>
        <w:jc w:val="both"/>
        <w:rPr>
          <w:rFonts w:ascii="Times New Roman" w:hAnsi="Times New Roman"/>
          <w:color w:val="222222"/>
          <w:sz w:val="22"/>
          <w:szCs w:val="22"/>
          <w:lang w:eastAsia="en-IN" w:bidi="hi-IN"/>
        </w:rPr>
      </w:pPr>
      <w:r>
        <w:rPr>
          <w:rFonts w:ascii="Times New Roman" w:hAnsi="Times New Roman"/>
          <w:color w:val="222222"/>
          <w:sz w:val="22"/>
          <w:szCs w:val="22"/>
          <w:lang w:eastAsia="en-IN" w:bidi="hi-IN"/>
        </w:rPr>
        <w:t xml:space="preserve">Table </w:t>
      </w:r>
      <w:proofErr w:type="gramStart"/>
      <w:r>
        <w:rPr>
          <w:rFonts w:ascii="Times New Roman" w:hAnsi="Times New Roman"/>
          <w:color w:val="222222"/>
          <w:sz w:val="22"/>
          <w:szCs w:val="22"/>
          <w:lang w:eastAsia="en-IN" w:bidi="hi-IN"/>
        </w:rPr>
        <w:t>2 :</w:t>
      </w:r>
      <w:proofErr w:type="gramEnd"/>
      <w:r>
        <w:rPr>
          <w:rFonts w:ascii="Times New Roman" w:hAnsi="Times New Roman"/>
          <w:color w:val="222222"/>
          <w:sz w:val="22"/>
          <w:szCs w:val="22"/>
          <w:lang w:eastAsia="en-IN" w:bidi="hi-IN"/>
        </w:rPr>
        <w:t xml:space="preserve"> </w:t>
      </w:r>
      <w:r w:rsidR="00A95A5F" w:rsidRPr="00012111">
        <w:rPr>
          <w:rFonts w:ascii="Times New Roman" w:hAnsi="Times New Roman"/>
          <w:color w:val="222222"/>
          <w:sz w:val="22"/>
          <w:szCs w:val="22"/>
          <w:lang w:eastAsia="en-IN" w:bidi="hi-IN"/>
        </w:rPr>
        <w:t xml:space="preserve">Immunohematology </w:t>
      </w:r>
      <w:r w:rsidR="00436FC2" w:rsidRPr="00012111">
        <w:rPr>
          <w:rFonts w:ascii="Times New Roman" w:hAnsi="Times New Roman"/>
          <w:color w:val="222222"/>
          <w:sz w:val="22"/>
          <w:szCs w:val="22"/>
          <w:lang w:eastAsia="en-IN" w:bidi="hi-IN"/>
        </w:rPr>
        <w:t>test result</w:t>
      </w:r>
      <w:r w:rsidR="00A95A5F" w:rsidRPr="00012111">
        <w:rPr>
          <w:rFonts w:ascii="Times New Roman" w:hAnsi="Times New Roman"/>
          <w:color w:val="222222"/>
          <w:sz w:val="22"/>
          <w:szCs w:val="22"/>
          <w:lang w:eastAsia="en-IN" w:bidi="hi-IN"/>
        </w:rPr>
        <w:t xml:space="preserve"> </w:t>
      </w:r>
      <w:r w:rsidR="0006016A" w:rsidRPr="00012111">
        <w:rPr>
          <w:rFonts w:ascii="Times New Roman" w:hAnsi="Times New Roman"/>
          <w:color w:val="222222"/>
          <w:sz w:val="22"/>
          <w:szCs w:val="22"/>
          <w:lang w:eastAsia="en-IN" w:bidi="hi-IN"/>
        </w:rPr>
        <w:t>during labor</w:t>
      </w:r>
    </w:p>
    <w:tbl>
      <w:tblPr>
        <w:tblStyle w:val="TableGrid"/>
        <w:tblW w:w="0" w:type="auto"/>
        <w:tblInd w:w="945" w:type="dxa"/>
        <w:tblLook w:val="04A0" w:firstRow="1" w:lastRow="0" w:firstColumn="1" w:lastColumn="0" w:noHBand="0" w:noVBand="1"/>
      </w:tblPr>
      <w:tblGrid>
        <w:gridCol w:w="2782"/>
        <w:gridCol w:w="2760"/>
      </w:tblGrid>
      <w:tr w:rsidR="00582C1A" w14:paraId="34FB3697" w14:textId="77777777" w:rsidTr="008C00A3">
        <w:tc>
          <w:tcPr>
            <w:tcW w:w="2782" w:type="dxa"/>
          </w:tcPr>
          <w:p w14:paraId="787C2FF5"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p>
        </w:tc>
        <w:tc>
          <w:tcPr>
            <w:tcW w:w="2760" w:type="dxa"/>
          </w:tcPr>
          <w:p w14:paraId="4F48C004"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r>
              <w:rPr>
                <w:rFonts w:ascii="Times New Roman" w:eastAsia="Times New Roman" w:hAnsi="Times New Roman"/>
                <w:color w:val="222222"/>
                <w:sz w:val="24"/>
                <w:szCs w:val="24"/>
                <w:lang w:eastAsia="en-IN" w:bidi="hi-IN"/>
              </w:rPr>
              <w:t xml:space="preserve"> During labor</w:t>
            </w:r>
          </w:p>
        </w:tc>
      </w:tr>
      <w:tr w:rsidR="00582C1A" w14:paraId="2D91602A" w14:textId="77777777" w:rsidTr="008C00A3">
        <w:tc>
          <w:tcPr>
            <w:tcW w:w="2782" w:type="dxa"/>
          </w:tcPr>
          <w:p w14:paraId="246A103B"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r w:rsidRPr="00944523">
              <w:rPr>
                <w:rFonts w:ascii="Times New Roman" w:eastAsia="Times New Roman" w:hAnsi="Times New Roman"/>
                <w:color w:val="222222"/>
                <w:sz w:val="24"/>
                <w:szCs w:val="24"/>
                <w:lang w:eastAsia="en-IN" w:bidi="hi-IN"/>
              </w:rPr>
              <w:t>Indirect Coombs Test (ICT):</w:t>
            </w:r>
          </w:p>
        </w:tc>
        <w:tc>
          <w:tcPr>
            <w:tcW w:w="2760" w:type="dxa"/>
          </w:tcPr>
          <w:p w14:paraId="13FD64F4" w14:textId="77777777" w:rsidR="00582C1A" w:rsidRPr="00944523" w:rsidRDefault="00582C1A" w:rsidP="008C00A3">
            <w:pPr>
              <w:shd w:val="clear" w:color="auto" w:fill="FFFFFF"/>
              <w:spacing w:before="100" w:beforeAutospacing="1" w:after="100" w:afterAutospacing="1"/>
              <w:jc w:val="both"/>
              <w:rPr>
                <w:rFonts w:ascii="Times New Roman" w:eastAsia="Times New Roman" w:hAnsi="Times New Roman"/>
                <w:color w:val="222222"/>
                <w:sz w:val="24"/>
                <w:szCs w:val="24"/>
                <w:lang w:eastAsia="en-IN" w:bidi="hi-IN"/>
              </w:rPr>
            </w:pPr>
            <w:r w:rsidRPr="00944523">
              <w:rPr>
                <w:rFonts w:ascii="Times New Roman" w:eastAsia="Times New Roman" w:hAnsi="Times New Roman"/>
                <w:color w:val="222222"/>
                <w:sz w:val="24"/>
                <w:szCs w:val="24"/>
                <w:lang w:eastAsia="en-IN" w:bidi="hi-IN"/>
              </w:rPr>
              <w:t>4+</w:t>
            </w:r>
          </w:p>
          <w:p w14:paraId="7B169CFC"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p>
        </w:tc>
      </w:tr>
      <w:tr w:rsidR="00582C1A" w14:paraId="34D7AA11" w14:textId="77777777" w:rsidTr="008C00A3">
        <w:tc>
          <w:tcPr>
            <w:tcW w:w="2782" w:type="dxa"/>
          </w:tcPr>
          <w:p w14:paraId="3D230566"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r w:rsidRPr="00944523">
              <w:rPr>
                <w:rFonts w:ascii="Times New Roman" w:eastAsia="Times New Roman" w:hAnsi="Times New Roman"/>
                <w:color w:val="222222"/>
                <w:sz w:val="24"/>
                <w:szCs w:val="24"/>
                <w:lang w:eastAsia="en-IN" w:bidi="hi-IN"/>
              </w:rPr>
              <w:t>Direct Coombs Test (DCT):</w:t>
            </w:r>
          </w:p>
        </w:tc>
        <w:tc>
          <w:tcPr>
            <w:tcW w:w="2760" w:type="dxa"/>
          </w:tcPr>
          <w:p w14:paraId="0392E13E"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r>
              <w:rPr>
                <w:rFonts w:ascii="Times New Roman" w:eastAsia="Times New Roman" w:hAnsi="Times New Roman"/>
                <w:color w:val="222222"/>
                <w:sz w:val="24"/>
                <w:szCs w:val="24"/>
                <w:lang w:eastAsia="en-IN" w:bidi="hi-IN"/>
              </w:rPr>
              <w:t>2+</w:t>
            </w:r>
          </w:p>
        </w:tc>
      </w:tr>
      <w:tr w:rsidR="00582C1A" w14:paraId="201D14C7" w14:textId="77777777" w:rsidTr="008C00A3">
        <w:tc>
          <w:tcPr>
            <w:tcW w:w="2782" w:type="dxa"/>
          </w:tcPr>
          <w:p w14:paraId="50A41DE6"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r w:rsidRPr="00944523">
              <w:rPr>
                <w:rFonts w:ascii="Times New Roman" w:eastAsia="Times New Roman" w:hAnsi="Times New Roman"/>
                <w:color w:val="222222"/>
                <w:sz w:val="24"/>
                <w:szCs w:val="24"/>
                <w:lang w:eastAsia="en-IN" w:bidi="hi-IN"/>
              </w:rPr>
              <w:t>Autoantibody screen</w:t>
            </w:r>
          </w:p>
        </w:tc>
        <w:tc>
          <w:tcPr>
            <w:tcW w:w="2760" w:type="dxa"/>
          </w:tcPr>
          <w:p w14:paraId="431BE496"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r w:rsidRPr="00944523">
              <w:rPr>
                <w:rFonts w:ascii="Times New Roman" w:eastAsia="Times New Roman" w:hAnsi="Times New Roman"/>
                <w:color w:val="222222"/>
                <w:sz w:val="24"/>
                <w:szCs w:val="24"/>
                <w:lang w:eastAsia="en-IN" w:bidi="hi-IN"/>
              </w:rPr>
              <w:t>2+</w:t>
            </w:r>
          </w:p>
        </w:tc>
      </w:tr>
      <w:tr w:rsidR="00582C1A" w14:paraId="1B82A857" w14:textId="77777777" w:rsidTr="008C00A3">
        <w:tc>
          <w:tcPr>
            <w:tcW w:w="2782" w:type="dxa"/>
          </w:tcPr>
          <w:p w14:paraId="16B2D84F" w14:textId="77777777" w:rsidR="00582C1A" w:rsidRPr="00944523"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r w:rsidRPr="00944523">
              <w:rPr>
                <w:rFonts w:ascii="Times New Roman" w:eastAsia="Times New Roman" w:hAnsi="Times New Roman"/>
                <w:color w:val="222222"/>
                <w:sz w:val="24"/>
                <w:szCs w:val="24"/>
                <w:lang w:eastAsia="en-IN" w:bidi="hi-IN"/>
              </w:rPr>
              <w:t>Antibody identification panel</w:t>
            </w:r>
          </w:p>
        </w:tc>
        <w:tc>
          <w:tcPr>
            <w:tcW w:w="2760" w:type="dxa"/>
          </w:tcPr>
          <w:p w14:paraId="66210326"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r w:rsidRPr="00944523">
              <w:rPr>
                <w:rFonts w:ascii="Times New Roman" w:eastAsia="Times New Roman" w:hAnsi="Times New Roman"/>
                <w:color w:val="222222"/>
                <w:sz w:val="24"/>
                <w:szCs w:val="24"/>
                <w:lang w:eastAsia="en-IN" w:bidi="hi-IN"/>
              </w:rPr>
              <w:t>Pan-reactive (4+)</w:t>
            </w:r>
          </w:p>
        </w:tc>
      </w:tr>
    </w:tbl>
    <w:p w14:paraId="135C50F6" w14:textId="2015F705" w:rsidR="00492AB9" w:rsidRDefault="00E54E55" w:rsidP="00582C1A">
      <w:pPr>
        <w:shd w:val="clear" w:color="auto" w:fill="FFFFFF"/>
        <w:spacing w:before="100" w:beforeAutospacing="1" w:after="100" w:afterAutospacing="1"/>
        <w:jc w:val="both"/>
        <w:rPr>
          <w:rFonts w:ascii="Times New Roman" w:hAnsi="Times New Roman"/>
          <w:noProof/>
          <w:color w:val="222222"/>
          <w:sz w:val="24"/>
          <w:szCs w:val="24"/>
          <w:lang w:eastAsia="en-IN" w:bidi="hi-IN"/>
        </w:rPr>
      </w:pPr>
      <w:proofErr w:type="gramStart"/>
      <w:r>
        <w:rPr>
          <w:rFonts w:ascii="Times New Roman" w:hAnsi="Times New Roman"/>
          <w:color w:val="222222"/>
          <w:sz w:val="24"/>
          <w:szCs w:val="24"/>
          <w:lang w:eastAsia="en-IN" w:bidi="hi-IN"/>
        </w:rPr>
        <w:t xml:space="preserve">Fig </w:t>
      </w:r>
      <w:r w:rsidR="00492AB9">
        <w:rPr>
          <w:rFonts w:ascii="Times New Roman" w:hAnsi="Times New Roman"/>
          <w:color w:val="222222"/>
          <w:sz w:val="24"/>
          <w:szCs w:val="24"/>
          <w:lang w:eastAsia="en-IN" w:bidi="hi-IN"/>
        </w:rPr>
        <w:t xml:space="preserve"> 2</w:t>
      </w:r>
      <w:proofErr w:type="gramEnd"/>
      <w:r w:rsidR="00492AB9">
        <w:rPr>
          <w:rFonts w:ascii="Times New Roman" w:hAnsi="Times New Roman"/>
          <w:color w:val="222222"/>
          <w:sz w:val="24"/>
          <w:szCs w:val="24"/>
          <w:lang w:eastAsia="en-IN" w:bidi="hi-IN"/>
        </w:rPr>
        <w:t xml:space="preserve"> : </w:t>
      </w:r>
      <w:r w:rsidR="00582C1A">
        <w:rPr>
          <w:rFonts w:ascii="Times New Roman" w:hAnsi="Times New Roman"/>
          <w:color w:val="222222"/>
          <w:sz w:val="24"/>
          <w:szCs w:val="24"/>
          <w:lang w:eastAsia="en-IN" w:bidi="hi-IN"/>
        </w:rPr>
        <w:t xml:space="preserve">       </w:t>
      </w:r>
      <w:r w:rsidR="00EF3EEF" w:rsidRPr="00EF3EEF">
        <w:rPr>
          <w:rFonts w:ascii="Times New Roman" w:hAnsi="Times New Roman"/>
          <w:color w:val="222222"/>
          <w:sz w:val="24"/>
          <w:szCs w:val="24"/>
          <w:lang w:eastAsia="en-IN" w:bidi="hi-IN"/>
        </w:rPr>
        <w:t>Immunohematology Test Results Conducted During Labor</w:t>
      </w:r>
    </w:p>
    <w:p w14:paraId="7E80DBC8" w14:textId="411D1285" w:rsidR="00582C1A" w:rsidRPr="00B66E38" w:rsidRDefault="00582C1A" w:rsidP="00582C1A">
      <w:pPr>
        <w:shd w:val="clear" w:color="auto" w:fill="FFFFFF"/>
        <w:spacing w:before="100" w:beforeAutospacing="1" w:after="100" w:afterAutospacing="1"/>
        <w:jc w:val="both"/>
        <w:rPr>
          <w:rFonts w:ascii="Times New Roman" w:hAnsi="Times New Roman"/>
          <w:color w:val="222222"/>
          <w:sz w:val="24"/>
          <w:szCs w:val="24"/>
          <w:lang w:eastAsia="en-IN" w:bidi="hi-IN"/>
        </w:rPr>
      </w:pPr>
      <w:r>
        <w:rPr>
          <w:rFonts w:ascii="Times New Roman" w:hAnsi="Times New Roman"/>
          <w:noProof/>
          <w:color w:val="222222"/>
          <w:sz w:val="24"/>
          <w:szCs w:val="24"/>
        </w:rPr>
        <w:drawing>
          <wp:inline distT="0" distB="0" distL="0" distR="0" wp14:anchorId="03A62B88" wp14:editId="41C209B5">
            <wp:extent cx="3496310" cy="1758950"/>
            <wp:effectExtent l="0" t="0" r="8890" b="0"/>
            <wp:docPr id="7806924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692467" name="Picture 78069246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96310" cy="1758950"/>
                    </a:xfrm>
                    <a:prstGeom prst="rect">
                      <a:avLst/>
                    </a:prstGeom>
                  </pic:spPr>
                </pic:pic>
              </a:graphicData>
            </a:graphic>
          </wp:inline>
        </w:drawing>
      </w:r>
    </w:p>
    <w:p w14:paraId="307C811E" w14:textId="77777777" w:rsidR="00582C1A" w:rsidRPr="00582C1A" w:rsidRDefault="00582C1A" w:rsidP="00582C1A">
      <w:pPr>
        <w:shd w:val="clear" w:color="auto" w:fill="FFFFFF"/>
        <w:spacing w:before="100" w:beforeAutospacing="1" w:after="100" w:afterAutospacing="1"/>
        <w:jc w:val="both"/>
        <w:rPr>
          <w:rFonts w:ascii="Times New Roman" w:hAnsi="Times New Roman"/>
          <w:sz w:val="22"/>
          <w:szCs w:val="22"/>
        </w:rPr>
      </w:pPr>
      <w:r w:rsidRPr="00582C1A">
        <w:rPr>
          <w:rFonts w:ascii="Times New Roman" w:hAnsi="Times New Roman"/>
          <w:sz w:val="22"/>
          <w:szCs w:val="22"/>
        </w:rPr>
        <w:t xml:space="preserve">The patient had a pan-reactive antibody screening panel, prompting auto-adsorption before crossmatching. The patient's RBCs were washed 6 times with normal saline. Then, 200µL of the washed RBCs and 200µL of serum were incubated at 37°C for 45 minutes, allowing auto-adsorption of circulating autoantibodies onto the RBCs. This auto-adsorbed serum was then used for crossmatching. Simultaneously, thermal amplitude and monoclonal/polyclonal </w:t>
      </w:r>
      <w:r w:rsidRPr="00582C1A">
        <w:rPr>
          <w:rFonts w:ascii="Times New Roman" w:hAnsi="Times New Roman"/>
          <w:sz w:val="22"/>
          <w:szCs w:val="22"/>
        </w:rPr>
        <w:lastRenderedPageBreak/>
        <w:t>AHG testing suggested warm autoimmune hemolytic anemia (AIHA) with reactivity at 37°C and the IgG phase.</w:t>
      </w:r>
    </w:p>
    <w:p w14:paraId="3372204F" w14:textId="77777777" w:rsidR="00582C1A" w:rsidRPr="00582C1A" w:rsidRDefault="00582C1A" w:rsidP="00582C1A">
      <w:pPr>
        <w:shd w:val="clear" w:color="auto" w:fill="FFFFFF"/>
        <w:spacing w:before="100" w:beforeAutospacing="1" w:after="100" w:afterAutospacing="1"/>
        <w:jc w:val="both"/>
        <w:rPr>
          <w:rFonts w:ascii="Times New Roman" w:hAnsi="Times New Roman"/>
          <w:color w:val="222222"/>
          <w:sz w:val="22"/>
          <w:szCs w:val="22"/>
          <w:lang w:eastAsia="en-IN" w:bidi="hi-IN"/>
        </w:rPr>
      </w:pPr>
      <w:r w:rsidRPr="00582C1A">
        <w:rPr>
          <w:rFonts w:ascii="Times New Roman" w:hAnsi="Times New Roman"/>
          <w:color w:val="222222"/>
          <w:sz w:val="22"/>
          <w:szCs w:val="22"/>
          <w:lang w:eastAsia="en-IN" w:bidi="hi-IN"/>
        </w:rPr>
        <w:t>Crossmatching of 24 units yielded no compatible units. Hence, the best-matched units were issued, considering selecting units with reactions less than those of the autoantibody. Despite transfusing 4 units of PRBCs, her Hb levels did not improve.</w:t>
      </w:r>
    </w:p>
    <w:p w14:paraId="09ABEFE3" w14:textId="77777777" w:rsidR="00582C1A" w:rsidRPr="00B66E38" w:rsidRDefault="00582C1A" w:rsidP="00582C1A">
      <w:pPr>
        <w:shd w:val="clear" w:color="auto" w:fill="FFFFFF"/>
        <w:spacing w:before="100" w:beforeAutospacing="1" w:after="100" w:afterAutospacing="1"/>
        <w:jc w:val="both"/>
        <w:outlineLvl w:val="2"/>
        <w:rPr>
          <w:rFonts w:ascii="Times New Roman" w:hAnsi="Times New Roman"/>
          <w:b/>
          <w:bCs/>
          <w:color w:val="222222"/>
          <w:sz w:val="24"/>
          <w:szCs w:val="24"/>
          <w:lang w:eastAsia="en-IN" w:bidi="hi-IN"/>
        </w:rPr>
      </w:pPr>
      <w:r w:rsidRPr="00B66E38">
        <w:rPr>
          <w:rFonts w:ascii="Times New Roman" w:hAnsi="Times New Roman"/>
          <w:b/>
          <w:bCs/>
          <w:color w:val="222222"/>
          <w:sz w:val="24"/>
          <w:szCs w:val="24"/>
          <w:lang w:eastAsia="en-IN" w:bidi="hi-IN"/>
        </w:rPr>
        <w:t>Advanced Interventions</w:t>
      </w:r>
    </w:p>
    <w:p w14:paraId="02769AD5" w14:textId="5F230CDD" w:rsidR="00790ADA" w:rsidRPr="00582C1A" w:rsidRDefault="00582C1A" w:rsidP="00582C1A">
      <w:pPr>
        <w:shd w:val="clear" w:color="auto" w:fill="FFFFFF"/>
        <w:spacing w:before="100" w:beforeAutospacing="1" w:after="100" w:afterAutospacing="1"/>
        <w:jc w:val="both"/>
        <w:rPr>
          <w:rFonts w:ascii="Times New Roman" w:hAnsi="Times New Roman"/>
          <w:color w:val="222222"/>
          <w:sz w:val="22"/>
          <w:szCs w:val="22"/>
          <w:lang w:eastAsia="en-IN" w:bidi="hi-IN"/>
        </w:rPr>
      </w:pPr>
      <w:r w:rsidRPr="00582C1A">
        <w:rPr>
          <w:rFonts w:ascii="Times New Roman" w:hAnsi="Times New Roman"/>
          <w:color w:val="222222"/>
          <w:sz w:val="22"/>
          <w:szCs w:val="22"/>
          <w:lang w:eastAsia="en-IN" w:bidi="hi-IN"/>
        </w:rPr>
        <w:t>Given the lack of response to transfusions and increased creatinine levels, the patient underwent 5 cycles of plasma exchange and hemodialysis. Following these interventions, her Hb levels stabilized, and she responded to further blood transfusions</w:t>
      </w:r>
      <w:r>
        <w:rPr>
          <w:rFonts w:ascii="Times New Roman" w:hAnsi="Times New Roman"/>
          <w:color w:val="222222"/>
          <w:sz w:val="22"/>
          <w:szCs w:val="22"/>
          <w:lang w:eastAsia="en-IN" w:bidi="hi-IN"/>
        </w:rPr>
        <w:t>.</w:t>
      </w:r>
    </w:p>
    <w:p w14:paraId="1B1E9B0C" w14:textId="5B67F25C"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002EE1A6" w14:textId="77777777" w:rsidR="00790ADA" w:rsidRPr="00FB3A86" w:rsidRDefault="00790ADA" w:rsidP="00441B6F">
      <w:pPr>
        <w:pStyle w:val="Head1"/>
        <w:spacing w:after="0"/>
        <w:jc w:val="both"/>
        <w:rPr>
          <w:rFonts w:ascii="Arial" w:hAnsi="Arial" w:cs="Arial"/>
        </w:rPr>
      </w:pPr>
    </w:p>
    <w:p w14:paraId="7F1976CF" w14:textId="77777777" w:rsidR="00D11DC3" w:rsidRPr="00B66E38" w:rsidRDefault="00D11DC3" w:rsidP="00D11DC3">
      <w:pPr>
        <w:jc w:val="both"/>
        <w:rPr>
          <w:rFonts w:ascii="Times New Roman" w:hAnsi="Times New Roman"/>
          <w:sz w:val="24"/>
          <w:szCs w:val="24"/>
        </w:rPr>
      </w:pPr>
      <w:r>
        <w:rPr>
          <w:rFonts w:ascii="Times New Roman" w:hAnsi="Times New Roman"/>
          <w:sz w:val="24"/>
          <w:szCs w:val="24"/>
        </w:rPr>
        <w:t xml:space="preserve">                </w:t>
      </w:r>
      <w:r w:rsidRPr="00B66E38">
        <w:rPr>
          <w:rFonts w:ascii="Times New Roman" w:hAnsi="Times New Roman"/>
          <w:sz w:val="24"/>
          <w:szCs w:val="24"/>
        </w:rPr>
        <w:t>Autoimmune hemolytic anemia (AIHA) is characterized by the destruction of red blood cells (RBCs) due to autoantibodies, complement activation, and the involvement of activated immune cells, including macrophages and T lymphocytes. The immune system's components, such as autoantibodies, cytokines, complement, phagocytes, and lymphocytes, play significant roles in AIHA pathogenesis. (2)</w:t>
      </w:r>
    </w:p>
    <w:p w14:paraId="0EEFE055" w14:textId="715ACDB0" w:rsidR="00D11DC3" w:rsidRPr="00B66E38" w:rsidRDefault="00D11DC3" w:rsidP="00D11DC3">
      <w:pPr>
        <w:jc w:val="both"/>
        <w:rPr>
          <w:rFonts w:ascii="Times New Roman" w:hAnsi="Times New Roman"/>
          <w:sz w:val="24"/>
          <w:szCs w:val="24"/>
        </w:rPr>
      </w:pPr>
      <w:r w:rsidRPr="00B66E38">
        <w:rPr>
          <w:rFonts w:ascii="Times New Roman" w:hAnsi="Times New Roman"/>
          <w:sz w:val="24"/>
          <w:szCs w:val="24"/>
        </w:rPr>
        <w:t>AIHA can be classified into several serological types: warm autoimmune hemolytic anemia (</w:t>
      </w:r>
      <w:proofErr w:type="spellStart"/>
      <w:r w:rsidRPr="00B66E38">
        <w:rPr>
          <w:rFonts w:ascii="Times New Roman" w:hAnsi="Times New Roman"/>
          <w:sz w:val="24"/>
          <w:szCs w:val="24"/>
        </w:rPr>
        <w:t>wAIHA</w:t>
      </w:r>
      <w:proofErr w:type="spellEnd"/>
      <w:r w:rsidRPr="00B66E38">
        <w:rPr>
          <w:rFonts w:ascii="Times New Roman" w:hAnsi="Times New Roman"/>
          <w:sz w:val="24"/>
          <w:szCs w:val="24"/>
        </w:rPr>
        <w:t xml:space="preserve">), cold agglutinin disease (CAD), </w:t>
      </w:r>
      <w:r>
        <w:rPr>
          <w:rFonts w:ascii="Times New Roman" w:hAnsi="Times New Roman"/>
          <w:sz w:val="24"/>
          <w:szCs w:val="24"/>
        </w:rPr>
        <w:t>mixed-type</w:t>
      </w:r>
      <w:r w:rsidRPr="00B66E38">
        <w:rPr>
          <w:rFonts w:ascii="Times New Roman" w:hAnsi="Times New Roman"/>
          <w:sz w:val="24"/>
          <w:szCs w:val="24"/>
        </w:rPr>
        <w:t xml:space="preserve"> AIHA, and paroxysmal cold hemoglobinuria (PCH).</w:t>
      </w:r>
      <w:r>
        <w:rPr>
          <w:rFonts w:ascii="Times New Roman" w:hAnsi="Times New Roman"/>
          <w:sz w:val="24"/>
          <w:szCs w:val="24"/>
        </w:rPr>
        <w:t xml:space="preserve"> </w:t>
      </w:r>
      <w:r w:rsidRPr="00B66E38">
        <w:rPr>
          <w:rFonts w:ascii="Times New Roman" w:hAnsi="Times New Roman"/>
          <w:sz w:val="24"/>
          <w:szCs w:val="24"/>
        </w:rPr>
        <w:t xml:space="preserve">(2) </w:t>
      </w:r>
      <w:proofErr w:type="spellStart"/>
      <w:r w:rsidRPr="00B66E38">
        <w:rPr>
          <w:rFonts w:ascii="Times New Roman" w:hAnsi="Times New Roman"/>
          <w:sz w:val="24"/>
          <w:szCs w:val="24"/>
        </w:rPr>
        <w:t>wAIHA</w:t>
      </w:r>
      <w:proofErr w:type="spellEnd"/>
      <w:r w:rsidRPr="00B66E38">
        <w:rPr>
          <w:rFonts w:ascii="Times New Roman" w:hAnsi="Times New Roman"/>
          <w:sz w:val="24"/>
          <w:szCs w:val="24"/>
        </w:rPr>
        <w:t xml:space="preserve"> accounts for approximately 75% of cases, involving IgG antibodies that bind to RBCs at 37°C, while CAD comprises about 15% of cases with IgM antibodies binding at lower temperatures.</w:t>
      </w:r>
      <w:r>
        <w:rPr>
          <w:rFonts w:ascii="Times New Roman" w:hAnsi="Times New Roman"/>
          <w:sz w:val="24"/>
          <w:szCs w:val="24"/>
        </w:rPr>
        <w:t xml:space="preserve"> </w:t>
      </w:r>
      <w:r w:rsidRPr="00B66E38">
        <w:rPr>
          <w:rFonts w:ascii="Times New Roman" w:hAnsi="Times New Roman"/>
          <w:sz w:val="24"/>
          <w:szCs w:val="24"/>
        </w:rPr>
        <w:t xml:space="preserve">(4,5) Diagnosis primarily </w:t>
      </w:r>
      <w:r>
        <w:rPr>
          <w:rFonts w:ascii="Times New Roman" w:hAnsi="Times New Roman"/>
          <w:sz w:val="24"/>
          <w:szCs w:val="24"/>
        </w:rPr>
        <w:t xml:space="preserve">based on positive </w:t>
      </w:r>
      <w:r w:rsidRPr="00B66E38">
        <w:rPr>
          <w:rFonts w:ascii="Times New Roman" w:hAnsi="Times New Roman"/>
          <w:sz w:val="24"/>
          <w:szCs w:val="24"/>
        </w:rPr>
        <w:t xml:space="preserve">direct antiglobulin tests (DATs) </w:t>
      </w:r>
      <w:r>
        <w:rPr>
          <w:rFonts w:ascii="Times New Roman" w:hAnsi="Times New Roman"/>
          <w:sz w:val="24"/>
          <w:szCs w:val="24"/>
        </w:rPr>
        <w:t xml:space="preserve">and auto control </w:t>
      </w:r>
      <w:r w:rsidRPr="00B66E38">
        <w:rPr>
          <w:rFonts w:ascii="Times New Roman" w:hAnsi="Times New Roman"/>
          <w:sz w:val="24"/>
          <w:szCs w:val="24"/>
        </w:rPr>
        <w:t>to detect anti-RBC antibodies.</w:t>
      </w:r>
      <w:r>
        <w:rPr>
          <w:rFonts w:ascii="Times New Roman" w:hAnsi="Times New Roman"/>
          <w:sz w:val="24"/>
          <w:szCs w:val="24"/>
        </w:rPr>
        <w:t xml:space="preserve"> </w:t>
      </w:r>
      <w:r w:rsidRPr="00B66E38">
        <w:rPr>
          <w:rFonts w:ascii="Times New Roman" w:hAnsi="Times New Roman"/>
          <w:sz w:val="24"/>
          <w:szCs w:val="24"/>
        </w:rPr>
        <w:t>(1</w:t>
      </w:r>
      <w:r w:rsidR="00D045A7">
        <w:rPr>
          <w:rFonts w:ascii="Times New Roman" w:hAnsi="Times New Roman"/>
          <w:sz w:val="24"/>
          <w:szCs w:val="24"/>
        </w:rPr>
        <w:t>4</w:t>
      </w:r>
      <w:r w:rsidRPr="00B66E38">
        <w:rPr>
          <w:rFonts w:ascii="Times New Roman" w:hAnsi="Times New Roman"/>
          <w:sz w:val="24"/>
          <w:szCs w:val="24"/>
        </w:rPr>
        <w:t>)</w:t>
      </w:r>
    </w:p>
    <w:p w14:paraId="237DDD8B" w14:textId="77777777" w:rsidR="00D11DC3" w:rsidRPr="00B66E38" w:rsidRDefault="00D11DC3" w:rsidP="00D11DC3">
      <w:pPr>
        <w:jc w:val="both"/>
        <w:rPr>
          <w:rFonts w:ascii="Times New Roman" w:hAnsi="Times New Roman"/>
          <w:sz w:val="24"/>
          <w:szCs w:val="24"/>
        </w:rPr>
      </w:pPr>
      <w:r w:rsidRPr="00B66E38">
        <w:rPr>
          <w:rFonts w:ascii="Times New Roman" w:hAnsi="Times New Roman"/>
          <w:sz w:val="24"/>
          <w:szCs w:val="24"/>
        </w:rPr>
        <w:t>Clinically, AIHA is often indicated by symptoms like jaundice and hepatosplenomegaly, with laboratory findings including increased reticulocyte counts, spherocytes, and positive DATs confirming the presence of immunoglobulins and/or complement on erythrocytes. (3)</w:t>
      </w:r>
    </w:p>
    <w:p w14:paraId="2EA8EDF8" w14:textId="639EBC4D" w:rsidR="00D11DC3" w:rsidRPr="00B66E38" w:rsidRDefault="00D11DC3" w:rsidP="00D11DC3">
      <w:pPr>
        <w:jc w:val="both"/>
        <w:rPr>
          <w:rFonts w:ascii="Times New Roman" w:hAnsi="Times New Roman"/>
          <w:sz w:val="24"/>
          <w:szCs w:val="24"/>
        </w:rPr>
      </w:pPr>
      <w:r>
        <w:rPr>
          <w:rFonts w:ascii="Times New Roman" w:hAnsi="Times New Roman"/>
          <w:sz w:val="24"/>
          <w:szCs w:val="24"/>
        </w:rPr>
        <w:t xml:space="preserve">             </w:t>
      </w:r>
      <w:r w:rsidRPr="00B66E38">
        <w:rPr>
          <w:rFonts w:ascii="Times New Roman" w:hAnsi="Times New Roman"/>
          <w:sz w:val="24"/>
          <w:szCs w:val="24"/>
        </w:rPr>
        <w:t xml:space="preserve">Sickle cell hemoglobinopathies are inherited disorders caused by a mutation in the β-globin gene, resulting in the substitution of valine for glutamic acid. This group includes sickle cell trait, a heterozygous condition that is </w:t>
      </w:r>
      <w:proofErr w:type="gramStart"/>
      <w:r w:rsidRPr="00B66E38">
        <w:rPr>
          <w:rFonts w:ascii="Times New Roman" w:hAnsi="Times New Roman"/>
          <w:sz w:val="24"/>
          <w:szCs w:val="24"/>
        </w:rPr>
        <w:t xml:space="preserve">generally </w:t>
      </w:r>
      <w:r>
        <w:rPr>
          <w:rFonts w:ascii="Times New Roman" w:hAnsi="Times New Roman"/>
          <w:sz w:val="24"/>
          <w:szCs w:val="24"/>
        </w:rPr>
        <w:t>,</w:t>
      </w:r>
      <w:proofErr w:type="gramEnd"/>
      <w:r w:rsidRPr="00B66E38">
        <w:rPr>
          <w:rFonts w:ascii="Times New Roman" w:hAnsi="Times New Roman"/>
          <w:sz w:val="24"/>
          <w:szCs w:val="24"/>
        </w:rPr>
        <w:t xml:space="preserve"> sickle cell-β-thalassemia, which combines features of both sickle cell disease and β-thalassemia, resulting in abnormal hemoglobin production and reduced β-globin synthesis This leads to severe anemia, fatigue, jaundice, vascular dysfunction, inflammation, oxidative stress, and hypercoagulability, with high levels of reactive oxygen species (ROS) contributing to membrane and protein damage (</w:t>
      </w:r>
      <w:r w:rsidR="00D045A7">
        <w:rPr>
          <w:rFonts w:ascii="Times New Roman" w:hAnsi="Times New Roman"/>
          <w:sz w:val="24"/>
          <w:szCs w:val="24"/>
        </w:rPr>
        <w:t>10,</w:t>
      </w:r>
      <w:r w:rsidRPr="00B66E38">
        <w:rPr>
          <w:rFonts w:ascii="Times New Roman" w:hAnsi="Times New Roman"/>
          <w:sz w:val="24"/>
          <w:szCs w:val="24"/>
        </w:rPr>
        <w:t>1</w:t>
      </w:r>
      <w:r w:rsidR="00D045A7">
        <w:rPr>
          <w:rFonts w:ascii="Times New Roman" w:hAnsi="Times New Roman"/>
          <w:sz w:val="24"/>
          <w:szCs w:val="24"/>
        </w:rPr>
        <w:t>1</w:t>
      </w:r>
      <w:r w:rsidRPr="00B66E38">
        <w:rPr>
          <w:rFonts w:ascii="Times New Roman" w:hAnsi="Times New Roman"/>
          <w:sz w:val="24"/>
          <w:szCs w:val="24"/>
        </w:rPr>
        <w:t xml:space="preserve">). The prevalence rates </w:t>
      </w:r>
      <w:proofErr w:type="gramStart"/>
      <w:r>
        <w:rPr>
          <w:rFonts w:ascii="Times New Roman" w:hAnsi="Times New Roman"/>
          <w:sz w:val="24"/>
          <w:szCs w:val="24"/>
        </w:rPr>
        <w:t xml:space="preserve">is </w:t>
      </w:r>
      <w:r w:rsidRPr="00B66E38">
        <w:rPr>
          <w:rFonts w:ascii="Times New Roman" w:hAnsi="Times New Roman"/>
          <w:sz w:val="24"/>
          <w:szCs w:val="24"/>
        </w:rPr>
        <w:t xml:space="preserve"> 0.47</w:t>
      </w:r>
      <w:proofErr w:type="gramEnd"/>
      <w:r w:rsidRPr="00B66E38">
        <w:rPr>
          <w:rFonts w:ascii="Times New Roman" w:hAnsi="Times New Roman"/>
          <w:sz w:val="24"/>
          <w:szCs w:val="24"/>
        </w:rPr>
        <w:t>% for sickle cell-β-thalassemia, with crises triggered by factors like low oxygen, cold, or illness. (7,9)</w:t>
      </w:r>
    </w:p>
    <w:p w14:paraId="21BE2015" w14:textId="3DC0DA44" w:rsidR="00D11DC3" w:rsidRPr="00B66E38" w:rsidRDefault="00D11DC3" w:rsidP="00D11DC3">
      <w:pPr>
        <w:jc w:val="both"/>
        <w:rPr>
          <w:rFonts w:ascii="Times New Roman" w:hAnsi="Times New Roman"/>
          <w:sz w:val="24"/>
          <w:szCs w:val="24"/>
        </w:rPr>
      </w:pPr>
      <w:r>
        <w:rPr>
          <w:rFonts w:ascii="Times New Roman" w:hAnsi="Times New Roman"/>
          <w:sz w:val="24"/>
          <w:szCs w:val="24"/>
        </w:rPr>
        <w:t xml:space="preserve">            </w:t>
      </w:r>
      <w:r w:rsidRPr="00B66E38">
        <w:rPr>
          <w:rFonts w:ascii="Times New Roman" w:hAnsi="Times New Roman"/>
          <w:sz w:val="24"/>
          <w:szCs w:val="24"/>
        </w:rPr>
        <w:t xml:space="preserve">Pregnancy allows the </w:t>
      </w:r>
      <w:r>
        <w:rPr>
          <w:rFonts w:ascii="Times New Roman" w:hAnsi="Times New Roman"/>
          <w:sz w:val="24"/>
          <w:szCs w:val="24"/>
        </w:rPr>
        <w:t>fetus</w:t>
      </w:r>
      <w:r w:rsidRPr="00B66E38">
        <w:rPr>
          <w:rFonts w:ascii="Times New Roman" w:hAnsi="Times New Roman"/>
          <w:sz w:val="24"/>
          <w:szCs w:val="24"/>
        </w:rPr>
        <w:t xml:space="preserve"> to develop without immune rejection, resembling an allograft. T helper cells, particularly Th2, promote immune tolerance, while Th1 and Th17 cells can trigger rejection. Successful pregnancies see Th2 cells producing IL-4 and IL-10, suppressing Th1 and Th17 responses, alleviating autoimmune </w:t>
      </w:r>
      <w:r w:rsidRPr="00B66E38">
        <w:rPr>
          <w:rFonts w:ascii="Times New Roman" w:hAnsi="Times New Roman"/>
          <w:sz w:val="24"/>
          <w:szCs w:val="24"/>
        </w:rPr>
        <w:lastRenderedPageBreak/>
        <w:t>symptoms. After childbirth, decreased Th2 cytokines can lead to increased Th1 and Th17 activity, potentially worsening autoimmune conditions that were stable during pregnancy. (</w:t>
      </w:r>
      <w:r w:rsidR="00CC3E29">
        <w:rPr>
          <w:rFonts w:ascii="Times New Roman" w:hAnsi="Times New Roman"/>
          <w:sz w:val="24"/>
          <w:szCs w:val="24"/>
        </w:rPr>
        <w:t>2</w:t>
      </w:r>
      <w:r w:rsidRPr="00B66E38">
        <w:rPr>
          <w:rFonts w:ascii="Times New Roman" w:hAnsi="Times New Roman"/>
          <w:sz w:val="24"/>
          <w:szCs w:val="24"/>
        </w:rPr>
        <w:t>)</w:t>
      </w:r>
    </w:p>
    <w:p w14:paraId="15E18911" w14:textId="0235B933" w:rsidR="00D11DC3" w:rsidRPr="00B66E38" w:rsidRDefault="00D11DC3" w:rsidP="00D11DC3">
      <w:pPr>
        <w:jc w:val="both"/>
        <w:rPr>
          <w:rFonts w:ascii="Times New Roman" w:hAnsi="Times New Roman"/>
          <w:sz w:val="24"/>
          <w:szCs w:val="24"/>
        </w:rPr>
      </w:pPr>
      <w:r w:rsidRPr="00B66E38">
        <w:rPr>
          <w:rFonts w:ascii="Times New Roman" w:hAnsi="Times New Roman"/>
          <w:sz w:val="24"/>
          <w:szCs w:val="24"/>
        </w:rPr>
        <w:t>Thus, the modulation of immune responses during pregnancy and the postpartum period can have complex effects on autoimmune diseases, potentially offering temporary relief during pregnancy but leading to challenges in the postpartum phase.</w:t>
      </w:r>
      <w:r>
        <w:rPr>
          <w:rFonts w:ascii="Times New Roman" w:hAnsi="Times New Roman"/>
          <w:sz w:val="24"/>
          <w:szCs w:val="24"/>
        </w:rPr>
        <w:t xml:space="preserve"> </w:t>
      </w:r>
      <w:r w:rsidRPr="00B66E38">
        <w:rPr>
          <w:rFonts w:ascii="Times New Roman" w:hAnsi="Times New Roman"/>
          <w:sz w:val="24"/>
          <w:szCs w:val="24"/>
        </w:rPr>
        <w:t>(</w:t>
      </w:r>
      <w:r w:rsidR="00CC3E29">
        <w:rPr>
          <w:rFonts w:ascii="Times New Roman" w:hAnsi="Times New Roman"/>
          <w:sz w:val="24"/>
          <w:szCs w:val="24"/>
        </w:rPr>
        <w:t>2</w:t>
      </w:r>
      <w:r w:rsidRPr="00B66E38">
        <w:rPr>
          <w:rFonts w:ascii="Times New Roman" w:hAnsi="Times New Roman"/>
          <w:sz w:val="24"/>
          <w:szCs w:val="24"/>
        </w:rPr>
        <w:t>)</w:t>
      </w:r>
    </w:p>
    <w:p w14:paraId="085416F0" w14:textId="77777777" w:rsidR="00D11DC3" w:rsidRPr="00B66E38" w:rsidRDefault="00D11DC3" w:rsidP="00D11DC3">
      <w:pPr>
        <w:jc w:val="both"/>
        <w:rPr>
          <w:rFonts w:ascii="Times New Roman" w:hAnsi="Times New Roman"/>
          <w:sz w:val="24"/>
          <w:szCs w:val="24"/>
        </w:rPr>
      </w:pPr>
      <w:r w:rsidRPr="00B66E38">
        <w:rPr>
          <w:rFonts w:ascii="Times New Roman" w:hAnsi="Times New Roman"/>
          <w:sz w:val="24"/>
          <w:szCs w:val="24"/>
        </w:rPr>
        <w:t xml:space="preserve">Pregnancy presents unique challenges for women with sickle cell disease (SCD) due to physiological adaptations that exacerbate SCD complications. These include cardiovascular changes, increased oxygen consumption, and alterations in plasma volume. These changes can lead to exacerbated anemia, cardiovascular stress, and complications such as </w:t>
      </w:r>
      <w:proofErr w:type="spellStart"/>
      <w:r w:rsidRPr="00B66E38">
        <w:rPr>
          <w:rFonts w:ascii="Times New Roman" w:hAnsi="Times New Roman"/>
          <w:sz w:val="24"/>
          <w:szCs w:val="24"/>
        </w:rPr>
        <w:t>vaso</w:t>
      </w:r>
      <w:proofErr w:type="spellEnd"/>
      <w:r w:rsidRPr="00B66E38">
        <w:rPr>
          <w:rFonts w:ascii="Times New Roman" w:hAnsi="Times New Roman"/>
          <w:sz w:val="24"/>
          <w:szCs w:val="24"/>
        </w:rPr>
        <w:t>-occlusive crises. Pregnancy can also affect the placental circulation due to red cell sickling, endothelial damage, and chronic inflammation. (5,8)</w:t>
      </w:r>
    </w:p>
    <w:p w14:paraId="1D00ACC9" w14:textId="431E2C97" w:rsidR="00D11DC3" w:rsidRPr="00B66E38" w:rsidRDefault="00D11DC3" w:rsidP="00D11DC3">
      <w:pPr>
        <w:jc w:val="both"/>
        <w:rPr>
          <w:rFonts w:ascii="Times New Roman" w:hAnsi="Times New Roman"/>
          <w:sz w:val="24"/>
          <w:szCs w:val="24"/>
        </w:rPr>
      </w:pPr>
      <w:r>
        <w:rPr>
          <w:rFonts w:ascii="Times New Roman" w:hAnsi="Times New Roman"/>
          <w:sz w:val="24"/>
          <w:szCs w:val="24"/>
        </w:rPr>
        <w:t xml:space="preserve">            </w:t>
      </w:r>
      <w:r w:rsidRPr="00B66E38">
        <w:rPr>
          <w:rFonts w:ascii="Times New Roman" w:hAnsi="Times New Roman"/>
          <w:sz w:val="24"/>
          <w:szCs w:val="24"/>
        </w:rPr>
        <w:t>In AIHA, immune dysregulation, environmental triggers, and oxidative stress play pivotal roles. Autoreactive T and B cells are central to its pathogenesis. Elevated levels of Th17 cells, which promote inflammation, are observed in AIHA patients and correlate with disease activity. Imbalances between Th17 cells and Tregs, influenced by cytokine gene polymorphisms, are crucial. T follicular helper (</w:t>
      </w:r>
      <w:proofErr w:type="spellStart"/>
      <w:r w:rsidRPr="00B66E38">
        <w:rPr>
          <w:rFonts w:ascii="Times New Roman" w:hAnsi="Times New Roman"/>
          <w:sz w:val="24"/>
          <w:szCs w:val="24"/>
        </w:rPr>
        <w:t>Tfh</w:t>
      </w:r>
      <w:proofErr w:type="spellEnd"/>
      <w:r w:rsidRPr="00B66E38">
        <w:rPr>
          <w:rFonts w:ascii="Times New Roman" w:hAnsi="Times New Roman"/>
          <w:sz w:val="24"/>
          <w:szCs w:val="24"/>
        </w:rPr>
        <w:t>) cells and T follicular regulatory (</w:t>
      </w:r>
      <w:proofErr w:type="spellStart"/>
      <w:r w:rsidRPr="00B66E38">
        <w:rPr>
          <w:rFonts w:ascii="Times New Roman" w:hAnsi="Times New Roman"/>
          <w:sz w:val="24"/>
          <w:szCs w:val="24"/>
        </w:rPr>
        <w:t>Tfr</w:t>
      </w:r>
      <w:proofErr w:type="spellEnd"/>
      <w:r w:rsidRPr="00B66E38">
        <w:rPr>
          <w:rFonts w:ascii="Times New Roman" w:hAnsi="Times New Roman"/>
          <w:sz w:val="24"/>
          <w:szCs w:val="24"/>
        </w:rPr>
        <w:t>) cells play key roles in B cell differentiation and antibody regulation in autoimmune hemolytic anemia (AIHA). Environmental factors, such as infections and oxidative stress, further contribute to AIHA. Pregnancy can trigger AIHA, highlighting the complex interplay between hormonal changes and immune responses, which occurred in the above case.</w:t>
      </w:r>
      <w:r>
        <w:rPr>
          <w:rFonts w:ascii="Times New Roman" w:hAnsi="Times New Roman"/>
          <w:sz w:val="24"/>
          <w:szCs w:val="24"/>
        </w:rPr>
        <w:t xml:space="preserve"> </w:t>
      </w:r>
      <w:r w:rsidRPr="00B66E38">
        <w:rPr>
          <w:rFonts w:ascii="Times New Roman" w:hAnsi="Times New Roman"/>
          <w:sz w:val="24"/>
          <w:szCs w:val="24"/>
        </w:rPr>
        <w:t>(</w:t>
      </w:r>
      <w:r w:rsidR="00D045A7">
        <w:rPr>
          <w:rFonts w:ascii="Times New Roman" w:hAnsi="Times New Roman"/>
          <w:sz w:val="24"/>
          <w:szCs w:val="24"/>
        </w:rPr>
        <w:t>3,12</w:t>
      </w:r>
      <w:r w:rsidRPr="00B66E38">
        <w:rPr>
          <w:rFonts w:ascii="Times New Roman" w:hAnsi="Times New Roman"/>
          <w:sz w:val="24"/>
          <w:szCs w:val="24"/>
        </w:rPr>
        <w:t>)</w:t>
      </w:r>
    </w:p>
    <w:p w14:paraId="3DF16C51" w14:textId="5D1ABA23" w:rsidR="00D11DC3" w:rsidRPr="00B66E38" w:rsidRDefault="00D11DC3" w:rsidP="00D11DC3">
      <w:pPr>
        <w:jc w:val="both"/>
        <w:rPr>
          <w:rFonts w:ascii="Times New Roman" w:hAnsi="Times New Roman"/>
          <w:sz w:val="24"/>
          <w:szCs w:val="24"/>
        </w:rPr>
      </w:pPr>
      <w:r w:rsidRPr="00B66E38">
        <w:rPr>
          <w:rFonts w:ascii="Times New Roman" w:hAnsi="Times New Roman"/>
          <w:sz w:val="24"/>
          <w:szCs w:val="24"/>
        </w:rPr>
        <w:t xml:space="preserve">   </w:t>
      </w:r>
      <w:r>
        <w:rPr>
          <w:rFonts w:ascii="Times New Roman" w:hAnsi="Times New Roman"/>
          <w:sz w:val="24"/>
          <w:szCs w:val="24"/>
        </w:rPr>
        <w:t xml:space="preserve">       </w:t>
      </w:r>
      <w:r w:rsidRPr="00E559AB">
        <w:rPr>
          <w:rFonts w:ascii="Times New Roman" w:hAnsi="Times New Roman"/>
          <w:sz w:val="24"/>
          <w:szCs w:val="24"/>
        </w:rPr>
        <w:t xml:space="preserve">Oxidative stress and free radicals link sickle cell anemia (SCA) to autoimmune hemolytic anemia (AIHA), especially during pregnancy and postpartum. SCA generates reactive oxygen species (ROS), exacerbating inflammation and RBC damage. Hormonal changes during pregnancy activate autoreactive T and B cells, increasing AIHA risk. </w:t>
      </w:r>
      <w:r w:rsidRPr="00B66E38">
        <w:rPr>
          <w:rFonts w:ascii="Times New Roman" w:hAnsi="Times New Roman"/>
          <w:sz w:val="24"/>
          <w:szCs w:val="24"/>
        </w:rPr>
        <w:t xml:space="preserve">In </w:t>
      </w:r>
      <w:r w:rsidRPr="00E559AB">
        <w:rPr>
          <w:rFonts w:ascii="Times New Roman" w:hAnsi="Times New Roman"/>
          <w:sz w:val="24"/>
          <w:szCs w:val="24"/>
        </w:rPr>
        <w:t>Postpartum, a decrease in Th2 responses may further predispose individuals with SCA to AIHA</w:t>
      </w:r>
      <w:r w:rsidRPr="00B66E38">
        <w:rPr>
          <w:rFonts w:ascii="Times New Roman" w:hAnsi="Times New Roman"/>
          <w:sz w:val="24"/>
          <w:szCs w:val="24"/>
        </w:rPr>
        <w:t>, highlighting the interplay between oxidative stress and immune modulation. (</w:t>
      </w:r>
      <w:r w:rsidR="00CC3E29">
        <w:rPr>
          <w:rFonts w:ascii="Times New Roman" w:hAnsi="Times New Roman"/>
          <w:sz w:val="24"/>
          <w:szCs w:val="24"/>
        </w:rPr>
        <w:t>2</w:t>
      </w:r>
      <w:r w:rsidRPr="00B66E38">
        <w:rPr>
          <w:rFonts w:ascii="Times New Roman" w:hAnsi="Times New Roman"/>
          <w:sz w:val="24"/>
          <w:szCs w:val="24"/>
        </w:rPr>
        <w:t>,1</w:t>
      </w:r>
      <w:r w:rsidR="00D045A7">
        <w:rPr>
          <w:rFonts w:ascii="Times New Roman" w:hAnsi="Times New Roman"/>
          <w:sz w:val="24"/>
          <w:szCs w:val="24"/>
        </w:rPr>
        <w:t>0</w:t>
      </w:r>
      <w:r w:rsidRPr="00B66E38">
        <w:rPr>
          <w:rFonts w:ascii="Times New Roman" w:hAnsi="Times New Roman"/>
          <w:sz w:val="24"/>
          <w:szCs w:val="24"/>
        </w:rPr>
        <w:t>,1</w:t>
      </w:r>
      <w:r w:rsidR="00D045A7">
        <w:rPr>
          <w:rFonts w:ascii="Times New Roman" w:hAnsi="Times New Roman"/>
          <w:sz w:val="24"/>
          <w:szCs w:val="24"/>
        </w:rPr>
        <w:t>2</w:t>
      </w:r>
      <w:r w:rsidRPr="00B66E38">
        <w:rPr>
          <w:rFonts w:ascii="Times New Roman" w:hAnsi="Times New Roman"/>
          <w:sz w:val="24"/>
          <w:szCs w:val="24"/>
        </w:rPr>
        <w:t>)</w:t>
      </w:r>
    </w:p>
    <w:p w14:paraId="71D53C56" w14:textId="402C8FE4" w:rsidR="00D11DC3" w:rsidRPr="00B66E38" w:rsidRDefault="00D11DC3" w:rsidP="00D11DC3">
      <w:pPr>
        <w:jc w:val="both"/>
        <w:rPr>
          <w:rFonts w:ascii="Times New Roman" w:hAnsi="Times New Roman"/>
          <w:sz w:val="24"/>
          <w:szCs w:val="24"/>
        </w:rPr>
      </w:pPr>
      <w:r w:rsidRPr="00E559AB">
        <w:rPr>
          <w:rFonts w:ascii="Times New Roman" w:hAnsi="Times New Roman"/>
          <w:sz w:val="24"/>
          <w:szCs w:val="24"/>
        </w:rPr>
        <w:t>Autoantibody frequency varies: 1% to 28.2% in β-thalassemia, 0.8% to 42% in sickle cell disease, and up to 61% in hereditary spherocytosis, with warm IgG antibodies found in about half of positive DAT cases. Triggers for autoantibody development include pregnancy, transfusions, infections, and surgery. Clinically significant AIHA is less common, with prevalence rates between 1.8% and 6.4%</w:t>
      </w:r>
      <w:r w:rsidRPr="00B66E38">
        <w:rPr>
          <w:rFonts w:ascii="Times New Roman" w:hAnsi="Times New Roman"/>
          <w:sz w:val="24"/>
          <w:szCs w:val="24"/>
        </w:rPr>
        <w:t>.</w:t>
      </w:r>
      <w:r>
        <w:rPr>
          <w:rFonts w:ascii="Times New Roman" w:hAnsi="Times New Roman"/>
          <w:sz w:val="24"/>
          <w:szCs w:val="24"/>
        </w:rPr>
        <w:t xml:space="preserve"> </w:t>
      </w:r>
      <w:r w:rsidRPr="00B66E38">
        <w:rPr>
          <w:rFonts w:ascii="Times New Roman" w:hAnsi="Times New Roman"/>
          <w:sz w:val="24"/>
          <w:szCs w:val="24"/>
        </w:rPr>
        <w:t>(</w:t>
      </w:r>
      <w:r w:rsidR="00CC3E29">
        <w:rPr>
          <w:rFonts w:ascii="Times New Roman" w:hAnsi="Times New Roman"/>
          <w:sz w:val="24"/>
          <w:szCs w:val="24"/>
        </w:rPr>
        <w:t>1</w:t>
      </w:r>
      <w:r w:rsidR="00D045A7">
        <w:rPr>
          <w:rFonts w:ascii="Times New Roman" w:hAnsi="Times New Roman"/>
          <w:sz w:val="24"/>
          <w:szCs w:val="24"/>
        </w:rPr>
        <w:t>4</w:t>
      </w:r>
      <w:r w:rsidRPr="00B66E38">
        <w:rPr>
          <w:rFonts w:ascii="Times New Roman" w:hAnsi="Times New Roman"/>
          <w:sz w:val="24"/>
          <w:szCs w:val="24"/>
        </w:rPr>
        <w:t>)</w:t>
      </w:r>
      <w:r w:rsidRPr="00E559AB">
        <w:rPr>
          <w:rFonts w:ascii="Times New Roman" w:hAnsi="Times New Roman"/>
          <w:sz w:val="24"/>
          <w:szCs w:val="24"/>
        </w:rPr>
        <w:t xml:space="preserve"> </w:t>
      </w:r>
    </w:p>
    <w:p w14:paraId="1C789213" w14:textId="5E222D2D" w:rsidR="00D11DC3" w:rsidRPr="00E559AB" w:rsidRDefault="00D11DC3" w:rsidP="00D11DC3">
      <w:pPr>
        <w:jc w:val="both"/>
        <w:rPr>
          <w:rFonts w:ascii="Times New Roman" w:hAnsi="Times New Roman"/>
          <w:sz w:val="24"/>
          <w:szCs w:val="24"/>
        </w:rPr>
      </w:pPr>
      <w:r w:rsidRPr="00E559AB">
        <w:rPr>
          <w:rFonts w:ascii="Times New Roman" w:hAnsi="Times New Roman"/>
          <w:sz w:val="24"/>
          <w:szCs w:val="24"/>
        </w:rPr>
        <w:t>In SCA, an imbalance between Th17 and Treg cells leads to increased inflammation, with oxidative stress driving Th17 overactivation</w:t>
      </w:r>
      <w:r w:rsidRPr="00B66E38">
        <w:rPr>
          <w:rFonts w:ascii="Times New Roman" w:hAnsi="Times New Roman"/>
          <w:sz w:val="24"/>
          <w:szCs w:val="24"/>
        </w:rPr>
        <w:t xml:space="preserve"> (</w:t>
      </w:r>
      <w:r w:rsidR="00CC3E29">
        <w:rPr>
          <w:rFonts w:ascii="Times New Roman" w:hAnsi="Times New Roman"/>
          <w:sz w:val="24"/>
          <w:szCs w:val="24"/>
        </w:rPr>
        <w:t>3</w:t>
      </w:r>
      <w:r w:rsidRPr="00B66E38">
        <w:rPr>
          <w:rFonts w:ascii="Times New Roman" w:hAnsi="Times New Roman"/>
          <w:sz w:val="24"/>
          <w:szCs w:val="24"/>
        </w:rPr>
        <w:t>)</w:t>
      </w:r>
      <w:r w:rsidRPr="00E559AB">
        <w:rPr>
          <w:rFonts w:ascii="Times New Roman" w:hAnsi="Times New Roman"/>
          <w:sz w:val="24"/>
          <w:szCs w:val="24"/>
        </w:rPr>
        <w:t>.</w:t>
      </w:r>
    </w:p>
    <w:p w14:paraId="5888ACDB" w14:textId="731AE524" w:rsidR="00D11DC3" w:rsidRPr="00B66E38" w:rsidRDefault="00D11DC3" w:rsidP="00D11DC3">
      <w:pPr>
        <w:jc w:val="both"/>
        <w:rPr>
          <w:rFonts w:ascii="Times New Roman" w:hAnsi="Times New Roman"/>
          <w:sz w:val="24"/>
          <w:szCs w:val="24"/>
        </w:rPr>
      </w:pPr>
      <w:bookmarkStart w:id="0" w:name="_Hlk177915968"/>
      <w:r>
        <w:rPr>
          <w:rFonts w:ascii="Times New Roman" w:hAnsi="Times New Roman"/>
          <w:sz w:val="24"/>
          <w:szCs w:val="24"/>
        </w:rPr>
        <w:t xml:space="preserve">            </w:t>
      </w:r>
      <w:r w:rsidRPr="00B66E38">
        <w:rPr>
          <w:rFonts w:ascii="Times New Roman" w:hAnsi="Times New Roman"/>
          <w:sz w:val="24"/>
          <w:szCs w:val="24"/>
        </w:rPr>
        <w:t xml:space="preserve">Treatment for AIHA varies based on its type and severity. First-line therapy typically involves prednisone (60–100 mg daily) for 2–3 weeks, followed by a taper over 3–6 months. This approach has an initial response rate of about 80%, with a 30–40% </w:t>
      </w:r>
      <w:r w:rsidR="00D045A7">
        <w:rPr>
          <w:rFonts w:ascii="Times New Roman" w:hAnsi="Times New Roman"/>
          <w:sz w:val="24"/>
          <w:szCs w:val="24"/>
        </w:rPr>
        <w:t>sustained remission rate</w:t>
      </w:r>
      <w:r w:rsidRPr="00B66E38">
        <w:rPr>
          <w:rFonts w:ascii="Times New Roman" w:hAnsi="Times New Roman"/>
          <w:sz w:val="24"/>
          <w:szCs w:val="24"/>
        </w:rPr>
        <w:t xml:space="preserve"> after a year. Rituximab may be added for severe cases or used as a second-line treatment if steroids are ineffective, with a response rate of 70–80% in 3–6 weeks. Splenectomy is considered if rituximab fails, showing a 70% </w:t>
      </w:r>
      <w:r w:rsidRPr="00B66E38">
        <w:rPr>
          <w:rFonts w:ascii="Times New Roman" w:hAnsi="Times New Roman"/>
          <w:sz w:val="24"/>
          <w:szCs w:val="24"/>
        </w:rPr>
        <w:lastRenderedPageBreak/>
        <w:t>response rate. Other options include azathioprine, cyclophosphamide, and bortezomib, with limited evidence for high-dose cyclophosphamide or stem cell transplantation in ultra-refractory cases (</w:t>
      </w:r>
      <w:r w:rsidR="00CC3E29">
        <w:rPr>
          <w:rFonts w:ascii="Times New Roman" w:hAnsi="Times New Roman"/>
          <w:sz w:val="24"/>
          <w:szCs w:val="24"/>
        </w:rPr>
        <w:t>3</w:t>
      </w:r>
      <w:r w:rsidRPr="00B66E38">
        <w:rPr>
          <w:rFonts w:ascii="Times New Roman" w:hAnsi="Times New Roman"/>
          <w:sz w:val="24"/>
          <w:szCs w:val="24"/>
        </w:rPr>
        <w:t xml:space="preserve">). Emergency treatments such as high-dose intravenous methylprednisolone, IVIG, and therapeutic plasma exchange are reserved for acute AIHA, with therapeutic plasma exchange potentially enhancing remission rates and improving hematological </w:t>
      </w:r>
      <w:bookmarkEnd w:id="0"/>
      <w:r w:rsidRPr="00B66E38">
        <w:rPr>
          <w:rFonts w:ascii="Times New Roman" w:hAnsi="Times New Roman"/>
          <w:sz w:val="24"/>
          <w:szCs w:val="24"/>
        </w:rPr>
        <w:t>parameters. (</w:t>
      </w:r>
      <w:r w:rsidR="00D045A7">
        <w:rPr>
          <w:rFonts w:ascii="Times New Roman" w:hAnsi="Times New Roman"/>
          <w:sz w:val="24"/>
          <w:szCs w:val="24"/>
        </w:rPr>
        <w:t>13,</w:t>
      </w:r>
      <w:r w:rsidRPr="00B66E38">
        <w:rPr>
          <w:rFonts w:ascii="Times New Roman" w:hAnsi="Times New Roman"/>
          <w:sz w:val="24"/>
          <w:szCs w:val="24"/>
        </w:rPr>
        <w:t>1</w:t>
      </w:r>
      <w:r w:rsidR="00D045A7">
        <w:rPr>
          <w:rFonts w:ascii="Times New Roman" w:hAnsi="Times New Roman"/>
          <w:sz w:val="24"/>
          <w:szCs w:val="24"/>
        </w:rPr>
        <w:t>4</w:t>
      </w:r>
      <w:r w:rsidRPr="00B66E38">
        <w:rPr>
          <w:rFonts w:ascii="Times New Roman" w:hAnsi="Times New Roman"/>
          <w:sz w:val="24"/>
          <w:szCs w:val="24"/>
        </w:rPr>
        <w:t>)</w:t>
      </w:r>
    </w:p>
    <w:p w14:paraId="334E4F03" w14:textId="77777777" w:rsidR="00E053D0" w:rsidRDefault="00E053D0" w:rsidP="00441B6F">
      <w:pPr>
        <w:pStyle w:val="Body"/>
        <w:spacing w:after="0"/>
        <w:rPr>
          <w:rFonts w:ascii="Arial" w:hAnsi="Arial" w:cs="Arial"/>
        </w:rPr>
      </w:pPr>
    </w:p>
    <w:p w14:paraId="5E39F86F" w14:textId="77777777" w:rsidR="00790ADA" w:rsidRPr="00FB3A86" w:rsidRDefault="00790ADA" w:rsidP="00441B6F">
      <w:pPr>
        <w:pStyle w:val="Body"/>
        <w:spacing w:after="0"/>
        <w:rPr>
          <w:rFonts w:ascii="Arial" w:hAnsi="Arial" w:cs="Arial"/>
        </w:rPr>
      </w:pPr>
    </w:p>
    <w:p w14:paraId="70FCAC1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861D7AD" w14:textId="77777777" w:rsidR="00790ADA" w:rsidRPr="00FB3A86" w:rsidRDefault="00790ADA" w:rsidP="00441B6F">
      <w:pPr>
        <w:pStyle w:val="ConcHead"/>
        <w:spacing w:after="0"/>
        <w:jc w:val="both"/>
        <w:rPr>
          <w:rFonts w:ascii="Arial" w:hAnsi="Arial" w:cs="Arial"/>
        </w:rPr>
      </w:pPr>
    </w:p>
    <w:p w14:paraId="770E0721" w14:textId="77777777" w:rsidR="00D11DC3" w:rsidRPr="00D11DC3" w:rsidRDefault="00D11DC3" w:rsidP="00D11DC3">
      <w:pPr>
        <w:jc w:val="both"/>
        <w:rPr>
          <w:rFonts w:ascii="Times New Roman" w:hAnsi="Times New Roman"/>
          <w:sz w:val="22"/>
          <w:szCs w:val="22"/>
        </w:rPr>
      </w:pPr>
      <w:r w:rsidRPr="00D11DC3">
        <w:rPr>
          <w:rFonts w:ascii="Times New Roman" w:hAnsi="Times New Roman"/>
          <w:sz w:val="22"/>
          <w:szCs w:val="22"/>
        </w:rPr>
        <w:t>The coexistence of autoimmune hemolytic anemia (AIHA) with sickle cell anemia and β-thalassemia during pregnancy presents significant clinical challenges, including heightened risks of severe anemia and complications for both mother and fetus. Effective management requires a tailored approach that accounts for the physiological changes of pregnancy and the complexities of each condition.</w:t>
      </w:r>
    </w:p>
    <w:p w14:paraId="1195C0FA" w14:textId="703485E1" w:rsidR="00790ADA" w:rsidRPr="00D11DC3" w:rsidRDefault="00D11DC3" w:rsidP="00D11DC3">
      <w:pPr>
        <w:pStyle w:val="Body"/>
        <w:spacing w:after="0"/>
        <w:rPr>
          <w:rFonts w:ascii="Times New Roman" w:hAnsi="Times New Roman"/>
          <w:sz w:val="22"/>
          <w:szCs w:val="22"/>
        </w:rPr>
      </w:pPr>
      <w:r w:rsidRPr="00D11DC3">
        <w:rPr>
          <w:rFonts w:ascii="Times New Roman" w:hAnsi="Times New Roman"/>
          <w:sz w:val="22"/>
          <w:szCs w:val="22"/>
        </w:rPr>
        <w:t>Understanding the role of immune dysregulation and oxidative stress in AIHA is crucial for developing targeted therapies. Continuous monitoring and adjustments in treatment are essential, especially postpartum when the risk of exacerbation is high. Ongoing research is vital to improve management strategies and outcomes, enabling better care for affected patients and their infants. Through coordinated multidisciplinary efforts, healthcare providers can enhance the health and well-being of mothers and their children.</w:t>
      </w:r>
    </w:p>
    <w:p w14:paraId="03600BAB" w14:textId="77777777" w:rsidR="00D11DC3" w:rsidRPr="00FB3A86" w:rsidRDefault="00D11DC3" w:rsidP="00D11DC3">
      <w:pPr>
        <w:pStyle w:val="Body"/>
        <w:spacing w:after="0"/>
        <w:rPr>
          <w:rFonts w:ascii="Arial" w:hAnsi="Arial" w:cs="Arial"/>
        </w:rPr>
      </w:pPr>
    </w:p>
    <w:p w14:paraId="2DF63A06" w14:textId="77777777" w:rsidR="00C505FA" w:rsidRDefault="00C505FA" w:rsidP="00441B6F">
      <w:pPr>
        <w:pStyle w:val="ReferHead"/>
        <w:spacing w:after="0"/>
        <w:jc w:val="both"/>
        <w:rPr>
          <w:rFonts w:ascii="Arial" w:hAnsi="Arial" w:cs="Arial"/>
          <w:b w:val="0"/>
          <w:caps w:val="0"/>
          <w:sz w:val="20"/>
          <w:u w:val="single"/>
        </w:rPr>
      </w:pPr>
      <w:bookmarkStart w:id="1" w:name="_GoBack"/>
      <w:bookmarkEnd w:id="1"/>
    </w:p>
    <w:p w14:paraId="1407AA02" w14:textId="4DD63684"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0511D4DD" w14:textId="77777777" w:rsidR="002B685A" w:rsidRPr="002B685A" w:rsidRDefault="002B685A" w:rsidP="00441B6F">
      <w:pPr>
        <w:pStyle w:val="ReferHead"/>
        <w:spacing w:after="0"/>
        <w:jc w:val="both"/>
        <w:rPr>
          <w:rFonts w:ascii="Arial" w:hAnsi="Arial" w:cs="Arial"/>
          <w:bCs/>
        </w:rPr>
      </w:pPr>
    </w:p>
    <w:p w14:paraId="271EEA72" w14:textId="7C06BFB1" w:rsidR="001A29D8" w:rsidRDefault="00827E5A" w:rsidP="00441B6F">
      <w:pPr>
        <w:pStyle w:val="ReferHead"/>
        <w:spacing w:after="0"/>
        <w:jc w:val="both"/>
        <w:rPr>
          <w:rFonts w:ascii="Arial" w:hAnsi="Arial" w:cs="Arial"/>
          <w:b w:val="0"/>
          <w:caps w:val="0"/>
          <w:sz w:val="20"/>
        </w:rPr>
      </w:pPr>
      <w:r w:rsidRPr="00827E5A">
        <w:rPr>
          <w:rFonts w:ascii="Arial" w:hAnsi="Arial" w:cs="Arial"/>
          <w:b w:val="0"/>
          <w:caps w:val="0"/>
          <w:sz w:val="20"/>
        </w:rPr>
        <w:t xml:space="preserve">All authors declare that written informed consent was obtained from the patient for publication of this case report and accompanying </w:t>
      </w:r>
      <w:proofErr w:type="gramStart"/>
      <w:r w:rsidRPr="00827E5A">
        <w:rPr>
          <w:rFonts w:ascii="Arial" w:hAnsi="Arial" w:cs="Arial"/>
          <w:b w:val="0"/>
          <w:caps w:val="0"/>
          <w:sz w:val="20"/>
        </w:rPr>
        <w:t>images</w:t>
      </w:r>
      <w:r w:rsidRPr="00827E5A">
        <w:rPr>
          <w:b w:val="0"/>
          <w:caps w:val="0"/>
          <w:sz w:val="20"/>
        </w:rPr>
        <w:t xml:space="preserve"> </w:t>
      </w:r>
      <w:r w:rsidRPr="00827E5A">
        <w:rPr>
          <w:rFonts w:ascii="Arial" w:hAnsi="Arial" w:cs="Arial"/>
          <w:b w:val="0"/>
          <w:caps w:val="0"/>
          <w:sz w:val="20"/>
        </w:rPr>
        <w:t>.</w:t>
      </w:r>
      <w:proofErr w:type="gramEnd"/>
      <w:r w:rsidRPr="00827E5A">
        <w:rPr>
          <w:rFonts w:ascii="Arial" w:hAnsi="Arial" w:cs="Arial"/>
          <w:b w:val="0"/>
          <w:caps w:val="0"/>
          <w:sz w:val="20"/>
        </w:rPr>
        <w:t xml:space="preserve"> A copy of the written consent is available for review by the Editorial office/Chief Editor/Editorial Board members of this journal.</w:t>
      </w:r>
    </w:p>
    <w:p w14:paraId="6814E0B1" w14:textId="77777777" w:rsidR="005C784C" w:rsidRDefault="005C784C" w:rsidP="00441B6F">
      <w:pPr>
        <w:pStyle w:val="ReferHead"/>
        <w:spacing w:after="0"/>
        <w:jc w:val="both"/>
        <w:rPr>
          <w:rFonts w:ascii="Arial" w:hAnsi="Arial" w:cs="Arial"/>
          <w:b w:val="0"/>
          <w:caps w:val="0"/>
          <w:sz w:val="20"/>
        </w:rPr>
      </w:pPr>
    </w:p>
    <w:p w14:paraId="03FCD8DF"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16188C13" w14:textId="77777777" w:rsidR="005C784C" w:rsidRPr="002B685A" w:rsidRDefault="005C784C" w:rsidP="00441B6F">
      <w:pPr>
        <w:pStyle w:val="ReferHead"/>
        <w:spacing w:after="0"/>
        <w:jc w:val="both"/>
        <w:rPr>
          <w:rFonts w:ascii="Arial" w:hAnsi="Arial" w:cs="Arial"/>
          <w:bCs/>
        </w:rPr>
      </w:pPr>
    </w:p>
    <w:p w14:paraId="6DA8E257" w14:textId="77777777" w:rsidR="00827E5A" w:rsidRPr="000332CF" w:rsidRDefault="00827E5A" w:rsidP="00827E5A">
      <w:pPr>
        <w:jc w:val="both"/>
        <w:rPr>
          <w:rFonts w:ascii="Times New Roman" w:hAnsi="Times New Roman"/>
          <w:sz w:val="24"/>
          <w:szCs w:val="24"/>
        </w:rPr>
      </w:pPr>
      <w:r w:rsidRPr="000332CF">
        <w:rPr>
          <w:rFonts w:ascii="Times New Roman" w:hAnsi="Times New Roman"/>
          <w:sz w:val="24"/>
          <w:szCs w:val="24"/>
        </w:rPr>
        <w:t>Not applicable</w:t>
      </w:r>
    </w:p>
    <w:p w14:paraId="472F673C" w14:textId="77777777" w:rsidR="00827E5A" w:rsidRDefault="00827E5A" w:rsidP="00441B6F">
      <w:pPr>
        <w:pStyle w:val="ReferHead"/>
        <w:spacing w:after="0"/>
        <w:jc w:val="both"/>
        <w:rPr>
          <w:rFonts w:ascii="Arial" w:hAnsi="Arial" w:cs="Arial"/>
        </w:rPr>
      </w:pPr>
    </w:p>
    <w:p w14:paraId="7146625E" w14:textId="77777777" w:rsidR="00827E5A" w:rsidRDefault="00827E5A" w:rsidP="00441B6F">
      <w:pPr>
        <w:pStyle w:val="ReferHead"/>
        <w:spacing w:after="0"/>
        <w:jc w:val="both"/>
        <w:rPr>
          <w:rFonts w:ascii="Arial" w:hAnsi="Arial" w:cs="Arial"/>
        </w:rPr>
      </w:pPr>
    </w:p>
    <w:p w14:paraId="7F682350" w14:textId="124EBA1B" w:rsidR="00B01FCD" w:rsidRDefault="00B01FCD" w:rsidP="00441B6F">
      <w:pPr>
        <w:pStyle w:val="ReferHead"/>
        <w:spacing w:after="0"/>
        <w:jc w:val="both"/>
        <w:rPr>
          <w:rFonts w:ascii="Arial" w:hAnsi="Arial" w:cs="Arial"/>
        </w:rPr>
      </w:pPr>
      <w:r w:rsidRPr="00FB3A86">
        <w:rPr>
          <w:rFonts w:ascii="Arial" w:hAnsi="Arial" w:cs="Arial"/>
        </w:rPr>
        <w:t>References</w:t>
      </w:r>
    </w:p>
    <w:p w14:paraId="7691F255" w14:textId="77777777" w:rsidR="00367FFB" w:rsidRPr="00367FFB" w:rsidRDefault="00300A67" w:rsidP="00367FFB">
      <w:pPr>
        <w:jc w:val="both"/>
        <w:rPr>
          <w:rFonts w:ascii="Times New Roman" w:hAnsi="Times New Roman"/>
          <w:sz w:val="24"/>
          <w:szCs w:val="24"/>
          <w:lang w:val="en-IN"/>
        </w:rPr>
      </w:pPr>
      <w:r>
        <w:rPr>
          <w:rFonts w:ascii="Times New Roman" w:hAnsi="Times New Roman"/>
          <w:sz w:val="24"/>
          <w:szCs w:val="24"/>
          <w:lang w:val="en-IN"/>
        </w:rPr>
        <w:pict w14:anchorId="7B9733AE">
          <v:rect id="_x0000_i1026" style="width:0;height:1.5pt" o:hralign="center" o:hrstd="t" o:hr="t" fillcolor="#a0a0a0" stroked="f"/>
        </w:pict>
      </w:r>
    </w:p>
    <w:p w14:paraId="580AA3C9" w14:textId="77777777" w:rsidR="00367FFB" w:rsidRPr="00367FFB" w:rsidRDefault="00367FFB" w:rsidP="00367FFB">
      <w:pPr>
        <w:numPr>
          <w:ilvl w:val="0"/>
          <w:numId w:val="32"/>
        </w:numPr>
        <w:jc w:val="both"/>
        <w:rPr>
          <w:rFonts w:ascii="Times New Roman" w:hAnsi="Times New Roman"/>
          <w:sz w:val="24"/>
          <w:szCs w:val="24"/>
          <w:lang w:val="en-IN"/>
        </w:rPr>
      </w:pPr>
      <w:r w:rsidRPr="00367FFB">
        <w:rPr>
          <w:rFonts w:ascii="Times New Roman" w:hAnsi="Times New Roman"/>
          <w:sz w:val="24"/>
          <w:szCs w:val="24"/>
          <w:lang w:val="en-IN"/>
        </w:rPr>
        <w:t xml:space="preserve">Rao, P. V., Sheela, C. N., </w:t>
      </w:r>
      <w:proofErr w:type="spellStart"/>
      <w:r w:rsidRPr="00367FFB">
        <w:rPr>
          <w:rFonts w:ascii="Times New Roman" w:hAnsi="Times New Roman"/>
          <w:sz w:val="24"/>
          <w:szCs w:val="24"/>
          <w:lang w:val="en-IN"/>
        </w:rPr>
        <w:t>Anandram</w:t>
      </w:r>
      <w:proofErr w:type="spellEnd"/>
      <w:r w:rsidRPr="00367FFB">
        <w:rPr>
          <w:rFonts w:ascii="Times New Roman" w:hAnsi="Times New Roman"/>
          <w:sz w:val="24"/>
          <w:szCs w:val="24"/>
          <w:lang w:val="en-IN"/>
        </w:rPr>
        <w:t xml:space="preserve">, S., &amp; Ross, C. R. (n.d.). Autoimmune </w:t>
      </w:r>
      <w:proofErr w:type="spellStart"/>
      <w:r w:rsidRPr="00367FFB">
        <w:rPr>
          <w:rFonts w:ascii="Times New Roman" w:hAnsi="Times New Roman"/>
          <w:sz w:val="24"/>
          <w:szCs w:val="24"/>
          <w:lang w:val="en-IN"/>
        </w:rPr>
        <w:t>hemolytic</w:t>
      </w:r>
      <w:proofErr w:type="spellEnd"/>
      <w:r w:rsidRPr="00367FFB">
        <w:rPr>
          <w:rFonts w:ascii="Times New Roman" w:hAnsi="Times New Roman"/>
          <w:sz w:val="24"/>
          <w:szCs w:val="24"/>
          <w:lang w:val="en-IN"/>
        </w:rPr>
        <w:t xml:space="preserve"> anaemias in pregnancy: Experience in a tertiary care hospital in South India. </w:t>
      </w:r>
      <w:r w:rsidRPr="00367FFB">
        <w:rPr>
          <w:rFonts w:ascii="Times New Roman" w:hAnsi="Times New Roman"/>
          <w:i/>
          <w:iCs/>
          <w:sz w:val="24"/>
          <w:szCs w:val="24"/>
          <w:lang w:val="en-IN"/>
        </w:rPr>
        <w:t>[Journal name not provided]</w:t>
      </w:r>
      <w:r w:rsidRPr="00367FFB">
        <w:rPr>
          <w:rFonts w:ascii="Times New Roman" w:hAnsi="Times New Roman"/>
          <w:sz w:val="24"/>
          <w:szCs w:val="24"/>
          <w:lang w:val="en-IN"/>
        </w:rPr>
        <w:t>.</w:t>
      </w:r>
    </w:p>
    <w:p w14:paraId="2B3A2811" w14:textId="77777777" w:rsidR="00367FFB" w:rsidRPr="00367FFB" w:rsidRDefault="00367FFB" w:rsidP="00367FFB">
      <w:pPr>
        <w:numPr>
          <w:ilvl w:val="0"/>
          <w:numId w:val="32"/>
        </w:numPr>
        <w:jc w:val="both"/>
        <w:rPr>
          <w:rFonts w:ascii="Times New Roman" w:hAnsi="Times New Roman"/>
          <w:sz w:val="24"/>
          <w:szCs w:val="24"/>
          <w:lang w:val="en-IN"/>
        </w:rPr>
      </w:pPr>
      <w:r w:rsidRPr="00367FFB">
        <w:rPr>
          <w:rFonts w:ascii="Times New Roman" w:hAnsi="Times New Roman"/>
          <w:sz w:val="24"/>
          <w:szCs w:val="24"/>
          <w:lang w:val="en-IN"/>
        </w:rPr>
        <w:t xml:space="preserve">Michalak, S. S., </w:t>
      </w:r>
      <w:proofErr w:type="spellStart"/>
      <w:r w:rsidRPr="00367FFB">
        <w:rPr>
          <w:rFonts w:ascii="Times New Roman" w:hAnsi="Times New Roman"/>
          <w:sz w:val="24"/>
          <w:szCs w:val="24"/>
          <w:lang w:val="en-IN"/>
        </w:rPr>
        <w:t>Olewicz-Gawlik</w:t>
      </w:r>
      <w:proofErr w:type="spellEnd"/>
      <w:r w:rsidRPr="00367FFB">
        <w:rPr>
          <w:rFonts w:ascii="Times New Roman" w:hAnsi="Times New Roman"/>
          <w:sz w:val="24"/>
          <w:szCs w:val="24"/>
          <w:lang w:val="en-IN"/>
        </w:rPr>
        <w:t xml:space="preserve">, A., Rupa-Matysek, J., Wolny-Rokicka, E., Nowakowska, E., &amp; Gil, L. (2020). Autoimmune </w:t>
      </w:r>
      <w:proofErr w:type="spellStart"/>
      <w:r w:rsidRPr="00367FFB">
        <w:rPr>
          <w:rFonts w:ascii="Times New Roman" w:hAnsi="Times New Roman"/>
          <w:sz w:val="24"/>
          <w:szCs w:val="24"/>
          <w:lang w:val="en-IN"/>
        </w:rPr>
        <w:t>hemolytic</w:t>
      </w:r>
      <w:proofErr w:type="spellEnd"/>
      <w:r w:rsidRPr="00367FFB">
        <w:rPr>
          <w:rFonts w:ascii="Times New Roman" w:hAnsi="Times New Roman"/>
          <w:sz w:val="24"/>
          <w:szCs w:val="24"/>
          <w:lang w:val="en-IN"/>
        </w:rPr>
        <w:t xml:space="preserve"> </w:t>
      </w:r>
      <w:proofErr w:type="spellStart"/>
      <w:r w:rsidRPr="00367FFB">
        <w:rPr>
          <w:rFonts w:ascii="Times New Roman" w:hAnsi="Times New Roman"/>
          <w:sz w:val="24"/>
          <w:szCs w:val="24"/>
          <w:lang w:val="en-IN"/>
        </w:rPr>
        <w:t>anemia</w:t>
      </w:r>
      <w:proofErr w:type="spellEnd"/>
      <w:r w:rsidRPr="00367FFB">
        <w:rPr>
          <w:rFonts w:ascii="Times New Roman" w:hAnsi="Times New Roman"/>
          <w:sz w:val="24"/>
          <w:szCs w:val="24"/>
          <w:lang w:val="en-IN"/>
        </w:rPr>
        <w:t xml:space="preserve">: Current knowledge and perspectives. </w:t>
      </w:r>
      <w:r w:rsidRPr="00367FFB">
        <w:rPr>
          <w:rFonts w:ascii="Times New Roman" w:hAnsi="Times New Roman"/>
          <w:i/>
          <w:iCs/>
          <w:sz w:val="24"/>
          <w:szCs w:val="24"/>
          <w:lang w:val="en-IN"/>
        </w:rPr>
        <w:t>Immunity &amp; Ageing</w:t>
      </w:r>
      <w:r w:rsidRPr="00367FFB">
        <w:rPr>
          <w:rFonts w:ascii="Times New Roman" w:hAnsi="Times New Roman"/>
          <w:sz w:val="24"/>
          <w:szCs w:val="24"/>
          <w:lang w:val="en-IN"/>
        </w:rPr>
        <w:t xml:space="preserve">, 17(1), 38. </w:t>
      </w:r>
      <w:hyperlink r:id="rId16" w:history="1">
        <w:r w:rsidRPr="00367FFB">
          <w:rPr>
            <w:rStyle w:val="Hyperlink"/>
            <w:rFonts w:ascii="Times New Roman" w:hAnsi="Times New Roman"/>
            <w:sz w:val="24"/>
            <w:szCs w:val="24"/>
            <w:lang w:val="en-IN"/>
          </w:rPr>
          <w:t>https://doi.org/10.1186/s12979-020-00208-7</w:t>
        </w:r>
      </w:hyperlink>
    </w:p>
    <w:p w14:paraId="711FEA0A" w14:textId="77777777" w:rsidR="00367FFB" w:rsidRPr="00367FFB" w:rsidRDefault="00367FFB" w:rsidP="00367FFB">
      <w:pPr>
        <w:numPr>
          <w:ilvl w:val="0"/>
          <w:numId w:val="32"/>
        </w:numPr>
        <w:jc w:val="both"/>
        <w:rPr>
          <w:rFonts w:ascii="Times New Roman" w:hAnsi="Times New Roman"/>
          <w:sz w:val="24"/>
          <w:szCs w:val="24"/>
          <w:lang w:val="en-IN"/>
        </w:rPr>
      </w:pPr>
      <w:r w:rsidRPr="00367FFB">
        <w:rPr>
          <w:rFonts w:ascii="Times New Roman" w:hAnsi="Times New Roman"/>
          <w:sz w:val="24"/>
          <w:szCs w:val="24"/>
          <w:lang w:val="en-IN"/>
        </w:rPr>
        <w:t xml:space="preserve">Deng, J., Zhou, F., Wong, C. Y., Huang, E., &amp; Zheng, E. (2020). Efficacy of therapeutic plasma exchange for treatment of autoimmune </w:t>
      </w:r>
      <w:proofErr w:type="spellStart"/>
      <w:r w:rsidRPr="00367FFB">
        <w:rPr>
          <w:rFonts w:ascii="Times New Roman" w:hAnsi="Times New Roman"/>
          <w:sz w:val="24"/>
          <w:szCs w:val="24"/>
          <w:lang w:val="en-IN"/>
        </w:rPr>
        <w:t>hemolytic</w:t>
      </w:r>
      <w:proofErr w:type="spellEnd"/>
      <w:r w:rsidRPr="00367FFB">
        <w:rPr>
          <w:rFonts w:ascii="Times New Roman" w:hAnsi="Times New Roman"/>
          <w:sz w:val="24"/>
          <w:szCs w:val="24"/>
          <w:lang w:val="en-IN"/>
        </w:rPr>
        <w:t xml:space="preserve"> </w:t>
      </w:r>
      <w:proofErr w:type="spellStart"/>
      <w:r w:rsidRPr="00367FFB">
        <w:rPr>
          <w:rFonts w:ascii="Times New Roman" w:hAnsi="Times New Roman"/>
          <w:sz w:val="24"/>
          <w:szCs w:val="24"/>
          <w:lang w:val="en-IN"/>
        </w:rPr>
        <w:t>anemia</w:t>
      </w:r>
      <w:proofErr w:type="spellEnd"/>
      <w:r w:rsidRPr="00367FFB">
        <w:rPr>
          <w:rFonts w:ascii="Times New Roman" w:hAnsi="Times New Roman"/>
          <w:sz w:val="24"/>
          <w:szCs w:val="24"/>
          <w:lang w:val="en-IN"/>
        </w:rPr>
        <w:t xml:space="preserve">: A systematic review and meta-analysis of randomized controlled trials. </w:t>
      </w:r>
      <w:r w:rsidRPr="00367FFB">
        <w:rPr>
          <w:rFonts w:ascii="Times New Roman" w:hAnsi="Times New Roman"/>
          <w:i/>
          <w:iCs/>
          <w:sz w:val="24"/>
          <w:szCs w:val="24"/>
          <w:lang w:val="en-IN"/>
        </w:rPr>
        <w:lastRenderedPageBreak/>
        <w:t>Journal of Clinical Apheresis</w:t>
      </w:r>
      <w:r w:rsidRPr="00367FFB">
        <w:rPr>
          <w:rFonts w:ascii="Times New Roman" w:hAnsi="Times New Roman"/>
          <w:sz w:val="24"/>
          <w:szCs w:val="24"/>
          <w:lang w:val="en-IN"/>
        </w:rPr>
        <w:t xml:space="preserve">, 35(4), 294–306. </w:t>
      </w:r>
      <w:hyperlink r:id="rId17" w:history="1">
        <w:r w:rsidRPr="00367FFB">
          <w:rPr>
            <w:rStyle w:val="Hyperlink"/>
            <w:rFonts w:ascii="Times New Roman" w:hAnsi="Times New Roman"/>
            <w:sz w:val="24"/>
            <w:szCs w:val="24"/>
            <w:lang w:val="en-IN"/>
          </w:rPr>
          <w:t>https://doi.org/10.1002/jca.21790</w:t>
        </w:r>
      </w:hyperlink>
    </w:p>
    <w:p w14:paraId="706287FA" w14:textId="77777777" w:rsidR="00367FFB" w:rsidRPr="00367FFB" w:rsidRDefault="00367FFB" w:rsidP="00367FFB">
      <w:pPr>
        <w:numPr>
          <w:ilvl w:val="0"/>
          <w:numId w:val="32"/>
        </w:numPr>
        <w:jc w:val="both"/>
        <w:rPr>
          <w:rFonts w:ascii="Times New Roman" w:hAnsi="Times New Roman"/>
          <w:sz w:val="24"/>
          <w:szCs w:val="24"/>
          <w:lang w:val="en-IN"/>
        </w:rPr>
      </w:pPr>
      <w:r w:rsidRPr="00367FFB">
        <w:rPr>
          <w:rFonts w:ascii="Times New Roman" w:hAnsi="Times New Roman"/>
          <w:sz w:val="24"/>
          <w:szCs w:val="24"/>
          <w:lang w:val="en-IN"/>
        </w:rPr>
        <w:t xml:space="preserve">Ali, S., Mumtaz, S., Shakir, H. A., Khan, M., Tahir, H. M., Mumtaz, S., Mughal, T. A., Hassan, A., Kazmi, S. A. R., Sadia, Irfan, M., &amp; Khan, M. A. (2021). Current status of beta-thalassemia and its treatment strategies. </w:t>
      </w:r>
      <w:r w:rsidRPr="00367FFB">
        <w:rPr>
          <w:rFonts w:ascii="Times New Roman" w:hAnsi="Times New Roman"/>
          <w:i/>
          <w:iCs/>
          <w:sz w:val="24"/>
          <w:szCs w:val="24"/>
          <w:lang w:val="en-IN"/>
        </w:rPr>
        <w:t>Molecular Genetics &amp; Genomic Medicine</w:t>
      </w:r>
      <w:r w:rsidRPr="00367FFB">
        <w:rPr>
          <w:rFonts w:ascii="Times New Roman" w:hAnsi="Times New Roman"/>
          <w:sz w:val="24"/>
          <w:szCs w:val="24"/>
          <w:lang w:val="en-IN"/>
        </w:rPr>
        <w:t xml:space="preserve">, 9(12), e1788. </w:t>
      </w:r>
      <w:hyperlink r:id="rId18" w:history="1">
        <w:r w:rsidRPr="00367FFB">
          <w:rPr>
            <w:rStyle w:val="Hyperlink"/>
            <w:rFonts w:ascii="Times New Roman" w:hAnsi="Times New Roman"/>
            <w:sz w:val="24"/>
            <w:szCs w:val="24"/>
            <w:lang w:val="en-IN"/>
          </w:rPr>
          <w:t>https://doi.org/10.1002/mgg3.1788</w:t>
        </w:r>
      </w:hyperlink>
    </w:p>
    <w:p w14:paraId="0F0775E3" w14:textId="77777777" w:rsidR="00367FFB" w:rsidRPr="00367FFB" w:rsidRDefault="00367FFB" w:rsidP="00367FFB">
      <w:pPr>
        <w:numPr>
          <w:ilvl w:val="0"/>
          <w:numId w:val="32"/>
        </w:numPr>
        <w:jc w:val="both"/>
        <w:rPr>
          <w:rFonts w:ascii="Times New Roman" w:hAnsi="Times New Roman"/>
          <w:sz w:val="24"/>
          <w:szCs w:val="24"/>
          <w:lang w:val="en-IN"/>
        </w:rPr>
      </w:pPr>
      <w:proofErr w:type="spellStart"/>
      <w:r w:rsidRPr="00367FFB">
        <w:rPr>
          <w:rFonts w:ascii="Times New Roman" w:hAnsi="Times New Roman"/>
          <w:sz w:val="24"/>
          <w:szCs w:val="24"/>
          <w:lang w:val="en-IN"/>
        </w:rPr>
        <w:t>Shegekar</w:t>
      </w:r>
      <w:proofErr w:type="spellEnd"/>
      <w:r w:rsidRPr="00367FFB">
        <w:rPr>
          <w:rFonts w:ascii="Times New Roman" w:hAnsi="Times New Roman"/>
          <w:sz w:val="24"/>
          <w:szCs w:val="24"/>
          <w:lang w:val="en-IN"/>
        </w:rPr>
        <w:t xml:space="preserve">, T., &amp; Pajai, S. (2023). A comprehensive review of pregnancy in sickle cell disease. </w:t>
      </w:r>
      <w:r w:rsidRPr="00367FFB">
        <w:rPr>
          <w:rFonts w:ascii="Times New Roman" w:hAnsi="Times New Roman"/>
          <w:i/>
          <w:iCs/>
          <w:sz w:val="24"/>
          <w:szCs w:val="24"/>
          <w:lang w:val="en-IN"/>
        </w:rPr>
        <w:t>Cureus</w:t>
      </w:r>
      <w:r w:rsidRPr="00367FFB">
        <w:rPr>
          <w:rFonts w:ascii="Times New Roman" w:hAnsi="Times New Roman"/>
          <w:sz w:val="24"/>
          <w:szCs w:val="24"/>
          <w:lang w:val="en-IN"/>
        </w:rPr>
        <w:t xml:space="preserve">, 15(6), e41165. </w:t>
      </w:r>
      <w:hyperlink r:id="rId19" w:history="1">
        <w:r w:rsidRPr="00367FFB">
          <w:rPr>
            <w:rStyle w:val="Hyperlink"/>
            <w:rFonts w:ascii="Times New Roman" w:hAnsi="Times New Roman"/>
            <w:sz w:val="24"/>
            <w:szCs w:val="24"/>
            <w:lang w:val="en-IN"/>
          </w:rPr>
          <w:t>https://doi.org/10.7759/cureus.41165</w:t>
        </w:r>
      </w:hyperlink>
    </w:p>
    <w:p w14:paraId="2C4246E1" w14:textId="5EFBEA9F" w:rsidR="00367FFB" w:rsidRPr="00367FFB" w:rsidRDefault="00367FFB" w:rsidP="00367FFB">
      <w:pPr>
        <w:numPr>
          <w:ilvl w:val="0"/>
          <w:numId w:val="32"/>
        </w:numPr>
        <w:jc w:val="both"/>
        <w:rPr>
          <w:rFonts w:ascii="Times New Roman" w:hAnsi="Times New Roman"/>
          <w:sz w:val="24"/>
          <w:szCs w:val="24"/>
          <w:lang w:val="en-IN"/>
        </w:rPr>
      </w:pPr>
      <w:r w:rsidRPr="00367FFB">
        <w:rPr>
          <w:rFonts w:ascii="Times New Roman" w:hAnsi="Times New Roman"/>
          <w:sz w:val="24"/>
          <w:szCs w:val="24"/>
          <w:lang w:val="en-IN"/>
        </w:rPr>
        <w:t>Rao, P., Raj, E. A., Natesan, S., &amp; Gudi, N. (n.d.). Prevalence of sickle cell disease, sickle cell trait and HBS-beta-thalassemia in India: A systematic review and meta-analysis.</w:t>
      </w:r>
    </w:p>
    <w:p w14:paraId="05A5EF2C" w14:textId="77777777" w:rsidR="00367FFB" w:rsidRPr="00367FFB" w:rsidRDefault="00367FFB" w:rsidP="00367FFB">
      <w:pPr>
        <w:numPr>
          <w:ilvl w:val="0"/>
          <w:numId w:val="32"/>
        </w:numPr>
        <w:jc w:val="both"/>
        <w:rPr>
          <w:rFonts w:ascii="Times New Roman" w:hAnsi="Times New Roman"/>
          <w:sz w:val="24"/>
          <w:szCs w:val="24"/>
          <w:lang w:val="en-IN"/>
        </w:rPr>
      </w:pPr>
      <w:r w:rsidRPr="00367FFB">
        <w:rPr>
          <w:rFonts w:ascii="Times New Roman" w:hAnsi="Times New Roman"/>
          <w:sz w:val="24"/>
          <w:szCs w:val="24"/>
          <w:lang w:val="en-IN"/>
        </w:rPr>
        <w:t xml:space="preserve">Smith-Whitley, K. (2019). Complications in pregnant women with sickle cell disease. </w:t>
      </w:r>
      <w:proofErr w:type="spellStart"/>
      <w:r w:rsidRPr="00367FFB">
        <w:rPr>
          <w:rFonts w:ascii="Times New Roman" w:hAnsi="Times New Roman"/>
          <w:i/>
          <w:iCs/>
          <w:sz w:val="24"/>
          <w:szCs w:val="24"/>
          <w:lang w:val="en-IN"/>
        </w:rPr>
        <w:t>Hematology</w:t>
      </w:r>
      <w:proofErr w:type="spellEnd"/>
      <w:r w:rsidRPr="00367FFB">
        <w:rPr>
          <w:rFonts w:ascii="Times New Roman" w:hAnsi="Times New Roman"/>
          <w:i/>
          <w:iCs/>
          <w:sz w:val="24"/>
          <w:szCs w:val="24"/>
          <w:lang w:val="en-IN"/>
        </w:rPr>
        <w:t xml:space="preserve"> American Society of </w:t>
      </w:r>
      <w:proofErr w:type="spellStart"/>
      <w:r w:rsidRPr="00367FFB">
        <w:rPr>
          <w:rFonts w:ascii="Times New Roman" w:hAnsi="Times New Roman"/>
          <w:i/>
          <w:iCs/>
          <w:sz w:val="24"/>
          <w:szCs w:val="24"/>
          <w:lang w:val="en-IN"/>
        </w:rPr>
        <w:t>Hematology</w:t>
      </w:r>
      <w:proofErr w:type="spellEnd"/>
      <w:r w:rsidRPr="00367FFB">
        <w:rPr>
          <w:rFonts w:ascii="Times New Roman" w:hAnsi="Times New Roman"/>
          <w:i/>
          <w:iCs/>
          <w:sz w:val="24"/>
          <w:szCs w:val="24"/>
          <w:lang w:val="en-IN"/>
        </w:rPr>
        <w:t xml:space="preserve"> Education Program</w:t>
      </w:r>
      <w:r w:rsidRPr="00367FFB">
        <w:rPr>
          <w:rFonts w:ascii="Times New Roman" w:hAnsi="Times New Roman"/>
          <w:sz w:val="24"/>
          <w:szCs w:val="24"/>
          <w:lang w:val="en-IN"/>
        </w:rPr>
        <w:t xml:space="preserve">, 2019(1), 359–366. </w:t>
      </w:r>
      <w:hyperlink r:id="rId20" w:history="1">
        <w:r w:rsidRPr="00367FFB">
          <w:rPr>
            <w:rStyle w:val="Hyperlink"/>
            <w:rFonts w:ascii="Times New Roman" w:hAnsi="Times New Roman"/>
            <w:sz w:val="24"/>
            <w:szCs w:val="24"/>
            <w:lang w:val="en-IN"/>
          </w:rPr>
          <w:t>https://doi.org/10.1182/hematology.2019000039</w:t>
        </w:r>
      </w:hyperlink>
    </w:p>
    <w:p w14:paraId="49D51EC2" w14:textId="77777777" w:rsidR="00367FFB" w:rsidRPr="00367FFB" w:rsidRDefault="00367FFB" w:rsidP="00367FFB">
      <w:pPr>
        <w:numPr>
          <w:ilvl w:val="0"/>
          <w:numId w:val="32"/>
        </w:numPr>
        <w:jc w:val="both"/>
        <w:rPr>
          <w:rFonts w:ascii="Times New Roman" w:hAnsi="Times New Roman"/>
          <w:sz w:val="24"/>
          <w:szCs w:val="24"/>
          <w:lang w:val="en-IN"/>
        </w:rPr>
      </w:pPr>
      <w:r w:rsidRPr="00367FFB">
        <w:rPr>
          <w:rFonts w:ascii="Times New Roman" w:hAnsi="Times New Roman"/>
          <w:sz w:val="24"/>
          <w:szCs w:val="24"/>
          <w:lang w:val="en-IN"/>
        </w:rPr>
        <w:t xml:space="preserve">MSD Manual. (n.d.). Sickle cell disease. </w:t>
      </w:r>
      <w:hyperlink r:id="rId21" w:anchor="More-Information_v14431415" w:history="1">
        <w:r w:rsidRPr="00367FFB">
          <w:rPr>
            <w:rStyle w:val="Hyperlink"/>
            <w:rFonts w:ascii="Times New Roman" w:hAnsi="Times New Roman"/>
            <w:sz w:val="24"/>
            <w:szCs w:val="24"/>
            <w:lang w:val="en-IN"/>
          </w:rPr>
          <w:t>https://www.msdmanuals.com/en-in/home/blood-disorders/anemia/sickle-cell-disease#More-Information_v14431415</w:t>
        </w:r>
      </w:hyperlink>
    </w:p>
    <w:p w14:paraId="1009E606" w14:textId="77777777" w:rsidR="00367FFB" w:rsidRPr="00367FFB" w:rsidRDefault="00367FFB" w:rsidP="00367FFB">
      <w:pPr>
        <w:numPr>
          <w:ilvl w:val="0"/>
          <w:numId w:val="32"/>
        </w:numPr>
        <w:jc w:val="both"/>
        <w:rPr>
          <w:rFonts w:ascii="Times New Roman" w:hAnsi="Times New Roman"/>
          <w:sz w:val="24"/>
          <w:szCs w:val="24"/>
          <w:lang w:val="en-IN"/>
        </w:rPr>
      </w:pPr>
      <w:r w:rsidRPr="00367FFB">
        <w:rPr>
          <w:rFonts w:ascii="Times New Roman" w:hAnsi="Times New Roman"/>
          <w:sz w:val="24"/>
          <w:szCs w:val="24"/>
          <w:lang w:val="en-IN"/>
        </w:rPr>
        <w:t xml:space="preserve">Piccinni, M. P., </w:t>
      </w:r>
      <w:proofErr w:type="spellStart"/>
      <w:r w:rsidRPr="00367FFB">
        <w:rPr>
          <w:rFonts w:ascii="Times New Roman" w:hAnsi="Times New Roman"/>
          <w:sz w:val="24"/>
          <w:szCs w:val="24"/>
          <w:lang w:val="en-IN"/>
        </w:rPr>
        <w:t>Lombardelli</w:t>
      </w:r>
      <w:proofErr w:type="spellEnd"/>
      <w:r w:rsidRPr="00367FFB">
        <w:rPr>
          <w:rFonts w:ascii="Times New Roman" w:hAnsi="Times New Roman"/>
          <w:sz w:val="24"/>
          <w:szCs w:val="24"/>
          <w:lang w:val="en-IN"/>
        </w:rPr>
        <w:t xml:space="preserve">, L., </w:t>
      </w:r>
      <w:proofErr w:type="spellStart"/>
      <w:r w:rsidRPr="00367FFB">
        <w:rPr>
          <w:rFonts w:ascii="Times New Roman" w:hAnsi="Times New Roman"/>
          <w:sz w:val="24"/>
          <w:szCs w:val="24"/>
          <w:lang w:val="en-IN"/>
        </w:rPr>
        <w:t>Logiodice</w:t>
      </w:r>
      <w:proofErr w:type="spellEnd"/>
      <w:r w:rsidRPr="00367FFB">
        <w:rPr>
          <w:rFonts w:ascii="Times New Roman" w:hAnsi="Times New Roman"/>
          <w:sz w:val="24"/>
          <w:szCs w:val="24"/>
          <w:lang w:val="en-IN"/>
        </w:rPr>
        <w:t xml:space="preserve">, F., Kullolli, O., </w:t>
      </w:r>
      <w:proofErr w:type="spellStart"/>
      <w:r w:rsidRPr="00367FFB">
        <w:rPr>
          <w:rFonts w:ascii="Times New Roman" w:hAnsi="Times New Roman"/>
          <w:sz w:val="24"/>
          <w:szCs w:val="24"/>
          <w:lang w:val="en-IN"/>
        </w:rPr>
        <w:t>Parronchi</w:t>
      </w:r>
      <w:proofErr w:type="spellEnd"/>
      <w:r w:rsidRPr="00367FFB">
        <w:rPr>
          <w:rFonts w:ascii="Times New Roman" w:hAnsi="Times New Roman"/>
          <w:sz w:val="24"/>
          <w:szCs w:val="24"/>
          <w:lang w:val="en-IN"/>
        </w:rPr>
        <w:t xml:space="preserve">, P., &amp; </w:t>
      </w:r>
      <w:proofErr w:type="spellStart"/>
      <w:r w:rsidRPr="00367FFB">
        <w:rPr>
          <w:rFonts w:ascii="Times New Roman" w:hAnsi="Times New Roman"/>
          <w:sz w:val="24"/>
          <w:szCs w:val="24"/>
          <w:lang w:val="en-IN"/>
        </w:rPr>
        <w:t>Romagnani</w:t>
      </w:r>
      <w:proofErr w:type="spellEnd"/>
      <w:r w:rsidRPr="00367FFB">
        <w:rPr>
          <w:rFonts w:ascii="Times New Roman" w:hAnsi="Times New Roman"/>
          <w:sz w:val="24"/>
          <w:szCs w:val="24"/>
          <w:lang w:val="en-IN"/>
        </w:rPr>
        <w:t xml:space="preserve">, S. (2016). How pregnancy can affect autoimmune diseases progression? </w:t>
      </w:r>
      <w:r w:rsidRPr="00367FFB">
        <w:rPr>
          <w:rFonts w:ascii="Times New Roman" w:hAnsi="Times New Roman"/>
          <w:i/>
          <w:iCs/>
          <w:sz w:val="24"/>
          <w:szCs w:val="24"/>
          <w:lang w:val="en-IN"/>
        </w:rPr>
        <w:t>Clinical and Molecular Allergy</w:t>
      </w:r>
      <w:r w:rsidRPr="00367FFB">
        <w:rPr>
          <w:rFonts w:ascii="Times New Roman" w:hAnsi="Times New Roman"/>
          <w:sz w:val="24"/>
          <w:szCs w:val="24"/>
          <w:lang w:val="en-IN"/>
        </w:rPr>
        <w:t xml:space="preserve">, 14, 11. </w:t>
      </w:r>
      <w:hyperlink r:id="rId22" w:history="1">
        <w:r w:rsidRPr="00367FFB">
          <w:rPr>
            <w:rStyle w:val="Hyperlink"/>
            <w:rFonts w:ascii="Times New Roman" w:hAnsi="Times New Roman"/>
            <w:sz w:val="24"/>
            <w:szCs w:val="24"/>
            <w:lang w:val="en-IN"/>
          </w:rPr>
          <w:t>https://doi.org/10.1186/s12948-016-0048-x</w:t>
        </w:r>
      </w:hyperlink>
    </w:p>
    <w:p w14:paraId="779644B6" w14:textId="77777777" w:rsidR="00367FFB" w:rsidRPr="00367FFB" w:rsidRDefault="00367FFB" w:rsidP="00367FFB">
      <w:pPr>
        <w:numPr>
          <w:ilvl w:val="0"/>
          <w:numId w:val="32"/>
        </w:numPr>
        <w:jc w:val="both"/>
        <w:rPr>
          <w:rFonts w:ascii="Times New Roman" w:hAnsi="Times New Roman"/>
          <w:sz w:val="24"/>
          <w:szCs w:val="24"/>
          <w:lang w:val="en-IN"/>
        </w:rPr>
      </w:pPr>
      <w:r w:rsidRPr="00367FFB">
        <w:rPr>
          <w:rFonts w:ascii="Times New Roman" w:hAnsi="Times New Roman"/>
          <w:sz w:val="24"/>
          <w:szCs w:val="24"/>
          <w:lang w:val="en-IN"/>
        </w:rPr>
        <w:t xml:space="preserve">Aboderin, F. I., Oduola, T., Davison, G. M., &amp; </w:t>
      </w:r>
      <w:proofErr w:type="spellStart"/>
      <w:r w:rsidRPr="00367FFB">
        <w:rPr>
          <w:rFonts w:ascii="Times New Roman" w:hAnsi="Times New Roman"/>
          <w:sz w:val="24"/>
          <w:szCs w:val="24"/>
          <w:lang w:val="en-IN"/>
        </w:rPr>
        <w:t>Oguntibeju</w:t>
      </w:r>
      <w:proofErr w:type="spellEnd"/>
      <w:r w:rsidRPr="00367FFB">
        <w:rPr>
          <w:rFonts w:ascii="Times New Roman" w:hAnsi="Times New Roman"/>
          <w:sz w:val="24"/>
          <w:szCs w:val="24"/>
          <w:lang w:val="en-IN"/>
        </w:rPr>
        <w:t xml:space="preserve">, O. O. (2023). A review of the relationship between the immune response, inflammation, oxidative stress, and the pathogenesis of sickle cell anaemia. </w:t>
      </w:r>
      <w:r w:rsidRPr="00367FFB">
        <w:rPr>
          <w:rFonts w:ascii="Times New Roman" w:hAnsi="Times New Roman"/>
          <w:i/>
          <w:iCs/>
          <w:sz w:val="24"/>
          <w:szCs w:val="24"/>
          <w:lang w:val="en-IN"/>
        </w:rPr>
        <w:t>Biomedicines</w:t>
      </w:r>
      <w:r w:rsidRPr="00367FFB">
        <w:rPr>
          <w:rFonts w:ascii="Times New Roman" w:hAnsi="Times New Roman"/>
          <w:sz w:val="24"/>
          <w:szCs w:val="24"/>
          <w:lang w:val="en-IN"/>
        </w:rPr>
        <w:t xml:space="preserve">, 11(9), 2413. </w:t>
      </w:r>
      <w:hyperlink r:id="rId23" w:history="1">
        <w:r w:rsidRPr="00367FFB">
          <w:rPr>
            <w:rStyle w:val="Hyperlink"/>
            <w:rFonts w:ascii="Times New Roman" w:hAnsi="Times New Roman"/>
            <w:sz w:val="24"/>
            <w:szCs w:val="24"/>
            <w:lang w:val="en-IN"/>
          </w:rPr>
          <w:t>https://doi.org/10.3390/biomedicines11092413</w:t>
        </w:r>
      </w:hyperlink>
    </w:p>
    <w:p w14:paraId="5AD70482" w14:textId="53611C44" w:rsidR="00367FFB" w:rsidRPr="00367FFB" w:rsidRDefault="00367FFB" w:rsidP="00367FFB">
      <w:pPr>
        <w:numPr>
          <w:ilvl w:val="0"/>
          <w:numId w:val="32"/>
        </w:numPr>
        <w:jc w:val="both"/>
        <w:rPr>
          <w:rFonts w:ascii="Times New Roman" w:hAnsi="Times New Roman"/>
          <w:sz w:val="24"/>
          <w:szCs w:val="24"/>
          <w:lang w:val="en-IN"/>
        </w:rPr>
      </w:pPr>
      <w:r w:rsidRPr="00367FFB">
        <w:rPr>
          <w:rFonts w:ascii="Times New Roman" w:hAnsi="Times New Roman"/>
          <w:sz w:val="24"/>
          <w:szCs w:val="24"/>
          <w:lang w:val="en-IN"/>
        </w:rPr>
        <w:t xml:space="preserve">Wang, Q., &amp; </w:t>
      </w:r>
      <w:proofErr w:type="spellStart"/>
      <w:r w:rsidRPr="00367FFB">
        <w:rPr>
          <w:rFonts w:ascii="Times New Roman" w:hAnsi="Times New Roman"/>
          <w:sz w:val="24"/>
          <w:szCs w:val="24"/>
          <w:lang w:val="en-IN"/>
        </w:rPr>
        <w:t>Zennadi</w:t>
      </w:r>
      <w:proofErr w:type="spellEnd"/>
      <w:r w:rsidRPr="00367FFB">
        <w:rPr>
          <w:rFonts w:ascii="Times New Roman" w:hAnsi="Times New Roman"/>
          <w:sz w:val="24"/>
          <w:szCs w:val="24"/>
          <w:lang w:val="en-IN"/>
        </w:rPr>
        <w:t xml:space="preserve">, R. (n.d.). The role of RBC oxidative stress in sickle cell disease: From the molecular basis to pathologic implications. </w:t>
      </w:r>
    </w:p>
    <w:p w14:paraId="05D4DBF4" w14:textId="670AAA2F" w:rsidR="00367FFB" w:rsidRPr="00367FFB" w:rsidRDefault="00367FFB" w:rsidP="00367FFB">
      <w:pPr>
        <w:numPr>
          <w:ilvl w:val="0"/>
          <w:numId w:val="32"/>
        </w:numPr>
        <w:jc w:val="both"/>
        <w:rPr>
          <w:rFonts w:ascii="Times New Roman" w:hAnsi="Times New Roman"/>
          <w:sz w:val="24"/>
          <w:szCs w:val="24"/>
          <w:lang w:val="en-IN"/>
        </w:rPr>
      </w:pPr>
      <w:r w:rsidRPr="00367FFB">
        <w:rPr>
          <w:rFonts w:ascii="Times New Roman" w:hAnsi="Times New Roman"/>
          <w:sz w:val="24"/>
          <w:szCs w:val="24"/>
          <w:lang w:val="en-IN"/>
        </w:rPr>
        <w:t xml:space="preserve">Gilli, S., </w:t>
      </w:r>
      <w:proofErr w:type="spellStart"/>
      <w:r w:rsidRPr="00367FFB">
        <w:rPr>
          <w:rFonts w:ascii="Times New Roman" w:hAnsi="Times New Roman"/>
          <w:sz w:val="24"/>
          <w:szCs w:val="24"/>
          <w:lang w:val="en-IN"/>
        </w:rPr>
        <w:t>Pericole</w:t>
      </w:r>
      <w:proofErr w:type="spellEnd"/>
      <w:r w:rsidRPr="00367FFB">
        <w:rPr>
          <w:rFonts w:ascii="Times New Roman" w:hAnsi="Times New Roman"/>
          <w:sz w:val="24"/>
          <w:szCs w:val="24"/>
          <w:lang w:val="en-IN"/>
        </w:rPr>
        <w:t>, F. V., Fernandes, L. G., Ribeiro, K. A. R., Castilho, L., Costa, F. F., &amp; Saad, S. T. O. (n.d.). Th17/Treg imbalance in sickle cell disease and hydroxyurea therapy</w:t>
      </w:r>
      <w:r w:rsidR="00C96105">
        <w:rPr>
          <w:rFonts w:ascii="Times New Roman" w:hAnsi="Times New Roman"/>
          <w:sz w:val="24"/>
          <w:szCs w:val="24"/>
          <w:lang w:val="en-IN"/>
        </w:rPr>
        <w:t>.</w:t>
      </w:r>
    </w:p>
    <w:p w14:paraId="685734AB" w14:textId="77777777" w:rsidR="00367FFB" w:rsidRPr="00367FFB" w:rsidRDefault="00367FFB" w:rsidP="00367FFB">
      <w:pPr>
        <w:numPr>
          <w:ilvl w:val="0"/>
          <w:numId w:val="32"/>
        </w:numPr>
        <w:jc w:val="both"/>
        <w:rPr>
          <w:rFonts w:ascii="Times New Roman" w:hAnsi="Times New Roman"/>
          <w:sz w:val="24"/>
          <w:szCs w:val="24"/>
          <w:lang w:val="en-IN"/>
        </w:rPr>
      </w:pPr>
      <w:proofErr w:type="spellStart"/>
      <w:r w:rsidRPr="00367FFB">
        <w:rPr>
          <w:rFonts w:ascii="Times New Roman" w:hAnsi="Times New Roman"/>
          <w:sz w:val="24"/>
          <w:szCs w:val="24"/>
          <w:lang w:val="en-IN"/>
        </w:rPr>
        <w:t>Fattizzo</w:t>
      </w:r>
      <w:proofErr w:type="spellEnd"/>
      <w:r w:rsidRPr="00367FFB">
        <w:rPr>
          <w:rFonts w:ascii="Times New Roman" w:hAnsi="Times New Roman"/>
          <w:sz w:val="24"/>
          <w:szCs w:val="24"/>
          <w:lang w:val="en-IN"/>
        </w:rPr>
        <w:t xml:space="preserve">, B., &amp; </w:t>
      </w:r>
      <w:proofErr w:type="spellStart"/>
      <w:r w:rsidRPr="00367FFB">
        <w:rPr>
          <w:rFonts w:ascii="Times New Roman" w:hAnsi="Times New Roman"/>
          <w:sz w:val="24"/>
          <w:szCs w:val="24"/>
          <w:lang w:val="en-IN"/>
        </w:rPr>
        <w:t>Barcellini</w:t>
      </w:r>
      <w:proofErr w:type="spellEnd"/>
      <w:r w:rsidRPr="00367FFB">
        <w:rPr>
          <w:rFonts w:ascii="Times New Roman" w:hAnsi="Times New Roman"/>
          <w:sz w:val="24"/>
          <w:szCs w:val="24"/>
          <w:lang w:val="en-IN"/>
        </w:rPr>
        <w:t xml:space="preserve">, W. (2022). Autoimmune </w:t>
      </w:r>
      <w:proofErr w:type="spellStart"/>
      <w:r w:rsidRPr="00367FFB">
        <w:rPr>
          <w:rFonts w:ascii="Times New Roman" w:hAnsi="Times New Roman"/>
          <w:sz w:val="24"/>
          <w:szCs w:val="24"/>
          <w:lang w:val="en-IN"/>
        </w:rPr>
        <w:t>hemolytic</w:t>
      </w:r>
      <w:proofErr w:type="spellEnd"/>
      <w:r w:rsidRPr="00367FFB">
        <w:rPr>
          <w:rFonts w:ascii="Times New Roman" w:hAnsi="Times New Roman"/>
          <w:sz w:val="24"/>
          <w:szCs w:val="24"/>
          <w:lang w:val="en-IN"/>
        </w:rPr>
        <w:t xml:space="preserve"> </w:t>
      </w:r>
      <w:proofErr w:type="spellStart"/>
      <w:r w:rsidRPr="00367FFB">
        <w:rPr>
          <w:rFonts w:ascii="Times New Roman" w:hAnsi="Times New Roman"/>
          <w:sz w:val="24"/>
          <w:szCs w:val="24"/>
          <w:lang w:val="en-IN"/>
        </w:rPr>
        <w:t>anemia</w:t>
      </w:r>
      <w:proofErr w:type="spellEnd"/>
      <w:r w:rsidRPr="00367FFB">
        <w:rPr>
          <w:rFonts w:ascii="Times New Roman" w:hAnsi="Times New Roman"/>
          <w:sz w:val="24"/>
          <w:szCs w:val="24"/>
          <w:lang w:val="en-IN"/>
        </w:rPr>
        <w:t xml:space="preserve">: Causes and consequences. </w:t>
      </w:r>
      <w:r w:rsidRPr="00367FFB">
        <w:rPr>
          <w:rFonts w:ascii="Times New Roman" w:hAnsi="Times New Roman"/>
          <w:i/>
          <w:iCs/>
          <w:sz w:val="24"/>
          <w:szCs w:val="24"/>
          <w:lang w:val="en-IN"/>
        </w:rPr>
        <w:t>Expert Review of Clinical Immunology</w:t>
      </w:r>
      <w:r w:rsidRPr="00367FFB">
        <w:rPr>
          <w:rFonts w:ascii="Times New Roman" w:hAnsi="Times New Roman"/>
          <w:sz w:val="24"/>
          <w:szCs w:val="24"/>
          <w:lang w:val="en-IN"/>
        </w:rPr>
        <w:t xml:space="preserve">, 18(7), 731–745. </w:t>
      </w:r>
      <w:hyperlink r:id="rId24" w:history="1">
        <w:r w:rsidRPr="00367FFB">
          <w:rPr>
            <w:rStyle w:val="Hyperlink"/>
            <w:rFonts w:ascii="Times New Roman" w:hAnsi="Times New Roman"/>
            <w:sz w:val="24"/>
            <w:szCs w:val="24"/>
            <w:lang w:val="en-IN"/>
          </w:rPr>
          <w:t>https://doi.org/10.1080/1744666X.2022.2089115</w:t>
        </w:r>
      </w:hyperlink>
    </w:p>
    <w:p w14:paraId="48E64D90" w14:textId="66EAC714" w:rsidR="00367FFB" w:rsidRPr="00367FFB" w:rsidRDefault="00367FFB" w:rsidP="00367FFB">
      <w:pPr>
        <w:numPr>
          <w:ilvl w:val="0"/>
          <w:numId w:val="32"/>
        </w:numPr>
        <w:jc w:val="both"/>
        <w:rPr>
          <w:rFonts w:ascii="Times New Roman" w:hAnsi="Times New Roman"/>
          <w:sz w:val="24"/>
          <w:szCs w:val="24"/>
          <w:lang w:val="en-IN"/>
        </w:rPr>
      </w:pPr>
      <w:r w:rsidRPr="00367FFB">
        <w:rPr>
          <w:rFonts w:ascii="Times New Roman" w:hAnsi="Times New Roman"/>
          <w:sz w:val="24"/>
          <w:szCs w:val="24"/>
          <w:lang w:val="en-IN"/>
        </w:rPr>
        <w:t xml:space="preserve">Motta, I., Giannotta, J., </w:t>
      </w:r>
      <w:proofErr w:type="spellStart"/>
      <w:r w:rsidRPr="00367FFB">
        <w:rPr>
          <w:rFonts w:ascii="Times New Roman" w:hAnsi="Times New Roman"/>
          <w:sz w:val="24"/>
          <w:szCs w:val="24"/>
          <w:lang w:val="en-IN"/>
        </w:rPr>
        <w:t>Ferraresi</w:t>
      </w:r>
      <w:proofErr w:type="spellEnd"/>
      <w:r w:rsidRPr="00367FFB">
        <w:rPr>
          <w:rFonts w:ascii="Times New Roman" w:hAnsi="Times New Roman"/>
          <w:sz w:val="24"/>
          <w:szCs w:val="24"/>
          <w:lang w:val="en-IN"/>
        </w:rPr>
        <w:t xml:space="preserve">, M., </w:t>
      </w:r>
      <w:proofErr w:type="spellStart"/>
      <w:r w:rsidRPr="00367FFB">
        <w:rPr>
          <w:rFonts w:ascii="Times New Roman" w:hAnsi="Times New Roman"/>
          <w:sz w:val="24"/>
          <w:szCs w:val="24"/>
          <w:lang w:val="en-IN"/>
        </w:rPr>
        <w:t>Barbullushi</w:t>
      </w:r>
      <w:proofErr w:type="spellEnd"/>
      <w:r w:rsidRPr="00367FFB">
        <w:rPr>
          <w:rFonts w:ascii="Times New Roman" w:hAnsi="Times New Roman"/>
          <w:sz w:val="24"/>
          <w:szCs w:val="24"/>
          <w:lang w:val="en-IN"/>
        </w:rPr>
        <w:t xml:space="preserve">, K., Revelli, N., Graziadei, G., </w:t>
      </w:r>
      <w:proofErr w:type="spellStart"/>
      <w:r w:rsidRPr="00367FFB">
        <w:rPr>
          <w:rFonts w:ascii="Times New Roman" w:hAnsi="Times New Roman"/>
          <w:sz w:val="24"/>
          <w:szCs w:val="24"/>
          <w:lang w:val="en-IN"/>
        </w:rPr>
        <w:t>Barcellini</w:t>
      </w:r>
      <w:proofErr w:type="spellEnd"/>
      <w:r w:rsidRPr="00367FFB">
        <w:rPr>
          <w:rFonts w:ascii="Times New Roman" w:hAnsi="Times New Roman"/>
          <w:sz w:val="24"/>
          <w:szCs w:val="24"/>
          <w:lang w:val="en-IN"/>
        </w:rPr>
        <w:t xml:space="preserve">, W., &amp; </w:t>
      </w:r>
      <w:proofErr w:type="spellStart"/>
      <w:r w:rsidRPr="00367FFB">
        <w:rPr>
          <w:rFonts w:ascii="Times New Roman" w:hAnsi="Times New Roman"/>
          <w:sz w:val="24"/>
          <w:szCs w:val="24"/>
          <w:lang w:val="en-IN"/>
        </w:rPr>
        <w:t>Fattizzo</w:t>
      </w:r>
      <w:proofErr w:type="spellEnd"/>
      <w:r w:rsidRPr="00367FFB">
        <w:rPr>
          <w:rFonts w:ascii="Times New Roman" w:hAnsi="Times New Roman"/>
          <w:sz w:val="24"/>
          <w:szCs w:val="24"/>
          <w:lang w:val="en-IN"/>
        </w:rPr>
        <w:t xml:space="preserve">, B. (n.d.). Autoimmune </w:t>
      </w:r>
      <w:proofErr w:type="spellStart"/>
      <w:r w:rsidRPr="00367FFB">
        <w:rPr>
          <w:rFonts w:ascii="Times New Roman" w:hAnsi="Times New Roman"/>
          <w:sz w:val="24"/>
          <w:szCs w:val="24"/>
          <w:lang w:val="en-IN"/>
        </w:rPr>
        <w:t>hemolytic</w:t>
      </w:r>
      <w:proofErr w:type="spellEnd"/>
      <w:r w:rsidRPr="00367FFB">
        <w:rPr>
          <w:rFonts w:ascii="Times New Roman" w:hAnsi="Times New Roman"/>
          <w:sz w:val="24"/>
          <w:szCs w:val="24"/>
          <w:lang w:val="en-IN"/>
        </w:rPr>
        <w:t xml:space="preserve"> </w:t>
      </w:r>
      <w:proofErr w:type="spellStart"/>
      <w:r w:rsidRPr="00367FFB">
        <w:rPr>
          <w:rFonts w:ascii="Times New Roman" w:hAnsi="Times New Roman"/>
          <w:sz w:val="24"/>
          <w:szCs w:val="24"/>
          <w:lang w:val="en-IN"/>
        </w:rPr>
        <w:t>anemia</w:t>
      </w:r>
      <w:proofErr w:type="spellEnd"/>
      <w:r w:rsidRPr="00367FFB">
        <w:rPr>
          <w:rFonts w:ascii="Times New Roman" w:hAnsi="Times New Roman"/>
          <w:sz w:val="24"/>
          <w:szCs w:val="24"/>
          <w:lang w:val="en-IN"/>
        </w:rPr>
        <w:t xml:space="preserve"> as a complication of congenital </w:t>
      </w:r>
      <w:proofErr w:type="spellStart"/>
      <w:r w:rsidRPr="00367FFB">
        <w:rPr>
          <w:rFonts w:ascii="Times New Roman" w:hAnsi="Times New Roman"/>
          <w:sz w:val="24"/>
          <w:szCs w:val="24"/>
          <w:lang w:val="en-IN"/>
        </w:rPr>
        <w:t>anemias</w:t>
      </w:r>
      <w:proofErr w:type="spellEnd"/>
      <w:r w:rsidRPr="00367FFB">
        <w:rPr>
          <w:rFonts w:ascii="Times New Roman" w:hAnsi="Times New Roman"/>
          <w:sz w:val="24"/>
          <w:szCs w:val="24"/>
          <w:lang w:val="en-IN"/>
        </w:rPr>
        <w:t xml:space="preserve">: A case series and review of the literature. </w:t>
      </w:r>
    </w:p>
    <w:p w14:paraId="463A723E" w14:textId="77777777" w:rsidR="00367FFB" w:rsidRPr="00367FFB" w:rsidRDefault="00300A67" w:rsidP="00367FFB">
      <w:pPr>
        <w:jc w:val="both"/>
        <w:rPr>
          <w:rFonts w:ascii="Times New Roman" w:hAnsi="Times New Roman"/>
          <w:sz w:val="24"/>
          <w:szCs w:val="24"/>
          <w:lang w:val="en-IN"/>
        </w:rPr>
      </w:pPr>
      <w:r>
        <w:rPr>
          <w:rFonts w:ascii="Times New Roman" w:hAnsi="Times New Roman"/>
          <w:sz w:val="24"/>
          <w:szCs w:val="24"/>
          <w:lang w:val="en-IN"/>
        </w:rPr>
        <w:pict w14:anchorId="72A694A4">
          <v:rect id="_x0000_i1027" style="width:0;height:1.5pt" o:hralign="center" o:hrstd="t" o:hr="t" fillcolor="#a0a0a0" stroked="f"/>
        </w:pict>
      </w:r>
    </w:p>
    <w:p w14:paraId="3A3F9966" w14:textId="77777777" w:rsidR="00367FFB" w:rsidRPr="00367FFB" w:rsidRDefault="00367FFB" w:rsidP="00367FFB">
      <w:pPr>
        <w:jc w:val="both"/>
        <w:rPr>
          <w:rFonts w:ascii="Times New Roman" w:hAnsi="Times New Roman"/>
          <w:sz w:val="24"/>
          <w:szCs w:val="24"/>
        </w:rPr>
      </w:pPr>
    </w:p>
    <w:p w14:paraId="7BEC2D60" w14:textId="77777777" w:rsidR="00790ADA" w:rsidRDefault="00790ADA" w:rsidP="00441B6F">
      <w:pPr>
        <w:pStyle w:val="Body"/>
        <w:spacing w:after="0"/>
        <w:rPr>
          <w:rFonts w:ascii="Arial" w:hAnsi="Arial" w:cs="Arial"/>
        </w:rPr>
      </w:pPr>
    </w:p>
    <w:p w14:paraId="33335BFB" w14:textId="77777777" w:rsidR="000D689F" w:rsidRDefault="000D689F" w:rsidP="00441B6F">
      <w:pPr>
        <w:pStyle w:val="Body"/>
        <w:spacing w:after="0"/>
      </w:pPr>
    </w:p>
    <w:p w14:paraId="36780C57" w14:textId="77777777" w:rsidR="00790ADA" w:rsidRPr="00FB3A86" w:rsidRDefault="00790ADA" w:rsidP="00441B6F">
      <w:pPr>
        <w:pStyle w:val="Body"/>
        <w:spacing w:after="0"/>
        <w:rPr>
          <w:rFonts w:ascii="Arial" w:hAnsi="Arial" w:cs="Arial"/>
        </w:rPr>
      </w:pPr>
    </w:p>
    <w:p w14:paraId="367E4909" w14:textId="5C9D1A1C" w:rsidR="004D4277" w:rsidRPr="00FB3A86" w:rsidRDefault="004D4277" w:rsidP="00441B6F">
      <w:pPr>
        <w:pStyle w:val="Appendix"/>
        <w:spacing w:after="0"/>
        <w:jc w:val="both"/>
        <w:rPr>
          <w:rFonts w:ascii="Arial" w:hAnsi="Arial" w:cs="Arial"/>
          <w:b w:val="0"/>
        </w:rPr>
        <w:sectPr w:rsidR="004D4277" w:rsidRPr="00FB3A86" w:rsidSect="00637472">
          <w:headerReference w:type="even" r:id="rId25"/>
          <w:headerReference w:type="default" r:id="rId26"/>
          <w:footerReference w:type="default" r:id="rId27"/>
          <w:headerReference w:type="first" r:id="rId28"/>
          <w:type w:val="continuous"/>
          <w:pgSz w:w="12240" w:h="15840"/>
          <w:pgMar w:top="1440" w:right="2016" w:bottom="2016" w:left="2016" w:header="720" w:footer="1123" w:gutter="0"/>
          <w:cols w:space="720"/>
          <w:docGrid w:linePitch="272"/>
        </w:sectPr>
      </w:pPr>
    </w:p>
    <w:p w14:paraId="25C4B989" w14:textId="77777777" w:rsidR="00B01FCD" w:rsidRPr="00FB3A86" w:rsidRDefault="00B01FCD" w:rsidP="00441B6F">
      <w:pPr>
        <w:pStyle w:val="Appendix"/>
        <w:spacing w:after="0"/>
        <w:jc w:val="both"/>
        <w:rPr>
          <w:rFonts w:ascii="Arial" w:hAnsi="Arial" w:cs="Arial"/>
          <w:b w:val="0"/>
        </w:rPr>
      </w:pPr>
    </w:p>
    <w:sectPr w:rsidR="00B01FCD" w:rsidRPr="00FB3A86" w:rsidSect="0063747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5D439" w14:textId="77777777" w:rsidR="00300A67" w:rsidRDefault="00300A67" w:rsidP="00C37E61">
      <w:r>
        <w:separator/>
      </w:r>
    </w:p>
  </w:endnote>
  <w:endnote w:type="continuationSeparator" w:id="0">
    <w:p w14:paraId="36D0F5E6" w14:textId="77777777" w:rsidR="00300A67" w:rsidRDefault="00300A6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5A9C3" w14:textId="77777777" w:rsidR="005064B5" w:rsidRDefault="00506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F9D2F" w14:textId="77777777" w:rsidR="005064B5" w:rsidRDefault="005064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C11FE" w14:textId="77777777" w:rsidR="009E048A" w:rsidRDefault="009E048A">
    <w:pPr>
      <w:pStyle w:val="Footer"/>
      <w:rPr>
        <w:rFonts w:ascii="Arial" w:hAnsi="Arial" w:cs="Arial"/>
        <w:sz w:val="16"/>
      </w:rPr>
    </w:pPr>
  </w:p>
  <w:p w14:paraId="349B0E6C"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B851436" w14:textId="77777777" w:rsidR="009E048A" w:rsidRDefault="009E048A">
    <w:pPr>
      <w:pStyle w:val="Footer"/>
      <w:rPr>
        <w:rFonts w:ascii="Arial" w:hAnsi="Arial" w:cs="Arial"/>
        <w:sz w:val="16"/>
      </w:rPr>
    </w:pPr>
  </w:p>
  <w:p w14:paraId="7B652053"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D419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679E9" w14:textId="77777777" w:rsidR="00300A67" w:rsidRDefault="00300A67" w:rsidP="00C37E61">
      <w:r>
        <w:separator/>
      </w:r>
    </w:p>
  </w:footnote>
  <w:footnote w:type="continuationSeparator" w:id="0">
    <w:p w14:paraId="4B894D08" w14:textId="77777777" w:rsidR="00300A67" w:rsidRDefault="00300A6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F9D13" w14:textId="484940F8" w:rsidR="005064B5" w:rsidRDefault="005064B5">
    <w:pPr>
      <w:pStyle w:val="Header"/>
    </w:pPr>
    <w:r>
      <w:rPr>
        <w:noProof/>
      </w:rPr>
      <w:pict w14:anchorId="113C1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0621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5177F" w14:textId="3BD724F0" w:rsidR="005064B5" w:rsidRDefault="005064B5">
    <w:pPr>
      <w:pStyle w:val="Header"/>
    </w:pPr>
    <w:r>
      <w:rPr>
        <w:noProof/>
      </w:rPr>
      <w:pict w14:anchorId="0E24FB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0621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82E3F" w14:textId="26DF7B4B" w:rsidR="00296529" w:rsidRPr="00296529" w:rsidRDefault="005064B5" w:rsidP="00296529">
    <w:pPr>
      <w:ind w:left="2160"/>
      <w:jc w:val="center"/>
      <w:rPr>
        <w:rFonts w:ascii="Times New Roman" w:eastAsia="Calibri" w:hAnsi="Times New Roman"/>
        <w:i/>
        <w:sz w:val="18"/>
        <w:szCs w:val="22"/>
      </w:rPr>
    </w:pPr>
    <w:r>
      <w:rPr>
        <w:noProof/>
      </w:rPr>
      <w:pict w14:anchorId="58BB5C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0621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C63231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247160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C250C8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45F0FF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DF3ED5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1E5EDF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160AD" w14:textId="0C8E0C4D" w:rsidR="005064B5" w:rsidRDefault="005064B5">
    <w:pPr>
      <w:pStyle w:val="Header"/>
    </w:pPr>
    <w:r>
      <w:rPr>
        <w:noProof/>
      </w:rPr>
      <w:pict w14:anchorId="5E6966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06211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FE4D6" w14:textId="51E672B2" w:rsidR="005064B5" w:rsidRDefault="005064B5">
    <w:pPr>
      <w:pStyle w:val="Header"/>
    </w:pPr>
    <w:r>
      <w:rPr>
        <w:noProof/>
      </w:rPr>
      <w:pict w14:anchorId="7DB2D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06211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B00AC" w14:textId="7A1E7CE9" w:rsidR="005064B5" w:rsidRDefault="005064B5">
    <w:pPr>
      <w:pStyle w:val="Header"/>
    </w:pPr>
    <w:r>
      <w:rPr>
        <w:noProof/>
      </w:rPr>
      <w:pict w14:anchorId="64FA8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06211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AAA5C06"/>
    <w:multiLevelType w:val="hybridMultilevel"/>
    <w:tmpl w:val="4BD80980"/>
    <w:lvl w:ilvl="0" w:tplc="D974EE5C">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6" w15:restartNumberingAfterBreak="0">
    <w:nsid w:val="428A683D"/>
    <w:multiLevelType w:val="multilevel"/>
    <w:tmpl w:val="90C09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0"/>
  </w:num>
  <w:num w:numId="31">
    <w:abstractNumId w:val="1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xNba0sDA1N7AwNrdU0lEKTi0uzszPAykwqgUAos7k/ywAAAA="/>
  </w:docVars>
  <w:rsids>
    <w:rsidRoot w:val="00AA6219"/>
    <w:rsid w:val="00000F8F"/>
    <w:rsid w:val="00012111"/>
    <w:rsid w:val="00030174"/>
    <w:rsid w:val="0004579C"/>
    <w:rsid w:val="0006016A"/>
    <w:rsid w:val="000622C3"/>
    <w:rsid w:val="00077EC5"/>
    <w:rsid w:val="000A41AC"/>
    <w:rsid w:val="000A47FA"/>
    <w:rsid w:val="000A65D3"/>
    <w:rsid w:val="000B1E33"/>
    <w:rsid w:val="000D689F"/>
    <w:rsid w:val="000E7B7B"/>
    <w:rsid w:val="000E7D62"/>
    <w:rsid w:val="000F3E74"/>
    <w:rsid w:val="000F5406"/>
    <w:rsid w:val="000F6AB3"/>
    <w:rsid w:val="00101C56"/>
    <w:rsid w:val="00103357"/>
    <w:rsid w:val="00110A48"/>
    <w:rsid w:val="00123C9F"/>
    <w:rsid w:val="00126190"/>
    <w:rsid w:val="00130F17"/>
    <w:rsid w:val="001320BF"/>
    <w:rsid w:val="001421BE"/>
    <w:rsid w:val="00144E20"/>
    <w:rsid w:val="00151783"/>
    <w:rsid w:val="00163BC4"/>
    <w:rsid w:val="00165EE5"/>
    <w:rsid w:val="0018711F"/>
    <w:rsid w:val="00191062"/>
    <w:rsid w:val="00192B72"/>
    <w:rsid w:val="001A29D8"/>
    <w:rsid w:val="001A5CAA"/>
    <w:rsid w:val="001B0427"/>
    <w:rsid w:val="001D3A51"/>
    <w:rsid w:val="001E10D2"/>
    <w:rsid w:val="001E25B4"/>
    <w:rsid w:val="001E44FE"/>
    <w:rsid w:val="001F4A2A"/>
    <w:rsid w:val="00200595"/>
    <w:rsid w:val="00204835"/>
    <w:rsid w:val="00231920"/>
    <w:rsid w:val="0023195C"/>
    <w:rsid w:val="00236CFA"/>
    <w:rsid w:val="0024282C"/>
    <w:rsid w:val="002460DC"/>
    <w:rsid w:val="00250985"/>
    <w:rsid w:val="002556F6"/>
    <w:rsid w:val="00283105"/>
    <w:rsid w:val="00284C4C"/>
    <w:rsid w:val="00287E68"/>
    <w:rsid w:val="00296529"/>
    <w:rsid w:val="002B27FB"/>
    <w:rsid w:val="002B685A"/>
    <w:rsid w:val="002C57D2"/>
    <w:rsid w:val="002E0D56"/>
    <w:rsid w:val="00300A67"/>
    <w:rsid w:val="00315186"/>
    <w:rsid w:val="0033343E"/>
    <w:rsid w:val="003512C2"/>
    <w:rsid w:val="00365490"/>
    <w:rsid w:val="00367FFB"/>
    <w:rsid w:val="00371FB6"/>
    <w:rsid w:val="00372EE0"/>
    <w:rsid w:val="003763C1"/>
    <w:rsid w:val="00376BBE"/>
    <w:rsid w:val="0039224F"/>
    <w:rsid w:val="003A43A4"/>
    <w:rsid w:val="003A7E18"/>
    <w:rsid w:val="003C4C86"/>
    <w:rsid w:val="003C6258"/>
    <w:rsid w:val="003D177D"/>
    <w:rsid w:val="003E2904"/>
    <w:rsid w:val="003E7AF8"/>
    <w:rsid w:val="00401927"/>
    <w:rsid w:val="0041027F"/>
    <w:rsid w:val="00412475"/>
    <w:rsid w:val="00423789"/>
    <w:rsid w:val="00436FC2"/>
    <w:rsid w:val="00440F43"/>
    <w:rsid w:val="00441B6F"/>
    <w:rsid w:val="00446221"/>
    <w:rsid w:val="00450E62"/>
    <w:rsid w:val="004539DB"/>
    <w:rsid w:val="00471A80"/>
    <w:rsid w:val="004822D4"/>
    <w:rsid w:val="00486E8B"/>
    <w:rsid w:val="00492AB9"/>
    <w:rsid w:val="004960B8"/>
    <w:rsid w:val="004A0C30"/>
    <w:rsid w:val="004D305E"/>
    <w:rsid w:val="004D4277"/>
    <w:rsid w:val="00502516"/>
    <w:rsid w:val="00505F06"/>
    <w:rsid w:val="005064B5"/>
    <w:rsid w:val="00506828"/>
    <w:rsid w:val="0053056E"/>
    <w:rsid w:val="00545C1F"/>
    <w:rsid w:val="00554FDA"/>
    <w:rsid w:val="00573DAB"/>
    <w:rsid w:val="00582C1A"/>
    <w:rsid w:val="005C784C"/>
    <w:rsid w:val="005D17F6"/>
    <w:rsid w:val="005E5539"/>
    <w:rsid w:val="00602BF5"/>
    <w:rsid w:val="00617FDD"/>
    <w:rsid w:val="00633614"/>
    <w:rsid w:val="00633F68"/>
    <w:rsid w:val="00636EB2"/>
    <w:rsid w:val="00637472"/>
    <w:rsid w:val="006375B8"/>
    <w:rsid w:val="0066510A"/>
    <w:rsid w:val="00673F9F"/>
    <w:rsid w:val="00675168"/>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27E5A"/>
    <w:rsid w:val="0083216F"/>
    <w:rsid w:val="00860000"/>
    <w:rsid w:val="00863BD3"/>
    <w:rsid w:val="008641ED"/>
    <w:rsid w:val="00866D66"/>
    <w:rsid w:val="008671C6"/>
    <w:rsid w:val="00875803"/>
    <w:rsid w:val="00891522"/>
    <w:rsid w:val="008B459E"/>
    <w:rsid w:val="008E13AE"/>
    <w:rsid w:val="008E1506"/>
    <w:rsid w:val="008E710C"/>
    <w:rsid w:val="008F69D6"/>
    <w:rsid w:val="00902823"/>
    <w:rsid w:val="00915CA6"/>
    <w:rsid w:val="00927834"/>
    <w:rsid w:val="00935A03"/>
    <w:rsid w:val="009430A5"/>
    <w:rsid w:val="009500A6"/>
    <w:rsid w:val="009548A1"/>
    <w:rsid w:val="00956137"/>
    <w:rsid w:val="00957C18"/>
    <w:rsid w:val="009659BA"/>
    <w:rsid w:val="00983040"/>
    <w:rsid w:val="009B3FB9"/>
    <w:rsid w:val="009B710F"/>
    <w:rsid w:val="009C2465"/>
    <w:rsid w:val="009D06E9"/>
    <w:rsid w:val="009D35A0"/>
    <w:rsid w:val="009D595C"/>
    <w:rsid w:val="009D7EB7"/>
    <w:rsid w:val="009E048A"/>
    <w:rsid w:val="009E08E9"/>
    <w:rsid w:val="009E272A"/>
    <w:rsid w:val="009E3DB9"/>
    <w:rsid w:val="009E6E35"/>
    <w:rsid w:val="009F0EDA"/>
    <w:rsid w:val="00A03B96"/>
    <w:rsid w:val="00A05B19"/>
    <w:rsid w:val="00A1134E"/>
    <w:rsid w:val="00A24E7E"/>
    <w:rsid w:val="00A258C3"/>
    <w:rsid w:val="00A347C0"/>
    <w:rsid w:val="00A47CB5"/>
    <w:rsid w:val="00A51431"/>
    <w:rsid w:val="00A539AD"/>
    <w:rsid w:val="00A94063"/>
    <w:rsid w:val="00A95A5F"/>
    <w:rsid w:val="00AA6219"/>
    <w:rsid w:val="00AA74E0"/>
    <w:rsid w:val="00AB494F"/>
    <w:rsid w:val="00AB703F"/>
    <w:rsid w:val="00AC6BB8"/>
    <w:rsid w:val="00AE008F"/>
    <w:rsid w:val="00AF709B"/>
    <w:rsid w:val="00B01FCD"/>
    <w:rsid w:val="00B1776C"/>
    <w:rsid w:val="00B308D6"/>
    <w:rsid w:val="00B36375"/>
    <w:rsid w:val="00B52583"/>
    <w:rsid w:val="00B52896"/>
    <w:rsid w:val="00B661FA"/>
    <w:rsid w:val="00B95236"/>
    <w:rsid w:val="00B96BD9"/>
    <w:rsid w:val="00BA1B01"/>
    <w:rsid w:val="00BA2641"/>
    <w:rsid w:val="00BB1B31"/>
    <w:rsid w:val="00BB37AA"/>
    <w:rsid w:val="00BC53A0"/>
    <w:rsid w:val="00BE62AD"/>
    <w:rsid w:val="00BF121F"/>
    <w:rsid w:val="00BF1F80"/>
    <w:rsid w:val="00C166EF"/>
    <w:rsid w:val="00C17EB0"/>
    <w:rsid w:val="00C27F5F"/>
    <w:rsid w:val="00C30A0F"/>
    <w:rsid w:val="00C37E61"/>
    <w:rsid w:val="00C505FA"/>
    <w:rsid w:val="00C5364B"/>
    <w:rsid w:val="00C70F1B"/>
    <w:rsid w:val="00C71A47"/>
    <w:rsid w:val="00C7464C"/>
    <w:rsid w:val="00C81A5F"/>
    <w:rsid w:val="00C85588"/>
    <w:rsid w:val="00C96105"/>
    <w:rsid w:val="00CC08E8"/>
    <w:rsid w:val="00CC3E29"/>
    <w:rsid w:val="00CC4F1A"/>
    <w:rsid w:val="00CD6755"/>
    <w:rsid w:val="00CD6856"/>
    <w:rsid w:val="00CE0089"/>
    <w:rsid w:val="00CE793C"/>
    <w:rsid w:val="00CF193C"/>
    <w:rsid w:val="00D01E41"/>
    <w:rsid w:val="00D045A7"/>
    <w:rsid w:val="00D11DC3"/>
    <w:rsid w:val="00D173F1"/>
    <w:rsid w:val="00D42ABD"/>
    <w:rsid w:val="00D70A65"/>
    <w:rsid w:val="00D74CB0"/>
    <w:rsid w:val="00D8295D"/>
    <w:rsid w:val="00DC2A65"/>
    <w:rsid w:val="00DE15F0"/>
    <w:rsid w:val="00DE5663"/>
    <w:rsid w:val="00DE78AA"/>
    <w:rsid w:val="00E04F42"/>
    <w:rsid w:val="00E053D0"/>
    <w:rsid w:val="00E0712F"/>
    <w:rsid w:val="00E1449B"/>
    <w:rsid w:val="00E15994"/>
    <w:rsid w:val="00E3114E"/>
    <w:rsid w:val="00E31A70"/>
    <w:rsid w:val="00E35B02"/>
    <w:rsid w:val="00E424F1"/>
    <w:rsid w:val="00E54E55"/>
    <w:rsid w:val="00E66496"/>
    <w:rsid w:val="00E66B35"/>
    <w:rsid w:val="00E66E10"/>
    <w:rsid w:val="00E67760"/>
    <w:rsid w:val="00E769F6"/>
    <w:rsid w:val="00E8407C"/>
    <w:rsid w:val="00E84F3C"/>
    <w:rsid w:val="00EA012C"/>
    <w:rsid w:val="00EC6117"/>
    <w:rsid w:val="00EC6A55"/>
    <w:rsid w:val="00ED0288"/>
    <w:rsid w:val="00EE52CB"/>
    <w:rsid w:val="00EF3EEF"/>
    <w:rsid w:val="00EF581D"/>
    <w:rsid w:val="00EF7FD8"/>
    <w:rsid w:val="00F06F59"/>
    <w:rsid w:val="00F17988"/>
    <w:rsid w:val="00F469F0"/>
    <w:rsid w:val="00F53273"/>
    <w:rsid w:val="00F66533"/>
    <w:rsid w:val="00F755E4"/>
    <w:rsid w:val="00F77D02"/>
    <w:rsid w:val="00FB3A86"/>
    <w:rsid w:val="00FC0DB8"/>
    <w:rsid w:val="00FD36C8"/>
    <w:rsid w:val="00FE10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30"/>
      </o:rules>
    </o:shapelayout>
  </w:shapeDefaults>
  <w:decimalSymbol w:val="."/>
  <w:listSeparator w:val=","/>
  <w14:docId w14:val="645DF55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B36375"/>
    <w:pPr>
      <w:spacing w:after="160" w:line="259" w:lineRule="auto"/>
      <w:ind w:left="720"/>
      <w:contextualSpacing/>
    </w:pPr>
    <w:rPr>
      <w:rFonts w:asciiTheme="minorHAnsi" w:eastAsiaTheme="minorHAnsi" w:hAnsiTheme="minorHAnsi" w:cs="Latha"/>
      <w:kern w:val="2"/>
      <w:sz w:val="22"/>
      <w:szCs w:val="22"/>
      <w:lang w:val="en-IN"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38894121">
      <w:bodyDiv w:val="1"/>
      <w:marLeft w:val="0"/>
      <w:marRight w:val="0"/>
      <w:marTop w:val="0"/>
      <w:marBottom w:val="0"/>
      <w:divBdr>
        <w:top w:val="none" w:sz="0" w:space="0" w:color="auto"/>
        <w:left w:val="none" w:sz="0" w:space="0" w:color="auto"/>
        <w:bottom w:val="none" w:sz="0" w:space="0" w:color="auto"/>
        <w:right w:val="none" w:sz="0" w:space="0" w:color="auto"/>
      </w:divBdr>
    </w:div>
    <w:div w:id="58499774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73534204">
      <w:bodyDiv w:val="1"/>
      <w:marLeft w:val="0"/>
      <w:marRight w:val="0"/>
      <w:marTop w:val="0"/>
      <w:marBottom w:val="0"/>
      <w:divBdr>
        <w:top w:val="none" w:sz="0" w:space="0" w:color="auto"/>
        <w:left w:val="none" w:sz="0" w:space="0" w:color="auto"/>
        <w:bottom w:val="none" w:sz="0" w:space="0" w:color="auto"/>
        <w:right w:val="none" w:sz="0" w:space="0" w:color="auto"/>
      </w:divBdr>
    </w:div>
    <w:div w:id="169299776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02/mgg3.1788"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www.msdmanuals.com/en-in/home/blood-disorders/anemia/sickle-cell-disease"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02/jca.21790"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10.1186/s12979-020-00208-7" TargetMode="External"/><Relationship Id="rId20" Type="http://schemas.openxmlformats.org/officeDocument/2006/relationships/hyperlink" Target="https://doi.org/10.1182/hematology.201900003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80/1744666X.2022.2089115"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doi.org/10.3390/biomedicines11092413"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org/10.7759/cureus.4116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doi.org/10.1186/s12948-016-0048-x" TargetMode="Externa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BD3C7-B040-4E63-BCDB-0F11AD5A6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1253</TotalTime>
  <Pages>7</Pages>
  <Words>2398</Words>
  <Characters>13672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16038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52</cp:revision>
  <cp:lastPrinted>1999-07-06T11:00:00Z</cp:lastPrinted>
  <dcterms:created xsi:type="dcterms:W3CDTF">2014-10-25T14:34:00Z</dcterms:created>
  <dcterms:modified xsi:type="dcterms:W3CDTF">2025-05-23T13:30:00Z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ccf628c4-50a9-4d09-bf0b-007d711113b2</vt:lpwstr>
  </property>
</Properties>
</file>