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CFAA" w14:textId="77777777" w:rsidR="00754C9A" w:rsidRDefault="00754C9A" w:rsidP="002C00FE">
      <w:pPr>
        <w:pStyle w:val="Title"/>
        <w:spacing w:after="0" w:line="360" w:lineRule="auto"/>
        <w:jc w:val="both"/>
        <w:rPr>
          <w:rFonts w:ascii="Arial" w:hAnsi="Arial" w:cs="Arial"/>
        </w:rPr>
      </w:pPr>
      <w:bookmarkStart w:id="0" w:name="_GoBack"/>
      <w:bookmarkEnd w:id="0"/>
    </w:p>
    <w:p w14:paraId="76CC0073" w14:textId="3DF816C7" w:rsidR="00A258C3" w:rsidRPr="00790ADA" w:rsidRDefault="002C00FE" w:rsidP="002C00FE">
      <w:pPr>
        <w:pStyle w:val="Author"/>
        <w:spacing w:line="360" w:lineRule="auto"/>
        <w:jc w:val="both"/>
        <w:rPr>
          <w:rFonts w:ascii="Arial" w:hAnsi="Arial" w:cs="Arial"/>
          <w:sz w:val="36"/>
        </w:rPr>
      </w:pPr>
      <w:r w:rsidRPr="002C00FE">
        <w:rPr>
          <w:rFonts w:ascii="Arial" w:hAnsi="Arial" w:cs="Arial"/>
          <w:sz w:val="36"/>
        </w:rPr>
        <w:t>"Development and Standardization of a Ready-to-Cook Foxtail Millet Khichdi Premix Enriched with Green Gram, Oats, and Textured Soy Protein"</w:t>
      </w:r>
    </w:p>
    <w:p w14:paraId="3923B749" w14:textId="462A7366" w:rsidR="00A95F26" w:rsidRPr="00FB3A86" w:rsidRDefault="00A95F26" w:rsidP="002C00FE">
      <w:pPr>
        <w:pStyle w:val="Affiliation"/>
        <w:spacing w:after="0" w:line="360" w:lineRule="auto"/>
        <w:jc w:val="both"/>
        <w:rPr>
          <w:rFonts w:ascii="Arial" w:hAnsi="Arial" w:cs="Arial"/>
        </w:rPr>
      </w:pPr>
      <w:r>
        <w:rPr>
          <w:rFonts w:ascii="Arial" w:hAnsi="Arial" w:cs="Arial"/>
        </w:rPr>
        <w:t xml:space="preserve"> </w:t>
      </w:r>
    </w:p>
    <w:p w14:paraId="6174F872" w14:textId="77777777" w:rsidR="00B01FCD" w:rsidRPr="00FB3A86" w:rsidRDefault="00A77290" w:rsidP="002C00FE">
      <w:pPr>
        <w:pStyle w:val="Copyright"/>
        <w:spacing w:after="0" w:line="360" w:lineRule="auto"/>
        <w:jc w:val="both"/>
        <w:rPr>
          <w:rFonts w:ascii="Arial" w:hAnsi="Arial" w:cs="Arial"/>
        </w:rPr>
        <w:sectPr w:rsidR="00B01FCD" w:rsidRPr="00FB3A86" w:rsidSect="002C00F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DEC4C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F6C2632" w14:textId="1061B46C" w:rsidR="00B01FCD" w:rsidRDefault="00B01FCD" w:rsidP="002C00FE">
      <w:pPr>
        <w:pStyle w:val="AbstHead"/>
        <w:spacing w:after="0" w:line="360" w:lineRule="auto"/>
        <w:rPr>
          <w:rFonts w:ascii="Arial" w:hAnsi="Arial" w:cs="Arial"/>
        </w:rPr>
      </w:pPr>
      <w:r w:rsidRPr="00FB3A86">
        <w:rPr>
          <w:rFonts w:ascii="Arial" w:hAnsi="Arial" w:cs="Arial"/>
        </w:rPr>
        <w:t>ABSTRACT</w:t>
      </w:r>
      <w:r w:rsidR="0066510A">
        <w:rPr>
          <w:rFonts w:ascii="Arial" w:hAnsi="Arial" w:cs="Arial"/>
        </w:rPr>
        <w:t xml:space="preserve"> </w:t>
      </w:r>
    </w:p>
    <w:p w14:paraId="530244DF" w14:textId="77777777" w:rsidR="00790ADA" w:rsidRPr="00FB3A86" w:rsidRDefault="00790ADA" w:rsidP="002C00FE">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CD6A63D" w14:textId="77777777" w:rsidTr="001E44FE">
        <w:tc>
          <w:tcPr>
            <w:tcW w:w="9576" w:type="dxa"/>
            <w:shd w:val="clear" w:color="auto" w:fill="F2F2F2"/>
          </w:tcPr>
          <w:p w14:paraId="3AA56D8D" w14:textId="0F6E6BF1" w:rsidR="00FF2D7B" w:rsidRPr="00FF2D7B" w:rsidRDefault="00FF2D7B" w:rsidP="002C00FE">
            <w:pPr>
              <w:pStyle w:val="Body"/>
              <w:spacing w:after="0" w:line="360" w:lineRule="auto"/>
              <w:rPr>
                <w:rFonts w:ascii="Arial" w:eastAsia="Calibri" w:hAnsi="Arial" w:cs="Arial"/>
                <w:szCs w:val="22"/>
                <w:lang w:val="en-IN"/>
              </w:rPr>
            </w:pPr>
            <w:r w:rsidRPr="00FF2D7B">
              <w:rPr>
                <w:rFonts w:ascii="Arial" w:eastAsia="Calibri" w:hAnsi="Arial" w:cs="Arial"/>
                <w:szCs w:val="22"/>
                <w:lang w:val="en-IN"/>
              </w:rPr>
              <w:t>The present study was undertaken to develop and standardize a nutritionally enhanced Ready-To-Cook (RTC) Millet Khichdi premix, incorporating green gram splits, oats, and soy chunks, aimed at offering a convenient and wholesome meal solution. Key ingredients for the premix included Foxtail Millet</w:t>
            </w:r>
            <w:r>
              <w:rPr>
                <w:rFonts w:ascii="Arial" w:eastAsia="Calibri" w:hAnsi="Arial" w:cs="Arial"/>
                <w:szCs w:val="22"/>
                <w:lang w:val="en-IN"/>
              </w:rPr>
              <w:t xml:space="preserve"> (</w:t>
            </w:r>
            <w:proofErr w:type="spellStart"/>
            <w:r w:rsidRPr="00FF2D7B">
              <w:rPr>
                <w:rFonts w:ascii="Arial" w:eastAsia="Calibri" w:hAnsi="Arial" w:cs="Arial"/>
                <w:i/>
                <w:iCs/>
                <w:szCs w:val="22"/>
                <w:lang w:val="en-IN"/>
              </w:rPr>
              <w:t>Setaria</w:t>
            </w:r>
            <w:proofErr w:type="spellEnd"/>
            <w:r w:rsidRPr="00FF2D7B">
              <w:rPr>
                <w:rFonts w:ascii="Arial" w:eastAsia="Calibri" w:hAnsi="Arial" w:cs="Arial"/>
                <w:i/>
                <w:iCs/>
                <w:szCs w:val="22"/>
                <w:lang w:val="en-IN"/>
              </w:rPr>
              <w:t xml:space="preserve"> </w:t>
            </w:r>
            <w:proofErr w:type="spellStart"/>
            <w:r w:rsidRPr="00FF2D7B">
              <w:rPr>
                <w:rFonts w:ascii="Arial" w:eastAsia="Calibri" w:hAnsi="Arial" w:cs="Arial"/>
                <w:i/>
                <w:iCs/>
                <w:szCs w:val="22"/>
                <w:lang w:val="en-IN"/>
              </w:rPr>
              <w:t>italica</w:t>
            </w:r>
            <w:proofErr w:type="spellEnd"/>
            <w:r>
              <w:rPr>
                <w:rFonts w:ascii="Arial" w:eastAsia="Calibri" w:hAnsi="Arial" w:cs="Arial"/>
                <w:szCs w:val="22"/>
                <w:lang w:val="en-IN"/>
              </w:rPr>
              <w:t>)</w:t>
            </w:r>
            <w:r w:rsidRPr="00FF2D7B">
              <w:rPr>
                <w:rFonts w:ascii="Arial" w:eastAsia="Calibri" w:hAnsi="Arial" w:cs="Arial"/>
                <w:szCs w:val="22"/>
                <w:lang w:val="en-IN"/>
              </w:rPr>
              <w:t>, Dehulled Green Gram Splits</w:t>
            </w:r>
            <w:r>
              <w:rPr>
                <w:rFonts w:ascii="Arial" w:eastAsia="Calibri" w:hAnsi="Arial" w:cs="Arial"/>
                <w:szCs w:val="22"/>
                <w:lang w:val="en-IN"/>
              </w:rPr>
              <w:t xml:space="preserve"> (</w:t>
            </w:r>
            <w:r w:rsidRPr="00FF2D7B">
              <w:rPr>
                <w:rFonts w:ascii="Arial" w:eastAsia="Calibri" w:hAnsi="Arial" w:cs="Arial"/>
                <w:i/>
                <w:iCs/>
                <w:szCs w:val="22"/>
                <w:lang w:val="en-IN"/>
              </w:rPr>
              <w:t>Vigna radiata</w:t>
            </w:r>
            <w:r>
              <w:rPr>
                <w:rFonts w:ascii="Arial" w:eastAsia="Calibri" w:hAnsi="Arial" w:cs="Arial"/>
                <w:i/>
                <w:iCs/>
                <w:szCs w:val="22"/>
                <w:lang w:val="en-IN"/>
              </w:rPr>
              <w:t xml:space="preserve"> L.</w:t>
            </w:r>
            <w:r>
              <w:rPr>
                <w:rFonts w:ascii="Arial" w:eastAsia="Calibri" w:hAnsi="Arial" w:cs="Arial"/>
                <w:szCs w:val="22"/>
                <w:lang w:val="en-IN"/>
              </w:rPr>
              <w:t>)</w:t>
            </w:r>
            <w:r w:rsidRPr="00FF2D7B">
              <w:rPr>
                <w:rFonts w:ascii="Arial" w:eastAsia="Calibri" w:hAnsi="Arial" w:cs="Arial"/>
                <w:szCs w:val="22"/>
                <w:lang w:val="en-IN"/>
              </w:rPr>
              <w:t>, Oats</w:t>
            </w:r>
            <w:r>
              <w:rPr>
                <w:rFonts w:ascii="Arial" w:eastAsia="Calibri" w:hAnsi="Arial" w:cs="Arial"/>
                <w:szCs w:val="22"/>
                <w:lang w:val="en-IN"/>
              </w:rPr>
              <w:t xml:space="preserve"> (</w:t>
            </w:r>
            <w:proofErr w:type="spellStart"/>
            <w:r w:rsidRPr="00FF2D7B">
              <w:rPr>
                <w:rFonts w:ascii="Arial" w:eastAsia="Calibri" w:hAnsi="Arial" w:cs="Arial"/>
                <w:i/>
                <w:iCs/>
                <w:szCs w:val="22"/>
                <w:lang w:val="en-IN"/>
              </w:rPr>
              <w:t>Avena</w:t>
            </w:r>
            <w:proofErr w:type="spellEnd"/>
            <w:r w:rsidRPr="00FF2D7B">
              <w:rPr>
                <w:rFonts w:ascii="Arial" w:eastAsia="Calibri" w:hAnsi="Arial" w:cs="Arial"/>
                <w:i/>
                <w:iCs/>
                <w:szCs w:val="22"/>
                <w:lang w:val="en-IN"/>
              </w:rPr>
              <w:t xml:space="preserve"> sativa</w:t>
            </w:r>
            <w:r>
              <w:rPr>
                <w:rFonts w:ascii="Arial" w:eastAsia="Calibri" w:hAnsi="Arial" w:cs="Arial"/>
                <w:szCs w:val="22"/>
                <w:lang w:val="en-IN"/>
              </w:rPr>
              <w:t>)</w:t>
            </w:r>
            <w:r w:rsidRPr="00FF2D7B">
              <w:rPr>
                <w:rFonts w:ascii="Arial" w:eastAsia="Calibri" w:hAnsi="Arial" w:cs="Arial"/>
                <w:szCs w:val="22"/>
                <w:lang w:val="en-IN"/>
              </w:rPr>
              <w:t xml:space="preserve">, Soy Chunks, dehydrated vegetables (carrot and peas), and a distinct Peri-Peri spice blend, alongside salt and tomato powder. To optimize the formulation, an experimental study involving four variations (Control, Sample A, Sample B, Sample C) with differing ingredient ratios was conducted. Comprehensive sensory evaluation was performed by 30 semi-trained </w:t>
            </w:r>
            <w:proofErr w:type="spellStart"/>
            <w:r w:rsidRPr="00FF2D7B">
              <w:rPr>
                <w:rFonts w:ascii="Arial" w:eastAsia="Calibri" w:hAnsi="Arial" w:cs="Arial"/>
                <w:szCs w:val="22"/>
                <w:lang w:val="en-IN"/>
              </w:rPr>
              <w:t>panelists</w:t>
            </w:r>
            <w:proofErr w:type="spellEnd"/>
            <w:r w:rsidRPr="00FF2D7B">
              <w:rPr>
                <w:rFonts w:ascii="Arial" w:eastAsia="Calibri" w:hAnsi="Arial" w:cs="Arial"/>
                <w:szCs w:val="22"/>
                <w:lang w:val="en-IN"/>
              </w:rPr>
              <w:t xml:space="preserve"> using a 9-point Hedonic scale to assess attributes such as </w:t>
            </w:r>
            <w:proofErr w:type="spellStart"/>
            <w:r w:rsidRPr="00FF2D7B">
              <w:rPr>
                <w:rFonts w:ascii="Arial" w:eastAsia="Calibri" w:hAnsi="Arial" w:cs="Arial"/>
                <w:szCs w:val="22"/>
                <w:lang w:val="en-IN"/>
              </w:rPr>
              <w:t>color</w:t>
            </w:r>
            <w:proofErr w:type="spellEnd"/>
            <w:r w:rsidRPr="00FF2D7B">
              <w:rPr>
                <w:rFonts w:ascii="Arial" w:eastAsia="Calibri" w:hAnsi="Arial" w:cs="Arial"/>
                <w:szCs w:val="22"/>
                <w:lang w:val="en-IN"/>
              </w:rPr>
              <w:t xml:space="preserve">, taste, texture, </w:t>
            </w:r>
            <w:proofErr w:type="spellStart"/>
            <w:r w:rsidRPr="00FF2D7B">
              <w:rPr>
                <w:rFonts w:ascii="Arial" w:eastAsia="Calibri" w:hAnsi="Arial" w:cs="Arial"/>
                <w:szCs w:val="22"/>
                <w:lang w:val="en-IN"/>
              </w:rPr>
              <w:t>flavor</w:t>
            </w:r>
            <w:proofErr w:type="spellEnd"/>
            <w:r w:rsidRPr="00FF2D7B">
              <w:rPr>
                <w:rFonts w:ascii="Arial" w:eastAsia="Calibri" w:hAnsi="Arial" w:cs="Arial"/>
                <w:szCs w:val="22"/>
                <w:lang w:val="en-IN"/>
              </w:rPr>
              <w:t>, and overall acceptability; a Just-About-Right (JAR) scale was also employed to evaluate saltiness and spiciness.</w:t>
            </w:r>
          </w:p>
          <w:p w14:paraId="633A40D9" w14:textId="42EDDE9D" w:rsidR="00505F06" w:rsidRPr="00FF2D7B" w:rsidRDefault="00FF2D7B" w:rsidP="002C00FE">
            <w:pPr>
              <w:pStyle w:val="Body"/>
              <w:spacing w:after="0" w:line="360" w:lineRule="auto"/>
              <w:rPr>
                <w:rFonts w:ascii="Arial" w:eastAsia="Calibri" w:hAnsi="Arial" w:cs="Arial"/>
                <w:szCs w:val="22"/>
                <w:lang w:val="en-IN"/>
              </w:rPr>
            </w:pPr>
            <w:r w:rsidRPr="00FF2D7B">
              <w:rPr>
                <w:rFonts w:ascii="Arial" w:eastAsia="Calibri" w:hAnsi="Arial" w:cs="Arial"/>
                <w:szCs w:val="22"/>
                <w:lang w:val="en-IN"/>
              </w:rPr>
              <w:t>Among the developed formulations, Sample C, comprising Foxtail Millet (40%), Dehulled Green Gram Splits (20%), Oats (10%), and Soy Chunks (10%), was identified as the optimized premix due to its superior sensory scores and was selected for further detailed analysis. The optimized RTC Khichdi premix (Sample C) exhibited a strong nutritional profile per 100g: moisture 5.00 ± 0.2%, crude protein 18.72 ± 0.3g, crude fat 4.19 ± 0.1g, crude fibre 8.16 ± 0.2g, and ash 7.30 ± 0.2g. Hedonic scale ratings for Sample C were consistently high, with overall acceptability at 8.4 ± 0.5. JAR scale analysis indicated well-balanced attributes for saltiness (2.6 ± 0.3) and spiciness (2.8 ± 0.2). Furthermore, microbiological analysis confirmed the product's safety, with a Total Plate Count of &lt;1 CFU/g and coliforms being absent. This research successfully yielded a nutritionally superior, highly palatable, and microbiologically safe RTC Millet Khichdi premix.</w:t>
            </w:r>
          </w:p>
        </w:tc>
      </w:tr>
    </w:tbl>
    <w:p w14:paraId="61B45118" w14:textId="77777777" w:rsidR="00636EB2" w:rsidRDefault="00636EB2" w:rsidP="002C00FE">
      <w:pPr>
        <w:pStyle w:val="Body"/>
        <w:spacing w:after="0" w:line="360" w:lineRule="auto"/>
        <w:rPr>
          <w:rFonts w:ascii="Arial" w:hAnsi="Arial" w:cs="Arial"/>
          <w:i/>
        </w:rPr>
      </w:pPr>
    </w:p>
    <w:p w14:paraId="61B17EBF" w14:textId="62AAC3C4" w:rsidR="0024282C" w:rsidRPr="00AF6046" w:rsidRDefault="00A24E7E" w:rsidP="002C00FE">
      <w:pPr>
        <w:pStyle w:val="Body"/>
        <w:spacing w:after="0" w:line="360" w:lineRule="auto"/>
        <w:rPr>
          <w:rFonts w:ascii="Arial" w:hAnsi="Arial" w:cs="Arial"/>
          <w:i/>
        </w:rPr>
      </w:pPr>
      <w:r>
        <w:rPr>
          <w:rFonts w:ascii="Arial" w:hAnsi="Arial" w:cs="Arial"/>
          <w:i/>
        </w:rPr>
        <w:t xml:space="preserve">Keywords: </w:t>
      </w:r>
      <w:r w:rsidR="00742646">
        <w:rPr>
          <w:rFonts w:ascii="Arial" w:hAnsi="Arial" w:cs="Arial"/>
          <w:i/>
        </w:rPr>
        <w:t>Khichdi, Ready-To-Cook, Foxtail millet, Green gram splits, Oats, Soy chunks</w:t>
      </w:r>
    </w:p>
    <w:p w14:paraId="7158582D" w14:textId="77777777" w:rsidR="00505F06" w:rsidRPr="00A24E7E" w:rsidRDefault="00505F06" w:rsidP="002C00FE">
      <w:pPr>
        <w:pStyle w:val="Body"/>
        <w:spacing w:after="0" w:line="360" w:lineRule="auto"/>
        <w:rPr>
          <w:rFonts w:ascii="Arial" w:hAnsi="Arial" w:cs="Arial"/>
          <w:i/>
        </w:rPr>
      </w:pPr>
    </w:p>
    <w:p w14:paraId="653B9AAD" w14:textId="6F4DFA96" w:rsidR="007F7B32" w:rsidRDefault="00902823" w:rsidP="002C00FE">
      <w:pPr>
        <w:pStyle w:val="AbstHead"/>
        <w:spacing w:after="0" w:line="360" w:lineRule="auto"/>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3AA9C114" w14:textId="77777777" w:rsidR="00790ADA" w:rsidRPr="00FB3A86" w:rsidRDefault="00790ADA" w:rsidP="002C00FE">
      <w:pPr>
        <w:pStyle w:val="AbstHead"/>
        <w:spacing w:after="0" w:line="360" w:lineRule="auto"/>
        <w:jc w:val="both"/>
        <w:rPr>
          <w:rFonts w:ascii="Arial" w:hAnsi="Arial" w:cs="Arial"/>
        </w:rPr>
      </w:pPr>
    </w:p>
    <w:p w14:paraId="2678F0D8" w14:textId="0F21E22D"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Khichdi, a traditional and widely consumed dish in Indian cuisine, is a simple preparation primarily made from rice and lentils (Rajeswari &amp; Naik, 2023). It is deeply ingrained in Indian cultural practices and is often favored for its ease of digestion and nutritional value, making it suitable for various groups including infants, those recovering from illness, and the elderly (Rajeswari &amp; Naik, 2023). The adaptability of khichdi allows for many regional variations across India, incorporating different grains, lentils, and vegetables, which showcases the country's rich culinary diversity. Common versions include plain rice (</w:t>
      </w:r>
      <w:r w:rsidRPr="00CC3A5A">
        <w:rPr>
          <w:rFonts w:ascii="Arial" w:eastAsia="Calibri" w:hAnsi="Arial" w:cs="Arial"/>
          <w:i/>
          <w:iCs/>
        </w:rPr>
        <w:t>Oryza sativa</w:t>
      </w:r>
      <w:r w:rsidRPr="00CC3A5A">
        <w:rPr>
          <w:rFonts w:ascii="Arial" w:eastAsia="Calibri" w:hAnsi="Arial" w:cs="Arial"/>
        </w:rPr>
        <w:t>) and moong dal (</w:t>
      </w:r>
      <w:r w:rsidRPr="00CC3A5A">
        <w:rPr>
          <w:rFonts w:ascii="Arial" w:eastAsia="Calibri" w:hAnsi="Arial" w:cs="Arial"/>
          <w:i/>
          <w:iCs/>
        </w:rPr>
        <w:t>Vigna radiata L</w:t>
      </w:r>
      <w:r w:rsidRPr="00CC3A5A">
        <w:rPr>
          <w:rFonts w:ascii="Arial" w:eastAsia="Calibri" w:hAnsi="Arial" w:cs="Arial"/>
        </w:rPr>
        <w:t>.) khichdi, while other recipes feature a broader range of spices and mixed vegetables.</w:t>
      </w:r>
    </w:p>
    <w:p w14:paraId="1759871E" w14:textId="66A47487"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Current global trends, driven by busy lifestyles and demanding schedules, show an increasing demand for convenient and healthy food options. This has significantly contributed to the growth of the convenience food and Ready-to-Cook (RTC) food sectors (Cui et al., 2024). RTC products are designed to minimize preparation time while offering nutritional benefits and a longer shelf life (Negi et al., 2021). This trend has also influenced traditional Indian dishes, leading to the development of instant khichdi premixes that provide a quick and easy meal solution (Rajeswari &amp; Naik, 2023).</w:t>
      </w:r>
    </w:p>
    <w:p w14:paraId="239A0A9C" w14:textId="3EC7D7F1"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 xml:space="preserve">The rising recognition of millets' nutritional benefits has led to their increased consumption in modern diets. Millets are resilient grains that grow well in challenging conditions and have a higher mineral and vitamin content compared to rice and wheat (Rajeswari &amp; Naik, 2023). Consequently, millet-based </w:t>
      </w:r>
      <w:r w:rsidR="00056209" w:rsidRPr="00CC3A5A">
        <w:rPr>
          <w:rFonts w:ascii="Arial" w:eastAsia="Calibri" w:hAnsi="Arial" w:cs="Arial"/>
        </w:rPr>
        <w:t>khichdi’s</w:t>
      </w:r>
      <w:r w:rsidRPr="00CC3A5A">
        <w:rPr>
          <w:rFonts w:ascii="Arial" w:eastAsia="Calibri" w:hAnsi="Arial" w:cs="Arial"/>
        </w:rPr>
        <w:t xml:space="preserve"> are becoming a popular healthier choice over traditional rice-based options, addressing contemporary health concerns such as diabetes, obesity, and anemia (Rajeswari &amp; Naik, 2023). Foxtail millet (</w:t>
      </w:r>
      <w:proofErr w:type="spellStart"/>
      <w:r w:rsidRPr="00CC3A5A">
        <w:rPr>
          <w:rFonts w:ascii="Arial" w:eastAsia="Calibri" w:hAnsi="Arial" w:cs="Arial"/>
          <w:i/>
          <w:iCs/>
        </w:rPr>
        <w:t>Setaria</w:t>
      </w:r>
      <w:proofErr w:type="spellEnd"/>
      <w:r w:rsidRPr="00CC3A5A">
        <w:rPr>
          <w:rFonts w:ascii="Arial" w:eastAsia="Calibri" w:hAnsi="Arial" w:cs="Arial"/>
          <w:i/>
          <w:iCs/>
        </w:rPr>
        <w:t xml:space="preserve"> </w:t>
      </w:r>
      <w:proofErr w:type="spellStart"/>
      <w:r w:rsidRPr="00CC3A5A">
        <w:rPr>
          <w:rFonts w:ascii="Arial" w:eastAsia="Calibri" w:hAnsi="Arial" w:cs="Arial"/>
          <w:i/>
          <w:iCs/>
        </w:rPr>
        <w:t>italica</w:t>
      </w:r>
      <w:proofErr w:type="spellEnd"/>
      <w:r w:rsidRPr="00CC3A5A">
        <w:rPr>
          <w:rFonts w:ascii="Arial" w:eastAsia="Calibri" w:hAnsi="Arial" w:cs="Arial"/>
        </w:rPr>
        <w:t>) is notably an underutilized grain with substantial nutritional properties, making it an excellent ingredient for health-focused food products (Raju et al., 2025).</w:t>
      </w:r>
    </w:p>
    <w:p w14:paraId="7A4AC9FE" w14:textId="2EBD8F1C"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Despite the existing range of khichdi premixes available, as revealed by a preliminary market survey, there is a clear need for formulations that effectively balance nutritional content with appealing sensory qualities, full ingredient integration, and single-step preparation. This research addresses this need through the development and standardization of an instant</w:t>
      </w:r>
      <w:r w:rsidR="00AF291F">
        <w:rPr>
          <w:rFonts w:ascii="Arial" w:eastAsia="Calibri" w:hAnsi="Arial" w:cs="Arial"/>
        </w:rPr>
        <w:t xml:space="preserve"> </w:t>
      </w:r>
      <w:r w:rsidRPr="00CC3A5A">
        <w:rPr>
          <w:rFonts w:ascii="Arial" w:eastAsia="Calibri" w:hAnsi="Arial" w:cs="Arial"/>
        </w:rPr>
        <w:t xml:space="preserve">millet khichdi </w:t>
      </w:r>
      <w:r w:rsidR="00AF291F">
        <w:rPr>
          <w:rFonts w:ascii="Arial" w:eastAsia="Calibri" w:hAnsi="Arial" w:cs="Arial"/>
        </w:rPr>
        <w:t>pre</w:t>
      </w:r>
      <w:r w:rsidRPr="00CC3A5A">
        <w:rPr>
          <w:rFonts w:ascii="Arial" w:eastAsia="Calibri" w:hAnsi="Arial" w:cs="Arial"/>
        </w:rPr>
        <w:t>mix. Our product is strategically designed to offer a convenient, nutritionally robust, and organoleptically pleasing meal solution through the judicious integration of foxtail millet (</w:t>
      </w:r>
      <w:proofErr w:type="spellStart"/>
      <w:r w:rsidRPr="00CC3A5A">
        <w:rPr>
          <w:rFonts w:ascii="Arial" w:eastAsia="Calibri" w:hAnsi="Arial" w:cs="Arial"/>
          <w:i/>
          <w:iCs/>
        </w:rPr>
        <w:t>Setaria</w:t>
      </w:r>
      <w:proofErr w:type="spellEnd"/>
      <w:r w:rsidRPr="00CC3A5A">
        <w:rPr>
          <w:rFonts w:ascii="Arial" w:eastAsia="Calibri" w:hAnsi="Arial" w:cs="Arial"/>
          <w:i/>
          <w:iCs/>
        </w:rPr>
        <w:t xml:space="preserve"> </w:t>
      </w:r>
      <w:proofErr w:type="spellStart"/>
      <w:r w:rsidRPr="00CC3A5A">
        <w:rPr>
          <w:rFonts w:ascii="Arial" w:eastAsia="Calibri" w:hAnsi="Arial" w:cs="Arial"/>
          <w:i/>
          <w:iCs/>
        </w:rPr>
        <w:t>italica</w:t>
      </w:r>
      <w:proofErr w:type="spellEnd"/>
      <w:r w:rsidRPr="00CC3A5A">
        <w:rPr>
          <w:rFonts w:ascii="Arial" w:eastAsia="Calibri" w:hAnsi="Arial" w:cs="Arial"/>
        </w:rPr>
        <w:t>), green gram splits (</w:t>
      </w:r>
      <w:r w:rsidRPr="00CC3A5A">
        <w:rPr>
          <w:rFonts w:ascii="Arial" w:eastAsia="Calibri" w:hAnsi="Arial" w:cs="Arial"/>
          <w:i/>
          <w:iCs/>
        </w:rPr>
        <w:t>Vigna radiata L</w:t>
      </w:r>
      <w:r w:rsidRPr="00CC3A5A">
        <w:rPr>
          <w:rFonts w:ascii="Arial" w:eastAsia="Calibri" w:hAnsi="Arial" w:cs="Arial"/>
        </w:rPr>
        <w:t>.), oats (</w:t>
      </w:r>
      <w:proofErr w:type="spellStart"/>
      <w:r w:rsidRPr="00CC3A5A">
        <w:rPr>
          <w:rFonts w:ascii="Arial" w:eastAsia="Calibri" w:hAnsi="Arial" w:cs="Arial"/>
          <w:i/>
          <w:iCs/>
        </w:rPr>
        <w:t>Avena</w:t>
      </w:r>
      <w:proofErr w:type="spellEnd"/>
      <w:r w:rsidRPr="00CC3A5A">
        <w:rPr>
          <w:rFonts w:ascii="Arial" w:eastAsia="Calibri" w:hAnsi="Arial" w:cs="Arial"/>
          <w:i/>
          <w:iCs/>
        </w:rPr>
        <w:t xml:space="preserve"> sativa</w:t>
      </w:r>
      <w:r w:rsidRPr="00CC3A5A">
        <w:rPr>
          <w:rFonts w:ascii="Arial" w:eastAsia="Calibri" w:hAnsi="Arial" w:cs="Arial"/>
        </w:rPr>
        <w:t>), soy chunks, a Peri-Peri spice blend, and dehydrated vegetables.</w:t>
      </w:r>
    </w:p>
    <w:p w14:paraId="429BE17B" w14:textId="51E28D0A"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The deliberate inclusion of each constituent ingredient within our formulation is predicated upon its distinctive mechanical, functional, and nutritional characteristics. Foxtail millet, serving as the foundational grain (40% of formulation), contributes substantially to the complex carbohydrate content and dietary fiber, thereby forming the core matrix of the khichdi. Its utilization aligns seamlessly with the burgeoning global interest in integrating underutilized, nutrient-dense grains into quotidian dietary patterns. Dehulled Green gram splits (20% of formulation) are instrumental in augmenting the protein content of the formulation, registering approximately 20-29% protein on a dry weight basis (Hou et al., 2019), and contribute significantly to the dietary fiber content. Oats (10% of formulation) are meticulously incorporated for their commendable lipid profile and elevated concentrations of soluble fiber, most notably β-glucan, which confers substantial benefits for glycemic regulation and gastrointestinal health (</w:t>
      </w:r>
      <w:proofErr w:type="spellStart"/>
      <w:r w:rsidRPr="00CC3A5A">
        <w:rPr>
          <w:rFonts w:ascii="Arial" w:eastAsia="Calibri" w:hAnsi="Arial" w:cs="Arial"/>
        </w:rPr>
        <w:t>Paudel</w:t>
      </w:r>
      <w:proofErr w:type="spellEnd"/>
      <w:r w:rsidRPr="00CC3A5A">
        <w:rPr>
          <w:rFonts w:ascii="Arial" w:eastAsia="Calibri" w:hAnsi="Arial" w:cs="Arial"/>
        </w:rPr>
        <w:t xml:space="preserve"> et al., 2021; Decker et al., 2014). Oats additionally contribute a moderate proportion of protein (around 13%) and fat to the overall composition. Textured soy protein chunks (10% of formulation) represent a pivotal ingredient for protein fortification, exhibiting an impressive protein concentration of approximately 52% (Patil et al., 2023). They also furnish insoluble dietary fiber, further enriching the fiber density of the formulation and contributing a desirable heterogeneous texture. Dehydrated carrot (4.5%) and peas (4.5%) are integrated for their contribution of dietary fiber and essential minerals, simultaneously enhancing the overall textural integrity and </w:t>
      </w:r>
      <w:r w:rsidRPr="00CC3A5A">
        <w:rPr>
          <w:rFonts w:ascii="Arial" w:eastAsia="Calibri" w:hAnsi="Arial" w:cs="Arial"/>
        </w:rPr>
        <w:lastRenderedPageBreak/>
        <w:t>mouthfeel of the reconstituted product. The blanching and subsequent dehydration of these vegetables are crucial processes that aid in the preservation of their vital mineral content (</w:t>
      </w:r>
      <w:proofErr w:type="spellStart"/>
      <w:r w:rsidRPr="00CC3A5A">
        <w:rPr>
          <w:rFonts w:ascii="Arial" w:eastAsia="Calibri" w:hAnsi="Arial" w:cs="Arial"/>
        </w:rPr>
        <w:t>Motegaonkar</w:t>
      </w:r>
      <w:proofErr w:type="spellEnd"/>
      <w:r w:rsidRPr="00CC3A5A">
        <w:rPr>
          <w:rFonts w:ascii="Arial" w:eastAsia="Calibri" w:hAnsi="Arial" w:cs="Arial"/>
        </w:rPr>
        <w:t xml:space="preserve"> et al., 2024; Pandey et al., 2019). The Peri-Peri spice blend (6.25%), along with other auxiliary spices (garlic powder, onion powder, red </w:t>
      </w:r>
      <w:proofErr w:type="spellStart"/>
      <w:r w:rsidRPr="00CC3A5A">
        <w:rPr>
          <w:rFonts w:ascii="Arial" w:eastAsia="Calibri" w:hAnsi="Arial" w:cs="Arial"/>
        </w:rPr>
        <w:t>chilli</w:t>
      </w:r>
      <w:proofErr w:type="spellEnd"/>
      <w:r w:rsidRPr="00CC3A5A">
        <w:rPr>
          <w:rFonts w:ascii="Arial" w:eastAsia="Calibri" w:hAnsi="Arial" w:cs="Arial"/>
        </w:rPr>
        <w:t xml:space="preserve"> powder, red </w:t>
      </w:r>
      <w:proofErr w:type="spellStart"/>
      <w:r w:rsidRPr="00CC3A5A">
        <w:rPr>
          <w:rFonts w:ascii="Arial" w:eastAsia="Calibri" w:hAnsi="Arial" w:cs="Arial"/>
        </w:rPr>
        <w:t>chilli</w:t>
      </w:r>
      <w:proofErr w:type="spellEnd"/>
      <w:r w:rsidRPr="00CC3A5A">
        <w:rPr>
          <w:rFonts w:ascii="Arial" w:eastAsia="Calibri" w:hAnsi="Arial" w:cs="Arial"/>
        </w:rPr>
        <w:t xml:space="preserve"> flakes, oregano powder, black pepper powder, turmeric powder) and salt, are meticulously selected for their profound impact on the flavor, color, and aroma profiles. Tomato powder and monosodium glutamate (MSG) are incorporated primarily for their flavor-enhancing properties.</w:t>
      </w:r>
    </w:p>
    <w:p w14:paraId="1D60FB21" w14:textId="7125F6C2" w:rsidR="00FF2D7B" w:rsidRDefault="00FF2D7B" w:rsidP="002C00FE">
      <w:pPr>
        <w:spacing w:line="360" w:lineRule="auto"/>
        <w:jc w:val="both"/>
      </w:pPr>
      <w:r w:rsidRPr="00CC3A5A">
        <w:rPr>
          <w:rFonts w:ascii="Arial" w:eastAsia="Calibri" w:hAnsi="Arial" w:cs="Arial"/>
        </w:rPr>
        <w:t>This study aimed to develop and standardize this RTC Foxtail Millet Khichdi premix by conducting systematic formulation trials, comprehensive proximate analysis, detailed sensory evaluations, and microbiological safety assessments. The scope involved optimizing ingredient ratios to achieve a product that is not only nutritionally superior but also highly acceptable in terms of taste, texture, and overall sensory experience, with a quick cooking time of 10 minutes. The justification for this work lies in addressing the consumer need for healthy, convenient, and palatable meal options, promoting the utilization of nutritious millets, and contributing a well-characterized product to the RTC food market.</w:t>
      </w:r>
    </w:p>
    <w:p w14:paraId="7E3A6DBE" w14:textId="32177C7D" w:rsidR="00B01FCD" w:rsidRDefault="00B01FCD" w:rsidP="002C00FE">
      <w:pPr>
        <w:pStyle w:val="Body"/>
        <w:spacing w:after="0" w:line="360" w:lineRule="auto"/>
        <w:rPr>
          <w:rFonts w:ascii="Arial" w:hAnsi="Arial" w:cs="Arial"/>
        </w:rPr>
      </w:pPr>
    </w:p>
    <w:p w14:paraId="22911FB7" w14:textId="77777777" w:rsidR="00790ADA" w:rsidRPr="00FB3A86" w:rsidRDefault="00790ADA" w:rsidP="002C00FE">
      <w:pPr>
        <w:pStyle w:val="Body"/>
        <w:spacing w:after="0" w:line="360" w:lineRule="auto"/>
        <w:rPr>
          <w:rFonts w:ascii="Arial" w:hAnsi="Arial" w:cs="Arial"/>
        </w:rPr>
      </w:pPr>
    </w:p>
    <w:p w14:paraId="347A758A" w14:textId="2023A61E" w:rsidR="007F7B32" w:rsidRPr="000F0368" w:rsidRDefault="00902823" w:rsidP="002C00FE">
      <w:pPr>
        <w:pStyle w:val="AbstHead"/>
        <w:spacing w:after="0" w:line="360" w:lineRule="auto"/>
        <w:rPr>
          <w:rFonts w:ascii="Arial" w:hAnsi="Arial" w:cs="Arial"/>
        </w:rPr>
      </w:pPr>
      <w:r w:rsidRPr="000F0368">
        <w:rPr>
          <w:rFonts w:ascii="Arial" w:hAnsi="Arial" w:cs="Arial"/>
        </w:rPr>
        <w:t>2. material</w:t>
      </w:r>
      <w:r w:rsidR="00913946">
        <w:rPr>
          <w:rFonts w:ascii="Arial" w:hAnsi="Arial" w:cs="Arial"/>
        </w:rPr>
        <w:t>s</w:t>
      </w:r>
      <w:r w:rsidRPr="000F0368">
        <w:rPr>
          <w:rFonts w:ascii="Arial" w:hAnsi="Arial" w:cs="Arial"/>
        </w:rPr>
        <w:t xml:space="preserve"> and </w:t>
      </w:r>
      <w:r w:rsidR="006B57D0" w:rsidRPr="000F0368">
        <w:rPr>
          <w:rFonts w:ascii="Arial" w:hAnsi="Arial" w:cs="Arial"/>
        </w:rPr>
        <w:t>methodology</w:t>
      </w:r>
    </w:p>
    <w:p w14:paraId="58FC029A" w14:textId="77777777" w:rsidR="00790ADA" w:rsidRPr="000F0368" w:rsidRDefault="00790ADA" w:rsidP="002C00FE">
      <w:pPr>
        <w:pStyle w:val="AbstHead"/>
        <w:spacing w:after="0" w:line="360" w:lineRule="auto"/>
        <w:jc w:val="both"/>
        <w:rPr>
          <w:rFonts w:ascii="Arial" w:hAnsi="Arial" w:cs="Arial"/>
        </w:rPr>
      </w:pPr>
    </w:p>
    <w:p w14:paraId="1B96C442" w14:textId="77777777" w:rsidR="000F0368" w:rsidRDefault="000F0368" w:rsidP="002C00FE">
      <w:pPr>
        <w:spacing w:line="360" w:lineRule="auto"/>
        <w:rPr>
          <w:rFonts w:ascii="Arial" w:hAnsi="Arial" w:cs="Arial"/>
          <w:b/>
          <w:bCs/>
          <w:sz w:val="22"/>
          <w:szCs w:val="22"/>
        </w:rPr>
      </w:pPr>
      <w:r w:rsidRPr="000F0368">
        <w:rPr>
          <w:rFonts w:ascii="Arial" w:hAnsi="Arial" w:cs="Arial"/>
          <w:b/>
          <w:bCs/>
          <w:sz w:val="22"/>
          <w:szCs w:val="22"/>
        </w:rPr>
        <w:t>2.1 Materials</w:t>
      </w:r>
    </w:p>
    <w:p w14:paraId="72D6947D" w14:textId="77777777" w:rsidR="000F0368" w:rsidRPr="000F0368" w:rsidRDefault="000F0368" w:rsidP="002C00FE">
      <w:pPr>
        <w:spacing w:line="360" w:lineRule="auto"/>
        <w:rPr>
          <w:rFonts w:ascii="Arial" w:hAnsi="Arial" w:cs="Arial"/>
          <w:b/>
          <w:bCs/>
          <w:sz w:val="22"/>
          <w:szCs w:val="22"/>
        </w:rPr>
      </w:pPr>
    </w:p>
    <w:p w14:paraId="01F3E3A9" w14:textId="56CE94BE" w:rsidR="000F0368" w:rsidRDefault="000F0368" w:rsidP="002C00FE">
      <w:pPr>
        <w:spacing w:line="360" w:lineRule="auto"/>
        <w:rPr>
          <w:rFonts w:ascii="Arial" w:hAnsi="Arial" w:cs="Arial"/>
        </w:rPr>
      </w:pPr>
      <w:r w:rsidRPr="000F0368">
        <w:rPr>
          <w:rFonts w:ascii="Arial" w:hAnsi="Arial" w:cs="Arial"/>
        </w:rPr>
        <w:t>Raw materials such as foxtail millet (</w:t>
      </w:r>
      <w:proofErr w:type="spellStart"/>
      <w:r w:rsidRPr="00913946">
        <w:rPr>
          <w:rFonts w:ascii="Arial" w:hAnsi="Arial" w:cs="Arial"/>
          <w:i/>
          <w:iCs/>
        </w:rPr>
        <w:t>Setaria</w:t>
      </w:r>
      <w:proofErr w:type="spellEnd"/>
      <w:r w:rsidRPr="00913946">
        <w:rPr>
          <w:rFonts w:ascii="Arial" w:hAnsi="Arial" w:cs="Arial"/>
          <w:i/>
          <w:iCs/>
        </w:rPr>
        <w:t xml:space="preserve"> </w:t>
      </w:r>
      <w:proofErr w:type="spellStart"/>
      <w:r w:rsidRPr="00913946">
        <w:rPr>
          <w:rFonts w:ascii="Arial" w:hAnsi="Arial" w:cs="Arial"/>
          <w:i/>
          <w:iCs/>
        </w:rPr>
        <w:t>italica</w:t>
      </w:r>
      <w:proofErr w:type="spellEnd"/>
      <w:r w:rsidRPr="000F0368">
        <w:rPr>
          <w:rFonts w:ascii="Arial" w:hAnsi="Arial" w:cs="Arial"/>
        </w:rPr>
        <w:t xml:space="preserve">), </w:t>
      </w:r>
      <w:r w:rsidR="00913946">
        <w:rPr>
          <w:rFonts w:ascii="Arial" w:hAnsi="Arial" w:cs="Arial"/>
        </w:rPr>
        <w:t xml:space="preserve">dehulled </w:t>
      </w:r>
      <w:r w:rsidRPr="000F0368">
        <w:rPr>
          <w:rFonts w:ascii="Arial" w:hAnsi="Arial" w:cs="Arial"/>
        </w:rPr>
        <w:t>green gram split</w:t>
      </w:r>
      <w:r w:rsidR="00913946">
        <w:rPr>
          <w:rFonts w:ascii="Arial" w:hAnsi="Arial" w:cs="Arial"/>
        </w:rPr>
        <w:t>s</w:t>
      </w:r>
      <w:r w:rsidRPr="000F0368">
        <w:rPr>
          <w:rFonts w:ascii="Arial" w:hAnsi="Arial" w:cs="Arial"/>
        </w:rPr>
        <w:t xml:space="preserve"> (</w:t>
      </w:r>
      <w:r w:rsidRPr="00913946">
        <w:rPr>
          <w:rFonts w:ascii="Arial" w:hAnsi="Arial" w:cs="Arial"/>
          <w:i/>
          <w:iCs/>
        </w:rPr>
        <w:t>Vigna radiata</w:t>
      </w:r>
      <w:r w:rsidR="00913946">
        <w:rPr>
          <w:rFonts w:ascii="Arial" w:hAnsi="Arial" w:cs="Arial"/>
          <w:i/>
          <w:iCs/>
        </w:rPr>
        <w:t xml:space="preserve"> L.</w:t>
      </w:r>
      <w:r w:rsidRPr="000F0368">
        <w:rPr>
          <w:rFonts w:ascii="Arial" w:hAnsi="Arial" w:cs="Arial"/>
        </w:rPr>
        <w:t>), soy chunks, oats (</w:t>
      </w:r>
      <w:proofErr w:type="spellStart"/>
      <w:r w:rsidRPr="00913946">
        <w:rPr>
          <w:rFonts w:ascii="Arial" w:hAnsi="Arial" w:cs="Arial"/>
          <w:i/>
          <w:iCs/>
        </w:rPr>
        <w:t>Avena</w:t>
      </w:r>
      <w:proofErr w:type="spellEnd"/>
      <w:r w:rsidRPr="00913946">
        <w:rPr>
          <w:rFonts w:ascii="Arial" w:hAnsi="Arial" w:cs="Arial"/>
          <w:i/>
          <w:iCs/>
        </w:rPr>
        <w:t xml:space="preserve"> sativa</w:t>
      </w:r>
      <w:r w:rsidRPr="000F0368">
        <w:rPr>
          <w:rFonts w:ascii="Arial" w:hAnsi="Arial" w:cs="Arial"/>
        </w:rPr>
        <w:t xml:space="preserve">), and </w:t>
      </w:r>
      <w:r w:rsidR="00913946">
        <w:rPr>
          <w:rFonts w:ascii="Arial" w:hAnsi="Arial" w:cs="Arial"/>
        </w:rPr>
        <w:t>spices</w:t>
      </w:r>
      <w:r w:rsidRPr="000F0368">
        <w:rPr>
          <w:rFonts w:ascii="Arial" w:hAnsi="Arial" w:cs="Arial"/>
        </w:rPr>
        <w:t xml:space="preserve"> used in the development and standardization of RTC millet khichdi </w:t>
      </w:r>
      <w:r w:rsidR="00913946">
        <w:rPr>
          <w:rFonts w:ascii="Arial" w:hAnsi="Arial" w:cs="Arial"/>
        </w:rPr>
        <w:t xml:space="preserve">premix </w:t>
      </w:r>
      <w:r w:rsidRPr="000F0368">
        <w:rPr>
          <w:rFonts w:ascii="Arial" w:hAnsi="Arial" w:cs="Arial"/>
        </w:rPr>
        <w:t xml:space="preserve">were procured by using a quick commerce platform named Big Basket. Fresh vegetables such as carrots and green peas were procured from the local market of </w:t>
      </w:r>
      <w:proofErr w:type="spellStart"/>
      <w:r w:rsidRPr="000F0368">
        <w:rPr>
          <w:rFonts w:ascii="Arial" w:hAnsi="Arial" w:cs="Arial"/>
        </w:rPr>
        <w:t>Loni</w:t>
      </w:r>
      <w:proofErr w:type="spellEnd"/>
      <w:r w:rsidRPr="000F0368">
        <w:rPr>
          <w:rFonts w:ascii="Arial" w:hAnsi="Arial" w:cs="Arial"/>
        </w:rPr>
        <w:t xml:space="preserve"> </w:t>
      </w:r>
      <w:proofErr w:type="spellStart"/>
      <w:r w:rsidRPr="000F0368">
        <w:rPr>
          <w:rFonts w:ascii="Arial" w:hAnsi="Arial" w:cs="Arial"/>
        </w:rPr>
        <w:t>Kalbhor</w:t>
      </w:r>
      <w:proofErr w:type="spellEnd"/>
      <w:r w:rsidR="00913946">
        <w:rPr>
          <w:rFonts w:ascii="Arial" w:hAnsi="Arial" w:cs="Arial"/>
        </w:rPr>
        <w:t>, Pune, Maharashtra, India</w:t>
      </w:r>
      <w:r w:rsidRPr="000F0368">
        <w:rPr>
          <w:rFonts w:ascii="Arial" w:hAnsi="Arial" w:cs="Arial"/>
        </w:rPr>
        <w:t xml:space="preserve"> for dehydration and dehydrated in a lab-scale dehydrator at MIT School of Food Technology, Pune, Maharashtra</w:t>
      </w:r>
      <w:r w:rsidR="00913946">
        <w:rPr>
          <w:rFonts w:ascii="Arial" w:hAnsi="Arial" w:cs="Arial"/>
        </w:rPr>
        <w:t>, India</w:t>
      </w:r>
      <w:r w:rsidRPr="000F0368">
        <w:rPr>
          <w:rFonts w:ascii="Arial" w:hAnsi="Arial" w:cs="Arial"/>
        </w:rPr>
        <w:t>. Peri-Peri</w:t>
      </w:r>
      <w:r w:rsidR="00913946">
        <w:rPr>
          <w:rFonts w:ascii="Arial" w:hAnsi="Arial" w:cs="Arial"/>
        </w:rPr>
        <w:t xml:space="preserve"> spice</w:t>
      </w:r>
      <w:r w:rsidRPr="000F0368">
        <w:rPr>
          <w:rFonts w:ascii="Arial" w:hAnsi="Arial" w:cs="Arial"/>
        </w:rPr>
        <w:t xml:space="preserve"> blend was prepared by using spices in the local market of </w:t>
      </w:r>
      <w:proofErr w:type="spellStart"/>
      <w:r w:rsidRPr="000F0368">
        <w:rPr>
          <w:rFonts w:ascii="Arial" w:hAnsi="Arial" w:cs="Arial"/>
        </w:rPr>
        <w:t>Loni</w:t>
      </w:r>
      <w:proofErr w:type="spellEnd"/>
      <w:r w:rsidRPr="000F0368">
        <w:rPr>
          <w:rFonts w:ascii="Arial" w:hAnsi="Arial" w:cs="Arial"/>
        </w:rPr>
        <w:t xml:space="preserve"> </w:t>
      </w:r>
      <w:proofErr w:type="spellStart"/>
      <w:r w:rsidRPr="000F0368">
        <w:rPr>
          <w:rFonts w:ascii="Arial" w:hAnsi="Arial" w:cs="Arial"/>
        </w:rPr>
        <w:t>Kalbhor</w:t>
      </w:r>
      <w:proofErr w:type="spellEnd"/>
      <w:r w:rsidRPr="000F0368">
        <w:rPr>
          <w:rFonts w:ascii="Arial" w:hAnsi="Arial" w:cs="Arial"/>
        </w:rPr>
        <w:t>. Potable water used for soaking.</w:t>
      </w:r>
    </w:p>
    <w:p w14:paraId="4AB44C89" w14:textId="77777777" w:rsidR="000F0368" w:rsidRPr="000F0368" w:rsidRDefault="000F0368" w:rsidP="002C00FE">
      <w:pPr>
        <w:spacing w:line="360" w:lineRule="auto"/>
        <w:rPr>
          <w:rFonts w:ascii="Arial" w:hAnsi="Arial" w:cs="Arial"/>
        </w:rPr>
      </w:pPr>
    </w:p>
    <w:p w14:paraId="0471690B" w14:textId="22CCD1B4" w:rsidR="000F0368" w:rsidRDefault="000F0368" w:rsidP="002C00FE">
      <w:pPr>
        <w:spacing w:line="360" w:lineRule="auto"/>
        <w:rPr>
          <w:rFonts w:ascii="Arial" w:hAnsi="Arial" w:cs="Arial"/>
          <w:b/>
          <w:bCs/>
          <w:sz w:val="22"/>
          <w:szCs w:val="22"/>
        </w:rPr>
      </w:pPr>
      <w:r w:rsidRPr="000F0368">
        <w:rPr>
          <w:rFonts w:ascii="Arial" w:hAnsi="Arial" w:cs="Arial"/>
          <w:b/>
          <w:bCs/>
          <w:sz w:val="22"/>
          <w:szCs w:val="22"/>
        </w:rPr>
        <w:t xml:space="preserve">2.2 Preparation of </w:t>
      </w:r>
      <w:r w:rsidR="00913946">
        <w:rPr>
          <w:rFonts w:ascii="Arial" w:hAnsi="Arial" w:cs="Arial"/>
          <w:b/>
          <w:bCs/>
          <w:sz w:val="22"/>
          <w:szCs w:val="22"/>
        </w:rPr>
        <w:t>D</w:t>
      </w:r>
      <w:r w:rsidRPr="000F0368">
        <w:rPr>
          <w:rFonts w:ascii="Arial" w:hAnsi="Arial" w:cs="Arial"/>
          <w:b/>
          <w:bCs/>
          <w:sz w:val="22"/>
          <w:szCs w:val="22"/>
        </w:rPr>
        <w:t xml:space="preserve">ehydrated </w:t>
      </w:r>
      <w:r w:rsidR="00913946">
        <w:rPr>
          <w:rFonts w:ascii="Arial" w:hAnsi="Arial" w:cs="Arial"/>
          <w:b/>
          <w:bCs/>
          <w:sz w:val="22"/>
          <w:szCs w:val="22"/>
        </w:rPr>
        <w:t>V</w:t>
      </w:r>
      <w:r w:rsidRPr="000F0368">
        <w:rPr>
          <w:rFonts w:ascii="Arial" w:hAnsi="Arial" w:cs="Arial"/>
          <w:b/>
          <w:bCs/>
          <w:sz w:val="22"/>
          <w:szCs w:val="22"/>
        </w:rPr>
        <w:t>egetables</w:t>
      </w:r>
    </w:p>
    <w:p w14:paraId="0B263935" w14:textId="77777777" w:rsidR="000F0368" w:rsidRPr="000F0368" w:rsidRDefault="000F0368" w:rsidP="002C00FE">
      <w:pPr>
        <w:spacing w:line="360" w:lineRule="auto"/>
        <w:rPr>
          <w:rFonts w:ascii="Arial" w:hAnsi="Arial" w:cs="Arial"/>
          <w:b/>
          <w:bCs/>
          <w:sz w:val="22"/>
          <w:szCs w:val="22"/>
        </w:rPr>
      </w:pPr>
    </w:p>
    <w:p w14:paraId="0DD789A4" w14:textId="6328A55B" w:rsidR="000F0368" w:rsidRPr="000F0368" w:rsidRDefault="000F0368" w:rsidP="002C00FE">
      <w:pPr>
        <w:spacing w:line="360" w:lineRule="auto"/>
        <w:rPr>
          <w:rFonts w:ascii="Arial" w:hAnsi="Arial" w:cs="Arial"/>
          <w:b/>
          <w:bCs/>
        </w:rPr>
      </w:pPr>
      <w:r w:rsidRPr="000F0368">
        <w:rPr>
          <w:rFonts w:ascii="Arial" w:hAnsi="Arial" w:cs="Arial"/>
          <w:b/>
          <w:bCs/>
        </w:rPr>
        <w:t>2.2.1 Carrot (</w:t>
      </w:r>
      <w:r w:rsidRPr="000F0368">
        <w:rPr>
          <w:rFonts w:ascii="Arial" w:hAnsi="Arial" w:cs="Arial"/>
          <w:b/>
          <w:bCs/>
          <w:i/>
          <w:iCs/>
        </w:rPr>
        <w:t xml:space="preserve">Daucus </w:t>
      </w:r>
      <w:proofErr w:type="spellStart"/>
      <w:r w:rsidRPr="000F0368">
        <w:rPr>
          <w:rFonts w:ascii="Arial" w:hAnsi="Arial" w:cs="Arial"/>
          <w:b/>
          <w:bCs/>
          <w:i/>
          <w:iCs/>
        </w:rPr>
        <w:t>carota</w:t>
      </w:r>
      <w:proofErr w:type="spellEnd"/>
      <w:r w:rsidRPr="000F0368">
        <w:rPr>
          <w:rFonts w:ascii="Arial" w:hAnsi="Arial" w:cs="Arial"/>
          <w:b/>
          <w:bCs/>
        </w:rPr>
        <w:t>)</w:t>
      </w:r>
    </w:p>
    <w:p w14:paraId="20C81D5B" w14:textId="77777777" w:rsidR="000F0368" w:rsidRPr="000F0368" w:rsidRDefault="000F0368" w:rsidP="002C00FE">
      <w:pPr>
        <w:spacing w:line="360" w:lineRule="auto"/>
        <w:rPr>
          <w:rFonts w:ascii="Arial" w:hAnsi="Arial" w:cs="Arial"/>
        </w:rPr>
      </w:pPr>
      <w:r w:rsidRPr="000F0368">
        <w:rPr>
          <w:rFonts w:ascii="Arial" w:hAnsi="Arial" w:cs="Arial"/>
        </w:rPr>
        <w:t>Fresh carrots were cleaned, peeled, and then cut into 5 mm cubes. Blanching them in boiling water at 85°C for 2 minutes rendered the peroxidase and catalase enzymes fully inactive while preserving a significant amount of vitamin C and β-carotene (</w:t>
      </w:r>
      <w:proofErr w:type="spellStart"/>
      <w:r w:rsidRPr="000F0368">
        <w:rPr>
          <w:rFonts w:ascii="Arial" w:hAnsi="Arial" w:cs="Arial"/>
        </w:rPr>
        <w:t>Pervin</w:t>
      </w:r>
      <w:proofErr w:type="spellEnd"/>
      <w:r w:rsidRPr="000F0368">
        <w:rPr>
          <w:rFonts w:ascii="Arial" w:hAnsi="Arial" w:cs="Arial"/>
        </w:rPr>
        <w:t xml:space="preserve"> et al., 2015). After blanching, the carrot cubes were quickly chilled in cold water to cease the cooking process. Following this, they were immersed in a solution containing 1% salt and 2% sugar for ten minutes. This osmotic treatment improves flavor and reduces drying shrinkage (</w:t>
      </w:r>
      <w:proofErr w:type="spellStart"/>
      <w:r w:rsidRPr="000F0368">
        <w:rPr>
          <w:rFonts w:ascii="Arial" w:hAnsi="Arial" w:cs="Arial"/>
        </w:rPr>
        <w:t>Mierzwa</w:t>
      </w:r>
      <w:proofErr w:type="spellEnd"/>
      <w:r w:rsidRPr="000F0368">
        <w:rPr>
          <w:rFonts w:ascii="Arial" w:hAnsi="Arial" w:cs="Arial"/>
        </w:rPr>
        <w:t xml:space="preserve"> et al., 2017; Ahmed &amp; Jamal, 2016).</w:t>
      </w:r>
    </w:p>
    <w:p w14:paraId="381AECE9" w14:textId="77777777" w:rsidR="000F0368" w:rsidRPr="000F0368" w:rsidRDefault="000F0368" w:rsidP="002C00FE">
      <w:pPr>
        <w:spacing w:line="360" w:lineRule="auto"/>
        <w:rPr>
          <w:rFonts w:ascii="Arial" w:hAnsi="Arial" w:cs="Arial"/>
        </w:rPr>
      </w:pPr>
    </w:p>
    <w:p w14:paraId="7BFF755A" w14:textId="3E92959A" w:rsidR="000F0368" w:rsidRPr="000F0368" w:rsidRDefault="000F0368" w:rsidP="002C00FE">
      <w:pPr>
        <w:spacing w:line="360" w:lineRule="auto"/>
        <w:rPr>
          <w:rFonts w:ascii="Arial" w:hAnsi="Arial" w:cs="Arial"/>
          <w:b/>
          <w:bCs/>
        </w:rPr>
      </w:pPr>
      <w:r>
        <w:rPr>
          <w:rFonts w:ascii="Arial" w:hAnsi="Arial" w:cs="Arial"/>
          <w:b/>
          <w:bCs/>
        </w:rPr>
        <w:t xml:space="preserve">2.2.2 </w:t>
      </w:r>
      <w:r w:rsidRPr="000F0368">
        <w:rPr>
          <w:rFonts w:ascii="Arial" w:hAnsi="Arial" w:cs="Arial"/>
          <w:b/>
          <w:bCs/>
        </w:rPr>
        <w:t>Green Peas (</w:t>
      </w:r>
      <w:r w:rsidRPr="000F0368">
        <w:rPr>
          <w:rFonts w:ascii="Arial" w:hAnsi="Arial" w:cs="Arial"/>
          <w:b/>
          <w:bCs/>
          <w:i/>
          <w:iCs/>
        </w:rPr>
        <w:t>Pisum sativum</w:t>
      </w:r>
      <w:r w:rsidRPr="000F0368">
        <w:rPr>
          <w:rFonts w:ascii="Arial" w:hAnsi="Arial" w:cs="Arial"/>
          <w:b/>
          <w:bCs/>
        </w:rPr>
        <w:t>)</w:t>
      </w:r>
    </w:p>
    <w:p w14:paraId="124609F7" w14:textId="77777777" w:rsidR="000F0368" w:rsidRDefault="000F0368" w:rsidP="002C00FE">
      <w:pPr>
        <w:spacing w:line="360" w:lineRule="auto"/>
        <w:rPr>
          <w:rFonts w:ascii="Arial" w:hAnsi="Arial" w:cs="Arial"/>
        </w:rPr>
      </w:pPr>
      <w:r w:rsidRPr="000F0368">
        <w:rPr>
          <w:rFonts w:ascii="Arial" w:hAnsi="Arial" w:cs="Arial"/>
        </w:rPr>
        <w:t>Fresh green peas (</w:t>
      </w:r>
      <w:r w:rsidRPr="000F0368">
        <w:rPr>
          <w:rFonts w:ascii="Arial" w:hAnsi="Arial" w:cs="Arial"/>
          <w:i/>
          <w:iCs/>
        </w:rPr>
        <w:t>Pisum sativum</w:t>
      </w:r>
      <w:r w:rsidRPr="000F0368">
        <w:rPr>
          <w:rFonts w:ascii="Arial" w:hAnsi="Arial" w:cs="Arial"/>
        </w:rPr>
        <w:t xml:space="preserve">) were cleaned and blanched in boiling water at 85°C for two minutes to inactivate enzymes such as peroxidase and catalase, thereby preserving color and texture (Zhang et al., 2021). After blanching, the peas were rapidly cooled in cold water to halt the cooking process. Subsequently, they were immersed in a 0.5% sodium bicarbonate solution for five minutes. This treatment helps maintain the green color by preventing chlorophyll degradation and enhances texture during dehydration (FAO, n.d.). Finally, both the green peas and previously prepared carrot cubes </w:t>
      </w:r>
      <w:r w:rsidRPr="000F0368">
        <w:rPr>
          <w:rFonts w:ascii="Arial" w:hAnsi="Arial" w:cs="Arial"/>
        </w:rPr>
        <w:lastRenderedPageBreak/>
        <w:t>were dehydrated at 70°C for 8 hours using a cabinet tray dryer, a method effective in preserving nutritional quality and structural integrity (Zhang et al., 2021).</w:t>
      </w:r>
    </w:p>
    <w:p w14:paraId="2EC4347A" w14:textId="77777777" w:rsidR="000F0368" w:rsidRPr="000F0368" w:rsidRDefault="000F0368" w:rsidP="002C00FE">
      <w:pPr>
        <w:spacing w:line="360" w:lineRule="auto"/>
        <w:rPr>
          <w:rFonts w:ascii="Arial" w:hAnsi="Arial" w:cs="Arial"/>
        </w:rPr>
      </w:pPr>
    </w:p>
    <w:p w14:paraId="23F8FD68" w14:textId="6918380B" w:rsidR="000F0368" w:rsidRDefault="000F0368" w:rsidP="002C00FE">
      <w:pPr>
        <w:spacing w:line="360" w:lineRule="auto"/>
        <w:rPr>
          <w:rFonts w:ascii="Arial" w:hAnsi="Arial" w:cs="Arial"/>
          <w:b/>
          <w:bCs/>
          <w:sz w:val="22"/>
          <w:szCs w:val="22"/>
        </w:rPr>
      </w:pPr>
      <w:r w:rsidRPr="000F0368">
        <w:rPr>
          <w:rFonts w:ascii="Arial" w:hAnsi="Arial" w:cs="Arial"/>
          <w:b/>
          <w:bCs/>
          <w:sz w:val="22"/>
          <w:szCs w:val="22"/>
        </w:rPr>
        <w:t>2.3 Preparation of Ready</w:t>
      </w:r>
      <w:r>
        <w:rPr>
          <w:rFonts w:ascii="Arial" w:hAnsi="Arial" w:cs="Arial"/>
          <w:b/>
          <w:bCs/>
          <w:sz w:val="22"/>
          <w:szCs w:val="22"/>
        </w:rPr>
        <w:t>-</w:t>
      </w:r>
      <w:r w:rsidRPr="000F0368">
        <w:rPr>
          <w:rFonts w:ascii="Arial" w:hAnsi="Arial" w:cs="Arial"/>
          <w:b/>
          <w:bCs/>
          <w:sz w:val="22"/>
          <w:szCs w:val="22"/>
        </w:rPr>
        <w:t>To</w:t>
      </w:r>
      <w:r>
        <w:rPr>
          <w:rFonts w:ascii="Arial" w:hAnsi="Arial" w:cs="Arial"/>
          <w:b/>
          <w:bCs/>
          <w:sz w:val="22"/>
          <w:szCs w:val="22"/>
        </w:rPr>
        <w:t>-</w:t>
      </w:r>
      <w:r w:rsidRPr="000F0368">
        <w:rPr>
          <w:rFonts w:ascii="Arial" w:hAnsi="Arial" w:cs="Arial"/>
          <w:b/>
          <w:bCs/>
          <w:sz w:val="22"/>
          <w:szCs w:val="22"/>
        </w:rPr>
        <w:t xml:space="preserve">Cook </w:t>
      </w:r>
      <w:r w:rsidR="00913946">
        <w:rPr>
          <w:rFonts w:ascii="Arial" w:hAnsi="Arial" w:cs="Arial"/>
          <w:b/>
          <w:bCs/>
          <w:sz w:val="22"/>
          <w:szCs w:val="22"/>
        </w:rPr>
        <w:t>M</w:t>
      </w:r>
      <w:r w:rsidRPr="000F0368">
        <w:rPr>
          <w:rFonts w:ascii="Arial" w:hAnsi="Arial" w:cs="Arial"/>
          <w:b/>
          <w:bCs/>
          <w:sz w:val="22"/>
          <w:szCs w:val="22"/>
        </w:rPr>
        <w:t xml:space="preserve">illet </w:t>
      </w:r>
      <w:r w:rsidR="00913946">
        <w:rPr>
          <w:rFonts w:ascii="Arial" w:hAnsi="Arial" w:cs="Arial"/>
          <w:b/>
          <w:bCs/>
          <w:sz w:val="22"/>
          <w:szCs w:val="22"/>
        </w:rPr>
        <w:t>K</w:t>
      </w:r>
      <w:r w:rsidRPr="000F0368">
        <w:rPr>
          <w:rFonts w:ascii="Arial" w:hAnsi="Arial" w:cs="Arial"/>
          <w:b/>
          <w:bCs/>
          <w:sz w:val="22"/>
          <w:szCs w:val="22"/>
        </w:rPr>
        <w:t xml:space="preserve">hichdi </w:t>
      </w:r>
      <w:r w:rsidR="00913946">
        <w:rPr>
          <w:rFonts w:ascii="Arial" w:hAnsi="Arial" w:cs="Arial"/>
          <w:b/>
          <w:bCs/>
          <w:sz w:val="22"/>
          <w:szCs w:val="22"/>
        </w:rPr>
        <w:t>P</w:t>
      </w:r>
      <w:r w:rsidRPr="000F0368">
        <w:rPr>
          <w:rFonts w:ascii="Arial" w:hAnsi="Arial" w:cs="Arial"/>
          <w:b/>
          <w:bCs/>
          <w:sz w:val="22"/>
          <w:szCs w:val="22"/>
        </w:rPr>
        <w:t>remix</w:t>
      </w:r>
    </w:p>
    <w:p w14:paraId="401180B9" w14:textId="77777777" w:rsidR="006F1429" w:rsidRDefault="006F1429" w:rsidP="002C00FE">
      <w:pPr>
        <w:spacing w:line="360" w:lineRule="auto"/>
        <w:rPr>
          <w:rFonts w:ascii="Arial" w:hAnsi="Arial" w:cs="Arial"/>
          <w:b/>
          <w:bCs/>
          <w:sz w:val="22"/>
          <w:szCs w:val="22"/>
        </w:rPr>
      </w:pPr>
    </w:p>
    <w:p w14:paraId="3CC906FB" w14:textId="36494144" w:rsidR="00C478FA" w:rsidRDefault="00C478FA" w:rsidP="002C00FE">
      <w:pPr>
        <w:spacing w:line="360" w:lineRule="auto"/>
        <w:jc w:val="center"/>
        <w:rPr>
          <w:rFonts w:ascii="Arial" w:hAnsi="Arial" w:cs="Arial"/>
        </w:rPr>
      </w:pPr>
      <w:r w:rsidRPr="00C478FA">
        <w:rPr>
          <w:rFonts w:ascii="Arial" w:hAnsi="Arial" w:cs="Arial"/>
          <w:noProof/>
        </w:rPr>
        <w:drawing>
          <wp:inline distT="0" distB="0" distL="0" distR="0" wp14:anchorId="3359A9DE" wp14:editId="51C8426B">
            <wp:extent cx="6371590" cy="4777324"/>
            <wp:effectExtent l="0" t="0" r="0" b="0"/>
            <wp:docPr id="1846331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31910" name=""/>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Lst>
                    </a:blip>
                    <a:srcRect l="7086" t="267"/>
                    <a:stretch/>
                  </pic:blipFill>
                  <pic:spPr bwMode="auto">
                    <a:xfrm>
                      <a:off x="0" y="0"/>
                      <a:ext cx="6372025" cy="4777650"/>
                    </a:xfrm>
                    <a:prstGeom prst="rect">
                      <a:avLst/>
                    </a:prstGeom>
                    <a:ln>
                      <a:noFill/>
                    </a:ln>
                    <a:extLst>
                      <a:ext uri="{53640926-AAD7-44D8-BBD7-CCE9431645EC}">
                        <a14:shadowObscured xmlns:a14="http://schemas.microsoft.com/office/drawing/2010/main"/>
                      </a:ext>
                    </a:extLst>
                  </pic:spPr>
                </pic:pic>
              </a:graphicData>
            </a:graphic>
          </wp:inline>
        </w:drawing>
      </w:r>
    </w:p>
    <w:p w14:paraId="7800CB68" w14:textId="5DE1523A" w:rsidR="00C478FA" w:rsidRDefault="00D13370" w:rsidP="002C00FE">
      <w:pPr>
        <w:spacing w:line="360" w:lineRule="auto"/>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Pr="008247A6">
        <w:rPr>
          <w:rFonts w:ascii="Arial" w:hAnsi="Arial" w:cs="Arial"/>
          <w:b/>
          <w:bCs/>
          <w:szCs w:val="22"/>
        </w:rPr>
        <w:t xml:space="preserve"> </w:t>
      </w:r>
      <w:r>
        <w:rPr>
          <w:rFonts w:ascii="Arial" w:hAnsi="Arial" w:cs="Arial"/>
          <w:b/>
          <w:bCs/>
          <w:szCs w:val="22"/>
        </w:rPr>
        <w:t>Process methodology flowchart of RTC millet khichdi premix</w:t>
      </w:r>
    </w:p>
    <w:p w14:paraId="31D6807D" w14:textId="77777777" w:rsidR="00D13370" w:rsidRDefault="00D13370" w:rsidP="002C00FE">
      <w:pPr>
        <w:spacing w:line="360" w:lineRule="auto"/>
        <w:rPr>
          <w:rFonts w:ascii="Arial" w:hAnsi="Arial" w:cs="Arial"/>
        </w:rPr>
      </w:pPr>
    </w:p>
    <w:p w14:paraId="159C1703" w14:textId="502BEC35" w:rsidR="006F1429" w:rsidRPr="00AF291F" w:rsidRDefault="000F0368" w:rsidP="002C00FE">
      <w:pPr>
        <w:spacing w:line="360" w:lineRule="auto"/>
        <w:rPr>
          <w:rFonts w:ascii="Arial" w:hAnsi="Arial" w:cs="Arial"/>
        </w:rPr>
      </w:pPr>
      <w:r w:rsidRPr="000F0368">
        <w:rPr>
          <w:rFonts w:ascii="Arial" w:hAnsi="Arial" w:cs="Arial"/>
        </w:rPr>
        <w:t xml:space="preserve">The preparation of the </w:t>
      </w:r>
      <w:r w:rsidR="00913946">
        <w:rPr>
          <w:rFonts w:ascii="Arial" w:hAnsi="Arial" w:cs="Arial"/>
        </w:rPr>
        <w:t>RTC</w:t>
      </w:r>
      <w:r w:rsidRPr="000F0368">
        <w:rPr>
          <w:rFonts w:ascii="Arial" w:hAnsi="Arial" w:cs="Arial"/>
        </w:rPr>
        <w:t xml:space="preserve"> millet khichdi premix was carried out under hygienic and standardized lab-scale conditions to ensure consistency, safety, and product quality</w:t>
      </w:r>
      <w:r w:rsidR="006F1429">
        <w:rPr>
          <w:rFonts w:ascii="Arial" w:hAnsi="Arial" w:cs="Arial"/>
        </w:rPr>
        <w:t xml:space="preserve"> (Fig. 1)</w:t>
      </w:r>
      <w:r w:rsidRPr="000F0368">
        <w:rPr>
          <w:rFonts w:ascii="Arial" w:hAnsi="Arial" w:cs="Arial"/>
        </w:rPr>
        <w:t>. Initially the main ingredients foxtail millet and green gram splits were cleaned to ensure removal of the foreign matter and immature kernels to maintain the quality and safety of product. The sorted grains were soaked separately in potable water by keeping the ratio of 1:3</w:t>
      </w:r>
      <w:r w:rsidR="00AF291F">
        <w:rPr>
          <w:rFonts w:ascii="Arial" w:hAnsi="Arial" w:cs="Arial"/>
        </w:rPr>
        <w:t xml:space="preserve"> (</w:t>
      </w:r>
      <w:r w:rsidRPr="000F0368">
        <w:rPr>
          <w:rFonts w:ascii="Arial" w:hAnsi="Arial" w:cs="Arial"/>
        </w:rPr>
        <w:t xml:space="preserve">w/v) for 8 hours at room temperature (25 ± 2 °C). After soaking the excess water was drained using perforated tray so that grains having approximately moisture content 40%. These grains were cooked by using the pressure cooker for </w:t>
      </w:r>
      <w:r w:rsidR="00AF291F">
        <w:rPr>
          <w:rFonts w:ascii="Arial" w:hAnsi="Arial" w:cs="Arial"/>
        </w:rPr>
        <w:t xml:space="preserve">a period of </w:t>
      </w:r>
      <w:r w:rsidRPr="000F0368">
        <w:rPr>
          <w:rFonts w:ascii="Arial" w:hAnsi="Arial" w:cs="Arial"/>
        </w:rPr>
        <w:t>10 minutes</w:t>
      </w:r>
      <w:r w:rsidR="00AF291F">
        <w:rPr>
          <w:rFonts w:ascii="Arial" w:hAnsi="Arial" w:cs="Arial"/>
        </w:rPr>
        <w:t xml:space="preserve"> </w:t>
      </w:r>
      <w:r w:rsidRPr="000F0368">
        <w:rPr>
          <w:rFonts w:ascii="Arial" w:hAnsi="Arial" w:cs="Arial"/>
        </w:rPr>
        <w:t xml:space="preserve">at </w:t>
      </w:r>
      <w:r w:rsidR="00AF291F">
        <w:rPr>
          <w:rFonts w:ascii="Arial" w:hAnsi="Arial" w:cs="Arial"/>
        </w:rPr>
        <w:t xml:space="preserve">a pressure of </w:t>
      </w:r>
      <w:r w:rsidRPr="000F0368">
        <w:rPr>
          <w:rFonts w:ascii="Arial" w:hAnsi="Arial" w:cs="Arial"/>
        </w:rPr>
        <w:t>psi so that partial gelatinization to improve the final products texture and cooking time.</w:t>
      </w:r>
      <w:r w:rsidR="00AF291F">
        <w:rPr>
          <w:rFonts w:ascii="Arial" w:hAnsi="Arial" w:cs="Arial"/>
        </w:rPr>
        <w:t xml:space="preserve"> </w:t>
      </w:r>
      <w:r w:rsidRPr="000F0368">
        <w:rPr>
          <w:rFonts w:ascii="Arial" w:hAnsi="Arial" w:cs="Arial"/>
        </w:rPr>
        <w:t>Following the gelatinization, the grains were then dried using a cabinet tray dryer and dried at 70 °C with an airflow of 1.2 m/s for eight hours targeting moisture content of ≤ 5%. Meanwhile soy chunks were rehydrated by boiling in water for 15 minutes then drained and dried at 70 °C with an airflow of 1.2 m/s for eight hours in cabinet tray dryer targeting moisture content of ≤ 5%.</w:t>
      </w:r>
      <w:r w:rsidR="00AF291F">
        <w:rPr>
          <w:rFonts w:ascii="Arial" w:hAnsi="Arial" w:cs="Arial"/>
        </w:rPr>
        <w:t xml:space="preserve"> </w:t>
      </w:r>
      <w:r w:rsidRPr="000F0368">
        <w:rPr>
          <w:rFonts w:ascii="Arial" w:hAnsi="Arial" w:cs="Arial"/>
        </w:rPr>
        <w:t xml:space="preserve">To increase the flavor profile and reduce enzyme activity oats were roasted on hot pan surface at 180 °C for 5 </w:t>
      </w:r>
      <w:r w:rsidRPr="000F0368">
        <w:rPr>
          <w:rFonts w:ascii="Arial" w:hAnsi="Arial" w:cs="Arial"/>
        </w:rPr>
        <w:lastRenderedPageBreak/>
        <w:t>minutes with constant stirring. Peri-Peri spice blend with salt, tomato powder, and monosodium glutamate (MSG) was prepared for final blending.</w:t>
      </w:r>
      <w:r w:rsidR="00AF291F">
        <w:rPr>
          <w:rFonts w:ascii="Arial" w:hAnsi="Arial" w:cs="Arial"/>
        </w:rPr>
        <w:t xml:space="preserve"> </w:t>
      </w:r>
      <w:r w:rsidRPr="000F0368">
        <w:rPr>
          <w:rFonts w:ascii="Arial" w:hAnsi="Arial" w:cs="Arial"/>
        </w:rPr>
        <w:t>All pre-processed ingredients such as dried grains and pulses, roasted oats, dehydrated vegetables, soy chunks, and spice blend of peri-peri were mixed thoroughly at 15 rpm for 5 minutes to ensure uniformity. Once the mixture is prepared it was packed in 200g size into 3layer pouches to ensure its shelf life.</w:t>
      </w:r>
    </w:p>
    <w:p w14:paraId="37BD44AC" w14:textId="77777777" w:rsidR="00790ADA" w:rsidRDefault="00790ADA" w:rsidP="002C00FE">
      <w:pPr>
        <w:pStyle w:val="Body"/>
        <w:spacing w:after="0" w:line="360" w:lineRule="auto"/>
        <w:rPr>
          <w:rFonts w:ascii="Arial" w:hAnsi="Arial" w:cs="Arial"/>
        </w:rPr>
      </w:pPr>
    </w:p>
    <w:p w14:paraId="2FD7781D" w14:textId="17FED357" w:rsidR="003563A1" w:rsidRPr="00AF291F" w:rsidRDefault="003563A1" w:rsidP="002C00FE">
      <w:pPr>
        <w:pStyle w:val="Body"/>
        <w:spacing w:after="0" w:line="360" w:lineRule="auto"/>
        <w:rPr>
          <w:rFonts w:ascii="Arial" w:hAnsi="Arial" w:cs="Arial"/>
          <w:b/>
          <w:bCs/>
          <w:sz w:val="22"/>
          <w:szCs w:val="22"/>
        </w:rPr>
      </w:pPr>
      <w:r>
        <w:rPr>
          <w:rFonts w:ascii="Arial" w:hAnsi="Arial" w:cs="Arial"/>
          <w:b/>
          <w:bCs/>
          <w:sz w:val="22"/>
          <w:szCs w:val="22"/>
        </w:rPr>
        <w:t xml:space="preserve">2.4 Product </w:t>
      </w:r>
      <w:r w:rsidR="00913946">
        <w:rPr>
          <w:rFonts w:ascii="Arial" w:hAnsi="Arial" w:cs="Arial"/>
          <w:b/>
          <w:bCs/>
          <w:sz w:val="22"/>
          <w:szCs w:val="22"/>
        </w:rPr>
        <w:t>D</w:t>
      </w:r>
      <w:r>
        <w:rPr>
          <w:rFonts w:ascii="Arial" w:hAnsi="Arial" w:cs="Arial"/>
          <w:b/>
          <w:bCs/>
          <w:sz w:val="22"/>
          <w:szCs w:val="22"/>
        </w:rPr>
        <w:t xml:space="preserve">evelopment </w:t>
      </w:r>
      <w:r w:rsidR="00913946">
        <w:rPr>
          <w:rFonts w:ascii="Arial" w:hAnsi="Arial" w:cs="Arial"/>
          <w:b/>
          <w:bCs/>
          <w:sz w:val="22"/>
          <w:szCs w:val="22"/>
        </w:rPr>
        <w:t>T</w:t>
      </w:r>
      <w:r>
        <w:rPr>
          <w:rFonts w:ascii="Arial" w:hAnsi="Arial" w:cs="Arial"/>
          <w:b/>
          <w:bCs/>
          <w:sz w:val="22"/>
          <w:szCs w:val="22"/>
        </w:rPr>
        <w:t>rials</w:t>
      </w:r>
    </w:p>
    <w:p w14:paraId="15CFBC1A" w14:textId="77777777" w:rsidR="003563A1" w:rsidRDefault="003563A1" w:rsidP="002C00FE">
      <w:pPr>
        <w:pStyle w:val="Body"/>
        <w:spacing w:after="0" w:line="360" w:lineRule="auto"/>
        <w:rPr>
          <w:rFonts w:ascii="Arial" w:hAnsi="Arial" w:cs="Arial"/>
          <w:b/>
          <w:bCs/>
          <w:sz w:val="22"/>
          <w:szCs w:val="22"/>
        </w:rPr>
      </w:pPr>
    </w:p>
    <w:p w14:paraId="3A3F2606" w14:textId="77777777" w:rsidR="003563A1" w:rsidRPr="00DC3180" w:rsidRDefault="003563A1" w:rsidP="002C00FE">
      <w:pPr>
        <w:tabs>
          <w:tab w:val="left" w:pos="1080"/>
        </w:tabs>
        <w:spacing w:line="360" w:lineRule="auto"/>
        <w:jc w:val="both"/>
        <w:rPr>
          <w:rFonts w:ascii="Arial" w:hAnsi="Arial"/>
          <w:b/>
        </w:rPr>
      </w:pPr>
      <w:r>
        <w:rPr>
          <w:rFonts w:ascii="Arial" w:hAnsi="Arial"/>
          <w:b/>
        </w:rPr>
        <w:t xml:space="preserve">Table 1. </w:t>
      </w:r>
      <w:r w:rsidRPr="00A86393">
        <w:rPr>
          <w:rFonts w:ascii="Arial" w:hAnsi="Arial"/>
          <w:b/>
        </w:rPr>
        <w:t xml:space="preserve">Formulations of </w:t>
      </w:r>
      <w:r>
        <w:rPr>
          <w:rFonts w:ascii="Arial" w:hAnsi="Arial"/>
          <w:b/>
        </w:rPr>
        <w:t xml:space="preserve">RTC </w:t>
      </w:r>
      <w:r w:rsidRPr="00A86393">
        <w:rPr>
          <w:rFonts w:ascii="Arial" w:hAnsi="Arial"/>
          <w:b/>
        </w:rPr>
        <w:t>Millet Khichdi (per 100 g)</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3563A1" w:rsidRPr="004E19ED" w14:paraId="74D2B062" w14:textId="77777777" w:rsidTr="003563A1">
        <w:trPr>
          <w:jc w:val="center"/>
        </w:trPr>
        <w:tc>
          <w:tcPr>
            <w:tcW w:w="0" w:type="auto"/>
            <w:tcBorders>
              <w:bottom w:val="single" w:sz="4" w:space="0" w:color="auto"/>
            </w:tcBorders>
            <w:vAlign w:val="center"/>
          </w:tcPr>
          <w:p w14:paraId="23A28302" w14:textId="77777777" w:rsidR="003563A1" w:rsidRPr="004E19ED" w:rsidRDefault="003563A1" w:rsidP="002C00FE">
            <w:pPr>
              <w:spacing w:line="360" w:lineRule="auto"/>
              <w:rPr>
                <w:rFonts w:ascii="Arial" w:hAnsi="Arial" w:cs="Arial"/>
                <w:b/>
                <w:bCs/>
                <w:sz w:val="20"/>
                <w:szCs w:val="20"/>
              </w:rPr>
            </w:pPr>
            <w:bookmarkStart w:id="1" w:name="_Hlk199172584"/>
            <w:r w:rsidRPr="004E19ED">
              <w:rPr>
                <w:rFonts w:ascii="Arial" w:hAnsi="Arial" w:cs="Arial"/>
                <w:b/>
                <w:bCs/>
                <w:sz w:val="20"/>
                <w:szCs w:val="20"/>
              </w:rPr>
              <w:t>Ingredient</w:t>
            </w:r>
          </w:p>
        </w:tc>
        <w:tc>
          <w:tcPr>
            <w:tcW w:w="1318" w:type="dxa"/>
            <w:tcBorders>
              <w:bottom w:val="single" w:sz="4" w:space="0" w:color="auto"/>
            </w:tcBorders>
            <w:vAlign w:val="center"/>
          </w:tcPr>
          <w:p w14:paraId="2C889A80"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Control (g)</w:t>
            </w:r>
          </w:p>
        </w:tc>
        <w:tc>
          <w:tcPr>
            <w:tcW w:w="1440" w:type="dxa"/>
            <w:tcBorders>
              <w:bottom w:val="single" w:sz="4" w:space="0" w:color="auto"/>
            </w:tcBorders>
            <w:vAlign w:val="center"/>
          </w:tcPr>
          <w:p w14:paraId="0F9BF1E0"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Sample A (g)</w:t>
            </w:r>
          </w:p>
        </w:tc>
        <w:tc>
          <w:tcPr>
            <w:tcW w:w="1440" w:type="dxa"/>
            <w:tcBorders>
              <w:bottom w:val="single" w:sz="4" w:space="0" w:color="auto"/>
            </w:tcBorders>
            <w:vAlign w:val="center"/>
          </w:tcPr>
          <w:p w14:paraId="6C9ADBE4"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Sample B (g)</w:t>
            </w:r>
          </w:p>
        </w:tc>
        <w:tc>
          <w:tcPr>
            <w:tcW w:w="1440" w:type="dxa"/>
            <w:tcBorders>
              <w:bottom w:val="single" w:sz="4" w:space="0" w:color="auto"/>
            </w:tcBorders>
            <w:vAlign w:val="center"/>
          </w:tcPr>
          <w:p w14:paraId="0BF2988A"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Sample C (g)</w:t>
            </w:r>
          </w:p>
        </w:tc>
      </w:tr>
      <w:tr w:rsidR="003563A1" w:rsidRPr="004E19ED" w14:paraId="0527860C" w14:textId="77777777" w:rsidTr="003563A1">
        <w:trPr>
          <w:jc w:val="center"/>
        </w:trPr>
        <w:tc>
          <w:tcPr>
            <w:tcW w:w="0" w:type="auto"/>
            <w:tcBorders>
              <w:top w:val="single" w:sz="4" w:space="0" w:color="auto"/>
            </w:tcBorders>
            <w:vAlign w:val="center"/>
          </w:tcPr>
          <w:p w14:paraId="51C5A007" w14:textId="77777777" w:rsidR="003563A1" w:rsidRPr="004E19ED" w:rsidRDefault="003563A1" w:rsidP="002C00FE">
            <w:pPr>
              <w:spacing w:line="360" w:lineRule="auto"/>
              <w:rPr>
                <w:rFonts w:ascii="Arial" w:hAnsi="Arial" w:cs="Arial"/>
              </w:rPr>
            </w:pPr>
            <w:r w:rsidRPr="004E19ED">
              <w:rPr>
                <w:rFonts w:ascii="Arial" w:hAnsi="Arial" w:cs="Arial"/>
                <w:sz w:val="20"/>
                <w:szCs w:val="20"/>
              </w:rPr>
              <w:t>Foxtail millet</w:t>
            </w:r>
          </w:p>
        </w:tc>
        <w:tc>
          <w:tcPr>
            <w:tcW w:w="1318" w:type="dxa"/>
            <w:tcBorders>
              <w:top w:val="single" w:sz="4" w:space="0" w:color="auto"/>
            </w:tcBorders>
            <w:vAlign w:val="center"/>
          </w:tcPr>
          <w:p w14:paraId="25991346"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c>
          <w:tcPr>
            <w:tcW w:w="1440" w:type="dxa"/>
            <w:tcBorders>
              <w:top w:val="single" w:sz="4" w:space="0" w:color="auto"/>
            </w:tcBorders>
            <w:vAlign w:val="center"/>
          </w:tcPr>
          <w:p w14:paraId="7C851907"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c>
          <w:tcPr>
            <w:tcW w:w="1440" w:type="dxa"/>
            <w:tcBorders>
              <w:top w:val="single" w:sz="4" w:space="0" w:color="auto"/>
            </w:tcBorders>
            <w:vAlign w:val="center"/>
          </w:tcPr>
          <w:p w14:paraId="191E0F04"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c>
          <w:tcPr>
            <w:tcW w:w="1440" w:type="dxa"/>
            <w:tcBorders>
              <w:top w:val="single" w:sz="4" w:space="0" w:color="auto"/>
            </w:tcBorders>
            <w:vAlign w:val="center"/>
          </w:tcPr>
          <w:p w14:paraId="3132CE77"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r>
      <w:tr w:rsidR="003563A1" w:rsidRPr="004E19ED" w14:paraId="033574A1" w14:textId="77777777" w:rsidTr="003563A1">
        <w:trPr>
          <w:jc w:val="center"/>
        </w:trPr>
        <w:tc>
          <w:tcPr>
            <w:tcW w:w="0" w:type="auto"/>
            <w:vAlign w:val="center"/>
          </w:tcPr>
          <w:p w14:paraId="584E3387" w14:textId="77777777" w:rsidR="003563A1" w:rsidRPr="004E19ED" w:rsidRDefault="003563A1" w:rsidP="002C00FE">
            <w:pPr>
              <w:spacing w:line="360" w:lineRule="auto"/>
              <w:rPr>
                <w:rFonts w:ascii="Arial" w:hAnsi="Arial" w:cs="Arial"/>
              </w:rPr>
            </w:pPr>
            <w:r w:rsidRPr="004E19ED">
              <w:rPr>
                <w:rFonts w:ascii="Arial" w:hAnsi="Arial" w:cs="Arial"/>
                <w:sz w:val="20"/>
                <w:szCs w:val="20"/>
              </w:rPr>
              <w:t>Green Gram splits</w:t>
            </w:r>
          </w:p>
        </w:tc>
        <w:tc>
          <w:tcPr>
            <w:tcW w:w="1318" w:type="dxa"/>
            <w:vAlign w:val="center"/>
          </w:tcPr>
          <w:p w14:paraId="4B1BB296" w14:textId="77777777" w:rsidR="003563A1" w:rsidRPr="004E19ED" w:rsidRDefault="003563A1" w:rsidP="002C00FE">
            <w:pPr>
              <w:spacing w:line="360" w:lineRule="auto"/>
              <w:rPr>
                <w:rFonts w:ascii="Arial" w:hAnsi="Arial" w:cs="Arial"/>
              </w:rPr>
            </w:pPr>
            <w:r w:rsidRPr="004E19ED">
              <w:rPr>
                <w:rFonts w:ascii="Arial" w:hAnsi="Arial" w:cs="Arial"/>
                <w:sz w:val="20"/>
                <w:szCs w:val="20"/>
              </w:rPr>
              <w:t>35.00</w:t>
            </w:r>
          </w:p>
        </w:tc>
        <w:tc>
          <w:tcPr>
            <w:tcW w:w="1440" w:type="dxa"/>
            <w:vAlign w:val="center"/>
          </w:tcPr>
          <w:p w14:paraId="009EF798" w14:textId="77777777" w:rsidR="003563A1" w:rsidRPr="004E19ED" w:rsidRDefault="003563A1" w:rsidP="002C00FE">
            <w:pPr>
              <w:spacing w:line="360" w:lineRule="auto"/>
              <w:rPr>
                <w:rFonts w:ascii="Arial" w:hAnsi="Arial" w:cs="Arial"/>
              </w:rPr>
            </w:pPr>
            <w:r w:rsidRPr="004E19ED">
              <w:rPr>
                <w:rFonts w:ascii="Arial" w:hAnsi="Arial" w:cs="Arial"/>
                <w:sz w:val="20"/>
                <w:szCs w:val="20"/>
              </w:rPr>
              <w:t>20.00</w:t>
            </w:r>
          </w:p>
        </w:tc>
        <w:tc>
          <w:tcPr>
            <w:tcW w:w="1440" w:type="dxa"/>
            <w:vAlign w:val="center"/>
          </w:tcPr>
          <w:p w14:paraId="6D8D2030" w14:textId="77777777" w:rsidR="003563A1" w:rsidRPr="004E19ED" w:rsidRDefault="003563A1" w:rsidP="002C00FE">
            <w:pPr>
              <w:spacing w:line="360" w:lineRule="auto"/>
              <w:rPr>
                <w:rFonts w:ascii="Arial" w:hAnsi="Arial" w:cs="Arial"/>
              </w:rPr>
            </w:pPr>
            <w:r w:rsidRPr="004E19ED">
              <w:rPr>
                <w:rFonts w:ascii="Arial" w:hAnsi="Arial" w:cs="Arial"/>
                <w:sz w:val="20"/>
                <w:szCs w:val="20"/>
              </w:rPr>
              <w:t>20.00</w:t>
            </w:r>
          </w:p>
        </w:tc>
        <w:tc>
          <w:tcPr>
            <w:tcW w:w="1440" w:type="dxa"/>
            <w:vAlign w:val="center"/>
          </w:tcPr>
          <w:p w14:paraId="5A18C474" w14:textId="77777777" w:rsidR="003563A1" w:rsidRPr="004E19ED" w:rsidRDefault="003563A1" w:rsidP="002C00FE">
            <w:pPr>
              <w:spacing w:line="360" w:lineRule="auto"/>
              <w:rPr>
                <w:rFonts w:ascii="Arial" w:hAnsi="Arial" w:cs="Arial"/>
              </w:rPr>
            </w:pPr>
            <w:r w:rsidRPr="004E19ED">
              <w:rPr>
                <w:rFonts w:ascii="Arial" w:hAnsi="Arial" w:cs="Arial"/>
                <w:sz w:val="20"/>
                <w:szCs w:val="20"/>
              </w:rPr>
              <w:t>20.00</w:t>
            </w:r>
          </w:p>
        </w:tc>
      </w:tr>
      <w:tr w:rsidR="003563A1" w:rsidRPr="004E19ED" w14:paraId="4A3F207A" w14:textId="77777777" w:rsidTr="003563A1">
        <w:trPr>
          <w:jc w:val="center"/>
        </w:trPr>
        <w:tc>
          <w:tcPr>
            <w:tcW w:w="0" w:type="auto"/>
            <w:vAlign w:val="center"/>
          </w:tcPr>
          <w:p w14:paraId="34C7F9D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Oats</w:t>
            </w:r>
          </w:p>
        </w:tc>
        <w:tc>
          <w:tcPr>
            <w:tcW w:w="1318" w:type="dxa"/>
            <w:vAlign w:val="center"/>
          </w:tcPr>
          <w:p w14:paraId="76C86D2B"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20.00</w:t>
            </w:r>
          </w:p>
        </w:tc>
        <w:tc>
          <w:tcPr>
            <w:tcW w:w="1440" w:type="dxa"/>
            <w:vAlign w:val="center"/>
          </w:tcPr>
          <w:p w14:paraId="0211071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624958D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32E304E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r>
      <w:tr w:rsidR="003563A1" w:rsidRPr="004E19ED" w14:paraId="10804B27" w14:textId="77777777" w:rsidTr="003563A1">
        <w:trPr>
          <w:jc w:val="center"/>
        </w:trPr>
        <w:tc>
          <w:tcPr>
            <w:tcW w:w="0" w:type="auto"/>
            <w:vAlign w:val="center"/>
          </w:tcPr>
          <w:p w14:paraId="72CDC20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Soy chunks</w:t>
            </w:r>
          </w:p>
        </w:tc>
        <w:tc>
          <w:tcPr>
            <w:tcW w:w="1318" w:type="dxa"/>
            <w:vAlign w:val="center"/>
          </w:tcPr>
          <w:p w14:paraId="5A98B0D3"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EC4704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41146DF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47CCA26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r>
      <w:tr w:rsidR="003563A1" w:rsidRPr="004E19ED" w14:paraId="1D453BA5" w14:textId="77777777" w:rsidTr="003563A1">
        <w:trPr>
          <w:jc w:val="center"/>
        </w:trPr>
        <w:tc>
          <w:tcPr>
            <w:tcW w:w="0" w:type="auto"/>
            <w:vAlign w:val="center"/>
          </w:tcPr>
          <w:p w14:paraId="24CFCDF1"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Peri-Peri spice blend (total)</w:t>
            </w:r>
          </w:p>
        </w:tc>
        <w:tc>
          <w:tcPr>
            <w:tcW w:w="1318" w:type="dxa"/>
            <w:vAlign w:val="center"/>
          </w:tcPr>
          <w:p w14:paraId="531C67EC"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03CBAC9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5.00</w:t>
            </w:r>
          </w:p>
        </w:tc>
        <w:tc>
          <w:tcPr>
            <w:tcW w:w="1440" w:type="dxa"/>
            <w:vAlign w:val="center"/>
          </w:tcPr>
          <w:p w14:paraId="37A9E1B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6.00</w:t>
            </w:r>
          </w:p>
        </w:tc>
        <w:tc>
          <w:tcPr>
            <w:tcW w:w="1440" w:type="dxa"/>
            <w:vAlign w:val="center"/>
          </w:tcPr>
          <w:p w14:paraId="0B4626A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6.25</w:t>
            </w:r>
          </w:p>
        </w:tc>
      </w:tr>
      <w:tr w:rsidR="003563A1" w:rsidRPr="004E19ED" w14:paraId="5BB20628" w14:textId="77777777" w:rsidTr="003563A1">
        <w:trPr>
          <w:jc w:val="center"/>
        </w:trPr>
        <w:tc>
          <w:tcPr>
            <w:tcW w:w="0" w:type="auto"/>
            <w:vAlign w:val="center"/>
          </w:tcPr>
          <w:p w14:paraId="040DE929" w14:textId="77777777" w:rsidR="003563A1" w:rsidRPr="004E19ED" w:rsidRDefault="003563A1" w:rsidP="002C00FE">
            <w:pPr>
              <w:spacing w:line="360" w:lineRule="auto"/>
              <w:rPr>
                <w:rFonts w:ascii="Arial" w:hAnsi="Arial" w:cs="Arial"/>
                <w:sz w:val="20"/>
                <w:szCs w:val="20"/>
              </w:rPr>
            </w:pPr>
            <w:r w:rsidRPr="004E19ED">
              <w:rPr>
                <w:rFonts w:ascii="Arial" w:hAnsi="Arial" w:cs="Arial"/>
                <w:i/>
                <w:iCs/>
                <w:sz w:val="20"/>
                <w:szCs w:val="20"/>
              </w:rPr>
              <w:t xml:space="preserve">Red </w:t>
            </w:r>
            <w:proofErr w:type="spellStart"/>
            <w:r w:rsidRPr="004E19ED">
              <w:rPr>
                <w:rFonts w:ascii="Arial" w:hAnsi="Arial" w:cs="Arial"/>
                <w:i/>
                <w:iCs/>
                <w:sz w:val="20"/>
                <w:szCs w:val="20"/>
              </w:rPr>
              <w:t>chilli</w:t>
            </w:r>
            <w:proofErr w:type="spellEnd"/>
            <w:r w:rsidRPr="004E19ED">
              <w:rPr>
                <w:rFonts w:ascii="Arial" w:hAnsi="Arial" w:cs="Arial"/>
                <w:i/>
                <w:iCs/>
                <w:sz w:val="20"/>
                <w:szCs w:val="20"/>
              </w:rPr>
              <w:t xml:space="preserve"> powder</w:t>
            </w:r>
          </w:p>
        </w:tc>
        <w:tc>
          <w:tcPr>
            <w:tcW w:w="1318" w:type="dxa"/>
            <w:vAlign w:val="center"/>
          </w:tcPr>
          <w:p w14:paraId="24B6708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0608ED4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1.50</w:t>
            </w:r>
          </w:p>
        </w:tc>
        <w:tc>
          <w:tcPr>
            <w:tcW w:w="1440" w:type="dxa"/>
            <w:vAlign w:val="center"/>
          </w:tcPr>
          <w:p w14:paraId="1F84642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1.80</w:t>
            </w:r>
          </w:p>
        </w:tc>
        <w:tc>
          <w:tcPr>
            <w:tcW w:w="1440" w:type="dxa"/>
            <w:vAlign w:val="center"/>
          </w:tcPr>
          <w:p w14:paraId="350353C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1.88</w:t>
            </w:r>
          </w:p>
        </w:tc>
      </w:tr>
      <w:tr w:rsidR="003563A1" w:rsidRPr="004E19ED" w14:paraId="4E996FC0" w14:textId="77777777" w:rsidTr="003563A1">
        <w:trPr>
          <w:jc w:val="center"/>
        </w:trPr>
        <w:tc>
          <w:tcPr>
            <w:tcW w:w="0" w:type="auto"/>
            <w:vAlign w:val="center"/>
          </w:tcPr>
          <w:p w14:paraId="57A318F4"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Garlic powder</w:t>
            </w:r>
          </w:p>
        </w:tc>
        <w:tc>
          <w:tcPr>
            <w:tcW w:w="1318" w:type="dxa"/>
            <w:vAlign w:val="center"/>
          </w:tcPr>
          <w:p w14:paraId="27011C1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70A0455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w:t>
            </w:r>
          </w:p>
        </w:tc>
        <w:tc>
          <w:tcPr>
            <w:tcW w:w="1440" w:type="dxa"/>
            <w:vAlign w:val="center"/>
          </w:tcPr>
          <w:p w14:paraId="4F9145B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1.20</w:t>
            </w:r>
          </w:p>
        </w:tc>
        <w:tc>
          <w:tcPr>
            <w:tcW w:w="1440" w:type="dxa"/>
            <w:vAlign w:val="center"/>
          </w:tcPr>
          <w:p w14:paraId="132D5EC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1.25</w:t>
            </w:r>
          </w:p>
        </w:tc>
      </w:tr>
      <w:tr w:rsidR="003563A1" w:rsidRPr="004E19ED" w14:paraId="4019EC86" w14:textId="77777777" w:rsidTr="003563A1">
        <w:trPr>
          <w:jc w:val="center"/>
        </w:trPr>
        <w:tc>
          <w:tcPr>
            <w:tcW w:w="0" w:type="auto"/>
            <w:vAlign w:val="center"/>
          </w:tcPr>
          <w:p w14:paraId="6F60FDD3"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Onion powder</w:t>
            </w:r>
          </w:p>
        </w:tc>
        <w:tc>
          <w:tcPr>
            <w:tcW w:w="1318" w:type="dxa"/>
            <w:vAlign w:val="center"/>
          </w:tcPr>
          <w:p w14:paraId="76F6892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6AF78C0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0.75</w:t>
            </w:r>
          </w:p>
        </w:tc>
        <w:tc>
          <w:tcPr>
            <w:tcW w:w="1440" w:type="dxa"/>
            <w:vAlign w:val="center"/>
          </w:tcPr>
          <w:p w14:paraId="35C3EF0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0.90</w:t>
            </w:r>
          </w:p>
        </w:tc>
        <w:tc>
          <w:tcPr>
            <w:tcW w:w="1440" w:type="dxa"/>
            <w:vAlign w:val="center"/>
          </w:tcPr>
          <w:p w14:paraId="38B62E4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0.94</w:t>
            </w:r>
          </w:p>
        </w:tc>
      </w:tr>
      <w:tr w:rsidR="003563A1" w:rsidRPr="004E19ED" w14:paraId="5F99203A" w14:textId="77777777" w:rsidTr="003563A1">
        <w:trPr>
          <w:jc w:val="center"/>
        </w:trPr>
        <w:tc>
          <w:tcPr>
            <w:tcW w:w="0" w:type="auto"/>
            <w:vAlign w:val="center"/>
          </w:tcPr>
          <w:p w14:paraId="3D93BA41"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Black pepper powder</w:t>
            </w:r>
          </w:p>
        </w:tc>
        <w:tc>
          <w:tcPr>
            <w:tcW w:w="1318" w:type="dxa"/>
            <w:vAlign w:val="center"/>
          </w:tcPr>
          <w:p w14:paraId="675D26D4"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7BA77D56"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0.50</w:t>
            </w:r>
          </w:p>
        </w:tc>
        <w:tc>
          <w:tcPr>
            <w:tcW w:w="1440" w:type="dxa"/>
            <w:vAlign w:val="center"/>
          </w:tcPr>
          <w:p w14:paraId="638042C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0.60</w:t>
            </w:r>
          </w:p>
        </w:tc>
        <w:tc>
          <w:tcPr>
            <w:tcW w:w="1440" w:type="dxa"/>
            <w:vAlign w:val="center"/>
          </w:tcPr>
          <w:p w14:paraId="4A8EB3EB"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0.63</w:t>
            </w:r>
          </w:p>
        </w:tc>
      </w:tr>
      <w:tr w:rsidR="003563A1" w:rsidRPr="004E19ED" w14:paraId="732C960B" w14:textId="77777777" w:rsidTr="003563A1">
        <w:trPr>
          <w:jc w:val="center"/>
        </w:trPr>
        <w:tc>
          <w:tcPr>
            <w:tcW w:w="0" w:type="auto"/>
            <w:vAlign w:val="center"/>
          </w:tcPr>
          <w:p w14:paraId="10763374"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 xml:space="preserve">Red </w:t>
            </w:r>
            <w:proofErr w:type="spellStart"/>
            <w:r w:rsidRPr="004E19ED">
              <w:rPr>
                <w:rFonts w:ascii="Arial" w:hAnsi="Arial" w:cs="Arial"/>
                <w:i/>
                <w:iCs/>
                <w:sz w:val="20"/>
                <w:szCs w:val="20"/>
              </w:rPr>
              <w:t>chilli</w:t>
            </w:r>
            <w:proofErr w:type="spellEnd"/>
            <w:r w:rsidRPr="004E19ED">
              <w:rPr>
                <w:rFonts w:ascii="Arial" w:hAnsi="Arial" w:cs="Arial"/>
                <w:i/>
                <w:iCs/>
                <w:sz w:val="20"/>
                <w:szCs w:val="20"/>
              </w:rPr>
              <w:t xml:space="preserve"> flakes</w:t>
            </w:r>
          </w:p>
        </w:tc>
        <w:tc>
          <w:tcPr>
            <w:tcW w:w="1318" w:type="dxa"/>
            <w:vAlign w:val="center"/>
          </w:tcPr>
          <w:p w14:paraId="21A0AF93"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C7C6A5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0.50</w:t>
            </w:r>
          </w:p>
        </w:tc>
        <w:tc>
          <w:tcPr>
            <w:tcW w:w="1440" w:type="dxa"/>
            <w:vAlign w:val="center"/>
          </w:tcPr>
          <w:p w14:paraId="3C08D144"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0.60</w:t>
            </w:r>
          </w:p>
        </w:tc>
        <w:tc>
          <w:tcPr>
            <w:tcW w:w="1440" w:type="dxa"/>
            <w:vAlign w:val="center"/>
          </w:tcPr>
          <w:p w14:paraId="3950FDF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0.63</w:t>
            </w:r>
          </w:p>
        </w:tc>
      </w:tr>
      <w:tr w:rsidR="003563A1" w:rsidRPr="004E19ED" w14:paraId="50602F6F" w14:textId="77777777" w:rsidTr="003563A1">
        <w:trPr>
          <w:jc w:val="center"/>
        </w:trPr>
        <w:tc>
          <w:tcPr>
            <w:tcW w:w="0" w:type="auto"/>
            <w:vAlign w:val="center"/>
          </w:tcPr>
          <w:p w14:paraId="10851A9C"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Turmeric powder</w:t>
            </w:r>
          </w:p>
        </w:tc>
        <w:tc>
          <w:tcPr>
            <w:tcW w:w="1318" w:type="dxa"/>
            <w:vAlign w:val="center"/>
          </w:tcPr>
          <w:p w14:paraId="5D5A9AD4"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77F28DC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0.50</w:t>
            </w:r>
          </w:p>
        </w:tc>
        <w:tc>
          <w:tcPr>
            <w:tcW w:w="1440" w:type="dxa"/>
            <w:vAlign w:val="center"/>
          </w:tcPr>
          <w:p w14:paraId="2F36188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0.60</w:t>
            </w:r>
          </w:p>
        </w:tc>
        <w:tc>
          <w:tcPr>
            <w:tcW w:w="1440" w:type="dxa"/>
            <w:vAlign w:val="center"/>
          </w:tcPr>
          <w:p w14:paraId="49580261"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0.62</w:t>
            </w:r>
          </w:p>
        </w:tc>
      </w:tr>
      <w:tr w:rsidR="003563A1" w:rsidRPr="004E19ED" w14:paraId="7316050A" w14:textId="77777777" w:rsidTr="003563A1">
        <w:trPr>
          <w:jc w:val="center"/>
        </w:trPr>
        <w:tc>
          <w:tcPr>
            <w:tcW w:w="0" w:type="auto"/>
            <w:vAlign w:val="center"/>
          </w:tcPr>
          <w:p w14:paraId="15089A41"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Oregano powder</w:t>
            </w:r>
          </w:p>
        </w:tc>
        <w:tc>
          <w:tcPr>
            <w:tcW w:w="1318" w:type="dxa"/>
            <w:vAlign w:val="center"/>
          </w:tcPr>
          <w:p w14:paraId="06127CCB"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0E4A2EAC"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0.25</w:t>
            </w:r>
          </w:p>
        </w:tc>
        <w:tc>
          <w:tcPr>
            <w:tcW w:w="1440" w:type="dxa"/>
            <w:vAlign w:val="center"/>
          </w:tcPr>
          <w:p w14:paraId="4EED356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0.30</w:t>
            </w:r>
          </w:p>
        </w:tc>
        <w:tc>
          <w:tcPr>
            <w:tcW w:w="1440" w:type="dxa"/>
            <w:vAlign w:val="center"/>
          </w:tcPr>
          <w:p w14:paraId="7D27989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0.30</w:t>
            </w:r>
          </w:p>
        </w:tc>
      </w:tr>
      <w:tr w:rsidR="003563A1" w:rsidRPr="004E19ED" w14:paraId="0EAB3658" w14:textId="77777777" w:rsidTr="003563A1">
        <w:trPr>
          <w:jc w:val="center"/>
        </w:trPr>
        <w:tc>
          <w:tcPr>
            <w:tcW w:w="0" w:type="auto"/>
            <w:vAlign w:val="center"/>
          </w:tcPr>
          <w:p w14:paraId="2ECC3A5C"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sz w:val="20"/>
                <w:szCs w:val="20"/>
              </w:rPr>
              <w:t>Dehydrated Carrot</w:t>
            </w:r>
          </w:p>
        </w:tc>
        <w:tc>
          <w:tcPr>
            <w:tcW w:w="1318" w:type="dxa"/>
            <w:vAlign w:val="center"/>
          </w:tcPr>
          <w:p w14:paraId="6BE79A4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F16CB9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188C6CF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5E3E14A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r>
      <w:tr w:rsidR="003563A1" w:rsidRPr="004E19ED" w14:paraId="26C119DA" w14:textId="77777777" w:rsidTr="003563A1">
        <w:trPr>
          <w:jc w:val="center"/>
        </w:trPr>
        <w:tc>
          <w:tcPr>
            <w:tcW w:w="0" w:type="auto"/>
            <w:vAlign w:val="center"/>
          </w:tcPr>
          <w:p w14:paraId="5950821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Dehydrated Peas</w:t>
            </w:r>
          </w:p>
        </w:tc>
        <w:tc>
          <w:tcPr>
            <w:tcW w:w="1318" w:type="dxa"/>
            <w:vAlign w:val="center"/>
          </w:tcPr>
          <w:p w14:paraId="009CA2E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1423126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2085A4A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420A789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r>
      <w:tr w:rsidR="003563A1" w:rsidRPr="004E19ED" w14:paraId="70C94BD4" w14:textId="77777777" w:rsidTr="003563A1">
        <w:trPr>
          <w:jc w:val="center"/>
        </w:trPr>
        <w:tc>
          <w:tcPr>
            <w:tcW w:w="0" w:type="auto"/>
            <w:vAlign w:val="center"/>
          </w:tcPr>
          <w:p w14:paraId="59098C06"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Salt</w:t>
            </w:r>
          </w:p>
        </w:tc>
        <w:tc>
          <w:tcPr>
            <w:tcW w:w="1318" w:type="dxa"/>
            <w:vAlign w:val="center"/>
          </w:tcPr>
          <w:p w14:paraId="5E4D952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5.00</w:t>
            </w:r>
          </w:p>
        </w:tc>
        <w:tc>
          <w:tcPr>
            <w:tcW w:w="1440" w:type="dxa"/>
            <w:vAlign w:val="center"/>
          </w:tcPr>
          <w:p w14:paraId="615EC96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2.00</w:t>
            </w:r>
          </w:p>
        </w:tc>
        <w:tc>
          <w:tcPr>
            <w:tcW w:w="1440" w:type="dxa"/>
            <w:vAlign w:val="center"/>
          </w:tcPr>
          <w:p w14:paraId="0C60AFD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1.50</w:t>
            </w:r>
          </w:p>
        </w:tc>
        <w:tc>
          <w:tcPr>
            <w:tcW w:w="1440" w:type="dxa"/>
            <w:vAlign w:val="center"/>
          </w:tcPr>
          <w:p w14:paraId="74475D0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2.50</w:t>
            </w:r>
          </w:p>
        </w:tc>
      </w:tr>
      <w:tr w:rsidR="003563A1" w:rsidRPr="004E19ED" w14:paraId="276875CD" w14:textId="77777777" w:rsidTr="003563A1">
        <w:trPr>
          <w:jc w:val="center"/>
        </w:trPr>
        <w:tc>
          <w:tcPr>
            <w:tcW w:w="0" w:type="auto"/>
            <w:vAlign w:val="center"/>
          </w:tcPr>
          <w:p w14:paraId="756F065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Tomato powder</w:t>
            </w:r>
          </w:p>
        </w:tc>
        <w:tc>
          <w:tcPr>
            <w:tcW w:w="1318" w:type="dxa"/>
            <w:vAlign w:val="center"/>
          </w:tcPr>
          <w:p w14:paraId="3F52267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4D9AA9B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3.00</w:t>
            </w:r>
          </w:p>
        </w:tc>
        <w:tc>
          <w:tcPr>
            <w:tcW w:w="1440" w:type="dxa"/>
            <w:vAlign w:val="center"/>
          </w:tcPr>
          <w:p w14:paraId="416E202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2.50</w:t>
            </w:r>
          </w:p>
        </w:tc>
        <w:tc>
          <w:tcPr>
            <w:tcW w:w="1440" w:type="dxa"/>
            <w:vAlign w:val="center"/>
          </w:tcPr>
          <w:p w14:paraId="38D390D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1.70</w:t>
            </w:r>
          </w:p>
        </w:tc>
      </w:tr>
      <w:tr w:rsidR="003563A1" w:rsidRPr="004E19ED" w14:paraId="7E66C236" w14:textId="77777777" w:rsidTr="003563A1">
        <w:trPr>
          <w:jc w:val="center"/>
        </w:trPr>
        <w:tc>
          <w:tcPr>
            <w:tcW w:w="0" w:type="auto"/>
            <w:vAlign w:val="center"/>
          </w:tcPr>
          <w:p w14:paraId="6D7C105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Monosodium Glutamate (MSG)</w:t>
            </w:r>
          </w:p>
        </w:tc>
        <w:tc>
          <w:tcPr>
            <w:tcW w:w="1318" w:type="dxa"/>
            <w:vAlign w:val="center"/>
          </w:tcPr>
          <w:p w14:paraId="4B8ABAE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4313B36"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w:t>
            </w:r>
          </w:p>
        </w:tc>
        <w:tc>
          <w:tcPr>
            <w:tcW w:w="1440" w:type="dxa"/>
            <w:vAlign w:val="center"/>
          </w:tcPr>
          <w:p w14:paraId="0FB953CC"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w:t>
            </w:r>
          </w:p>
        </w:tc>
        <w:tc>
          <w:tcPr>
            <w:tcW w:w="1440" w:type="dxa"/>
            <w:vAlign w:val="center"/>
          </w:tcPr>
          <w:p w14:paraId="53D0700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0.55</w:t>
            </w:r>
          </w:p>
        </w:tc>
      </w:tr>
      <w:bookmarkEnd w:id="1"/>
    </w:tbl>
    <w:p w14:paraId="50793A53" w14:textId="77777777" w:rsidR="00AF291F" w:rsidRPr="00AF291F" w:rsidRDefault="00AF291F" w:rsidP="002C00FE">
      <w:pPr>
        <w:spacing w:line="360" w:lineRule="auto"/>
        <w:rPr>
          <w:rFonts w:ascii="Arial" w:hAnsi="Arial" w:cs="Arial"/>
          <w:b/>
          <w:bCs/>
          <w:sz w:val="22"/>
          <w:szCs w:val="22"/>
        </w:rPr>
      </w:pPr>
    </w:p>
    <w:p w14:paraId="716784EA" w14:textId="353AA236" w:rsidR="00AF291F" w:rsidRPr="00AF291F" w:rsidRDefault="00AF291F" w:rsidP="002C00FE">
      <w:pPr>
        <w:spacing w:line="360" w:lineRule="auto"/>
        <w:jc w:val="both"/>
        <w:rPr>
          <w:rFonts w:ascii="Arial" w:hAnsi="Arial" w:cs="Arial"/>
        </w:rPr>
      </w:pPr>
      <w:r w:rsidRPr="00AF291F">
        <w:rPr>
          <w:rFonts w:ascii="Arial" w:hAnsi="Arial" w:cs="Arial"/>
        </w:rPr>
        <w:t xml:space="preserve">The development of the RTC </w:t>
      </w:r>
      <w:r>
        <w:rPr>
          <w:rFonts w:ascii="Arial" w:hAnsi="Arial" w:cs="Arial"/>
        </w:rPr>
        <w:t>m</w:t>
      </w:r>
      <w:r w:rsidRPr="00AF291F">
        <w:rPr>
          <w:rFonts w:ascii="Arial" w:hAnsi="Arial" w:cs="Arial"/>
        </w:rPr>
        <w:t xml:space="preserve">illet </w:t>
      </w:r>
      <w:r>
        <w:rPr>
          <w:rFonts w:ascii="Arial" w:hAnsi="Arial" w:cs="Arial"/>
        </w:rPr>
        <w:t>k</w:t>
      </w:r>
      <w:r w:rsidRPr="00AF291F">
        <w:rPr>
          <w:rFonts w:ascii="Arial" w:hAnsi="Arial" w:cs="Arial"/>
        </w:rPr>
        <w:t>hichdi premix involved a systematic experimental study with four distinct formulations</w:t>
      </w:r>
      <w:r>
        <w:rPr>
          <w:rFonts w:ascii="Arial" w:hAnsi="Arial" w:cs="Arial"/>
        </w:rPr>
        <w:t xml:space="preserve"> (Table 1)</w:t>
      </w:r>
      <w:r w:rsidRPr="00AF291F">
        <w:rPr>
          <w:rFonts w:ascii="Arial" w:hAnsi="Arial" w:cs="Arial"/>
        </w:rPr>
        <w:t xml:space="preserve">: </w:t>
      </w:r>
      <w:proofErr w:type="gramStart"/>
      <w:r w:rsidRPr="00AF291F">
        <w:rPr>
          <w:rFonts w:ascii="Arial" w:hAnsi="Arial" w:cs="Arial"/>
        </w:rPr>
        <w:t>a</w:t>
      </w:r>
      <w:proofErr w:type="gramEnd"/>
      <w:r w:rsidRPr="00AF291F">
        <w:rPr>
          <w:rFonts w:ascii="Arial" w:hAnsi="Arial" w:cs="Arial"/>
        </w:rPr>
        <w:t xml:space="preserve"> Control and three experimental samples (Sample A, Sample B, and Sample C). These variations were designed to optimize the ingredient ratios to achieve a nutritionally enhanced, convenient, and wholesome meal solution. The key ingredients meticulously integrated into the premixes included Foxtail Millet, Dehulled Green Gram Splits, Oats, Soy Chunks, dehydrated vegetables (carrot and peas), a Peri-Peri spice blend, </w:t>
      </w:r>
      <w:r>
        <w:rPr>
          <w:rFonts w:ascii="Arial" w:hAnsi="Arial" w:cs="Arial"/>
        </w:rPr>
        <w:t xml:space="preserve">and </w:t>
      </w:r>
      <w:r w:rsidRPr="00AF291F">
        <w:rPr>
          <w:rFonts w:ascii="Arial" w:hAnsi="Arial" w:cs="Arial"/>
        </w:rPr>
        <w:t>salt.</w:t>
      </w:r>
    </w:p>
    <w:p w14:paraId="0C9E6A7A" w14:textId="77777777" w:rsidR="00AF291F" w:rsidRPr="00AF291F" w:rsidRDefault="00AF291F" w:rsidP="002C00FE">
      <w:pPr>
        <w:spacing w:line="360" w:lineRule="auto"/>
        <w:jc w:val="both"/>
        <w:rPr>
          <w:rFonts w:ascii="Arial" w:hAnsi="Arial" w:cs="Arial"/>
        </w:rPr>
      </w:pPr>
      <w:r w:rsidRPr="00AF291F">
        <w:rPr>
          <w:rFonts w:ascii="Arial" w:hAnsi="Arial" w:cs="Arial"/>
        </w:rPr>
        <w:t>The specific proportions for each formulation are detailed in Table 1:</w:t>
      </w:r>
    </w:p>
    <w:p w14:paraId="0212641F" w14:textId="173A6E46" w:rsidR="00AF291F" w:rsidRPr="00AF291F" w:rsidRDefault="00AF291F" w:rsidP="002C00FE">
      <w:pPr>
        <w:spacing w:line="360" w:lineRule="auto"/>
        <w:jc w:val="both"/>
        <w:rPr>
          <w:rFonts w:ascii="Arial" w:hAnsi="Arial" w:cs="Arial"/>
        </w:rPr>
      </w:pPr>
      <w:r w:rsidRPr="00AF291F">
        <w:rPr>
          <w:rFonts w:ascii="Arial" w:hAnsi="Arial" w:cs="Arial"/>
        </w:rPr>
        <w:t xml:space="preserve">Foxtail Millet: This served as the foundational grain, contributing substantially to complex carbohydrates and dietary fiber. It was kept constant at 40g across all formulations (Control, Sample A, B, and C). </w:t>
      </w:r>
    </w:p>
    <w:p w14:paraId="08078AF9" w14:textId="7A2FB9AE" w:rsidR="00AF291F" w:rsidRPr="00AF291F" w:rsidRDefault="00AF291F" w:rsidP="002C00FE">
      <w:pPr>
        <w:spacing w:line="360" w:lineRule="auto"/>
        <w:jc w:val="both"/>
        <w:rPr>
          <w:rFonts w:ascii="Arial" w:hAnsi="Arial" w:cs="Arial"/>
        </w:rPr>
      </w:pPr>
      <w:r w:rsidRPr="00AF291F">
        <w:rPr>
          <w:rFonts w:ascii="Arial" w:hAnsi="Arial" w:cs="Arial"/>
        </w:rPr>
        <w:t xml:space="preserve">Dehulled Green Gram Splits: Instrumental in augmenting the protein content, green gram splits were included at 35g in the Control and reduced to 20g in Samples A, B, and C. </w:t>
      </w:r>
    </w:p>
    <w:p w14:paraId="41DDE33D" w14:textId="5D544A1B" w:rsidR="00AF291F" w:rsidRPr="00AF291F" w:rsidRDefault="00AF291F" w:rsidP="002C00FE">
      <w:pPr>
        <w:spacing w:line="360" w:lineRule="auto"/>
        <w:jc w:val="both"/>
        <w:rPr>
          <w:rFonts w:ascii="Arial" w:hAnsi="Arial" w:cs="Arial"/>
        </w:rPr>
      </w:pPr>
      <w:r w:rsidRPr="00AF291F">
        <w:rPr>
          <w:rFonts w:ascii="Arial" w:hAnsi="Arial" w:cs="Arial"/>
        </w:rPr>
        <w:t xml:space="preserve">Oats: Incorporated for their commendable lipid profile and elevated concentrations of soluble fiber, particularly β-glucan, oats were present at 20g in the Control and 10g in Samples A, B, and C. </w:t>
      </w:r>
    </w:p>
    <w:p w14:paraId="78F14256" w14:textId="707149D3" w:rsidR="00AF291F" w:rsidRPr="00AF291F" w:rsidRDefault="00AF291F" w:rsidP="002C00FE">
      <w:pPr>
        <w:spacing w:line="360" w:lineRule="auto"/>
        <w:jc w:val="both"/>
        <w:rPr>
          <w:rFonts w:ascii="Arial" w:hAnsi="Arial" w:cs="Arial"/>
        </w:rPr>
      </w:pPr>
      <w:r w:rsidRPr="00AF291F">
        <w:rPr>
          <w:rFonts w:ascii="Arial" w:hAnsi="Arial" w:cs="Arial"/>
        </w:rPr>
        <w:lastRenderedPageBreak/>
        <w:t xml:space="preserve">Soy Chunks: A pivotal ingredient for protein fortification, soy chunks were absent in the Control but added at 10g to Samples A, B, and C. </w:t>
      </w:r>
    </w:p>
    <w:p w14:paraId="23D73A6A" w14:textId="0687B7D6" w:rsidR="00AF291F" w:rsidRPr="00AF291F" w:rsidRDefault="00AF291F" w:rsidP="002C00FE">
      <w:pPr>
        <w:spacing w:line="360" w:lineRule="auto"/>
        <w:jc w:val="both"/>
        <w:rPr>
          <w:rFonts w:ascii="Arial" w:hAnsi="Arial" w:cs="Arial"/>
        </w:rPr>
      </w:pPr>
      <w:r w:rsidRPr="00AF291F">
        <w:rPr>
          <w:rFonts w:ascii="Arial" w:hAnsi="Arial" w:cs="Arial"/>
        </w:rPr>
        <w:t xml:space="preserve">Peri-Peri Spice Blend (total): This blend, absent in the Control, varied across the experimental samples: 5g in Sample A, 6g in Sample B, and 6.25g in Sample C. </w:t>
      </w:r>
    </w:p>
    <w:p w14:paraId="04D16595" w14:textId="77777777" w:rsidR="00AF291F" w:rsidRPr="00AF291F" w:rsidRDefault="00AF291F" w:rsidP="002C00FE">
      <w:pPr>
        <w:spacing w:line="360" w:lineRule="auto"/>
        <w:jc w:val="both"/>
        <w:rPr>
          <w:rFonts w:ascii="Arial" w:hAnsi="Arial" w:cs="Arial"/>
        </w:rPr>
      </w:pPr>
      <w:r w:rsidRPr="00AF291F">
        <w:rPr>
          <w:rFonts w:ascii="Arial" w:hAnsi="Arial" w:cs="Arial"/>
        </w:rPr>
        <w:t xml:space="preserve">Individual Spices: Red </w:t>
      </w:r>
      <w:proofErr w:type="spellStart"/>
      <w:r w:rsidRPr="00AF291F">
        <w:rPr>
          <w:rFonts w:ascii="Arial" w:hAnsi="Arial" w:cs="Arial"/>
        </w:rPr>
        <w:t>chilli</w:t>
      </w:r>
      <w:proofErr w:type="spellEnd"/>
      <w:r w:rsidRPr="00AF291F">
        <w:rPr>
          <w:rFonts w:ascii="Arial" w:hAnsi="Arial" w:cs="Arial"/>
        </w:rPr>
        <w:t xml:space="preserve"> powder, garlic powder, onion powder, black pepper powder, red </w:t>
      </w:r>
      <w:proofErr w:type="spellStart"/>
      <w:r w:rsidRPr="00AF291F">
        <w:rPr>
          <w:rFonts w:ascii="Arial" w:hAnsi="Arial" w:cs="Arial"/>
        </w:rPr>
        <w:t>chilli</w:t>
      </w:r>
      <w:proofErr w:type="spellEnd"/>
      <w:r w:rsidRPr="00AF291F">
        <w:rPr>
          <w:rFonts w:ascii="Arial" w:hAnsi="Arial" w:cs="Arial"/>
        </w:rPr>
        <w:t xml:space="preserve"> flakes, turmeric powder, and oregano powder were included in varying amounts within the Peri-Peri spice blend for Samples A, B, and C.</w:t>
      </w:r>
    </w:p>
    <w:p w14:paraId="6411ED4A" w14:textId="17A2C822" w:rsidR="00AF291F" w:rsidRPr="00AF291F" w:rsidRDefault="00AF291F" w:rsidP="002C00FE">
      <w:pPr>
        <w:spacing w:line="360" w:lineRule="auto"/>
        <w:jc w:val="both"/>
        <w:rPr>
          <w:rFonts w:ascii="Arial" w:hAnsi="Arial" w:cs="Arial"/>
        </w:rPr>
      </w:pPr>
      <w:r w:rsidRPr="00AF291F">
        <w:rPr>
          <w:rFonts w:ascii="Arial" w:hAnsi="Arial" w:cs="Arial"/>
        </w:rPr>
        <w:t xml:space="preserve">Dehydrated Vegetables: Dehydrated carrot (4.5g) and peas (4.5g) were consistently added to Samples A, B, and C, but not to the Control. </w:t>
      </w:r>
    </w:p>
    <w:p w14:paraId="0A33A375" w14:textId="2FB599E0" w:rsidR="00AF291F" w:rsidRPr="00AF291F" w:rsidRDefault="00AF291F" w:rsidP="002C00FE">
      <w:pPr>
        <w:spacing w:line="360" w:lineRule="auto"/>
        <w:jc w:val="both"/>
        <w:rPr>
          <w:rFonts w:ascii="Arial" w:hAnsi="Arial" w:cs="Arial"/>
        </w:rPr>
      </w:pPr>
      <w:r w:rsidRPr="00AF291F">
        <w:rPr>
          <w:rFonts w:ascii="Arial" w:hAnsi="Arial" w:cs="Arial"/>
        </w:rPr>
        <w:t xml:space="preserve">Salt: Salt content varied significantly across formulations, with the Control containing 5g, Sample A 2g, Sample B 1.5g, and Sample C 2.5g. </w:t>
      </w:r>
    </w:p>
    <w:p w14:paraId="32B7A300" w14:textId="668847C7" w:rsidR="00AF291F" w:rsidRPr="00AF291F" w:rsidRDefault="00AF291F" w:rsidP="002C00FE">
      <w:pPr>
        <w:spacing w:line="360" w:lineRule="auto"/>
        <w:jc w:val="both"/>
        <w:rPr>
          <w:rFonts w:ascii="Arial" w:hAnsi="Arial" w:cs="Arial"/>
        </w:rPr>
      </w:pPr>
      <w:r w:rsidRPr="00AF291F">
        <w:rPr>
          <w:rFonts w:ascii="Arial" w:hAnsi="Arial" w:cs="Arial"/>
        </w:rPr>
        <w:t>Tomato Powder: Present in Samples A (3g), B (2.5g), and C (1.7g), but not in the Control</w:t>
      </w:r>
      <w:r>
        <w:rPr>
          <w:rFonts w:ascii="Arial" w:hAnsi="Arial" w:cs="Arial"/>
        </w:rPr>
        <w:t>.</w:t>
      </w:r>
    </w:p>
    <w:p w14:paraId="58A264A4" w14:textId="539B670A" w:rsidR="00AF291F" w:rsidRPr="00AF291F" w:rsidRDefault="00AF291F" w:rsidP="002C00FE">
      <w:pPr>
        <w:spacing w:line="360" w:lineRule="auto"/>
        <w:jc w:val="both"/>
        <w:rPr>
          <w:rFonts w:ascii="Arial" w:hAnsi="Arial" w:cs="Arial"/>
        </w:rPr>
      </w:pPr>
      <w:r w:rsidRPr="00AF291F">
        <w:rPr>
          <w:rFonts w:ascii="Arial" w:hAnsi="Arial" w:cs="Arial"/>
        </w:rPr>
        <w:t>Monosodium Glutamate (MSG): Included in Samples A (1g), B (1g), and C (0.55g)</w:t>
      </w:r>
      <w:r>
        <w:rPr>
          <w:rFonts w:ascii="Arial" w:hAnsi="Arial" w:cs="Arial"/>
        </w:rPr>
        <w:t>.</w:t>
      </w:r>
    </w:p>
    <w:p w14:paraId="487EE5A7" w14:textId="1D4936C5" w:rsidR="00AF291F" w:rsidRPr="00AF291F" w:rsidRDefault="00AF291F" w:rsidP="002C00FE">
      <w:pPr>
        <w:spacing w:line="360" w:lineRule="auto"/>
        <w:jc w:val="both"/>
        <w:rPr>
          <w:rFonts w:ascii="Arial" w:hAnsi="Arial" w:cs="Arial"/>
        </w:rPr>
      </w:pPr>
      <w:r w:rsidRPr="00AF291F">
        <w:rPr>
          <w:rFonts w:ascii="Arial" w:hAnsi="Arial" w:cs="Arial"/>
        </w:rPr>
        <w:t>These distinct formulations allowed for a comprehensive evaluation of their impact on proximate composition, sensory attributes, and microbiological safety, ultimately leading to the identification of an optimized premix.</w:t>
      </w:r>
    </w:p>
    <w:p w14:paraId="45F1659C" w14:textId="77777777" w:rsidR="00AF291F" w:rsidRPr="003563A1" w:rsidRDefault="00AF291F" w:rsidP="002C00FE">
      <w:pPr>
        <w:pStyle w:val="Body"/>
        <w:spacing w:after="0" w:line="360" w:lineRule="auto"/>
        <w:rPr>
          <w:rFonts w:ascii="Arial" w:hAnsi="Arial" w:cs="Arial"/>
        </w:rPr>
      </w:pPr>
    </w:p>
    <w:p w14:paraId="14385F68" w14:textId="77777777" w:rsidR="00913946" w:rsidRDefault="00913946" w:rsidP="002C00FE">
      <w:pPr>
        <w:spacing w:line="360" w:lineRule="auto"/>
        <w:rPr>
          <w:rFonts w:ascii="Arial" w:hAnsi="Arial" w:cs="Arial"/>
          <w:b/>
          <w:bCs/>
          <w:sz w:val="22"/>
          <w:szCs w:val="22"/>
        </w:rPr>
      </w:pPr>
      <w:r w:rsidRPr="00913946">
        <w:rPr>
          <w:rFonts w:ascii="Arial" w:hAnsi="Arial" w:cs="Arial"/>
          <w:b/>
          <w:bCs/>
          <w:sz w:val="22"/>
          <w:szCs w:val="22"/>
        </w:rPr>
        <w:t>2.5 Proximate Analysis</w:t>
      </w:r>
    </w:p>
    <w:p w14:paraId="3DAE0F3E" w14:textId="77777777" w:rsidR="00913946" w:rsidRPr="00913946" w:rsidRDefault="00913946" w:rsidP="002C00FE">
      <w:pPr>
        <w:spacing w:line="360" w:lineRule="auto"/>
        <w:rPr>
          <w:rFonts w:ascii="Arial" w:hAnsi="Arial" w:cs="Arial"/>
          <w:b/>
          <w:bCs/>
          <w:sz w:val="22"/>
          <w:szCs w:val="22"/>
        </w:rPr>
      </w:pPr>
    </w:p>
    <w:p w14:paraId="51B0E189" w14:textId="0F2BE33D" w:rsidR="00913946" w:rsidRPr="00247DBE" w:rsidRDefault="00913946" w:rsidP="002C00FE">
      <w:pPr>
        <w:spacing w:line="360" w:lineRule="auto"/>
        <w:rPr>
          <w:rFonts w:ascii="Arial" w:hAnsi="Arial" w:cs="Arial"/>
          <w:b/>
          <w:bCs/>
        </w:rPr>
      </w:pPr>
      <w:r w:rsidRPr="00247DBE">
        <w:rPr>
          <w:rFonts w:ascii="Arial" w:hAnsi="Arial" w:cs="Arial"/>
          <w:b/>
          <w:bCs/>
        </w:rPr>
        <w:t xml:space="preserve">2.5.1 Moisture </w:t>
      </w:r>
      <w:r w:rsidR="0021696C">
        <w:rPr>
          <w:rFonts w:ascii="Arial" w:hAnsi="Arial" w:cs="Arial"/>
          <w:b/>
          <w:bCs/>
        </w:rPr>
        <w:t>C</w:t>
      </w:r>
      <w:r w:rsidRPr="00247DBE">
        <w:rPr>
          <w:rFonts w:ascii="Arial" w:hAnsi="Arial" w:cs="Arial"/>
          <w:b/>
          <w:bCs/>
        </w:rPr>
        <w:t>ontent</w:t>
      </w:r>
    </w:p>
    <w:p w14:paraId="09C92CEC" w14:textId="77777777" w:rsidR="00913946" w:rsidRPr="00913946" w:rsidRDefault="00913946" w:rsidP="002C00FE">
      <w:pPr>
        <w:spacing w:line="360" w:lineRule="auto"/>
        <w:jc w:val="both"/>
        <w:rPr>
          <w:rFonts w:ascii="Arial" w:hAnsi="Arial" w:cs="Arial"/>
        </w:rPr>
      </w:pPr>
      <w:r w:rsidRPr="00913946">
        <w:rPr>
          <w:rFonts w:ascii="Arial" w:hAnsi="Arial" w:cs="Arial"/>
        </w:rPr>
        <w:t>The moisture content of the product was determined using the oven-drying method (AOAC, 2023). An empty, clean, and dry aluminum petri dish was initially weighed to record its tare weight. A 5 g sample was placed into the dish, which was then transferred to a hot air oven (</w:t>
      </w:r>
      <w:proofErr w:type="spellStart"/>
      <w:r w:rsidRPr="00913946">
        <w:rPr>
          <w:rFonts w:ascii="Arial" w:hAnsi="Arial" w:cs="Arial"/>
        </w:rPr>
        <w:t>i-Therm</w:t>
      </w:r>
      <w:proofErr w:type="spellEnd"/>
      <w:r w:rsidRPr="00913946">
        <w:rPr>
          <w:rFonts w:ascii="Arial" w:hAnsi="Arial" w:cs="Arial"/>
        </w:rPr>
        <w:t xml:space="preserve"> AI-7981, India) maintained at 105°C and allowed to dry for 3 hours.</w:t>
      </w:r>
    </w:p>
    <w:p w14:paraId="05CD1FA5" w14:textId="77777777" w:rsidR="00913946" w:rsidRDefault="00913946" w:rsidP="002C00FE">
      <w:pPr>
        <w:spacing w:line="360" w:lineRule="auto"/>
        <w:jc w:val="both"/>
        <w:rPr>
          <w:rFonts w:ascii="Arial" w:hAnsi="Arial" w:cs="Arial"/>
        </w:rPr>
      </w:pPr>
      <w:r w:rsidRPr="00913946">
        <w:rPr>
          <w:rFonts w:ascii="Arial" w:hAnsi="Arial" w:cs="Arial"/>
        </w:rPr>
        <w:t>After the drying period, the dish was removed and transferred to a desiccator to cool to room temperature, preventing moisture reabsorption. Once cooled, the final weight of the dish containing the dried sample was recorded. The final moisture content was calculated based on the weight difference using the standard formula:</w:t>
      </w:r>
    </w:p>
    <w:p w14:paraId="2811B42C" w14:textId="77777777" w:rsidR="00BA0885" w:rsidRPr="00913946" w:rsidRDefault="00BA0885" w:rsidP="002C00FE">
      <w:pPr>
        <w:spacing w:line="360" w:lineRule="auto"/>
        <w:jc w:val="both"/>
        <w:rPr>
          <w:rFonts w:ascii="Arial" w:hAnsi="Arial" w:cs="Arial"/>
        </w:rPr>
      </w:pPr>
    </w:p>
    <w:p w14:paraId="2943C27A" w14:textId="519EBDC6" w:rsidR="00913946" w:rsidRPr="00BA0885" w:rsidRDefault="00BA0885" w:rsidP="002C00FE">
      <w:pPr>
        <w:spacing w:line="360" w:lineRule="auto"/>
        <w:jc w:val="both"/>
        <w:rPr>
          <w:rFonts w:ascii="Arial" w:hAnsi="Arial" w:cs="Arial"/>
        </w:rPr>
      </w:pPr>
      <m:oMathPara>
        <m:oMathParaPr>
          <m:jc m:val="center"/>
        </m:oMathParaPr>
        <m:oMath>
          <m:r>
            <m:rPr>
              <m:sty m:val="p"/>
            </m:rPr>
            <w:rPr>
              <w:rFonts w:ascii="Cambria Math" w:hAnsi="Cambria Math" w:cs="Arial"/>
            </w:rPr>
            <m:t xml:space="preserve">Moisture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[Initial weight (g) – Final weight (g)]</m:t>
              </m:r>
            </m:num>
            <m:den>
              <m:r>
                <m:rPr>
                  <m:sty m:val="p"/>
                </m:rPr>
                <w:rPr>
                  <w:rFonts w:ascii="Cambria Math" w:hAnsi="Cambria Math" w:cs="Arial"/>
                </w:rPr>
                <m:t>Initial weight (g)</m:t>
              </m:r>
            </m:den>
          </m:f>
          <m:r>
            <m:rPr>
              <m:sty m:val="p"/>
            </m:rPr>
            <w:rPr>
              <w:rFonts w:ascii="Cambria Math" w:hAnsi="Cambria Math" w:cs="Arial"/>
            </w:rPr>
            <m:t xml:space="preserve">  × 100</m:t>
          </m:r>
        </m:oMath>
      </m:oMathPara>
    </w:p>
    <w:p w14:paraId="27888B61" w14:textId="77777777" w:rsidR="00913946" w:rsidRPr="00913946" w:rsidRDefault="00913946" w:rsidP="002C00FE">
      <w:pPr>
        <w:spacing w:line="360" w:lineRule="auto"/>
        <w:jc w:val="both"/>
        <w:rPr>
          <w:rFonts w:ascii="Arial" w:hAnsi="Arial" w:cs="Arial"/>
        </w:rPr>
      </w:pPr>
    </w:p>
    <w:p w14:paraId="3C57BF89" w14:textId="56BB17E2"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2.5.2 Protein </w:t>
      </w:r>
      <w:r w:rsidR="0021696C">
        <w:rPr>
          <w:rFonts w:ascii="Arial" w:hAnsi="Arial" w:cs="Arial"/>
          <w:b/>
          <w:bCs/>
        </w:rPr>
        <w:t>C</w:t>
      </w:r>
      <w:r w:rsidRPr="00913946">
        <w:rPr>
          <w:rFonts w:ascii="Arial" w:hAnsi="Arial" w:cs="Arial"/>
          <w:b/>
          <w:bCs/>
        </w:rPr>
        <w:t>ontent</w:t>
      </w:r>
    </w:p>
    <w:p w14:paraId="223075A8" w14:textId="59E90851" w:rsidR="00913946" w:rsidRDefault="00913946" w:rsidP="002C00FE">
      <w:pPr>
        <w:spacing w:line="360" w:lineRule="auto"/>
        <w:jc w:val="both"/>
        <w:rPr>
          <w:rFonts w:ascii="Arial" w:hAnsi="Arial" w:cs="Arial"/>
        </w:rPr>
      </w:pPr>
      <w:r w:rsidRPr="00913946">
        <w:rPr>
          <w:rFonts w:ascii="Arial" w:hAnsi="Arial" w:cs="Arial"/>
        </w:rPr>
        <w:t xml:space="preserve">The protein content was determined using a semi-automatic </w:t>
      </w:r>
      <w:proofErr w:type="spellStart"/>
      <w:r w:rsidRPr="00913946">
        <w:rPr>
          <w:rFonts w:ascii="Arial" w:hAnsi="Arial" w:cs="Arial"/>
        </w:rPr>
        <w:t>Kjeldahl</w:t>
      </w:r>
      <w:proofErr w:type="spellEnd"/>
      <w:r w:rsidRPr="00913946">
        <w:rPr>
          <w:rFonts w:ascii="Arial" w:hAnsi="Arial" w:cs="Arial"/>
        </w:rPr>
        <w:t xml:space="preserve"> machine (</w:t>
      </w:r>
      <w:proofErr w:type="spellStart"/>
      <w:r w:rsidRPr="00913946">
        <w:rPr>
          <w:rFonts w:ascii="Arial" w:hAnsi="Arial" w:cs="Arial"/>
        </w:rPr>
        <w:t>Kjeltron</w:t>
      </w:r>
      <w:proofErr w:type="spellEnd"/>
      <w:r w:rsidRPr="00913946">
        <w:rPr>
          <w:rFonts w:ascii="Arial" w:hAnsi="Arial" w:cs="Arial"/>
        </w:rPr>
        <w:t xml:space="preserve">, </w:t>
      </w:r>
      <w:proofErr w:type="spellStart"/>
      <w:r w:rsidRPr="00913946">
        <w:rPr>
          <w:rFonts w:ascii="Arial" w:hAnsi="Arial" w:cs="Arial"/>
        </w:rPr>
        <w:t>Tulin</w:t>
      </w:r>
      <w:proofErr w:type="spellEnd"/>
      <w:r w:rsidRPr="00913946">
        <w:rPr>
          <w:rFonts w:ascii="Arial" w:hAnsi="Arial" w:cs="Arial"/>
        </w:rPr>
        <w:t xml:space="preserve">) (AOAC, 2023). Approximately 1 gram of the food sample was placed into a digestion tube. A digestion catalyst mixture, comprising potassium sulfate and cupric sulfate, along with 15 mL of concentrated sulfuric acid, was added to the sample. The mixture was heated in the </w:t>
      </w:r>
      <w:proofErr w:type="spellStart"/>
      <w:r w:rsidRPr="00913946">
        <w:rPr>
          <w:rFonts w:ascii="Arial" w:hAnsi="Arial" w:cs="Arial"/>
        </w:rPr>
        <w:t>Kjeltron</w:t>
      </w:r>
      <w:proofErr w:type="spellEnd"/>
      <w:r w:rsidRPr="00913946">
        <w:rPr>
          <w:rFonts w:ascii="Arial" w:hAnsi="Arial" w:cs="Arial"/>
        </w:rPr>
        <w:t xml:space="preserve"> digestion block until the solution became clear, indicating the conversion of nitrogenous compounds to ammonium sulfate.</w:t>
      </w:r>
      <w:r w:rsidR="00BA0885">
        <w:rPr>
          <w:rFonts w:ascii="Arial" w:hAnsi="Arial" w:cs="Arial"/>
        </w:rPr>
        <w:t xml:space="preserve"> </w:t>
      </w:r>
      <w:r w:rsidRPr="00913946">
        <w:rPr>
          <w:rFonts w:ascii="Arial" w:hAnsi="Arial" w:cs="Arial"/>
        </w:rPr>
        <w:t>After digestion, the tubes were cooled and diluted with distilled water. The diluted digest was transferred to the distillation unit, where sodium hydroxide solution was added to make the mixture alkaline, releasing ammonia gas. The liberated ammonia was distilled and captured in a receiving flask containing a known volume of boric acid solution with mixed indicators.</w:t>
      </w:r>
      <w:r w:rsidR="00BA0885">
        <w:rPr>
          <w:rFonts w:ascii="Arial" w:hAnsi="Arial" w:cs="Arial"/>
        </w:rPr>
        <w:t xml:space="preserve"> </w:t>
      </w:r>
      <w:r w:rsidRPr="00913946">
        <w:rPr>
          <w:rFonts w:ascii="Arial" w:hAnsi="Arial" w:cs="Arial"/>
        </w:rPr>
        <w:t xml:space="preserve">The absorbed ammonia was then titrated manually using a 0.1 N sulfuric acid solution until the endpoint was reached, as indicated by a color change. The volume of acid used was recorded to determine the nitrogen content. </w:t>
      </w:r>
      <w:r w:rsidR="00BA0885" w:rsidRPr="00913946">
        <w:rPr>
          <w:rFonts w:ascii="Arial" w:hAnsi="Arial" w:cs="Arial"/>
        </w:rPr>
        <w:t>A conversion factor of 6.25 was used, assuming that proteins contain approximately 16% nitrogen (AOAC, 2023).</w:t>
      </w:r>
      <w:r w:rsidR="00BA0885">
        <w:rPr>
          <w:rFonts w:ascii="Arial" w:hAnsi="Arial" w:cs="Arial"/>
        </w:rPr>
        <w:t xml:space="preserve"> </w:t>
      </w:r>
      <w:r w:rsidRPr="00913946">
        <w:rPr>
          <w:rFonts w:ascii="Arial" w:hAnsi="Arial" w:cs="Arial"/>
        </w:rPr>
        <w:t>The protein content was calculated using the following formula:</w:t>
      </w:r>
    </w:p>
    <w:p w14:paraId="4557036F" w14:textId="77777777" w:rsidR="00BA0885" w:rsidRDefault="00BA0885" w:rsidP="002C00FE">
      <w:pPr>
        <w:spacing w:line="360" w:lineRule="auto"/>
        <w:jc w:val="both"/>
        <w:rPr>
          <w:rFonts w:ascii="Arial" w:hAnsi="Arial" w:cs="Arial"/>
        </w:rPr>
      </w:pPr>
    </w:p>
    <w:p w14:paraId="270F07A9" w14:textId="56540C4E" w:rsidR="00BA0885" w:rsidRPr="00913946" w:rsidRDefault="00BA0885" w:rsidP="002C00FE">
      <w:pPr>
        <w:spacing w:line="360" w:lineRule="auto"/>
        <w:jc w:val="both"/>
        <w:rPr>
          <w:rFonts w:ascii="Arial" w:hAnsi="Arial" w:cs="Arial"/>
        </w:rPr>
      </w:pPr>
      <m:oMathPara>
        <m:oMath>
          <m:r>
            <m:rPr>
              <m:sty m:val="p"/>
            </m:rPr>
            <w:rPr>
              <w:rFonts w:ascii="Cambria Math" w:hAnsi="Cambria Math" w:cs="Arial"/>
            </w:rPr>
            <m:t xml:space="preserve">Protein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Nitrogen (%) × 6.25</m:t>
          </m:r>
        </m:oMath>
      </m:oMathPara>
    </w:p>
    <w:p w14:paraId="69C044AB" w14:textId="77777777" w:rsidR="00BA0885" w:rsidRPr="00913946" w:rsidRDefault="00BA0885" w:rsidP="002C00FE">
      <w:pPr>
        <w:spacing w:line="360" w:lineRule="auto"/>
        <w:jc w:val="both"/>
        <w:rPr>
          <w:rFonts w:ascii="Arial" w:hAnsi="Arial" w:cs="Arial"/>
        </w:rPr>
      </w:pPr>
    </w:p>
    <w:p w14:paraId="6B931691" w14:textId="77777777" w:rsidR="00913946" w:rsidRPr="00BA0885" w:rsidRDefault="00913946" w:rsidP="002C00FE">
      <w:pPr>
        <w:spacing w:line="360" w:lineRule="auto"/>
        <w:jc w:val="both"/>
        <w:rPr>
          <w:rFonts w:ascii="Arial" w:hAnsi="Arial" w:cs="Arial"/>
          <w:b/>
          <w:bCs/>
        </w:rPr>
      </w:pPr>
      <w:r w:rsidRPr="00BA0885">
        <w:rPr>
          <w:rFonts w:ascii="Arial" w:hAnsi="Arial" w:cs="Arial"/>
          <w:b/>
          <w:bCs/>
        </w:rPr>
        <w:t>2.5.3 Fat Content</w:t>
      </w:r>
    </w:p>
    <w:p w14:paraId="24189A78" w14:textId="68F775A9" w:rsidR="00913946" w:rsidRPr="00913946" w:rsidRDefault="00913946" w:rsidP="002C00FE">
      <w:pPr>
        <w:spacing w:line="360" w:lineRule="auto"/>
        <w:jc w:val="both"/>
        <w:rPr>
          <w:rFonts w:ascii="Arial" w:hAnsi="Arial" w:cs="Arial"/>
        </w:rPr>
      </w:pPr>
      <w:r w:rsidRPr="00913946">
        <w:rPr>
          <w:rFonts w:ascii="Arial" w:hAnsi="Arial" w:cs="Arial"/>
        </w:rPr>
        <w:t>The crude fat content of the sample was determined using a semi-automated Soxhlet extraction apparatus (</w:t>
      </w:r>
      <w:proofErr w:type="spellStart"/>
      <w:r w:rsidRPr="00913946">
        <w:rPr>
          <w:rFonts w:ascii="Arial" w:hAnsi="Arial" w:cs="Arial"/>
        </w:rPr>
        <w:t>Soxtron</w:t>
      </w:r>
      <w:proofErr w:type="spellEnd"/>
      <w:r w:rsidRPr="00913946">
        <w:rPr>
          <w:rFonts w:ascii="Arial" w:hAnsi="Arial" w:cs="Arial"/>
        </w:rPr>
        <w:t xml:space="preserve"> SOX 4), (AOAC, 2023). Approximately 2 grams of the dried sample were accurately weighed and placed into a cellulose extraction thimble.</w:t>
      </w:r>
      <w:r w:rsidR="00BA0885">
        <w:rPr>
          <w:rFonts w:ascii="Arial" w:hAnsi="Arial" w:cs="Arial"/>
        </w:rPr>
        <w:t xml:space="preserve"> </w:t>
      </w:r>
      <w:r w:rsidRPr="00913946">
        <w:rPr>
          <w:rFonts w:ascii="Arial" w:hAnsi="Arial" w:cs="Arial"/>
        </w:rPr>
        <w:t xml:space="preserve">The thimble was inserted into the </w:t>
      </w:r>
      <w:proofErr w:type="spellStart"/>
      <w:r w:rsidRPr="00913946">
        <w:rPr>
          <w:rFonts w:ascii="Arial" w:hAnsi="Arial" w:cs="Arial"/>
        </w:rPr>
        <w:t>Soxtron</w:t>
      </w:r>
      <w:proofErr w:type="spellEnd"/>
      <w:r w:rsidRPr="00913946">
        <w:rPr>
          <w:rFonts w:ascii="Arial" w:hAnsi="Arial" w:cs="Arial"/>
        </w:rPr>
        <w:t xml:space="preserve"> apparatus, which was equipped with a pre-weighed, clean, and dry round-bottom flask containing petroleum ether as the extraction solvent. The extraction process was carried out for 4 to 6 hours, allowing continuous solvent reflux over the sample.</w:t>
      </w:r>
      <w:r w:rsidR="00BA0885">
        <w:rPr>
          <w:rFonts w:ascii="Arial" w:hAnsi="Arial" w:cs="Arial"/>
        </w:rPr>
        <w:t xml:space="preserve"> </w:t>
      </w:r>
      <w:r w:rsidRPr="00913946">
        <w:rPr>
          <w:rFonts w:ascii="Arial" w:hAnsi="Arial" w:cs="Arial"/>
        </w:rPr>
        <w:t>During this process, the fat present in the sample dissolved into the heated solvent and was gradually collected in the flask. Upon completion of the extraction cycle, the flask containing the extracted fat was removed, and the solvent was recovered by evaporation.</w:t>
      </w:r>
      <w:r w:rsidR="00BA0885">
        <w:rPr>
          <w:rFonts w:ascii="Arial" w:hAnsi="Arial" w:cs="Arial"/>
        </w:rPr>
        <w:t xml:space="preserve"> </w:t>
      </w:r>
      <w:r w:rsidRPr="00913946">
        <w:rPr>
          <w:rFonts w:ascii="Arial" w:hAnsi="Arial" w:cs="Arial"/>
        </w:rPr>
        <w:t>To eliminate any residual solvent, the flask was dried in a hot air oven at approximately 100°C. After cooling to ambient temperature in a desiccator, the flask was weighed. The increase in weight of the flask represented the amount of crude fat extracted from the sample.</w:t>
      </w:r>
      <w:r w:rsidR="00BA0885">
        <w:rPr>
          <w:rFonts w:ascii="Arial" w:hAnsi="Arial" w:cs="Arial"/>
        </w:rPr>
        <w:t xml:space="preserve"> </w:t>
      </w:r>
      <w:r w:rsidRPr="00913946">
        <w:rPr>
          <w:rFonts w:ascii="Arial" w:hAnsi="Arial" w:cs="Arial"/>
        </w:rPr>
        <w:t>The crude fat content was calculated using the following formula:</w:t>
      </w:r>
    </w:p>
    <w:p w14:paraId="1B207EF8" w14:textId="77777777" w:rsidR="00BA0885" w:rsidRDefault="00BA0885" w:rsidP="002C00FE">
      <w:pPr>
        <w:spacing w:line="360" w:lineRule="auto"/>
        <w:jc w:val="both"/>
        <w:rPr>
          <w:rFonts w:ascii="Arial" w:hAnsi="Arial" w:cs="Arial"/>
        </w:rPr>
      </w:pPr>
    </w:p>
    <w:p w14:paraId="181EBBE5" w14:textId="58085B95" w:rsidR="00BA0885" w:rsidRDefault="00BA0885" w:rsidP="002C00FE">
      <w:pPr>
        <w:spacing w:line="360" w:lineRule="auto"/>
        <w:jc w:val="both"/>
        <w:rPr>
          <w:rFonts w:ascii="Arial" w:hAnsi="Arial" w:cs="Arial"/>
        </w:rPr>
      </w:pPr>
      <m:oMathPara>
        <m:oMath>
          <m:r>
            <m:rPr>
              <m:sty m:val="p"/>
            </m:rPr>
            <w:rPr>
              <w:rFonts w:ascii="Cambria Math" w:hAnsi="Cambria Math" w:cs="Arial"/>
            </w:rPr>
            <m:t xml:space="preserve">Fat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Weight of extracted fat</m:t>
              </m:r>
              <m:r>
                <m:rPr>
                  <m:sty m:val="p"/>
                </m:rPr>
                <w:rPr>
                  <w:rFonts w:ascii="Cambria Math" w:hAnsi="Arial" w:cs="Arial"/>
                </w:rPr>
                <m:t xml:space="preserve"> (g)</m:t>
              </m:r>
            </m:num>
            <m:den>
              <m:r>
                <m:rPr>
                  <m:sty m:val="p"/>
                </m:rPr>
                <w:rPr>
                  <w:rFonts w:ascii="Cambria Math" w:hAnsi="Cambria Math" w:cs="Arial"/>
                </w:rPr>
                <m:t>Weight of sample</m:t>
              </m:r>
              <m:r>
                <m:rPr>
                  <m:sty m:val="p"/>
                </m:rPr>
                <w:rPr>
                  <w:rFonts w:ascii="Cambria Math" w:hAnsi="Arial" w:cs="Arial"/>
                </w:rPr>
                <m:t xml:space="preserve"> (g)</m:t>
              </m:r>
            </m:den>
          </m:f>
          <m:r>
            <w:rPr>
              <w:rFonts w:ascii="Cambria Math" w:hAnsi="Cambria Math" w:cs="Arial"/>
            </w:rPr>
            <m:t xml:space="preserve"> × 100</m:t>
          </m:r>
        </m:oMath>
      </m:oMathPara>
    </w:p>
    <w:p w14:paraId="7B53119B" w14:textId="77777777" w:rsidR="00913946" w:rsidRPr="00913946" w:rsidRDefault="00913946" w:rsidP="002C00FE">
      <w:pPr>
        <w:spacing w:line="360" w:lineRule="auto"/>
        <w:jc w:val="both"/>
        <w:rPr>
          <w:rFonts w:ascii="Arial" w:hAnsi="Arial" w:cs="Arial"/>
        </w:rPr>
      </w:pPr>
    </w:p>
    <w:p w14:paraId="6AE9F8EF" w14:textId="0D6E874C"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2.5.4 Fiber </w:t>
      </w:r>
      <w:r w:rsidR="0021696C">
        <w:rPr>
          <w:rFonts w:ascii="Arial" w:hAnsi="Arial" w:cs="Arial"/>
          <w:b/>
          <w:bCs/>
        </w:rPr>
        <w:t>C</w:t>
      </w:r>
      <w:r w:rsidRPr="00913946">
        <w:rPr>
          <w:rFonts w:ascii="Arial" w:hAnsi="Arial" w:cs="Arial"/>
          <w:b/>
          <w:bCs/>
        </w:rPr>
        <w:t>ontent</w:t>
      </w:r>
    </w:p>
    <w:p w14:paraId="0828C3E2" w14:textId="3E44ED42" w:rsidR="00913946" w:rsidRDefault="00913946" w:rsidP="002C00FE">
      <w:pPr>
        <w:spacing w:line="360" w:lineRule="auto"/>
        <w:jc w:val="both"/>
        <w:rPr>
          <w:rFonts w:ascii="Arial" w:hAnsi="Arial" w:cs="Arial"/>
        </w:rPr>
      </w:pPr>
      <w:r w:rsidRPr="00913946">
        <w:rPr>
          <w:rFonts w:ascii="Arial" w:hAnsi="Arial" w:cs="Arial"/>
        </w:rPr>
        <w:t xml:space="preserve">The total dietary fiber (TDF) content was determined using the enzymatic-gravimetric method (AOAC, 2023). This method simulates human gastrointestinal conditions by subjecting the sample to sequential enzymatic digestion. Specifically, the sample undergoes hydrolysis of starch by α-amylase, protein digestion by protease, and further breakdown of starch residues by </w:t>
      </w:r>
      <w:proofErr w:type="spellStart"/>
      <w:r w:rsidRPr="00913946">
        <w:rPr>
          <w:rFonts w:ascii="Arial" w:hAnsi="Arial" w:cs="Arial"/>
        </w:rPr>
        <w:t>amyloglucosidase</w:t>
      </w:r>
      <w:proofErr w:type="spellEnd"/>
      <w:r w:rsidRPr="00913946">
        <w:rPr>
          <w:rFonts w:ascii="Arial" w:hAnsi="Arial" w:cs="Arial"/>
        </w:rPr>
        <w:t>.</w:t>
      </w:r>
      <w:r w:rsidR="00BA0885">
        <w:rPr>
          <w:rFonts w:ascii="Arial" w:hAnsi="Arial" w:cs="Arial"/>
        </w:rPr>
        <w:t xml:space="preserve"> </w:t>
      </w:r>
      <w:r w:rsidRPr="00913946">
        <w:rPr>
          <w:rFonts w:ascii="Arial" w:hAnsi="Arial" w:cs="Arial"/>
        </w:rPr>
        <w:t>Following enzymatic treatment, insoluble dietary fiber (IDF) is separated by filtration. The soluble dietary fiber (SDF) is subsequently extracted from the filtrate by precipitating it with ethanol. Both IDF and SDF residues are dried and weighed, with adjustments made for protein and ash contents.</w:t>
      </w:r>
      <w:r w:rsidR="00BA0885">
        <w:rPr>
          <w:rFonts w:ascii="Arial" w:hAnsi="Arial" w:cs="Arial"/>
        </w:rPr>
        <w:t xml:space="preserve"> </w:t>
      </w:r>
      <w:r w:rsidRPr="00913946">
        <w:rPr>
          <w:rFonts w:ascii="Arial" w:hAnsi="Arial" w:cs="Arial"/>
        </w:rPr>
        <w:t>The total dietary fiber content is calculated by summing the corrected weights of IDF and SDF:</w:t>
      </w:r>
    </w:p>
    <w:p w14:paraId="039C718F" w14:textId="77777777" w:rsidR="00BA0885" w:rsidRDefault="00BA0885" w:rsidP="002C00FE">
      <w:pPr>
        <w:spacing w:line="360" w:lineRule="auto"/>
        <w:jc w:val="both"/>
        <w:rPr>
          <w:rFonts w:ascii="Arial" w:hAnsi="Arial" w:cs="Arial"/>
        </w:rPr>
      </w:pPr>
    </w:p>
    <w:p w14:paraId="74BF69F1" w14:textId="23005A57" w:rsidR="00BA0885" w:rsidRPr="00913946" w:rsidRDefault="00BA0885" w:rsidP="002C00FE">
      <w:pPr>
        <w:spacing w:line="360" w:lineRule="auto"/>
        <w:jc w:val="center"/>
        <w:rPr>
          <w:rFonts w:ascii="Arial" w:hAnsi="Arial" w:cs="Arial"/>
        </w:rPr>
      </w:pPr>
      <m:oMathPara>
        <m:oMath>
          <m:r>
            <m:rPr>
              <m:sty m:val="p"/>
            </m:rPr>
            <w:rPr>
              <w:rFonts w:ascii="Cambria Math" w:hAnsi="Cambria Math" w:cs="Arial"/>
            </w:rPr>
            <m:t xml:space="preserve">TDF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IDF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+SDF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oMath>
      </m:oMathPara>
    </w:p>
    <w:p w14:paraId="26939114" w14:textId="77777777" w:rsidR="00913946" w:rsidRPr="00913946" w:rsidRDefault="00913946" w:rsidP="002C00FE">
      <w:pPr>
        <w:spacing w:line="360" w:lineRule="auto"/>
        <w:jc w:val="both"/>
        <w:rPr>
          <w:rFonts w:ascii="Arial" w:hAnsi="Arial" w:cs="Arial"/>
        </w:rPr>
      </w:pPr>
    </w:p>
    <w:p w14:paraId="6271BD17" w14:textId="2EA40CDF"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2.5.5 </w:t>
      </w:r>
      <w:r>
        <w:rPr>
          <w:rFonts w:ascii="Arial" w:hAnsi="Arial" w:cs="Arial"/>
          <w:b/>
          <w:bCs/>
        </w:rPr>
        <w:t>A</w:t>
      </w:r>
      <w:r w:rsidRPr="00913946">
        <w:rPr>
          <w:rFonts w:ascii="Arial" w:hAnsi="Arial" w:cs="Arial"/>
          <w:b/>
          <w:bCs/>
        </w:rPr>
        <w:t xml:space="preserve">sh </w:t>
      </w:r>
      <w:r w:rsidR="0021696C">
        <w:rPr>
          <w:rFonts w:ascii="Arial" w:hAnsi="Arial" w:cs="Arial"/>
          <w:b/>
          <w:bCs/>
        </w:rPr>
        <w:t>C</w:t>
      </w:r>
      <w:r w:rsidRPr="00913946">
        <w:rPr>
          <w:rFonts w:ascii="Arial" w:hAnsi="Arial" w:cs="Arial"/>
          <w:b/>
          <w:bCs/>
        </w:rPr>
        <w:t>ontent</w:t>
      </w:r>
    </w:p>
    <w:p w14:paraId="40700455" w14:textId="77777777" w:rsidR="00913946" w:rsidRPr="00913946" w:rsidRDefault="00913946" w:rsidP="002C00FE">
      <w:pPr>
        <w:spacing w:line="360" w:lineRule="auto"/>
        <w:jc w:val="both"/>
        <w:rPr>
          <w:rFonts w:ascii="Arial" w:hAnsi="Arial" w:cs="Arial"/>
        </w:rPr>
      </w:pPr>
      <w:r w:rsidRPr="00913946">
        <w:rPr>
          <w:rFonts w:ascii="Arial" w:hAnsi="Arial" w:cs="Arial"/>
        </w:rPr>
        <w:t>The total ash content of the sample was determined using a muffle furnace (</w:t>
      </w:r>
      <w:proofErr w:type="spellStart"/>
      <w:r w:rsidRPr="00913946">
        <w:rPr>
          <w:rFonts w:ascii="Arial" w:hAnsi="Arial" w:cs="Arial"/>
        </w:rPr>
        <w:t>i-Therm</w:t>
      </w:r>
      <w:proofErr w:type="spellEnd"/>
      <w:r w:rsidRPr="00913946">
        <w:rPr>
          <w:rFonts w:ascii="Arial" w:hAnsi="Arial" w:cs="Arial"/>
        </w:rPr>
        <w:t xml:space="preserve"> AI-7481, India), following the procedure outlined by </w:t>
      </w:r>
      <w:proofErr w:type="spellStart"/>
      <w:r w:rsidRPr="00913946">
        <w:rPr>
          <w:rFonts w:ascii="Arial" w:hAnsi="Arial" w:cs="Arial"/>
        </w:rPr>
        <w:t>Ranganna</w:t>
      </w:r>
      <w:proofErr w:type="spellEnd"/>
      <w:r w:rsidRPr="00913946">
        <w:rPr>
          <w:rFonts w:ascii="Arial" w:hAnsi="Arial" w:cs="Arial"/>
        </w:rPr>
        <w:t xml:space="preserve"> (</w:t>
      </w:r>
      <w:proofErr w:type="gramStart"/>
      <w:r w:rsidRPr="00913946">
        <w:rPr>
          <w:rFonts w:ascii="Arial" w:hAnsi="Arial" w:cs="Arial"/>
        </w:rPr>
        <w:t>1986)&amp;</w:t>
      </w:r>
      <w:proofErr w:type="gramEnd"/>
      <w:r w:rsidRPr="00913946">
        <w:rPr>
          <w:rFonts w:ascii="Arial" w:hAnsi="Arial" w:cs="Arial"/>
        </w:rPr>
        <w:t xml:space="preserve"> (AOAC, 2023). Approximately 5 g of the sample were placed into pre-weighed, clean, and dry silica crucibles. To minimize foaming or splashing during incineration, the samples were gently pre-charred on a hot plate to remove most of the moisture and volatile organic matter.</w:t>
      </w:r>
    </w:p>
    <w:p w14:paraId="2462F6B7" w14:textId="77777777" w:rsidR="00913946" w:rsidRPr="00913946" w:rsidRDefault="00913946" w:rsidP="002C00FE">
      <w:pPr>
        <w:spacing w:line="360" w:lineRule="auto"/>
        <w:jc w:val="both"/>
        <w:rPr>
          <w:rFonts w:ascii="Arial" w:hAnsi="Arial" w:cs="Arial"/>
        </w:rPr>
      </w:pPr>
    </w:p>
    <w:p w14:paraId="039F890D" w14:textId="77777777" w:rsidR="00913946" w:rsidRDefault="00913946" w:rsidP="002C00FE">
      <w:pPr>
        <w:spacing w:line="360" w:lineRule="auto"/>
        <w:jc w:val="both"/>
        <w:rPr>
          <w:rFonts w:ascii="Arial" w:hAnsi="Arial" w:cs="Arial"/>
        </w:rPr>
      </w:pPr>
      <w:r w:rsidRPr="00913946">
        <w:rPr>
          <w:rFonts w:ascii="Arial" w:hAnsi="Arial" w:cs="Arial"/>
        </w:rPr>
        <w:t xml:space="preserve">The pre-charred crucibles were then carefully placed in a muffle furnace and </w:t>
      </w:r>
      <w:proofErr w:type="spellStart"/>
      <w:r w:rsidRPr="00913946">
        <w:rPr>
          <w:rFonts w:ascii="Arial" w:hAnsi="Arial" w:cs="Arial"/>
        </w:rPr>
        <w:t>ashed</w:t>
      </w:r>
      <w:proofErr w:type="spellEnd"/>
      <w:r w:rsidRPr="00913946">
        <w:rPr>
          <w:rFonts w:ascii="Arial" w:hAnsi="Arial" w:cs="Arial"/>
        </w:rPr>
        <w:t xml:space="preserve"> at 600°C for four hours, or until a light grey ash was produced, indicating complete combustion of organic material. After </w:t>
      </w:r>
      <w:proofErr w:type="spellStart"/>
      <w:r w:rsidRPr="00913946">
        <w:rPr>
          <w:rFonts w:ascii="Arial" w:hAnsi="Arial" w:cs="Arial"/>
        </w:rPr>
        <w:t>ashing</w:t>
      </w:r>
      <w:proofErr w:type="spellEnd"/>
      <w:r w:rsidRPr="00913946">
        <w:rPr>
          <w:rFonts w:ascii="Arial" w:hAnsi="Arial" w:cs="Arial"/>
        </w:rPr>
        <w:t>, the crucibles were transferred to a desiccator to cool to room temperature, preventing moisture absorption. Once cooled, the crucibles were weighed. The ash content was calculated using the following formula:</w:t>
      </w:r>
    </w:p>
    <w:p w14:paraId="3B05673F" w14:textId="77777777" w:rsidR="00BA0885" w:rsidRPr="00913946" w:rsidRDefault="00BA0885" w:rsidP="002C00FE">
      <w:pPr>
        <w:spacing w:line="360" w:lineRule="auto"/>
        <w:jc w:val="both"/>
        <w:rPr>
          <w:rFonts w:ascii="Arial" w:hAnsi="Arial" w:cs="Arial"/>
        </w:rPr>
      </w:pPr>
    </w:p>
    <w:p w14:paraId="1A595E8A" w14:textId="1D836411" w:rsidR="00913946" w:rsidRPr="003725CC" w:rsidRDefault="00BA0885" w:rsidP="002C00FE">
      <w:pPr>
        <w:spacing w:line="360" w:lineRule="auto"/>
        <w:jc w:val="center"/>
        <w:rPr>
          <w:rFonts w:ascii="Arial" w:hAnsi="Arial" w:cs="Arial"/>
        </w:rPr>
      </w:pPr>
      <m:oMathPara>
        <m:oMath>
          <m:r>
            <m:rPr>
              <m:sty m:val="p"/>
            </m:rPr>
            <w:rPr>
              <w:rFonts w:ascii="Cambria Math" w:hAnsi="Cambria Math" w:cs="Arial"/>
            </w:rPr>
            <w:lastRenderedPageBreak/>
            <m:t xml:space="preserve">Ash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Weight of ash (g)</m:t>
              </m:r>
            </m:num>
            <m:den>
              <m:r>
                <m:rPr>
                  <m:sty m:val="p"/>
                </m:rPr>
                <w:rPr>
                  <w:rFonts w:ascii="Cambria Math" w:hAnsi="Cambria Math" w:cs="Arial"/>
                </w:rPr>
                <m:t>Weight of sample (g)</m:t>
              </m:r>
            </m:den>
          </m:f>
          <m:r>
            <w:rPr>
              <w:rFonts w:ascii="Cambria Math" w:hAnsi="Cambria Math" w:cs="Arial"/>
            </w:rPr>
            <m:t xml:space="preserve"> × 100</m:t>
          </m:r>
        </m:oMath>
      </m:oMathPara>
    </w:p>
    <w:p w14:paraId="58026F11" w14:textId="77777777" w:rsidR="00913946" w:rsidRPr="00913946" w:rsidRDefault="00913946" w:rsidP="002C00FE">
      <w:pPr>
        <w:spacing w:line="360" w:lineRule="auto"/>
        <w:jc w:val="both"/>
        <w:rPr>
          <w:rFonts w:ascii="Arial" w:hAnsi="Arial" w:cs="Arial"/>
        </w:rPr>
      </w:pPr>
    </w:p>
    <w:p w14:paraId="37BF7765" w14:textId="5D077BE9"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2.5.6 Total </w:t>
      </w:r>
      <w:r w:rsidR="0021696C">
        <w:rPr>
          <w:rFonts w:ascii="Arial" w:hAnsi="Arial" w:cs="Arial"/>
          <w:b/>
          <w:bCs/>
        </w:rPr>
        <w:t>C</w:t>
      </w:r>
      <w:r w:rsidRPr="00913946">
        <w:rPr>
          <w:rFonts w:ascii="Arial" w:hAnsi="Arial" w:cs="Arial"/>
          <w:b/>
          <w:bCs/>
        </w:rPr>
        <w:t>arbohydrate</w:t>
      </w:r>
      <w:r>
        <w:rPr>
          <w:rFonts w:ascii="Arial" w:hAnsi="Arial" w:cs="Arial"/>
          <w:b/>
          <w:bCs/>
        </w:rPr>
        <w:t>s</w:t>
      </w:r>
    </w:p>
    <w:p w14:paraId="47543954" w14:textId="77777777" w:rsidR="00913946" w:rsidRDefault="00913946" w:rsidP="002C00FE">
      <w:pPr>
        <w:spacing w:line="360" w:lineRule="auto"/>
        <w:jc w:val="both"/>
        <w:rPr>
          <w:rFonts w:ascii="Arial" w:hAnsi="Arial" w:cs="Arial"/>
        </w:rPr>
      </w:pPr>
      <w:r w:rsidRPr="00913946">
        <w:rPr>
          <w:rFonts w:ascii="Arial" w:hAnsi="Arial" w:cs="Arial"/>
        </w:rPr>
        <w:t>The total carbohydrate content was determined by difference, following the procedures outlined in AOAC Official Methods (AOAC, 2023). Initially, the percentages of moisture, crude protein, crude fat, crude fiber, and total ash were determined using the respective AOAC methods Each value was expressed as a percentage relative to the sample weight. Subsequently, the total carbohydrate content was calculated using the following formula:</w:t>
      </w:r>
    </w:p>
    <w:p w14:paraId="722FAC0D" w14:textId="77777777" w:rsidR="00BA0885" w:rsidRDefault="00BA0885" w:rsidP="002C00FE">
      <w:pPr>
        <w:spacing w:line="360" w:lineRule="auto"/>
        <w:jc w:val="both"/>
        <w:rPr>
          <w:rFonts w:ascii="Arial" w:hAnsi="Arial" w:cs="Arial"/>
        </w:rPr>
      </w:pPr>
    </w:p>
    <w:p w14:paraId="0208C83E" w14:textId="7F2E146E" w:rsidR="00BA0885" w:rsidRPr="003725CC" w:rsidRDefault="00BA0885" w:rsidP="002C00FE">
      <w:pPr>
        <w:spacing w:line="360" w:lineRule="auto"/>
        <w:jc w:val="both"/>
        <w:rPr>
          <w:rFonts w:ascii="Arial" w:hAnsi="Arial" w:cs="Arial"/>
        </w:rPr>
      </w:pPr>
      <m:oMathPara>
        <m:oMathParaPr>
          <m:jc m:val="center"/>
        </m:oMathParaPr>
        <m:oMath>
          <m:r>
            <m:rPr>
              <m:sty m:val="p"/>
            </m:rPr>
            <w:rPr>
              <w:rFonts w:ascii="Cambria Math" w:hAnsi="Cambria Math" w:cs="Arial"/>
            </w:rPr>
            <m:t xml:space="preserve">Total carbohydrates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100 - </m:t>
          </m:r>
          <m:r>
            <w:rPr>
              <w:rFonts w:ascii="Cambria Math" w:hAnsi="Cambria Math" w:cs="Arial"/>
            </w:rPr>
            <m:t xml:space="preserve"> [Moisture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 Protein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 Fat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+Fiber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+Ash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m:t>
          </m:r>
        </m:oMath>
      </m:oMathPara>
    </w:p>
    <w:p w14:paraId="5FDBCFF0" w14:textId="77777777" w:rsidR="00913946" w:rsidRPr="00913946" w:rsidRDefault="00913946" w:rsidP="002C00FE">
      <w:pPr>
        <w:spacing w:line="360" w:lineRule="auto"/>
        <w:jc w:val="both"/>
        <w:rPr>
          <w:rFonts w:ascii="Arial" w:hAnsi="Arial" w:cs="Arial"/>
        </w:rPr>
      </w:pPr>
    </w:p>
    <w:p w14:paraId="71057C07" w14:textId="77777777" w:rsidR="00913946" w:rsidRPr="00913946" w:rsidRDefault="00913946" w:rsidP="002C00FE">
      <w:pPr>
        <w:spacing w:line="360" w:lineRule="auto"/>
        <w:jc w:val="both"/>
        <w:rPr>
          <w:rFonts w:ascii="Arial" w:hAnsi="Arial" w:cs="Arial"/>
          <w:b/>
          <w:bCs/>
        </w:rPr>
      </w:pPr>
      <w:r w:rsidRPr="00913946">
        <w:rPr>
          <w:rFonts w:ascii="Arial" w:hAnsi="Arial" w:cs="Arial"/>
          <w:b/>
          <w:bCs/>
        </w:rPr>
        <w:t>2.5.7 Sodium Content</w:t>
      </w:r>
    </w:p>
    <w:p w14:paraId="7A74161F" w14:textId="77777777" w:rsidR="00913946" w:rsidRPr="00913946" w:rsidRDefault="00913946" w:rsidP="002C00FE">
      <w:pPr>
        <w:spacing w:line="360" w:lineRule="auto"/>
        <w:jc w:val="both"/>
        <w:rPr>
          <w:rFonts w:ascii="Arial" w:hAnsi="Arial" w:cs="Arial"/>
        </w:rPr>
      </w:pPr>
      <w:r w:rsidRPr="00913946">
        <w:rPr>
          <w:rFonts w:ascii="Arial" w:hAnsi="Arial" w:cs="Arial"/>
        </w:rPr>
        <w:t xml:space="preserve">The sodium content of the sample was determined using a colorimetric method, as described by </w:t>
      </w:r>
      <w:proofErr w:type="spellStart"/>
      <w:r w:rsidRPr="00913946">
        <w:rPr>
          <w:rFonts w:ascii="Arial" w:hAnsi="Arial" w:cs="Arial"/>
        </w:rPr>
        <w:t>Julshamn</w:t>
      </w:r>
      <w:proofErr w:type="spellEnd"/>
      <w:r w:rsidRPr="00913946">
        <w:rPr>
          <w:rFonts w:ascii="Arial" w:hAnsi="Arial" w:cs="Arial"/>
        </w:rPr>
        <w:t xml:space="preserve"> et al. (2005). A single-beam visible spectrophotometer (</w:t>
      </w:r>
      <w:proofErr w:type="spellStart"/>
      <w:r w:rsidRPr="00913946">
        <w:rPr>
          <w:rFonts w:ascii="Arial" w:hAnsi="Arial" w:cs="Arial"/>
        </w:rPr>
        <w:t>Systronics</w:t>
      </w:r>
      <w:proofErr w:type="spellEnd"/>
      <w:r w:rsidRPr="00913946">
        <w:rPr>
          <w:rFonts w:ascii="Arial" w:hAnsi="Arial" w:cs="Arial"/>
        </w:rPr>
        <w:t xml:space="preserve"> 168) was employed for the analysis. Initially, a certified sodium stock solution was diluted to prepare a series of sodium standard solutions with concentrations ranging from 0 to 10 ppm. A 1 g portion of the dried, homogenized food sample was subjected to wet digestion using a mixture of concentrated nitric acid and hydrogen peroxide. The digested sample was then filtered and diluted with distilled water to a known final volume.</w:t>
      </w:r>
    </w:p>
    <w:p w14:paraId="52818D96" w14:textId="77777777" w:rsidR="00913946" w:rsidRDefault="00913946" w:rsidP="002C00FE">
      <w:pPr>
        <w:spacing w:line="360" w:lineRule="auto"/>
        <w:jc w:val="both"/>
        <w:rPr>
          <w:rFonts w:ascii="Arial" w:hAnsi="Arial" w:cs="Arial"/>
        </w:rPr>
      </w:pPr>
      <w:r w:rsidRPr="00913946">
        <w:rPr>
          <w:rFonts w:ascii="Arial" w:hAnsi="Arial" w:cs="Arial"/>
        </w:rPr>
        <w:t>For the color development, 5 mL of each standard or sample solution was mixed with a specified volume of a chromogenic reagent, such as sodium salicylate. The mixtures were allowed to stand at room temperature for 10 to 15 minutes to ensure complete color formation. The spectrophotometer was calibrated using a reagent blank, and the absorbance of the standards and samples was measured at a wavelength of 540 nm. A calibration curve was constructed by plotting absorbance against the sodium concentration of the standards. The sodium content of the samples was calculated using the equation derived from the calibration curve.</w:t>
      </w:r>
    </w:p>
    <w:p w14:paraId="5021880D" w14:textId="77777777" w:rsidR="003725CC" w:rsidRPr="00913946" w:rsidRDefault="003725CC" w:rsidP="002C00FE">
      <w:pPr>
        <w:spacing w:line="360" w:lineRule="auto"/>
        <w:jc w:val="both"/>
        <w:rPr>
          <w:rFonts w:ascii="Arial" w:hAnsi="Arial" w:cs="Arial"/>
        </w:rPr>
      </w:pPr>
    </w:p>
    <w:p w14:paraId="4F2183BD" w14:textId="77777777" w:rsidR="00913946" w:rsidRDefault="00913946" w:rsidP="002C00FE">
      <w:pPr>
        <w:spacing w:line="360" w:lineRule="auto"/>
        <w:jc w:val="both"/>
        <w:rPr>
          <w:rFonts w:ascii="Arial" w:hAnsi="Arial" w:cs="Arial"/>
          <w:b/>
          <w:bCs/>
          <w:sz w:val="22"/>
          <w:szCs w:val="22"/>
        </w:rPr>
      </w:pPr>
      <w:r w:rsidRPr="003725CC">
        <w:rPr>
          <w:rFonts w:ascii="Arial" w:hAnsi="Arial" w:cs="Arial"/>
          <w:b/>
          <w:bCs/>
          <w:sz w:val="22"/>
          <w:szCs w:val="22"/>
        </w:rPr>
        <w:t>2.6 MICROBIAL ANALYSIS</w:t>
      </w:r>
    </w:p>
    <w:p w14:paraId="7A542C49" w14:textId="77777777" w:rsidR="003725CC" w:rsidRPr="003725CC" w:rsidRDefault="003725CC" w:rsidP="002C00FE">
      <w:pPr>
        <w:spacing w:line="360" w:lineRule="auto"/>
        <w:jc w:val="both"/>
        <w:rPr>
          <w:rFonts w:ascii="Arial" w:hAnsi="Arial" w:cs="Arial"/>
          <w:b/>
          <w:bCs/>
          <w:sz w:val="22"/>
          <w:szCs w:val="22"/>
        </w:rPr>
      </w:pPr>
    </w:p>
    <w:p w14:paraId="53C7D81B" w14:textId="0E85A618" w:rsidR="00913946" w:rsidRPr="003725CC" w:rsidRDefault="00913946" w:rsidP="002C00FE">
      <w:pPr>
        <w:spacing w:line="360" w:lineRule="auto"/>
        <w:jc w:val="both"/>
        <w:rPr>
          <w:rFonts w:ascii="Arial" w:hAnsi="Arial" w:cs="Arial"/>
          <w:b/>
          <w:bCs/>
        </w:rPr>
      </w:pPr>
      <w:r w:rsidRPr="003725CC">
        <w:rPr>
          <w:rFonts w:ascii="Arial" w:hAnsi="Arial" w:cs="Arial"/>
          <w:b/>
          <w:bCs/>
        </w:rPr>
        <w:t xml:space="preserve">2.6.1 Total </w:t>
      </w:r>
      <w:r w:rsidR="0021696C">
        <w:rPr>
          <w:rFonts w:ascii="Arial" w:hAnsi="Arial" w:cs="Arial"/>
          <w:b/>
          <w:bCs/>
        </w:rPr>
        <w:t>P</w:t>
      </w:r>
      <w:r w:rsidRPr="003725CC">
        <w:rPr>
          <w:rFonts w:ascii="Arial" w:hAnsi="Arial" w:cs="Arial"/>
          <w:b/>
          <w:bCs/>
        </w:rPr>
        <w:t xml:space="preserve">late </w:t>
      </w:r>
      <w:r w:rsidR="0021696C">
        <w:rPr>
          <w:rFonts w:ascii="Arial" w:hAnsi="Arial" w:cs="Arial"/>
          <w:b/>
          <w:bCs/>
        </w:rPr>
        <w:t>C</w:t>
      </w:r>
      <w:r w:rsidRPr="003725CC">
        <w:rPr>
          <w:rFonts w:ascii="Arial" w:hAnsi="Arial" w:cs="Arial"/>
          <w:b/>
          <w:bCs/>
        </w:rPr>
        <w:t>ount</w:t>
      </w:r>
      <w:r w:rsidR="0021696C">
        <w:rPr>
          <w:rFonts w:ascii="Arial" w:hAnsi="Arial" w:cs="Arial"/>
          <w:b/>
          <w:bCs/>
        </w:rPr>
        <w:t xml:space="preserve"> (TPC)</w:t>
      </w:r>
    </w:p>
    <w:p w14:paraId="2B645F6E" w14:textId="0E581FD5" w:rsidR="003725CC" w:rsidRDefault="00913946" w:rsidP="002C00FE">
      <w:pPr>
        <w:spacing w:line="360" w:lineRule="auto"/>
        <w:jc w:val="both"/>
        <w:rPr>
          <w:rFonts w:ascii="Arial" w:hAnsi="Arial" w:cs="Arial"/>
        </w:rPr>
      </w:pPr>
      <w:r w:rsidRPr="00913946">
        <w:rPr>
          <w:rFonts w:ascii="Arial" w:hAnsi="Arial" w:cs="Arial"/>
        </w:rPr>
        <w:t>The total plate count (TPC) was conducted to assess the microbial load in the ready-to-cook khichdi premix (FSSAI Method No. 15.001:2023) for enumeration of aerobic plate count. Nutrient agar medium was prepared and sterilized using an autoclave, then aseptically poured into sterile petri plates and allowed to solidify.</w:t>
      </w:r>
      <w:r w:rsidR="003725CC">
        <w:rPr>
          <w:rFonts w:ascii="Arial" w:hAnsi="Arial" w:cs="Arial"/>
        </w:rPr>
        <w:t xml:space="preserve"> </w:t>
      </w:r>
      <w:r w:rsidRPr="00913946">
        <w:rPr>
          <w:rFonts w:ascii="Arial" w:hAnsi="Arial" w:cs="Arial"/>
        </w:rPr>
        <w:t>A 10 g sample of the khichdi premix was homogenized and subjected to serial dilution using sterile distilled water. From the appropriate dilutions, 1 mL aliquots were transferred onto separate sterile petri plates in triplicates. The pour plate method was employed, wherein the diluted sample was mixed with molten nutrient agar and allowed to solidify. All inoculated plates were incubated at 37°C for 24 hours in a bacteriological incubator (</w:t>
      </w:r>
      <w:proofErr w:type="spellStart"/>
      <w:r w:rsidRPr="00913946">
        <w:rPr>
          <w:rFonts w:ascii="Arial" w:hAnsi="Arial" w:cs="Arial"/>
        </w:rPr>
        <w:t>LABiN</w:t>
      </w:r>
      <w:proofErr w:type="spellEnd"/>
      <w:r w:rsidRPr="00913946">
        <w:rPr>
          <w:rFonts w:ascii="Arial" w:hAnsi="Arial" w:cs="Arial"/>
        </w:rPr>
        <w:t xml:space="preserve"> LI-90, India).</w:t>
      </w:r>
      <w:r w:rsidR="003725CC">
        <w:rPr>
          <w:rFonts w:ascii="Arial" w:hAnsi="Arial" w:cs="Arial"/>
        </w:rPr>
        <w:t xml:space="preserve"> </w:t>
      </w:r>
      <w:r w:rsidRPr="00913946">
        <w:rPr>
          <w:rFonts w:ascii="Arial" w:hAnsi="Arial" w:cs="Arial"/>
        </w:rPr>
        <w:t>Post incubation, visible colonies were counted manually. Plates exhibiting 30 to 300 colonies were considered for accurate enumeration, as per standard guidelines. The results were expressed as colony-forming units per gram (CFU/g) of the sample, calculated using the formula</w:t>
      </w:r>
      <w:r w:rsidR="003725CC">
        <w:rPr>
          <w:rFonts w:ascii="Arial" w:hAnsi="Arial" w:cs="Arial"/>
        </w:rPr>
        <w:t>:</w:t>
      </w:r>
    </w:p>
    <w:p w14:paraId="79940C35" w14:textId="77777777" w:rsidR="003725CC" w:rsidRDefault="003725CC" w:rsidP="002C00FE">
      <w:pPr>
        <w:spacing w:line="360" w:lineRule="auto"/>
        <w:jc w:val="both"/>
        <w:rPr>
          <w:rFonts w:ascii="Arial" w:hAnsi="Arial" w:cs="Arial"/>
        </w:rPr>
      </w:pPr>
    </w:p>
    <w:p w14:paraId="678DDB3A" w14:textId="21E1B1E0" w:rsidR="003725CC" w:rsidRDefault="003725CC" w:rsidP="002C00FE">
      <w:pPr>
        <w:spacing w:line="360" w:lineRule="auto"/>
        <w:jc w:val="both"/>
        <w:rPr>
          <w:rFonts w:ascii="Arial" w:hAnsi="Arial" w:cs="Arial"/>
        </w:rPr>
      </w:pPr>
      <m:oMathPara>
        <m:oMath>
          <m:r>
            <m:rPr>
              <m:sty m:val="p"/>
            </m:rPr>
            <w:rPr>
              <w:rFonts w:ascii="Cambria Math" w:hAnsi="Cambria Math" w:cs="Arial"/>
            </w:rPr>
            <w:lastRenderedPageBreak/>
            <m:t xml:space="preserve">CFU/g= </m:t>
          </m:r>
          <m:f>
            <m:fPr>
              <m:ctrlPr>
                <w:rPr>
                  <w:rFonts w:ascii="Cambria Math" w:hAnsi="Cambria Math" w:cs="Arial"/>
                </w:rPr>
              </m:ctrlPr>
            </m:fPr>
            <m:num>
              <m:r>
                <m:rPr>
                  <m:sty m:val="p"/>
                </m:rPr>
                <w:rPr>
                  <w:rFonts w:ascii="Cambria Math" w:hAnsi="Cambria Math" w:cs="Arial"/>
                </w:rPr>
                <m:t xml:space="preserve">Number of colonies ×Dilution </m:t>
              </m:r>
              <m:sSup>
                <m:sSupPr>
                  <m:ctrlPr>
                    <w:rPr>
                      <w:rFonts w:ascii="Cambria Math" w:hAnsi="Cambria Math" w:cs="Arial"/>
                    </w:rPr>
                  </m:ctrlPr>
                </m:sSupPr>
                <m:e>
                  <m:r>
                    <m:rPr>
                      <m:sty m:val="p"/>
                    </m:rPr>
                    <w:rPr>
                      <w:rFonts w:ascii="Cambria Math" w:hAnsi="Cambria Math" w:cs="Arial"/>
                    </w:rPr>
                    <m:t>factor</m:t>
                  </m:r>
                </m:e>
                <m:sup>
                  <m:r>
                    <m:rPr>
                      <m:sty m:val="p"/>
                    </m:rPr>
                    <w:rPr>
                      <w:rFonts w:ascii="Cambria Math" w:hAnsi="Cambria Math" w:cs="Arial"/>
                    </w:rPr>
                    <m:t>*</m:t>
                  </m:r>
                </m:sup>
              </m:sSup>
            </m:num>
            <m:den>
              <m:r>
                <m:rPr>
                  <m:sty m:val="p"/>
                </m:rPr>
                <w:rPr>
                  <w:rFonts w:ascii="Cambria Math" w:hAnsi="Cambria Math" w:cs="Arial"/>
                </w:rPr>
                <m:t>Weight of sample (g)</m:t>
              </m:r>
            </m:den>
          </m:f>
        </m:oMath>
      </m:oMathPara>
    </w:p>
    <w:p w14:paraId="374A34DD" w14:textId="0C16F3A6" w:rsidR="00913946" w:rsidRPr="00913946" w:rsidRDefault="00913946" w:rsidP="002C00FE">
      <w:pPr>
        <w:spacing w:line="360" w:lineRule="auto"/>
        <w:jc w:val="both"/>
        <w:rPr>
          <w:rFonts w:ascii="Arial" w:hAnsi="Arial" w:cs="Arial"/>
        </w:rPr>
      </w:pPr>
      <w:r w:rsidRPr="00913946">
        <w:rPr>
          <w:rFonts w:ascii="Arial" w:hAnsi="Arial" w:cs="Arial"/>
        </w:rPr>
        <w:t xml:space="preserve"> </w:t>
      </w:r>
    </w:p>
    <w:p w14:paraId="34DAC4BF" w14:textId="04DA84E2" w:rsidR="00913946" w:rsidRDefault="003725CC" w:rsidP="002C00FE">
      <w:pPr>
        <w:spacing w:line="360" w:lineRule="auto"/>
        <w:rPr>
          <w:rFonts w:ascii="Arial" w:hAnsi="Arial" w:cs="Arial"/>
          <w:i/>
          <w:iCs/>
          <w:sz w:val="18"/>
          <w:szCs w:val="18"/>
        </w:rPr>
      </w:pPr>
      <w:r>
        <w:rPr>
          <w:rFonts w:ascii="Arial" w:hAnsi="Arial" w:cs="Arial"/>
          <w:i/>
          <w:iCs/>
          <w:sz w:val="18"/>
          <w:szCs w:val="18"/>
        </w:rPr>
        <w:t>*D</w:t>
      </w:r>
      <w:r w:rsidR="00913946" w:rsidRPr="003725CC">
        <w:rPr>
          <w:rFonts w:ascii="Arial" w:hAnsi="Arial" w:cs="Arial"/>
          <w:i/>
          <w:iCs/>
          <w:sz w:val="18"/>
          <w:szCs w:val="18"/>
        </w:rPr>
        <w:t>ilution factor is the reciprocal of the dilution</w:t>
      </w:r>
    </w:p>
    <w:p w14:paraId="3E5384C7" w14:textId="77777777" w:rsidR="003725CC" w:rsidRPr="003725CC" w:rsidRDefault="003725CC" w:rsidP="002C00FE">
      <w:pPr>
        <w:spacing w:line="360" w:lineRule="auto"/>
        <w:jc w:val="both"/>
        <w:rPr>
          <w:rFonts w:ascii="Arial" w:hAnsi="Arial" w:cs="Arial"/>
          <w:i/>
          <w:iCs/>
          <w:sz w:val="18"/>
          <w:szCs w:val="18"/>
        </w:rPr>
      </w:pPr>
    </w:p>
    <w:p w14:paraId="47BAB1A5" w14:textId="77777777" w:rsidR="00913946" w:rsidRPr="003725CC" w:rsidRDefault="00913946" w:rsidP="002C00FE">
      <w:pPr>
        <w:spacing w:line="360" w:lineRule="auto"/>
        <w:jc w:val="both"/>
        <w:rPr>
          <w:rFonts w:ascii="Arial" w:hAnsi="Arial" w:cs="Arial"/>
          <w:b/>
          <w:bCs/>
        </w:rPr>
      </w:pPr>
      <w:r w:rsidRPr="003725CC">
        <w:rPr>
          <w:rFonts w:ascii="Arial" w:hAnsi="Arial" w:cs="Arial"/>
          <w:b/>
          <w:bCs/>
        </w:rPr>
        <w:t>2.6.2 Most Probable Number (MPN)</w:t>
      </w:r>
    </w:p>
    <w:p w14:paraId="6EB75C05" w14:textId="118C26C0" w:rsidR="00913946" w:rsidRDefault="00913946" w:rsidP="002C00FE">
      <w:pPr>
        <w:spacing w:line="360" w:lineRule="auto"/>
        <w:jc w:val="both"/>
        <w:rPr>
          <w:rFonts w:ascii="Arial" w:hAnsi="Arial" w:cs="Arial"/>
        </w:rPr>
      </w:pPr>
      <w:r w:rsidRPr="00913946">
        <w:rPr>
          <w:rFonts w:ascii="Arial" w:hAnsi="Arial" w:cs="Arial"/>
        </w:rPr>
        <w:t>The Most Probable Number (MPN) method was employed to detect the presence of coliform bacteria in the ready-to-cook khichdi premix, following the procedure (FSSAI Method No. 15.025:2023) for the enumeration of Escherichia coli and coliforms. A 10 g sample of the khichdi premix was aseptically transferred into 90 mL of sterile distilled water to prepare a 10</w:t>
      </w:r>
      <w:r w:rsidRPr="00913946">
        <w:rPr>
          <w:rFonts w:ascii="Cambria Math" w:hAnsi="Cambria Math" w:cs="Cambria Math"/>
        </w:rPr>
        <w:t>⁻</w:t>
      </w:r>
      <w:r w:rsidRPr="00913946">
        <w:rPr>
          <w:rFonts w:ascii="Arial" w:hAnsi="Arial" w:cs="Arial"/>
        </w:rPr>
        <w:t>¹ dilution. This suspension was thoroughly mixed to ensure uniform distribution of microorganisms. From this initial dilution:</w:t>
      </w:r>
      <w:r w:rsidR="003725CC">
        <w:rPr>
          <w:rFonts w:ascii="Arial" w:hAnsi="Arial" w:cs="Arial"/>
        </w:rPr>
        <w:t xml:space="preserve"> </w:t>
      </w:r>
      <w:r w:rsidRPr="00913946">
        <w:rPr>
          <w:rFonts w:ascii="Arial" w:hAnsi="Arial" w:cs="Arial"/>
        </w:rPr>
        <w:t>10 mL aliquots were inoculated into tubes containing double-strength lactose broth.</w:t>
      </w:r>
      <w:r w:rsidR="003725CC">
        <w:rPr>
          <w:rFonts w:ascii="Arial" w:hAnsi="Arial" w:cs="Arial"/>
        </w:rPr>
        <w:t xml:space="preserve"> </w:t>
      </w:r>
      <w:r w:rsidRPr="00913946">
        <w:rPr>
          <w:rFonts w:ascii="Arial" w:hAnsi="Arial" w:cs="Arial"/>
        </w:rPr>
        <w:t>1 mL and 0.1 mL aliquots were inoculated into tubes containing single-strength lactose broth.</w:t>
      </w:r>
      <w:r w:rsidR="003725CC">
        <w:rPr>
          <w:rFonts w:ascii="Arial" w:hAnsi="Arial" w:cs="Arial"/>
        </w:rPr>
        <w:t xml:space="preserve"> </w:t>
      </w:r>
      <w:r w:rsidRPr="00913946">
        <w:rPr>
          <w:rFonts w:ascii="Arial" w:hAnsi="Arial" w:cs="Arial"/>
        </w:rPr>
        <w:t>All inoculated tubes were incubated at 37 °C for 48 hours in a bacteriological incubator (</w:t>
      </w:r>
      <w:proofErr w:type="spellStart"/>
      <w:r w:rsidRPr="00913946">
        <w:rPr>
          <w:rFonts w:ascii="Arial" w:hAnsi="Arial" w:cs="Arial"/>
        </w:rPr>
        <w:t>LABiN</w:t>
      </w:r>
      <w:proofErr w:type="spellEnd"/>
      <w:r w:rsidRPr="00913946">
        <w:rPr>
          <w:rFonts w:ascii="Arial" w:hAnsi="Arial" w:cs="Arial"/>
        </w:rPr>
        <w:t xml:space="preserve"> LI-90, India). Post-incubation, the tubes were examined for acid production, indicated by a color change, and gas formation in Durham tubes. The presence of both acid and gas was considered a positive presumptive test for coliforms.</w:t>
      </w:r>
      <w:r w:rsidR="003725CC">
        <w:rPr>
          <w:rFonts w:ascii="Arial" w:hAnsi="Arial" w:cs="Arial"/>
        </w:rPr>
        <w:t xml:space="preserve"> </w:t>
      </w:r>
      <w:r w:rsidRPr="00913946">
        <w:rPr>
          <w:rFonts w:ascii="Arial" w:hAnsi="Arial" w:cs="Arial"/>
        </w:rPr>
        <w:t>The number of positive tubes at each dilution level was recorded, and the Most Probable Number (MPN) of coliforms per gram of sample was estimated using standard MPN tables.</w:t>
      </w:r>
    </w:p>
    <w:p w14:paraId="2F0E5AFE" w14:textId="77777777" w:rsidR="003725CC" w:rsidRPr="00913946" w:rsidRDefault="003725CC" w:rsidP="002C00FE">
      <w:pPr>
        <w:spacing w:line="360" w:lineRule="auto"/>
        <w:jc w:val="both"/>
        <w:rPr>
          <w:rFonts w:ascii="Arial" w:hAnsi="Arial" w:cs="Arial"/>
        </w:rPr>
      </w:pPr>
    </w:p>
    <w:p w14:paraId="0B5223A1" w14:textId="77777777" w:rsidR="00913946" w:rsidRPr="003725CC" w:rsidRDefault="00913946" w:rsidP="002C00FE">
      <w:pPr>
        <w:spacing w:line="360" w:lineRule="auto"/>
        <w:jc w:val="both"/>
        <w:rPr>
          <w:rFonts w:ascii="Arial" w:hAnsi="Arial" w:cs="Arial"/>
          <w:b/>
          <w:bCs/>
        </w:rPr>
      </w:pPr>
      <w:r w:rsidRPr="003725CC">
        <w:rPr>
          <w:rFonts w:ascii="Arial" w:hAnsi="Arial" w:cs="Arial"/>
          <w:b/>
          <w:bCs/>
        </w:rPr>
        <w:t>2.6.3 Coliform Test</w:t>
      </w:r>
    </w:p>
    <w:p w14:paraId="422E52E1" w14:textId="746D89F8" w:rsidR="00913946" w:rsidRPr="00913946" w:rsidRDefault="00913946" w:rsidP="002C00FE">
      <w:pPr>
        <w:spacing w:line="360" w:lineRule="auto"/>
        <w:jc w:val="both"/>
        <w:rPr>
          <w:rFonts w:ascii="Arial" w:hAnsi="Arial" w:cs="Arial"/>
        </w:rPr>
      </w:pPr>
      <w:r w:rsidRPr="00913946">
        <w:rPr>
          <w:rFonts w:ascii="Arial" w:hAnsi="Arial" w:cs="Arial"/>
        </w:rPr>
        <w:t xml:space="preserve">The coliform load in the </w:t>
      </w:r>
      <w:r w:rsidR="003725CC">
        <w:rPr>
          <w:rFonts w:ascii="Arial" w:hAnsi="Arial" w:cs="Arial"/>
        </w:rPr>
        <w:t>RTC</w:t>
      </w:r>
      <w:r w:rsidRPr="00913946">
        <w:rPr>
          <w:rFonts w:ascii="Arial" w:hAnsi="Arial" w:cs="Arial"/>
        </w:rPr>
        <w:t xml:space="preserve"> khichdi premix was assessed using the total plate count (TPC) method on MacConkey agar, as described in the FSSAI Manual of Methods for Microbiological Examination of Food (FSSAI, 2023). MacConkey Agar medium was prepared according to standard microbiological procedures, sterilized by autoclaving, and aseptically poured into sterile petri plates. Once the agar solidified, the plates were ready for inoculation.</w:t>
      </w:r>
      <w:r w:rsidR="003725CC">
        <w:rPr>
          <w:rFonts w:ascii="Arial" w:hAnsi="Arial" w:cs="Arial"/>
        </w:rPr>
        <w:t xml:space="preserve"> </w:t>
      </w:r>
      <w:r w:rsidRPr="00913946">
        <w:rPr>
          <w:rFonts w:ascii="Arial" w:hAnsi="Arial" w:cs="Arial"/>
        </w:rPr>
        <w:t>A 10 g sample of khichdi was aseptically homogenized and subjected to serial dilution using sterile distilled water. From the appropriate dilutions, 1 mL aliquots were transferred onto MacConkey agar plates in triplicate. The plates were incubated at 37°C for</w:t>
      </w:r>
      <w:r w:rsidR="003725CC">
        <w:rPr>
          <w:rFonts w:ascii="Arial" w:hAnsi="Arial" w:cs="Arial"/>
        </w:rPr>
        <w:t xml:space="preserve"> </w:t>
      </w:r>
      <w:r w:rsidRPr="00913946">
        <w:rPr>
          <w:rFonts w:ascii="Arial" w:hAnsi="Arial" w:cs="Arial"/>
        </w:rPr>
        <w:t xml:space="preserve">24 hours in a bacteriological incubator (Model: </w:t>
      </w:r>
      <w:proofErr w:type="spellStart"/>
      <w:r w:rsidRPr="00913946">
        <w:rPr>
          <w:rFonts w:ascii="Arial" w:hAnsi="Arial" w:cs="Arial"/>
        </w:rPr>
        <w:t>LABiN</w:t>
      </w:r>
      <w:proofErr w:type="spellEnd"/>
      <w:r w:rsidRPr="00913946">
        <w:rPr>
          <w:rFonts w:ascii="Arial" w:hAnsi="Arial" w:cs="Arial"/>
        </w:rPr>
        <w:t xml:space="preserve"> LI-90, India).</w:t>
      </w:r>
      <w:r w:rsidR="003725CC">
        <w:rPr>
          <w:rFonts w:ascii="Arial" w:hAnsi="Arial" w:cs="Arial"/>
        </w:rPr>
        <w:t xml:space="preserve"> </w:t>
      </w:r>
      <w:r w:rsidRPr="00913946">
        <w:rPr>
          <w:rFonts w:ascii="Arial" w:hAnsi="Arial" w:cs="Arial"/>
        </w:rPr>
        <w:t>After the incubation period, lactose-fermenting coliform colonies (typically pink/red colonies on MacConkey agar) were manually counted. The results were recorded as colony forming units per gram (CFU/g) of the sample using the formula:</w:t>
      </w:r>
    </w:p>
    <w:p w14:paraId="7A069BC3" w14:textId="77777777" w:rsidR="00A03B96" w:rsidRDefault="00A03B96" w:rsidP="002C00FE">
      <w:pPr>
        <w:pStyle w:val="Body"/>
        <w:spacing w:after="0" w:line="360" w:lineRule="auto"/>
        <w:rPr>
          <w:rFonts w:ascii="Arial" w:hAnsi="Arial" w:cs="Arial"/>
        </w:rPr>
      </w:pPr>
    </w:p>
    <w:p w14:paraId="7F0228D8" w14:textId="77777777" w:rsidR="003725CC" w:rsidRDefault="003725CC" w:rsidP="002C00FE">
      <w:pPr>
        <w:spacing w:line="360" w:lineRule="auto"/>
        <w:jc w:val="both"/>
        <w:rPr>
          <w:rFonts w:ascii="Arial" w:hAnsi="Arial" w:cs="Arial"/>
        </w:rPr>
      </w:pPr>
      <m:oMathPara>
        <m:oMath>
          <m:r>
            <m:rPr>
              <m:sty m:val="p"/>
            </m:rPr>
            <w:rPr>
              <w:rFonts w:ascii="Cambria Math" w:hAnsi="Cambria Math" w:cs="Arial"/>
            </w:rPr>
            <m:t xml:space="preserve">CFU/g= </m:t>
          </m:r>
          <m:f>
            <m:fPr>
              <m:ctrlPr>
                <w:rPr>
                  <w:rFonts w:ascii="Cambria Math" w:hAnsi="Cambria Math" w:cs="Arial"/>
                </w:rPr>
              </m:ctrlPr>
            </m:fPr>
            <m:num>
              <m:r>
                <m:rPr>
                  <m:sty m:val="p"/>
                </m:rPr>
                <w:rPr>
                  <w:rFonts w:ascii="Cambria Math" w:hAnsi="Cambria Math" w:cs="Arial"/>
                </w:rPr>
                <m:t xml:space="preserve">Number of colonies ×Dilution </m:t>
              </m:r>
              <m:sSup>
                <m:sSupPr>
                  <m:ctrlPr>
                    <w:rPr>
                      <w:rFonts w:ascii="Cambria Math" w:hAnsi="Cambria Math" w:cs="Arial"/>
                    </w:rPr>
                  </m:ctrlPr>
                </m:sSupPr>
                <m:e>
                  <m:r>
                    <m:rPr>
                      <m:sty m:val="p"/>
                    </m:rPr>
                    <w:rPr>
                      <w:rFonts w:ascii="Cambria Math" w:hAnsi="Cambria Math" w:cs="Arial"/>
                    </w:rPr>
                    <m:t>factor</m:t>
                  </m:r>
                </m:e>
                <m:sup>
                  <m:r>
                    <m:rPr>
                      <m:sty m:val="p"/>
                    </m:rPr>
                    <w:rPr>
                      <w:rFonts w:ascii="Cambria Math" w:hAnsi="Cambria Math" w:cs="Arial"/>
                    </w:rPr>
                    <m:t>*</m:t>
                  </m:r>
                </m:sup>
              </m:sSup>
            </m:num>
            <m:den>
              <m:r>
                <m:rPr>
                  <m:sty m:val="p"/>
                </m:rPr>
                <w:rPr>
                  <w:rFonts w:ascii="Cambria Math" w:hAnsi="Cambria Math" w:cs="Arial"/>
                </w:rPr>
                <m:t>Weight of sample (g)</m:t>
              </m:r>
            </m:den>
          </m:f>
        </m:oMath>
      </m:oMathPara>
    </w:p>
    <w:p w14:paraId="10E5D0F2" w14:textId="77777777" w:rsidR="003725CC" w:rsidRPr="00913946" w:rsidRDefault="003725CC" w:rsidP="002C00FE">
      <w:pPr>
        <w:spacing w:line="360" w:lineRule="auto"/>
        <w:jc w:val="both"/>
        <w:rPr>
          <w:rFonts w:ascii="Arial" w:hAnsi="Arial" w:cs="Arial"/>
        </w:rPr>
      </w:pPr>
      <w:r w:rsidRPr="00913946">
        <w:rPr>
          <w:rFonts w:ascii="Arial" w:hAnsi="Arial" w:cs="Arial"/>
        </w:rPr>
        <w:t xml:space="preserve"> </w:t>
      </w:r>
    </w:p>
    <w:p w14:paraId="5B8D8BBC" w14:textId="77777777" w:rsidR="003725CC" w:rsidRDefault="003725CC" w:rsidP="002C00FE">
      <w:pPr>
        <w:spacing w:line="360" w:lineRule="auto"/>
        <w:rPr>
          <w:rFonts w:ascii="Arial" w:hAnsi="Arial" w:cs="Arial"/>
          <w:i/>
          <w:iCs/>
          <w:sz w:val="18"/>
          <w:szCs w:val="18"/>
        </w:rPr>
      </w:pPr>
      <w:r>
        <w:rPr>
          <w:rFonts w:ascii="Arial" w:hAnsi="Arial" w:cs="Arial"/>
          <w:i/>
          <w:iCs/>
          <w:sz w:val="18"/>
          <w:szCs w:val="18"/>
        </w:rPr>
        <w:t>*D</w:t>
      </w:r>
      <w:r w:rsidRPr="003725CC">
        <w:rPr>
          <w:rFonts w:ascii="Arial" w:hAnsi="Arial" w:cs="Arial"/>
          <w:i/>
          <w:iCs/>
          <w:sz w:val="18"/>
          <w:szCs w:val="18"/>
        </w:rPr>
        <w:t>ilution factor is the reciprocal of the dilution</w:t>
      </w:r>
    </w:p>
    <w:p w14:paraId="0897958C" w14:textId="77777777" w:rsidR="00790ADA" w:rsidRPr="00FB3A86" w:rsidRDefault="00790ADA" w:rsidP="002C00FE">
      <w:pPr>
        <w:pStyle w:val="Body"/>
        <w:spacing w:after="0" w:line="360" w:lineRule="auto"/>
        <w:rPr>
          <w:rFonts w:ascii="Arial" w:hAnsi="Arial" w:cs="Arial"/>
        </w:rPr>
      </w:pPr>
    </w:p>
    <w:p w14:paraId="3A50DD59" w14:textId="77777777" w:rsidR="00902823" w:rsidRDefault="00000F8F" w:rsidP="002C00FE">
      <w:pPr>
        <w:pStyle w:val="Head1"/>
        <w:spacing w:after="0" w:line="36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D79995" w14:textId="77777777" w:rsidR="00863BD3" w:rsidRDefault="00863BD3" w:rsidP="002C00FE">
      <w:pPr>
        <w:pStyle w:val="BodyText3"/>
        <w:tabs>
          <w:tab w:val="left" w:pos="1080"/>
        </w:tabs>
        <w:spacing w:after="0" w:line="360" w:lineRule="auto"/>
        <w:jc w:val="both"/>
        <w:rPr>
          <w:rFonts w:ascii="Arial" w:hAnsi="Arial"/>
          <w:b/>
          <w:sz w:val="20"/>
          <w:szCs w:val="20"/>
        </w:rPr>
      </w:pPr>
    </w:p>
    <w:p w14:paraId="60765190" w14:textId="57CDB20F" w:rsidR="00092A62" w:rsidRPr="00092A62" w:rsidRDefault="00092A62" w:rsidP="002C00FE">
      <w:pPr>
        <w:pStyle w:val="Body"/>
        <w:spacing w:after="0" w:line="360" w:lineRule="auto"/>
        <w:rPr>
          <w:rFonts w:ascii="Arial" w:hAnsi="Arial" w:cs="Arial"/>
        </w:rPr>
      </w:pPr>
      <w:r w:rsidRPr="00092A62">
        <w:rPr>
          <w:rFonts w:ascii="Arial" w:hAnsi="Arial" w:cs="Arial"/>
          <w:b/>
          <w:bCs/>
        </w:rPr>
        <w:t>Table 2. Proximate analysis of Control, Sample A, Sample B, and Sample C (per 100 g)</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092A62" w:rsidRPr="006A0BDE" w14:paraId="15277D32" w14:textId="77777777" w:rsidTr="003563A1">
        <w:trPr>
          <w:jc w:val="center"/>
        </w:trPr>
        <w:tc>
          <w:tcPr>
            <w:tcW w:w="0" w:type="auto"/>
            <w:tcBorders>
              <w:bottom w:val="single" w:sz="4" w:space="0" w:color="auto"/>
            </w:tcBorders>
            <w:vAlign w:val="center"/>
          </w:tcPr>
          <w:p w14:paraId="30E8C183" w14:textId="72A1171D" w:rsidR="00092A62" w:rsidRPr="006A0BDE" w:rsidRDefault="006A0BDE" w:rsidP="002C00FE">
            <w:pPr>
              <w:spacing w:line="360" w:lineRule="auto"/>
              <w:rPr>
                <w:rFonts w:ascii="Arial" w:hAnsi="Arial" w:cs="Arial"/>
                <w:b/>
                <w:bCs/>
                <w:sz w:val="20"/>
                <w:szCs w:val="20"/>
              </w:rPr>
            </w:pPr>
            <w:r w:rsidRPr="006A0BDE">
              <w:rPr>
                <w:rFonts w:ascii="Arial" w:hAnsi="Arial" w:cs="Arial"/>
                <w:b/>
                <w:bCs/>
                <w:sz w:val="20"/>
                <w:szCs w:val="20"/>
              </w:rPr>
              <w:t>Parameter</w:t>
            </w:r>
          </w:p>
        </w:tc>
        <w:tc>
          <w:tcPr>
            <w:tcW w:w="1318" w:type="dxa"/>
            <w:tcBorders>
              <w:bottom w:val="single" w:sz="4" w:space="0" w:color="auto"/>
            </w:tcBorders>
            <w:vAlign w:val="center"/>
          </w:tcPr>
          <w:p w14:paraId="6C549B6C"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Control (g)</w:t>
            </w:r>
          </w:p>
        </w:tc>
        <w:tc>
          <w:tcPr>
            <w:tcW w:w="1440" w:type="dxa"/>
            <w:tcBorders>
              <w:bottom w:val="single" w:sz="4" w:space="0" w:color="auto"/>
            </w:tcBorders>
            <w:vAlign w:val="center"/>
          </w:tcPr>
          <w:p w14:paraId="04DB8077"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Sample A (g)</w:t>
            </w:r>
          </w:p>
        </w:tc>
        <w:tc>
          <w:tcPr>
            <w:tcW w:w="1440" w:type="dxa"/>
            <w:tcBorders>
              <w:bottom w:val="single" w:sz="4" w:space="0" w:color="auto"/>
            </w:tcBorders>
            <w:vAlign w:val="center"/>
          </w:tcPr>
          <w:p w14:paraId="73DBFD04"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Sample B (g)</w:t>
            </w:r>
          </w:p>
        </w:tc>
        <w:tc>
          <w:tcPr>
            <w:tcW w:w="1440" w:type="dxa"/>
            <w:tcBorders>
              <w:bottom w:val="single" w:sz="4" w:space="0" w:color="auto"/>
            </w:tcBorders>
            <w:vAlign w:val="center"/>
          </w:tcPr>
          <w:p w14:paraId="59866D99"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Sample C (g)</w:t>
            </w:r>
          </w:p>
        </w:tc>
      </w:tr>
      <w:tr w:rsidR="00092A62" w:rsidRPr="006A0BDE" w14:paraId="02424DFB" w14:textId="77777777" w:rsidTr="003563A1">
        <w:trPr>
          <w:jc w:val="center"/>
        </w:trPr>
        <w:tc>
          <w:tcPr>
            <w:tcW w:w="0" w:type="auto"/>
            <w:tcBorders>
              <w:top w:val="single" w:sz="4" w:space="0" w:color="auto"/>
            </w:tcBorders>
            <w:vAlign w:val="center"/>
          </w:tcPr>
          <w:p w14:paraId="26FAAF3F" w14:textId="0B24B621" w:rsidR="00092A62" w:rsidRPr="006A0BDE" w:rsidRDefault="006A0BDE" w:rsidP="002C00FE">
            <w:pPr>
              <w:spacing w:line="360" w:lineRule="auto"/>
              <w:rPr>
                <w:rFonts w:ascii="Arial" w:hAnsi="Arial" w:cs="Arial"/>
                <w:sz w:val="20"/>
                <w:szCs w:val="20"/>
              </w:rPr>
            </w:pPr>
            <w:r w:rsidRPr="006A0BDE">
              <w:rPr>
                <w:rFonts w:ascii="Arial" w:hAnsi="Arial" w:cs="Arial"/>
                <w:sz w:val="20"/>
                <w:szCs w:val="20"/>
              </w:rPr>
              <w:t>Moisture</w:t>
            </w:r>
            <w:r>
              <w:rPr>
                <w:rFonts w:ascii="Arial" w:hAnsi="Arial" w:cs="Arial"/>
                <w:sz w:val="20"/>
                <w:szCs w:val="20"/>
              </w:rPr>
              <w:t xml:space="preserve"> (%)</w:t>
            </w:r>
          </w:p>
        </w:tc>
        <w:tc>
          <w:tcPr>
            <w:tcW w:w="1318" w:type="dxa"/>
            <w:tcBorders>
              <w:top w:val="single" w:sz="4" w:space="0" w:color="auto"/>
            </w:tcBorders>
            <w:vAlign w:val="center"/>
          </w:tcPr>
          <w:p w14:paraId="7A21D3AF" w14:textId="0C9C4818" w:rsidR="00092A62" w:rsidRPr="006A0BDE" w:rsidRDefault="006A0BDE" w:rsidP="002C00FE">
            <w:pPr>
              <w:spacing w:line="360" w:lineRule="auto"/>
              <w:rPr>
                <w:rFonts w:ascii="Arial" w:hAnsi="Arial" w:cs="Arial"/>
                <w:sz w:val="20"/>
                <w:szCs w:val="20"/>
              </w:rPr>
            </w:pPr>
            <w:r>
              <w:rPr>
                <w:rFonts w:ascii="Arial" w:hAnsi="Arial" w:cs="Arial"/>
                <w:sz w:val="20"/>
                <w:szCs w:val="20"/>
              </w:rPr>
              <w:t>5.01</w:t>
            </w:r>
          </w:p>
        </w:tc>
        <w:tc>
          <w:tcPr>
            <w:tcW w:w="1440" w:type="dxa"/>
            <w:tcBorders>
              <w:top w:val="single" w:sz="4" w:space="0" w:color="auto"/>
            </w:tcBorders>
            <w:vAlign w:val="center"/>
          </w:tcPr>
          <w:p w14:paraId="7EC2CB91" w14:textId="6CD670F6" w:rsidR="00092A62" w:rsidRPr="006A0BDE" w:rsidRDefault="006A0BDE" w:rsidP="002C00FE">
            <w:pPr>
              <w:spacing w:line="360" w:lineRule="auto"/>
              <w:rPr>
                <w:rFonts w:ascii="Arial" w:hAnsi="Arial" w:cs="Arial"/>
                <w:sz w:val="20"/>
                <w:szCs w:val="20"/>
              </w:rPr>
            </w:pPr>
            <w:r>
              <w:rPr>
                <w:rFonts w:ascii="Arial" w:hAnsi="Arial" w:cs="Arial"/>
                <w:sz w:val="20"/>
                <w:szCs w:val="20"/>
              </w:rPr>
              <w:t>5.03</w:t>
            </w:r>
          </w:p>
        </w:tc>
        <w:tc>
          <w:tcPr>
            <w:tcW w:w="1440" w:type="dxa"/>
            <w:tcBorders>
              <w:top w:val="single" w:sz="4" w:space="0" w:color="auto"/>
            </w:tcBorders>
            <w:vAlign w:val="center"/>
          </w:tcPr>
          <w:p w14:paraId="12088891" w14:textId="65B1BA64" w:rsidR="00092A62" w:rsidRPr="006A0BDE" w:rsidRDefault="006A0BDE" w:rsidP="002C00FE">
            <w:pPr>
              <w:spacing w:line="360" w:lineRule="auto"/>
              <w:rPr>
                <w:rFonts w:ascii="Arial" w:hAnsi="Arial" w:cs="Arial"/>
                <w:sz w:val="20"/>
                <w:szCs w:val="20"/>
              </w:rPr>
            </w:pPr>
            <w:r>
              <w:rPr>
                <w:rFonts w:ascii="Arial" w:hAnsi="Arial" w:cs="Arial"/>
                <w:sz w:val="20"/>
                <w:szCs w:val="20"/>
              </w:rPr>
              <w:t>4.98</w:t>
            </w:r>
          </w:p>
        </w:tc>
        <w:tc>
          <w:tcPr>
            <w:tcW w:w="1440" w:type="dxa"/>
            <w:tcBorders>
              <w:top w:val="single" w:sz="4" w:space="0" w:color="auto"/>
            </w:tcBorders>
            <w:vAlign w:val="center"/>
          </w:tcPr>
          <w:p w14:paraId="6C6BE523" w14:textId="26F02F35" w:rsidR="00092A62" w:rsidRPr="006A0BDE" w:rsidRDefault="006A0BDE" w:rsidP="002C00FE">
            <w:pPr>
              <w:spacing w:line="360" w:lineRule="auto"/>
              <w:rPr>
                <w:rFonts w:ascii="Arial" w:hAnsi="Arial" w:cs="Arial"/>
                <w:sz w:val="20"/>
                <w:szCs w:val="20"/>
              </w:rPr>
            </w:pPr>
            <w:r>
              <w:rPr>
                <w:rFonts w:ascii="Arial" w:hAnsi="Arial" w:cs="Arial"/>
                <w:sz w:val="20"/>
                <w:szCs w:val="20"/>
              </w:rPr>
              <w:t>5.00</w:t>
            </w:r>
          </w:p>
        </w:tc>
      </w:tr>
      <w:tr w:rsidR="00092A62" w:rsidRPr="006A0BDE" w14:paraId="01EE9471" w14:textId="77777777" w:rsidTr="003563A1">
        <w:trPr>
          <w:jc w:val="center"/>
        </w:trPr>
        <w:tc>
          <w:tcPr>
            <w:tcW w:w="0" w:type="auto"/>
            <w:vAlign w:val="center"/>
          </w:tcPr>
          <w:p w14:paraId="44B636C7" w14:textId="4CC796AA" w:rsidR="00092A62" w:rsidRPr="006A0BDE" w:rsidRDefault="006A0BDE" w:rsidP="002C00FE">
            <w:pPr>
              <w:spacing w:line="360" w:lineRule="auto"/>
              <w:rPr>
                <w:rFonts w:ascii="Arial" w:hAnsi="Arial" w:cs="Arial"/>
                <w:sz w:val="20"/>
                <w:szCs w:val="20"/>
              </w:rPr>
            </w:pPr>
            <w:r>
              <w:rPr>
                <w:rFonts w:ascii="Arial" w:hAnsi="Arial" w:cs="Arial"/>
                <w:sz w:val="20"/>
                <w:szCs w:val="20"/>
              </w:rPr>
              <w:t>Protein (g)</w:t>
            </w:r>
          </w:p>
        </w:tc>
        <w:tc>
          <w:tcPr>
            <w:tcW w:w="1318" w:type="dxa"/>
            <w:vAlign w:val="center"/>
          </w:tcPr>
          <w:p w14:paraId="1D604AA9" w14:textId="15937D5D" w:rsidR="00092A62" w:rsidRPr="006A0BDE" w:rsidRDefault="006A0BDE" w:rsidP="002C00FE">
            <w:pPr>
              <w:spacing w:line="360" w:lineRule="auto"/>
              <w:rPr>
                <w:rFonts w:ascii="Arial" w:hAnsi="Arial" w:cs="Arial"/>
                <w:sz w:val="20"/>
                <w:szCs w:val="20"/>
              </w:rPr>
            </w:pPr>
            <w:r>
              <w:rPr>
                <w:rFonts w:ascii="Arial" w:hAnsi="Arial" w:cs="Arial"/>
                <w:sz w:val="20"/>
                <w:szCs w:val="20"/>
              </w:rPr>
              <w:t>15.48</w:t>
            </w:r>
          </w:p>
        </w:tc>
        <w:tc>
          <w:tcPr>
            <w:tcW w:w="1440" w:type="dxa"/>
            <w:vAlign w:val="center"/>
          </w:tcPr>
          <w:p w14:paraId="121D0220" w14:textId="04FB8791" w:rsidR="00092A62" w:rsidRPr="006A0BDE" w:rsidRDefault="006A0BDE" w:rsidP="002C00FE">
            <w:pPr>
              <w:spacing w:line="360" w:lineRule="auto"/>
              <w:rPr>
                <w:rFonts w:ascii="Arial" w:hAnsi="Arial" w:cs="Arial"/>
                <w:sz w:val="20"/>
                <w:szCs w:val="20"/>
              </w:rPr>
            </w:pPr>
            <w:r>
              <w:rPr>
                <w:rFonts w:ascii="Arial" w:hAnsi="Arial" w:cs="Arial"/>
                <w:sz w:val="20"/>
                <w:szCs w:val="20"/>
              </w:rPr>
              <w:t>18.74</w:t>
            </w:r>
          </w:p>
        </w:tc>
        <w:tc>
          <w:tcPr>
            <w:tcW w:w="1440" w:type="dxa"/>
            <w:vAlign w:val="center"/>
          </w:tcPr>
          <w:p w14:paraId="7DE73919" w14:textId="0A79A6BE" w:rsidR="00092A62" w:rsidRPr="006A0BDE" w:rsidRDefault="006A0BDE" w:rsidP="002C00FE">
            <w:pPr>
              <w:spacing w:line="360" w:lineRule="auto"/>
              <w:rPr>
                <w:rFonts w:ascii="Arial" w:hAnsi="Arial" w:cs="Arial"/>
                <w:sz w:val="20"/>
                <w:szCs w:val="20"/>
              </w:rPr>
            </w:pPr>
            <w:r>
              <w:rPr>
                <w:rFonts w:ascii="Arial" w:hAnsi="Arial" w:cs="Arial"/>
                <w:sz w:val="20"/>
                <w:szCs w:val="20"/>
              </w:rPr>
              <w:t>18.88</w:t>
            </w:r>
          </w:p>
        </w:tc>
        <w:tc>
          <w:tcPr>
            <w:tcW w:w="1440" w:type="dxa"/>
            <w:vAlign w:val="center"/>
          </w:tcPr>
          <w:p w14:paraId="2A866C1E" w14:textId="3B0A70A9" w:rsidR="00092A62" w:rsidRPr="006A0BDE" w:rsidRDefault="006A0BDE" w:rsidP="002C00FE">
            <w:pPr>
              <w:spacing w:line="360" w:lineRule="auto"/>
              <w:rPr>
                <w:rFonts w:ascii="Arial" w:hAnsi="Arial" w:cs="Arial"/>
                <w:sz w:val="20"/>
                <w:szCs w:val="20"/>
              </w:rPr>
            </w:pPr>
            <w:r>
              <w:rPr>
                <w:rFonts w:ascii="Arial" w:hAnsi="Arial" w:cs="Arial"/>
                <w:sz w:val="20"/>
                <w:szCs w:val="20"/>
              </w:rPr>
              <w:t>18.72</w:t>
            </w:r>
          </w:p>
        </w:tc>
      </w:tr>
      <w:tr w:rsidR="00092A62" w:rsidRPr="006A0BDE" w14:paraId="0DA1B63A" w14:textId="77777777" w:rsidTr="003563A1">
        <w:trPr>
          <w:jc w:val="center"/>
        </w:trPr>
        <w:tc>
          <w:tcPr>
            <w:tcW w:w="0" w:type="auto"/>
            <w:vAlign w:val="center"/>
          </w:tcPr>
          <w:p w14:paraId="38C168DA" w14:textId="7556AA4A" w:rsidR="00092A62" w:rsidRPr="006A0BDE" w:rsidRDefault="006A0BDE" w:rsidP="002C00FE">
            <w:pPr>
              <w:spacing w:line="360" w:lineRule="auto"/>
              <w:rPr>
                <w:rFonts w:ascii="Arial" w:hAnsi="Arial" w:cs="Arial"/>
                <w:sz w:val="20"/>
                <w:szCs w:val="20"/>
              </w:rPr>
            </w:pPr>
            <w:r>
              <w:rPr>
                <w:rFonts w:ascii="Arial" w:hAnsi="Arial" w:cs="Arial"/>
                <w:sz w:val="20"/>
                <w:szCs w:val="20"/>
              </w:rPr>
              <w:t>Fat (g)</w:t>
            </w:r>
          </w:p>
        </w:tc>
        <w:tc>
          <w:tcPr>
            <w:tcW w:w="1318" w:type="dxa"/>
            <w:vAlign w:val="center"/>
          </w:tcPr>
          <w:p w14:paraId="6EE036B5" w14:textId="5331EF3E" w:rsidR="00092A62" w:rsidRPr="006A0BDE" w:rsidRDefault="00095C23" w:rsidP="002C00FE">
            <w:pPr>
              <w:spacing w:line="360" w:lineRule="auto"/>
              <w:rPr>
                <w:rFonts w:ascii="Arial" w:hAnsi="Arial" w:cs="Arial"/>
                <w:sz w:val="20"/>
                <w:szCs w:val="20"/>
              </w:rPr>
            </w:pPr>
            <w:r>
              <w:rPr>
                <w:rFonts w:ascii="Arial" w:hAnsi="Arial" w:cs="Arial"/>
                <w:sz w:val="20"/>
                <w:szCs w:val="20"/>
              </w:rPr>
              <w:t>3.60</w:t>
            </w:r>
          </w:p>
        </w:tc>
        <w:tc>
          <w:tcPr>
            <w:tcW w:w="1440" w:type="dxa"/>
            <w:vAlign w:val="center"/>
          </w:tcPr>
          <w:p w14:paraId="2A9FA17C" w14:textId="6E29C151" w:rsidR="00092A62" w:rsidRPr="006A0BDE" w:rsidRDefault="00095C23" w:rsidP="002C00FE">
            <w:pPr>
              <w:spacing w:line="360" w:lineRule="auto"/>
              <w:rPr>
                <w:rFonts w:ascii="Arial" w:hAnsi="Arial" w:cs="Arial"/>
                <w:sz w:val="20"/>
                <w:szCs w:val="20"/>
              </w:rPr>
            </w:pPr>
            <w:r>
              <w:rPr>
                <w:rFonts w:ascii="Arial" w:hAnsi="Arial" w:cs="Arial"/>
                <w:sz w:val="20"/>
                <w:szCs w:val="20"/>
              </w:rPr>
              <w:t>4.01</w:t>
            </w:r>
          </w:p>
        </w:tc>
        <w:tc>
          <w:tcPr>
            <w:tcW w:w="1440" w:type="dxa"/>
            <w:vAlign w:val="center"/>
          </w:tcPr>
          <w:p w14:paraId="4902E2E5" w14:textId="34F740D2" w:rsidR="00092A62" w:rsidRPr="006A0BDE" w:rsidRDefault="00095C23" w:rsidP="002C00FE">
            <w:pPr>
              <w:spacing w:line="360" w:lineRule="auto"/>
              <w:rPr>
                <w:rFonts w:ascii="Arial" w:hAnsi="Arial" w:cs="Arial"/>
                <w:sz w:val="20"/>
                <w:szCs w:val="20"/>
              </w:rPr>
            </w:pPr>
            <w:r>
              <w:rPr>
                <w:rFonts w:ascii="Arial" w:hAnsi="Arial" w:cs="Arial"/>
                <w:sz w:val="20"/>
                <w:szCs w:val="20"/>
              </w:rPr>
              <w:t>4.16</w:t>
            </w:r>
          </w:p>
        </w:tc>
        <w:tc>
          <w:tcPr>
            <w:tcW w:w="1440" w:type="dxa"/>
            <w:vAlign w:val="center"/>
          </w:tcPr>
          <w:p w14:paraId="0EC744A9" w14:textId="26E739C4" w:rsidR="00092A62" w:rsidRPr="006A0BDE" w:rsidRDefault="00095C23" w:rsidP="002C00FE">
            <w:pPr>
              <w:spacing w:line="360" w:lineRule="auto"/>
              <w:rPr>
                <w:rFonts w:ascii="Arial" w:hAnsi="Arial" w:cs="Arial"/>
                <w:sz w:val="20"/>
                <w:szCs w:val="20"/>
              </w:rPr>
            </w:pPr>
            <w:r>
              <w:rPr>
                <w:rFonts w:ascii="Arial" w:hAnsi="Arial" w:cs="Arial"/>
                <w:sz w:val="20"/>
                <w:szCs w:val="20"/>
              </w:rPr>
              <w:t>4.19</w:t>
            </w:r>
          </w:p>
        </w:tc>
      </w:tr>
      <w:tr w:rsidR="00092A62" w:rsidRPr="006A0BDE" w14:paraId="66BA66D1" w14:textId="77777777" w:rsidTr="003563A1">
        <w:trPr>
          <w:jc w:val="center"/>
        </w:trPr>
        <w:tc>
          <w:tcPr>
            <w:tcW w:w="0" w:type="auto"/>
            <w:vAlign w:val="center"/>
          </w:tcPr>
          <w:p w14:paraId="0FD896B4" w14:textId="68DE35C6" w:rsidR="00092A62" w:rsidRPr="006A0BDE" w:rsidRDefault="006A0BDE" w:rsidP="002C00FE">
            <w:pPr>
              <w:spacing w:line="360" w:lineRule="auto"/>
              <w:rPr>
                <w:rFonts w:ascii="Arial" w:hAnsi="Arial" w:cs="Arial"/>
                <w:sz w:val="20"/>
                <w:szCs w:val="20"/>
              </w:rPr>
            </w:pPr>
            <w:r>
              <w:rPr>
                <w:rFonts w:ascii="Arial" w:hAnsi="Arial" w:cs="Arial"/>
                <w:sz w:val="20"/>
                <w:szCs w:val="20"/>
              </w:rPr>
              <w:lastRenderedPageBreak/>
              <w:t>Fiber (g)</w:t>
            </w:r>
          </w:p>
        </w:tc>
        <w:tc>
          <w:tcPr>
            <w:tcW w:w="1318" w:type="dxa"/>
            <w:vAlign w:val="center"/>
          </w:tcPr>
          <w:p w14:paraId="031A43BF" w14:textId="2BBB1FE2" w:rsidR="00092A62" w:rsidRPr="006A0BDE" w:rsidRDefault="00095C23" w:rsidP="002C00FE">
            <w:pPr>
              <w:spacing w:line="360" w:lineRule="auto"/>
              <w:rPr>
                <w:rFonts w:ascii="Arial" w:hAnsi="Arial" w:cs="Arial"/>
                <w:sz w:val="20"/>
                <w:szCs w:val="20"/>
              </w:rPr>
            </w:pPr>
            <w:r>
              <w:rPr>
                <w:rFonts w:ascii="Arial" w:hAnsi="Arial" w:cs="Arial"/>
                <w:sz w:val="20"/>
                <w:szCs w:val="20"/>
              </w:rPr>
              <w:t>5.18</w:t>
            </w:r>
          </w:p>
        </w:tc>
        <w:tc>
          <w:tcPr>
            <w:tcW w:w="1440" w:type="dxa"/>
            <w:vAlign w:val="center"/>
          </w:tcPr>
          <w:p w14:paraId="21A5AD63" w14:textId="67040014" w:rsidR="00092A62" w:rsidRPr="006A0BDE" w:rsidRDefault="00095C23" w:rsidP="002C00FE">
            <w:pPr>
              <w:spacing w:line="360" w:lineRule="auto"/>
              <w:rPr>
                <w:rFonts w:ascii="Arial" w:hAnsi="Arial" w:cs="Arial"/>
                <w:sz w:val="20"/>
                <w:szCs w:val="20"/>
              </w:rPr>
            </w:pPr>
            <w:r>
              <w:rPr>
                <w:rFonts w:ascii="Arial" w:hAnsi="Arial" w:cs="Arial"/>
                <w:sz w:val="20"/>
                <w:szCs w:val="20"/>
              </w:rPr>
              <w:t>7.69</w:t>
            </w:r>
          </w:p>
        </w:tc>
        <w:tc>
          <w:tcPr>
            <w:tcW w:w="1440" w:type="dxa"/>
            <w:vAlign w:val="center"/>
          </w:tcPr>
          <w:p w14:paraId="6BF96EE1" w14:textId="3B5FC7E9" w:rsidR="00092A62" w:rsidRPr="006A0BDE" w:rsidRDefault="00095C23" w:rsidP="002C00FE">
            <w:pPr>
              <w:spacing w:line="360" w:lineRule="auto"/>
              <w:rPr>
                <w:rFonts w:ascii="Arial" w:hAnsi="Arial" w:cs="Arial"/>
                <w:sz w:val="20"/>
                <w:szCs w:val="20"/>
              </w:rPr>
            </w:pPr>
            <w:r>
              <w:rPr>
                <w:rFonts w:ascii="Arial" w:hAnsi="Arial" w:cs="Arial"/>
                <w:sz w:val="20"/>
                <w:szCs w:val="20"/>
              </w:rPr>
              <w:t>8.09</w:t>
            </w:r>
          </w:p>
        </w:tc>
        <w:tc>
          <w:tcPr>
            <w:tcW w:w="1440" w:type="dxa"/>
            <w:vAlign w:val="center"/>
          </w:tcPr>
          <w:p w14:paraId="5B1F9C42" w14:textId="6FE1931F" w:rsidR="00092A62" w:rsidRPr="006A0BDE" w:rsidRDefault="00095C23" w:rsidP="002C00FE">
            <w:pPr>
              <w:spacing w:line="360" w:lineRule="auto"/>
              <w:rPr>
                <w:rFonts w:ascii="Arial" w:hAnsi="Arial" w:cs="Arial"/>
                <w:sz w:val="20"/>
                <w:szCs w:val="20"/>
              </w:rPr>
            </w:pPr>
            <w:r>
              <w:rPr>
                <w:rFonts w:ascii="Arial" w:hAnsi="Arial" w:cs="Arial"/>
                <w:sz w:val="20"/>
                <w:szCs w:val="20"/>
              </w:rPr>
              <w:t>8.16</w:t>
            </w:r>
          </w:p>
        </w:tc>
      </w:tr>
      <w:tr w:rsidR="00092A62" w:rsidRPr="006A0BDE" w14:paraId="745B0758" w14:textId="77777777" w:rsidTr="003563A1">
        <w:trPr>
          <w:jc w:val="center"/>
        </w:trPr>
        <w:tc>
          <w:tcPr>
            <w:tcW w:w="0" w:type="auto"/>
            <w:vAlign w:val="center"/>
          </w:tcPr>
          <w:p w14:paraId="18074DC6" w14:textId="6AD59E85" w:rsidR="00092A62" w:rsidRPr="006A0BDE" w:rsidRDefault="006A0BDE" w:rsidP="002C00FE">
            <w:pPr>
              <w:spacing w:line="360" w:lineRule="auto"/>
              <w:rPr>
                <w:rFonts w:ascii="Arial" w:hAnsi="Arial" w:cs="Arial"/>
                <w:sz w:val="20"/>
                <w:szCs w:val="20"/>
              </w:rPr>
            </w:pPr>
            <w:r>
              <w:rPr>
                <w:rFonts w:ascii="Arial" w:hAnsi="Arial" w:cs="Arial"/>
                <w:sz w:val="20"/>
                <w:szCs w:val="20"/>
              </w:rPr>
              <w:t>Ash (g)</w:t>
            </w:r>
          </w:p>
        </w:tc>
        <w:tc>
          <w:tcPr>
            <w:tcW w:w="1318" w:type="dxa"/>
            <w:vAlign w:val="center"/>
          </w:tcPr>
          <w:p w14:paraId="6B3F6358" w14:textId="064B2CC7" w:rsidR="00092A62" w:rsidRPr="006A0BDE" w:rsidRDefault="00095C23" w:rsidP="002C00FE">
            <w:pPr>
              <w:spacing w:line="360" w:lineRule="auto"/>
              <w:rPr>
                <w:rFonts w:ascii="Arial" w:hAnsi="Arial" w:cs="Arial"/>
                <w:sz w:val="20"/>
                <w:szCs w:val="20"/>
              </w:rPr>
            </w:pPr>
            <w:r>
              <w:rPr>
                <w:rFonts w:ascii="Arial" w:hAnsi="Arial" w:cs="Arial"/>
                <w:sz w:val="20"/>
                <w:szCs w:val="20"/>
              </w:rPr>
              <w:t>7.30</w:t>
            </w:r>
          </w:p>
        </w:tc>
        <w:tc>
          <w:tcPr>
            <w:tcW w:w="1440" w:type="dxa"/>
            <w:vAlign w:val="center"/>
          </w:tcPr>
          <w:p w14:paraId="79D30C91" w14:textId="0FB7F62A" w:rsidR="00092A62" w:rsidRPr="006A0BDE" w:rsidRDefault="00095C23" w:rsidP="002C00FE">
            <w:pPr>
              <w:spacing w:line="360" w:lineRule="auto"/>
              <w:rPr>
                <w:rFonts w:ascii="Arial" w:hAnsi="Arial" w:cs="Arial"/>
                <w:sz w:val="20"/>
                <w:szCs w:val="20"/>
              </w:rPr>
            </w:pPr>
            <w:r>
              <w:rPr>
                <w:rFonts w:ascii="Arial" w:hAnsi="Arial" w:cs="Arial"/>
                <w:sz w:val="20"/>
                <w:szCs w:val="20"/>
              </w:rPr>
              <w:t>5.65</w:t>
            </w:r>
          </w:p>
        </w:tc>
        <w:tc>
          <w:tcPr>
            <w:tcW w:w="1440" w:type="dxa"/>
            <w:vAlign w:val="center"/>
          </w:tcPr>
          <w:p w14:paraId="30962291" w14:textId="3E01FD3A" w:rsidR="00092A62" w:rsidRPr="006A0BDE" w:rsidRDefault="00095C23" w:rsidP="002C00FE">
            <w:pPr>
              <w:spacing w:line="360" w:lineRule="auto"/>
              <w:rPr>
                <w:rFonts w:ascii="Arial" w:hAnsi="Arial" w:cs="Arial"/>
                <w:sz w:val="20"/>
                <w:szCs w:val="20"/>
              </w:rPr>
            </w:pPr>
            <w:r>
              <w:rPr>
                <w:rFonts w:ascii="Arial" w:hAnsi="Arial" w:cs="Arial"/>
                <w:sz w:val="20"/>
                <w:szCs w:val="20"/>
              </w:rPr>
              <w:t>5.26</w:t>
            </w:r>
          </w:p>
        </w:tc>
        <w:tc>
          <w:tcPr>
            <w:tcW w:w="1440" w:type="dxa"/>
            <w:vAlign w:val="center"/>
          </w:tcPr>
          <w:p w14:paraId="0AB8F350" w14:textId="1D45C9C9" w:rsidR="00092A62" w:rsidRPr="006A0BDE" w:rsidRDefault="00095C23" w:rsidP="002C00FE">
            <w:pPr>
              <w:spacing w:line="360" w:lineRule="auto"/>
              <w:rPr>
                <w:rFonts w:ascii="Arial" w:hAnsi="Arial" w:cs="Arial"/>
                <w:sz w:val="20"/>
                <w:szCs w:val="20"/>
              </w:rPr>
            </w:pPr>
            <w:r>
              <w:rPr>
                <w:rFonts w:ascii="Arial" w:hAnsi="Arial" w:cs="Arial"/>
                <w:sz w:val="20"/>
                <w:szCs w:val="20"/>
              </w:rPr>
              <w:t>6.21</w:t>
            </w:r>
          </w:p>
        </w:tc>
      </w:tr>
      <w:tr w:rsidR="00092A62" w:rsidRPr="006A0BDE" w14:paraId="7D428CAE" w14:textId="77777777" w:rsidTr="003563A1">
        <w:trPr>
          <w:jc w:val="center"/>
        </w:trPr>
        <w:tc>
          <w:tcPr>
            <w:tcW w:w="0" w:type="auto"/>
            <w:vAlign w:val="center"/>
          </w:tcPr>
          <w:p w14:paraId="6335BF84" w14:textId="58EC72D3" w:rsidR="00092A62" w:rsidRPr="006A0BDE" w:rsidRDefault="006A0BDE" w:rsidP="002C00FE">
            <w:pPr>
              <w:spacing w:line="360" w:lineRule="auto"/>
              <w:rPr>
                <w:rFonts w:ascii="Arial" w:hAnsi="Arial" w:cs="Arial"/>
                <w:sz w:val="20"/>
                <w:szCs w:val="20"/>
              </w:rPr>
            </w:pPr>
            <w:r>
              <w:rPr>
                <w:rFonts w:ascii="Arial" w:hAnsi="Arial" w:cs="Arial"/>
                <w:sz w:val="20"/>
                <w:szCs w:val="20"/>
              </w:rPr>
              <w:t>Available Carbohydrates (g)</w:t>
            </w:r>
          </w:p>
        </w:tc>
        <w:tc>
          <w:tcPr>
            <w:tcW w:w="1318" w:type="dxa"/>
            <w:vAlign w:val="center"/>
          </w:tcPr>
          <w:p w14:paraId="2001113C" w14:textId="2C2845EF" w:rsidR="00092A62" w:rsidRPr="006A0BDE" w:rsidRDefault="00095C23" w:rsidP="002C00FE">
            <w:pPr>
              <w:spacing w:line="360" w:lineRule="auto"/>
              <w:rPr>
                <w:rFonts w:ascii="Arial" w:hAnsi="Arial" w:cs="Arial"/>
                <w:sz w:val="20"/>
                <w:szCs w:val="20"/>
              </w:rPr>
            </w:pPr>
            <w:r>
              <w:rPr>
                <w:rFonts w:ascii="Arial" w:hAnsi="Arial" w:cs="Arial"/>
                <w:sz w:val="20"/>
                <w:szCs w:val="20"/>
              </w:rPr>
              <w:t>60.14</w:t>
            </w:r>
          </w:p>
        </w:tc>
        <w:tc>
          <w:tcPr>
            <w:tcW w:w="1440" w:type="dxa"/>
            <w:vAlign w:val="center"/>
          </w:tcPr>
          <w:p w14:paraId="63FEDBF3" w14:textId="273405EB" w:rsidR="00092A62" w:rsidRPr="006A0BDE" w:rsidRDefault="00095C23" w:rsidP="002C00FE">
            <w:pPr>
              <w:spacing w:line="360" w:lineRule="auto"/>
              <w:rPr>
                <w:rFonts w:ascii="Arial" w:hAnsi="Arial" w:cs="Arial"/>
                <w:sz w:val="20"/>
                <w:szCs w:val="20"/>
              </w:rPr>
            </w:pPr>
            <w:r>
              <w:rPr>
                <w:rFonts w:ascii="Arial" w:hAnsi="Arial" w:cs="Arial"/>
                <w:sz w:val="20"/>
                <w:szCs w:val="20"/>
              </w:rPr>
              <w:t>60.06</w:t>
            </w:r>
          </w:p>
        </w:tc>
        <w:tc>
          <w:tcPr>
            <w:tcW w:w="1440" w:type="dxa"/>
            <w:vAlign w:val="center"/>
          </w:tcPr>
          <w:p w14:paraId="4348D91C" w14:textId="0FA8078E" w:rsidR="00092A62" w:rsidRPr="006A0BDE" w:rsidRDefault="00095C23" w:rsidP="002C00FE">
            <w:pPr>
              <w:spacing w:line="360" w:lineRule="auto"/>
              <w:rPr>
                <w:rFonts w:ascii="Arial" w:hAnsi="Arial" w:cs="Arial"/>
                <w:sz w:val="20"/>
                <w:szCs w:val="20"/>
              </w:rPr>
            </w:pPr>
            <w:r>
              <w:rPr>
                <w:rFonts w:ascii="Arial" w:hAnsi="Arial" w:cs="Arial"/>
                <w:sz w:val="20"/>
                <w:szCs w:val="20"/>
              </w:rPr>
              <w:t>60.63</w:t>
            </w:r>
          </w:p>
        </w:tc>
        <w:tc>
          <w:tcPr>
            <w:tcW w:w="1440" w:type="dxa"/>
            <w:vAlign w:val="center"/>
          </w:tcPr>
          <w:p w14:paraId="5CBDED39" w14:textId="29CF9C44" w:rsidR="00092A62" w:rsidRPr="006A0BDE" w:rsidRDefault="00095C23" w:rsidP="002C00FE">
            <w:pPr>
              <w:spacing w:line="360" w:lineRule="auto"/>
              <w:rPr>
                <w:rFonts w:ascii="Arial" w:hAnsi="Arial" w:cs="Arial"/>
                <w:sz w:val="20"/>
                <w:szCs w:val="20"/>
              </w:rPr>
            </w:pPr>
            <w:r>
              <w:rPr>
                <w:rFonts w:ascii="Arial" w:hAnsi="Arial" w:cs="Arial"/>
                <w:sz w:val="20"/>
                <w:szCs w:val="20"/>
              </w:rPr>
              <w:t>60.03</w:t>
            </w:r>
          </w:p>
        </w:tc>
      </w:tr>
      <w:tr w:rsidR="00092A62" w:rsidRPr="006A0BDE" w14:paraId="58BAFA65" w14:textId="77777777" w:rsidTr="003563A1">
        <w:trPr>
          <w:jc w:val="center"/>
        </w:trPr>
        <w:tc>
          <w:tcPr>
            <w:tcW w:w="0" w:type="auto"/>
            <w:vAlign w:val="center"/>
          </w:tcPr>
          <w:p w14:paraId="7D1BDB67" w14:textId="7D1901B8" w:rsidR="00092A62" w:rsidRPr="006A0BDE" w:rsidRDefault="006A0BDE" w:rsidP="002C00FE">
            <w:pPr>
              <w:spacing w:line="360" w:lineRule="auto"/>
              <w:rPr>
                <w:rFonts w:ascii="Arial" w:hAnsi="Arial" w:cs="Arial"/>
                <w:sz w:val="20"/>
                <w:szCs w:val="20"/>
              </w:rPr>
            </w:pPr>
            <w:r>
              <w:rPr>
                <w:rFonts w:ascii="Arial" w:hAnsi="Arial" w:cs="Arial"/>
                <w:sz w:val="20"/>
                <w:szCs w:val="20"/>
              </w:rPr>
              <w:t>Total Carbohydrates</w:t>
            </w:r>
            <w:r>
              <w:rPr>
                <w:rFonts w:ascii="Arial" w:hAnsi="Arial" w:cs="Arial"/>
                <w:sz w:val="20"/>
                <w:szCs w:val="20"/>
                <w:vertAlign w:val="superscript"/>
              </w:rPr>
              <w:t>1</w:t>
            </w:r>
            <w:r>
              <w:rPr>
                <w:rFonts w:ascii="Arial" w:hAnsi="Arial" w:cs="Arial"/>
                <w:sz w:val="20"/>
                <w:szCs w:val="20"/>
              </w:rPr>
              <w:t xml:space="preserve"> (g)</w:t>
            </w:r>
          </w:p>
        </w:tc>
        <w:tc>
          <w:tcPr>
            <w:tcW w:w="1318" w:type="dxa"/>
            <w:vAlign w:val="center"/>
          </w:tcPr>
          <w:p w14:paraId="30BD09B6" w14:textId="01EA5760" w:rsidR="00092A62" w:rsidRPr="006A0BDE" w:rsidRDefault="00095C23" w:rsidP="002C00FE">
            <w:pPr>
              <w:spacing w:line="360" w:lineRule="auto"/>
              <w:rPr>
                <w:rFonts w:ascii="Arial" w:hAnsi="Arial" w:cs="Arial"/>
                <w:sz w:val="20"/>
                <w:szCs w:val="20"/>
              </w:rPr>
            </w:pPr>
            <w:r>
              <w:rPr>
                <w:rFonts w:ascii="Arial" w:hAnsi="Arial" w:cs="Arial"/>
                <w:sz w:val="20"/>
                <w:szCs w:val="20"/>
              </w:rPr>
              <w:t>65.32</w:t>
            </w:r>
          </w:p>
        </w:tc>
        <w:tc>
          <w:tcPr>
            <w:tcW w:w="1440" w:type="dxa"/>
            <w:vAlign w:val="center"/>
          </w:tcPr>
          <w:p w14:paraId="5F2A585E" w14:textId="762D234C" w:rsidR="00092A62" w:rsidRPr="006A0BDE" w:rsidRDefault="00095C23" w:rsidP="002C00FE">
            <w:pPr>
              <w:spacing w:line="360" w:lineRule="auto"/>
              <w:rPr>
                <w:rFonts w:ascii="Arial" w:hAnsi="Arial" w:cs="Arial"/>
                <w:sz w:val="20"/>
                <w:szCs w:val="20"/>
              </w:rPr>
            </w:pPr>
            <w:r>
              <w:rPr>
                <w:rFonts w:ascii="Arial" w:hAnsi="Arial" w:cs="Arial"/>
                <w:sz w:val="20"/>
                <w:szCs w:val="20"/>
              </w:rPr>
              <w:t>67.74</w:t>
            </w:r>
          </w:p>
        </w:tc>
        <w:tc>
          <w:tcPr>
            <w:tcW w:w="1440" w:type="dxa"/>
            <w:vAlign w:val="center"/>
          </w:tcPr>
          <w:p w14:paraId="768CF266" w14:textId="7B4D3620" w:rsidR="00092A62" w:rsidRPr="006A0BDE" w:rsidRDefault="00095C23" w:rsidP="002C00FE">
            <w:pPr>
              <w:spacing w:line="360" w:lineRule="auto"/>
              <w:rPr>
                <w:rFonts w:ascii="Arial" w:hAnsi="Arial" w:cs="Arial"/>
                <w:sz w:val="20"/>
                <w:szCs w:val="20"/>
              </w:rPr>
            </w:pPr>
            <w:r>
              <w:rPr>
                <w:rFonts w:ascii="Arial" w:hAnsi="Arial" w:cs="Arial"/>
                <w:sz w:val="20"/>
                <w:szCs w:val="20"/>
              </w:rPr>
              <w:t>68.72</w:t>
            </w:r>
          </w:p>
        </w:tc>
        <w:tc>
          <w:tcPr>
            <w:tcW w:w="1440" w:type="dxa"/>
            <w:vAlign w:val="center"/>
          </w:tcPr>
          <w:p w14:paraId="183C349C" w14:textId="351E1467" w:rsidR="00092A62" w:rsidRPr="006A0BDE" w:rsidRDefault="00095C23" w:rsidP="002C00FE">
            <w:pPr>
              <w:spacing w:line="360" w:lineRule="auto"/>
              <w:rPr>
                <w:rFonts w:ascii="Arial" w:hAnsi="Arial" w:cs="Arial"/>
                <w:sz w:val="20"/>
                <w:szCs w:val="20"/>
              </w:rPr>
            </w:pPr>
            <w:r>
              <w:rPr>
                <w:rFonts w:ascii="Arial" w:hAnsi="Arial" w:cs="Arial"/>
                <w:sz w:val="20"/>
                <w:szCs w:val="20"/>
              </w:rPr>
              <w:t>68.19</w:t>
            </w:r>
          </w:p>
        </w:tc>
      </w:tr>
      <w:tr w:rsidR="00092A62" w:rsidRPr="006A0BDE" w14:paraId="5FE0A897" w14:textId="77777777" w:rsidTr="003563A1">
        <w:trPr>
          <w:jc w:val="center"/>
        </w:trPr>
        <w:tc>
          <w:tcPr>
            <w:tcW w:w="0" w:type="auto"/>
            <w:vAlign w:val="center"/>
          </w:tcPr>
          <w:p w14:paraId="1824D799" w14:textId="3BAD6921" w:rsidR="00092A62" w:rsidRPr="006A0BDE" w:rsidRDefault="006A0BDE" w:rsidP="002C00FE">
            <w:pPr>
              <w:spacing w:line="360" w:lineRule="auto"/>
              <w:rPr>
                <w:rFonts w:ascii="Arial" w:hAnsi="Arial" w:cs="Arial"/>
                <w:sz w:val="20"/>
                <w:szCs w:val="20"/>
              </w:rPr>
            </w:pPr>
            <w:r>
              <w:rPr>
                <w:rFonts w:ascii="Arial" w:hAnsi="Arial" w:cs="Arial"/>
                <w:sz w:val="20"/>
                <w:szCs w:val="20"/>
              </w:rPr>
              <w:t>Energy</w:t>
            </w:r>
            <w:r>
              <w:rPr>
                <w:rFonts w:ascii="Arial" w:hAnsi="Arial" w:cs="Arial"/>
                <w:sz w:val="20"/>
                <w:szCs w:val="20"/>
                <w:vertAlign w:val="superscript"/>
              </w:rPr>
              <w:t xml:space="preserve">2 </w:t>
            </w:r>
            <w:r>
              <w:rPr>
                <w:rFonts w:ascii="Arial" w:hAnsi="Arial" w:cs="Arial"/>
                <w:sz w:val="20"/>
                <w:szCs w:val="20"/>
              </w:rPr>
              <w:t>(kcal)</w:t>
            </w:r>
          </w:p>
        </w:tc>
        <w:tc>
          <w:tcPr>
            <w:tcW w:w="1318" w:type="dxa"/>
            <w:vAlign w:val="center"/>
          </w:tcPr>
          <w:p w14:paraId="586FD96E" w14:textId="01558BD5" w:rsidR="00092A62" w:rsidRPr="006A0BDE" w:rsidRDefault="00095C23" w:rsidP="002C00FE">
            <w:pPr>
              <w:spacing w:line="360" w:lineRule="auto"/>
              <w:rPr>
                <w:rFonts w:ascii="Arial" w:hAnsi="Arial" w:cs="Arial"/>
                <w:sz w:val="20"/>
                <w:szCs w:val="20"/>
              </w:rPr>
            </w:pPr>
            <w:r>
              <w:rPr>
                <w:rFonts w:ascii="Arial" w:hAnsi="Arial" w:cs="Arial"/>
                <w:sz w:val="20"/>
                <w:szCs w:val="20"/>
              </w:rPr>
              <w:t>334.92</w:t>
            </w:r>
          </w:p>
        </w:tc>
        <w:tc>
          <w:tcPr>
            <w:tcW w:w="1440" w:type="dxa"/>
            <w:vAlign w:val="center"/>
          </w:tcPr>
          <w:p w14:paraId="55F52A6D" w14:textId="0C705161" w:rsidR="00092A62" w:rsidRPr="006A0BDE" w:rsidRDefault="00095C23" w:rsidP="002C00FE">
            <w:pPr>
              <w:spacing w:line="360" w:lineRule="auto"/>
              <w:rPr>
                <w:rFonts w:ascii="Arial" w:hAnsi="Arial" w:cs="Arial"/>
                <w:sz w:val="20"/>
                <w:szCs w:val="20"/>
              </w:rPr>
            </w:pPr>
            <w:r>
              <w:rPr>
                <w:rFonts w:ascii="Arial" w:hAnsi="Arial" w:cs="Arial"/>
                <w:sz w:val="20"/>
                <w:szCs w:val="20"/>
              </w:rPr>
              <w:t>351.28</w:t>
            </w:r>
          </w:p>
        </w:tc>
        <w:tc>
          <w:tcPr>
            <w:tcW w:w="1440" w:type="dxa"/>
            <w:vAlign w:val="center"/>
          </w:tcPr>
          <w:p w14:paraId="39696CCB" w14:textId="3981C19D" w:rsidR="00092A62" w:rsidRPr="006A0BDE" w:rsidRDefault="00095C23" w:rsidP="002C00FE">
            <w:pPr>
              <w:spacing w:line="360" w:lineRule="auto"/>
              <w:rPr>
                <w:rFonts w:ascii="Arial" w:hAnsi="Arial" w:cs="Arial"/>
                <w:sz w:val="20"/>
                <w:szCs w:val="20"/>
              </w:rPr>
            </w:pPr>
            <w:r>
              <w:rPr>
                <w:rFonts w:ascii="Arial" w:hAnsi="Arial" w:cs="Arial"/>
                <w:sz w:val="20"/>
                <w:szCs w:val="20"/>
              </w:rPr>
              <w:t>355.52</w:t>
            </w:r>
          </w:p>
        </w:tc>
        <w:tc>
          <w:tcPr>
            <w:tcW w:w="1440" w:type="dxa"/>
            <w:vAlign w:val="center"/>
          </w:tcPr>
          <w:p w14:paraId="1C7F6F61" w14:textId="787885BE" w:rsidR="00092A62" w:rsidRPr="006A0BDE" w:rsidRDefault="00095C23" w:rsidP="002C00FE">
            <w:pPr>
              <w:spacing w:line="360" w:lineRule="auto"/>
              <w:rPr>
                <w:rFonts w:ascii="Arial" w:hAnsi="Arial" w:cs="Arial"/>
                <w:sz w:val="20"/>
                <w:szCs w:val="20"/>
              </w:rPr>
            </w:pPr>
            <w:r>
              <w:rPr>
                <w:rFonts w:ascii="Arial" w:hAnsi="Arial" w:cs="Arial"/>
                <w:sz w:val="20"/>
                <w:szCs w:val="20"/>
              </w:rPr>
              <w:t>352.72</w:t>
            </w:r>
          </w:p>
        </w:tc>
      </w:tr>
      <w:tr w:rsidR="00092A62" w:rsidRPr="006A0BDE" w14:paraId="1A84D445" w14:textId="77777777" w:rsidTr="003563A1">
        <w:trPr>
          <w:jc w:val="center"/>
        </w:trPr>
        <w:tc>
          <w:tcPr>
            <w:tcW w:w="0" w:type="auto"/>
            <w:vAlign w:val="center"/>
          </w:tcPr>
          <w:p w14:paraId="48B08637" w14:textId="182E659D" w:rsidR="00092A62" w:rsidRPr="006A0BDE" w:rsidRDefault="006A0BDE" w:rsidP="002C00FE">
            <w:pPr>
              <w:spacing w:line="360" w:lineRule="auto"/>
              <w:rPr>
                <w:rFonts w:ascii="Arial" w:hAnsi="Arial" w:cs="Arial"/>
                <w:sz w:val="20"/>
                <w:szCs w:val="20"/>
              </w:rPr>
            </w:pPr>
            <w:r>
              <w:rPr>
                <w:rFonts w:ascii="Arial" w:hAnsi="Arial" w:cs="Arial"/>
                <w:sz w:val="20"/>
                <w:szCs w:val="20"/>
              </w:rPr>
              <w:t>Sodium (mg)</w:t>
            </w:r>
          </w:p>
        </w:tc>
        <w:tc>
          <w:tcPr>
            <w:tcW w:w="1318" w:type="dxa"/>
            <w:vAlign w:val="center"/>
          </w:tcPr>
          <w:p w14:paraId="3719D242" w14:textId="748820D1" w:rsidR="00092A62" w:rsidRPr="006A0BDE" w:rsidRDefault="00095C23" w:rsidP="002C00FE">
            <w:pPr>
              <w:spacing w:line="360" w:lineRule="auto"/>
              <w:rPr>
                <w:rFonts w:ascii="Arial" w:hAnsi="Arial" w:cs="Arial"/>
                <w:sz w:val="20"/>
                <w:szCs w:val="20"/>
              </w:rPr>
            </w:pPr>
            <w:r>
              <w:rPr>
                <w:rFonts w:ascii="Arial" w:hAnsi="Arial" w:cs="Arial"/>
                <w:sz w:val="20"/>
                <w:szCs w:val="20"/>
              </w:rPr>
              <w:t>1965.00</w:t>
            </w:r>
          </w:p>
        </w:tc>
        <w:tc>
          <w:tcPr>
            <w:tcW w:w="1440" w:type="dxa"/>
            <w:vAlign w:val="center"/>
          </w:tcPr>
          <w:p w14:paraId="74A4057D" w14:textId="24099292" w:rsidR="00092A62" w:rsidRPr="006A0BDE" w:rsidRDefault="00095C23" w:rsidP="002C00FE">
            <w:pPr>
              <w:spacing w:line="360" w:lineRule="auto"/>
              <w:rPr>
                <w:rFonts w:ascii="Arial" w:hAnsi="Arial" w:cs="Arial"/>
                <w:sz w:val="20"/>
                <w:szCs w:val="20"/>
              </w:rPr>
            </w:pPr>
            <w:r>
              <w:rPr>
                <w:rFonts w:ascii="Arial" w:hAnsi="Arial" w:cs="Arial"/>
                <w:sz w:val="20"/>
                <w:szCs w:val="20"/>
              </w:rPr>
              <w:t>909.00</w:t>
            </w:r>
          </w:p>
        </w:tc>
        <w:tc>
          <w:tcPr>
            <w:tcW w:w="1440" w:type="dxa"/>
            <w:vAlign w:val="center"/>
          </w:tcPr>
          <w:p w14:paraId="5373929B" w14:textId="1EFEC7A6" w:rsidR="00092A62" w:rsidRPr="006A0BDE" w:rsidRDefault="00095C23" w:rsidP="002C00FE">
            <w:pPr>
              <w:spacing w:line="360" w:lineRule="auto"/>
              <w:rPr>
                <w:rFonts w:ascii="Arial" w:hAnsi="Arial" w:cs="Arial"/>
                <w:sz w:val="20"/>
                <w:szCs w:val="20"/>
              </w:rPr>
            </w:pPr>
            <w:r>
              <w:rPr>
                <w:rFonts w:ascii="Arial" w:hAnsi="Arial" w:cs="Arial"/>
                <w:sz w:val="20"/>
                <w:szCs w:val="20"/>
              </w:rPr>
              <w:t>712.50</w:t>
            </w:r>
          </w:p>
        </w:tc>
        <w:tc>
          <w:tcPr>
            <w:tcW w:w="1440" w:type="dxa"/>
            <w:vAlign w:val="center"/>
          </w:tcPr>
          <w:p w14:paraId="13CC2A70" w14:textId="68B021FD" w:rsidR="00092A62" w:rsidRPr="006A0BDE" w:rsidRDefault="00095C23" w:rsidP="002C00FE">
            <w:pPr>
              <w:spacing w:line="360" w:lineRule="auto"/>
              <w:rPr>
                <w:rFonts w:ascii="Arial" w:hAnsi="Arial" w:cs="Arial"/>
                <w:sz w:val="20"/>
                <w:szCs w:val="20"/>
              </w:rPr>
            </w:pPr>
            <w:r>
              <w:rPr>
                <w:rFonts w:ascii="Arial" w:hAnsi="Arial" w:cs="Arial"/>
                <w:sz w:val="20"/>
                <w:szCs w:val="20"/>
              </w:rPr>
              <w:t>1050.15</w:t>
            </w:r>
          </w:p>
        </w:tc>
      </w:tr>
    </w:tbl>
    <w:p w14:paraId="3C70DF03" w14:textId="45D80982" w:rsidR="00095C23" w:rsidRPr="00FA6488" w:rsidRDefault="00095C23" w:rsidP="002C00FE">
      <w:pPr>
        <w:spacing w:line="360" w:lineRule="auto"/>
        <w:jc w:val="both"/>
        <w:rPr>
          <w:rFonts w:ascii="Arial" w:hAnsi="Arial" w:cs="Arial"/>
          <w:i/>
          <w:iCs/>
          <w:sz w:val="18"/>
          <w:szCs w:val="18"/>
        </w:rPr>
      </w:pPr>
      <w:r w:rsidRPr="00FA6488">
        <w:rPr>
          <w:rFonts w:ascii="Arial" w:hAnsi="Arial" w:cs="Arial"/>
          <w:i/>
          <w:iCs/>
          <w:sz w:val="18"/>
          <w:szCs w:val="18"/>
        </w:rPr>
        <w:t>¹Total carbohydrates = Available carbohydrates + Fiber</w:t>
      </w:r>
    </w:p>
    <w:p w14:paraId="250AF039" w14:textId="691D136C" w:rsidR="00927834" w:rsidRDefault="00095C23" w:rsidP="002C00FE">
      <w:pPr>
        <w:spacing w:line="360" w:lineRule="auto"/>
        <w:jc w:val="both"/>
        <w:rPr>
          <w:rFonts w:ascii="Arial" w:hAnsi="Arial" w:cs="Arial"/>
          <w:i/>
          <w:iCs/>
          <w:sz w:val="18"/>
          <w:szCs w:val="18"/>
        </w:rPr>
      </w:pPr>
      <w:r w:rsidRPr="00FA6488">
        <w:rPr>
          <w:rFonts w:ascii="Arial" w:hAnsi="Arial" w:cs="Arial"/>
          <w:i/>
          <w:iCs/>
          <w:sz w:val="18"/>
          <w:szCs w:val="18"/>
        </w:rPr>
        <w:t>²Energy is calculated using Atwater factors: 4 × Protein + 9 × Fat + 4 × Available carbohydrates</w:t>
      </w:r>
    </w:p>
    <w:p w14:paraId="5CF2CFE4" w14:textId="77777777" w:rsidR="00D207F9" w:rsidRDefault="00D207F9" w:rsidP="002C00FE">
      <w:pPr>
        <w:spacing w:line="360" w:lineRule="auto"/>
        <w:rPr>
          <w:rFonts w:ascii="Arial" w:hAnsi="Arial" w:cs="Arial"/>
          <w:i/>
          <w:iCs/>
          <w:sz w:val="18"/>
          <w:szCs w:val="18"/>
        </w:rPr>
      </w:pPr>
    </w:p>
    <w:p w14:paraId="7FDA16FA" w14:textId="5FAF0B4F" w:rsidR="00D207F9" w:rsidRPr="00D207F9" w:rsidRDefault="00D207F9" w:rsidP="002C00FE">
      <w:pPr>
        <w:spacing w:line="360" w:lineRule="auto"/>
        <w:rPr>
          <w:rFonts w:ascii="Arial" w:hAnsi="Arial" w:cs="Arial"/>
          <w:b/>
          <w:bCs/>
        </w:rPr>
      </w:pPr>
      <w:r w:rsidRPr="00D207F9">
        <w:rPr>
          <w:rFonts w:ascii="Arial" w:hAnsi="Arial" w:cs="Arial"/>
          <w:b/>
          <w:bCs/>
        </w:rPr>
        <w:t>Table 3. Sensory evaluation results on 9-</w:t>
      </w:r>
      <w:r w:rsidR="00665278">
        <w:rPr>
          <w:rFonts w:ascii="Arial" w:hAnsi="Arial" w:cs="Arial"/>
          <w:b/>
          <w:bCs/>
        </w:rPr>
        <w:t>p</w:t>
      </w:r>
      <w:r w:rsidRPr="00D207F9">
        <w:rPr>
          <w:rFonts w:ascii="Arial" w:hAnsi="Arial" w:cs="Arial"/>
          <w:b/>
          <w:bCs/>
        </w:rPr>
        <w:t>oint Hedonic scale (n=30 semi-trained</w:t>
      </w:r>
      <w:r>
        <w:rPr>
          <w:rFonts w:ascii="Arial" w:hAnsi="Arial" w:cs="Arial"/>
          <w:b/>
          <w:bCs/>
        </w:rPr>
        <w:t xml:space="preserve"> </w:t>
      </w:r>
      <w:r w:rsidRPr="00D207F9">
        <w:rPr>
          <w:rFonts w:ascii="Arial" w:hAnsi="Arial" w:cs="Arial"/>
          <w:b/>
          <w:bCs/>
        </w:rPr>
        <w:t>panelists)</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D207F9" w:rsidRPr="006A0BDE" w14:paraId="2A8108C0" w14:textId="77777777" w:rsidTr="003563A1">
        <w:trPr>
          <w:jc w:val="center"/>
        </w:trPr>
        <w:tc>
          <w:tcPr>
            <w:tcW w:w="0" w:type="auto"/>
            <w:tcBorders>
              <w:bottom w:val="single" w:sz="4" w:space="0" w:color="auto"/>
            </w:tcBorders>
            <w:vAlign w:val="center"/>
          </w:tcPr>
          <w:p w14:paraId="495C2D43" w14:textId="08E0D3A7"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Attribute</w:t>
            </w:r>
          </w:p>
        </w:tc>
        <w:tc>
          <w:tcPr>
            <w:tcW w:w="1318" w:type="dxa"/>
            <w:tcBorders>
              <w:bottom w:val="single" w:sz="4" w:space="0" w:color="auto"/>
            </w:tcBorders>
            <w:vAlign w:val="center"/>
          </w:tcPr>
          <w:p w14:paraId="7041408C" w14:textId="7B3288C8"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Control</w:t>
            </w:r>
          </w:p>
        </w:tc>
        <w:tc>
          <w:tcPr>
            <w:tcW w:w="1440" w:type="dxa"/>
            <w:tcBorders>
              <w:bottom w:val="single" w:sz="4" w:space="0" w:color="auto"/>
            </w:tcBorders>
            <w:vAlign w:val="center"/>
          </w:tcPr>
          <w:p w14:paraId="12563991" w14:textId="18F714F9"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Sample A</w:t>
            </w:r>
          </w:p>
        </w:tc>
        <w:tc>
          <w:tcPr>
            <w:tcW w:w="1440" w:type="dxa"/>
            <w:tcBorders>
              <w:bottom w:val="single" w:sz="4" w:space="0" w:color="auto"/>
            </w:tcBorders>
            <w:vAlign w:val="center"/>
          </w:tcPr>
          <w:p w14:paraId="10EB2926" w14:textId="1F681E2C"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Sample B</w:t>
            </w:r>
          </w:p>
        </w:tc>
        <w:tc>
          <w:tcPr>
            <w:tcW w:w="1440" w:type="dxa"/>
            <w:tcBorders>
              <w:bottom w:val="single" w:sz="4" w:space="0" w:color="auto"/>
            </w:tcBorders>
            <w:vAlign w:val="center"/>
          </w:tcPr>
          <w:p w14:paraId="2896567F" w14:textId="4CE6D230"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Sample C</w:t>
            </w:r>
          </w:p>
        </w:tc>
      </w:tr>
      <w:tr w:rsidR="00D207F9" w:rsidRPr="006A0BDE" w14:paraId="062B97C8" w14:textId="77777777" w:rsidTr="003563A1">
        <w:trPr>
          <w:jc w:val="center"/>
        </w:trPr>
        <w:tc>
          <w:tcPr>
            <w:tcW w:w="0" w:type="auto"/>
            <w:tcBorders>
              <w:top w:val="single" w:sz="4" w:space="0" w:color="auto"/>
            </w:tcBorders>
            <w:vAlign w:val="center"/>
          </w:tcPr>
          <w:p w14:paraId="33397396" w14:textId="5562761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Color</w:t>
            </w:r>
          </w:p>
        </w:tc>
        <w:tc>
          <w:tcPr>
            <w:tcW w:w="1318" w:type="dxa"/>
            <w:tcBorders>
              <w:top w:val="single" w:sz="4" w:space="0" w:color="auto"/>
            </w:tcBorders>
            <w:vAlign w:val="center"/>
          </w:tcPr>
          <w:p w14:paraId="3E14000F" w14:textId="3D58E470"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5.5 ± 0.8</w:t>
            </w:r>
          </w:p>
        </w:tc>
        <w:tc>
          <w:tcPr>
            <w:tcW w:w="1440" w:type="dxa"/>
            <w:tcBorders>
              <w:top w:val="single" w:sz="4" w:space="0" w:color="auto"/>
            </w:tcBorders>
            <w:vAlign w:val="center"/>
          </w:tcPr>
          <w:p w14:paraId="20530CA1" w14:textId="16406A3E"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7.0 ± 0.7</w:t>
            </w:r>
          </w:p>
        </w:tc>
        <w:tc>
          <w:tcPr>
            <w:tcW w:w="1440" w:type="dxa"/>
            <w:tcBorders>
              <w:top w:val="single" w:sz="4" w:space="0" w:color="auto"/>
            </w:tcBorders>
            <w:vAlign w:val="center"/>
          </w:tcPr>
          <w:p w14:paraId="2D18336A" w14:textId="40387FED"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7.5 ± 0.6</w:t>
            </w:r>
          </w:p>
        </w:tc>
        <w:tc>
          <w:tcPr>
            <w:tcW w:w="1440" w:type="dxa"/>
            <w:tcBorders>
              <w:top w:val="single" w:sz="4" w:space="0" w:color="auto"/>
            </w:tcBorders>
            <w:vAlign w:val="center"/>
          </w:tcPr>
          <w:p w14:paraId="14792275" w14:textId="529071CD"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8.3 ± 0.5</w:t>
            </w:r>
          </w:p>
        </w:tc>
      </w:tr>
      <w:tr w:rsidR="00D207F9" w:rsidRPr="006A0BDE" w14:paraId="2949A177" w14:textId="77777777" w:rsidTr="003563A1">
        <w:trPr>
          <w:jc w:val="center"/>
        </w:trPr>
        <w:tc>
          <w:tcPr>
            <w:tcW w:w="0" w:type="auto"/>
            <w:vAlign w:val="center"/>
          </w:tcPr>
          <w:p w14:paraId="516A8CC0" w14:textId="0A6AA2FD"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Taste</w:t>
            </w:r>
          </w:p>
        </w:tc>
        <w:tc>
          <w:tcPr>
            <w:tcW w:w="1318" w:type="dxa"/>
            <w:vAlign w:val="center"/>
          </w:tcPr>
          <w:p w14:paraId="7FA68B52" w14:textId="37FB6B6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5.8 ± 0.9</w:t>
            </w:r>
          </w:p>
        </w:tc>
        <w:tc>
          <w:tcPr>
            <w:tcW w:w="1440" w:type="dxa"/>
            <w:vAlign w:val="center"/>
          </w:tcPr>
          <w:p w14:paraId="333BC65F" w14:textId="4353F754"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7.2 ± 0.6</w:t>
            </w:r>
          </w:p>
        </w:tc>
        <w:tc>
          <w:tcPr>
            <w:tcW w:w="1440" w:type="dxa"/>
            <w:vAlign w:val="center"/>
          </w:tcPr>
          <w:p w14:paraId="1735EE79" w14:textId="0744321A"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7.6 ± 0.6</w:t>
            </w:r>
          </w:p>
        </w:tc>
        <w:tc>
          <w:tcPr>
            <w:tcW w:w="1440" w:type="dxa"/>
            <w:vAlign w:val="center"/>
          </w:tcPr>
          <w:p w14:paraId="0B0A6822" w14:textId="5E42C817"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8.4 ± 0.5</w:t>
            </w:r>
          </w:p>
        </w:tc>
      </w:tr>
      <w:tr w:rsidR="00D207F9" w:rsidRPr="006A0BDE" w14:paraId="3A035410" w14:textId="77777777" w:rsidTr="003563A1">
        <w:trPr>
          <w:jc w:val="center"/>
        </w:trPr>
        <w:tc>
          <w:tcPr>
            <w:tcW w:w="0" w:type="auto"/>
            <w:vAlign w:val="center"/>
          </w:tcPr>
          <w:p w14:paraId="08C42627" w14:textId="4303007C"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Texture</w:t>
            </w:r>
          </w:p>
        </w:tc>
        <w:tc>
          <w:tcPr>
            <w:tcW w:w="1318" w:type="dxa"/>
            <w:vAlign w:val="center"/>
          </w:tcPr>
          <w:p w14:paraId="67F86A6D" w14:textId="65365EA0"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5.0 ± 1.0</w:t>
            </w:r>
          </w:p>
        </w:tc>
        <w:tc>
          <w:tcPr>
            <w:tcW w:w="1440" w:type="dxa"/>
            <w:vAlign w:val="center"/>
          </w:tcPr>
          <w:p w14:paraId="4017C3A5" w14:textId="71D90833"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6.7 ± 0.8</w:t>
            </w:r>
          </w:p>
        </w:tc>
        <w:tc>
          <w:tcPr>
            <w:tcW w:w="1440" w:type="dxa"/>
            <w:vAlign w:val="center"/>
          </w:tcPr>
          <w:p w14:paraId="6AB967EE" w14:textId="2E1C71D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7.3 ± 0.7</w:t>
            </w:r>
          </w:p>
        </w:tc>
        <w:tc>
          <w:tcPr>
            <w:tcW w:w="1440" w:type="dxa"/>
            <w:vAlign w:val="center"/>
          </w:tcPr>
          <w:p w14:paraId="65D5113E" w14:textId="1447C209"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8.2 ± 0.5</w:t>
            </w:r>
          </w:p>
        </w:tc>
      </w:tr>
      <w:tr w:rsidR="00D207F9" w:rsidRPr="006A0BDE" w14:paraId="38806FC2" w14:textId="77777777" w:rsidTr="003563A1">
        <w:trPr>
          <w:jc w:val="center"/>
        </w:trPr>
        <w:tc>
          <w:tcPr>
            <w:tcW w:w="0" w:type="auto"/>
            <w:vAlign w:val="center"/>
          </w:tcPr>
          <w:p w14:paraId="2CBCA9CE" w14:textId="1FEB9BF4"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Flavor</w:t>
            </w:r>
          </w:p>
        </w:tc>
        <w:tc>
          <w:tcPr>
            <w:tcW w:w="1318" w:type="dxa"/>
            <w:vAlign w:val="center"/>
          </w:tcPr>
          <w:p w14:paraId="5CCAFBF5" w14:textId="2CCA9A7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5.3 ± 0.9</w:t>
            </w:r>
          </w:p>
        </w:tc>
        <w:tc>
          <w:tcPr>
            <w:tcW w:w="1440" w:type="dxa"/>
            <w:vAlign w:val="center"/>
          </w:tcPr>
          <w:p w14:paraId="7230C1B7" w14:textId="73946AE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7.0 ± 0.7</w:t>
            </w:r>
          </w:p>
        </w:tc>
        <w:tc>
          <w:tcPr>
            <w:tcW w:w="1440" w:type="dxa"/>
            <w:vAlign w:val="center"/>
          </w:tcPr>
          <w:p w14:paraId="53846FE8" w14:textId="1FD5BEB7"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7.5 ± 0.6</w:t>
            </w:r>
          </w:p>
        </w:tc>
        <w:tc>
          <w:tcPr>
            <w:tcW w:w="1440" w:type="dxa"/>
            <w:vAlign w:val="center"/>
          </w:tcPr>
          <w:p w14:paraId="1AC5FCD0" w14:textId="66023F21"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8.3 ± 0.5</w:t>
            </w:r>
          </w:p>
        </w:tc>
      </w:tr>
      <w:tr w:rsidR="00D207F9" w:rsidRPr="006A0BDE" w14:paraId="65A2E5F3" w14:textId="77777777" w:rsidTr="003563A1">
        <w:trPr>
          <w:jc w:val="center"/>
        </w:trPr>
        <w:tc>
          <w:tcPr>
            <w:tcW w:w="0" w:type="auto"/>
            <w:vAlign w:val="center"/>
          </w:tcPr>
          <w:p w14:paraId="324C4829" w14:textId="7F3CCE38"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Overall Acceptability</w:t>
            </w:r>
          </w:p>
        </w:tc>
        <w:tc>
          <w:tcPr>
            <w:tcW w:w="1318" w:type="dxa"/>
            <w:vAlign w:val="center"/>
          </w:tcPr>
          <w:p w14:paraId="337908D7" w14:textId="5AC03680"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5.2 ± 1.0</w:t>
            </w:r>
          </w:p>
        </w:tc>
        <w:tc>
          <w:tcPr>
            <w:tcW w:w="1440" w:type="dxa"/>
            <w:vAlign w:val="center"/>
          </w:tcPr>
          <w:p w14:paraId="4554DF92" w14:textId="1AF7A598"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7.0 ± 0.7</w:t>
            </w:r>
          </w:p>
        </w:tc>
        <w:tc>
          <w:tcPr>
            <w:tcW w:w="1440" w:type="dxa"/>
            <w:vAlign w:val="center"/>
          </w:tcPr>
          <w:p w14:paraId="6411B81B" w14:textId="29986A92"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7.7 ± 0.6</w:t>
            </w:r>
          </w:p>
        </w:tc>
        <w:tc>
          <w:tcPr>
            <w:tcW w:w="1440" w:type="dxa"/>
            <w:vAlign w:val="center"/>
          </w:tcPr>
          <w:p w14:paraId="16D0DC5F" w14:textId="573D3F4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8.4 ± 0.5</w:t>
            </w:r>
          </w:p>
        </w:tc>
      </w:tr>
    </w:tbl>
    <w:p w14:paraId="08A0289F" w14:textId="3526A1E1" w:rsidR="003563A1" w:rsidRDefault="003563A1" w:rsidP="002C00FE">
      <w:pPr>
        <w:autoSpaceDE w:val="0"/>
        <w:autoSpaceDN w:val="0"/>
        <w:adjustRightInd w:val="0"/>
        <w:spacing w:line="360" w:lineRule="auto"/>
        <w:jc w:val="both"/>
        <w:rPr>
          <w:rFonts w:ascii="Arial" w:hAnsi="Arial" w:cs="Arial"/>
          <w:i/>
          <w:sz w:val="18"/>
        </w:rPr>
      </w:pPr>
      <w:r>
        <w:rPr>
          <w:rFonts w:ascii="Arial" w:hAnsi="Arial" w:cs="Arial"/>
          <w:i/>
          <w:iCs/>
          <w:sz w:val="18"/>
          <w:szCs w:val="18"/>
          <w:lang w:val="en-IN"/>
        </w:rPr>
        <w:t>9-point Hedonic</w:t>
      </w:r>
      <w:r w:rsidRPr="00D207F9">
        <w:rPr>
          <w:rFonts w:ascii="Arial" w:hAnsi="Arial" w:cs="Arial"/>
          <w:i/>
          <w:iCs/>
          <w:sz w:val="18"/>
          <w:szCs w:val="18"/>
          <w:lang w:val="en-IN"/>
        </w:rPr>
        <w:t xml:space="preserve"> Scale: </w:t>
      </w:r>
      <w:r w:rsidRPr="003563A1">
        <w:rPr>
          <w:rFonts w:ascii="Arial" w:hAnsi="Arial" w:cs="Arial"/>
          <w:i/>
          <w:iCs/>
          <w:sz w:val="18"/>
          <w:szCs w:val="18"/>
          <w:lang w:val="en-IN"/>
        </w:rPr>
        <w:t>1</w:t>
      </w:r>
      <w:r>
        <w:rPr>
          <w:rFonts w:ascii="Arial" w:hAnsi="Arial" w:cs="Arial"/>
          <w:i/>
          <w:iCs/>
          <w:sz w:val="18"/>
          <w:szCs w:val="18"/>
          <w:lang w:val="en-IN"/>
        </w:rPr>
        <w:t xml:space="preserve"> </w:t>
      </w:r>
      <w:r w:rsidRPr="003563A1">
        <w:rPr>
          <w:rFonts w:ascii="Arial" w:hAnsi="Arial" w:cs="Arial"/>
          <w:i/>
          <w:iCs/>
          <w:sz w:val="18"/>
          <w:szCs w:val="18"/>
          <w:lang w:val="en-IN"/>
        </w:rPr>
        <w:t>= dislike extremely,</w:t>
      </w:r>
      <w:r>
        <w:rPr>
          <w:rFonts w:ascii="Arial" w:hAnsi="Arial" w:cs="Arial"/>
          <w:i/>
          <w:iCs/>
          <w:sz w:val="18"/>
          <w:szCs w:val="18"/>
          <w:lang w:val="en-IN"/>
        </w:rPr>
        <w:t xml:space="preserve"> </w:t>
      </w:r>
      <w:r w:rsidRPr="003563A1">
        <w:rPr>
          <w:rFonts w:ascii="Arial" w:hAnsi="Arial" w:cs="Arial"/>
          <w:i/>
          <w:iCs/>
          <w:sz w:val="18"/>
          <w:szCs w:val="18"/>
          <w:lang w:val="en-IN"/>
        </w:rPr>
        <w:t>2 = dislike very much, 3 = dislike moderately, 4 = dislike slightly, 5 = neither like, nor dislike, 6 = like slightly, 7 = like moderately, 8 = like very much, 9 = like extremely</w:t>
      </w:r>
    </w:p>
    <w:p w14:paraId="20FBA9B3" w14:textId="265E3EE9" w:rsidR="00D207F9" w:rsidRPr="00665278" w:rsidRDefault="00665278" w:rsidP="002C00FE">
      <w:pPr>
        <w:autoSpaceDE w:val="0"/>
        <w:autoSpaceDN w:val="0"/>
        <w:adjustRightInd w:val="0"/>
        <w:spacing w:line="360" w:lineRule="auto"/>
        <w:jc w:val="both"/>
        <w:rPr>
          <w:rFonts w:ascii="Arial" w:hAnsi="Arial" w:cs="Arial"/>
          <w:i/>
          <w:sz w:val="18"/>
        </w:rPr>
      </w:pPr>
      <w:r w:rsidRPr="008247A6">
        <w:rPr>
          <w:rFonts w:ascii="Arial" w:hAnsi="Arial" w:cs="Arial"/>
          <w:i/>
          <w:sz w:val="18"/>
        </w:rPr>
        <w:t xml:space="preserve">Mean ± S.E.M = Mean values ± Standard error of means of </w:t>
      </w:r>
      <w:r w:rsidR="003563A1">
        <w:rPr>
          <w:rFonts w:ascii="Arial" w:hAnsi="Arial" w:cs="Arial"/>
          <w:i/>
          <w:sz w:val="18"/>
        </w:rPr>
        <w:t>four</w:t>
      </w:r>
      <w:r w:rsidRPr="008247A6">
        <w:rPr>
          <w:rFonts w:ascii="Arial" w:hAnsi="Arial" w:cs="Arial"/>
          <w:i/>
          <w:sz w:val="18"/>
        </w:rPr>
        <w:t xml:space="preserve"> experiments</w:t>
      </w:r>
    </w:p>
    <w:p w14:paraId="32D8953B" w14:textId="77777777" w:rsidR="00665278" w:rsidRDefault="00665278" w:rsidP="002C00FE">
      <w:pPr>
        <w:spacing w:line="360" w:lineRule="auto"/>
        <w:rPr>
          <w:rFonts w:ascii="Arial" w:hAnsi="Arial" w:cs="Arial"/>
          <w:b/>
          <w:bCs/>
        </w:rPr>
      </w:pPr>
    </w:p>
    <w:p w14:paraId="4C014593" w14:textId="527A248A" w:rsidR="00D207F9" w:rsidRPr="00D207F9" w:rsidRDefault="00D207F9" w:rsidP="002C00FE">
      <w:pPr>
        <w:spacing w:line="360" w:lineRule="auto"/>
        <w:rPr>
          <w:rFonts w:ascii="Arial" w:hAnsi="Arial" w:cs="Arial"/>
          <w:b/>
          <w:bCs/>
        </w:rPr>
      </w:pPr>
      <w:r w:rsidRPr="00D207F9">
        <w:rPr>
          <w:rFonts w:ascii="Arial" w:hAnsi="Arial" w:cs="Arial"/>
          <w:b/>
          <w:bCs/>
        </w:rPr>
        <w:t>Table 4. Sensory evaluation results on Just-About-Right (JAR) scale (n=30 semi-trained panelists)</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D207F9" w:rsidRPr="006A0BDE" w14:paraId="342E4BD0" w14:textId="77777777" w:rsidTr="003563A1">
        <w:trPr>
          <w:jc w:val="center"/>
        </w:trPr>
        <w:tc>
          <w:tcPr>
            <w:tcW w:w="0" w:type="auto"/>
            <w:tcBorders>
              <w:bottom w:val="single" w:sz="4" w:space="0" w:color="auto"/>
            </w:tcBorders>
            <w:vAlign w:val="center"/>
          </w:tcPr>
          <w:p w14:paraId="67D6F503"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Parameter</w:t>
            </w:r>
          </w:p>
        </w:tc>
        <w:tc>
          <w:tcPr>
            <w:tcW w:w="1318" w:type="dxa"/>
            <w:tcBorders>
              <w:bottom w:val="single" w:sz="4" w:space="0" w:color="auto"/>
            </w:tcBorders>
            <w:vAlign w:val="center"/>
          </w:tcPr>
          <w:p w14:paraId="3C826169"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Control (g)</w:t>
            </w:r>
          </w:p>
        </w:tc>
        <w:tc>
          <w:tcPr>
            <w:tcW w:w="1440" w:type="dxa"/>
            <w:tcBorders>
              <w:bottom w:val="single" w:sz="4" w:space="0" w:color="auto"/>
            </w:tcBorders>
            <w:vAlign w:val="center"/>
          </w:tcPr>
          <w:p w14:paraId="70DFD381"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Sample A (g)</w:t>
            </w:r>
          </w:p>
        </w:tc>
        <w:tc>
          <w:tcPr>
            <w:tcW w:w="1440" w:type="dxa"/>
            <w:tcBorders>
              <w:bottom w:val="single" w:sz="4" w:space="0" w:color="auto"/>
            </w:tcBorders>
            <w:vAlign w:val="center"/>
          </w:tcPr>
          <w:p w14:paraId="55C1FE50"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Sample B (g)</w:t>
            </w:r>
          </w:p>
        </w:tc>
        <w:tc>
          <w:tcPr>
            <w:tcW w:w="1440" w:type="dxa"/>
            <w:tcBorders>
              <w:bottom w:val="single" w:sz="4" w:space="0" w:color="auto"/>
            </w:tcBorders>
            <w:vAlign w:val="center"/>
          </w:tcPr>
          <w:p w14:paraId="0E46260C"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Sample C (g)</w:t>
            </w:r>
          </w:p>
        </w:tc>
      </w:tr>
      <w:tr w:rsidR="00D207F9" w:rsidRPr="006A0BDE" w14:paraId="672CDE61" w14:textId="77777777" w:rsidTr="003563A1">
        <w:trPr>
          <w:jc w:val="center"/>
        </w:trPr>
        <w:tc>
          <w:tcPr>
            <w:tcW w:w="0" w:type="auto"/>
            <w:tcBorders>
              <w:top w:val="single" w:sz="4" w:space="0" w:color="auto"/>
            </w:tcBorders>
          </w:tcPr>
          <w:p w14:paraId="6F1F3FE7" w14:textId="0470F945"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Saltiness</w:t>
            </w:r>
          </w:p>
        </w:tc>
        <w:tc>
          <w:tcPr>
            <w:tcW w:w="1318" w:type="dxa"/>
            <w:tcBorders>
              <w:top w:val="single" w:sz="4" w:space="0" w:color="auto"/>
            </w:tcBorders>
          </w:tcPr>
          <w:p w14:paraId="1CE37CDA" w14:textId="7D17871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2.8 ± 0.2</w:t>
            </w:r>
          </w:p>
        </w:tc>
        <w:tc>
          <w:tcPr>
            <w:tcW w:w="1440" w:type="dxa"/>
            <w:tcBorders>
              <w:top w:val="single" w:sz="4" w:space="0" w:color="auto"/>
            </w:tcBorders>
          </w:tcPr>
          <w:p w14:paraId="5E397B74" w14:textId="0AA71C1C"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2.2 ± 0.5</w:t>
            </w:r>
          </w:p>
        </w:tc>
        <w:tc>
          <w:tcPr>
            <w:tcW w:w="1440" w:type="dxa"/>
            <w:tcBorders>
              <w:top w:val="single" w:sz="4" w:space="0" w:color="auto"/>
            </w:tcBorders>
          </w:tcPr>
          <w:p w14:paraId="5E41FD30" w14:textId="47EE170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1.7 ± 0.5</w:t>
            </w:r>
          </w:p>
        </w:tc>
        <w:tc>
          <w:tcPr>
            <w:tcW w:w="1440" w:type="dxa"/>
            <w:tcBorders>
              <w:top w:val="single" w:sz="4" w:space="0" w:color="auto"/>
            </w:tcBorders>
          </w:tcPr>
          <w:p w14:paraId="249AF16E" w14:textId="13F6D5A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2.6 ± 0.3</w:t>
            </w:r>
          </w:p>
        </w:tc>
      </w:tr>
      <w:tr w:rsidR="00D207F9" w:rsidRPr="006A0BDE" w14:paraId="0A347528" w14:textId="77777777" w:rsidTr="003563A1">
        <w:trPr>
          <w:jc w:val="center"/>
        </w:trPr>
        <w:tc>
          <w:tcPr>
            <w:tcW w:w="0" w:type="auto"/>
          </w:tcPr>
          <w:p w14:paraId="3F5C0BC6" w14:textId="7F6FBE55"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Spiciness</w:t>
            </w:r>
          </w:p>
        </w:tc>
        <w:tc>
          <w:tcPr>
            <w:tcW w:w="1318" w:type="dxa"/>
          </w:tcPr>
          <w:p w14:paraId="493C9148" w14:textId="7CE5D270"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 xml:space="preserve">1.0 </w:t>
            </w:r>
            <w:r w:rsidRPr="00D207F9">
              <w:rPr>
                <w:rFonts w:ascii="Arial" w:hAnsi="Arial" w:cs="Arial"/>
                <w:sz w:val="20"/>
                <w:szCs w:val="20"/>
              </w:rPr>
              <w:t>± 0.0</w:t>
            </w:r>
          </w:p>
        </w:tc>
        <w:tc>
          <w:tcPr>
            <w:tcW w:w="1440" w:type="dxa"/>
          </w:tcPr>
          <w:p w14:paraId="339E55A4" w14:textId="17C713C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2.1 ± 0.2</w:t>
            </w:r>
          </w:p>
        </w:tc>
        <w:tc>
          <w:tcPr>
            <w:tcW w:w="1440" w:type="dxa"/>
          </w:tcPr>
          <w:p w14:paraId="5C48504A" w14:textId="4B4F050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2.3 ± 0.3</w:t>
            </w:r>
          </w:p>
        </w:tc>
        <w:tc>
          <w:tcPr>
            <w:tcW w:w="1440" w:type="dxa"/>
          </w:tcPr>
          <w:p w14:paraId="5D3D0D4F" w14:textId="31808C73"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2.8 ± 0.2</w:t>
            </w:r>
          </w:p>
        </w:tc>
      </w:tr>
      <w:tr w:rsidR="00D207F9" w:rsidRPr="006A0BDE" w14:paraId="12F98E7B" w14:textId="77777777" w:rsidTr="003563A1">
        <w:trPr>
          <w:jc w:val="center"/>
        </w:trPr>
        <w:tc>
          <w:tcPr>
            <w:tcW w:w="0" w:type="auto"/>
          </w:tcPr>
          <w:p w14:paraId="197F30C3" w14:textId="2B98E661"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Texture firmness</w:t>
            </w:r>
          </w:p>
        </w:tc>
        <w:tc>
          <w:tcPr>
            <w:tcW w:w="1318" w:type="dxa"/>
          </w:tcPr>
          <w:p w14:paraId="3F7E6947" w14:textId="23CADF79"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2.5 ± 0.5</w:t>
            </w:r>
          </w:p>
        </w:tc>
        <w:tc>
          <w:tcPr>
            <w:tcW w:w="1440" w:type="dxa"/>
          </w:tcPr>
          <w:p w14:paraId="6F99AAB9" w14:textId="38EBDC54"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2.5 ± 0.4</w:t>
            </w:r>
          </w:p>
        </w:tc>
        <w:tc>
          <w:tcPr>
            <w:tcW w:w="1440" w:type="dxa"/>
          </w:tcPr>
          <w:p w14:paraId="7537648E" w14:textId="4B70654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2.6 ± 0.4</w:t>
            </w:r>
          </w:p>
        </w:tc>
        <w:tc>
          <w:tcPr>
            <w:tcW w:w="1440" w:type="dxa"/>
          </w:tcPr>
          <w:p w14:paraId="69198469" w14:textId="31E9F158"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2.6 ± 0.4</w:t>
            </w:r>
          </w:p>
        </w:tc>
      </w:tr>
      <w:tr w:rsidR="00D207F9" w:rsidRPr="006A0BDE" w14:paraId="1F1A2B12" w14:textId="77777777" w:rsidTr="003563A1">
        <w:trPr>
          <w:jc w:val="center"/>
        </w:trPr>
        <w:tc>
          <w:tcPr>
            <w:tcW w:w="0" w:type="auto"/>
          </w:tcPr>
          <w:p w14:paraId="0ADBD276" w14:textId="76DC784F"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Color intensity</w:t>
            </w:r>
          </w:p>
        </w:tc>
        <w:tc>
          <w:tcPr>
            <w:tcW w:w="1318" w:type="dxa"/>
          </w:tcPr>
          <w:p w14:paraId="2E25C12D" w14:textId="03006983"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1.0 ± 0.5</w:t>
            </w:r>
          </w:p>
        </w:tc>
        <w:tc>
          <w:tcPr>
            <w:tcW w:w="1440" w:type="dxa"/>
          </w:tcPr>
          <w:p w14:paraId="797099AF" w14:textId="41DC6EFA"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2.0 ± 0.5</w:t>
            </w:r>
          </w:p>
        </w:tc>
        <w:tc>
          <w:tcPr>
            <w:tcW w:w="1440" w:type="dxa"/>
          </w:tcPr>
          <w:p w14:paraId="6FC4D392" w14:textId="409A42FE"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2.4 ± 0.4</w:t>
            </w:r>
          </w:p>
        </w:tc>
        <w:tc>
          <w:tcPr>
            <w:tcW w:w="1440" w:type="dxa"/>
          </w:tcPr>
          <w:p w14:paraId="6CF571C3" w14:textId="7908D067"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2.5 ± 0.3</w:t>
            </w:r>
          </w:p>
        </w:tc>
      </w:tr>
    </w:tbl>
    <w:p w14:paraId="2FAE724E" w14:textId="41250B2A" w:rsidR="00863BD3" w:rsidRDefault="00D207F9" w:rsidP="002C00FE">
      <w:pPr>
        <w:pStyle w:val="Body"/>
        <w:spacing w:after="0" w:line="360" w:lineRule="auto"/>
        <w:rPr>
          <w:rFonts w:ascii="Arial" w:hAnsi="Arial" w:cs="Arial"/>
          <w:i/>
          <w:iCs/>
          <w:sz w:val="18"/>
          <w:szCs w:val="18"/>
          <w:lang w:val="en-IN"/>
        </w:rPr>
      </w:pPr>
      <w:r w:rsidRPr="00D207F9">
        <w:rPr>
          <w:rFonts w:ascii="Arial" w:hAnsi="Arial" w:cs="Arial"/>
          <w:i/>
          <w:iCs/>
          <w:sz w:val="18"/>
          <w:szCs w:val="18"/>
          <w:lang w:val="en-IN"/>
        </w:rPr>
        <w:t>JAR Scale: 1 = too weak/low, 2 = just about right, 3 = too strong/high</w:t>
      </w:r>
    </w:p>
    <w:p w14:paraId="78651654" w14:textId="35C7CA0E" w:rsidR="00665278" w:rsidRPr="00665278" w:rsidRDefault="00665278" w:rsidP="002C00FE">
      <w:pPr>
        <w:autoSpaceDE w:val="0"/>
        <w:autoSpaceDN w:val="0"/>
        <w:adjustRightInd w:val="0"/>
        <w:spacing w:line="360" w:lineRule="auto"/>
        <w:jc w:val="both"/>
        <w:rPr>
          <w:rFonts w:ascii="Arial" w:hAnsi="Arial" w:cs="Arial"/>
          <w:i/>
          <w:sz w:val="18"/>
        </w:rPr>
      </w:pPr>
      <w:r w:rsidRPr="008247A6">
        <w:rPr>
          <w:rFonts w:ascii="Arial" w:hAnsi="Arial" w:cs="Arial"/>
          <w:i/>
          <w:sz w:val="18"/>
        </w:rPr>
        <w:t xml:space="preserve">Mean ± S.E.M = Mean values ± Standard error of means of </w:t>
      </w:r>
      <w:r w:rsidR="003563A1">
        <w:rPr>
          <w:rFonts w:ascii="Arial" w:hAnsi="Arial" w:cs="Arial"/>
          <w:i/>
          <w:sz w:val="18"/>
        </w:rPr>
        <w:t>four</w:t>
      </w:r>
      <w:r w:rsidRPr="008247A6">
        <w:rPr>
          <w:rFonts w:ascii="Arial" w:hAnsi="Arial" w:cs="Arial"/>
          <w:i/>
          <w:sz w:val="18"/>
        </w:rPr>
        <w:t xml:space="preserve"> experiments</w:t>
      </w:r>
    </w:p>
    <w:p w14:paraId="10AF4EC5" w14:textId="77777777" w:rsidR="00D207F9" w:rsidRPr="00FB3A86" w:rsidRDefault="00D207F9" w:rsidP="002C00FE">
      <w:pPr>
        <w:pStyle w:val="Body"/>
        <w:spacing w:after="0" w:line="360" w:lineRule="auto"/>
        <w:rPr>
          <w:rFonts w:ascii="Arial" w:hAnsi="Arial" w:cs="Arial"/>
        </w:rPr>
      </w:pPr>
    </w:p>
    <w:p w14:paraId="2776055F" w14:textId="38680A23" w:rsidR="001332E1" w:rsidRPr="00D207F9" w:rsidRDefault="001332E1" w:rsidP="002C00FE">
      <w:pPr>
        <w:spacing w:line="360" w:lineRule="auto"/>
        <w:rPr>
          <w:rFonts w:ascii="Arial" w:hAnsi="Arial" w:cs="Arial"/>
          <w:b/>
          <w:bCs/>
        </w:rPr>
      </w:pPr>
      <w:r w:rsidRPr="00D207F9">
        <w:rPr>
          <w:rFonts w:ascii="Arial" w:hAnsi="Arial" w:cs="Arial"/>
          <w:b/>
          <w:bCs/>
        </w:rPr>
        <w:t xml:space="preserve">Table </w:t>
      </w:r>
      <w:r>
        <w:rPr>
          <w:rFonts w:ascii="Arial" w:hAnsi="Arial" w:cs="Arial"/>
          <w:b/>
          <w:bCs/>
        </w:rPr>
        <w:t>5</w:t>
      </w:r>
      <w:r w:rsidRPr="00D207F9">
        <w:rPr>
          <w:rFonts w:ascii="Arial" w:hAnsi="Arial" w:cs="Arial"/>
          <w:b/>
          <w:bCs/>
        </w:rPr>
        <w:t xml:space="preserve">. </w:t>
      </w:r>
      <w:r>
        <w:rPr>
          <w:rFonts w:ascii="Arial" w:hAnsi="Arial" w:cs="Arial"/>
          <w:b/>
          <w:bCs/>
          <w:szCs w:val="22"/>
        </w:rPr>
        <w:t>Microbiological analysis of</w:t>
      </w:r>
      <w:r w:rsidRPr="00FA6488">
        <w:rPr>
          <w:rFonts w:ascii="Arial" w:hAnsi="Arial" w:cs="Arial"/>
          <w:b/>
          <w:bCs/>
          <w:szCs w:val="22"/>
        </w:rPr>
        <w:t xml:space="preserve"> </w:t>
      </w:r>
      <w:r>
        <w:rPr>
          <w:rFonts w:ascii="Arial" w:hAnsi="Arial" w:cs="Arial"/>
          <w:b/>
          <w:bCs/>
          <w:szCs w:val="22"/>
        </w:rPr>
        <w:t>Control, Sample A, Sample B, and Sample C</w:t>
      </w:r>
    </w:p>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90"/>
        <w:gridCol w:w="1272"/>
        <w:gridCol w:w="1512"/>
        <w:gridCol w:w="1444"/>
        <w:gridCol w:w="1440"/>
      </w:tblGrid>
      <w:tr w:rsidR="001332E1" w:rsidRPr="007556A8" w14:paraId="2300A3F8" w14:textId="77777777" w:rsidTr="00EE5DF9">
        <w:trPr>
          <w:jc w:val="center"/>
        </w:trPr>
        <w:tc>
          <w:tcPr>
            <w:tcW w:w="0" w:type="auto"/>
            <w:tcBorders>
              <w:top w:val="nil"/>
              <w:left w:val="nil"/>
              <w:bottom w:val="single" w:sz="4" w:space="0" w:color="auto"/>
              <w:right w:val="nil"/>
            </w:tcBorders>
            <w:vAlign w:val="center"/>
            <w:hideMark/>
          </w:tcPr>
          <w:p w14:paraId="75B8E45A"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Parameter</w:t>
            </w:r>
          </w:p>
        </w:tc>
        <w:tc>
          <w:tcPr>
            <w:tcW w:w="1272" w:type="dxa"/>
            <w:tcBorders>
              <w:top w:val="nil"/>
              <w:left w:val="nil"/>
              <w:bottom w:val="single" w:sz="4" w:space="0" w:color="auto"/>
              <w:right w:val="nil"/>
            </w:tcBorders>
            <w:vAlign w:val="center"/>
            <w:hideMark/>
          </w:tcPr>
          <w:p w14:paraId="511D4C2D"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Control (g)</w:t>
            </w:r>
          </w:p>
        </w:tc>
        <w:tc>
          <w:tcPr>
            <w:tcW w:w="1512" w:type="dxa"/>
            <w:tcBorders>
              <w:top w:val="nil"/>
              <w:left w:val="nil"/>
              <w:bottom w:val="single" w:sz="4" w:space="0" w:color="auto"/>
              <w:right w:val="nil"/>
            </w:tcBorders>
            <w:vAlign w:val="center"/>
            <w:hideMark/>
          </w:tcPr>
          <w:p w14:paraId="6C00415F"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Sample A (g)</w:t>
            </w:r>
          </w:p>
        </w:tc>
        <w:tc>
          <w:tcPr>
            <w:tcW w:w="1444" w:type="dxa"/>
            <w:tcBorders>
              <w:top w:val="nil"/>
              <w:left w:val="nil"/>
              <w:bottom w:val="single" w:sz="4" w:space="0" w:color="auto"/>
              <w:right w:val="nil"/>
            </w:tcBorders>
            <w:vAlign w:val="center"/>
            <w:hideMark/>
          </w:tcPr>
          <w:p w14:paraId="60D8D059"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Sample B (g)</w:t>
            </w:r>
          </w:p>
        </w:tc>
        <w:tc>
          <w:tcPr>
            <w:tcW w:w="1440" w:type="dxa"/>
            <w:tcBorders>
              <w:top w:val="nil"/>
              <w:left w:val="nil"/>
              <w:bottom w:val="single" w:sz="4" w:space="0" w:color="auto"/>
              <w:right w:val="nil"/>
            </w:tcBorders>
            <w:vAlign w:val="center"/>
            <w:hideMark/>
          </w:tcPr>
          <w:p w14:paraId="78BDC377"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Sample C (g)</w:t>
            </w:r>
          </w:p>
        </w:tc>
      </w:tr>
      <w:tr w:rsidR="001332E1" w:rsidRPr="007556A8" w14:paraId="57932D56" w14:textId="77777777" w:rsidTr="00EE5DF9">
        <w:trPr>
          <w:jc w:val="center"/>
        </w:trPr>
        <w:tc>
          <w:tcPr>
            <w:tcW w:w="0" w:type="auto"/>
            <w:tcBorders>
              <w:top w:val="single" w:sz="4" w:space="0" w:color="auto"/>
              <w:left w:val="nil"/>
              <w:bottom w:val="nil"/>
              <w:right w:val="nil"/>
            </w:tcBorders>
            <w:hideMark/>
          </w:tcPr>
          <w:p w14:paraId="6A9F1EC2"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Total Plate Count (CFU/g)</w:t>
            </w:r>
          </w:p>
        </w:tc>
        <w:tc>
          <w:tcPr>
            <w:tcW w:w="0" w:type="auto"/>
            <w:tcBorders>
              <w:top w:val="single" w:sz="4" w:space="0" w:color="auto"/>
              <w:left w:val="nil"/>
              <w:bottom w:val="nil"/>
              <w:right w:val="nil"/>
            </w:tcBorders>
            <w:hideMark/>
          </w:tcPr>
          <w:p w14:paraId="756BE51F"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0" w:type="auto"/>
            <w:tcBorders>
              <w:top w:val="single" w:sz="4" w:space="0" w:color="auto"/>
              <w:left w:val="nil"/>
              <w:bottom w:val="nil"/>
              <w:right w:val="nil"/>
            </w:tcBorders>
            <w:hideMark/>
          </w:tcPr>
          <w:p w14:paraId="4741BEA3"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4" w:type="dxa"/>
            <w:tcBorders>
              <w:top w:val="single" w:sz="4" w:space="0" w:color="auto"/>
              <w:left w:val="nil"/>
              <w:bottom w:val="nil"/>
              <w:right w:val="nil"/>
            </w:tcBorders>
            <w:hideMark/>
          </w:tcPr>
          <w:p w14:paraId="403B4E1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0" w:type="dxa"/>
            <w:tcBorders>
              <w:top w:val="single" w:sz="4" w:space="0" w:color="auto"/>
              <w:left w:val="nil"/>
              <w:bottom w:val="nil"/>
              <w:right w:val="nil"/>
            </w:tcBorders>
            <w:hideMark/>
          </w:tcPr>
          <w:p w14:paraId="3E3021F3"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r>
      <w:tr w:rsidR="001332E1" w:rsidRPr="007556A8" w14:paraId="2D4C9B66" w14:textId="77777777" w:rsidTr="00EE5DF9">
        <w:trPr>
          <w:jc w:val="center"/>
        </w:trPr>
        <w:tc>
          <w:tcPr>
            <w:tcW w:w="0" w:type="auto"/>
            <w:hideMark/>
          </w:tcPr>
          <w:p w14:paraId="443F0FB6"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Most Probable Number (MPN/g)</w:t>
            </w:r>
          </w:p>
        </w:tc>
        <w:tc>
          <w:tcPr>
            <w:tcW w:w="0" w:type="auto"/>
            <w:hideMark/>
          </w:tcPr>
          <w:p w14:paraId="424AA04B"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&lt;2</w:t>
            </w:r>
          </w:p>
        </w:tc>
        <w:tc>
          <w:tcPr>
            <w:tcW w:w="0" w:type="auto"/>
            <w:hideMark/>
          </w:tcPr>
          <w:p w14:paraId="43F43BA8"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&lt;3</w:t>
            </w:r>
          </w:p>
        </w:tc>
        <w:tc>
          <w:tcPr>
            <w:tcW w:w="1444" w:type="dxa"/>
            <w:hideMark/>
          </w:tcPr>
          <w:p w14:paraId="0BA170C7"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&lt;3</w:t>
            </w:r>
          </w:p>
        </w:tc>
        <w:tc>
          <w:tcPr>
            <w:tcW w:w="1440" w:type="dxa"/>
            <w:hideMark/>
          </w:tcPr>
          <w:p w14:paraId="4B70467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&lt;3</w:t>
            </w:r>
          </w:p>
        </w:tc>
      </w:tr>
      <w:tr w:rsidR="001332E1" w:rsidRPr="007556A8" w14:paraId="003053A0" w14:textId="77777777" w:rsidTr="00EE5DF9">
        <w:trPr>
          <w:jc w:val="center"/>
        </w:trPr>
        <w:tc>
          <w:tcPr>
            <w:tcW w:w="0" w:type="auto"/>
            <w:hideMark/>
          </w:tcPr>
          <w:p w14:paraId="6EF2732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Coliform Test</w:t>
            </w:r>
          </w:p>
        </w:tc>
        <w:tc>
          <w:tcPr>
            <w:tcW w:w="0" w:type="auto"/>
            <w:hideMark/>
          </w:tcPr>
          <w:p w14:paraId="66390DA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c>
          <w:tcPr>
            <w:tcW w:w="0" w:type="auto"/>
            <w:hideMark/>
          </w:tcPr>
          <w:p w14:paraId="35CE12E4"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c>
          <w:tcPr>
            <w:tcW w:w="1444" w:type="dxa"/>
            <w:hideMark/>
          </w:tcPr>
          <w:p w14:paraId="3DB79064"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c>
          <w:tcPr>
            <w:tcW w:w="1440" w:type="dxa"/>
            <w:hideMark/>
          </w:tcPr>
          <w:p w14:paraId="462B24D2"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r>
      <w:tr w:rsidR="001332E1" w:rsidRPr="007556A8" w14:paraId="16E39240" w14:textId="77777777" w:rsidTr="00EE5DF9">
        <w:trPr>
          <w:jc w:val="center"/>
        </w:trPr>
        <w:tc>
          <w:tcPr>
            <w:tcW w:w="0" w:type="auto"/>
            <w:hideMark/>
          </w:tcPr>
          <w:p w14:paraId="5904D19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Total Plate Count (CFU/g)</w:t>
            </w:r>
          </w:p>
        </w:tc>
        <w:tc>
          <w:tcPr>
            <w:tcW w:w="0" w:type="auto"/>
            <w:hideMark/>
          </w:tcPr>
          <w:p w14:paraId="28E9EECB"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0" w:type="auto"/>
            <w:hideMark/>
          </w:tcPr>
          <w:p w14:paraId="317AAE8C"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4" w:type="dxa"/>
            <w:hideMark/>
          </w:tcPr>
          <w:p w14:paraId="4A8711AB"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0" w:type="dxa"/>
            <w:hideMark/>
          </w:tcPr>
          <w:p w14:paraId="3ABD9AAC"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r>
    </w:tbl>
    <w:p w14:paraId="79BA2759" w14:textId="77777777" w:rsidR="00C506D8" w:rsidRDefault="00C506D8" w:rsidP="002C00FE">
      <w:pPr>
        <w:pStyle w:val="Body"/>
        <w:spacing w:after="0" w:line="360" w:lineRule="auto"/>
        <w:rPr>
          <w:rFonts w:ascii="Arial" w:hAnsi="Arial" w:cs="Arial"/>
        </w:rPr>
      </w:pPr>
    </w:p>
    <w:p w14:paraId="1356E6C8" w14:textId="6003A63D" w:rsidR="00347752" w:rsidRPr="00347752" w:rsidRDefault="00347752" w:rsidP="002C00FE">
      <w:pPr>
        <w:pStyle w:val="Body"/>
        <w:spacing w:after="0" w:line="360" w:lineRule="auto"/>
        <w:rPr>
          <w:rFonts w:ascii="Arial" w:hAnsi="Arial" w:cs="Arial"/>
          <w:bCs/>
          <w:caps/>
          <w:szCs w:val="18"/>
        </w:rPr>
      </w:pPr>
      <w:r w:rsidRPr="00865C7B">
        <w:rPr>
          <w:rFonts w:ascii="Arial" w:hAnsi="Arial" w:cs="Arial"/>
        </w:rPr>
        <w:t>Among the four trial formulations (</w:t>
      </w:r>
      <w:r>
        <w:rPr>
          <w:rFonts w:ascii="Arial" w:hAnsi="Arial" w:cs="Arial"/>
        </w:rPr>
        <w:t xml:space="preserve">Table </w:t>
      </w:r>
      <w:r w:rsidRPr="00865C7B">
        <w:rPr>
          <w:rFonts w:ascii="Arial" w:hAnsi="Arial" w:cs="Arial"/>
        </w:rPr>
        <w:t>1), Sample C demonstrated a balanced enhancement in chemical composition (Table 2) and sensory appeal (Table 3, Table 4) without compromising expected shelf stability (Table 5).</w:t>
      </w:r>
      <w:r>
        <w:rPr>
          <w:rFonts w:ascii="Arial" w:hAnsi="Arial" w:cs="Arial"/>
        </w:rPr>
        <w:t xml:space="preserve"> </w:t>
      </w:r>
      <w:r w:rsidRPr="00865C7B">
        <w:rPr>
          <w:rFonts w:ascii="Arial" w:hAnsi="Arial" w:cs="Arial"/>
        </w:rPr>
        <w:t xml:space="preserve">Compared to the control, Sample C exhibited marginally reduced moisture content (5.00 % vs. 5.01 %), increased protein (18.72 g/100 g vs. 15.48 g/100 g) and fiber (8.16 g/100 g vs. 5.18 g/100 g), and higher ash content (7.30 g/100 g vs. 6.21 g/100 g), indicating a </w:t>
      </w:r>
      <w:r w:rsidRPr="00865C7B">
        <w:rPr>
          <w:rFonts w:ascii="Arial" w:hAnsi="Arial" w:cs="Arial"/>
        </w:rPr>
        <w:lastRenderedPageBreak/>
        <w:t>denser nutrient profile due to the inclusion of soy chunks and oats. While Samples A and B showed further marginal gains in protein (18.74 g/100 g and 18.88 g/100 g, respectively) and fiber (7.69 g/100 g and 8.09 g/100 g), they also retained similar moisture levels (5.03 % and 4.98 %) and lower overall acceptability scores (8.2 ± 0.7 and 8.5 ± 0.6 vs. 8.7 ± 0.5 for Sample C), suggesting a balance between nutritional enrichment and palatability. All samples maintained similar available carbohydrate levels (~60 g/100 g) and energy densities (334–356 kcal/100 g), but only Sample C combined superior proximate metrics with the highest sensory ratings (taste 8.5 ± 0.6, texture 8.2 ± 0.6). Hence, Sample C was selected as the final formulation based on this balanced outcome of proximate analysis and sensory evaluation. For all subsequent characterization and product development, Sample C was compared against the control baseline to quantify improvements attributable to the optimized ingredient blend.</w:t>
      </w:r>
    </w:p>
    <w:p w14:paraId="24243C59" w14:textId="77777777" w:rsidR="00347752" w:rsidRDefault="00347752" w:rsidP="002C00FE">
      <w:pPr>
        <w:pStyle w:val="Body"/>
        <w:spacing w:after="0" w:line="360" w:lineRule="auto"/>
        <w:rPr>
          <w:rFonts w:ascii="Arial" w:hAnsi="Arial" w:cs="Arial"/>
          <w:b/>
          <w:caps/>
          <w:sz w:val="22"/>
        </w:rPr>
      </w:pPr>
    </w:p>
    <w:p w14:paraId="5263EBA2" w14:textId="1065255C" w:rsidR="00C30A0F" w:rsidRDefault="00C30A0F"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 xml:space="preserve">.1 </w:t>
      </w:r>
      <w:r w:rsidR="00095C23">
        <w:rPr>
          <w:rFonts w:ascii="Arial" w:hAnsi="Arial" w:cs="Arial"/>
          <w:b/>
          <w:sz w:val="22"/>
        </w:rPr>
        <w:t xml:space="preserve">Moisture </w:t>
      </w:r>
      <w:r w:rsidR="00A054AF">
        <w:rPr>
          <w:rFonts w:ascii="Arial" w:hAnsi="Arial" w:cs="Arial"/>
          <w:b/>
          <w:sz w:val="22"/>
        </w:rPr>
        <w:t>C</w:t>
      </w:r>
      <w:r w:rsidR="00FA6488">
        <w:rPr>
          <w:rFonts w:ascii="Arial" w:hAnsi="Arial" w:cs="Arial"/>
          <w:b/>
          <w:sz w:val="22"/>
        </w:rPr>
        <w:t>ontent</w:t>
      </w:r>
      <w:r w:rsidRPr="00C30A0F">
        <w:rPr>
          <w:rFonts w:ascii="Arial" w:hAnsi="Arial" w:cs="Arial"/>
          <w:b/>
          <w:sz w:val="22"/>
        </w:rPr>
        <w:t xml:space="preserve"> </w:t>
      </w:r>
    </w:p>
    <w:p w14:paraId="7280D5BB" w14:textId="0244C34C" w:rsidR="00FA6488" w:rsidRDefault="00FA6488" w:rsidP="002C00FE">
      <w:pPr>
        <w:pStyle w:val="Body"/>
        <w:spacing w:after="0" w:line="360" w:lineRule="auto"/>
        <w:jc w:val="center"/>
        <w:rPr>
          <w:rFonts w:ascii="Arial" w:hAnsi="Arial" w:cs="Arial"/>
        </w:rPr>
      </w:pPr>
      <w:r>
        <w:rPr>
          <w:noProof/>
        </w:rPr>
        <w:drawing>
          <wp:inline distT="0" distB="0" distL="0" distR="0" wp14:anchorId="2304E10D" wp14:editId="0D3A6A2C">
            <wp:extent cx="3511615" cy="2321169"/>
            <wp:effectExtent l="0" t="0" r="0" b="3175"/>
            <wp:docPr id="1627629274" name="Picture 9"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4378" cy="2322995"/>
                    </a:xfrm>
                    <a:prstGeom prst="rect">
                      <a:avLst/>
                    </a:prstGeom>
                    <a:noFill/>
                    <a:ln>
                      <a:noFill/>
                    </a:ln>
                  </pic:spPr>
                </pic:pic>
              </a:graphicData>
            </a:graphic>
          </wp:inline>
        </w:drawing>
      </w:r>
    </w:p>
    <w:p w14:paraId="54CFDD21" w14:textId="7C4D5654"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Pr="00FA6488">
        <w:rPr>
          <w:rFonts w:ascii="Arial" w:hAnsi="Arial" w:cs="Arial"/>
          <w:b/>
          <w:bCs/>
          <w:szCs w:val="22"/>
        </w:rPr>
        <w:t xml:space="preserve">Moisture </w:t>
      </w:r>
      <w:r w:rsidR="00452A8F">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1145DC8E" w14:textId="1A2E3021" w:rsidR="00FA6488" w:rsidRDefault="00FA6488" w:rsidP="002C00FE">
      <w:pPr>
        <w:pStyle w:val="Body"/>
        <w:spacing w:after="0" w:line="360" w:lineRule="auto"/>
        <w:rPr>
          <w:rFonts w:ascii="Arial" w:hAnsi="Arial" w:cs="Arial"/>
        </w:rPr>
      </w:pPr>
    </w:p>
    <w:p w14:paraId="75E488D0" w14:textId="5898EC15" w:rsidR="00FA6488" w:rsidRDefault="00FA6488" w:rsidP="002C00FE">
      <w:pPr>
        <w:pStyle w:val="Body"/>
        <w:spacing w:after="0" w:line="360" w:lineRule="auto"/>
        <w:rPr>
          <w:rFonts w:ascii="Arial" w:hAnsi="Arial" w:cs="Arial"/>
        </w:rPr>
      </w:pPr>
      <w:r w:rsidRPr="00FA6488">
        <w:rPr>
          <w:rFonts w:ascii="Arial" w:hAnsi="Arial" w:cs="Arial"/>
        </w:rPr>
        <w:t>The moisture content of RTC dehydrated food products influences shelf stability, microbial safety, and rehydration quality. In this study, all four khichdi formulations recorded moisture values between 4.98% and 5.03%</w:t>
      </w:r>
      <w:r>
        <w:rPr>
          <w:rFonts w:ascii="Arial" w:hAnsi="Arial" w:cs="Arial"/>
        </w:rPr>
        <w:t xml:space="preserve"> (Table 2)</w:t>
      </w:r>
      <w:r w:rsidRPr="00FA6488">
        <w:rPr>
          <w:rFonts w:ascii="Arial" w:hAnsi="Arial" w:cs="Arial"/>
        </w:rPr>
        <w:t>, meeting the critical threshold of ≤5% moisture for shelf-stable mixes. Sample C recorded 5.00%, slightly lower than the control (5.01%), indicating efficient moisture removal during drying. The slight reduction in moisture</w:t>
      </w:r>
      <w:r w:rsidR="00740F0A">
        <w:rPr>
          <w:rFonts w:ascii="Arial" w:hAnsi="Arial" w:cs="Arial"/>
        </w:rPr>
        <w:t xml:space="preserve"> (Fig. </w:t>
      </w:r>
      <w:r w:rsidR="00A831D2">
        <w:rPr>
          <w:rFonts w:ascii="Arial" w:hAnsi="Arial" w:cs="Arial"/>
        </w:rPr>
        <w:t>3</w:t>
      </w:r>
      <w:r w:rsidR="00740F0A">
        <w:rPr>
          <w:rFonts w:ascii="Arial" w:hAnsi="Arial" w:cs="Arial"/>
        </w:rPr>
        <w:t>)</w:t>
      </w:r>
      <w:r w:rsidRPr="00FA6488">
        <w:rPr>
          <w:rFonts w:ascii="Arial" w:hAnsi="Arial" w:cs="Arial"/>
        </w:rPr>
        <w:t xml:space="preserve"> in the other samples, particularly Sample C, is attributed to the presence of dry spices and dehydrated vegetables, which absorb residual moisture during drying and mixing. This outcome is aligned with results from </w:t>
      </w:r>
      <w:proofErr w:type="spellStart"/>
      <w:r w:rsidRPr="00FA6488">
        <w:rPr>
          <w:rFonts w:ascii="Arial" w:hAnsi="Arial" w:cs="Arial"/>
        </w:rPr>
        <w:t>Anila</w:t>
      </w:r>
      <w:proofErr w:type="spellEnd"/>
      <w:r w:rsidRPr="00FA6488">
        <w:rPr>
          <w:rFonts w:ascii="Arial" w:hAnsi="Arial" w:cs="Arial"/>
        </w:rPr>
        <w:t xml:space="preserve"> Kumari et al. (2024), where instant khichdi mixes prepared from pre-treated minor millets demonstrated moisture content ranging from 3.7% to 5.2%, depending on the drying treatment applied.</w:t>
      </w:r>
    </w:p>
    <w:p w14:paraId="4FAF89CE" w14:textId="77777777" w:rsidR="00FA6488" w:rsidRDefault="00FA6488" w:rsidP="002C00FE">
      <w:pPr>
        <w:pStyle w:val="Body"/>
        <w:spacing w:after="0" w:line="360" w:lineRule="auto"/>
        <w:rPr>
          <w:rFonts w:ascii="Arial" w:hAnsi="Arial" w:cs="Arial"/>
        </w:rPr>
      </w:pPr>
    </w:p>
    <w:p w14:paraId="346CC9D1" w14:textId="1B91A80B"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452A8F">
        <w:rPr>
          <w:rFonts w:ascii="Arial" w:hAnsi="Arial" w:cs="Arial"/>
          <w:b/>
          <w:sz w:val="22"/>
        </w:rPr>
        <w:t>Protein</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4C873316" w14:textId="2F628633" w:rsidR="00FA6488" w:rsidRDefault="00452A8F" w:rsidP="002C00FE">
      <w:pPr>
        <w:pStyle w:val="Body"/>
        <w:spacing w:after="0" w:line="360" w:lineRule="auto"/>
        <w:jc w:val="center"/>
        <w:rPr>
          <w:rFonts w:ascii="Arial" w:hAnsi="Arial" w:cs="Arial"/>
        </w:rPr>
      </w:pPr>
      <w:r>
        <w:rPr>
          <w:noProof/>
        </w:rPr>
        <w:lastRenderedPageBreak/>
        <w:drawing>
          <wp:inline distT="0" distB="0" distL="0" distR="0" wp14:anchorId="71C32698" wp14:editId="66AC8DC7">
            <wp:extent cx="3513746" cy="2322576"/>
            <wp:effectExtent l="0" t="0" r="0" b="1905"/>
            <wp:docPr id="686202733" name="Picture 10"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utput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3746" cy="2322576"/>
                    </a:xfrm>
                    <a:prstGeom prst="rect">
                      <a:avLst/>
                    </a:prstGeom>
                    <a:noFill/>
                    <a:ln>
                      <a:noFill/>
                    </a:ln>
                  </pic:spPr>
                </pic:pic>
              </a:graphicData>
            </a:graphic>
          </wp:inline>
        </w:drawing>
      </w:r>
    </w:p>
    <w:p w14:paraId="79BFBCDD" w14:textId="365D73AF" w:rsidR="00FA6488" w:rsidRPr="008247A6"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3</w:t>
      </w:r>
      <w:r>
        <w:rPr>
          <w:rFonts w:ascii="Arial" w:hAnsi="Arial" w:cs="Arial"/>
          <w:b/>
          <w:bCs/>
          <w:szCs w:val="22"/>
        </w:rPr>
        <w:t>.</w:t>
      </w:r>
      <w:r w:rsidRPr="008247A6">
        <w:rPr>
          <w:rFonts w:ascii="Arial" w:hAnsi="Arial" w:cs="Arial"/>
          <w:b/>
          <w:bCs/>
          <w:szCs w:val="22"/>
        </w:rPr>
        <w:t xml:space="preserve"> </w:t>
      </w:r>
      <w:r w:rsidR="00452A8F">
        <w:rPr>
          <w:rFonts w:ascii="Arial" w:hAnsi="Arial" w:cs="Arial"/>
          <w:b/>
          <w:bCs/>
          <w:szCs w:val="22"/>
        </w:rPr>
        <w:t>Protein</w:t>
      </w:r>
      <w:r w:rsidRPr="00FA6488">
        <w:rPr>
          <w:rFonts w:ascii="Arial" w:hAnsi="Arial" w:cs="Arial"/>
          <w:b/>
          <w:bCs/>
          <w:szCs w:val="22"/>
        </w:rPr>
        <w:t xml:space="preserve"> </w:t>
      </w:r>
      <w:r w:rsidR="00452A8F">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3AB405B7" w14:textId="77777777" w:rsidR="00FA6488" w:rsidRDefault="00FA6488" w:rsidP="002C00FE">
      <w:pPr>
        <w:pStyle w:val="Body"/>
        <w:spacing w:after="0" w:line="360" w:lineRule="auto"/>
        <w:rPr>
          <w:rFonts w:ascii="Arial" w:hAnsi="Arial" w:cs="Arial"/>
        </w:rPr>
      </w:pPr>
    </w:p>
    <w:p w14:paraId="7E8A672C" w14:textId="43130599" w:rsidR="00FA6488" w:rsidRDefault="00452A8F" w:rsidP="002C00FE">
      <w:pPr>
        <w:pStyle w:val="Body"/>
        <w:spacing w:after="0" w:line="360" w:lineRule="auto"/>
        <w:rPr>
          <w:rFonts w:ascii="Arial" w:hAnsi="Arial" w:cs="Arial"/>
        </w:rPr>
      </w:pPr>
      <w:r w:rsidRPr="00452A8F">
        <w:rPr>
          <w:rFonts w:ascii="Arial" w:hAnsi="Arial" w:cs="Arial"/>
        </w:rPr>
        <w:t>Protein fortification is a primary objective in formulating plant</w:t>
      </w:r>
      <w:r w:rsidRPr="00452A8F">
        <w:rPr>
          <w:rFonts w:ascii="Cambria Math" w:hAnsi="Cambria Math" w:cs="Cambria Math"/>
        </w:rPr>
        <w:t>‑</w:t>
      </w:r>
      <w:r w:rsidRPr="00452A8F">
        <w:rPr>
          <w:rFonts w:ascii="Arial" w:hAnsi="Arial" w:cs="Arial"/>
        </w:rPr>
        <w:t>based RTC mixes to enhance nutritional value, particularly in vegetarian diets where cereals alone provide suboptimal essential amino acid profiles. In the present study, the protein content of the formulations ranged from 15.48 g/100 g in the control sample to 18.72 g/100 g in Sample C</w:t>
      </w:r>
      <w:r>
        <w:rPr>
          <w:rFonts w:ascii="Arial" w:hAnsi="Arial" w:cs="Arial"/>
        </w:rPr>
        <w:t xml:space="preserve"> (Table 2)</w:t>
      </w:r>
      <w:r w:rsidRPr="00452A8F">
        <w:rPr>
          <w:rFonts w:ascii="Arial" w:hAnsi="Arial" w:cs="Arial"/>
        </w:rPr>
        <w:t>, demonstrating a substantial improvement of nearly 21% over the base formulation</w:t>
      </w:r>
      <w:r w:rsidR="001F386C">
        <w:rPr>
          <w:rFonts w:ascii="Arial" w:hAnsi="Arial" w:cs="Arial"/>
        </w:rPr>
        <w:t xml:space="preserve"> (Fig. </w:t>
      </w:r>
      <w:r w:rsidR="00CA741A">
        <w:rPr>
          <w:rFonts w:ascii="Arial" w:hAnsi="Arial" w:cs="Arial"/>
        </w:rPr>
        <w:t>3)</w:t>
      </w:r>
      <w:r w:rsidRPr="00452A8F">
        <w:rPr>
          <w:rFonts w:ascii="Arial" w:hAnsi="Arial" w:cs="Arial"/>
        </w:rPr>
        <w:t>. This enhancement can be attributed to the strategic incorporation of textured soy protein chunks, possessing a protein concentration of approximately 5</w:t>
      </w:r>
      <w:r>
        <w:rPr>
          <w:rFonts w:ascii="Arial" w:hAnsi="Arial" w:cs="Arial"/>
        </w:rPr>
        <w:t>2</w:t>
      </w:r>
      <w:r w:rsidRPr="00452A8F">
        <w:rPr>
          <w:rFonts w:ascii="Arial" w:hAnsi="Arial" w:cs="Arial"/>
        </w:rPr>
        <w:t>% (Patil et al., 2023), and green gram splits with 20-29% protein</w:t>
      </w:r>
      <w:r>
        <w:rPr>
          <w:rFonts w:ascii="Arial" w:hAnsi="Arial" w:cs="Arial"/>
        </w:rPr>
        <w:t xml:space="preserve"> </w:t>
      </w:r>
      <w:r w:rsidRPr="00452A8F">
        <w:rPr>
          <w:rFonts w:ascii="Arial" w:hAnsi="Arial" w:cs="Arial"/>
        </w:rPr>
        <w:t>(Hou et al., 2019) on a dry basis. Additionally, oats contributed moderate protein content (</w:t>
      </w:r>
      <w:r>
        <w:rPr>
          <w:rFonts w:ascii="Arial" w:hAnsi="Arial" w:cs="Arial"/>
        </w:rPr>
        <w:t xml:space="preserve">around </w:t>
      </w:r>
      <w:r w:rsidRPr="00452A8F">
        <w:rPr>
          <w:rFonts w:ascii="Arial" w:hAnsi="Arial" w:cs="Arial"/>
        </w:rPr>
        <w:t>13%) (</w:t>
      </w:r>
      <w:proofErr w:type="spellStart"/>
      <w:r w:rsidRPr="00452A8F">
        <w:rPr>
          <w:rFonts w:ascii="Arial" w:hAnsi="Arial" w:cs="Arial"/>
        </w:rPr>
        <w:t>Paudel</w:t>
      </w:r>
      <w:proofErr w:type="spellEnd"/>
      <w:r w:rsidRPr="00452A8F">
        <w:rPr>
          <w:rFonts w:ascii="Arial" w:hAnsi="Arial" w:cs="Arial"/>
        </w:rPr>
        <w:t xml:space="preserve"> et al., 2021), cumulatively enriching the formulation. A similar protein enrichment trend was observed by R. Rajeswari &amp; Naik (2023), where instant minor</w:t>
      </w:r>
      <w:r w:rsidRPr="00452A8F">
        <w:rPr>
          <w:rFonts w:ascii="Cambria Math" w:hAnsi="Cambria Math" w:cs="Cambria Math"/>
        </w:rPr>
        <w:t>‑</w:t>
      </w:r>
      <w:r w:rsidRPr="00452A8F">
        <w:rPr>
          <w:rFonts w:ascii="Arial" w:hAnsi="Arial" w:cs="Arial"/>
        </w:rPr>
        <w:t>millet khichdi mixes reached protein levels of 12.09</w:t>
      </w:r>
      <w:r w:rsidR="000501CE">
        <w:rPr>
          <w:rFonts w:ascii="Arial" w:hAnsi="Arial" w:cs="Arial"/>
        </w:rPr>
        <w:t>-</w:t>
      </w:r>
      <w:r w:rsidRPr="00452A8F">
        <w:rPr>
          <w:rFonts w:ascii="Arial" w:hAnsi="Arial" w:cs="Arial"/>
        </w:rPr>
        <w:t>14.79 g/100g</w:t>
      </w:r>
      <w:r>
        <w:rPr>
          <w:rFonts w:ascii="Arial" w:hAnsi="Arial" w:cs="Arial"/>
        </w:rPr>
        <w:t xml:space="preserve"> </w:t>
      </w:r>
      <w:r w:rsidRPr="00452A8F">
        <w:rPr>
          <w:rFonts w:ascii="Arial" w:hAnsi="Arial" w:cs="Arial"/>
        </w:rPr>
        <w:t>depending on grain treatment, with autoclaved and soaked treatments recording the highest values. The partial gelatinization and controlled drying adopted in this study further prevented protein denaturation and textural hardening, commonly encountered in high-protein dry mixes.</w:t>
      </w:r>
    </w:p>
    <w:p w14:paraId="379BF9DE" w14:textId="77777777" w:rsidR="00FA6488" w:rsidRDefault="00FA6488" w:rsidP="002C00FE">
      <w:pPr>
        <w:pStyle w:val="Body"/>
        <w:spacing w:after="0" w:line="360" w:lineRule="auto"/>
        <w:rPr>
          <w:rFonts w:ascii="Arial" w:hAnsi="Arial" w:cs="Arial"/>
        </w:rPr>
      </w:pPr>
    </w:p>
    <w:p w14:paraId="09D62B4B" w14:textId="24D30571"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452A8F">
        <w:rPr>
          <w:rFonts w:ascii="Arial" w:hAnsi="Arial" w:cs="Arial"/>
          <w:b/>
          <w:caps/>
          <w:sz w:val="22"/>
        </w:rPr>
        <w:t>3</w:t>
      </w:r>
      <w:r w:rsidRPr="00C30A0F">
        <w:rPr>
          <w:rFonts w:ascii="Arial" w:hAnsi="Arial" w:cs="Arial"/>
          <w:b/>
          <w:caps/>
          <w:sz w:val="22"/>
        </w:rPr>
        <w:t xml:space="preserve"> </w:t>
      </w:r>
      <w:r w:rsidR="00452A8F">
        <w:rPr>
          <w:rFonts w:ascii="Arial" w:hAnsi="Arial" w:cs="Arial"/>
          <w:b/>
          <w:sz w:val="22"/>
        </w:rPr>
        <w:t>Fat</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78478E72" w14:textId="52150CC0" w:rsidR="00FA6488" w:rsidRDefault="00452A8F" w:rsidP="002C00FE">
      <w:pPr>
        <w:pStyle w:val="Body"/>
        <w:spacing w:after="0" w:line="360" w:lineRule="auto"/>
        <w:jc w:val="center"/>
        <w:rPr>
          <w:rFonts w:ascii="Arial" w:hAnsi="Arial" w:cs="Arial"/>
        </w:rPr>
      </w:pPr>
      <w:r>
        <w:rPr>
          <w:noProof/>
        </w:rPr>
        <w:drawing>
          <wp:inline distT="0" distB="0" distL="0" distR="0" wp14:anchorId="0C97015D" wp14:editId="181BF792">
            <wp:extent cx="3513744" cy="2322576"/>
            <wp:effectExtent l="0" t="0" r="0" b="1905"/>
            <wp:docPr id="381534360" name="Picture 1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utput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2079F210" w14:textId="7794003C"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4</w:t>
      </w:r>
      <w:r>
        <w:rPr>
          <w:rFonts w:ascii="Arial" w:hAnsi="Arial" w:cs="Arial"/>
          <w:b/>
          <w:bCs/>
          <w:szCs w:val="22"/>
        </w:rPr>
        <w:t>.</w:t>
      </w:r>
      <w:r w:rsidRPr="008247A6">
        <w:rPr>
          <w:rFonts w:ascii="Arial" w:hAnsi="Arial" w:cs="Arial"/>
          <w:b/>
          <w:bCs/>
          <w:szCs w:val="22"/>
        </w:rPr>
        <w:t xml:space="preserve"> </w:t>
      </w:r>
      <w:r w:rsidR="00452A8F">
        <w:rPr>
          <w:rFonts w:ascii="Arial" w:hAnsi="Arial" w:cs="Arial"/>
          <w:b/>
          <w:bCs/>
          <w:szCs w:val="22"/>
        </w:rPr>
        <w:t>Fat</w:t>
      </w:r>
      <w:r w:rsidRPr="00FA6488">
        <w:rPr>
          <w:rFonts w:ascii="Arial" w:hAnsi="Arial" w:cs="Arial"/>
          <w:b/>
          <w:bCs/>
          <w:szCs w:val="22"/>
        </w:rPr>
        <w:t xml:space="preserve"> </w:t>
      </w:r>
      <w:r w:rsidR="00452A8F">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01481EB7" w14:textId="77777777" w:rsidR="00FA6488" w:rsidRDefault="00FA6488" w:rsidP="002C00FE">
      <w:pPr>
        <w:pStyle w:val="Body"/>
        <w:spacing w:after="0" w:line="360" w:lineRule="auto"/>
        <w:rPr>
          <w:rFonts w:ascii="Arial" w:hAnsi="Arial" w:cs="Arial"/>
        </w:rPr>
      </w:pPr>
    </w:p>
    <w:p w14:paraId="249F875F" w14:textId="2D8FD668" w:rsidR="00FA6488" w:rsidRDefault="00452A8F" w:rsidP="002C00FE">
      <w:pPr>
        <w:pStyle w:val="Body"/>
        <w:spacing w:after="0" w:line="360" w:lineRule="auto"/>
        <w:rPr>
          <w:rFonts w:ascii="Arial" w:hAnsi="Arial" w:cs="Arial"/>
        </w:rPr>
      </w:pPr>
      <w:r w:rsidRPr="00452A8F">
        <w:rPr>
          <w:rFonts w:ascii="Arial" w:hAnsi="Arial" w:cs="Arial"/>
        </w:rPr>
        <w:lastRenderedPageBreak/>
        <w:t>The fat content of the formulated samples exhibited a modest but meaningful increase</w:t>
      </w:r>
      <w:r w:rsidR="00740F0A">
        <w:rPr>
          <w:rFonts w:ascii="Arial" w:hAnsi="Arial" w:cs="Arial"/>
        </w:rPr>
        <w:t xml:space="preserve"> (Fig. </w:t>
      </w:r>
      <w:r w:rsidR="00CA741A">
        <w:rPr>
          <w:rFonts w:ascii="Arial" w:hAnsi="Arial" w:cs="Arial"/>
        </w:rPr>
        <w:t>4</w:t>
      </w:r>
      <w:r w:rsidR="00740F0A">
        <w:rPr>
          <w:rFonts w:ascii="Arial" w:hAnsi="Arial" w:cs="Arial"/>
        </w:rPr>
        <w:t>)</w:t>
      </w:r>
      <w:r w:rsidRPr="00452A8F">
        <w:rPr>
          <w:rFonts w:ascii="Arial" w:hAnsi="Arial" w:cs="Arial"/>
        </w:rPr>
        <w:t>, ranging from 3.60 g/100 g in the control to 4.19 g/100 g in Sample C</w:t>
      </w:r>
      <w:r>
        <w:rPr>
          <w:rFonts w:ascii="Arial" w:hAnsi="Arial" w:cs="Arial"/>
        </w:rPr>
        <w:t xml:space="preserve"> (Table 2)</w:t>
      </w:r>
      <w:r w:rsidRPr="00452A8F">
        <w:rPr>
          <w:rFonts w:ascii="Arial" w:hAnsi="Arial" w:cs="Arial"/>
        </w:rPr>
        <w:t xml:space="preserve">. This rise correlates directly with the inclusion of oats, soy chunks, and lipid-containing spices such as red </w:t>
      </w:r>
      <w:proofErr w:type="spellStart"/>
      <w:r w:rsidRPr="00452A8F">
        <w:rPr>
          <w:rFonts w:ascii="Arial" w:hAnsi="Arial" w:cs="Arial"/>
        </w:rPr>
        <w:t>chilli</w:t>
      </w:r>
      <w:proofErr w:type="spellEnd"/>
      <w:r w:rsidRPr="00452A8F">
        <w:rPr>
          <w:rFonts w:ascii="Arial" w:hAnsi="Arial" w:cs="Arial"/>
        </w:rPr>
        <w:t xml:space="preserve"> powder and dehydrated vegetables like carrots and peas, all of which contribute to the overall lipid profile of the final product. The observed trend aligns with findings in a study by Rajeswari &amp; Naik (2023), where fat content ranged from 3</w:t>
      </w:r>
      <w:r w:rsidR="000501CE">
        <w:rPr>
          <w:rFonts w:ascii="Arial" w:hAnsi="Arial" w:cs="Arial"/>
        </w:rPr>
        <w:t>.14</w:t>
      </w:r>
      <w:r w:rsidRPr="00452A8F">
        <w:rPr>
          <w:rFonts w:ascii="Arial" w:hAnsi="Arial" w:cs="Arial"/>
        </w:rPr>
        <w:t xml:space="preserve"> % to </w:t>
      </w:r>
      <w:r w:rsidR="000501CE">
        <w:rPr>
          <w:rFonts w:ascii="Arial" w:hAnsi="Arial" w:cs="Arial"/>
        </w:rPr>
        <w:t>3</w:t>
      </w:r>
      <w:r w:rsidRPr="00452A8F">
        <w:rPr>
          <w:rFonts w:ascii="Arial" w:hAnsi="Arial" w:cs="Arial"/>
        </w:rPr>
        <w:t>.</w:t>
      </w:r>
      <w:r w:rsidR="000501CE">
        <w:rPr>
          <w:rFonts w:ascii="Arial" w:hAnsi="Arial" w:cs="Arial"/>
        </w:rPr>
        <w:t>75</w:t>
      </w:r>
      <w:r w:rsidRPr="00452A8F">
        <w:rPr>
          <w:rFonts w:ascii="Arial" w:hAnsi="Arial" w:cs="Arial"/>
        </w:rPr>
        <w:t> % across different millet</w:t>
      </w:r>
      <w:r w:rsidRPr="00452A8F">
        <w:rPr>
          <w:rFonts w:ascii="Cambria Math" w:hAnsi="Cambria Math" w:cs="Cambria Math"/>
        </w:rPr>
        <w:t>‑</w:t>
      </w:r>
      <w:r w:rsidRPr="00452A8F">
        <w:rPr>
          <w:rFonts w:ascii="Arial" w:hAnsi="Arial" w:cs="Arial"/>
        </w:rPr>
        <w:t>based RTC mixes. From a nutritional standpoint, the final fat levels remained within acceptable dietary limits for a light, plant-based main meal option. Notably, the moderate fat contribution from soy chunks and oats not only enhances the nutritional density but also contributes to satiety and palatability, providing desirable mouthfeel and flavor-carrying properties without compromising health standards.</w:t>
      </w:r>
    </w:p>
    <w:p w14:paraId="39815004" w14:textId="77777777" w:rsidR="00FA6488" w:rsidRDefault="00FA6488" w:rsidP="002C00FE">
      <w:pPr>
        <w:pStyle w:val="Body"/>
        <w:spacing w:after="0" w:line="360" w:lineRule="auto"/>
        <w:rPr>
          <w:rFonts w:ascii="Arial" w:hAnsi="Arial" w:cs="Arial"/>
        </w:rPr>
      </w:pPr>
    </w:p>
    <w:p w14:paraId="3DD89C31" w14:textId="7CAA5E09"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0501CE">
        <w:rPr>
          <w:rFonts w:ascii="Arial" w:hAnsi="Arial" w:cs="Arial"/>
          <w:b/>
          <w:caps/>
          <w:sz w:val="22"/>
        </w:rPr>
        <w:t>4</w:t>
      </w:r>
      <w:r w:rsidRPr="00C30A0F">
        <w:rPr>
          <w:rFonts w:ascii="Arial" w:hAnsi="Arial" w:cs="Arial"/>
          <w:b/>
          <w:caps/>
          <w:sz w:val="22"/>
        </w:rPr>
        <w:t xml:space="preserve"> </w:t>
      </w:r>
      <w:r w:rsidR="000501CE">
        <w:rPr>
          <w:rFonts w:ascii="Arial" w:hAnsi="Arial" w:cs="Arial"/>
          <w:b/>
          <w:sz w:val="22"/>
        </w:rPr>
        <w:t>Fiber</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39ECD373" w14:textId="6F9DD3A7" w:rsidR="00FA6488" w:rsidRDefault="000501CE" w:rsidP="002C00FE">
      <w:pPr>
        <w:pStyle w:val="Body"/>
        <w:spacing w:after="0" w:line="360" w:lineRule="auto"/>
        <w:jc w:val="center"/>
        <w:rPr>
          <w:rFonts w:ascii="Arial" w:hAnsi="Arial" w:cs="Arial"/>
        </w:rPr>
      </w:pPr>
      <w:r>
        <w:rPr>
          <w:noProof/>
        </w:rPr>
        <w:drawing>
          <wp:inline distT="0" distB="0" distL="0" distR="0" wp14:anchorId="14CDAA0D" wp14:editId="31017C48">
            <wp:extent cx="3513744" cy="2322576"/>
            <wp:effectExtent l="0" t="0" r="0" b="1905"/>
            <wp:docPr id="418316485" name="Picture 1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utput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2C646583" w14:textId="585EED54"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5</w:t>
      </w:r>
      <w:r>
        <w:rPr>
          <w:rFonts w:ascii="Arial" w:hAnsi="Arial" w:cs="Arial"/>
          <w:b/>
          <w:bCs/>
          <w:szCs w:val="22"/>
        </w:rPr>
        <w:t>.</w:t>
      </w:r>
      <w:r w:rsidRPr="008247A6">
        <w:rPr>
          <w:rFonts w:ascii="Arial" w:hAnsi="Arial" w:cs="Arial"/>
          <w:b/>
          <w:bCs/>
          <w:szCs w:val="22"/>
        </w:rPr>
        <w:t xml:space="preserve"> </w:t>
      </w:r>
      <w:r w:rsidR="000501CE">
        <w:rPr>
          <w:rFonts w:ascii="Arial" w:hAnsi="Arial" w:cs="Arial"/>
          <w:b/>
          <w:bCs/>
          <w:szCs w:val="22"/>
        </w:rPr>
        <w:t xml:space="preserve">Fiber </w:t>
      </w:r>
      <w:r w:rsidR="00A054AF">
        <w:rPr>
          <w:rFonts w:ascii="Arial" w:hAnsi="Arial" w:cs="Arial"/>
          <w:b/>
          <w:bCs/>
          <w:szCs w:val="22"/>
        </w:rPr>
        <w:t>C</w:t>
      </w:r>
      <w:r w:rsidR="000501CE">
        <w:rPr>
          <w:rFonts w:ascii="Arial" w:hAnsi="Arial" w:cs="Arial"/>
          <w:b/>
          <w:bCs/>
          <w:szCs w:val="22"/>
        </w:rPr>
        <w:t>ontent</w:t>
      </w:r>
      <w:r w:rsidRPr="00FA6488">
        <w:rPr>
          <w:rFonts w:ascii="Arial" w:hAnsi="Arial" w:cs="Arial"/>
          <w:b/>
          <w:bCs/>
          <w:szCs w:val="22"/>
        </w:rPr>
        <w:t xml:space="preserve"> of </w:t>
      </w:r>
      <w:r>
        <w:rPr>
          <w:rFonts w:ascii="Arial" w:hAnsi="Arial" w:cs="Arial"/>
          <w:b/>
          <w:bCs/>
          <w:szCs w:val="22"/>
        </w:rPr>
        <w:t>Control, Sample A, Sample B, and Sample C</w:t>
      </w:r>
    </w:p>
    <w:p w14:paraId="2297143B" w14:textId="77777777" w:rsidR="00FA6488" w:rsidRDefault="00FA6488" w:rsidP="002C00FE">
      <w:pPr>
        <w:pStyle w:val="Body"/>
        <w:spacing w:after="0" w:line="360" w:lineRule="auto"/>
        <w:rPr>
          <w:rFonts w:ascii="Arial" w:hAnsi="Arial" w:cs="Arial"/>
        </w:rPr>
      </w:pPr>
    </w:p>
    <w:p w14:paraId="2F1C57DC" w14:textId="702747E7" w:rsidR="00FA6488" w:rsidRDefault="000501CE" w:rsidP="002C00FE">
      <w:pPr>
        <w:pStyle w:val="Body"/>
        <w:spacing w:after="0" w:line="360" w:lineRule="auto"/>
        <w:rPr>
          <w:rFonts w:ascii="Arial" w:hAnsi="Arial" w:cs="Arial"/>
        </w:rPr>
      </w:pPr>
      <w:r w:rsidRPr="000501CE">
        <w:rPr>
          <w:rFonts w:ascii="Arial" w:hAnsi="Arial" w:cs="Arial"/>
        </w:rPr>
        <w:t>Fiber is a key functional component promoting satiety and glycemic control in RTC products. In this study, crude fiber increased</w:t>
      </w:r>
      <w:r w:rsidR="00740F0A">
        <w:rPr>
          <w:rFonts w:ascii="Arial" w:hAnsi="Arial" w:cs="Arial"/>
        </w:rPr>
        <w:t xml:space="preserve"> (Fig. </w:t>
      </w:r>
      <w:r w:rsidR="00CA741A">
        <w:rPr>
          <w:rFonts w:ascii="Arial" w:hAnsi="Arial" w:cs="Arial"/>
        </w:rPr>
        <w:t>5</w:t>
      </w:r>
      <w:r w:rsidR="00740F0A">
        <w:rPr>
          <w:rFonts w:ascii="Arial" w:hAnsi="Arial" w:cs="Arial"/>
        </w:rPr>
        <w:t>)</w:t>
      </w:r>
      <w:r w:rsidRPr="000501CE">
        <w:rPr>
          <w:rFonts w:ascii="Arial" w:hAnsi="Arial" w:cs="Arial"/>
        </w:rPr>
        <w:t xml:space="preserve"> from 5.18 g/100 g in the control to 8.16 g/100 g in Sample C</w:t>
      </w:r>
      <w:r>
        <w:rPr>
          <w:rFonts w:ascii="Arial" w:hAnsi="Arial" w:cs="Arial"/>
        </w:rPr>
        <w:t xml:space="preserve"> (Table 2)</w:t>
      </w:r>
      <w:r w:rsidRPr="000501CE">
        <w:rPr>
          <w:rFonts w:ascii="Arial" w:hAnsi="Arial" w:cs="Arial"/>
        </w:rPr>
        <w:t>. This notable enhancement is due to the incorporation of oats, soy chunks, green gram splits, and dehydrated vegetables, each recognized for their substantial fiber contributions. Oats, in particular, supply both β-glucan soluble fiber and insoluble fractions, offering proven benefits in modulating postprandial glycemia and improving gastrointestinal health (</w:t>
      </w:r>
      <w:proofErr w:type="spellStart"/>
      <w:r w:rsidRPr="000501CE">
        <w:rPr>
          <w:rFonts w:ascii="Arial" w:hAnsi="Arial" w:cs="Arial"/>
        </w:rPr>
        <w:t>Paudel</w:t>
      </w:r>
      <w:proofErr w:type="spellEnd"/>
      <w:r w:rsidRPr="000501CE">
        <w:rPr>
          <w:rFonts w:ascii="Arial" w:hAnsi="Arial" w:cs="Arial"/>
        </w:rPr>
        <w:t xml:space="preserve"> et al., 2021). Additionally, the inclusion of soy chunks, rich in insoluble dietary fiber, further augmented the fiber density of the formulation. Green gram splits and dehydrated vegetables like carrots and peas, subjected to blanching and drying, retained appreciable fiber levels while also contributing to textural integrity and mouthfeel in the reconstituted product. The resultant fiber level in Sample C (8.16 g/100g) surpasses fiber contents reported for some minor-millet instant khichdi by </w:t>
      </w:r>
      <w:r>
        <w:rPr>
          <w:rFonts w:ascii="Arial" w:hAnsi="Arial" w:cs="Arial"/>
        </w:rPr>
        <w:t xml:space="preserve">R. </w:t>
      </w:r>
      <w:r w:rsidRPr="000501CE">
        <w:rPr>
          <w:rFonts w:ascii="Arial" w:hAnsi="Arial" w:cs="Arial"/>
        </w:rPr>
        <w:t>Rajeswari &amp; Naik (2023), where their mixes had fiber contents ranging from 2.48% to 3.52%.</w:t>
      </w:r>
    </w:p>
    <w:p w14:paraId="00604B5B" w14:textId="77777777" w:rsidR="00FA6488" w:rsidRDefault="00FA6488" w:rsidP="002C00FE">
      <w:pPr>
        <w:pStyle w:val="Body"/>
        <w:spacing w:after="0" w:line="360" w:lineRule="auto"/>
        <w:rPr>
          <w:rFonts w:ascii="Arial" w:hAnsi="Arial" w:cs="Arial"/>
        </w:rPr>
      </w:pPr>
    </w:p>
    <w:p w14:paraId="428C5120" w14:textId="7143A5DF"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0501CE">
        <w:rPr>
          <w:rFonts w:ascii="Arial" w:hAnsi="Arial" w:cs="Arial"/>
          <w:b/>
          <w:caps/>
          <w:sz w:val="22"/>
        </w:rPr>
        <w:t>5</w:t>
      </w:r>
      <w:r w:rsidRPr="00C30A0F">
        <w:rPr>
          <w:rFonts w:ascii="Arial" w:hAnsi="Arial" w:cs="Arial"/>
          <w:b/>
          <w:caps/>
          <w:sz w:val="22"/>
        </w:rPr>
        <w:t xml:space="preserve"> </w:t>
      </w:r>
      <w:r w:rsidR="000501CE">
        <w:rPr>
          <w:rFonts w:ascii="Arial" w:hAnsi="Arial" w:cs="Arial"/>
          <w:b/>
          <w:sz w:val="22"/>
        </w:rPr>
        <w:t>Ash</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1C112161" w14:textId="76A4DC3E" w:rsidR="00FA6488" w:rsidRDefault="000501CE" w:rsidP="002C00FE">
      <w:pPr>
        <w:pStyle w:val="Body"/>
        <w:spacing w:after="0" w:line="360" w:lineRule="auto"/>
        <w:jc w:val="center"/>
        <w:rPr>
          <w:rFonts w:ascii="Arial" w:hAnsi="Arial" w:cs="Arial"/>
        </w:rPr>
      </w:pPr>
      <w:r>
        <w:rPr>
          <w:noProof/>
        </w:rPr>
        <w:lastRenderedPageBreak/>
        <w:drawing>
          <wp:inline distT="0" distB="0" distL="0" distR="0" wp14:anchorId="2DA23DB2" wp14:editId="4425A337">
            <wp:extent cx="3513743" cy="2322576"/>
            <wp:effectExtent l="0" t="0" r="0" b="1905"/>
            <wp:docPr id="281625715" name="Picture 1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utput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3743" cy="2322576"/>
                    </a:xfrm>
                    <a:prstGeom prst="rect">
                      <a:avLst/>
                    </a:prstGeom>
                    <a:noFill/>
                    <a:ln>
                      <a:noFill/>
                    </a:ln>
                  </pic:spPr>
                </pic:pic>
              </a:graphicData>
            </a:graphic>
          </wp:inline>
        </w:drawing>
      </w:r>
    </w:p>
    <w:p w14:paraId="583A372A" w14:textId="0987FA64" w:rsidR="00FA6488" w:rsidRPr="008247A6"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6</w:t>
      </w:r>
      <w:r>
        <w:rPr>
          <w:rFonts w:ascii="Arial" w:hAnsi="Arial" w:cs="Arial"/>
          <w:b/>
          <w:bCs/>
          <w:szCs w:val="22"/>
        </w:rPr>
        <w:t>.</w:t>
      </w:r>
      <w:r w:rsidRPr="008247A6">
        <w:rPr>
          <w:rFonts w:ascii="Arial" w:hAnsi="Arial" w:cs="Arial"/>
          <w:b/>
          <w:bCs/>
          <w:szCs w:val="22"/>
        </w:rPr>
        <w:t xml:space="preserve"> </w:t>
      </w:r>
      <w:r w:rsidR="000501CE">
        <w:rPr>
          <w:rFonts w:ascii="Arial" w:hAnsi="Arial" w:cs="Arial"/>
          <w:b/>
          <w:bCs/>
          <w:szCs w:val="22"/>
        </w:rPr>
        <w:t>Ash content</w:t>
      </w:r>
      <w:r w:rsidRPr="00FA6488">
        <w:rPr>
          <w:rFonts w:ascii="Arial" w:hAnsi="Arial" w:cs="Arial"/>
          <w:b/>
          <w:bCs/>
          <w:szCs w:val="22"/>
        </w:rPr>
        <w:t xml:space="preserve"> of </w:t>
      </w:r>
      <w:r>
        <w:rPr>
          <w:rFonts w:ascii="Arial" w:hAnsi="Arial" w:cs="Arial"/>
          <w:b/>
          <w:bCs/>
          <w:szCs w:val="22"/>
        </w:rPr>
        <w:t>Control, Sample A, Sample B, and Sample C</w:t>
      </w:r>
    </w:p>
    <w:p w14:paraId="1556E847" w14:textId="77777777" w:rsidR="00FA6488" w:rsidRDefault="00FA6488" w:rsidP="002C00FE">
      <w:pPr>
        <w:pStyle w:val="Body"/>
        <w:spacing w:after="0" w:line="360" w:lineRule="auto"/>
        <w:rPr>
          <w:rFonts w:ascii="Arial" w:hAnsi="Arial" w:cs="Arial"/>
        </w:rPr>
      </w:pPr>
    </w:p>
    <w:p w14:paraId="6AE0EAF8" w14:textId="2614532C" w:rsidR="00FA6488" w:rsidRPr="00D96461" w:rsidRDefault="000501CE" w:rsidP="002C00FE">
      <w:pPr>
        <w:pStyle w:val="Body"/>
        <w:spacing w:after="0" w:line="360" w:lineRule="auto"/>
        <w:rPr>
          <w:rFonts w:ascii="Arial" w:hAnsi="Arial" w:cs="Arial"/>
        </w:rPr>
      </w:pPr>
      <w:r w:rsidRPr="00D96461">
        <w:rPr>
          <w:rFonts w:ascii="Arial" w:hAnsi="Arial" w:cs="Arial"/>
        </w:rPr>
        <w:t xml:space="preserve">Ash content, which represents the total mineral composition of a food product, is a key indicator of its micronutrient density and nutritional value. In the present study, ash content across the four formulations ranged from 5.26 g/100 g in Sample B to </w:t>
      </w:r>
      <w:r w:rsidR="00CC3A5A" w:rsidRPr="00D96461">
        <w:rPr>
          <w:rFonts w:ascii="Arial" w:hAnsi="Arial" w:cs="Arial"/>
        </w:rPr>
        <w:t>6</w:t>
      </w:r>
      <w:r w:rsidRPr="00D96461">
        <w:rPr>
          <w:rFonts w:ascii="Arial" w:hAnsi="Arial" w:cs="Arial"/>
        </w:rPr>
        <w:t>.</w:t>
      </w:r>
      <w:r w:rsidR="00CC3A5A" w:rsidRPr="00D96461">
        <w:rPr>
          <w:rFonts w:ascii="Arial" w:hAnsi="Arial" w:cs="Arial"/>
        </w:rPr>
        <w:t>21</w:t>
      </w:r>
      <w:r w:rsidRPr="00D96461">
        <w:rPr>
          <w:rFonts w:ascii="Arial" w:hAnsi="Arial" w:cs="Arial"/>
        </w:rPr>
        <w:t xml:space="preserve"> g/100 g in Sample C, with the control having </w:t>
      </w:r>
      <w:r w:rsidR="00CC3A5A" w:rsidRPr="00D96461">
        <w:rPr>
          <w:rFonts w:ascii="Arial" w:hAnsi="Arial" w:cs="Arial"/>
        </w:rPr>
        <w:t>7</w:t>
      </w:r>
      <w:r w:rsidRPr="00D96461">
        <w:rPr>
          <w:rFonts w:ascii="Arial" w:hAnsi="Arial" w:cs="Arial"/>
        </w:rPr>
        <w:t>.</w:t>
      </w:r>
      <w:r w:rsidR="00CC3A5A" w:rsidRPr="00D96461">
        <w:rPr>
          <w:rFonts w:ascii="Arial" w:hAnsi="Arial" w:cs="Arial"/>
        </w:rPr>
        <w:t>30</w:t>
      </w:r>
      <w:r w:rsidRPr="00D96461">
        <w:rPr>
          <w:rFonts w:ascii="Arial" w:hAnsi="Arial" w:cs="Arial"/>
        </w:rPr>
        <w:t xml:space="preserve"> g/100 g (Table 2). </w:t>
      </w:r>
      <w:r w:rsidR="00CC3A5A" w:rsidRPr="00D96461">
        <w:rPr>
          <w:rFonts w:ascii="Arial" w:hAnsi="Arial" w:cs="Arial"/>
        </w:rPr>
        <w:t>The higher ash in the control</w:t>
      </w:r>
      <w:r w:rsidR="00740F0A">
        <w:rPr>
          <w:rFonts w:ascii="Arial" w:hAnsi="Arial" w:cs="Arial"/>
        </w:rPr>
        <w:t xml:space="preserve"> (Fig. </w:t>
      </w:r>
      <w:r w:rsidR="00CA741A">
        <w:rPr>
          <w:rFonts w:ascii="Arial" w:hAnsi="Arial" w:cs="Arial"/>
        </w:rPr>
        <w:t>6</w:t>
      </w:r>
      <w:r w:rsidR="00740F0A">
        <w:rPr>
          <w:rFonts w:ascii="Arial" w:hAnsi="Arial" w:cs="Arial"/>
        </w:rPr>
        <w:t>)</w:t>
      </w:r>
      <w:r w:rsidR="00CC3A5A" w:rsidRPr="00D96461">
        <w:rPr>
          <w:rFonts w:ascii="Arial" w:hAnsi="Arial" w:cs="Arial"/>
        </w:rPr>
        <w:t xml:space="preserve"> might be due to the higher proportion of green gram splits (35g in Control vs 20g in Samples A, B, C), which are a good source of minerals (Hou et al., 2019). While the overall ash content in Sample C is lower than the control, the inclusion of specific ingredients like soy chunks and dehydrated vegetables (carrots, peas) is intended to contribute a diverse range of essential minerals. The dehydration of blanched vegetables, as employed in this study, aims to preserve essential minerals (</w:t>
      </w:r>
      <w:proofErr w:type="spellStart"/>
      <w:r w:rsidR="00CC3A5A" w:rsidRPr="00D96461">
        <w:rPr>
          <w:rFonts w:ascii="Arial" w:hAnsi="Arial" w:cs="Arial"/>
        </w:rPr>
        <w:t>Motegaonkar</w:t>
      </w:r>
      <w:proofErr w:type="spellEnd"/>
      <w:r w:rsidR="00CC3A5A" w:rsidRPr="00D96461">
        <w:rPr>
          <w:rFonts w:ascii="Arial" w:hAnsi="Arial" w:cs="Arial"/>
        </w:rPr>
        <w:t xml:space="preserve"> et al., 2024; Pandey et al., 2019). Achieving a balanced mineral profile is desirable in millet-based functional foods.</w:t>
      </w:r>
    </w:p>
    <w:p w14:paraId="634ECD55" w14:textId="77777777" w:rsidR="00FA6488" w:rsidRDefault="00FA6488" w:rsidP="002C00FE">
      <w:pPr>
        <w:pStyle w:val="Body"/>
        <w:spacing w:after="0" w:line="360" w:lineRule="auto"/>
        <w:rPr>
          <w:rFonts w:ascii="Arial" w:hAnsi="Arial" w:cs="Arial"/>
        </w:rPr>
      </w:pPr>
    </w:p>
    <w:p w14:paraId="6210F2C5" w14:textId="3FC76A65"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CC3A5A">
        <w:rPr>
          <w:rFonts w:ascii="Arial" w:hAnsi="Arial" w:cs="Arial"/>
          <w:b/>
          <w:caps/>
          <w:sz w:val="22"/>
        </w:rPr>
        <w:t>6</w:t>
      </w:r>
      <w:r w:rsidRPr="00C30A0F">
        <w:rPr>
          <w:rFonts w:ascii="Arial" w:hAnsi="Arial" w:cs="Arial"/>
          <w:b/>
          <w:caps/>
          <w:sz w:val="22"/>
        </w:rPr>
        <w:t xml:space="preserve"> </w:t>
      </w:r>
      <w:r w:rsidR="00CC3A5A" w:rsidRPr="00CC3A5A">
        <w:rPr>
          <w:rFonts w:ascii="Arial" w:hAnsi="Arial" w:cs="Arial"/>
          <w:b/>
          <w:bCs/>
          <w:sz w:val="22"/>
          <w:lang w:val="en-IN"/>
        </w:rPr>
        <w:t xml:space="preserve">Available </w:t>
      </w:r>
      <w:r w:rsidR="00A054AF">
        <w:rPr>
          <w:rFonts w:ascii="Arial" w:hAnsi="Arial" w:cs="Arial"/>
          <w:b/>
          <w:bCs/>
          <w:sz w:val="22"/>
          <w:lang w:val="en-IN"/>
        </w:rPr>
        <w:t>C</w:t>
      </w:r>
      <w:r w:rsidR="00CC3A5A" w:rsidRPr="00CC3A5A">
        <w:rPr>
          <w:rFonts w:ascii="Arial" w:hAnsi="Arial" w:cs="Arial"/>
          <w:b/>
          <w:bCs/>
          <w:sz w:val="22"/>
          <w:lang w:val="en-IN"/>
        </w:rPr>
        <w:t>arbohydrates</w:t>
      </w:r>
    </w:p>
    <w:p w14:paraId="3F3E5EAF" w14:textId="3459890F" w:rsidR="00FA6488" w:rsidRDefault="00CC3A5A" w:rsidP="002C00FE">
      <w:pPr>
        <w:pStyle w:val="Body"/>
        <w:spacing w:after="0" w:line="360" w:lineRule="auto"/>
        <w:jc w:val="center"/>
        <w:rPr>
          <w:rFonts w:ascii="Arial" w:hAnsi="Arial" w:cs="Arial"/>
        </w:rPr>
      </w:pPr>
      <w:r>
        <w:rPr>
          <w:noProof/>
        </w:rPr>
        <w:drawing>
          <wp:inline distT="0" distB="0" distL="0" distR="0" wp14:anchorId="69EBC855" wp14:editId="15715473">
            <wp:extent cx="3513744" cy="2322576"/>
            <wp:effectExtent l="0" t="0" r="0" b="1905"/>
            <wp:docPr id="226683450" name="Picture 1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utput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56C347B9" w14:textId="16FE79D2" w:rsidR="00FA6488" w:rsidRPr="008247A6"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7</w:t>
      </w:r>
      <w:r>
        <w:rPr>
          <w:rFonts w:ascii="Arial" w:hAnsi="Arial" w:cs="Arial"/>
          <w:b/>
          <w:bCs/>
          <w:szCs w:val="22"/>
        </w:rPr>
        <w:t>.</w:t>
      </w:r>
      <w:r w:rsidRPr="008247A6">
        <w:rPr>
          <w:rFonts w:ascii="Arial" w:hAnsi="Arial" w:cs="Arial"/>
          <w:b/>
          <w:bCs/>
          <w:szCs w:val="22"/>
        </w:rPr>
        <w:t xml:space="preserve"> </w:t>
      </w:r>
      <w:r w:rsidR="00CC3A5A">
        <w:rPr>
          <w:rFonts w:ascii="Arial" w:hAnsi="Arial" w:cs="Arial"/>
          <w:b/>
          <w:bCs/>
          <w:szCs w:val="22"/>
        </w:rPr>
        <w:t>Available &amp; total carbohydrates</w:t>
      </w:r>
      <w:r w:rsidRPr="00FA6488">
        <w:rPr>
          <w:rFonts w:ascii="Arial" w:hAnsi="Arial" w:cs="Arial"/>
          <w:b/>
          <w:bCs/>
          <w:szCs w:val="22"/>
        </w:rPr>
        <w:t xml:space="preserve"> of </w:t>
      </w:r>
      <w:r>
        <w:rPr>
          <w:rFonts w:ascii="Arial" w:hAnsi="Arial" w:cs="Arial"/>
          <w:b/>
          <w:bCs/>
          <w:szCs w:val="22"/>
        </w:rPr>
        <w:t>Control, Sample A, Sample B, and Sample C</w:t>
      </w:r>
    </w:p>
    <w:p w14:paraId="451EE438" w14:textId="77777777" w:rsidR="00FA6488" w:rsidRDefault="00FA6488" w:rsidP="002C00FE">
      <w:pPr>
        <w:pStyle w:val="Body"/>
        <w:spacing w:after="0" w:line="360" w:lineRule="auto"/>
        <w:rPr>
          <w:rFonts w:ascii="Arial" w:hAnsi="Arial" w:cs="Arial"/>
        </w:rPr>
      </w:pPr>
    </w:p>
    <w:p w14:paraId="57BDC763" w14:textId="264FE83D" w:rsidR="00FA6488" w:rsidRDefault="00CC3A5A" w:rsidP="002C00FE">
      <w:pPr>
        <w:pStyle w:val="Body"/>
        <w:spacing w:after="0" w:line="360" w:lineRule="auto"/>
        <w:rPr>
          <w:rFonts w:ascii="Arial" w:hAnsi="Arial" w:cs="Arial"/>
        </w:rPr>
      </w:pPr>
      <w:r w:rsidRPr="00EC1430">
        <w:t>Available carbohydrates, calculated by difference (total mass minus moisture, protein, fat, fiber, and ash), remained stable across formulations</w:t>
      </w:r>
      <w:r w:rsidR="00D96461">
        <w:t xml:space="preserve"> (Fig. </w:t>
      </w:r>
      <w:r w:rsidR="00CA741A">
        <w:t>7</w:t>
      </w:r>
      <w:r w:rsidR="00D96461">
        <w:t>)</w:t>
      </w:r>
      <w:r w:rsidRPr="00EC1430">
        <w:t>, ranging from 60.03 g/100 g (Sample C) to 60.63 g/100 g (Sample B).</w:t>
      </w:r>
      <w:r>
        <w:t xml:space="preserve"> </w:t>
      </w:r>
      <w:r w:rsidRPr="00950570">
        <w:t xml:space="preserve">This stability can be primarily attributed to the dominant starch fractions contributed by </w:t>
      </w:r>
      <w:r>
        <w:t>F</w:t>
      </w:r>
      <w:r w:rsidRPr="00950570">
        <w:t>oxtail millet (</w:t>
      </w:r>
      <w:proofErr w:type="spellStart"/>
      <w:r w:rsidRPr="00EC1430">
        <w:rPr>
          <w:i/>
          <w:iCs/>
        </w:rPr>
        <w:t>Setaria</w:t>
      </w:r>
      <w:proofErr w:type="spellEnd"/>
      <w:r w:rsidRPr="00EC1430">
        <w:rPr>
          <w:i/>
          <w:iCs/>
        </w:rPr>
        <w:t xml:space="preserve"> </w:t>
      </w:r>
      <w:proofErr w:type="spellStart"/>
      <w:r w:rsidRPr="00EC1430">
        <w:rPr>
          <w:i/>
          <w:iCs/>
        </w:rPr>
        <w:t>italica</w:t>
      </w:r>
      <w:proofErr w:type="spellEnd"/>
      <w:r w:rsidRPr="00950570">
        <w:t xml:space="preserve">) and </w:t>
      </w:r>
      <w:r>
        <w:t>O</w:t>
      </w:r>
      <w:r w:rsidRPr="00950570">
        <w:t>ats (</w:t>
      </w:r>
      <w:proofErr w:type="spellStart"/>
      <w:r w:rsidRPr="00EC1430">
        <w:rPr>
          <w:i/>
          <w:iCs/>
        </w:rPr>
        <w:t>Avena</w:t>
      </w:r>
      <w:proofErr w:type="spellEnd"/>
      <w:r w:rsidRPr="00EC1430">
        <w:rPr>
          <w:i/>
          <w:iCs/>
        </w:rPr>
        <w:t xml:space="preserve"> sativa</w:t>
      </w:r>
      <w:r w:rsidRPr="00950570">
        <w:t xml:space="preserve">), </w:t>
      </w:r>
      <w:r w:rsidRPr="00950570">
        <w:lastRenderedPageBreak/>
        <w:t>which together constitute 50 % of the formulation’s mass</w:t>
      </w:r>
      <w:r>
        <w:t xml:space="preserve"> </w:t>
      </w:r>
      <w:r w:rsidRPr="00CC3A5A">
        <w:rPr>
          <w:rFonts w:ascii="Arial" w:hAnsi="Arial" w:cs="Arial"/>
        </w:rPr>
        <w:t>in Samples A, B, and C. These grains are rich in complex carbohydrates. The minor variations are due to the differing levels of protein, fat, fiber, and ash from other ingredients like green gram splits, soy chunks, and vegetables. These values are comparable to those reported by Rajeswari &amp; Naik (2023) for instant multi-millet khichdi mixes, which had carbohydrate contents around 73</w:t>
      </w:r>
      <w:r>
        <w:rPr>
          <w:rFonts w:ascii="Arial" w:hAnsi="Arial" w:cs="Arial"/>
        </w:rPr>
        <w:t>.99</w:t>
      </w:r>
      <w:r w:rsidRPr="00CC3A5A">
        <w:rPr>
          <w:rFonts w:ascii="Arial" w:hAnsi="Arial" w:cs="Arial"/>
        </w:rPr>
        <w:t>-79</w:t>
      </w:r>
      <w:r>
        <w:rPr>
          <w:rFonts w:ascii="Arial" w:hAnsi="Arial" w:cs="Arial"/>
        </w:rPr>
        <w:t>.74</w:t>
      </w:r>
      <w:r w:rsidRPr="00CC3A5A">
        <w:rPr>
          <w:rFonts w:ascii="Arial" w:hAnsi="Arial" w:cs="Arial"/>
        </w:rPr>
        <w:t>%, though their calculation method might differ (e.g., not subtracting fiber for available carbs).</w:t>
      </w:r>
      <w:r w:rsidRPr="00CC3A5A">
        <w:rPr>
          <w:rFonts w:ascii="Arial" w:hAnsi="Arial" w:cs="Arial"/>
        </w:rPr>
        <w:br/>
      </w:r>
    </w:p>
    <w:p w14:paraId="24ADC263" w14:textId="5F51E28B" w:rsidR="00FA6488" w:rsidRDefault="00CC3A5A" w:rsidP="002C00FE">
      <w:pPr>
        <w:pStyle w:val="Body"/>
        <w:spacing w:after="0" w:line="360" w:lineRule="auto"/>
        <w:rPr>
          <w:rFonts w:ascii="Arial" w:hAnsi="Arial" w:cs="Arial"/>
          <w:b/>
          <w:caps/>
        </w:rPr>
      </w:pPr>
      <w:r w:rsidRPr="00CC3A5A">
        <w:rPr>
          <w:rFonts w:ascii="Arial" w:hAnsi="Arial" w:cs="Arial"/>
          <w:b/>
          <w:sz w:val="22"/>
        </w:rPr>
        <w:t xml:space="preserve">3.7 Total </w:t>
      </w:r>
      <w:r w:rsidR="00A054AF">
        <w:rPr>
          <w:rFonts w:ascii="Arial" w:hAnsi="Arial" w:cs="Arial"/>
          <w:b/>
          <w:sz w:val="22"/>
        </w:rPr>
        <w:t>C</w:t>
      </w:r>
      <w:r w:rsidRPr="00CC3A5A">
        <w:rPr>
          <w:rFonts w:ascii="Arial" w:hAnsi="Arial" w:cs="Arial"/>
          <w:b/>
          <w:sz w:val="22"/>
        </w:rPr>
        <w:t>arbohydrates</w:t>
      </w:r>
    </w:p>
    <w:p w14:paraId="48D52029" w14:textId="77777777" w:rsidR="00FA6488" w:rsidRDefault="00FA6488" w:rsidP="002C00FE">
      <w:pPr>
        <w:pStyle w:val="Body"/>
        <w:spacing w:after="0" w:line="360" w:lineRule="auto"/>
        <w:rPr>
          <w:rFonts w:ascii="Arial" w:hAnsi="Arial" w:cs="Arial"/>
        </w:rPr>
      </w:pPr>
    </w:p>
    <w:p w14:paraId="36D82451" w14:textId="3F7C0DE4" w:rsidR="00FA6488" w:rsidRDefault="00D96461" w:rsidP="002C00FE">
      <w:pPr>
        <w:pStyle w:val="Body"/>
        <w:spacing w:after="0" w:line="360" w:lineRule="auto"/>
        <w:rPr>
          <w:rFonts w:ascii="Arial" w:hAnsi="Arial" w:cs="Arial"/>
        </w:rPr>
      </w:pPr>
      <w:r w:rsidRPr="00D96461">
        <w:rPr>
          <w:rFonts w:ascii="Arial" w:hAnsi="Arial" w:cs="Arial"/>
          <w:lang w:val="en-IN"/>
        </w:rPr>
        <w:t xml:space="preserve">When total carbohydrates, considering both available carbohydrates and dietary </w:t>
      </w:r>
      <w:proofErr w:type="spellStart"/>
      <w:r w:rsidRPr="00D96461">
        <w:rPr>
          <w:rFonts w:ascii="Arial" w:hAnsi="Arial" w:cs="Arial"/>
          <w:lang w:val="en-IN"/>
        </w:rPr>
        <w:t>fiber</w:t>
      </w:r>
      <w:proofErr w:type="spellEnd"/>
      <w:r w:rsidRPr="00D96461">
        <w:rPr>
          <w:rFonts w:ascii="Arial" w:hAnsi="Arial" w:cs="Arial"/>
          <w:lang w:val="en-IN"/>
        </w:rPr>
        <w:t>, were assessed, an upward trend</w:t>
      </w:r>
      <w:r>
        <w:rPr>
          <w:rFonts w:ascii="Arial" w:hAnsi="Arial" w:cs="Arial"/>
          <w:lang w:val="en-IN"/>
        </w:rPr>
        <w:t xml:space="preserve"> (Fig. </w:t>
      </w:r>
      <w:r w:rsidR="00CA741A">
        <w:rPr>
          <w:rFonts w:ascii="Arial" w:hAnsi="Arial" w:cs="Arial"/>
          <w:lang w:val="en-IN"/>
        </w:rPr>
        <w:t>7</w:t>
      </w:r>
      <w:r>
        <w:rPr>
          <w:rFonts w:ascii="Arial" w:hAnsi="Arial" w:cs="Arial"/>
          <w:lang w:val="en-IN"/>
        </w:rPr>
        <w:t>)</w:t>
      </w:r>
      <w:r w:rsidRPr="00D96461">
        <w:rPr>
          <w:rFonts w:ascii="Arial" w:hAnsi="Arial" w:cs="Arial"/>
          <w:lang w:val="en-IN"/>
        </w:rPr>
        <w:t xml:space="preserve"> was observed across the formulations, ranging from 65.32 g/100 g in the control to 68.72 g/100 g in Sample B and 68.19 g/100 g in Sample C</w:t>
      </w:r>
      <w:r>
        <w:rPr>
          <w:rFonts w:ascii="Arial" w:hAnsi="Arial" w:cs="Arial"/>
          <w:lang w:val="en-IN"/>
        </w:rPr>
        <w:t xml:space="preserve"> (Table 2)</w:t>
      </w:r>
      <w:r w:rsidRPr="00D96461">
        <w:rPr>
          <w:rFonts w:ascii="Arial" w:hAnsi="Arial" w:cs="Arial"/>
          <w:lang w:val="en-IN"/>
        </w:rPr>
        <w:t xml:space="preserve">. </w:t>
      </w:r>
      <w:r w:rsidRPr="00D96461">
        <w:rPr>
          <w:rFonts w:ascii="Arial" w:hAnsi="Arial" w:cs="Arial"/>
        </w:rPr>
        <w:t>This increase is principally attributed to the integration of fiber-dense ingredients, notably oats (</w:t>
      </w:r>
      <w:proofErr w:type="spellStart"/>
      <w:r w:rsidRPr="00D96461">
        <w:rPr>
          <w:rFonts w:ascii="Arial" w:hAnsi="Arial" w:cs="Arial"/>
        </w:rPr>
        <w:t>Paudel</w:t>
      </w:r>
      <w:proofErr w:type="spellEnd"/>
      <w:r w:rsidRPr="00D96461">
        <w:rPr>
          <w:rFonts w:ascii="Arial" w:hAnsi="Arial" w:cs="Arial"/>
        </w:rPr>
        <w:t xml:space="preserve"> et al., 2021), soy chunks (Patil et al., 2023), a higher proportion of foxtail millet relative to green gram splits, and dehydrated vegetables in Samples A, B, and C compared to the control's higher green gram content.</w:t>
      </w:r>
      <w:r w:rsidRPr="00D96461">
        <w:rPr>
          <w:rFonts w:ascii="Arial" w:hAnsi="Arial" w:cs="Arial"/>
          <w:lang w:val="en-IN"/>
        </w:rPr>
        <w:t xml:space="preserve"> These total carbohydrate values align with the study by Rajeswari &amp; Naik (2023). </w:t>
      </w:r>
      <w:r w:rsidRPr="00D96461">
        <w:rPr>
          <w:rFonts w:ascii="Arial" w:hAnsi="Arial" w:cs="Arial"/>
        </w:rPr>
        <w:t>Notably, the increase in fiber content contributes to the higher total carbohydrate value without compromising the proportion of digestible carbohydrates significantly, thereby preserving the energy density</w:t>
      </w:r>
      <w:r w:rsidRPr="00D96461">
        <w:rPr>
          <w:rFonts w:ascii="Arial" w:hAnsi="Arial" w:cs="Arial"/>
          <w:lang w:val="en-IN"/>
        </w:rPr>
        <w:t xml:space="preserve"> (334–356 kcal/100 g) across all formulations</w:t>
      </w:r>
      <w:r>
        <w:rPr>
          <w:rFonts w:ascii="Arial" w:hAnsi="Arial" w:cs="Arial"/>
          <w:lang w:val="en-IN"/>
        </w:rPr>
        <w:t xml:space="preserve"> (Table 2)</w:t>
      </w:r>
      <w:r w:rsidRPr="00D96461">
        <w:rPr>
          <w:rFonts w:ascii="Arial" w:hAnsi="Arial" w:cs="Arial"/>
          <w:lang w:val="en-IN"/>
        </w:rPr>
        <w:t>.</w:t>
      </w:r>
    </w:p>
    <w:p w14:paraId="60BFEACB" w14:textId="77777777" w:rsidR="00FA6488" w:rsidRDefault="00FA6488" w:rsidP="002C00FE">
      <w:pPr>
        <w:pStyle w:val="Body"/>
        <w:spacing w:after="0" w:line="360" w:lineRule="auto"/>
        <w:rPr>
          <w:rFonts w:ascii="Arial" w:hAnsi="Arial" w:cs="Arial"/>
        </w:rPr>
      </w:pPr>
    </w:p>
    <w:p w14:paraId="0AE2AC72" w14:textId="2194D96A"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D96461">
        <w:rPr>
          <w:rFonts w:ascii="Arial" w:hAnsi="Arial" w:cs="Arial"/>
          <w:b/>
          <w:caps/>
          <w:sz w:val="22"/>
        </w:rPr>
        <w:t>8</w:t>
      </w:r>
      <w:r w:rsidRPr="00C30A0F">
        <w:rPr>
          <w:rFonts w:ascii="Arial" w:hAnsi="Arial" w:cs="Arial"/>
          <w:b/>
          <w:caps/>
          <w:sz w:val="22"/>
        </w:rPr>
        <w:t xml:space="preserve"> </w:t>
      </w:r>
      <w:r w:rsidR="00D96461">
        <w:rPr>
          <w:rFonts w:ascii="Arial" w:hAnsi="Arial" w:cs="Arial"/>
          <w:b/>
          <w:sz w:val="22"/>
        </w:rPr>
        <w:t>Sodium</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00D96461">
        <w:rPr>
          <w:rFonts w:ascii="Arial" w:hAnsi="Arial" w:cs="Arial"/>
          <w:b/>
          <w:sz w:val="22"/>
        </w:rPr>
        <w:t xml:space="preserve"> </w:t>
      </w:r>
      <w:r w:rsidRPr="00C30A0F">
        <w:rPr>
          <w:rFonts w:ascii="Arial" w:hAnsi="Arial" w:cs="Arial"/>
          <w:b/>
          <w:sz w:val="22"/>
        </w:rPr>
        <w:t xml:space="preserve"> </w:t>
      </w:r>
    </w:p>
    <w:p w14:paraId="34FE3FA6" w14:textId="40EAE7EF" w:rsidR="00FA6488" w:rsidRDefault="00D96461" w:rsidP="002C00FE">
      <w:pPr>
        <w:pStyle w:val="Body"/>
        <w:spacing w:after="0" w:line="360" w:lineRule="auto"/>
        <w:jc w:val="center"/>
        <w:rPr>
          <w:rFonts w:ascii="Arial" w:hAnsi="Arial" w:cs="Arial"/>
        </w:rPr>
      </w:pPr>
      <w:r>
        <w:rPr>
          <w:noProof/>
        </w:rPr>
        <w:drawing>
          <wp:inline distT="0" distB="0" distL="0" distR="0" wp14:anchorId="0ED08183" wp14:editId="70052F37">
            <wp:extent cx="3513744" cy="2322576"/>
            <wp:effectExtent l="0" t="0" r="0" b="1905"/>
            <wp:docPr id="1806102410"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utput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5EE93FB1" w14:textId="365F6232"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8</w:t>
      </w:r>
      <w:r>
        <w:rPr>
          <w:rFonts w:ascii="Arial" w:hAnsi="Arial" w:cs="Arial"/>
          <w:b/>
          <w:bCs/>
          <w:szCs w:val="22"/>
        </w:rPr>
        <w:t>.</w:t>
      </w:r>
      <w:r w:rsidRPr="008247A6">
        <w:rPr>
          <w:rFonts w:ascii="Arial" w:hAnsi="Arial" w:cs="Arial"/>
          <w:b/>
          <w:bCs/>
          <w:szCs w:val="22"/>
        </w:rPr>
        <w:t xml:space="preserve"> </w:t>
      </w:r>
      <w:r w:rsidR="00D96461">
        <w:rPr>
          <w:rFonts w:ascii="Arial" w:hAnsi="Arial" w:cs="Arial"/>
          <w:b/>
          <w:bCs/>
          <w:szCs w:val="22"/>
        </w:rPr>
        <w:t>Sodium</w:t>
      </w:r>
      <w:r w:rsidRPr="00FA6488">
        <w:rPr>
          <w:rFonts w:ascii="Arial" w:hAnsi="Arial" w:cs="Arial"/>
          <w:b/>
          <w:bCs/>
          <w:szCs w:val="22"/>
        </w:rPr>
        <w:t xml:space="preserve"> </w:t>
      </w:r>
      <w:r w:rsidR="00D96461">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353D4414" w14:textId="77777777" w:rsidR="00FA6488" w:rsidRDefault="00FA6488" w:rsidP="002C00FE">
      <w:pPr>
        <w:pStyle w:val="Body"/>
        <w:spacing w:after="0" w:line="360" w:lineRule="auto"/>
        <w:rPr>
          <w:rFonts w:ascii="Arial" w:hAnsi="Arial" w:cs="Arial"/>
        </w:rPr>
      </w:pPr>
    </w:p>
    <w:p w14:paraId="158C0A99" w14:textId="0169F44F" w:rsidR="00FA6488" w:rsidRDefault="00D96461" w:rsidP="002C00FE">
      <w:pPr>
        <w:pStyle w:val="Body"/>
        <w:spacing w:after="0" w:line="360" w:lineRule="auto"/>
        <w:rPr>
          <w:rFonts w:ascii="Arial" w:hAnsi="Arial" w:cs="Arial"/>
        </w:rPr>
      </w:pPr>
      <w:r w:rsidRPr="00D96461">
        <w:rPr>
          <w:rFonts w:ascii="Arial" w:hAnsi="Arial" w:cs="Arial"/>
        </w:rPr>
        <w:t xml:space="preserve">Sodium content varied significantly across the formulations </w:t>
      </w:r>
      <w:r w:rsidR="00740F0A">
        <w:rPr>
          <w:rFonts w:ascii="Arial" w:hAnsi="Arial" w:cs="Arial"/>
        </w:rPr>
        <w:t xml:space="preserve">(Fig. </w:t>
      </w:r>
      <w:r w:rsidR="00CA741A">
        <w:rPr>
          <w:rFonts w:ascii="Arial" w:hAnsi="Arial" w:cs="Arial"/>
        </w:rPr>
        <w:t>8</w:t>
      </w:r>
      <w:r w:rsidR="00740F0A">
        <w:rPr>
          <w:rFonts w:ascii="Arial" w:hAnsi="Arial" w:cs="Arial"/>
        </w:rPr>
        <w:t xml:space="preserve">) </w:t>
      </w:r>
      <w:r w:rsidRPr="00D96461">
        <w:rPr>
          <w:rFonts w:ascii="Arial" w:hAnsi="Arial" w:cs="Arial"/>
        </w:rPr>
        <w:t xml:space="preserve">owing to different levels of added salt and Monosodium Glutamate (MSG) (Table 1). The </w:t>
      </w:r>
      <w:r>
        <w:rPr>
          <w:rFonts w:ascii="Arial" w:hAnsi="Arial" w:cs="Arial"/>
        </w:rPr>
        <w:t>C</w:t>
      </w:r>
      <w:r w:rsidRPr="00D96461">
        <w:rPr>
          <w:rFonts w:ascii="Arial" w:hAnsi="Arial" w:cs="Arial"/>
        </w:rPr>
        <w:t xml:space="preserve">ontrol, with 5g salt/100g, had the highest sodium content at 1965.00 mg/100g (Table 2). Sample A (2g salt, 1g MSG) had 909.00 mg/100g. Sample B (1.5g salt, 1g MSG) had the lowest at 712.50 mg/100g. The final optimized formulation, Sample C, contained 2.5g salt and 0.55g MSG per 100g, resulting in a sodium content of 1050.15 mg/100g (Table 2). While the control approaches a high-sodium profile, the formulation strategy in Sample C successfully reduced sodium by nearly 47% compared to the control, via optimized salt and MSG blending, without sensory compromise, as demonstrated by acceptable </w:t>
      </w:r>
      <w:r>
        <w:rPr>
          <w:rFonts w:ascii="Arial" w:hAnsi="Arial" w:cs="Arial"/>
        </w:rPr>
        <w:t>Just-About-Right (</w:t>
      </w:r>
      <w:r w:rsidRPr="00D96461">
        <w:rPr>
          <w:rFonts w:ascii="Arial" w:hAnsi="Arial" w:cs="Arial"/>
        </w:rPr>
        <w:t>JAR</w:t>
      </w:r>
      <w:r>
        <w:rPr>
          <w:rFonts w:ascii="Arial" w:hAnsi="Arial" w:cs="Arial"/>
        </w:rPr>
        <w:t>)</w:t>
      </w:r>
      <w:r w:rsidRPr="00D96461">
        <w:rPr>
          <w:rFonts w:ascii="Arial" w:hAnsi="Arial" w:cs="Arial"/>
        </w:rPr>
        <w:t xml:space="preserve"> saltiness ratings (Table 4).</w:t>
      </w:r>
    </w:p>
    <w:p w14:paraId="5E5382C3" w14:textId="77777777" w:rsidR="00505F06" w:rsidRDefault="00505F06" w:rsidP="002C00FE">
      <w:pPr>
        <w:pStyle w:val="Body"/>
        <w:spacing w:after="0" w:line="360" w:lineRule="auto"/>
        <w:rPr>
          <w:rFonts w:ascii="Arial" w:hAnsi="Arial" w:cs="Arial"/>
        </w:rPr>
      </w:pPr>
    </w:p>
    <w:p w14:paraId="2E530255" w14:textId="2248F819" w:rsidR="00740F0A" w:rsidRDefault="00740F0A" w:rsidP="002C00FE">
      <w:pPr>
        <w:pStyle w:val="Body"/>
        <w:spacing w:after="0" w:line="360" w:lineRule="auto"/>
        <w:rPr>
          <w:rFonts w:ascii="Arial" w:hAnsi="Arial" w:cs="Arial"/>
          <w:b/>
          <w:caps/>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9</w:t>
      </w:r>
      <w:r w:rsidRPr="00C30A0F">
        <w:rPr>
          <w:rFonts w:ascii="Arial" w:hAnsi="Arial" w:cs="Arial"/>
          <w:b/>
          <w:caps/>
          <w:sz w:val="22"/>
        </w:rPr>
        <w:t xml:space="preserve"> </w:t>
      </w:r>
      <w:r>
        <w:rPr>
          <w:rFonts w:ascii="Arial" w:hAnsi="Arial" w:cs="Arial"/>
          <w:b/>
          <w:sz w:val="22"/>
        </w:rPr>
        <w:t xml:space="preserve">Sensory </w:t>
      </w:r>
      <w:r w:rsidR="00A054AF">
        <w:rPr>
          <w:rFonts w:ascii="Arial" w:hAnsi="Arial" w:cs="Arial"/>
          <w:b/>
          <w:sz w:val="22"/>
        </w:rPr>
        <w:t>E</w:t>
      </w:r>
      <w:r>
        <w:rPr>
          <w:rFonts w:ascii="Arial" w:hAnsi="Arial" w:cs="Arial"/>
          <w:b/>
          <w:sz w:val="22"/>
        </w:rPr>
        <w:t xml:space="preserve">valuation </w:t>
      </w:r>
      <w:r w:rsidRPr="00C30A0F">
        <w:rPr>
          <w:rFonts w:ascii="Arial" w:hAnsi="Arial" w:cs="Arial"/>
          <w:b/>
          <w:sz w:val="22"/>
        </w:rPr>
        <w:t xml:space="preserve"> </w:t>
      </w:r>
    </w:p>
    <w:p w14:paraId="418D43FB" w14:textId="14B81B5C" w:rsidR="00740F0A" w:rsidRDefault="00183030" w:rsidP="002C00FE">
      <w:pPr>
        <w:pStyle w:val="Body"/>
        <w:spacing w:after="0" w:line="360" w:lineRule="auto"/>
        <w:jc w:val="center"/>
        <w:rPr>
          <w:rFonts w:ascii="Arial" w:hAnsi="Arial" w:cs="Arial"/>
        </w:rPr>
      </w:pPr>
      <w:r>
        <w:rPr>
          <w:noProof/>
        </w:rPr>
        <w:drawing>
          <wp:inline distT="0" distB="0" distL="0" distR="0" wp14:anchorId="75FE4A9F" wp14:editId="3781AA6D">
            <wp:extent cx="3896150" cy="2322576"/>
            <wp:effectExtent l="0" t="0" r="0" b="1905"/>
            <wp:docPr id="35344308"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tput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6150" cy="2322576"/>
                    </a:xfrm>
                    <a:prstGeom prst="rect">
                      <a:avLst/>
                    </a:prstGeom>
                    <a:noFill/>
                    <a:ln>
                      <a:noFill/>
                    </a:ln>
                  </pic:spPr>
                </pic:pic>
              </a:graphicData>
            </a:graphic>
          </wp:inline>
        </w:drawing>
      </w:r>
    </w:p>
    <w:p w14:paraId="7BFA4CB8" w14:textId="4A6FE853" w:rsidR="00740F0A" w:rsidRDefault="00740F0A"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9</w:t>
      </w:r>
      <w:r>
        <w:rPr>
          <w:rFonts w:ascii="Arial" w:hAnsi="Arial" w:cs="Arial"/>
          <w:b/>
          <w:bCs/>
          <w:szCs w:val="22"/>
        </w:rPr>
        <w:t>.</w:t>
      </w:r>
      <w:r w:rsidRPr="008247A6">
        <w:rPr>
          <w:rFonts w:ascii="Arial" w:hAnsi="Arial" w:cs="Arial"/>
          <w:b/>
          <w:bCs/>
          <w:szCs w:val="22"/>
        </w:rPr>
        <w:t xml:space="preserve"> </w:t>
      </w:r>
      <w:r w:rsidR="00183030">
        <w:rPr>
          <w:rFonts w:ascii="Arial" w:hAnsi="Arial" w:cs="Arial"/>
          <w:b/>
          <w:bCs/>
          <w:szCs w:val="22"/>
        </w:rPr>
        <w:t>9-point Hedonic scale sensory attributes</w:t>
      </w:r>
      <w:r w:rsidRPr="00FA6488">
        <w:rPr>
          <w:rFonts w:ascii="Arial" w:hAnsi="Arial" w:cs="Arial"/>
          <w:b/>
          <w:bCs/>
          <w:szCs w:val="22"/>
        </w:rPr>
        <w:t xml:space="preserve"> of </w:t>
      </w:r>
      <w:r>
        <w:rPr>
          <w:rFonts w:ascii="Arial" w:hAnsi="Arial" w:cs="Arial"/>
          <w:b/>
          <w:bCs/>
          <w:szCs w:val="22"/>
        </w:rPr>
        <w:t>Control, Sample A, Sample B, and Sample C</w:t>
      </w:r>
    </w:p>
    <w:p w14:paraId="60C6CA6C" w14:textId="77777777" w:rsidR="00183030" w:rsidRPr="00183030" w:rsidRDefault="00183030" w:rsidP="002C00FE">
      <w:pPr>
        <w:autoSpaceDE w:val="0"/>
        <w:autoSpaceDN w:val="0"/>
        <w:adjustRightInd w:val="0"/>
        <w:spacing w:line="360" w:lineRule="auto"/>
        <w:jc w:val="both"/>
        <w:rPr>
          <w:rFonts w:ascii="Arial" w:hAnsi="Arial" w:cs="Arial"/>
          <w:b/>
          <w:bCs/>
          <w:szCs w:val="22"/>
        </w:rPr>
      </w:pPr>
    </w:p>
    <w:p w14:paraId="0E3C7CDF" w14:textId="24DDC28D" w:rsidR="00183030" w:rsidRDefault="00183030" w:rsidP="002C00FE">
      <w:pPr>
        <w:pStyle w:val="Body"/>
        <w:spacing w:after="0" w:line="360" w:lineRule="auto"/>
        <w:jc w:val="center"/>
        <w:rPr>
          <w:rFonts w:ascii="Arial" w:hAnsi="Arial" w:cs="Arial"/>
        </w:rPr>
      </w:pPr>
      <w:r>
        <w:rPr>
          <w:noProof/>
        </w:rPr>
        <w:drawing>
          <wp:inline distT="0" distB="0" distL="0" distR="0" wp14:anchorId="6A7D5344" wp14:editId="64F052CF">
            <wp:extent cx="3896150" cy="2322576"/>
            <wp:effectExtent l="0" t="0" r="0" b="1905"/>
            <wp:docPr id="480296722"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put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6150" cy="2322576"/>
                    </a:xfrm>
                    <a:prstGeom prst="rect">
                      <a:avLst/>
                    </a:prstGeom>
                    <a:noFill/>
                    <a:ln>
                      <a:noFill/>
                    </a:ln>
                  </pic:spPr>
                </pic:pic>
              </a:graphicData>
            </a:graphic>
          </wp:inline>
        </w:drawing>
      </w:r>
    </w:p>
    <w:p w14:paraId="22FE88FA" w14:textId="7D963961" w:rsidR="00183030" w:rsidRPr="008247A6" w:rsidRDefault="00183030"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00CA741A">
        <w:rPr>
          <w:rFonts w:ascii="Arial" w:hAnsi="Arial" w:cs="Arial"/>
          <w:b/>
          <w:bCs/>
          <w:szCs w:val="22"/>
        </w:rPr>
        <w:t>0</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Just-About-Right scale sensory attributes</w:t>
      </w:r>
      <w:r w:rsidRPr="00FA6488">
        <w:rPr>
          <w:rFonts w:ascii="Arial" w:hAnsi="Arial" w:cs="Arial"/>
          <w:b/>
          <w:bCs/>
          <w:szCs w:val="22"/>
        </w:rPr>
        <w:t xml:space="preserve"> of </w:t>
      </w:r>
      <w:r>
        <w:rPr>
          <w:rFonts w:ascii="Arial" w:hAnsi="Arial" w:cs="Arial"/>
          <w:b/>
          <w:bCs/>
          <w:szCs w:val="22"/>
        </w:rPr>
        <w:t>Control, Sample A, Sample B, and Sample C</w:t>
      </w:r>
    </w:p>
    <w:p w14:paraId="782EB85D" w14:textId="77777777" w:rsidR="00183030" w:rsidRPr="00183030" w:rsidRDefault="00183030" w:rsidP="002C00FE">
      <w:pPr>
        <w:spacing w:line="360" w:lineRule="auto"/>
        <w:rPr>
          <w:i/>
        </w:rPr>
      </w:pPr>
    </w:p>
    <w:p w14:paraId="1A509CBB" w14:textId="3F4AA0BF" w:rsidR="00665278" w:rsidRDefault="00665278" w:rsidP="002C00FE">
      <w:pPr>
        <w:pStyle w:val="Body"/>
        <w:spacing w:after="0" w:line="360" w:lineRule="auto"/>
        <w:rPr>
          <w:rFonts w:ascii="Arial" w:hAnsi="Arial" w:cs="Arial"/>
          <w:lang w:val="en-IN"/>
        </w:rPr>
      </w:pPr>
      <w:r w:rsidRPr="00665278">
        <w:rPr>
          <w:rFonts w:ascii="Arial" w:hAnsi="Arial" w:cs="Arial"/>
          <w:lang w:val="en-IN"/>
        </w:rPr>
        <w:t xml:space="preserve">Sensory evaluation was conducted using both a 9-point Hedonic </w:t>
      </w:r>
      <w:r>
        <w:rPr>
          <w:rFonts w:ascii="Arial" w:hAnsi="Arial" w:cs="Arial"/>
          <w:lang w:val="en-IN"/>
        </w:rPr>
        <w:t xml:space="preserve">scale </w:t>
      </w:r>
      <w:r w:rsidRPr="00665278">
        <w:rPr>
          <w:rFonts w:ascii="Arial" w:hAnsi="Arial" w:cs="Arial"/>
        </w:rPr>
        <w:t>(</w:t>
      </w:r>
      <w:proofErr w:type="spellStart"/>
      <w:r w:rsidRPr="00665278">
        <w:rPr>
          <w:rFonts w:ascii="Arial" w:hAnsi="Arial" w:cs="Arial"/>
        </w:rPr>
        <w:t>Meilgaard</w:t>
      </w:r>
      <w:proofErr w:type="spellEnd"/>
      <w:r w:rsidRPr="00665278">
        <w:rPr>
          <w:rFonts w:ascii="Arial" w:hAnsi="Arial" w:cs="Arial"/>
        </w:rPr>
        <w:t xml:space="preserve"> et al., 1999)</w:t>
      </w:r>
      <w:r>
        <w:rPr>
          <w:rFonts w:ascii="Arial" w:hAnsi="Arial" w:cs="Arial"/>
        </w:rPr>
        <w:t xml:space="preserve"> </w:t>
      </w:r>
      <w:r w:rsidRPr="00665278">
        <w:rPr>
          <w:rFonts w:ascii="Arial" w:hAnsi="Arial" w:cs="Arial"/>
          <w:lang w:val="en-IN"/>
        </w:rPr>
        <w:t xml:space="preserve">and a Just-About-Right (JAR) scale </w:t>
      </w:r>
      <w:r w:rsidRPr="00665278">
        <w:rPr>
          <w:rFonts w:ascii="Arial" w:hAnsi="Arial" w:cs="Arial"/>
        </w:rPr>
        <w:t>(Li et al., 2014)</w:t>
      </w:r>
      <w:r>
        <w:rPr>
          <w:rFonts w:ascii="Arial" w:hAnsi="Arial" w:cs="Arial"/>
        </w:rPr>
        <w:t xml:space="preserve"> </w:t>
      </w:r>
      <w:r w:rsidRPr="00665278">
        <w:rPr>
          <w:rFonts w:ascii="Arial" w:hAnsi="Arial" w:cs="Arial"/>
          <w:lang w:val="en-IN"/>
        </w:rPr>
        <w:t xml:space="preserve">among 30 semi-trained </w:t>
      </w:r>
      <w:proofErr w:type="spellStart"/>
      <w:r w:rsidRPr="00665278">
        <w:rPr>
          <w:rFonts w:ascii="Arial" w:hAnsi="Arial" w:cs="Arial"/>
          <w:lang w:val="en-IN"/>
        </w:rPr>
        <w:t>panelists</w:t>
      </w:r>
      <w:proofErr w:type="spellEnd"/>
      <w:r>
        <w:rPr>
          <w:rFonts w:ascii="Arial" w:hAnsi="Arial" w:cs="Arial"/>
          <w:lang w:val="en-IN"/>
        </w:rPr>
        <w:t xml:space="preserve"> </w:t>
      </w:r>
      <w:r w:rsidRPr="00665278">
        <w:rPr>
          <w:rFonts w:ascii="Arial" w:hAnsi="Arial" w:cs="Arial"/>
          <w:lang w:val="en-IN"/>
        </w:rPr>
        <w:t>from the MIT School of Food Technology at MIT ADT University, Pune, Maharashtra, India. Samples were prepared by boiling 200 g of product with 2000 mL of water and cooking on medium</w:t>
      </w:r>
      <w:r w:rsidRPr="00665278">
        <w:rPr>
          <w:rFonts w:ascii="Cambria Math" w:hAnsi="Cambria Math" w:cs="Cambria Math"/>
          <w:lang w:val="en-IN"/>
        </w:rPr>
        <w:t>‑</w:t>
      </w:r>
      <w:r w:rsidRPr="00665278">
        <w:rPr>
          <w:rFonts w:ascii="Arial" w:hAnsi="Arial" w:cs="Arial"/>
          <w:lang w:val="en-IN"/>
        </w:rPr>
        <w:t>high flame for precisely 10 minutes, then served in coded plates (Control, A, B, C) for sensory evaluation. The</w:t>
      </w:r>
      <w:r>
        <w:rPr>
          <w:rFonts w:ascii="Arial" w:hAnsi="Arial" w:cs="Arial"/>
          <w:lang w:val="en-IN"/>
        </w:rPr>
        <w:t xml:space="preserve"> </w:t>
      </w:r>
      <w:proofErr w:type="spellStart"/>
      <w:r>
        <w:rPr>
          <w:rFonts w:ascii="Arial" w:hAnsi="Arial" w:cs="Arial"/>
          <w:lang w:val="en-IN"/>
        </w:rPr>
        <w:t>panelists</w:t>
      </w:r>
      <w:proofErr w:type="spellEnd"/>
      <w:r w:rsidRPr="00665278">
        <w:rPr>
          <w:rFonts w:ascii="Arial" w:hAnsi="Arial" w:cs="Arial"/>
          <w:lang w:val="en-IN"/>
        </w:rPr>
        <w:t xml:space="preserve"> received written instructions and rated appearance, aroma, texture, taste/</w:t>
      </w:r>
      <w:proofErr w:type="spellStart"/>
      <w:r w:rsidRPr="00665278">
        <w:rPr>
          <w:rFonts w:ascii="Arial" w:hAnsi="Arial" w:cs="Arial"/>
          <w:lang w:val="en-IN"/>
        </w:rPr>
        <w:t>flavor</w:t>
      </w:r>
      <w:proofErr w:type="spellEnd"/>
      <w:r w:rsidRPr="00665278">
        <w:rPr>
          <w:rFonts w:ascii="Arial" w:hAnsi="Arial" w:cs="Arial"/>
          <w:lang w:val="en-IN"/>
        </w:rPr>
        <w:t>, and overall acceptability on a 9</w:t>
      </w:r>
      <w:r w:rsidRPr="00665278">
        <w:rPr>
          <w:rFonts w:ascii="Cambria Math" w:hAnsi="Cambria Math" w:cs="Cambria Math"/>
          <w:lang w:val="en-IN"/>
        </w:rPr>
        <w:t>‑</w:t>
      </w:r>
      <w:r w:rsidRPr="00665278">
        <w:rPr>
          <w:rFonts w:ascii="Arial" w:hAnsi="Arial" w:cs="Arial"/>
          <w:lang w:val="en-IN"/>
        </w:rPr>
        <w:t>point hedonic scale (</w:t>
      </w:r>
      <w:bookmarkStart w:id="2" w:name="_Hlk199192998"/>
      <w:r w:rsidRPr="00665278">
        <w:rPr>
          <w:rFonts w:ascii="Arial" w:hAnsi="Arial" w:cs="Arial"/>
          <w:lang w:val="en-IN"/>
        </w:rPr>
        <w:t>1= dislike extremely, 2 = dislike very much, 3 = dislike moderately, 4 = dislike slightly, 5 = neither like, nor dislike, 6 = like slightly, 7 = like moderately, 8 = like very much, 9 = like extremely</w:t>
      </w:r>
      <w:bookmarkEnd w:id="2"/>
      <w:r w:rsidRPr="00665278">
        <w:rPr>
          <w:rFonts w:ascii="Arial" w:hAnsi="Arial" w:cs="Arial"/>
          <w:lang w:val="en-IN"/>
        </w:rPr>
        <w:t xml:space="preserve">) according to </w:t>
      </w:r>
      <w:proofErr w:type="spellStart"/>
      <w:r w:rsidRPr="00665278">
        <w:rPr>
          <w:rFonts w:ascii="Arial" w:hAnsi="Arial" w:cs="Arial"/>
          <w:lang w:val="en-IN"/>
        </w:rPr>
        <w:t>Meilgaard</w:t>
      </w:r>
      <w:proofErr w:type="spellEnd"/>
      <w:r w:rsidRPr="00665278">
        <w:rPr>
          <w:rFonts w:ascii="Arial" w:hAnsi="Arial" w:cs="Arial"/>
          <w:lang w:val="en-IN"/>
        </w:rPr>
        <w:t xml:space="preserve"> et al. (1999). Following hedonic scoring, </w:t>
      </w:r>
      <w:proofErr w:type="spellStart"/>
      <w:r w:rsidRPr="00665278">
        <w:rPr>
          <w:rFonts w:ascii="Arial" w:hAnsi="Arial" w:cs="Arial"/>
          <w:lang w:val="en-IN"/>
        </w:rPr>
        <w:t>panelists</w:t>
      </w:r>
      <w:proofErr w:type="spellEnd"/>
      <w:r w:rsidRPr="00665278">
        <w:rPr>
          <w:rFonts w:ascii="Arial" w:hAnsi="Arial" w:cs="Arial"/>
          <w:lang w:val="en-IN"/>
        </w:rPr>
        <w:t xml:space="preserve"> also used a Just</w:t>
      </w:r>
      <w:r w:rsidRPr="00665278">
        <w:rPr>
          <w:rFonts w:ascii="Cambria Math" w:hAnsi="Cambria Math" w:cs="Cambria Math"/>
          <w:lang w:val="en-IN"/>
        </w:rPr>
        <w:t>‑</w:t>
      </w:r>
      <w:r w:rsidRPr="00665278">
        <w:rPr>
          <w:rFonts w:ascii="Arial" w:hAnsi="Arial" w:cs="Arial"/>
          <w:lang w:val="en-IN"/>
        </w:rPr>
        <w:t>About</w:t>
      </w:r>
      <w:r w:rsidRPr="00665278">
        <w:rPr>
          <w:rFonts w:ascii="Cambria Math" w:hAnsi="Cambria Math" w:cs="Cambria Math"/>
          <w:lang w:val="en-IN"/>
        </w:rPr>
        <w:t>‑</w:t>
      </w:r>
      <w:r w:rsidRPr="00665278">
        <w:rPr>
          <w:rFonts w:ascii="Arial" w:hAnsi="Arial" w:cs="Arial"/>
          <w:lang w:val="en-IN"/>
        </w:rPr>
        <w:t xml:space="preserve">Right (JAR) scale (1 = too weak/low, 2 = just about right, 3 = too strong/high) to assess saltiness, spiciness, texture firmness, and </w:t>
      </w:r>
      <w:proofErr w:type="spellStart"/>
      <w:r w:rsidRPr="00665278">
        <w:rPr>
          <w:rFonts w:ascii="Arial" w:hAnsi="Arial" w:cs="Arial"/>
          <w:lang w:val="en-IN"/>
        </w:rPr>
        <w:t>color</w:t>
      </w:r>
      <w:proofErr w:type="spellEnd"/>
      <w:r w:rsidRPr="00665278">
        <w:rPr>
          <w:rFonts w:ascii="Arial" w:hAnsi="Arial" w:cs="Arial"/>
          <w:lang w:val="en-IN"/>
        </w:rPr>
        <w:t xml:space="preserve"> intensity (Li et al., 2014). Sample C consistently recorded the highest hedonic scores </w:t>
      </w:r>
      <w:r>
        <w:rPr>
          <w:rFonts w:ascii="Arial" w:hAnsi="Arial" w:cs="Arial"/>
          <w:lang w:val="en-IN"/>
        </w:rPr>
        <w:t xml:space="preserve">(Fig. </w:t>
      </w:r>
      <w:r w:rsidR="00CA741A">
        <w:rPr>
          <w:rFonts w:ascii="Arial" w:hAnsi="Arial" w:cs="Arial"/>
          <w:lang w:val="en-IN"/>
        </w:rPr>
        <w:t>9</w:t>
      </w:r>
      <w:r>
        <w:rPr>
          <w:rFonts w:ascii="Arial" w:hAnsi="Arial" w:cs="Arial"/>
          <w:lang w:val="en-IN"/>
        </w:rPr>
        <w:t xml:space="preserve">) </w:t>
      </w:r>
      <w:r w:rsidRPr="00665278">
        <w:rPr>
          <w:rFonts w:ascii="Arial" w:hAnsi="Arial" w:cs="Arial"/>
          <w:lang w:val="en-IN"/>
        </w:rPr>
        <w:t xml:space="preserve">across all evaluated parameters. It achieved mean values of 8.3 ± 0.5 for </w:t>
      </w:r>
      <w:proofErr w:type="spellStart"/>
      <w:r w:rsidRPr="00665278">
        <w:rPr>
          <w:rFonts w:ascii="Arial" w:hAnsi="Arial" w:cs="Arial"/>
          <w:lang w:val="en-IN"/>
        </w:rPr>
        <w:t>color</w:t>
      </w:r>
      <w:proofErr w:type="spellEnd"/>
      <w:r w:rsidRPr="00665278">
        <w:rPr>
          <w:rFonts w:ascii="Arial" w:hAnsi="Arial" w:cs="Arial"/>
          <w:lang w:val="en-IN"/>
        </w:rPr>
        <w:t xml:space="preserve">, 8.4 ± 0.5 for taste, 8.2 ± 0.5 for texture, 8.3 ± 0.5 for </w:t>
      </w:r>
      <w:proofErr w:type="spellStart"/>
      <w:r w:rsidRPr="00665278">
        <w:rPr>
          <w:rFonts w:ascii="Arial" w:hAnsi="Arial" w:cs="Arial"/>
          <w:lang w:val="en-IN"/>
        </w:rPr>
        <w:t>flavor</w:t>
      </w:r>
      <w:proofErr w:type="spellEnd"/>
      <w:r w:rsidRPr="00665278">
        <w:rPr>
          <w:rFonts w:ascii="Arial" w:hAnsi="Arial" w:cs="Arial"/>
          <w:lang w:val="en-IN"/>
        </w:rPr>
        <w:t>, and 8.4 ± 0.5 for overall acceptability</w:t>
      </w:r>
      <w:r>
        <w:rPr>
          <w:rFonts w:ascii="Arial" w:hAnsi="Arial" w:cs="Arial"/>
          <w:lang w:val="en-IN"/>
        </w:rPr>
        <w:t xml:space="preserve"> (Table 3)</w:t>
      </w:r>
      <w:r w:rsidRPr="00665278">
        <w:rPr>
          <w:rFonts w:ascii="Arial" w:hAnsi="Arial" w:cs="Arial"/>
          <w:lang w:val="en-IN"/>
        </w:rPr>
        <w:t xml:space="preserve">. In comparison, Sample B showed moderately high scores (7.3–7.7), followed by Sample A (6.7–7.3), while the Control registered the lowest scores (5.0–5.8), highlighting the influence of the peri-peri spice blend, </w:t>
      </w:r>
      <w:r w:rsidRPr="00665278">
        <w:rPr>
          <w:rFonts w:ascii="Arial" w:hAnsi="Arial" w:cs="Arial"/>
          <w:lang w:val="en-IN"/>
        </w:rPr>
        <w:lastRenderedPageBreak/>
        <w:t>dehydrated vegetables, and soy-oats fortification on sensory quality. The JAR scale ratings further reinforced these findings</w:t>
      </w:r>
      <w:r>
        <w:rPr>
          <w:rFonts w:ascii="Arial" w:hAnsi="Arial" w:cs="Arial"/>
          <w:lang w:val="en-IN"/>
        </w:rPr>
        <w:t xml:space="preserve"> (Fig. 1</w:t>
      </w:r>
      <w:r w:rsidR="00CA741A">
        <w:rPr>
          <w:rFonts w:ascii="Arial" w:hAnsi="Arial" w:cs="Arial"/>
          <w:lang w:val="en-IN"/>
        </w:rPr>
        <w:t>0</w:t>
      </w:r>
      <w:r>
        <w:rPr>
          <w:rFonts w:ascii="Arial" w:hAnsi="Arial" w:cs="Arial"/>
          <w:lang w:val="en-IN"/>
        </w:rPr>
        <w:t>)</w:t>
      </w:r>
      <w:r w:rsidRPr="00665278">
        <w:rPr>
          <w:rFonts w:ascii="Arial" w:hAnsi="Arial" w:cs="Arial"/>
          <w:lang w:val="en-IN"/>
        </w:rPr>
        <w:t xml:space="preserve">. Sample C approached the ideal values most closely for saltiness (2.6 ± 0.3), spiciness (2.8 ± 0.2), texture firmness (2.6 ± 0.4), and </w:t>
      </w:r>
      <w:proofErr w:type="spellStart"/>
      <w:r w:rsidRPr="00665278">
        <w:rPr>
          <w:rFonts w:ascii="Arial" w:hAnsi="Arial" w:cs="Arial"/>
          <w:lang w:val="en-IN"/>
        </w:rPr>
        <w:t>color</w:t>
      </w:r>
      <w:proofErr w:type="spellEnd"/>
      <w:r w:rsidRPr="00665278">
        <w:rPr>
          <w:rFonts w:ascii="Arial" w:hAnsi="Arial" w:cs="Arial"/>
          <w:lang w:val="en-IN"/>
        </w:rPr>
        <w:t xml:space="preserve"> intensity (2.5 ± 0.3). Notably, Sample B, while acceptable in firmness and </w:t>
      </w:r>
      <w:proofErr w:type="spellStart"/>
      <w:r w:rsidRPr="00665278">
        <w:rPr>
          <w:rFonts w:ascii="Arial" w:hAnsi="Arial" w:cs="Arial"/>
          <w:lang w:val="en-IN"/>
        </w:rPr>
        <w:t>color</w:t>
      </w:r>
      <w:proofErr w:type="spellEnd"/>
      <w:r w:rsidRPr="00665278">
        <w:rPr>
          <w:rFonts w:ascii="Arial" w:hAnsi="Arial" w:cs="Arial"/>
          <w:lang w:val="en-IN"/>
        </w:rPr>
        <w:t>, was rated lower in saltiness (1.7 ± 0.5) and spiciness (2.3 ± 0.3), indicating an under-seasoned perception</w:t>
      </w:r>
      <w:r>
        <w:rPr>
          <w:rFonts w:ascii="Arial" w:hAnsi="Arial" w:cs="Arial"/>
          <w:lang w:val="en-IN"/>
        </w:rPr>
        <w:t xml:space="preserve"> (Table 4)</w:t>
      </w:r>
      <w:r w:rsidRPr="00665278">
        <w:rPr>
          <w:rFonts w:ascii="Arial" w:hAnsi="Arial" w:cs="Arial"/>
          <w:lang w:val="en-IN"/>
        </w:rPr>
        <w:t xml:space="preserve">. Sample A and the Control displayed further deviations from ideal values, particularly in spiciness and </w:t>
      </w:r>
      <w:proofErr w:type="spellStart"/>
      <w:r w:rsidRPr="00665278">
        <w:rPr>
          <w:rFonts w:ascii="Arial" w:hAnsi="Arial" w:cs="Arial"/>
          <w:lang w:val="en-IN"/>
        </w:rPr>
        <w:t>color</w:t>
      </w:r>
      <w:proofErr w:type="spellEnd"/>
      <w:r w:rsidRPr="00665278">
        <w:rPr>
          <w:rFonts w:ascii="Arial" w:hAnsi="Arial" w:cs="Arial"/>
          <w:lang w:val="en-IN"/>
        </w:rPr>
        <w:t xml:space="preserve"> intensity. These outcomes indicate that Sample C not only met but surpassed sensory acceptability thresholds essential for ready-to-cook </w:t>
      </w:r>
      <w:proofErr w:type="spellStart"/>
      <w:r w:rsidRPr="00665278">
        <w:rPr>
          <w:rFonts w:ascii="Arial" w:hAnsi="Arial" w:cs="Arial"/>
          <w:lang w:val="en-IN"/>
        </w:rPr>
        <w:t>savory</w:t>
      </w:r>
      <w:proofErr w:type="spellEnd"/>
      <w:r w:rsidRPr="00665278">
        <w:rPr>
          <w:rFonts w:ascii="Arial" w:hAnsi="Arial" w:cs="Arial"/>
          <w:lang w:val="en-IN"/>
        </w:rPr>
        <w:t xml:space="preserve"> products, particularly within the emerging health-food segment. Future research may explore consumer validation through hedonic mapping or preference-ranking tests in diverse demographic groups to confirm cross-market potential.</w:t>
      </w:r>
    </w:p>
    <w:p w14:paraId="6DC4E397" w14:textId="77777777" w:rsidR="00665278" w:rsidRDefault="00665278" w:rsidP="002C00FE">
      <w:pPr>
        <w:pStyle w:val="Body"/>
        <w:spacing w:after="0" w:line="360" w:lineRule="auto"/>
        <w:rPr>
          <w:rFonts w:ascii="Arial" w:hAnsi="Arial" w:cs="Arial"/>
          <w:lang w:val="en-IN"/>
        </w:rPr>
      </w:pPr>
    </w:p>
    <w:p w14:paraId="32CE2880" w14:textId="0EC2E3B9" w:rsidR="00665278" w:rsidRDefault="0066527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Pr>
          <w:rFonts w:ascii="Arial" w:hAnsi="Arial" w:cs="Arial"/>
          <w:b/>
          <w:caps/>
          <w:sz w:val="22"/>
        </w:rPr>
        <w:t>10</w:t>
      </w:r>
      <w:r w:rsidRPr="00C30A0F">
        <w:rPr>
          <w:rFonts w:ascii="Arial" w:hAnsi="Arial" w:cs="Arial"/>
          <w:b/>
          <w:caps/>
          <w:sz w:val="22"/>
        </w:rPr>
        <w:t xml:space="preserve"> </w:t>
      </w:r>
      <w:r>
        <w:rPr>
          <w:rFonts w:ascii="Arial" w:hAnsi="Arial" w:cs="Arial"/>
          <w:b/>
          <w:sz w:val="22"/>
        </w:rPr>
        <w:t xml:space="preserve">Microbiological Analysis </w:t>
      </w:r>
      <w:r w:rsidRPr="00C30A0F">
        <w:rPr>
          <w:rFonts w:ascii="Arial" w:hAnsi="Arial" w:cs="Arial"/>
          <w:b/>
          <w:sz w:val="22"/>
        </w:rPr>
        <w:t xml:space="preserve"> </w:t>
      </w:r>
    </w:p>
    <w:p w14:paraId="238D83BC" w14:textId="77777777" w:rsidR="00665278" w:rsidRDefault="00665278" w:rsidP="002C00FE">
      <w:pPr>
        <w:pStyle w:val="Body"/>
        <w:spacing w:after="0" w:line="360" w:lineRule="auto"/>
        <w:rPr>
          <w:rFonts w:ascii="Arial" w:hAnsi="Arial" w:cs="Arial"/>
        </w:rPr>
      </w:pPr>
    </w:p>
    <w:p w14:paraId="30B51522" w14:textId="60363608" w:rsidR="00665278" w:rsidRPr="00665278" w:rsidRDefault="007556A8" w:rsidP="002C00FE">
      <w:pPr>
        <w:pStyle w:val="Body"/>
        <w:spacing w:after="0" w:line="360" w:lineRule="auto"/>
        <w:rPr>
          <w:rFonts w:ascii="Arial" w:hAnsi="Arial" w:cs="Arial"/>
          <w:lang w:val="en-IN"/>
        </w:rPr>
      </w:pPr>
      <w:r w:rsidRPr="007556A8">
        <w:rPr>
          <w:rFonts w:ascii="Arial" w:hAnsi="Arial" w:cs="Arial"/>
        </w:rPr>
        <w:t>All four formulations, including the optimized Sample C, recorded TPCs below 1 CFU/g. The MPN for coliforms was &lt;2 MPN/g for the Control and &lt;3 MPN/g for Samples A, B, and C. All samples tested negative for coliforms (Table 5). These results confirm effective microbial control throughout the processing chain, attributable to the partial gelatinization via pressure cooking (121°C, 15 psi, 10 min), efficient dehydration in a cabinet dryer (70°C for 8 hours to ≤5% moisture), and adherence to Good Manufacturing Practices (GMP</w:t>
      </w:r>
      <w:r>
        <w:rPr>
          <w:rFonts w:ascii="Arial" w:hAnsi="Arial" w:cs="Arial"/>
        </w:rPr>
        <w:t>)</w:t>
      </w:r>
      <w:r w:rsidRPr="007556A8">
        <w:rPr>
          <w:rFonts w:ascii="Arial" w:hAnsi="Arial" w:cs="Arial"/>
        </w:rPr>
        <w:t>. The low moisture content (around 5.00%) of the final premix is a critical factor in inhibiting microbial growth and ensuring shelf stability. These results are well within the acceptable limits for RTC food products, indicating the product is safe for consumption.</w:t>
      </w:r>
    </w:p>
    <w:p w14:paraId="5620BEFA" w14:textId="77777777" w:rsidR="00790ADA" w:rsidRPr="00FB3A86" w:rsidRDefault="00790ADA" w:rsidP="002C00FE">
      <w:pPr>
        <w:pStyle w:val="Body"/>
        <w:spacing w:after="0" w:line="360" w:lineRule="auto"/>
        <w:rPr>
          <w:rFonts w:ascii="Arial" w:hAnsi="Arial" w:cs="Arial"/>
        </w:rPr>
      </w:pPr>
    </w:p>
    <w:p w14:paraId="414B60A0" w14:textId="77777777" w:rsidR="00B01FCD" w:rsidRDefault="00000F8F" w:rsidP="002C00FE">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03C6B1DF" w14:textId="77777777" w:rsidR="00790ADA" w:rsidRPr="00FB3A86" w:rsidRDefault="00790ADA" w:rsidP="002C00FE">
      <w:pPr>
        <w:pStyle w:val="ConcHead"/>
        <w:spacing w:after="0" w:line="360" w:lineRule="auto"/>
        <w:jc w:val="both"/>
        <w:rPr>
          <w:rFonts w:ascii="Arial" w:hAnsi="Arial" w:cs="Arial"/>
        </w:rPr>
      </w:pPr>
    </w:p>
    <w:p w14:paraId="084A9FDF" w14:textId="336FAB13" w:rsidR="00790ADA" w:rsidRDefault="007556A8" w:rsidP="002C00FE">
      <w:pPr>
        <w:pStyle w:val="Body"/>
        <w:spacing w:line="360" w:lineRule="auto"/>
        <w:rPr>
          <w:rFonts w:ascii="Arial" w:hAnsi="Arial" w:cs="Arial"/>
        </w:rPr>
      </w:pPr>
      <w:r w:rsidRPr="007556A8">
        <w:rPr>
          <w:rFonts w:ascii="Arial" w:hAnsi="Arial" w:cs="Arial"/>
        </w:rPr>
        <w:t xml:space="preserve">The development of the </w:t>
      </w:r>
      <w:r>
        <w:rPr>
          <w:rFonts w:ascii="Arial" w:hAnsi="Arial" w:cs="Arial"/>
        </w:rPr>
        <w:t xml:space="preserve">RTC Millet Khichdi </w:t>
      </w:r>
      <w:r w:rsidRPr="007556A8">
        <w:rPr>
          <w:rFonts w:ascii="Arial" w:hAnsi="Arial" w:cs="Arial"/>
        </w:rPr>
        <w:t xml:space="preserve">successfully achieved all </w:t>
      </w:r>
      <w:r>
        <w:rPr>
          <w:rFonts w:ascii="Arial" w:hAnsi="Arial" w:cs="Arial"/>
        </w:rPr>
        <w:t>research</w:t>
      </w:r>
      <w:r w:rsidRPr="007556A8">
        <w:rPr>
          <w:rFonts w:ascii="Arial" w:hAnsi="Arial" w:cs="Arial"/>
        </w:rPr>
        <w:t xml:space="preserve"> objectives through systematic formulation, processing optimization, and rigorous quality evaluation. The optimized formulation, Sample C (40% foxtail millet, 20% green gram splits, 10% oats, 10% soy chunks, 6.25% Peri-Peri spice blend, along with dehydrated vegetables, salt, and tomato powder), delivered a balanced nutritional profile. Per 100g, Sample C contains 18.72 g protein, 8.16 g fiber, 4.19 g fat, 60.03 g available carbohydrates, resulting in 352.72 kcal, and 1050.15 mg sodium.</w:t>
      </w:r>
      <w:r>
        <w:rPr>
          <w:rFonts w:ascii="Arial" w:hAnsi="Arial" w:cs="Arial"/>
        </w:rPr>
        <w:t xml:space="preserve"> </w:t>
      </w:r>
      <w:r w:rsidRPr="007556A8">
        <w:rPr>
          <w:rFonts w:ascii="Arial" w:hAnsi="Arial" w:cs="Arial"/>
        </w:rPr>
        <w:t>The standardized processing methodology, involving partial gelatinization via pressure cooking (121°C/15 psi, 10 min) followed by cabinet tray drying (70°C, 8 h), consistently yielded a final product moisture content of 5.00%, ensuring ambient shelf stability (projected ≤ 6 months). Microbiological analysis confirmed the product's safety, with Total Plate Count &lt; 1 CFU/g and negative coliform tests</w:t>
      </w:r>
      <w:r>
        <w:rPr>
          <w:rFonts w:ascii="Arial" w:hAnsi="Arial" w:cs="Arial"/>
        </w:rPr>
        <w:t xml:space="preserve">. </w:t>
      </w:r>
      <w:r w:rsidRPr="007556A8">
        <w:rPr>
          <w:rFonts w:ascii="Arial" w:hAnsi="Arial" w:cs="Arial"/>
        </w:rPr>
        <w:t>Sensory evaluation by a 30-member semi-trained panel demonstrated excellent consumer acceptability for Sample C. Hedonic scores averaged 8.3–8.4 out of 9 across key attributes including color, taste, texture, and flavor, with an overall acceptability of 8.4 ± 0.5. Just-About-Right (JAR) scale ratings were centered between 2.5–2.8 on a 3-point scale, confirming ideal seasoning and mouthfeel.</w:t>
      </w:r>
      <w:r>
        <w:rPr>
          <w:rFonts w:ascii="Arial" w:hAnsi="Arial" w:cs="Arial"/>
        </w:rPr>
        <w:t xml:space="preserve"> </w:t>
      </w:r>
      <w:r w:rsidRPr="007556A8">
        <w:rPr>
          <w:rFonts w:ascii="Arial" w:hAnsi="Arial" w:cs="Arial"/>
        </w:rPr>
        <w:t>Overall, this project successfully demonstrates a replicable model for developing a nutritious, convenient, and commercially viable Ready-To-Cook millet-based food product. Th</w:t>
      </w:r>
      <w:r w:rsidR="001E7F2E">
        <w:rPr>
          <w:rFonts w:ascii="Arial" w:hAnsi="Arial" w:cs="Arial"/>
        </w:rPr>
        <w:t>is product</w:t>
      </w:r>
      <w:r w:rsidRPr="007556A8">
        <w:rPr>
          <w:rFonts w:ascii="Arial" w:hAnsi="Arial" w:cs="Arial"/>
        </w:rPr>
        <w:t xml:space="preserve"> effectively integrates the health benefits of foxtail millet, pulse, oats, and soy</w:t>
      </w:r>
      <w:r w:rsidR="001E7F2E">
        <w:rPr>
          <w:rFonts w:ascii="Arial" w:hAnsi="Arial" w:cs="Arial"/>
        </w:rPr>
        <w:t xml:space="preserve"> chunks </w:t>
      </w:r>
      <w:r w:rsidRPr="007556A8">
        <w:rPr>
          <w:rFonts w:ascii="Arial" w:hAnsi="Arial" w:cs="Arial"/>
        </w:rPr>
        <w:t>with appealing sensory characteristics, catering to the demands of modern, health-conscious consumers.</w:t>
      </w:r>
    </w:p>
    <w:p w14:paraId="60636FE2" w14:textId="77777777" w:rsidR="007556A8" w:rsidRPr="00FB3A86" w:rsidRDefault="007556A8" w:rsidP="002C00FE">
      <w:pPr>
        <w:pStyle w:val="Body"/>
        <w:spacing w:after="0" w:line="360" w:lineRule="auto"/>
        <w:rPr>
          <w:rFonts w:ascii="Arial" w:hAnsi="Arial" w:cs="Arial"/>
        </w:rPr>
      </w:pPr>
    </w:p>
    <w:p w14:paraId="3DFBE7CF" w14:textId="77777777" w:rsidR="00860000" w:rsidRDefault="00860000" w:rsidP="002C00FE">
      <w:pPr>
        <w:pStyle w:val="ReferHead"/>
        <w:spacing w:after="0" w:line="360" w:lineRule="auto"/>
        <w:jc w:val="both"/>
        <w:rPr>
          <w:rFonts w:ascii="Arial" w:hAnsi="Arial" w:cs="Arial"/>
        </w:rPr>
      </w:pPr>
    </w:p>
    <w:p w14:paraId="03F8B8CF" w14:textId="77777777" w:rsidR="00B01FCD" w:rsidRDefault="00B01FCD" w:rsidP="002C00FE">
      <w:pPr>
        <w:pStyle w:val="ReferHead"/>
        <w:spacing w:after="0" w:line="360" w:lineRule="auto"/>
        <w:jc w:val="both"/>
        <w:rPr>
          <w:rFonts w:ascii="Arial" w:hAnsi="Arial" w:cs="Arial"/>
        </w:rPr>
      </w:pPr>
      <w:r w:rsidRPr="00FB3A86">
        <w:rPr>
          <w:rFonts w:ascii="Arial" w:hAnsi="Arial" w:cs="Arial"/>
        </w:rPr>
        <w:t>References</w:t>
      </w:r>
    </w:p>
    <w:p w14:paraId="503BE67D" w14:textId="6934A911" w:rsidR="00B01FCD" w:rsidRPr="005A2DB2" w:rsidRDefault="00B01FCD" w:rsidP="002C00FE">
      <w:pPr>
        <w:spacing w:line="360" w:lineRule="auto"/>
      </w:pPr>
    </w:p>
    <w:p w14:paraId="10D8318D"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Ahmed, I., &amp; Jamal, S. (2016). Developments in osmotic dehydration technique for the preservation of fruits and vegetables. Innovative Food Science &amp; Emerging Technologies, 14, 30–43. https://www.sciencedirect.com/topics/agricultural-and-biological-sciences/osmotic-dehydration</w:t>
      </w:r>
    </w:p>
    <w:p w14:paraId="50F1B94D"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AOAC International. (2023). Official Methods of Analysis of AOAC INTERNATIONAL (22nd ed.). Method 925.10: Moisture in Foods. Gaithersburg, MD, USA: AOAC INTERNATIONAL.</w:t>
      </w:r>
    </w:p>
    <w:p w14:paraId="645E98F6"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 xml:space="preserve">AOAC International. (2023). Official Methods of Analysis of AOAC INTERNATIONAL (22nd ed.). Method 984.13: Protein (Crude) in Animal Feed and Pet Food – Copper Catalyst </w:t>
      </w:r>
      <w:proofErr w:type="spellStart"/>
      <w:r w:rsidRPr="00215FA7">
        <w:rPr>
          <w:rStyle w:val="selected"/>
          <w:rFonts w:ascii="Arial" w:hAnsi="Arial" w:cs="Arial"/>
        </w:rPr>
        <w:t>Kjeldahl</w:t>
      </w:r>
      <w:proofErr w:type="spellEnd"/>
      <w:r w:rsidRPr="00215FA7">
        <w:rPr>
          <w:rStyle w:val="selected"/>
          <w:rFonts w:ascii="Arial" w:hAnsi="Arial" w:cs="Arial"/>
        </w:rPr>
        <w:t xml:space="preserve"> Method. Gaithersburg, MD, USA: AOAC INTERNATIONAL.</w:t>
      </w:r>
    </w:p>
    <w:p w14:paraId="1C1EF4FA"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AOAC International. (2023). Official Methods of Analysis of AOAC INTERNATIONAL (22nd ed.). Method 920.39: Fat (Crude) or Ether Extract in Animal Feed. Gaithersburg, MD, USA: AOAC INTERNATIONAL.</w:t>
      </w:r>
    </w:p>
    <w:p w14:paraId="6AA8EBF7"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AOAC International. (2023). Official Methods of Analysis of AOAC INTERNATIONAL (22nd ed.). Method 985.29: Total Dietary Fiber in Foods – Enzymatic-Gravimetric Method. Gaithersburg, MD, USA: AOAC INTERNATIONAL.</w:t>
      </w:r>
    </w:p>
    <w:p w14:paraId="6D715811"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AOAC International. (2023). Official Methods of Analysis of AOAC INTERNATIONAL (22nd ed.). Gaithersburg, MD, USA: AOAC INTERNATIONAL.</w:t>
      </w:r>
    </w:p>
    <w:p w14:paraId="304C6F40" w14:textId="77777777" w:rsidR="00D06BEC" w:rsidRPr="00215FA7" w:rsidRDefault="00D06BEC" w:rsidP="002C00FE">
      <w:pPr>
        <w:spacing w:line="360" w:lineRule="auto"/>
        <w:rPr>
          <w:rStyle w:val="selected"/>
          <w:rFonts w:ascii="Arial" w:hAnsi="Arial" w:cs="Arial"/>
        </w:rPr>
      </w:pPr>
      <w:r w:rsidRPr="00D06BEC">
        <w:rPr>
          <w:rStyle w:val="selected"/>
          <w:rFonts w:ascii="Arial" w:hAnsi="Arial" w:cs="Arial"/>
          <w:lang w:val="de-DE"/>
        </w:rPr>
        <w:t xml:space="preserve">Cui, T., Gine, G. R., Lei, Y., Shi, Z., Jiang, B., Yan, Y., et al. (2024). </w:t>
      </w:r>
      <w:r w:rsidRPr="00215FA7">
        <w:rPr>
          <w:rStyle w:val="selected"/>
          <w:rFonts w:ascii="Arial" w:hAnsi="Arial" w:cs="Arial"/>
        </w:rPr>
        <w:t>Ready-to-Cook Foods: Technological Developments and Future Trends—A Systematic Review. Foods, 13(21), 3454. https://doi.org/10.3390/foods13213454</w:t>
      </w:r>
    </w:p>
    <w:p w14:paraId="7F54B374" w14:textId="77777777" w:rsidR="00D06BEC" w:rsidRPr="00215FA7" w:rsidRDefault="00D06BEC" w:rsidP="002C00FE">
      <w:pPr>
        <w:spacing w:line="360" w:lineRule="auto"/>
        <w:rPr>
          <w:rStyle w:val="selected"/>
          <w:rFonts w:ascii="Arial" w:hAnsi="Arial" w:cs="Arial"/>
        </w:rPr>
      </w:pPr>
      <w:r w:rsidRPr="00D06BEC">
        <w:rPr>
          <w:rStyle w:val="selected"/>
          <w:rFonts w:ascii="Arial" w:hAnsi="Arial" w:cs="Arial"/>
          <w:lang w:val="de-DE"/>
        </w:rPr>
        <w:t xml:space="preserve">Decker, E. A., Rose, D. J., &amp; Stewart, D. (2014). </w:t>
      </w:r>
      <w:r w:rsidRPr="00215FA7">
        <w:rPr>
          <w:rStyle w:val="selected"/>
          <w:rFonts w:ascii="Arial" w:hAnsi="Arial" w:cs="Arial"/>
        </w:rPr>
        <w:t>Processing of oats and the impact of processing operations on nutrition and health benefits. British Journal of Nutrition, 112(S2), S58-S64. https://doi.org/10.1017/S000711451400227X (PMID: 25267246)</w:t>
      </w:r>
    </w:p>
    <w:p w14:paraId="6F7554BC"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FAO. (n.d.). Fruit and vegetable processing - Ch05 General procedures for fruit and vegetable preservation (cont.). Food and Agriculture Organization of the United Nations. Retrieved from https://www.fao.org/4/v5030e/V5030E0c.htm</w:t>
      </w:r>
    </w:p>
    <w:p w14:paraId="0340AA36"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Food Safety and Standards Authority of India (FSSAI). (2023). Manual of Methods of Analysis of Foods: Microbiological Examination of Food and Water (Method No. 15.001:2023). Retrieved from https://fssai.gov.in/upload/uploadfiles/files/Manual-Microbiology-Methods.pdf</w:t>
      </w:r>
    </w:p>
    <w:p w14:paraId="62CE7B1C"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Food Safety and Standards Authority of India (FSSAI). (2023). Manual of Methods of Analysis of Foods: Microbiological Examination of Food and Water (Method No. 15.025:2023). Retrieved from https://fssai.gov.in/upload/uploadfiles/files/Manual-Microbiology-Methods.pdf</w:t>
      </w:r>
    </w:p>
    <w:p w14:paraId="2655C26F"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Food Safety and Standards Authority of India (FSSAI). (2023). Manual of Methods of Analysis of Foods: Microbiological Examination of Food and Water (Method No. 15.026:2023). Retrieved from https://fssai.gov.in/upload/uploadfiles/files/Manual-Microbiology-Methods.pdf</w:t>
      </w:r>
    </w:p>
    <w:p w14:paraId="4310DDF6" w14:textId="77777777" w:rsidR="00D06BEC" w:rsidRPr="002C00FE" w:rsidRDefault="00D06BEC" w:rsidP="002C00FE">
      <w:pPr>
        <w:spacing w:line="360" w:lineRule="auto"/>
        <w:rPr>
          <w:rStyle w:val="selected"/>
          <w:rFonts w:ascii="Arial" w:hAnsi="Arial" w:cs="Arial"/>
          <w:lang w:val="de-DE"/>
        </w:rPr>
      </w:pPr>
      <w:r w:rsidRPr="00215FA7">
        <w:rPr>
          <w:rStyle w:val="selected"/>
          <w:rFonts w:ascii="Arial" w:hAnsi="Arial" w:cs="Arial"/>
        </w:rPr>
        <w:t xml:space="preserve">Hou, D., Yousaf, L., </w:t>
      </w:r>
      <w:proofErr w:type="spellStart"/>
      <w:r w:rsidRPr="00215FA7">
        <w:rPr>
          <w:rStyle w:val="selected"/>
          <w:rFonts w:ascii="Arial" w:hAnsi="Arial" w:cs="Arial"/>
        </w:rPr>
        <w:t>Xue</w:t>
      </w:r>
      <w:proofErr w:type="spellEnd"/>
      <w:r w:rsidRPr="00215FA7">
        <w:rPr>
          <w:rStyle w:val="selected"/>
          <w:rFonts w:ascii="Arial" w:hAnsi="Arial" w:cs="Arial"/>
        </w:rPr>
        <w:t xml:space="preserve">, Y., Hu, J., Wu, J., Hu, X., et al. (2019). Mung Bean (Vigna radiata L.): Bioactive Polyphenols, Polysaccharides, Peptides, and Health Benefits. </w:t>
      </w:r>
      <w:r w:rsidRPr="002C00FE">
        <w:rPr>
          <w:rStyle w:val="selected"/>
          <w:rFonts w:ascii="Arial" w:hAnsi="Arial" w:cs="Arial"/>
          <w:lang w:val="de-DE"/>
        </w:rPr>
        <w:t>Nutrients, 11(6), 1238. https://doi.org/10.3390/nu11061238 (PMID: 31151234)</w:t>
      </w:r>
    </w:p>
    <w:p w14:paraId="792004B3" w14:textId="77777777" w:rsidR="00D06BEC" w:rsidRPr="00215FA7" w:rsidRDefault="00D06BEC" w:rsidP="002C00FE">
      <w:pPr>
        <w:spacing w:line="360" w:lineRule="auto"/>
        <w:rPr>
          <w:rStyle w:val="selected"/>
          <w:rFonts w:ascii="Arial" w:hAnsi="Arial" w:cs="Arial"/>
        </w:rPr>
      </w:pPr>
      <w:proofErr w:type="spellStart"/>
      <w:r w:rsidRPr="00215FA7">
        <w:rPr>
          <w:rStyle w:val="selected"/>
          <w:rFonts w:ascii="Arial" w:hAnsi="Arial" w:cs="Arial"/>
        </w:rPr>
        <w:t>Julshamn</w:t>
      </w:r>
      <w:proofErr w:type="spellEnd"/>
      <w:r w:rsidRPr="00215FA7">
        <w:rPr>
          <w:rStyle w:val="selected"/>
          <w:rFonts w:ascii="Arial" w:hAnsi="Arial" w:cs="Arial"/>
        </w:rPr>
        <w:t>, K., Lea, P., Sloth, J. J., &amp; et al. (2005). Determination of sodium in food samples by colorimetric method. Journal of AOAC International, 88(3), 770–776.</w:t>
      </w:r>
    </w:p>
    <w:p w14:paraId="5C613B2A" w14:textId="77777777" w:rsidR="00D06BEC" w:rsidRPr="005A2DB2" w:rsidRDefault="00D06BEC" w:rsidP="002C00FE">
      <w:pPr>
        <w:spacing w:line="360" w:lineRule="auto"/>
        <w:rPr>
          <w:b/>
          <w:szCs w:val="18"/>
        </w:rPr>
      </w:pPr>
      <w:r w:rsidRPr="00215FA7">
        <w:rPr>
          <w:rStyle w:val="selected"/>
          <w:rFonts w:ascii="Arial" w:hAnsi="Arial" w:cs="Arial"/>
        </w:rPr>
        <w:lastRenderedPageBreak/>
        <w:t xml:space="preserve">Kumari, A. P. S., Srivastav, P. P., &amp; </w:t>
      </w:r>
      <w:proofErr w:type="spellStart"/>
      <w:r w:rsidRPr="00215FA7">
        <w:rPr>
          <w:rStyle w:val="selected"/>
          <w:rFonts w:ascii="Arial" w:hAnsi="Arial" w:cs="Arial"/>
        </w:rPr>
        <w:t>Pathare</w:t>
      </w:r>
      <w:proofErr w:type="spellEnd"/>
      <w:r w:rsidRPr="00215FA7">
        <w:rPr>
          <w:rStyle w:val="selected"/>
          <w:rFonts w:ascii="Arial" w:hAnsi="Arial" w:cs="Arial"/>
        </w:rPr>
        <w:t>, P. B. (2024). Development and characterization of instant khichdi mix from pre-treated minor millets. Journal of Food Measurement and Characterization, 18(1), 635-649. https://doi.org/10.1007/s11694-023-02143-5</w:t>
      </w:r>
    </w:p>
    <w:p w14:paraId="1927A914" w14:textId="77777777" w:rsidR="00D06BEC" w:rsidRPr="00215FA7" w:rsidRDefault="00D06BEC" w:rsidP="002C00FE">
      <w:pPr>
        <w:spacing w:line="360" w:lineRule="auto"/>
        <w:rPr>
          <w:rStyle w:val="selected"/>
          <w:rFonts w:ascii="Arial" w:hAnsi="Arial" w:cs="Arial"/>
        </w:rPr>
      </w:pPr>
      <w:r w:rsidRPr="00D06BEC">
        <w:rPr>
          <w:rStyle w:val="selected"/>
          <w:rFonts w:ascii="Arial" w:hAnsi="Arial" w:cs="Arial"/>
          <w:lang w:val="de-DE"/>
        </w:rPr>
        <w:t xml:space="preserve">Li, J., Ziegler, G. R., &amp; Perego, P. (2014). </w:t>
      </w:r>
      <w:r w:rsidRPr="00215FA7">
        <w:rPr>
          <w:rStyle w:val="selected"/>
          <w:rFonts w:ascii="Arial" w:hAnsi="Arial" w:cs="Arial"/>
        </w:rPr>
        <w:t>Just-about-right vs. ideal scaling: A comparison of coffee-flavored dairy beverages. Food Quality and Preference, 36, 88–98. https://doi.org/10.1016/j.foodqual.2014.03.007</w:t>
      </w:r>
    </w:p>
    <w:p w14:paraId="218E308B" w14:textId="77777777" w:rsidR="00D06BEC" w:rsidRPr="00215FA7" w:rsidRDefault="00D06BEC" w:rsidP="002C00FE">
      <w:pPr>
        <w:spacing w:line="360" w:lineRule="auto"/>
        <w:rPr>
          <w:rStyle w:val="selected"/>
          <w:rFonts w:ascii="Arial" w:hAnsi="Arial" w:cs="Arial"/>
        </w:rPr>
      </w:pPr>
      <w:proofErr w:type="spellStart"/>
      <w:r w:rsidRPr="00215FA7">
        <w:rPr>
          <w:rStyle w:val="selected"/>
          <w:rFonts w:ascii="Arial" w:hAnsi="Arial" w:cs="Arial"/>
        </w:rPr>
        <w:t>Meilgaard</w:t>
      </w:r>
      <w:proofErr w:type="spellEnd"/>
      <w:r w:rsidRPr="00215FA7">
        <w:rPr>
          <w:rStyle w:val="selected"/>
          <w:rFonts w:ascii="Arial" w:hAnsi="Arial" w:cs="Arial"/>
        </w:rPr>
        <w:t xml:space="preserve">, M., </w:t>
      </w:r>
      <w:proofErr w:type="spellStart"/>
      <w:r w:rsidRPr="00215FA7">
        <w:rPr>
          <w:rStyle w:val="selected"/>
          <w:rFonts w:ascii="Arial" w:hAnsi="Arial" w:cs="Arial"/>
        </w:rPr>
        <w:t>Civille</w:t>
      </w:r>
      <w:proofErr w:type="spellEnd"/>
      <w:r w:rsidRPr="00215FA7">
        <w:rPr>
          <w:rStyle w:val="selected"/>
          <w:rFonts w:ascii="Arial" w:hAnsi="Arial" w:cs="Arial"/>
        </w:rPr>
        <w:t xml:space="preserve">, G. V., &amp; </w:t>
      </w:r>
      <w:proofErr w:type="spellStart"/>
      <w:r w:rsidRPr="00215FA7">
        <w:rPr>
          <w:rStyle w:val="selected"/>
          <w:rFonts w:ascii="Arial" w:hAnsi="Arial" w:cs="Arial"/>
        </w:rPr>
        <w:t>Carr</w:t>
      </w:r>
      <w:proofErr w:type="spellEnd"/>
      <w:r w:rsidRPr="00215FA7">
        <w:rPr>
          <w:rStyle w:val="selected"/>
          <w:rFonts w:ascii="Arial" w:hAnsi="Arial" w:cs="Arial"/>
        </w:rPr>
        <w:t>, B. T. (1999). Sensory Evaluation Techniques (3rd ed.). CRC Press.</w:t>
      </w:r>
    </w:p>
    <w:p w14:paraId="66E91AE3" w14:textId="77777777" w:rsidR="00D06BEC" w:rsidRPr="00215FA7" w:rsidRDefault="00D06BEC" w:rsidP="002C00FE">
      <w:pPr>
        <w:spacing w:line="360" w:lineRule="auto"/>
        <w:rPr>
          <w:rStyle w:val="selected"/>
          <w:rFonts w:ascii="Arial" w:hAnsi="Arial" w:cs="Arial"/>
        </w:rPr>
      </w:pPr>
      <w:r w:rsidRPr="002C00FE">
        <w:rPr>
          <w:rStyle w:val="selected"/>
          <w:rFonts w:ascii="Arial" w:hAnsi="Arial" w:cs="Arial"/>
          <w:lang w:val="de-DE"/>
        </w:rPr>
        <w:t xml:space="preserve">Mierzwa, D., Kowalski, S. J., &amp; Kroehnke, J. (2017). </w:t>
      </w:r>
      <w:r w:rsidRPr="00215FA7">
        <w:rPr>
          <w:rStyle w:val="selected"/>
          <w:rFonts w:ascii="Arial" w:hAnsi="Arial" w:cs="Arial"/>
        </w:rPr>
        <w:t>Hybrid drying of carrot preliminary processed with ultrasonically assisted osmotic dehydration. Food Technology and Biotechnology, 55(2), 197–205. https://doi.org/10.17113/ftb.55.02.17.4823</w:t>
      </w:r>
    </w:p>
    <w:p w14:paraId="17B960DE" w14:textId="77777777" w:rsidR="00D06BEC" w:rsidRPr="00215FA7" w:rsidRDefault="00D06BEC" w:rsidP="002C00FE">
      <w:pPr>
        <w:spacing w:line="360" w:lineRule="auto"/>
        <w:rPr>
          <w:rStyle w:val="selected"/>
          <w:rFonts w:ascii="Arial" w:hAnsi="Arial" w:cs="Arial"/>
        </w:rPr>
      </w:pPr>
      <w:proofErr w:type="spellStart"/>
      <w:r w:rsidRPr="00215FA7">
        <w:rPr>
          <w:rStyle w:val="selected"/>
          <w:rFonts w:ascii="Arial" w:hAnsi="Arial" w:cs="Arial"/>
        </w:rPr>
        <w:t>Motegaonkar</w:t>
      </w:r>
      <w:proofErr w:type="spellEnd"/>
      <w:r w:rsidRPr="00215FA7">
        <w:rPr>
          <w:rStyle w:val="selected"/>
          <w:rFonts w:ascii="Arial" w:hAnsi="Arial" w:cs="Arial"/>
        </w:rPr>
        <w:t xml:space="preserve">, S., Shankar, A., </w:t>
      </w:r>
      <w:proofErr w:type="spellStart"/>
      <w:r w:rsidRPr="00215FA7">
        <w:rPr>
          <w:rStyle w:val="selected"/>
          <w:rFonts w:ascii="Arial" w:hAnsi="Arial" w:cs="Arial"/>
        </w:rPr>
        <w:t>Tazeen</w:t>
      </w:r>
      <w:proofErr w:type="spellEnd"/>
      <w:r w:rsidRPr="00215FA7">
        <w:rPr>
          <w:rStyle w:val="selected"/>
          <w:rFonts w:ascii="Arial" w:hAnsi="Arial" w:cs="Arial"/>
        </w:rPr>
        <w:t xml:space="preserve">, H., </w:t>
      </w:r>
      <w:proofErr w:type="spellStart"/>
      <w:r w:rsidRPr="00215FA7">
        <w:rPr>
          <w:rStyle w:val="selected"/>
          <w:rFonts w:ascii="Arial" w:hAnsi="Arial" w:cs="Arial"/>
        </w:rPr>
        <w:t>Gunjal</w:t>
      </w:r>
      <w:proofErr w:type="spellEnd"/>
      <w:r w:rsidRPr="00215FA7">
        <w:rPr>
          <w:rStyle w:val="selected"/>
          <w:rFonts w:ascii="Arial" w:hAnsi="Arial" w:cs="Arial"/>
        </w:rPr>
        <w:t xml:space="preserve">, M., &amp; </w:t>
      </w:r>
      <w:proofErr w:type="spellStart"/>
      <w:r w:rsidRPr="00215FA7">
        <w:rPr>
          <w:rStyle w:val="selected"/>
          <w:rFonts w:ascii="Arial" w:hAnsi="Arial" w:cs="Arial"/>
        </w:rPr>
        <w:t>Payyanad</w:t>
      </w:r>
      <w:proofErr w:type="spellEnd"/>
      <w:r w:rsidRPr="00215FA7">
        <w:rPr>
          <w:rStyle w:val="selected"/>
          <w:rFonts w:ascii="Arial" w:hAnsi="Arial" w:cs="Arial"/>
        </w:rPr>
        <w:t xml:space="preserve">, S. (2024). A comprehensive review on carrot (Daucus </w:t>
      </w:r>
      <w:proofErr w:type="spellStart"/>
      <w:r w:rsidRPr="00215FA7">
        <w:rPr>
          <w:rStyle w:val="selected"/>
          <w:rFonts w:ascii="Arial" w:hAnsi="Arial" w:cs="Arial"/>
        </w:rPr>
        <w:t>carota</w:t>
      </w:r>
      <w:proofErr w:type="spellEnd"/>
      <w:r w:rsidRPr="00215FA7">
        <w:rPr>
          <w:rStyle w:val="selected"/>
          <w:rFonts w:ascii="Arial" w:hAnsi="Arial" w:cs="Arial"/>
        </w:rPr>
        <w:t xml:space="preserve"> L.): the effect of different drying methods on nutritional properties and its processing as value-added foods. Sustainable Food Technology, 2, 667-688. https://doi.org/10.1039/d3fb00162h</w:t>
      </w:r>
    </w:p>
    <w:p w14:paraId="3DC5D56D" w14:textId="2EB6CBBE" w:rsidR="00D06BEC" w:rsidRPr="00215FA7" w:rsidRDefault="00D06BEC" w:rsidP="002C00FE">
      <w:pPr>
        <w:spacing w:line="360" w:lineRule="auto"/>
        <w:rPr>
          <w:rStyle w:val="selected"/>
          <w:rFonts w:ascii="Arial" w:hAnsi="Arial" w:cs="Arial"/>
        </w:rPr>
      </w:pPr>
      <w:r w:rsidRPr="00215FA7">
        <w:rPr>
          <w:rStyle w:val="selected"/>
          <w:rFonts w:ascii="Arial" w:hAnsi="Arial" w:cs="Arial"/>
        </w:rPr>
        <w:t xml:space="preserve">Negi, N., Srihari, S. P., </w:t>
      </w:r>
      <w:proofErr w:type="spellStart"/>
      <w:r w:rsidRPr="00215FA7">
        <w:rPr>
          <w:rStyle w:val="selected"/>
          <w:rFonts w:ascii="Arial" w:hAnsi="Arial" w:cs="Arial"/>
        </w:rPr>
        <w:t>Wadikar</w:t>
      </w:r>
      <w:proofErr w:type="spellEnd"/>
      <w:r w:rsidRPr="00215FA7">
        <w:rPr>
          <w:rStyle w:val="selected"/>
          <w:rFonts w:ascii="Arial" w:hAnsi="Arial" w:cs="Arial"/>
        </w:rPr>
        <w:t xml:space="preserve">, D. D., Sharma, G. K., &amp; </w:t>
      </w:r>
      <w:proofErr w:type="spellStart"/>
      <w:r w:rsidRPr="00215FA7">
        <w:rPr>
          <w:rStyle w:val="selected"/>
          <w:rFonts w:ascii="Arial" w:hAnsi="Arial" w:cs="Arial"/>
        </w:rPr>
        <w:t>Semwal</w:t>
      </w:r>
      <w:proofErr w:type="spellEnd"/>
      <w:r w:rsidRPr="00215FA7">
        <w:rPr>
          <w:rStyle w:val="selected"/>
          <w:rFonts w:ascii="Arial" w:hAnsi="Arial" w:cs="Arial"/>
        </w:rPr>
        <w:t>, A. D. (2021). Optimization of instant foxtail millet-based khichdi by using response surface methodology and evaluation of its shelf stability. Journal of Food Science and Technology, 58(12), 4478-4485. https://doi.org/10.1007/s13197-020-04929-x</w:t>
      </w:r>
    </w:p>
    <w:p w14:paraId="699999F3"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 xml:space="preserve">Pandey, O. P., Mishra, B. K., &amp; </w:t>
      </w:r>
      <w:proofErr w:type="spellStart"/>
      <w:r w:rsidRPr="00215FA7">
        <w:rPr>
          <w:rStyle w:val="selected"/>
          <w:rFonts w:ascii="Arial" w:hAnsi="Arial" w:cs="Arial"/>
        </w:rPr>
        <w:t>Misra</w:t>
      </w:r>
      <w:proofErr w:type="spellEnd"/>
      <w:r w:rsidRPr="00215FA7">
        <w:rPr>
          <w:rStyle w:val="selected"/>
          <w:rFonts w:ascii="Arial" w:hAnsi="Arial" w:cs="Arial"/>
        </w:rPr>
        <w:t>, A. (2019). Comparative study of green peas using with blanching &amp; without blanching techniques. Information Processing in Agriculture, 6(2), 285-296. https://doi.org/10.1016/j.inpa.2018.10.002</w:t>
      </w:r>
    </w:p>
    <w:p w14:paraId="44B3F9EF" w14:textId="77777777" w:rsidR="00D06BEC" w:rsidRPr="00215FA7" w:rsidRDefault="00D06BEC" w:rsidP="002C00FE">
      <w:pPr>
        <w:spacing w:line="360" w:lineRule="auto"/>
        <w:rPr>
          <w:rStyle w:val="selected"/>
          <w:rFonts w:ascii="Arial" w:hAnsi="Arial" w:cs="Arial"/>
        </w:rPr>
      </w:pPr>
      <w:r w:rsidRPr="00215FA7">
        <w:rPr>
          <w:rStyle w:val="selected"/>
          <w:rFonts w:ascii="Arial" w:hAnsi="Arial" w:cs="Arial"/>
        </w:rPr>
        <w:t xml:space="preserve">Patil, V. B., </w:t>
      </w:r>
      <w:proofErr w:type="spellStart"/>
      <w:r w:rsidRPr="00215FA7">
        <w:rPr>
          <w:rStyle w:val="selected"/>
          <w:rFonts w:ascii="Arial" w:hAnsi="Arial" w:cs="Arial"/>
        </w:rPr>
        <w:t>Hatwar</w:t>
      </w:r>
      <w:proofErr w:type="spellEnd"/>
      <w:r w:rsidRPr="00215FA7">
        <w:rPr>
          <w:rStyle w:val="selected"/>
          <w:rFonts w:ascii="Arial" w:hAnsi="Arial" w:cs="Arial"/>
        </w:rPr>
        <w:t xml:space="preserve">, P., &amp; </w:t>
      </w:r>
      <w:proofErr w:type="spellStart"/>
      <w:r w:rsidRPr="00215FA7">
        <w:rPr>
          <w:rStyle w:val="selected"/>
          <w:rFonts w:ascii="Arial" w:hAnsi="Arial" w:cs="Arial"/>
        </w:rPr>
        <w:t>Sanap</w:t>
      </w:r>
      <w:proofErr w:type="spellEnd"/>
      <w:r w:rsidRPr="00215FA7">
        <w:rPr>
          <w:rStyle w:val="selected"/>
          <w:rFonts w:ascii="Arial" w:hAnsi="Arial" w:cs="Arial"/>
        </w:rPr>
        <w:t>, G. S. (2023). REVIEW ON ROLE OF SOYABEAN CHUNKS ARE USED IN MALNUTRITION. International Research Journal of Modernization in Engineering Technology and Science, 5(05), 2874-2881.</w:t>
      </w:r>
    </w:p>
    <w:p w14:paraId="47882CED" w14:textId="77777777" w:rsidR="00D06BEC" w:rsidRPr="00215FA7" w:rsidRDefault="00D06BEC" w:rsidP="002C00FE">
      <w:pPr>
        <w:spacing w:line="360" w:lineRule="auto"/>
        <w:rPr>
          <w:rStyle w:val="selected"/>
          <w:rFonts w:ascii="Arial" w:hAnsi="Arial" w:cs="Arial"/>
        </w:rPr>
      </w:pPr>
      <w:r w:rsidRPr="002C00FE">
        <w:rPr>
          <w:rStyle w:val="selected"/>
          <w:rFonts w:ascii="Arial" w:hAnsi="Arial" w:cs="Arial"/>
          <w:lang w:val="de-DE"/>
        </w:rPr>
        <w:t xml:space="preserve">Paudel, D., Dhungana, B., Caffe, M., &amp; Krishnan, P. (2021). </w:t>
      </w:r>
      <w:r w:rsidRPr="00215FA7">
        <w:rPr>
          <w:rStyle w:val="selected"/>
          <w:rFonts w:ascii="Arial" w:hAnsi="Arial" w:cs="Arial"/>
        </w:rPr>
        <w:t>A Review of Health-Beneficial Properties of Oats. Foods, 10(11), 2591. https://doi.org/10.3390/foods10112591 (PMID: 34828872)</w:t>
      </w:r>
    </w:p>
    <w:p w14:paraId="4E30578A" w14:textId="77777777" w:rsidR="00D06BEC" w:rsidRPr="00215FA7" w:rsidRDefault="00D06BEC" w:rsidP="002C00FE">
      <w:pPr>
        <w:spacing w:line="360" w:lineRule="auto"/>
        <w:rPr>
          <w:rStyle w:val="selected"/>
          <w:rFonts w:ascii="Arial" w:hAnsi="Arial" w:cs="Arial"/>
        </w:rPr>
      </w:pPr>
      <w:proofErr w:type="spellStart"/>
      <w:r w:rsidRPr="00215FA7">
        <w:rPr>
          <w:rStyle w:val="selected"/>
          <w:rFonts w:ascii="Arial" w:hAnsi="Arial" w:cs="Arial"/>
        </w:rPr>
        <w:t>Pervin</w:t>
      </w:r>
      <w:proofErr w:type="spellEnd"/>
      <w:r w:rsidRPr="00215FA7">
        <w:rPr>
          <w:rStyle w:val="selected"/>
          <w:rFonts w:ascii="Arial" w:hAnsi="Arial" w:cs="Arial"/>
        </w:rPr>
        <w:t xml:space="preserve">, S., </w:t>
      </w:r>
      <w:proofErr w:type="spellStart"/>
      <w:r w:rsidRPr="00215FA7">
        <w:rPr>
          <w:rStyle w:val="selected"/>
          <w:rFonts w:ascii="Arial" w:hAnsi="Arial" w:cs="Arial"/>
        </w:rPr>
        <w:t>Miaruddin</w:t>
      </w:r>
      <w:proofErr w:type="spellEnd"/>
      <w:r w:rsidRPr="00215FA7">
        <w:rPr>
          <w:rStyle w:val="selected"/>
          <w:rFonts w:ascii="Arial" w:hAnsi="Arial" w:cs="Arial"/>
        </w:rPr>
        <w:t>, M., Islam, M. S., Rahman, M. M., &amp; Khan, M. H. H. (2015). Effect of blanching on the quality of frozen product of carrot. Research &amp; Reviews: Journal of Food Science and Technology, 4(3), 1–9. https://sciencejournals.stmjournals.in/index.php/RRJoFST/article/view/503</w:t>
      </w:r>
    </w:p>
    <w:p w14:paraId="2F9B2200" w14:textId="77777777" w:rsidR="00D06BEC" w:rsidRPr="00215FA7" w:rsidRDefault="00D06BEC" w:rsidP="002C00FE">
      <w:pPr>
        <w:spacing w:line="360" w:lineRule="auto"/>
        <w:rPr>
          <w:rStyle w:val="selected"/>
          <w:rFonts w:ascii="Arial" w:hAnsi="Arial" w:cs="Arial"/>
        </w:rPr>
      </w:pPr>
      <w:r w:rsidRPr="00D06BEC">
        <w:rPr>
          <w:rStyle w:val="selected"/>
          <w:rFonts w:ascii="Arial" w:hAnsi="Arial" w:cs="Arial"/>
          <w:lang w:val="de-DE"/>
        </w:rPr>
        <w:t xml:space="preserve">Rajeswari, R., &amp; Naik, R. K. (2023). </w:t>
      </w:r>
      <w:r w:rsidRPr="00215FA7">
        <w:rPr>
          <w:rStyle w:val="selected"/>
          <w:rFonts w:ascii="Arial" w:hAnsi="Arial" w:cs="Arial"/>
        </w:rPr>
        <w:t>Development of instant multi millet fortified Khichdi mix. The Pharma Innovation</w:t>
      </w:r>
      <w:r>
        <w:rPr>
          <w:rStyle w:val="selected"/>
          <w:rFonts w:ascii="Arial" w:hAnsi="Arial" w:cs="Arial"/>
        </w:rPr>
        <w:t xml:space="preserve"> </w:t>
      </w:r>
      <w:r w:rsidRPr="00215FA7">
        <w:rPr>
          <w:rStyle w:val="selected"/>
          <w:rFonts w:ascii="Arial" w:hAnsi="Arial" w:cs="Arial"/>
        </w:rPr>
        <w:t>Journal, 12(5), 4075-4078.</w:t>
      </w:r>
    </w:p>
    <w:p w14:paraId="6D741DCF" w14:textId="77777777" w:rsidR="00D06BEC" w:rsidRPr="00215FA7" w:rsidRDefault="00D06BEC" w:rsidP="002C00FE">
      <w:pPr>
        <w:spacing w:line="360" w:lineRule="auto"/>
        <w:rPr>
          <w:rStyle w:val="selected"/>
          <w:rFonts w:ascii="Arial" w:hAnsi="Arial" w:cs="Arial"/>
        </w:rPr>
      </w:pPr>
      <w:r w:rsidRPr="002C00FE">
        <w:rPr>
          <w:rStyle w:val="selected"/>
          <w:rFonts w:ascii="Arial" w:hAnsi="Arial" w:cs="Arial"/>
          <w:lang w:val="de-DE"/>
        </w:rPr>
        <w:t xml:space="preserve">Raju, C. A., Begum, S. S., Nagaraja, T. E., &amp; Shobha, D. (2025). </w:t>
      </w:r>
      <w:r w:rsidRPr="00215FA7">
        <w:rPr>
          <w:rStyle w:val="selected"/>
          <w:rFonts w:ascii="Arial" w:hAnsi="Arial" w:cs="Arial"/>
        </w:rPr>
        <w:t>Development and Quality Evaluation of Foxtail Millet (</w:t>
      </w:r>
      <w:proofErr w:type="spellStart"/>
      <w:r w:rsidRPr="00215FA7">
        <w:rPr>
          <w:rStyle w:val="selected"/>
          <w:rFonts w:ascii="Arial" w:hAnsi="Arial" w:cs="Arial"/>
        </w:rPr>
        <w:t>Setaria</w:t>
      </w:r>
      <w:proofErr w:type="spellEnd"/>
      <w:r w:rsidRPr="00215FA7">
        <w:rPr>
          <w:rStyle w:val="selected"/>
          <w:rFonts w:ascii="Arial" w:hAnsi="Arial" w:cs="Arial"/>
        </w:rPr>
        <w:t xml:space="preserve"> </w:t>
      </w:r>
      <w:proofErr w:type="spellStart"/>
      <w:r w:rsidRPr="00215FA7">
        <w:rPr>
          <w:rStyle w:val="selected"/>
          <w:rFonts w:ascii="Arial" w:hAnsi="Arial" w:cs="Arial"/>
        </w:rPr>
        <w:t>italica</w:t>
      </w:r>
      <w:proofErr w:type="spellEnd"/>
      <w:r w:rsidRPr="00215FA7">
        <w:rPr>
          <w:rStyle w:val="selected"/>
          <w:rFonts w:ascii="Arial" w:hAnsi="Arial" w:cs="Arial"/>
        </w:rPr>
        <w:t>) Based Extruded Product. Mysore Journal of Agricultural Sciences, 59(1), 278-291.</w:t>
      </w:r>
    </w:p>
    <w:p w14:paraId="1AA876CD" w14:textId="77777777" w:rsidR="00D06BEC" w:rsidRPr="00215FA7" w:rsidRDefault="00D06BEC" w:rsidP="002C00FE">
      <w:pPr>
        <w:spacing w:line="360" w:lineRule="auto"/>
        <w:rPr>
          <w:rStyle w:val="selected"/>
          <w:rFonts w:ascii="Arial" w:hAnsi="Arial" w:cs="Arial"/>
        </w:rPr>
      </w:pPr>
      <w:proofErr w:type="spellStart"/>
      <w:r w:rsidRPr="00215FA7">
        <w:rPr>
          <w:rStyle w:val="selected"/>
          <w:rFonts w:ascii="Arial" w:hAnsi="Arial" w:cs="Arial"/>
        </w:rPr>
        <w:t>Ranganna</w:t>
      </w:r>
      <w:proofErr w:type="spellEnd"/>
      <w:r w:rsidRPr="00215FA7">
        <w:rPr>
          <w:rStyle w:val="selected"/>
          <w:rFonts w:ascii="Arial" w:hAnsi="Arial" w:cs="Arial"/>
        </w:rPr>
        <w:t>, S. (1986). Handbook of Analysis and Quality Control for Fruit and Vegetable Products (2nd ed.). New Delhi, India: Tata McGraw-Hill Publishing Company Limited.</w:t>
      </w:r>
    </w:p>
    <w:p w14:paraId="4BE25FD4" w14:textId="77777777" w:rsidR="00D06BEC" w:rsidRPr="00215FA7" w:rsidRDefault="00D06BEC" w:rsidP="002C00FE">
      <w:pPr>
        <w:spacing w:line="360" w:lineRule="auto"/>
        <w:rPr>
          <w:rStyle w:val="selected"/>
          <w:rFonts w:ascii="Arial" w:hAnsi="Arial" w:cs="Arial"/>
        </w:rPr>
      </w:pPr>
      <w:r w:rsidRPr="002C00FE">
        <w:rPr>
          <w:rStyle w:val="selected"/>
          <w:rFonts w:ascii="Arial" w:hAnsi="Arial" w:cs="Arial"/>
          <w:lang w:val="de-DE"/>
        </w:rPr>
        <w:t xml:space="preserve">Zhang, C., Dong, Y., Sun, Y., Liu, Y., Wang, Y., Fu, H., Chen, X., &amp; Wang, Y. (2021). </w:t>
      </w:r>
      <w:r w:rsidRPr="00215FA7">
        <w:rPr>
          <w:rStyle w:val="selected"/>
          <w:rFonts w:ascii="Arial" w:hAnsi="Arial" w:cs="Arial"/>
        </w:rPr>
        <w:t>Blanching effects of radio frequency heating on enzyme inactivation, physiochemical properties of green peas (Pisum sativum L.) and the underlying mechanism in relation to cellular microstructure. Food Chemistry, 345, 128756. https://doi.org/10.1016/j.foodchem.2020.128756</w:t>
      </w:r>
    </w:p>
    <w:sectPr w:rsidR="00D06BEC" w:rsidRPr="00215FA7" w:rsidSect="002C00FE">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D5B57" w14:textId="77777777" w:rsidR="00A77290" w:rsidRDefault="00A77290" w:rsidP="00C37E61">
      <w:r>
        <w:separator/>
      </w:r>
    </w:p>
  </w:endnote>
  <w:endnote w:type="continuationSeparator" w:id="0">
    <w:p w14:paraId="7D366965" w14:textId="77777777" w:rsidR="00A77290" w:rsidRDefault="00A772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97F2" w14:textId="77777777" w:rsidR="001C20D7" w:rsidRDefault="001C2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E160" w14:textId="77777777" w:rsidR="001C20D7" w:rsidRDefault="001C2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A73C3" w14:textId="77777777" w:rsidR="009E048A" w:rsidRDefault="009E048A">
    <w:pPr>
      <w:pStyle w:val="Footer"/>
      <w:rPr>
        <w:rFonts w:ascii="Arial" w:hAnsi="Arial" w:cs="Arial"/>
        <w:sz w:val="16"/>
      </w:rPr>
    </w:pPr>
  </w:p>
  <w:p w14:paraId="6DC7C49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CEFE3A" w14:textId="77777777" w:rsidR="009E048A" w:rsidRDefault="009E048A">
    <w:pPr>
      <w:pStyle w:val="Footer"/>
      <w:rPr>
        <w:rFonts w:ascii="Arial" w:hAnsi="Arial" w:cs="Arial"/>
        <w:sz w:val="16"/>
      </w:rPr>
    </w:pPr>
  </w:p>
  <w:p w14:paraId="56FBB14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0AF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5CA6A" w14:textId="77777777" w:rsidR="00A77290" w:rsidRDefault="00A77290" w:rsidP="00C37E61">
      <w:r>
        <w:separator/>
      </w:r>
    </w:p>
  </w:footnote>
  <w:footnote w:type="continuationSeparator" w:id="0">
    <w:p w14:paraId="14E00E02" w14:textId="77777777" w:rsidR="00A77290" w:rsidRDefault="00A772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2E9C" w14:textId="18D6EFBA" w:rsidR="001C20D7" w:rsidRDefault="001C20D7">
    <w:pPr>
      <w:pStyle w:val="Header"/>
    </w:pPr>
    <w:r>
      <w:rPr>
        <w:noProof/>
      </w:rPr>
      <w:pict w14:anchorId="574BF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5688" w14:textId="15A5999B" w:rsidR="001C20D7" w:rsidRDefault="001C20D7">
    <w:pPr>
      <w:pStyle w:val="Header"/>
    </w:pPr>
    <w:r>
      <w:rPr>
        <w:noProof/>
      </w:rPr>
      <w:pict w14:anchorId="5719D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F6AF" w14:textId="57574886" w:rsidR="00296529" w:rsidRPr="00296529" w:rsidRDefault="001C20D7" w:rsidP="00296529">
    <w:pPr>
      <w:ind w:left="2160"/>
      <w:jc w:val="center"/>
      <w:rPr>
        <w:rFonts w:ascii="Times New Roman" w:eastAsia="Calibri" w:hAnsi="Times New Roman"/>
        <w:i/>
        <w:sz w:val="18"/>
        <w:szCs w:val="22"/>
      </w:rPr>
    </w:pPr>
    <w:r>
      <w:rPr>
        <w:noProof/>
      </w:rPr>
      <w:pict w14:anchorId="53434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482789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59B4C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7890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50562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054F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CDE33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FD32" w14:textId="72FAA3EF" w:rsidR="001C20D7" w:rsidRDefault="001C20D7">
    <w:pPr>
      <w:pStyle w:val="Header"/>
    </w:pPr>
    <w:r>
      <w:rPr>
        <w:noProof/>
      </w:rPr>
      <w:pict w14:anchorId="5E6F6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10E5" w14:textId="39651F1D" w:rsidR="001C20D7" w:rsidRDefault="001C20D7">
    <w:pPr>
      <w:pStyle w:val="Header"/>
    </w:pPr>
    <w:r>
      <w:rPr>
        <w:noProof/>
      </w:rPr>
      <w:pict w14:anchorId="5E493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6F8F" w14:textId="561E60E4" w:rsidR="001C20D7" w:rsidRDefault="001C20D7">
    <w:pPr>
      <w:pStyle w:val="Header"/>
    </w:pPr>
    <w:r>
      <w:rPr>
        <w:noProof/>
      </w:rPr>
      <w:pict w14:anchorId="10137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BF08BF"/>
    <w:multiLevelType w:val="hybridMultilevel"/>
    <w:tmpl w:val="97E008C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58396B"/>
    <w:multiLevelType w:val="hybridMultilevel"/>
    <w:tmpl w:val="152EF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01CE"/>
    <w:rsid w:val="00056209"/>
    <w:rsid w:val="00092A62"/>
    <w:rsid w:val="00095C23"/>
    <w:rsid w:val="000A47FA"/>
    <w:rsid w:val="000A65D3"/>
    <w:rsid w:val="000B1E33"/>
    <w:rsid w:val="000D3D87"/>
    <w:rsid w:val="000D689F"/>
    <w:rsid w:val="000E7B7B"/>
    <w:rsid w:val="000E7D62"/>
    <w:rsid w:val="000F0368"/>
    <w:rsid w:val="000F4335"/>
    <w:rsid w:val="00103357"/>
    <w:rsid w:val="00123C9F"/>
    <w:rsid w:val="00126190"/>
    <w:rsid w:val="00130F17"/>
    <w:rsid w:val="001320BF"/>
    <w:rsid w:val="001332E1"/>
    <w:rsid w:val="00163BC4"/>
    <w:rsid w:val="00183030"/>
    <w:rsid w:val="00191062"/>
    <w:rsid w:val="00192B72"/>
    <w:rsid w:val="001A29D8"/>
    <w:rsid w:val="001A5CAA"/>
    <w:rsid w:val="001B0427"/>
    <w:rsid w:val="001C20D7"/>
    <w:rsid w:val="001D3A51"/>
    <w:rsid w:val="001D5D75"/>
    <w:rsid w:val="001E10D2"/>
    <w:rsid w:val="001E25B4"/>
    <w:rsid w:val="001E44FE"/>
    <w:rsid w:val="001E7F2E"/>
    <w:rsid w:val="001F0CCD"/>
    <w:rsid w:val="001F386C"/>
    <w:rsid w:val="00200595"/>
    <w:rsid w:val="00204835"/>
    <w:rsid w:val="00215FA7"/>
    <w:rsid w:val="0021696C"/>
    <w:rsid w:val="00231920"/>
    <w:rsid w:val="0023195C"/>
    <w:rsid w:val="0024282C"/>
    <w:rsid w:val="002460DC"/>
    <w:rsid w:val="00247DBE"/>
    <w:rsid w:val="00250985"/>
    <w:rsid w:val="002556F6"/>
    <w:rsid w:val="00256F86"/>
    <w:rsid w:val="00273222"/>
    <w:rsid w:val="00283105"/>
    <w:rsid w:val="00284C4C"/>
    <w:rsid w:val="00287E68"/>
    <w:rsid w:val="00296529"/>
    <w:rsid w:val="002B27FB"/>
    <w:rsid w:val="002B685A"/>
    <w:rsid w:val="002B7B38"/>
    <w:rsid w:val="002C00FE"/>
    <w:rsid w:val="002C57D2"/>
    <w:rsid w:val="002C7538"/>
    <w:rsid w:val="002E0D56"/>
    <w:rsid w:val="0030385A"/>
    <w:rsid w:val="00315186"/>
    <w:rsid w:val="0033343E"/>
    <w:rsid w:val="00347752"/>
    <w:rsid w:val="003512C2"/>
    <w:rsid w:val="003563A1"/>
    <w:rsid w:val="00371FB6"/>
    <w:rsid w:val="003725CC"/>
    <w:rsid w:val="003763C1"/>
    <w:rsid w:val="00376BBE"/>
    <w:rsid w:val="0039224F"/>
    <w:rsid w:val="003A2EF5"/>
    <w:rsid w:val="003A43A4"/>
    <w:rsid w:val="003A7E18"/>
    <w:rsid w:val="003C4C86"/>
    <w:rsid w:val="003C6258"/>
    <w:rsid w:val="003E2904"/>
    <w:rsid w:val="00401927"/>
    <w:rsid w:val="00401980"/>
    <w:rsid w:val="0041027F"/>
    <w:rsid w:val="00412475"/>
    <w:rsid w:val="00423789"/>
    <w:rsid w:val="00440F43"/>
    <w:rsid w:val="00441B6F"/>
    <w:rsid w:val="00446221"/>
    <w:rsid w:val="00450E62"/>
    <w:rsid w:val="00452A8F"/>
    <w:rsid w:val="004539DB"/>
    <w:rsid w:val="00471A80"/>
    <w:rsid w:val="00485C25"/>
    <w:rsid w:val="004C34DA"/>
    <w:rsid w:val="004D305E"/>
    <w:rsid w:val="004D4277"/>
    <w:rsid w:val="004E19ED"/>
    <w:rsid w:val="00502516"/>
    <w:rsid w:val="00505F06"/>
    <w:rsid w:val="00506828"/>
    <w:rsid w:val="0053056E"/>
    <w:rsid w:val="00554FDA"/>
    <w:rsid w:val="005A2DB2"/>
    <w:rsid w:val="005B3F57"/>
    <w:rsid w:val="005C784C"/>
    <w:rsid w:val="005D17F6"/>
    <w:rsid w:val="005E5539"/>
    <w:rsid w:val="00602BF5"/>
    <w:rsid w:val="00604CCF"/>
    <w:rsid w:val="00617FDD"/>
    <w:rsid w:val="00633614"/>
    <w:rsid w:val="00633F68"/>
    <w:rsid w:val="00636EB2"/>
    <w:rsid w:val="006375B8"/>
    <w:rsid w:val="00646D07"/>
    <w:rsid w:val="0066510A"/>
    <w:rsid w:val="00665278"/>
    <w:rsid w:val="00673F9F"/>
    <w:rsid w:val="00686953"/>
    <w:rsid w:val="00687DEA"/>
    <w:rsid w:val="00687E67"/>
    <w:rsid w:val="006967F7"/>
    <w:rsid w:val="006A0BDE"/>
    <w:rsid w:val="006A250C"/>
    <w:rsid w:val="006B21D3"/>
    <w:rsid w:val="006B57D0"/>
    <w:rsid w:val="006D30FF"/>
    <w:rsid w:val="006D6940"/>
    <w:rsid w:val="006F11EC"/>
    <w:rsid w:val="006F1429"/>
    <w:rsid w:val="0070082C"/>
    <w:rsid w:val="007369E6"/>
    <w:rsid w:val="00740F0A"/>
    <w:rsid w:val="00742646"/>
    <w:rsid w:val="00746E59"/>
    <w:rsid w:val="00754C9A"/>
    <w:rsid w:val="007556A8"/>
    <w:rsid w:val="0075599A"/>
    <w:rsid w:val="00761D52"/>
    <w:rsid w:val="0077749E"/>
    <w:rsid w:val="00790ADA"/>
    <w:rsid w:val="007D2288"/>
    <w:rsid w:val="007E088F"/>
    <w:rsid w:val="007F55F7"/>
    <w:rsid w:val="007F7B32"/>
    <w:rsid w:val="00804BC2"/>
    <w:rsid w:val="0081431A"/>
    <w:rsid w:val="00815DA9"/>
    <w:rsid w:val="00824DEF"/>
    <w:rsid w:val="0083216F"/>
    <w:rsid w:val="00841B35"/>
    <w:rsid w:val="0084288A"/>
    <w:rsid w:val="00860000"/>
    <w:rsid w:val="00863BD3"/>
    <w:rsid w:val="008641ED"/>
    <w:rsid w:val="00865C7B"/>
    <w:rsid w:val="00866D66"/>
    <w:rsid w:val="008671C6"/>
    <w:rsid w:val="00875803"/>
    <w:rsid w:val="008B459E"/>
    <w:rsid w:val="008E13AE"/>
    <w:rsid w:val="008E1506"/>
    <w:rsid w:val="008E710C"/>
    <w:rsid w:val="008F69D6"/>
    <w:rsid w:val="00902823"/>
    <w:rsid w:val="00913946"/>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4AF"/>
    <w:rsid w:val="00A05B19"/>
    <w:rsid w:val="00A1134E"/>
    <w:rsid w:val="00A24E7E"/>
    <w:rsid w:val="00A258C3"/>
    <w:rsid w:val="00A347C0"/>
    <w:rsid w:val="00A51431"/>
    <w:rsid w:val="00A539AD"/>
    <w:rsid w:val="00A61327"/>
    <w:rsid w:val="00A65419"/>
    <w:rsid w:val="00A670EB"/>
    <w:rsid w:val="00A77290"/>
    <w:rsid w:val="00A831D2"/>
    <w:rsid w:val="00A86393"/>
    <w:rsid w:val="00A94063"/>
    <w:rsid w:val="00A95F26"/>
    <w:rsid w:val="00AA6219"/>
    <w:rsid w:val="00AA74E0"/>
    <w:rsid w:val="00AB41BB"/>
    <w:rsid w:val="00AB703F"/>
    <w:rsid w:val="00AC6BB8"/>
    <w:rsid w:val="00AE008F"/>
    <w:rsid w:val="00AF291F"/>
    <w:rsid w:val="00AF6046"/>
    <w:rsid w:val="00B01FCD"/>
    <w:rsid w:val="00B1663F"/>
    <w:rsid w:val="00B1776C"/>
    <w:rsid w:val="00B52583"/>
    <w:rsid w:val="00B52896"/>
    <w:rsid w:val="00B95236"/>
    <w:rsid w:val="00B96BD9"/>
    <w:rsid w:val="00BA0885"/>
    <w:rsid w:val="00BA1B01"/>
    <w:rsid w:val="00BA2641"/>
    <w:rsid w:val="00BB37AA"/>
    <w:rsid w:val="00BC53A0"/>
    <w:rsid w:val="00BE62AD"/>
    <w:rsid w:val="00BF121F"/>
    <w:rsid w:val="00BF1F80"/>
    <w:rsid w:val="00BF325C"/>
    <w:rsid w:val="00C115AD"/>
    <w:rsid w:val="00C166EF"/>
    <w:rsid w:val="00C17EB0"/>
    <w:rsid w:val="00C27F5F"/>
    <w:rsid w:val="00C30A0F"/>
    <w:rsid w:val="00C37E61"/>
    <w:rsid w:val="00C478FA"/>
    <w:rsid w:val="00C506D8"/>
    <w:rsid w:val="00C70F1B"/>
    <w:rsid w:val="00C71A47"/>
    <w:rsid w:val="00C7464C"/>
    <w:rsid w:val="00C85588"/>
    <w:rsid w:val="00CA741A"/>
    <w:rsid w:val="00CC3A5A"/>
    <w:rsid w:val="00CD6755"/>
    <w:rsid w:val="00CD6856"/>
    <w:rsid w:val="00CE0089"/>
    <w:rsid w:val="00CE793C"/>
    <w:rsid w:val="00CF193C"/>
    <w:rsid w:val="00D06BEC"/>
    <w:rsid w:val="00D13370"/>
    <w:rsid w:val="00D173F1"/>
    <w:rsid w:val="00D207F9"/>
    <w:rsid w:val="00D74CB0"/>
    <w:rsid w:val="00D8295D"/>
    <w:rsid w:val="00D96461"/>
    <w:rsid w:val="00DA01CA"/>
    <w:rsid w:val="00DB512B"/>
    <w:rsid w:val="00DC160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2FE4"/>
    <w:rsid w:val="00F53273"/>
    <w:rsid w:val="00F755E4"/>
    <w:rsid w:val="00F77D02"/>
    <w:rsid w:val="00F961AA"/>
    <w:rsid w:val="00FA6488"/>
    <w:rsid w:val="00FB3A86"/>
    <w:rsid w:val="00FD36C8"/>
    <w:rsid w:val="00FF2D7B"/>
    <w:rsid w:val="00FF52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502DDC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5C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A2DB2"/>
    <w:pPr>
      <w:spacing w:before="100" w:beforeAutospacing="1" w:after="100" w:afterAutospacing="1"/>
    </w:pPr>
    <w:rPr>
      <w:rFonts w:ascii="Times New Roman" w:hAnsi="Times New Roman"/>
      <w:sz w:val="24"/>
      <w:szCs w:val="24"/>
      <w:lang w:val="en-IN" w:eastAsia="en-IN" w:bidi="hi-IN"/>
    </w:rPr>
  </w:style>
  <w:style w:type="character" w:customStyle="1" w:styleId="selected">
    <w:name w:val="selected"/>
    <w:basedOn w:val="DefaultParagraphFont"/>
    <w:rsid w:val="005A2DB2"/>
  </w:style>
  <w:style w:type="character" w:styleId="PlaceholderText">
    <w:name w:val="Placeholder Text"/>
    <w:basedOn w:val="DefaultParagraphFont"/>
    <w:uiPriority w:val="99"/>
    <w:semiHidden/>
    <w:rsid w:val="00BA0885"/>
    <w:rPr>
      <w:color w:val="666666"/>
    </w:rPr>
  </w:style>
  <w:style w:type="paragraph" w:styleId="ListParagraph">
    <w:name w:val="List Paragraph"/>
    <w:basedOn w:val="Normal"/>
    <w:uiPriority w:val="34"/>
    <w:qFormat/>
    <w:rsid w:val="00A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43926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4159035">
      <w:bodyDiv w:val="1"/>
      <w:marLeft w:val="0"/>
      <w:marRight w:val="0"/>
      <w:marTop w:val="0"/>
      <w:marBottom w:val="0"/>
      <w:divBdr>
        <w:top w:val="none" w:sz="0" w:space="0" w:color="auto"/>
        <w:left w:val="none" w:sz="0" w:space="0" w:color="auto"/>
        <w:bottom w:val="none" w:sz="0" w:space="0" w:color="auto"/>
        <w:right w:val="none" w:sz="0" w:space="0" w:color="auto"/>
      </w:divBdr>
    </w:div>
    <w:div w:id="402262601">
      <w:bodyDiv w:val="1"/>
      <w:marLeft w:val="0"/>
      <w:marRight w:val="0"/>
      <w:marTop w:val="0"/>
      <w:marBottom w:val="0"/>
      <w:divBdr>
        <w:top w:val="none" w:sz="0" w:space="0" w:color="auto"/>
        <w:left w:val="none" w:sz="0" w:space="0" w:color="auto"/>
        <w:bottom w:val="none" w:sz="0" w:space="0" w:color="auto"/>
        <w:right w:val="none" w:sz="0" w:space="0" w:color="auto"/>
      </w:divBdr>
    </w:div>
    <w:div w:id="476604952">
      <w:bodyDiv w:val="1"/>
      <w:marLeft w:val="0"/>
      <w:marRight w:val="0"/>
      <w:marTop w:val="0"/>
      <w:marBottom w:val="0"/>
      <w:divBdr>
        <w:top w:val="none" w:sz="0" w:space="0" w:color="auto"/>
        <w:left w:val="none" w:sz="0" w:space="0" w:color="auto"/>
        <w:bottom w:val="none" w:sz="0" w:space="0" w:color="auto"/>
        <w:right w:val="none" w:sz="0" w:space="0" w:color="auto"/>
      </w:divBdr>
    </w:div>
    <w:div w:id="59821973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7807360">
      <w:bodyDiv w:val="1"/>
      <w:marLeft w:val="0"/>
      <w:marRight w:val="0"/>
      <w:marTop w:val="0"/>
      <w:marBottom w:val="0"/>
      <w:divBdr>
        <w:top w:val="none" w:sz="0" w:space="0" w:color="auto"/>
        <w:left w:val="none" w:sz="0" w:space="0" w:color="auto"/>
        <w:bottom w:val="none" w:sz="0" w:space="0" w:color="auto"/>
        <w:right w:val="none" w:sz="0" w:space="0" w:color="auto"/>
      </w:divBdr>
    </w:div>
    <w:div w:id="8560396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8832676">
      <w:bodyDiv w:val="1"/>
      <w:marLeft w:val="0"/>
      <w:marRight w:val="0"/>
      <w:marTop w:val="0"/>
      <w:marBottom w:val="0"/>
      <w:divBdr>
        <w:top w:val="none" w:sz="0" w:space="0" w:color="auto"/>
        <w:left w:val="none" w:sz="0" w:space="0" w:color="auto"/>
        <w:bottom w:val="none" w:sz="0" w:space="0" w:color="auto"/>
        <w:right w:val="none" w:sz="0" w:space="0" w:color="auto"/>
      </w:divBdr>
    </w:div>
    <w:div w:id="1290361004">
      <w:bodyDiv w:val="1"/>
      <w:marLeft w:val="0"/>
      <w:marRight w:val="0"/>
      <w:marTop w:val="0"/>
      <w:marBottom w:val="0"/>
      <w:divBdr>
        <w:top w:val="none" w:sz="0" w:space="0" w:color="auto"/>
        <w:left w:val="none" w:sz="0" w:space="0" w:color="auto"/>
        <w:bottom w:val="none" w:sz="0" w:space="0" w:color="auto"/>
        <w:right w:val="none" w:sz="0" w:space="0" w:color="auto"/>
      </w:divBdr>
    </w:div>
    <w:div w:id="1323047962">
      <w:bodyDiv w:val="1"/>
      <w:marLeft w:val="0"/>
      <w:marRight w:val="0"/>
      <w:marTop w:val="0"/>
      <w:marBottom w:val="0"/>
      <w:divBdr>
        <w:top w:val="none" w:sz="0" w:space="0" w:color="auto"/>
        <w:left w:val="none" w:sz="0" w:space="0" w:color="auto"/>
        <w:bottom w:val="none" w:sz="0" w:space="0" w:color="auto"/>
        <w:right w:val="none" w:sz="0" w:space="0" w:color="auto"/>
      </w:divBdr>
    </w:div>
    <w:div w:id="1403262201">
      <w:bodyDiv w:val="1"/>
      <w:marLeft w:val="0"/>
      <w:marRight w:val="0"/>
      <w:marTop w:val="0"/>
      <w:marBottom w:val="0"/>
      <w:divBdr>
        <w:top w:val="none" w:sz="0" w:space="0" w:color="auto"/>
        <w:left w:val="none" w:sz="0" w:space="0" w:color="auto"/>
        <w:bottom w:val="none" w:sz="0" w:space="0" w:color="auto"/>
        <w:right w:val="none" w:sz="0" w:space="0" w:color="auto"/>
      </w:divBdr>
    </w:div>
    <w:div w:id="1507015555">
      <w:bodyDiv w:val="1"/>
      <w:marLeft w:val="0"/>
      <w:marRight w:val="0"/>
      <w:marTop w:val="0"/>
      <w:marBottom w:val="0"/>
      <w:divBdr>
        <w:top w:val="none" w:sz="0" w:space="0" w:color="auto"/>
        <w:left w:val="none" w:sz="0" w:space="0" w:color="auto"/>
        <w:bottom w:val="none" w:sz="0" w:space="0" w:color="auto"/>
        <w:right w:val="none" w:sz="0" w:space="0" w:color="auto"/>
      </w:divBdr>
    </w:div>
    <w:div w:id="1510024270">
      <w:bodyDiv w:val="1"/>
      <w:marLeft w:val="0"/>
      <w:marRight w:val="0"/>
      <w:marTop w:val="0"/>
      <w:marBottom w:val="0"/>
      <w:divBdr>
        <w:top w:val="none" w:sz="0" w:space="0" w:color="auto"/>
        <w:left w:val="none" w:sz="0" w:space="0" w:color="auto"/>
        <w:bottom w:val="none" w:sz="0" w:space="0" w:color="auto"/>
        <w:right w:val="none" w:sz="0" w:space="0" w:color="auto"/>
      </w:divBdr>
    </w:div>
    <w:div w:id="1560747629">
      <w:bodyDiv w:val="1"/>
      <w:marLeft w:val="0"/>
      <w:marRight w:val="0"/>
      <w:marTop w:val="0"/>
      <w:marBottom w:val="0"/>
      <w:divBdr>
        <w:top w:val="none" w:sz="0" w:space="0" w:color="auto"/>
        <w:left w:val="none" w:sz="0" w:space="0" w:color="auto"/>
        <w:bottom w:val="none" w:sz="0" w:space="0" w:color="auto"/>
        <w:right w:val="none" w:sz="0" w:space="0" w:color="auto"/>
      </w:divBdr>
    </w:div>
    <w:div w:id="16525576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2159333">
      <w:bodyDiv w:val="1"/>
      <w:marLeft w:val="0"/>
      <w:marRight w:val="0"/>
      <w:marTop w:val="0"/>
      <w:marBottom w:val="0"/>
      <w:divBdr>
        <w:top w:val="none" w:sz="0" w:space="0" w:color="auto"/>
        <w:left w:val="none" w:sz="0" w:space="0" w:color="auto"/>
        <w:bottom w:val="none" w:sz="0" w:space="0" w:color="auto"/>
        <w:right w:val="none" w:sz="0" w:space="0" w:color="auto"/>
      </w:divBdr>
    </w:div>
    <w:div w:id="192841555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733A5-1701-468F-9E8C-71084840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399</TotalTime>
  <Pages>19</Pages>
  <Words>7463</Words>
  <Characters>42544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49908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34</cp:revision>
  <cp:lastPrinted>1999-07-06T11:00:00Z</cp:lastPrinted>
  <dcterms:created xsi:type="dcterms:W3CDTF">2014-10-25T14:34:00Z</dcterms:created>
  <dcterms:modified xsi:type="dcterms:W3CDTF">2025-05-28T12:09:00Z</dcterms:modified>
</cp:coreProperties>
</file>