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4DC93" w14:textId="06BEAFCC" w:rsidR="00127B6F" w:rsidRDefault="00113612" w:rsidP="00127B6F">
      <w:pPr>
        <w:spacing w:line="360" w:lineRule="auto"/>
        <w:jc w:val="center"/>
        <w:rPr>
          <w:rFonts w:ascii="Times New Roman" w:hAnsi="Times New Roman" w:cs="Times New Roman"/>
          <w:b/>
          <w:bCs/>
          <w:sz w:val="24"/>
          <w:szCs w:val="24"/>
        </w:rPr>
      </w:pPr>
      <w:r w:rsidRPr="00113612">
        <w:rPr>
          <w:rFonts w:ascii="Times New Roman" w:hAnsi="Times New Roman" w:cs="Times New Roman"/>
          <w:b/>
          <w:bCs/>
          <w:sz w:val="24"/>
          <w:szCs w:val="24"/>
        </w:rPr>
        <w:t>Empowering Dairy Farmers Through Milk Producer Companies: A Review of Policies, Stakeholders</w:t>
      </w:r>
      <w:r w:rsidR="00EF2941">
        <w:rPr>
          <w:rFonts w:ascii="Times New Roman" w:hAnsi="Times New Roman" w:cs="Times New Roman"/>
          <w:b/>
          <w:bCs/>
          <w:sz w:val="24"/>
          <w:szCs w:val="24"/>
        </w:rPr>
        <w:t xml:space="preserve"> </w:t>
      </w:r>
      <w:r w:rsidRPr="00113612">
        <w:rPr>
          <w:rFonts w:ascii="Times New Roman" w:hAnsi="Times New Roman" w:cs="Times New Roman"/>
          <w:b/>
          <w:bCs/>
          <w:sz w:val="24"/>
          <w:szCs w:val="24"/>
        </w:rPr>
        <w:t>and Extension Interventions</w:t>
      </w:r>
    </w:p>
    <w:p w14:paraId="6059C00D" w14:textId="05F13D8C" w:rsidR="00113612" w:rsidRDefault="00113612" w:rsidP="002156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49A95BA" w14:textId="77777777" w:rsidR="00400383" w:rsidRDefault="007B5ACF" w:rsidP="002156CC">
      <w:pPr>
        <w:spacing w:line="360" w:lineRule="auto"/>
        <w:jc w:val="both"/>
        <w:rPr>
          <w:rFonts w:ascii="Times New Roman" w:hAnsi="Times New Roman" w:cs="Times New Roman"/>
          <w:sz w:val="24"/>
          <w:szCs w:val="24"/>
        </w:rPr>
      </w:pPr>
      <w:r w:rsidRPr="007B5ACF">
        <w:rPr>
          <w:rFonts w:ascii="Times New Roman" w:hAnsi="Times New Roman" w:cs="Times New Roman"/>
          <w:sz w:val="24"/>
          <w:szCs w:val="24"/>
        </w:rPr>
        <w:t>India’s dairy sector, largely dominated by small and marginal farmers, remains vital for rural livelihoods but is hindered by structural challenges including fragmented landholding, low bargaining power, inadequate veterinary services</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market inefficiencies. Despite contributing over 70% of the nation’s milk supply, these producers face high input costs, limited access to credit and technology</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poor price realization. In response, Milk Producer Companies</w:t>
      </w:r>
      <w:r>
        <w:rPr>
          <w:rFonts w:ascii="Times New Roman" w:hAnsi="Times New Roman" w:cs="Times New Roman"/>
          <w:sz w:val="24"/>
          <w:szCs w:val="24"/>
        </w:rPr>
        <w:t xml:space="preserve"> </w:t>
      </w:r>
      <w:r w:rsidRPr="007B5ACF">
        <w:rPr>
          <w:rFonts w:ascii="Times New Roman" w:hAnsi="Times New Roman" w:cs="Times New Roman"/>
          <w:sz w:val="24"/>
          <w:szCs w:val="24"/>
        </w:rPr>
        <w:t>a form of Farmer Producer Organizations</w:t>
      </w:r>
      <w:r>
        <w:rPr>
          <w:rFonts w:ascii="Times New Roman" w:hAnsi="Times New Roman" w:cs="Times New Roman"/>
          <w:sz w:val="24"/>
          <w:szCs w:val="24"/>
        </w:rPr>
        <w:t xml:space="preserve"> </w:t>
      </w:r>
      <w:r w:rsidR="002F599E" w:rsidRPr="007B5ACF">
        <w:rPr>
          <w:rFonts w:ascii="Times New Roman" w:hAnsi="Times New Roman" w:cs="Times New Roman"/>
          <w:sz w:val="24"/>
          <w:szCs w:val="24"/>
        </w:rPr>
        <w:t>has</w:t>
      </w:r>
      <w:r w:rsidRPr="007B5ACF">
        <w:rPr>
          <w:rFonts w:ascii="Times New Roman" w:hAnsi="Times New Roman" w:cs="Times New Roman"/>
          <w:sz w:val="24"/>
          <w:szCs w:val="24"/>
        </w:rPr>
        <w:t xml:space="preserve"> emerged as an effective institutional mechanism. MPCs consolidate farmers resources, enablin</w:t>
      </w:r>
      <w:bookmarkStart w:id="0" w:name="_GoBack"/>
      <w:bookmarkEnd w:id="0"/>
      <w:r w:rsidRPr="007B5ACF">
        <w:rPr>
          <w:rFonts w:ascii="Times New Roman" w:hAnsi="Times New Roman" w:cs="Times New Roman"/>
          <w:sz w:val="24"/>
          <w:szCs w:val="24"/>
        </w:rPr>
        <w:t>g collective procurement, value addition</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direct market engagement. Supported by government bodies such as SFAC, NABARD</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NDDB, along with NGOs and private stakeholders, MPCs are bolstered through financial aid, capacity-building</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infrastructure support. Extension services play a pivotal role in training, technology adoption</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governance enhancement. Case studies like Shreeja and Karimnagar MPCs exemplify success in women empowerment, operational efficiency</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sustainable growth. However, challenges such as fodder scarcity, limited financial inclusion, and weak governance persist. This review highlights the transformative potential of MPCs in reshaping India’s dairy economy through inclusive, market-driven</w:t>
      </w:r>
      <w:r w:rsidR="000326EE">
        <w:rPr>
          <w:rFonts w:ascii="Times New Roman" w:hAnsi="Times New Roman" w:cs="Times New Roman"/>
          <w:sz w:val="24"/>
          <w:szCs w:val="24"/>
        </w:rPr>
        <w:t xml:space="preserve"> </w:t>
      </w:r>
      <w:r w:rsidRPr="007B5ACF">
        <w:rPr>
          <w:rFonts w:ascii="Times New Roman" w:hAnsi="Times New Roman" w:cs="Times New Roman"/>
          <w:sz w:val="24"/>
          <w:szCs w:val="24"/>
        </w:rPr>
        <w:t>and scalable models. Strengthening institutional support, promoting digital integration</w:t>
      </w:r>
      <w:r w:rsidR="000326EE">
        <w:rPr>
          <w:rFonts w:ascii="Times New Roman" w:hAnsi="Times New Roman" w:cs="Times New Roman"/>
          <w:sz w:val="24"/>
          <w:szCs w:val="24"/>
        </w:rPr>
        <w:t xml:space="preserve"> </w:t>
      </w:r>
      <w:r w:rsidRPr="007B5ACF">
        <w:rPr>
          <w:rFonts w:ascii="Times New Roman" w:hAnsi="Times New Roman" w:cs="Times New Roman"/>
          <w:sz w:val="24"/>
          <w:szCs w:val="24"/>
        </w:rPr>
        <w:t>and fostering leadership are essential to ensuring MPCs become resilient, self-sustaining enterprises that uplift millions of rural dairy farmers.</w:t>
      </w:r>
    </w:p>
    <w:p w14:paraId="7C66EFEE" w14:textId="33C26B49" w:rsidR="002F599E" w:rsidRPr="007B5ACF" w:rsidRDefault="002F599E" w:rsidP="002156CC">
      <w:pPr>
        <w:spacing w:line="360" w:lineRule="auto"/>
        <w:jc w:val="both"/>
        <w:rPr>
          <w:rFonts w:ascii="Times New Roman" w:hAnsi="Times New Roman" w:cs="Times New Roman"/>
          <w:sz w:val="24"/>
          <w:szCs w:val="24"/>
        </w:rPr>
      </w:pPr>
      <w:r w:rsidRPr="00BD6A01">
        <w:rPr>
          <w:rFonts w:ascii="Times New Roman" w:hAnsi="Times New Roman" w:cs="Times New Roman"/>
          <w:b/>
          <w:bCs/>
          <w:i/>
          <w:iCs/>
          <w:sz w:val="24"/>
          <w:szCs w:val="24"/>
          <w:lang w:val="en-US"/>
        </w:rPr>
        <w:t>Keywords</w:t>
      </w:r>
      <w:r>
        <w:rPr>
          <w:rFonts w:ascii="Times New Roman" w:hAnsi="Times New Roman" w:cs="Times New Roman"/>
          <w:b/>
          <w:bCs/>
          <w:i/>
          <w:iCs/>
          <w:sz w:val="24"/>
          <w:szCs w:val="24"/>
          <w:lang w:val="en-US"/>
        </w:rPr>
        <w:t xml:space="preserve">- </w:t>
      </w:r>
      <w:r w:rsidRPr="00A5608B">
        <w:rPr>
          <w:rFonts w:ascii="Times New Roman" w:hAnsi="Times New Roman" w:cs="Times New Roman"/>
          <w:sz w:val="24"/>
          <w:szCs w:val="24"/>
        </w:rPr>
        <w:t>Milk Producer Companies, Smallholder Farmers, Institutional Support, Extension Services, Challenges</w:t>
      </w:r>
    </w:p>
    <w:p w14:paraId="38DFA811" w14:textId="5F97DF2E" w:rsidR="008C48D3" w:rsidRPr="002156CC" w:rsidRDefault="008C48D3" w:rsidP="002156CC">
      <w:p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 xml:space="preserve">Introduction </w:t>
      </w:r>
    </w:p>
    <w:p w14:paraId="773F5609" w14:textId="399F32A6" w:rsidR="008C48D3" w:rsidRPr="002156CC" w:rsidRDefault="008C48D3" w:rsidP="00113612">
      <w:pPr>
        <w:spacing w:line="360" w:lineRule="auto"/>
        <w:ind w:firstLine="720"/>
        <w:jc w:val="both"/>
        <w:rPr>
          <w:rFonts w:ascii="Times New Roman" w:hAnsi="Times New Roman" w:cs="Times New Roman"/>
          <w:sz w:val="24"/>
          <w:szCs w:val="24"/>
        </w:rPr>
      </w:pPr>
      <w:r w:rsidRPr="002156CC">
        <w:rPr>
          <w:rFonts w:ascii="Times New Roman" w:hAnsi="Times New Roman" w:cs="Times New Roman"/>
          <w:sz w:val="24"/>
          <w:szCs w:val="24"/>
        </w:rPr>
        <w:t>Agriculture and allied activities remain the backbone of rural livelihoods in India, engaging over 93 million households and upwards of 90 million individual farmers, the majority of whom own less than two hectares of land. This fragmentation leads to low production volumes, minimal bargaining power</w:t>
      </w:r>
      <w:r w:rsidR="000326EE">
        <w:rPr>
          <w:rFonts w:ascii="Times New Roman" w:hAnsi="Times New Roman" w:cs="Times New Roman"/>
          <w:sz w:val="24"/>
          <w:szCs w:val="24"/>
        </w:rPr>
        <w:t xml:space="preserve"> </w:t>
      </w:r>
      <w:r w:rsidRPr="002156CC">
        <w:rPr>
          <w:rFonts w:ascii="Times New Roman" w:hAnsi="Times New Roman" w:cs="Times New Roman"/>
          <w:sz w:val="24"/>
          <w:szCs w:val="24"/>
        </w:rPr>
        <w:t>and dependence on local traders for immediate sales</w:t>
      </w:r>
      <w:r w:rsidR="000326EE">
        <w:rPr>
          <w:rFonts w:ascii="Times New Roman" w:hAnsi="Times New Roman" w:cs="Times New Roman"/>
          <w:sz w:val="24"/>
          <w:szCs w:val="24"/>
        </w:rPr>
        <w:t xml:space="preserve"> </w:t>
      </w:r>
      <w:r w:rsidRPr="002156CC">
        <w:rPr>
          <w:rFonts w:ascii="Times New Roman" w:hAnsi="Times New Roman" w:cs="Times New Roman"/>
          <w:sz w:val="24"/>
          <w:szCs w:val="24"/>
        </w:rPr>
        <w:t xml:space="preserve">often at suboptimal prices. The dairy sector, a critical subsector of agriculture, exemplifies these challenges: although India accounts for nearly 16 percent of global milk production, more than 80 percent of producers are small and marginal farmers owning only two to three animals each, collectively supplying over 70 percent of the nation’s milk (Meena et al., 2020). High </w:t>
      </w:r>
      <w:r w:rsidRPr="002156CC">
        <w:rPr>
          <w:rFonts w:ascii="Times New Roman" w:hAnsi="Times New Roman" w:cs="Times New Roman"/>
          <w:sz w:val="24"/>
          <w:szCs w:val="24"/>
        </w:rPr>
        <w:lastRenderedPageBreak/>
        <w:t>transaction costs, market imperfections</w:t>
      </w:r>
      <w:r w:rsidR="00667A9C">
        <w:rPr>
          <w:rFonts w:ascii="Times New Roman" w:hAnsi="Times New Roman" w:cs="Times New Roman"/>
          <w:sz w:val="24"/>
          <w:szCs w:val="24"/>
        </w:rPr>
        <w:t xml:space="preserve"> </w:t>
      </w:r>
      <w:r w:rsidRPr="002156CC">
        <w:rPr>
          <w:rFonts w:ascii="Times New Roman" w:hAnsi="Times New Roman" w:cs="Times New Roman"/>
          <w:sz w:val="24"/>
          <w:szCs w:val="24"/>
        </w:rPr>
        <w:t>and limited access to credit and technology further compound their vulnerability, resulting in producer shares in consumer prices that are often lower than those of intermediaries (Mukherjee et al., 2018).</w:t>
      </w:r>
    </w:p>
    <w:p w14:paraId="53D48A82" w14:textId="676041E8" w:rsidR="008C48D3" w:rsidRPr="002156CC" w:rsidRDefault="008C48D3" w:rsidP="00113612">
      <w:pPr>
        <w:spacing w:line="360" w:lineRule="auto"/>
        <w:ind w:firstLine="720"/>
        <w:jc w:val="both"/>
        <w:rPr>
          <w:rFonts w:ascii="Times New Roman" w:hAnsi="Times New Roman" w:cs="Times New Roman"/>
          <w:sz w:val="24"/>
          <w:szCs w:val="24"/>
        </w:rPr>
      </w:pPr>
      <w:r w:rsidRPr="002156CC">
        <w:rPr>
          <w:rFonts w:ascii="Times New Roman" w:hAnsi="Times New Roman" w:cs="Times New Roman"/>
          <w:sz w:val="24"/>
          <w:szCs w:val="24"/>
        </w:rPr>
        <w:t>To overcome these constraints, Farmer Producer Organizations (FPOs) and in particular, Producer Companies (or Farmer Producer Companies, FPCs) have been promoted as hybrid institutional models that combine the cooperative ethos with the regulatory discipline of private limited companies. By enabling farmers to pool produce, access value‐addition services (grading, sorting, processing)</w:t>
      </w:r>
      <w:r w:rsidR="00667A9C">
        <w:rPr>
          <w:rFonts w:ascii="Times New Roman" w:hAnsi="Times New Roman" w:cs="Times New Roman"/>
          <w:sz w:val="24"/>
          <w:szCs w:val="24"/>
        </w:rPr>
        <w:t xml:space="preserve"> </w:t>
      </w:r>
      <w:r w:rsidRPr="002156CC">
        <w:rPr>
          <w:rFonts w:ascii="Times New Roman" w:hAnsi="Times New Roman" w:cs="Times New Roman"/>
          <w:sz w:val="24"/>
          <w:szCs w:val="24"/>
        </w:rPr>
        <w:t>and negotiate collectively with buyers, FPCs enhance economies of scale, reduce transaction costs, and improve market linkages</w:t>
      </w:r>
      <w:r w:rsidR="00FA47F1">
        <w:rPr>
          <w:rFonts w:ascii="Times New Roman" w:hAnsi="Times New Roman" w:cs="Times New Roman"/>
          <w:sz w:val="24"/>
          <w:szCs w:val="24"/>
        </w:rPr>
        <w:t xml:space="preserve">. </w:t>
      </w:r>
      <w:r w:rsidRPr="002156CC">
        <w:rPr>
          <w:rFonts w:ascii="Times New Roman" w:hAnsi="Times New Roman" w:cs="Times New Roman"/>
          <w:sz w:val="24"/>
          <w:szCs w:val="24"/>
        </w:rPr>
        <w:t>In the dairy sector, this model is especially pertinent: a milk producer company restricts membership to primary producers, thereby ensuring that farmers retain ownership stakes, influence pricing</w:t>
      </w:r>
      <w:r w:rsidR="00667A9C">
        <w:rPr>
          <w:rFonts w:ascii="Times New Roman" w:hAnsi="Times New Roman" w:cs="Times New Roman"/>
          <w:sz w:val="24"/>
          <w:szCs w:val="24"/>
        </w:rPr>
        <w:t xml:space="preserve"> </w:t>
      </w:r>
      <w:r w:rsidRPr="002156CC">
        <w:rPr>
          <w:rFonts w:ascii="Times New Roman" w:hAnsi="Times New Roman" w:cs="Times New Roman"/>
          <w:sz w:val="24"/>
          <w:szCs w:val="24"/>
        </w:rPr>
        <w:t>and benefit directly from organized-sector growth</w:t>
      </w:r>
      <w:r w:rsidR="00FA47F1">
        <w:rPr>
          <w:rFonts w:ascii="Times New Roman" w:hAnsi="Times New Roman" w:cs="Times New Roman"/>
          <w:sz w:val="24"/>
          <w:szCs w:val="24"/>
        </w:rPr>
        <w:t xml:space="preserve"> </w:t>
      </w:r>
      <w:r w:rsidR="00FA47F1" w:rsidRPr="002156CC">
        <w:rPr>
          <w:rFonts w:ascii="Times New Roman" w:hAnsi="Times New Roman" w:cs="Times New Roman"/>
          <w:sz w:val="24"/>
          <w:szCs w:val="24"/>
        </w:rPr>
        <w:t>(Sahu, 2014).</w:t>
      </w:r>
    </w:p>
    <w:p w14:paraId="1BD28528" w14:textId="34F6FBDE" w:rsidR="008C48D3" w:rsidRPr="002156CC" w:rsidRDefault="008C48D3" w:rsidP="00113612">
      <w:pPr>
        <w:spacing w:line="360" w:lineRule="auto"/>
        <w:ind w:firstLine="720"/>
        <w:jc w:val="both"/>
        <w:rPr>
          <w:rFonts w:ascii="Times New Roman" w:hAnsi="Times New Roman" w:cs="Times New Roman"/>
          <w:sz w:val="24"/>
          <w:szCs w:val="24"/>
        </w:rPr>
      </w:pPr>
      <w:r w:rsidRPr="002156CC">
        <w:rPr>
          <w:rFonts w:ascii="Times New Roman" w:hAnsi="Times New Roman" w:cs="Times New Roman"/>
          <w:sz w:val="24"/>
          <w:szCs w:val="24"/>
        </w:rPr>
        <w:t>Given sustained governmental emphasis</w:t>
      </w:r>
      <w:r w:rsidR="007B5ACF">
        <w:rPr>
          <w:rFonts w:ascii="Times New Roman" w:hAnsi="Times New Roman" w:cs="Times New Roman"/>
          <w:sz w:val="24"/>
          <w:szCs w:val="24"/>
        </w:rPr>
        <w:t xml:space="preserve"> </w:t>
      </w:r>
      <w:r w:rsidRPr="002156CC">
        <w:rPr>
          <w:rFonts w:ascii="Times New Roman" w:hAnsi="Times New Roman" w:cs="Times New Roman"/>
          <w:sz w:val="24"/>
          <w:szCs w:val="24"/>
        </w:rPr>
        <w:t>evidenced by the CAGR of 7.38 percent in livestock GVA between 2014</w:t>
      </w:r>
      <w:r w:rsidR="00FA47F1">
        <w:rPr>
          <w:rFonts w:ascii="Times New Roman" w:hAnsi="Times New Roman" w:cs="Times New Roman"/>
          <w:sz w:val="24"/>
          <w:szCs w:val="24"/>
        </w:rPr>
        <w:t>-</w:t>
      </w:r>
      <w:r w:rsidRPr="002156CC">
        <w:rPr>
          <w:rFonts w:ascii="Times New Roman" w:hAnsi="Times New Roman" w:cs="Times New Roman"/>
          <w:sz w:val="24"/>
          <w:szCs w:val="24"/>
        </w:rPr>
        <w:t>15 and 2022</w:t>
      </w:r>
      <w:r w:rsidR="00FA47F1">
        <w:rPr>
          <w:rFonts w:ascii="Times New Roman" w:hAnsi="Times New Roman" w:cs="Times New Roman"/>
          <w:sz w:val="24"/>
          <w:szCs w:val="24"/>
        </w:rPr>
        <w:t>-</w:t>
      </w:r>
      <w:r w:rsidRPr="002156CC">
        <w:rPr>
          <w:rFonts w:ascii="Times New Roman" w:hAnsi="Times New Roman" w:cs="Times New Roman"/>
          <w:sz w:val="24"/>
          <w:szCs w:val="24"/>
        </w:rPr>
        <w:t>23 and the dairy sector’s projected growth from INR 16,792 billion in 2023 to nearly INR 49,954 billion by 2032</w:t>
      </w:r>
      <w:r w:rsidR="00FA47F1">
        <w:rPr>
          <w:rFonts w:ascii="Times New Roman" w:hAnsi="Times New Roman" w:cs="Times New Roman"/>
          <w:sz w:val="24"/>
          <w:szCs w:val="24"/>
        </w:rPr>
        <w:t xml:space="preserve"> </w:t>
      </w:r>
      <w:r w:rsidRPr="002156CC">
        <w:rPr>
          <w:rFonts w:ascii="Times New Roman" w:hAnsi="Times New Roman" w:cs="Times New Roman"/>
          <w:sz w:val="24"/>
          <w:szCs w:val="24"/>
        </w:rPr>
        <w:t>the strengthening of institutional frameworks to support producer companies is both timely and necessary. Rapid expansion of cold chains, e-commerce platforms</w:t>
      </w:r>
      <w:r w:rsidR="00FA47F1">
        <w:rPr>
          <w:rFonts w:ascii="Times New Roman" w:hAnsi="Times New Roman" w:cs="Times New Roman"/>
          <w:sz w:val="24"/>
          <w:szCs w:val="24"/>
        </w:rPr>
        <w:t xml:space="preserve"> </w:t>
      </w:r>
      <w:r w:rsidRPr="002156CC">
        <w:rPr>
          <w:rFonts w:ascii="Times New Roman" w:hAnsi="Times New Roman" w:cs="Times New Roman"/>
          <w:sz w:val="24"/>
          <w:szCs w:val="24"/>
        </w:rPr>
        <w:t xml:space="preserve">and retail networks </w:t>
      </w:r>
      <w:r w:rsidR="00FA47F1" w:rsidRPr="002156CC">
        <w:rPr>
          <w:rFonts w:ascii="Times New Roman" w:hAnsi="Times New Roman" w:cs="Times New Roman"/>
          <w:sz w:val="24"/>
          <w:szCs w:val="24"/>
        </w:rPr>
        <w:t>underscore</w:t>
      </w:r>
      <w:r w:rsidRPr="002156CC">
        <w:rPr>
          <w:rFonts w:ascii="Times New Roman" w:hAnsi="Times New Roman" w:cs="Times New Roman"/>
          <w:sz w:val="24"/>
          <w:szCs w:val="24"/>
        </w:rPr>
        <w:t xml:space="preserve"> the need for robust producer participation to ensure equitable value distribution and livelihood security for millions of smallholder dairy farmers</w:t>
      </w:r>
      <w:r w:rsidR="00FA47F1">
        <w:rPr>
          <w:rFonts w:ascii="Times New Roman" w:hAnsi="Times New Roman" w:cs="Times New Roman"/>
          <w:sz w:val="24"/>
          <w:szCs w:val="24"/>
        </w:rPr>
        <w:t xml:space="preserve"> </w:t>
      </w:r>
      <w:r w:rsidR="00FA47F1" w:rsidRPr="00FA47F1">
        <w:rPr>
          <w:rFonts w:ascii="Times New Roman" w:hAnsi="Times New Roman" w:cs="Times New Roman"/>
          <w:sz w:val="24"/>
          <w:szCs w:val="24"/>
        </w:rPr>
        <w:t>(Ministry of Agriculture &amp; Farmers Welfare, 2025)</w:t>
      </w:r>
      <w:r w:rsidR="00FA47F1">
        <w:rPr>
          <w:rFonts w:ascii="Times New Roman" w:hAnsi="Times New Roman" w:cs="Times New Roman"/>
          <w:sz w:val="24"/>
          <w:szCs w:val="24"/>
        </w:rPr>
        <w:t>.</w:t>
      </w:r>
    </w:p>
    <w:p w14:paraId="5F0710A3" w14:textId="77777777" w:rsidR="002156CC" w:rsidRDefault="002156CC" w:rsidP="002156CC">
      <w:pPr>
        <w:spacing w:line="360" w:lineRule="auto"/>
        <w:jc w:val="both"/>
        <w:rPr>
          <w:rFonts w:ascii="Times New Roman" w:hAnsi="Times New Roman" w:cs="Times New Roman"/>
          <w:b/>
          <w:bCs/>
          <w:sz w:val="24"/>
          <w:szCs w:val="24"/>
        </w:rPr>
      </w:pPr>
    </w:p>
    <w:p w14:paraId="366059AB" w14:textId="5D1BF0C0"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Institutional Support Mechanisms</w:t>
      </w:r>
      <w:r w:rsidR="00113612">
        <w:rPr>
          <w:rFonts w:ascii="Times New Roman" w:hAnsi="Times New Roman" w:cs="Times New Roman"/>
          <w:b/>
          <w:bCs/>
          <w:sz w:val="24"/>
          <w:szCs w:val="24"/>
        </w:rPr>
        <w:t xml:space="preserve"> for FPOs</w:t>
      </w:r>
    </w:p>
    <w:p w14:paraId="295CBD21"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Government Agencies</w:t>
      </w:r>
    </w:p>
    <w:p w14:paraId="65D063D1" w14:textId="165801D7" w:rsidR="008C48D3" w:rsidRPr="007B5ACF" w:rsidRDefault="008C48D3" w:rsidP="007B5ACF">
      <w:pPr>
        <w:pStyle w:val="ListParagraph"/>
        <w:numPr>
          <w:ilvl w:val="0"/>
          <w:numId w:val="1"/>
        </w:numPr>
        <w:spacing w:line="360" w:lineRule="auto"/>
        <w:jc w:val="both"/>
        <w:rPr>
          <w:rFonts w:ascii="Times New Roman" w:hAnsi="Times New Roman" w:cs="Times New Roman"/>
          <w:sz w:val="24"/>
          <w:szCs w:val="24"/>
        </w:rPr>
      </w:pPr>
      <w:r w:rsidRPr="007B5ACF">
        <w:rPr>
          <w:rFonts w:ascii="Times New Roman" w:hAnsi="Times New Roman" w:cs="Times New Roman"/>
          <w:b/>
          <w:bCs/>
          <w:sz w:val="24"/>
          <w:szCs w:val="24"/>
        </w:rPr>
        <w:t>Small Farmers’ Agribusiness Consortium (SFAC)</w:t>
      </w:r>
      <w:r w:rsidR="00113612" w:rsidRPr="007B5ACF">
        <w:rPr>
          <w:rFonts w:ascii="Times New Roman" w:hAnsi="Times New Roman" w:cs="Times New Roman"/>
          <w:b/>
          <w:bCs/>
          <w:sz w:val="24"/>
          <w:szCs w:val="24"/>
        </w:rPr>
        <w:t xml:space="preserve">: </w:t>
      </w:r>
      <w:r w:rsidRPr="007B5ACF">
        <w:rPr>
          <w:rFonts w:ascii="Times New Roman" w:hAnsi="Times New Roman" w:cs="Times New Roman"/>
          <w:sz w:val="24"/>
          <w:szCs w:val="24"/>
        </w:rPr>
        <w:t>Under the Department of Agriculture, Cooperation &amp; Farmers’ Welfare (DAC&amp;FW), SFAC plays a pivotal role in FPC formation and handholding. Its support includes farmer mobilization through Resource Institutions, legal assistance for Companies Act registration, CEO and board training on governance and regulatory compliance</w:t>
      </w:r>
      <w:r w:rsidR="00FA47F1">
        <w:rPr>
          <w:rFonts w:ascii="Times New Roman" w:hAnsi="Times New Roman" w:cs="Times New Roman"/>
          <w:sz w:val="24"/>
          <w:szCs w:val="24"/>
        </w:rPr>
        <w:t xml:space="preserve"> </w:t>
      </w:r>
      <w:r w:rsidRPr="007B5ACF">
        <w:rPr>
          <w:rFonts w:ascii="Times New Roman" w:hAnsi="Times New Roman" w:cs="Times New Roman"/>
          <w:sz w:val="24"/>
          <w:szCs w:val="24"/>
        </w:rPr>
        <w:t>and infrastructure linkage. Financially, SFAC provides an equity grant of up to ₹10 lakh to double producer share capital</w:t>
      </w:r>
      <w:r w:rsidR="00FA47F1">
        <w:rPr>
          <w:rFonts w:ascii="Times New Roman" w:hAnsi="Times New Roman" w:cs="Times New Roman"/>
          <w:sz w:val="24"/>
          <w:szCs w:val="24"/>
        </w:rPr>
        <w:t xml:space="preserve"> </w:t>
      </w:r>
      <w:r w:rsidRPr="007B5ACF">
        <w:rPr>
          <w:rFonts w:ascii="Times New Roman" w:hAnsi="Times New Roman" w:cs="Times New Roman"/>
          <w:sz w:val="24"/>
          <w:szCs w:val="24"/>
        </w:rPr>
        <w:t>and manages a ₹100 crore Credit Guarantee Fund to enable unsecured lending to FPCs. Administrative costs (CEO salaries, office expenses) are also subsidized for three years post‐registration (SFAC, 2019).</w:t>
      </w:r>
    </w:p>
    <w:p w14:paraId="0692380C" w14:textId="60BFC6CD" w:rsidR="008C48D3" w:rsidRPr="002156CC" w:rsidRDefault="008C48D3" w:rsidP="002156CC">
      <w:pPr>
        <w:numPr>
          <w:ilvl w:val="0"/>
          <w:numId w:val="1"/>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lastRenderedPageBreak/>
        <w:t>National Bank for Agriculture and Rural Development (NABARD)</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NABARD’s Producer Organisation Development Fund finances share‐capital contributions on a 1:1 matching basis, enabling higher credit access without collateral (up to ₹25 lakh per PO, capped at ₹25,000 per member). It also customizes composite loans for business operations, asset creation</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working capital. Capacity‐building grants (up to 20 percent of loan amounts) cover skill development, business planning, technological extension, exposure visits</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 xml:space="preserve">and partnerships with agricultural universities. Under its Farm Sector Promotion Fund (FSPF), NABARD extends financial literacy, credit </w:t>
      </w:r>
      <w:r w:rsidR="00584327" w:rsidRPr="002156CC">
        <w:rPr>
          <w:rFonts w:ascii="Times New Roman" w:hAnsi="Times New Roman" w:cs="Times New Roman"/>
          <w:sz w:val="24"/>
          <w:szCs w:val="24"/>
        </w:rPr>
        <w:t>counselling</w:t>
      </w:r>
      <w:r w:rsidRPr="002156CC">
        <w:rPr>
          <w:rFonts w:ascii="Times New Roman" w:hAnsi="Times New Roman" w:cs="Times New Roman"/>
          <w:sz w:val="24"/>
          <w:szCs w:val="24"/>
        </w:rPr>
        <w:t>, technology demonstrations</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marketing infrastructure support, including rural haats and tie‐ups with buyers (Kumar, 2020).</w:t>
      </w:r>
    </w:p>
    <w:p w14:paraId="327CE626" w14:textId="65F2CD80" w:rsidR="008C48D3" w:rsidRPr="002156CC" w:rsidRDefault="008C48D3" w:rsidP="002156CC">
      <w:pPr>
        <w:numPr>
          <w:ilvl w:val="0"/>
          <w:numId w:val="1"/>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National Dairy Development Board (NDDB) and State Departments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NDDB, with its expertise in cooperative development (e.g., Operation Flood), provides technical assistance, breed improvement programs</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model reproduction. State animal husbandry and dairy development departments complement these efforts through veterinary services, animal health camps</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subsidy‐based schemes for milking machines, fodder development</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infrastructure</w:t>
      </w:r>
      <w:r w:rsidR="003B0A34">
        <w:rPr>
          <w:rFonts w:ascii="Times New Roman" w:hAnsi="Times New Roman" w:cs="Times New Roman"/>
          <w:sz w:val="24"/>
          <w:szCs w:val="24"/>
        </w:rPr>
        <w:t xml:space="preserve"> (</w:t>
      </w:r>
      <w:r w:rsidR="003B0A34" w:rsidRPr="00FF56E9">
        <w:rPr>
          <w:rFonts w:ascii="Times New Roman" w:hAnsi="Times New Roman" w:cs="Times New Roman"/>
          <w:sz w:val="24"/>
          <w:szCs w:val="24"/>
        </w:rPr>
        <w:t>NDDB</w:t>
      </w:r>
      <w:r w:rsidR="003B0A34">
        <w:rPr>
          <w:rFonts w:ascii="Times New Roman" w:hAnsi="Times New Roman" w:cs="Times New Roman"/>
          <w:sz w:val="24"/>
          <w:szCs w:val="24"/>
        </w:rPr>
        <w:t xml:space="preserve">, </w:t>
      </w:r>
      <w:r w:rsidR="003B0A34" w:rsidRPr="00FF56E9">
        <w:rPr>
          <w:rFonts w:ascii="Times New Roman" w:hAnsi="Times New Roman" w:cs="Times New Roman"/>
          <w:sz w:val="24"/>
          <w:szCs w:val="24"/>
        </w:rPr>
        <w:t>2020</w:t>
      </w:r>
      <w:r w:rsidR="003B0A34">
        <w:rPr>
          <w:rFonts w:ascii="Times New Roman" w:hAnsi="Times New Roman" w:cs="Times New Roman"/>
          <w:sz w:val="24"/>
          <w:szCs w:val="24"/>
        </w:rPr>
        <w:t>).</w:t>
      </w:r>
    </w:p>
    <w:p w14:paraId="7C9605B6"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Financial Institutions</w:t>
      </w:r>
    </w:p>
    <w:p w14:paraId="22660304" w14:textId="1D749187" w:rsidR="008C48D3" w:rsidRPr="007B5ACF" w:rsidRDefault="008C48D3" w:rsidP="007B5ACF">
      <w:pPr>
        <w:pStyle w:val="ListParagraph"/>
        <w:numPr>
          <w:ilvl w:val="0"/>
          <w:numId w:val="2"/>
        </w:numPr>
        <w:spacing w:line="360" w:lineRule="auto"/>
        <w:jc w:val="both"/>
        <w:rPr>
          <w:rFonts w:ascii="Times New Roman" w:hAnsi="Times New Roman" w:cs="Times New Roman"/>
          <w:sz w:val="24"/>
          <w:szCs w:val="24"/>
        </w:rPr>
      </w:pPr>
      <w:r w:rsidRPr="007B5ACF">
        <w:rPr>
          <w:rFonts w:ascii="Times New Roman" w:hAnsi="Times New Roman" w:cs="Times New Roman"/>
          <w:b/>
          <w:bCs/>
          <w:sz w:val="24"/>
          <w:szCs w:val="24"/>
        </w:rPr>
        <w:t>Commercial</w:t>
      </w:r>
      <w:r w:rsidR="00113612" w:rsidRPr="007B5ACF">
        <w:rPr>
          <w:rFonts w:ascii="Times New Roman" w:hAnsi="Times New Roman" w:cs="Times New Roman"/>
          <w:b/>
          <w:bCs/>
          <w:sz w:val="24"/>
          <w:szCs w:val="24"/>
        </w:rPr>
        <w:t xml:space="preserve"> </w:t>
      </w:r>
      <w:r w:rsidRPr="007B5ACF">
        <w:rPr>
          <w:rFonts w:ascii="Times New Roman" w:hAnsi="Times New Roman" w:cs="Times New Roman"/>
          <w:b/>
          <w:bCs/>
          <w:sz w:val="24"/>
          <w:szCs w:val="24"/>
        </w:rPr>
        <w:t>Banks and Cooperative Banks</w:t>
      </w:r>
      <w:r w:rsidR="00113612" w:rsidRPr="007B5ACF">
        <w:rPr>
          <w:rFonts w:ascii="Times New Roman" w:hAnsi="Times New Roman" w:cs="Times New Roman"/>
          <w:b/>
          <w:bCs/>
          <w:sz w:val="24"/>
          <w:szCs w:val="24"/>
        </w:rPr>
        <w:t xml:space="preserve">: </w:t>
      </w:r>
      <w:r w:rsidRPr="007B5ACF">
        <w:rPr>
          <w:rFonts w:ascii="Times New Roman" w:hAnsi="Times New Roman" w:cs="Times New Roman"/>
          <w:sz w:val="24"/>
          <w:szCs w:val="24"/>
        </w:rPr>
        <w:t>Banks extend term and working capital loans to Producer Companies under priority sector lending guidelines. Lending norms include collateral relaxation for SFAC</w:t>
      </w:r>
      <w:r w:rsidR="003B0A34">
        <w:rPr>
          <w:rFonts w:ascii="Times New Roman" w:hAnsi="Times New Roman" w:cs="Times New Roman"/>
          <w:sz w:val="24"/>
          <w:szCs w:val="24"/>
        </w:rPr>
        <w:t xml:space="preserve"> </w:t>
      </w:r>
      <w:r w:rsidRPr="007B5ACF">
        <w:rPr>
          <w:rFonts w:ascii="Times New Roman" w:hAnsi="Times New Roman" w:cs="Times New Roman"/>
          <w:sz w:val="24"/>
          <w:szCs w:val="24"/>
        </w:rPr>
        <w:t>and NABARD‐supported FPCs and interest subvention up to 3 percent for dairy activities. Loan products often bundle credit guarantees, reducing risk perception and facilitating larger credit disbursements to P</w:t>
      </w:r>
      <w:r w:rsidR="003B0A34">
        <w:rPr>
          <w:rFonts w:ascii="Times New Roman" w:hAnsi="Times New Roman" w:cs="Times New Roman"/>
          <w:sz w:val="24"/>
          <w:szCs w:val="24"/>
        </w:rPr>
        <w:t>O</w:t>
      </w:r>
      <w:r w:rsidRPr="007B5ACF">
        <w:rPr>
          <w:rFonts w:ascii="Times New Roman" w:hAnsi="Times New Roman" w:cs="Times New Roman"/>
          <w:sz w:val="24"/>
          <w:szCs w:val="24"/>
        </w:rPr>
        <w:t>s</w:t>
      </w:r>
      <w:r w:rsidR="003B0A34">
        <w:rPr>
          <w:rFonts w:ascii="Times New Roman" w:hAnsi="Times New Roman" w:cs="Times New Roman"/>
          <w:sz w:val="24"/>
          <w:szCs w:val="24"/>
        </w:rPr>
        <w:t xml:space="preserve"> (NABARD, 2019).</w:t>
      </w:r>
    </w:p>
    <w:p w14:paraId="3E8E7982" w14:textId="743F4220" w:rsidR="008C48D3" w:rsidRPr="002156CC" w:rsidRDefault="008C48D3" w:rsidP="002156CC">
      <w:pPr>
        <w:numPr>
          <w:ilvl w:val="0"/>
          <w:numId w:val="2"/>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Credit Guarantee Schemes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Through the SFAC‐managed Credit Guarantee Fund and NABARD’s guarantee arrangements, financial institutions can lend to POs without collateral, encouraging innovative financial products tailored to seasonality in milk production and value‐addition cycles</w:t>
      </w:r>
      <w:r w:rsidR="003B0A34">
        <w:rPr>
          <w:rFonts w:ascii="Times New Roman" w:hAnsi="Times New Roman" w:cs="Times New Roman"/>
          <w:sz w:val="24"/>
          <w:szCs w:val="24"/>
        </w:rPr>
        <w:t xml:space="preserve"> (NABARD, 2019).</w:t>
      </w:r>
    </w:p>
    <w:p w14:paraId="7AD84DE2"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Technical &amp; Extension Support</w:t>
      </w:r>
    </w:p>
    <w:p w14:paraId="5730D940" w14:textId="13803424" w:rsidR="008C48D3" w:rsidRPr="007B5ACF" w:rsidRDefault="008C48D3" w:rsidP="007B5ACF">
      <w:pPr>
        <w:pStyle w:val="ListParagraph"/>
        <w:numPr>
          <w:ilvl w:val="0"/>
          <w:numId w:val="3"/>
        </w:numPr>
        <w:spacing w:line="360" w:lineRule="auto"/>
        <w:jc w:val="both"/>
        <w:rPr>
          <w:rFonts w:ascii="Times New Roman" w:hAnsi="Times New Roman" w:cs="Times New Roman"/>
          <w:sz w:val="24"/>
          <w:szCs w:val="24"/>
        </w:rPr>
      </w:pPr>
      <w:r w:rsidRPr="007B5ACF">
        <w:rPr>
          <w:rFonts w:ascii="Times New Roman" w:hAnsi="Times New Roman" w:cs="Times New Roman"/>
          <w:b/>
          <w:bCs/>
          <w:sz w:val="24"/>
          <w:szCs w:val="24"/>
        </w:rPr>
        <w:t xml:space="preserve">Krishi Vigyan </w:t>
      </w:r>
      <w:proofErr w:type="spellStart"/>
      <w:r w:rsidRPr="007B5ACF">
        <w:rPr>
          <w:rFonts w:ascii="Times New Roman" w:hAnsi="Times New Roman" w:cs="Times New Roman"/>
          <w:b/>
          <w:bCs/>
          <w:sz w:val="24"/>
          <w:szCs w:val="24"/>
        </w:rPr>
        <w:t>Kendras</w:t>
      </w:r>
      <w:proofErr w:type="spellEnd"/>
      <w:r w:rsidRPr="007B5ACF">
        <w:rPr>
          <w:rFonts w:ascii="Times New Roman" w:hAnsi="Times New Roman" w:cs="Times New Roman"/>
          <w:b/>
          <w:bCs/>
          <w:sz w:val="24"/>
          <w:szCs w:val="24"/>
        </w:rPr>
        <w:t xml:space="preserve"> (KVKs)</w:t>
      </w:r>
      <w:r w:rsidR="00113612" w:rsidRPr="007B5ACF">
        <w:rPr>
          <w:rFonts w:ascii="Times New Roman" w:hAnsi="Times New Roman" w:cs="Times New Roman"/>
          <w:b/>
          <w:bCs/>
          <w:sz w:val="24"/>
          <w:szCs w:val="24"/>
        </w:rPr>
        <w:t xml:space="preserve">: </w:t>
      </w:r>
      <w:r w:rsidRPr="007B5ACF">
        <w:rPr>
          <w:rFonts w:ascii="Times New Roman" w:hAnsi="Times New Roman" w:cs="Times New Roman"/>
          <w:sz w:val="24"/>
          <w:szCs w:val="24"/>
        </w:rPr>
        <w:t xml:space="preserve">As frontline agricultural extension centers, KVKs conduct on‐farm trials, demonstrations of improved dairy practices (zero‐grazing units, </w:t>
      </w:r>
      <w:r w:rsidRPr="007B5ACF">
        <w:rPr>
          <w:rFonts w:ascii="Times New Roman" w:hAnsi="Times New Roman" w:cs="Times New Roman"/>
          <w:sz w:val="24"/>
          <w:szCs w:val="24"/>
        </w:rPr>
        <w:lastRenderedPageBreak/>
        <w:t>fodder conservation)</w:t>
      </w:r>
      <w:r w:rsidR="003B0A34">
        <w:rPr>
          <w:rFonts w:ascii="Times New Roman" w:hAnsi="Times New Roman" w:cs="Times New Roman"/>
          <w:sz w:val="24"/>
          <w:szCs w:val="24"/>
        </w:rPr>
        <w:t xml:space="preserve"> </w:t>
      </w:r>
      <w:r w:rsidRPr="007B5ACF">
        <w:rPr>
          <w:rFonts w:ascii="Times New Roman" w:hAnsi="Times New Roman" w:cs="Times New Roman"/>
          <w:sz w:val="24"/>
          <w:szCs w:val="24"/>
        </w:rPr>
        <w:t>and training modules on herd management,</w:t>
      </w:r>
      <w:r w:rsidR="003B0A34">
        <w:rPr>
          <w:rFonts w:ascii="Times New Roman" w:hAnsi="Times New Roman" w:cs="Times New Roman"/>
          <w:sz w:val="24"/>
          <w:szCs w:val="24"/>
        </w:rPr>
        <w:t xml:space="preserve"> </w:t>
      </w:r>
      <w:r w:rsidRPr="007B5ACF">
        <w:rPr>
          <w:rFonts w:ascii="Times New Roman" w:hAnsi="Times New Roman" w:cs="Times New Roman"/>
          <w:sz w:val="24"/>
          <w:szCs w:val="24"/>
        </w:rPr>
        <w:t>milk hygiene, and animal health</w:t>
      </w:r>
      <w:r w:rsidR="00721EBF">
        <w:rPr>
          <w:rFonts w:ascii="Times New Roman" w:hAnsi="Times New Roman" w:cs="Times New Roman"/>
          <w:sz w:val="24"/>
          <w:szCs w:val="24"/>
        </w:rPr>
        <w:t xml:space="preserve"> (</w:t>
      </w:r>
      <w:r w:rsidR="00721EBF" w:rsidRPr="00721EBF">
        <w:rPr>
          <w:rFonts w:ascii="Times New Roman" w:hAnsi="Times New Roman" w:cs="Times New Roman"/>
          <w:sz w:val="24"/>
          <w:szCs w:val="24"/>
        </w:rPr>
        <w:t>Singh et al.</w:t>
      </w:r>
      <w:r w:rsidR="00721EBF">
        <w:rPr>
          <w:rFonts w:ascii="Times New Roman" w:hAnsi="Times New Roman" w:cs="Times New Roman"/>
          <w:sz w:val="24"/>
          <w:szCs w:val="24"/>
        </w:rPr>
        <w:t xml:space="preserve">, </w:t>
      </w:r>
      <w:r w:rsidR="00721EBF" w:rsidRPr="00721EBF">
        <w:rPr>
          <w:rFonts w:ascii="Times New Roman" w:hAnsi="Times New Roman" w:cs="Times New Roman"/>
          <w:sz w:val="24"/>
          <w:szCs w:val="24"/>
        </w:rPr>
        <w:t>2023)</w:t>
      </w:r>
      <w:r w:rsidR="00721EBF">
        <w:rPr>
          <w:rFonts w:ascii="Times New Roman" w:hAnsi="Times New Roman" w:cs="Times New Roman"/>
          <w:sz w:val="24"/>
          <w:szCs w:val="24"/>
        </w:rPr>
        <w:t>.</w:t>
      </w:r>
    </w:p>
    <w:p w14:paraId="080B59B9" w14:textId="44CB68D1" w:rsidR="008C48D3" w:rsidRPr="002156CC" w:rsidRDefault="008C48D3" w:rsidP="002156CC">
      <w:pPr>
        <w:numPr>
          <w:ilvl w:val="0"/>
          <w:numId w:val="3"/>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Veterinary Extension Services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State veterinary departments and animal husbandry universities deploy mobile veterinary units, organize animal health camps, and roll out vaccination drives, directly supporting FPC members in reducing disease incidence and mortality</w:t>
      </w:r>
      <w:r w:rsidR="00721EBF">
        <w:rPr>
          <w:rFonts w:ascii="Times New Roman" w:hAnsi="Times New Roman" w:cs="Times New Roman"/>
          <w:sz w:val="24"/>
          <w:szCs w:val="24"/>
        </w:rPr>
        <w:t xml:space="preserve"> (</w:t>
      </w:r>
      <w:r w:rsidR="00721EBF" w:rsidRPr="00721EBF">
        <w:rPr>
          <w:rFonts w:ascii="Times New Roman" w:hAnsi="Times New Roman" w:cs="Times New Roman"/>
          <w:sz w:val="24"/>
          <w:szCs w:val="24"/>
        </w:rPr>
        <w:t>Singh et al.</w:t>
      </w:r>
      <w:r w:rsidR="00721EBF">
        <w:rPr>
          <w:rFonts w:ascii="Times New Roman" w:hAnsi="Times New Roman" w:cs="Times New Roman"/>
          <w:sz w:val="24"/>
          <w:szCs w:val="24"/>
        </w:rPr>
        <w:t xml:space="preserve">, </w:t>
      </w:r>
      <w:r w:rsidR="00721EBF" w:rsidRPr="00721EBF">
        <w:rPr>
          <w:rFonts w:ascii="Times New Roman" w:hAnsi="Times New Roman" w:cs="Times New Roman"/>
          <w:sz w:val="24"/>
          <w:szCs w:val="24"/>
        </w:rPr>
        <w:t>2023)</w:t>
      </w:r>
      <w:r w:rsidR="00721EBF">
        <w:rPr>
          <w:rFonts w:ascii="Times New Roman" w:hAnsi="Times New Roman" w:cs="Times New Roman"/>
          <w:sz w:val="24"/>
          <w:szCs w:val="24"/>
        </w:rPr>
        <w:t>.</w:t>
      </w:r>
    </w:p>
    <w:p w14:paraId="367DD025" w14:textId="13F57A77" w:rsidR="008C48D3" w:rsidRPr="002156CC" w:rsidRDefault="008C48D3" w:rsidP="002156CC">
      <w:pPr>
        <w:numPr>
          <w:ilvl w:val="0"/>
          <w:numId w:val="3"/>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Specialized Dairy Extension Programs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Collaborations between NDDB, ICAR institutes</w:t>
      </w:r>
      <w:r w:rsidR="00721EBF">
        <w:rPr>
          <w:rFonts w:ascii="Times New Roman" w:hAnsi="Times New Roman" w:cs="Times New Roman"/>
          <w:sz w:val="24"/>
          <w:szCs w:val="24"/>
        </w:rPr>
        <w:t xml:space="preserve"> </w:t>
      </w:r>
      <w:r w:rsidRPr="002156CC">
        <w:rPr>
          <w:rFonts w:ascii="Times New Roman" w:hAnsi="Times New Roman" w:cs="Times New Roman"/>
          <w:sz w:val="24"/>
          <w:szCs w:val="24"/>
        </w:rPr>
        <w:t>and private biotech firms have led to targeted programs in breed improvement, supply of artificial insemination services, and dissemination of cold collection technologies</w:t>
      </w:r>
      <w:r w:rsidR="00721EBF">
        <w:rPr>
          <w:rFonts w:ascii="Times New Roman" w:hAnsi="Times New Roman" w:cs="Times New Roman"/>
          <w:sz w:val="24"/>
          <w:szCs w:val="24"/>
        </w:rPr>
        <w:t xml:space="preserve"> </w:t>
      </w:r>
      <w:r w:rsidR="00721EBF" w:rsidRPr="0002310D">
        <w:rPr>
          <w:rFonts w:ascii="Times New Roman" w:hAnsi="Times New Roman" w:cs="Times New Roman"/>
          <w:sz w:val="24"/>
          <w:szCs w:val="24"/>
        </w:rPr>
        <w:t>(Govil et al., 2020)</w:t>
      </w:r>
      <w:r w:rsidR="00721EBF">
        <w:rPr>
          <w:rFonts w:ascii="Times New Roman" w:hAnsi="Times New Roman" w:cs="Times New Roman"/>
          <w:sz w:val="24"/>
          <w:szCs w:val="24"/>
        </w:rPr>
        <w:t>.</w:t>
      </w:r>
    </w:p>
    <w:p w14:paraId="13A6EF4A"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NGOs and Development Partners</w:t>
      </w:r>
    </w:p>
    <w:p w14:paraId="0636A72E" w14:textId="5748C8C1" w:rsidR="008C48D3" w:rsidRPr="007B5ACF" w:rsidRDefault="008C48D3" w:rsidP="007B5ACF">
      <w:pPr>
        <w:pStyle w:val="ListParagraph"/>
        <w:numPr>
          <w:ilvl w:val="0"/>
          <w:numId w:val="4"/>
        </w:numPr>
        <w:spacing w:line="360" w:lineRule="auto"/>
        <w:jc w:val="both"/>
        <w:rPr>
          <w:rFonts w:ascii="Times New Roman" w:hAnsi="Times New Roman" w:cs="Times New Roman"/>
          <w:sz w:val="24"/>
          <w:szCs w:val="24"/>
        </w:rPr>
      </w:pPr>
      <w:r w:rsidRPr="007B5ACF">
        <w:rPr>
          <w:rFonts w:ascii="Times New Roman" w:hAnsi="Times New Roman" w:cs="Times New Roman"/>
          <w:b/>
          <w:bCs/>
          <w:sz w:val="24"/>
          <w:szCs w:val="24"/>
        </w:rPr>
        <w:t>Capacity‐Building Agencies</w:t>
      </w:r>
      <w:r w:rsidR="00113612" w:rsidRPr="007B5ACF">
        <w:rPr>
          <w:rFonts w:ascii="Times New Roman" w:hAnsi="Times New Roman" w:cs="Times New Roman"/>
          <w:b/>
          <w:bCs/>
          <w:sz w:val="24"/>
          <w:szCs w:val="24"/>
        </w:rPr>
        <w:t xml:space="preserve">: </w:t>
      </w:r>
      <w:r w:rsidRPr="007B5ACF">
        <w:rPr>
          <w:rFonts w:ascii="Times New Roman" w:hAnsi="Times New Roman" w:cs="Times New Roman"/>
          <w:sz w:val="24"/>
          <w:szCs w:val="24"/>
        </w:rPr>
        <w:t>NGOs such as PRADAN, BAIF, and professional Resource Institutions engage in grassroots mobilization, governance training and digital literacy initiatives, equipping FPC boards with financial management and market negotiation skills</w:t>
      </w:r>
      <w:r w:rsidR="004567BE">
        <w:rPr>
          <w:rFonts w:ascii="Times New Roman" w:hAnsi="Times New Roman" w:cs="Times New Roman"/>
          <w:sz w:val="24"/>
          <w:szCs w:val="24"/>
        </w:rPr>
        <w:t xml:space="preserve"> </w:t>
      </w:r>
      <w:r w:rsidR="004567BE" w:rsidRPr="004567BE">
        <w:rPr>
          <w:rFonts w:ascii="Times New Roman" w:hAnsi="Times New Roman" w:cs="Times New Roman"/>
          <w:sz w:val="24"/>
          <w:szCs w:val="24"/>
        </w:rPr>
        <w:t>(Ministry of Skill Development and Entrepreneurship, 2023)</w:t>
      </w:r>
      <w:r w:rsidR="004567BE">
        <w:rPr>
          <w:rFonts w:ascii="Times New Roman" w:hAnsi="Times New Roman" w:cs="Times New Roman"/>
          <w:sz w:val="24"/>
          <w:szCs w:val="24"/>
        </w:rPr>
        <w:t>.</w:t>
      </w:r>
    </w:p>
    <w:p w14:paraId="79B83326" w14:textId="0737561B" w:rsidR="008C48D3" w:rsidRPr="002156CC" w:rsidRDefault="008C48D3" w:rsidP="002156CC">
      <w:pPr>
        <w:numPr>
          <w:ilvl w:val="0"/>
          <w:numId w:val="4"/>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Project Implementers and International Donors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World Bank</w:t>
      </w:r>
      <w:r w:rsidR="004567BE">
        <w:rPr>
          <w:rFonts w:ascii="Times New Roman" w:hAnsi="Times New Roman" w:cs="Times New Roman"/>
          <w:sz w:val="24"/>
          <w:szCs w:val="24"/>
        </w:rPr>
        <w:t xml:space="preserve"> </w:t>
      </w:r>
      <w:r w:rsidRPr="002156CC">
        <w:rPr>
          <w:rFonts w:ascii="Times New Roman" w:hAnsi="Times New Roman" w:cs="Times New Roman"/>
          <w:sz w:val="24"/>
          <w:szCs w:val="24"/>
        </w:rPr>
        <w:t>funded schemes (e.g., Dairy Development Projects), FAO technical assistance</w:t>
      </w:r>
      <w:r w:rsidR="00721EBF">
        <w:rPr>
          <w:rFonts w:ascii="Times New Roman" w:hAnsi="Times New Roman" w:cs="Times New Roman"/>
          <w:sz w:val="24"/>
          <w:szCs w:val="24"/>
        </w:rPr>
        <w:t xml:space="preserve"> </w:t>
      </w:r>
      <w:r w:rsidRPr="002156CC">
        <w:rPr>
          <w:rFonts w:ascii="Times New Roman" w:hAnsi="Times New Roman" w:cs="Times New Roman"/>
          <w:sz w:val="24"/>
          <w:szCs w:val="24"/>
        </w:rPr>
        <w:t>and bilateral donor projects focus on value chain integration, dairy processing technologies, and market development, often co‐financing cold chain infrastructure and marketing platforms</w:t>
      </w:r>
      <w:r w:rsidR="00EA40F1">
        <w:rPr>
          <w:rFonts w:ascii="Times New Roman" w:hAnsi="Times New Roman" w:cs="Times New Roman"/>
          <w:sz w:val="24"/>
          <w:szCs w:val="24"/>
        </w:rPr>
        <w:t xml:space="preserve"> </w:t>
      </w:r>
      <w:r w:rsidR="00EA40F1" w:rsidRPr="00EA40F1">
        <w:rPr>
          <w:rFonts w:ascii="Times New Roman" w:hAnsi="Times New Roman" w:cs="Times New Roman"/>
          <w:sz w:val="24"/>
          <w:szCs w:val="24"/>
        </w:rPr>
        <w:t>(Kurwijila &amp; Boki, 2003)</w:t>
      </w:r>
      <w:r w:rsidR="00EA40F1">
        <w:rPr>
          <w:rFonts w:ascii="Times New Roman" w:hAnsi="Times New Roman" w:cs="Times New Roman"/>
          <w:sz w:val="24"/>
          <w:szCs w:val="24"/>
        </w:rPr>
        <w:t>.</w:t>
      </w:r>
    </w:p>
    <w:p w14:paraId="79F4280F" w14:textId="3CE111D9" w:rsidR="008C48D3" w:rsidRPr="002156CC" w:rsidRDefault="008C48D3" w:rsidP="002156CC">
      <w:pPr>
        <w:numPr>
          <w:ilvl w:val="0"/>
          <w:numId w:val="4"/>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Public–Private Partnerships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Collaborations with private dairy firms under corporate social responsibility (CSR) and skill‐development mandates facilitate tie‐ups for guaranteed offtake, input supply linkages, and technology transfer, fostering sustainable market access for Producer Companies</w:t>
      </w:r>
      <w:r w:rsidR="00EA40F1">
        <w:rPr>
          <w:rFonts w:ascii="Times New Roman" w:hAnsi="Times New Roman" w:cs="Times New Roman"/>
          <w:sz w:val="24"/>
          <w:szCs w:val="24"/>
        </w:rPr>
        <w:t xml:space="preserve"> (NABARD, 2015).</w:t>
      </w:r>
    </w:p>
    <w:p w14:paraId="14968FF0" w14:textId="6BA617A4" w:rsidR="008C48D3" w:rsidRPr="002336A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Status and Trends of Milk Producer Companies in India</w:t>
      </w:r>
    </w:p>
    <w:p w14:paraId="61EE98B1" w14:textId="77777777" w:rsid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 xml:space="preserve">Status of FPOs in India </w:t>
      </w:r>
    </w:p>
    <w:p w14:paraId="4896523A" w14:textId="372870EF" w:rsidR="00C96BC9" w:rsidRDefault="002156CC" w:rsidP="00C96BC9">
      <w:pPr>
        <w:spacing w:line="360" w:lineRule="auto"/>
        <w:jc w:val="both"/>
        <w:rPr>
          <w:rFonts w:ascii="Times New Roman" w:hAnsi="Times New Roman" w:cs="Times New Roman"/>
          <w:sz w:val="24"/>
          <w:szCs w:val="24"/>
        </w:rPr>
      </w:pPr>
      <w:r w:rsidRPr="002156CC">
        <w:rPr>
          <w:rFonts w:ascii="Times New Roman" w:hAnsi="Times New Roman" w:cs="Times New Roman"/>
          <w:sz w:val="24"/>
          <w:szCs w:val="24"/>
        </w:rPr>
        <w:t xml:space="preserve">There </w:t>
      </w:r>
      <w:proofErr w:type="gramStart"/>
      <w:r w:rsidRPr="002156CC">
        <w:rPr>
          <w:rFonts w:ascii="Times New Roman" w:hAnsi="Times New Roman" w:cs="Times New Roman"/>
          <w:sz w:val="24"/>
          <w:szCs w:val="24"/>
        </w:rPr>
        <w:t>are</w:t>
      </w:r>
      <w:proofErr w:type="gramEnd"/>
      <w:r w:rsidRPr="002156CC">
        <w:rPr>
          <w:rFonts w:ascii="Times New Roman" w:hAnsi="Times New Roman" w:cs="Times New Roman"/>
          <w:sz w:val="24"/>
          <w:szCs w:val="24"/>
        </w:rPr>
        <w:t xml:space="preserve"> a total of 33,711 Farmer Producer Organizations (FPOs) spread across 692 districts in 28 states and 7 union territories of India. These FPOs collectively cover 64 different crops and have a cumulative shareholder base of 28.2 lakh (2.82 million) members.</w:t>
      </w:r>
      <w:r>
        <w:rPr>
          <w:rFonts w:ascii="Times New Roman" w:hAnsi="Times New Roman" w:cs="Times New Roman"/>
          <w:sz w:val="24"/>
          <w:szCs w:val="24"/>
        </w:rPr>
        <w:t xml:space="preserve"> </w:t>
      </w:r>
      <w:r w:rsidRPr="002156CC">
        <w:rPr>
          <w:rFonts w:ascii="Times New Roman" w:hAnsi="Times New Roman" w:cs="Times New Roman"/>
          <w:sz w:val="24"/>
          <w:szCs w:val="24"/>
        </w:rPr>
        <w:t>(Tata-Cornell Institute, 2025)</w:t>
      </w:r>
      <w:r w:rsidR="00113612">
        <w:rPr>
          <w:rFonts w:ascii="Times New Roman" w:hAnsi="Times New Roman" w:cs="Times New Roman"/>
          <w:sz w:val="24"/>
          <w:szCs w:val="24"/>
        </w:rPr>
        <w:t xml:space="preserve">. </w:t>
      </w:r>
      <w:r w:rsidR="008C48D3" w:rsidRPr="002156CC">
        <w:rPr>
          <w:rFonts w:ascii="Times New Roman" w:hAnsi="Times New Roman" w:cs="Times New Roman"/>
          <w:sz w:val="24"/>
          <w:szCs w:val="24"/>
        </w:rPr>
        <w:t>Fig.1</w:t>
      </w:r>
      <w:r w:rsidR="00113612">
        <w:rPr>
          <w:rFonts w:ascii="Times New Roman" w:hAnsi="Times New Roman" w:cs="Times New Roman"/>
          <w:sz w:val="24"/>
          <w:szCs w:val="24"/>
        </w:rPr>
        <w:t xml:space="preserve"> </w:t>
      </w:r>
      <w:r w:rsidR="008C48D3" w:rsidRPr="002156CC">
        <w:rPr>
          <w:rFonts w:ascii="Times New Roman" w:hAnsi="Times New Roman" w:cs="Times New Roman"/>
          <w:sz w:val="24"/>
          <w:szCs w:val="24"/>
        </w:rPr>
        <w:t xml:space="preserve">illustrates the status of FPOs across various Indian states. It compares the number of allocated, registered and under-registration FPOs. Uttar Pradesh leads with the </w:t>
      </w:r>
      <w:r w:rsidR="008C48D3" w:rsidRPr="002156CC">
        <w:rPr>
          <w:rFonts w:ascii="Times New Roman" w:hAnsi="Times New Roman" w:cs="Times New Roman"/>
          <w:sz w:val="24"/>
          <w:szCs w:val="24"/>
        </w:rPr>
        <w:lastRenderedPageBreak/>
        <w:t>highest number of allocated and registered FPOs, while states like Jharkhand, Manipur and Mizoram have all their allocated FPOs fully registered. The chart highlights the overall progress of FPO registration, with most states having registered the majority of their allocated FPOs</w:t>
      </w:r>
      <w:r w:rsidR="007B5ACF">
        <w:rPr>
          <w:rFonts w:ascii="Times New Roman" w:hAnsi="Times New Roman" w:cs="Times New Roman"/>
          <w:sz w:val="24"/>
          <w:szCs w:val="24"/>
        </w:rPr>
        <w:t xml:space="preserve"> </w:t>
      </w:r>
      <w:r w:rsidR="007B5ACF" w:rsidRPr="0002310D">
        <w:rPr>
          <w:rFonts w:ascii="Times New Roman" w:hAnsi="Times New Roman" w:cs="Times New Roman"/>
          <w:sz w:val="24"/>
          <w:szCs w:val="24"/>
        </w:rPr>
        <w:t>(Small Farmers’ Agribusiness Consortium, 2025)</w:t>
      </w:r>
      <w:r w:rsidR="007B5ACF">
        <w:rPr>
          <w:rFonts w:ascii="Times New Roman" w:hAnsi="Times New Roman" w:cs="Times New Roman"/>
          <w:sz w:val="24"/>
          <w:szCs w:val="24"/>
        </w:rPr>
        <w:t>.</w:t>
      </w:r>
      <w:r w:rsidR="00EF2941">
        <w:rPr>
          <w:rFonts w:ascii="Times New Roman" w:hAnsi="Times New Roman" w:cs="Times New Roman"/>
          <w:sz w:val="24"/>
          <w:szCs w:val="24"/>
        </w:rPr>
        <w:t xml:space="preserve"> Table.1 shows the </w:t>
      </w:r>
      <w:r w:rsidR="00EF2941" w:rsidRPr="00EF2941">
        <w:rPr>
          <w:rFonts w:ascii="Times New Roman" w:hAnsi="Times New Roman" w:cs="Times New Roman"/>
          <w:sz w:val="24"/>
          <w:szCs w:val="24"/>
        </w:rPr>
        <w:t>distribution of Milk Producer Companies (MPCs) across Indian states</w:t>
      </w:r>
      <w:r w:rsidR="008F5B3E">
        <w:rPr>
          <w:rFonts w:ascii="Times New Roman" w:hAnsi="Times New Roman" w:cs="Times New Roman"/>
          <w:sz w:val="24"/>
          <w:szCs w:val="24"/>
        </w:rPr>
        <w:t xml:space="preserve"> and there </w:t>
      </w:r>
      <w:r w:rsidR="008F5B3E" w:rsidRPr="00113612">
        <w:rPr>
          <w:rFonts w:ascii="Times New Roman" w:hAnsi="Times New Roman" w:cs="Times New Roman"/>
          <w:sz w:val="24"/>
          <w:szCs w:val="24"/>
        </w:rPr>
        <w:t xml:space="preserve">are 210 milk producer </w:t>
      </w:r>
      <w:r w:rsidR="00584327" w:rsidRPr="00113612">
        <w:rPr>
          <w:rFonts w:ascii="Times New Roman" w:hAnsi="Times New Roman" w:cs="Times New Roman"/>
          <w:sz w:val="24"/>
          <w:szCs w:val="24"/>
        </w:rPr>
        <w:t>companies with</w:t>
      </w:r>
      <w:r w:rsidR="008F5B3E" w:rsidRPr="00113612">
        <w:rPr>
          <w:rFonts w:ascii="Times New Roman" w:hAnsi="Times New Roman" w:cs="Times New Roman"/>
          <w:sz w:val="24"/>
          <w:szCs w:val="24"/>
        </w:rPr>
        <w:t xml:space="preserve"> active status, corresponding to about 3% of all active producer companies in India</w:t>
      </w:r>
      <w:r w:rsidR="008F5B3E">
        <w:rPr>
          <w:rFonts w:ascii="Times New Roman" w:hAnsi="Times New Roman" w:cs="Times New Roman"/>
          <w:sz w:val="24"/>
          <w:szCs w:val="24"/>
        </w:rPr>
        <w:t xml:space="preserve"> and m</w:t>
      </w:r>
      <w:r w:rsidR="008F5B3E" w:rsidRPr="00113612">
        <w:rPr>
          <w:rFonts w:ascii="Times New Roman" w:hAnsi="Times New Roman" w:cs="Times New Roman"/>
          <w:sz w:val="24"/>
          <w:szCs w:val="24"/>
        </w:rPr>
        <w:t>ore than half the active MPCs are in just four states: Maharashtra, Rajasthan, Madhya Pradesh and Uttar Pradesh</w:t>
      </w:r>
      <w:r w:rsidR="008F5B3E">
        <w:rPr>
          <w:rFonts w:ascii="Times New Roman" w:hAnsi="Times New Roman" w:cs="Times New Roman"/>
          <w:sz w:val="24"/>
          <w:szCs w:val="24"/>
        </w:rPr>
        <w:t>. Table.2 shows the age of milk producer companies in India</w:t>
      </w:r>
      <w:r w:rsidR="008F5B3E" w:rsidRPr="00113612">
        <w:rPr>
          <w:rFonts w:ascii="Times New Roman" w:hAnsi="Times New Roman" w:cs="Times New Roman"/>
          <w:sz w:val="24"/>
          <w:szCs w:val="24"/>
        </w:rPr>
        <w:t xml:space="preserve"> </w:t>
      </w:r>
      <w:r w:rsidR="008F5B3E">
        <w:rPr>
          <w:rFonts w:ascii="Times New Roman" w:hAnsi="Times New Roman" w:cs="Times New Roman"/>
          <w:sz w:val="24"/>
          <w:szCs w:val="24"/>
        </w:rPr>
        <w:t>and most</w:t>
      </w:r>
      <w:r w:rsidR="008F5B3E" w:rsidRPr="00113612">
        <w:rPr>
          <w:rFonts w:ascii="Times New Roman" w:hAnsi="Times New Roman" w:cs="Times New Roman"/>
          <w:sz w:val="24"/>
          <w:szCs w:val="24"/>
        </w:rPr>
        <w:t xml:space="preserve"> </w:t>
      </w:r>
      <w:r w:rsidR="008F5B3E">
        <w:rPr>
          <w:rFonts w:ascii="Times New Roman" w:hAnsi="Times New Roman" w:cs="Times New Roman"/>
          <w:sz w:val="24"/>
          <w:szCs w:val="24"/>
        </w:rPr>
        <w:t xml:space="preserve">of the </w:t>
      </w:r>
      <w:r w:rsidR="008F5B3E" w:rsidRPr="00113612">
        <w:rPr>
          <w:rFonts w:ascii="Times New Roman" w:hAnsi="Times New Roman" w:cs="Times New Roman"/>
          <w:sz w:val="24"/>
          <w:szCs w:val="24"/>
        </w:rPr>
        <w:t>MPCs are quite young, having been registered less than 5 years ago</w:t>
      </w:r>
      <w:r w:rsidR="00C96BC9">
        <w:rPr>
          <w:rFonts w:ascii="Times New Roman" w:hAnsi="Times New Roman" w:cs="Times New Roman"/>
          <w:sz w:val="24"/>
          <w:szCs w:val="24"/>
        </w:rPr>
        <w:t>.</w:t>
      </w:r>
      <w:r w:rsidR="008F5B3E">
        <w:rPr>
          <w:rFonts w:ascii="Times New Roman" w:hAnsi="Times New Roman" w:cs="Times New Roman"/>
          <w:sz w:val="24"/>
          <w:szCs w:val="24"/>
        </w:rPr>
        <w:t xml:space="preserve"> Table.3 </w:t>
      </w:r>
      <w:r w:rsidR="00C96BC9" w:rsidRPr="00113612">
        <w:rPr>
          <w:rFonts w:ascii="Times New Roman" w:hAnsi="Times New Roman" w:cs="Times New Roman"/>
          <w:sz w:val="24"/>
          <w:szCs w:val="24"/>
        </w:rPr>
        <w:t>The dairy PCs have contributed Rs. 437 crores in PUC, constituting about 52% of the total PUC of all 6926 active PCs. About 10% of milk producer companies have PUC greater than Rs. 50 lakhs; this proportion is much greater compared to all producer companies. The median PUC of milk producer companies is Rs. 2.63 lakh, which is more than 2.5 times that of all PCs.  The top 20 companies are dairies.</w:t>
      </w:r>
      <w:r w:rsidR="00C96BC9" w:rsidRPr="00113612">
        <w:rPr>
          <w:rFonts w:ascii="Times New Roman" w:hAnsi="Times New Roman" w:cs="Times New Roman"/>
          <w:color w:val="000000"/>
          <w:kern w:val="0"/>
          <w:sz w:val="24"/>
          <w:szCs w:val="24"/>
        </w:rPr>
        <w:t xml:space="preserve"> </w:t>
      </w:r>
      <w:r w:rsidR="00C96BC9" w:rsidRPr="00113612">
        <w:rPr>
          <w:rFonts w:ascii="Times New Roman" w:hAnsi="Times New Roman" w:cs="Times New Roman"/>
          <w:sz w:val="24"/>
          <w:szCs w:val="24"/>
        </w:rPr>
        <w:t>The larger PUC of dairies is not surprising, as dairies tend to have large number of shareholders which often results in greater PUC. Secondly, many milk PCs have been converted from older dairy cooperatives with significant membership and capital. Furthermore, even new dairies find it relatively easier to ramp up their membership and operations quickly because the dairy sector has a well-established blueprint for collectivisation, procurement, processing and sales</w:t>
      </w:r>
      <w:r w:rsidR="00C96BC9">
        <w:rPr>
          <w:rFonts w:ascii="Times New Roman" w:hAnsi="Times New Roman" w:cs="Times New Roman"/>
          <w:sz w:val="24"/>
          <w:szCs w:val="24"/>
        </w:rPr>
        <w:t xml:space="preserve">. </w:t>
      </w:r>
      <w:r w:rsidR="00C96BC9" w:rsidRPr="00361E5C">
        <w:rPr>
          <w:rFonts w:ascii="Times New Roman" w:hAnsi="Times New Roman" w:cs="Times New Roman"/>
          <w:sz w:val="24"/>
          <w:szCs w:val="24"/>
        </w:rPr>
        <w:t>Fig 3. illustrate out of 210 total milk producer companies, only 13 are exclusively women-owned or women-operated, making up a small percentage (about 6%) of the total. This highlights the relatively low representation of women-only milk producer companies within the broader sector of milk production</w:t>
      </w:r>
      <w:r w:rsidR="001E79ED">
        <w:rPr>
          <w:rFonts w:ascii="Times New Roman" w:hAnsi="Times New Roman" w:cs="Times New Roman"/>
          <w:sz w:val="24"/>
          <w:szCs w:val="24"/>
        </w:rPr>
        <w:t xml:space="preserve"> (NABARD, 2019).</w:t>
      </w:r>
    </w:p>
    <w:p w14:paraId="4272C903" w14:textId="77777777" w:rsidR="00C96BC9" w:rsidRPr="00C96BC9" w:rsidRDefault="00C96BC9" w:rsidP="00EF2941">
      <w:pPr>
        <w:spacing w:line="360" w:lineRule="auto"/>
        <w:jc w:val="both"/>
        <w:rPr>
          <w:rFonts w:ascii="Times New Roman" w:hAnsi="Times New Roman" w:cs="Times New Roman"/>
          <w:sz w:val="24"/>
          <w:szCs w:val="24"/>
        </w:rPr>
      </w:pPr>
    </w:p>
    <w:p w14:paraId="5153ECE1"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noProof/>
          <w:sz w:val="24"/>
          <w:szCs w:val="24"/>
        </w:rPr>
        <w:lastRenderedPageBreak/>
        <w:drawing>
          <wp:inline distT="0" distB="0" distL="0" distR="0" wp14:anchorId="49B98CAB" wp14:editId="5386FAA2">
            <wp:extent cx="5753100" cy="3032760"/>
            <wp:effectExtent l="0" t="0" r="0" b="15240"/>
            <wp:docPr id="310939113" name="Chart 1">
              <a:extLst xmlns:a="http://schemas.openxmlformats.org/drawingml/2006/main">
                <a:ext uri="{FF2B5EF4-FFF2-40B4-BE49-F238E27FC236}">
                  <a16:creationId xmlns:a16="http://schemas.microsoft.com/office/drawing/2014/main" id="{98DBBF81-D143-FA56-C1A0-056EBABD6F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98F7ED" w14:textId="4CEAEC06" w:rsidR="00113612" w:rsidRDefault="00EF2941" w:rsidP="0011361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113612">
        <w:rPr>
          <w:rFonts w:ascii="Times New Roman" w:hAnsi="Times New Roman" w:cs="Times New Roman"/>
          <w:b/>
          <w:bCs/>
          <w:sz w:val="24"/>
          <w:szCs w:val="24"/>
        </w:rPr>
        <w:t xml:space="preserve">1: </w:t>
      </w:r>
      <w:r w:rsidR="00113612" w:rsidRPr="0002310D">
        <w:rPr>
          <w:rFonts w:ascii="Times New Roman" w:hAnsi="Times New Roman" w:cs="Times New Roman"/>
          <w:b/>
          <w:bCs/>
          <w:sz w:val="24"/>
          <w:szCs w:val="24"/>
        </w:rPr>
        <w:t xml:space="preserve">State wise details of FPOs under Central Sector Scheme for Formation and </w:t>
      </w:r>
      <w:r w:rsidR="007B5ACF">
        <w:rPr>
          <w:rFonts w:ascii="Times New Roman" w:hAnsi="Times New Roman" w:cs="Times New Roman"/>
          <w:b/>
          <w:bCs/>
          <w:sz w:val="24"/>
          <w:szCs w:val="24"/>
        </w:rPr>
        <w:t xml:space="preserve">    </w:t>
      </w:r>
      <w:r w:rsidR="00113612" w:rsidRPr="0002310D">
        <w:rPr>
          <w:rFonts w:ascii="Times New Roman" w:hAnsi="Times New Roman" w:cs="Times New Roman"/>
          <w:b/>
          <w:bCs/>
          <w:sz w:val="24"/>
          <w:szCs w:val="24"/>
        </w:rPr>
        <w:t>Promotion of 10,000 FPOs by SFAC</w:t>
      </w:r>
    </w:p>
    <w:p w14:paraId="73291795" w14:textId="77777777" w:rsidR="00EF2941" w:rsidRDefault="00EF2941" w:rsidP="00113612">
      <w:pPr>
        <w:spacing w:line="240" w:lineRule="auto"/>
        <w:jc w:val="both"/>
        <w:rPr>
          <w:rFonts w:ascii="Times New Roman" w:hAnsi="Times New Roman" w:cs="Times New Roman"/>
          <w:b/>
          <w:bCs/>
          <w:sz w:val="24"/>
          <w:szCs w:val="24"/>
        </w:rPr>
      </w:pPr>
    </w:p>
    <w:p w14:paraId="646C71A6" w14:textId="77777777" w:rsidR="008F5B3E" w:rsidRDefault="008F5B3E" w:rsidP="008F5B3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2336AC">
        <w:rPr>
          <w:rFonts w:ascii="Times New Roman" w:hAnsi="Times New Roman" w:cs="Times New Roman"/>
          <w:b/>
          <w:bCs/>
          <w:sz w:val="24"/>
          <w:szCs w:val="24"/>
        </w:rPr>
        <w:t>Milk Producers Company Registered by states (Active companies only)</w:t>
      </w:r>
    </w:p>
    <w:p w14:paraId="374B724B" w14:textId="77777777" w:rsidR="008F5B3E" w:rsidRPr="0002310D" w:rsidRDefault="008F5B3E" w:rsidP="00113612">
      <w:pPr>
        <w:spacing w:line="240" w:lineRule="auto"/>
        <w:jc w:val="both"/>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1427"/>
        <w:gridCol w:w="3758"/>
        <w:gridCol w:w="1820"/>
      </w:tblGrid>
      <w:tr w:rsidR="00766867" w:rsidRPr="00561DCD" w14:paraId="1E4D871E" w14:textId="77777777" w:rsidTr="00766867">
        <w:trPr>
          <w:trHeight w:val="441"/>
        </w:trPr>
        <w:tc>
          <w:tcPr>
            <w:tcW w:w="1427" w:type="dxa"/>
            <w:vAlign w:val="center"/>
          </w:tcPr>
          <w:p w14:paraId="703BC733" w14:textId="0951FA24"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S.</w:t>
            </w:r>
            <w:r w:rsidR="00EF2941">
              <w:rPr>
                <w:rFonts w:ascii="Times New Roman" w:hAnsi="Times New Roman" w:cs="Times New Roman"/>
                <w:b/>
                <w:bCs/>
                <w:sz w:val="24"/>
                <w:szCs w:val="24"/>
              </w:rPr>
              <w:t xml:space="preserve"> </w:t>
            </w:r>
            <w:r w:rsidRPr="00561DCD">
              <w:rPr>
                <w:rFonts w:ascii="Times New Roman" w:hAnsi="Times New Roman" w:cs="Times New Roman"/>
                <w:b/>
                <w:bCs/>
                <w:sz w:val="24"/>
                <w:szCs w:val="24"/>
              </w:rPr>
              <w:t>No</w:t>
            </w:r>
          </w:p>
        </w:tc>
        <w:tc>
          <w:tcPr>
            <w:tcW w:w="3758" w:type="dxa"/>
            <w:vAlign w:val="center"/>
          </w:tcPr>
          <w:p w14:paraId="4055D342"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States</w:t>
            </w:r>
          </w:p>
        </w:tc>
        <w:tc>
          <w:tcPr>
            <w:tcW w:w="1820" w:type="dxa"/>
            <w:vAlign w:val="center"/>
          </w:tcPr>
          <w:p w14:paraId="37965BD3"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 xml:space="preserve">Number of </w:t>
            </w:r>
            <w:r>
              <w:rPr>
                <w:rFonts w:ascii="Times New Roman" w:hAnsi="Times New Roman" w:cs="Times New Roman"/>
                <w:b/>
                <w:bCs/>
                <w:sz w:val="24"/>
                <w:szCs w:val="24"/>
              </w:rPr>
              <w:t>M</w:t>
            </w:r>
            <w:r w:rsidRPr="00561DCD">
              <w:rPr>
                <w:rFonts w:ascii="Times New Roman" w:hAnsi="Times New Roman" w:cs="Times New Roman"/>
                <w:b/>
                <w:bCs/>
                <w:sz w:val="24"/>
                <w:szCs w:val="24"/>
              </w:rPr>
              <w:t>PCs</w:t>
            </w:r>
          </w:p>
        </w:tc>
      </w:tr>
      <w:tr w:rsidR="00766867" w:rsidRPr="00561DCD" w14:paraId="6CBF69B8" w14:textId="77777777" w:rsidTr="00766867">
        <w:trPr>
          <w:trHeight w:val="425"/>
        </w:trPr>
        <w:tc>
          <w:tcPr>
            <w:tcW w:w="1427" w:type="dxa"/>
            <w:vAlign w:val="center"/>
          </w:tcPr>
          <w:p w14:paraId="1F455F18"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1</w:t>
            </w:r>
          </w:p>
        </w:tc>
        <w:tc>
          <w:tcPr>
            <w:tcW w:w="3758" w:type="dxa"/>
            <w:vAlign w:val="center"/>
          </w:tcPr>
          <w:p w14:paraId="435DE35A"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Maharashtra</w:t>
            </w:r>
          </w:p>
        </w:tc>
        <w:tc>
          <w:tcPr>
            <w:tcW w:w="1820" w:type="dxa"/>
            <w:vAlign w:val="center"/>
          </w:tcPr>
          <w:p w14:paraId="03E7C00D"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35</w:t>
            </w:r>
          </w:p>
        </w:tc>
      </w:tr>
      <w:tr w:rsidR="00766867" w:rsidRPr="00561DCD" w14:paraId="38633792" w14:textId="77777777" w:rsidTr="00766867">
        <w:trPr>
          <w:trHeight w:val="441"/>
        </w:trPr>
        <w:tc>
          <w:tcPr>
            <w:tcW w:w="1427" w:type="dxa"/>
            <w:vAlign w:val="center"/>
          </w:tcPr>
          <w:p w14:paraId="06479E20"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2</w:t>
            </w:r>
          </w:p>
        </w:tc>
        <w:tc>
          <w:tcPr>
            <w:tcW w:w="3758" w:type="dxa"/>
            <w:vAlign w:val="center"/>
          </w:tcPr>
          <w:p w14:paraId="0489E2DB"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Rajasthan</w:t>
            </w:r>
          </w:p>
        </w:tc>
        <w:tc>
          <w:tcPr>
            <w:tcW w:w="1820" w:type="dxa"/>
            <w:vAlign w:val="center"/>
          </w:tcPr>
          <w:p w14:paraId="38D0ABFF"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28</w:t>
            </w:r>
          </w:p>
        </w:tc>
      </w:tr>
      <w:tr w:rsidR="00766867" w:rsidRPr="00561DCD" w14:paraId="79830326" w14:textId="77777777" w:rsidTr="00766867">
        <w:trPr>
          <w:trHeight w:val="441"/>
        </w:trPr>
        <w:tc>
          <w:tcPr>
            <w:tcW w:w="1427" w:type="dxa"/>
            <w:vAlign w:val="center"/>
          </w:tcPr>
          <w:p w14:paraId="51579F06"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3</w:t>
            </w:r>
          </w:p>
        </w:tc>
        <w:tc>
          <w:tcPr>
            <w:tcW w:w="3758" w:type="dxa"/>
            <w:vAlign w:val="center"/>
          </w:tcPr>
          <w:p w14:paraId="297C91DB"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Madhya Pradesh</w:t>
            </w:r>
          </w:p>
        </w:tc>
        <w:tc>
          <w:tcPr>
            <w:tcW w:w="1820" w:type="dxa"/>
            <w:vAlign w:val="center"/>
          </w:tcPr>
          <w:p w14:paraId="2AF44EE2"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28</w:t>
            </w:r>
          </w:p>
        </w:tc>
      </w:tr>
      <w:tr w:rsidR="00766867" w:rsidRPr="00561DCD" w14:paraId="7FA25618" w14:textId="77777777" w:rsidTr="00766867">
        <w:trPr>
          <w:trHeight w:val="425"/>
        </w:trPr>
        <w:tc>
          <w:tcPr>
            <w:tcW w:w="1427" w:type="dxa"/>
            <w:vAlign w:val="center"/>
          </w:tcPr>
          <w:p w14:paraId="321CBAD9"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4</w:t>
            </w:r>
          </w:p>
        </w:tc>
        <w:tc>
          <w:tcPr>
            <w:tcW w:w="3758" w:type="dxa"/>
            <w:vAlign w:val="center"/>
          </w:tcPr>
          <w:p w14:paraId="1338DBFE"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Uttar Pradesh</w:t>
            </w:r>
          </w:p>
        </w:tc>
        <w:tc>
          <w:tcPr>
            <w:tcW w:w="1820" w:type="dxa"/>
            <w:vAlign w:val="center"/>
          </w:tcPr>
          <w:p w14:paraId="075C6BDB"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26</w:t>
            </w:r>
          </w:p>
        </w:tc>
      </w:tr>
      <w:tr w:rsidR="00766867" w:rsidRPr="00561DCD" w14:paraId="36EB1E6A" w14:textId="77777777" w:rsidTr="00766867">
        <w:trPr>
          <w:trHeight w:val="441"/>
        </w:trPr>
        <w:tc>
          <w:tcPr>
            <w:tcW w:w="1427" w:type="dxa"/>
            <w:vAlign w:val="center"/>
          </w:tcPr>
          <w:p w14:paraId="11CDD700"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5</w:t>
            </w:r>
          </w:p>
        </w:tc>
        <w:tc>
          <w:tcPr>
            <w:tcW w:w="3758" w:type="dxa"/>
            <w:vAlign w:val="center"/>
          </w:tcPr>
          <w:p w14:paraId="20BDCD47"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Tamil Nadu</w:t>
            </w:r>
          </w:p>
        </w:tc>
        <w:tc>
          <w:tcPr>
            <w:tcW w:w="1820" w:type="dxa"/>
            <w:vAlign w:val="center"/>
          </w:tcPr>
          <w:p w14:paraId="2C78F210"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15</w:t>
            </w:r>
          </w:p>
        </w:tc>
      </w:tr>
      <w:tr w:rsidR="00766867" w:rsidRPr="00561DCD" w14:paraId="62382F8F" w14:textId="77777777" w:rsidTr="00766867">
        <w:trPr>
          <w:trHeight w:val="441"/>
        </w:trPr>
        <w:tc>
          <w:tcPr>
            <w:tcW w:w="1427" w:type="dxa"/>
            <w:vAlign w:val="center"/>
          </w:tcPr>
          <w:p w14:paraId="74FA90BC"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6</w:t>
            </w:r>
          </w:p>
        </w:tc>
        <w:tc>
          <w:tcPr>
            <w:tcW w:w="3758" w:type="dxa"/>
            <w:vAlign w:val="center"/>
          </w:tcPr>
          <w:p w14:paraId="4B8F8065"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Haryana</w:t>
            </w:r>
          </w:p>
        </w:tc>
        <w:tc>
          <w:tcPr>
            <w:tcW w:w="1820" w:type="dxa"/>
            <w:vAlign w:val="center"/>
          </w:tcPr>
          <w:p w14:paraId="5B3D8585"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13</w:t>
            </w:r>
          </w:p>
        </w:tc>
      </w:tr>
      <w:tr w:rsidR="00766867" w:rsidRPr="00561DCD" w14:paraId="191B7BB0" w14:textId="77777777" w:rsidTr="00766867">
        <w:trPr>
          <w:trHeight w:val="303"/>
        </w:trPr>
        <w:tc>
          <w:tcPr>
            <w:tcW w:w="1427" w:type="dxa"/>
            <w:vAlign w:val="center"/>
          </w:tcPr>
          <w:p w14:paraId="20855E89"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7</w:t>
            </w:r>
          </w:p>
        </w:tc>
        <w:tc>
          <w:tcPr>
            <w:tcW w:w="3758" w:type="dxa"/>
            <w:vAlign w:val="center"/>
          </w:tcPr>
          <w:p w14:paraId="37888297"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Bihar</w:t>
            </w:r>
          </w:p>
        </w:tc>
        <w:tc>
          <w:tcPr>
            <w:tcW w:w="1820" w:type="dxa"/>
            <w:vAlign w:val="center"/>
          </w:tcPr>
          <w:p w14:paraId="0B06A603"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12</w:t>
            </w:r>
          </w:p>
        </w:tc>
      </w:tr>
      <w:tr w:rsidR="00766867" w:rsidRPr="00561DCD" w14:paraId="13F4BC22" w14:textId="77777777" w:rsidTr="00766867">
        <w:trPr>
          <w:trHeight w:val="441"/>
        </w:trPr>
        <w:tc>
          <w:tcPr>
            <w:tcW w:w="1427" w:type="dxa"/>
            <w:vAlign w:val="center"/>
          </w:tcPr>
          <w:p w14:paraId="4E64C410" w14:textId="77777777" w:rsidR="00766867" w:rsidRPr="00561DCD" w:rsidRDefault="00766867" w:rsidP="00C96BC9">
            <w:pPr>
              <w:jc w:val="center"/>
              <w:rPr>
                <w:rFonts w:ascii="Times New Roman" w:hAnsi="Times New Roman" w:cs="Times New Roman"/>
                <w:b/>
                <w:bCs/>
                <w:sz w:val="24"/>
                <w:szCs w:val="24"/>
              </w:rPr>
            </w:pPr>
            <w:r w:rsidRPr="00561DCD">
              <w:rPr>
                <w:rFonts w:ascii="Times New Roman" w:hAnsi="Times New Roman" w:cs="Times New Roman"/>
                <w:b/>
                <w:bCs/>
                <w:sz w:val="24"/>
                <w:szCs w:val="24"/>
              </w:rPr>
              <w:t>8</w:t>
            </w:r>
          </w:p>
        </w:tc>
        <w:tc>
          <w:tcPr>
            <w:tcW w:w="3758" w:type="dxa"/>
            <w:vAlign w:val="center"/>
          </w:tcPr>
          <w:p w14:paraId="0AC26B57" w14:textId="77777777" w:rsidR="00766867" w:rsidRPr="00561DCD" w:rsidRDefault="00766867" w:rsidP="00C96BC9">
            <w:pPr>
              <w:jc w:val="center"/>
              <w:rPr>
                <w:rFonts w:ascii="Times New Roman" w:hAnsi="Times New Roman" w:cs="Times New Roman"/>
                <w:sz w:val="24"/>
                <w:szCs w:val="24"/>
              </w:rPr>
            </w:pPr>
            <w:r w:rsidRPr="00561DCD">
              <w:rPr>
                <w:rFonts w:ascii="Times New Roman" w:hAnsi="Times New Roman" w:cs="Times New Roman"/>
                <w:sz w:val="24"/>
                <w:szCs w:val="24"/>
              </w:rPr>
              <w:t>Others States</w:t>
            </w:r>
          </w:p>
        </w:tc>
        <w:tc>
          <w:tcPr>
            <w:tcW w:w="1820" w:type="dxa"/>
            <w:vAlign w:val="center"/>
          </w:tcPr>
          <w:p w14:paraId="5F9C8DB2" w14:textId="77777777" w:rsidR="00766867" w:rsidRPr="00561DCD" w:rsidRDefault="00766867" w:rsidP="00C96BC9">
            <w:pPr>
              <w:jc w:val="center"/>
              <w:rPr>
                <w:rFonts w:ascii="Times New Roman" w:hAnsi="Times New Roman" w:cs="Times New Roman"/>
                <w:sz w:val="24"/>
                <w:szCs w:val="24"/>
              </w:rPr>
            </w:pPr>
            <w:r w:rsidRPr="00561DCD">
              <w:rPr>
                <w:rFonts w:ascii="Times New Roman" w:hAnsi="Times New Roman" w:cs="Times New Roman"/>
                <w:sz w:val="24"/>
                <w:szCs w:val="24"/>
              </w:rPr>
              <w:t>53</w:t>
            </w:r>
          </w:p>
        </w:tc>
      </w:tr>
    </w:tbl>
    <w:p w14:paraId="7BD09C01" w14:textId="2894A91D" w:rsidR="00766867" w:rsidRPr="008F5B3E" w:rsidRDefault="008F5B3E" w:rsidP="00C96BC9">
      <w:pPr>
        <w:spacing w:line="240" w:lineRule="auto"/>
        <w:jc w:val="both"/>
        <w:rPr>
          <w:rFonts w:ascii="Times New Roman" w:hAnsi="Times New Roman" w:cs="Times New Roman"/>
          <w:color w:val="000000" w:themeColor="text1"/>
          <w:sz w:val="24"/>
          <w:szCs w:val="24"/>
        </w:rPr>
      </w:pPr>
      <w:r w:rsidRPr="008F5B3E">
        <w:rPr>
          <w:rFonts w:ascii="Times New Roman" w:hAnsi="Times New Roman" w:cs="Times New Roman"/>
          <w:color w:val="000000" w:themeColor="text1"/>
          <w:sz w:val="24"/>
          <w:szCs w:val="24"/>
        </w:rPr>
        <w:t>Sourc</w:t>
      </w:r>
      <w:r>
        <w:rPr>
          <w:rFonts w:ascii="Times New Roman" w:hAnsi="Times New Roman" w:cs="Times New Roman"/>
          <w:color w:val="000000" w:themeColor="text1"/>
          <w:sz w:val="24"/>
          <w:szCs w:val="24"/>
        </w:rPr>
        <w:t>e</w:t>
      </w:r>
      <w:r w:rsidRPr="008F5B3E">
        <w:rPr>
          <w:rFonts w:ascii="Times New Roman" w:hAnsi="Times New Roman" w:cs="Times New Roman"/>
          <w:color w:val="000000" w:themeColor="text1"/>
          <w:sz w:val="24"/>
          <w:szCs w:val="24"/>
        </w:rPr>
        <w:t>:</w:t>
      </w:r>
      <w:r w:rsidR="001E79ED">
        <w:rPr>
          <w:rFonts w:ascii="Times New Roman" w:hAnsi="Times New Roman" w:cs="Times New Roman"/>
          <w:color w:val="000000" w:themeColor="text1"/>
          <w:sz w:val="24"/>
          <w:szCs w:val="24"/>
        </w:rPr>
        <w:t xml:space="preserve"> </w:t>
      </w:r>
      <w:r w:rsidR="001E79ED">
        <w:rPr>
          <w:rFonts w:ascii="Times New Roman" w:hAnsi="Times New Roman" w:cs="Times New Roman"/>
          <w:sz w:val="24"/>
          <w:szCs w:val="24"/>
        </w:rPr>
        <w:t>NABARD, 2019</w:t>
      </w:r>
    </w:p>
    <w:p w14:paraId="170DF58C" w14:textId="1368DAB9" w:rsidR="008C48D3" w:rsidRDefault="008C48D3" w:rsidP="002336AC">
      <w:pPr>
        <w:spacing w:line="360" w:lineRule="auto"/>
        <w:jc w:val="both"/>
        <w:rPr>
          <w:rFonts w:ascii="Times New Roman" w:hAnsi="Times New Roman" w:cs="Times New Roman"/>
          <w:b/>
          <w:bCs/>
          <w:sz w:val="24"/>
          <w:szCs w:val="24"/>
        </w:rPr>
      </w:pPr>
    </w:p>
    <w:p w14:paraId="4E033E4E" w14:textId="77777777" w:rsidR="00C96BC9" w:rsidRDefault="00C96BC9" w:rsidP="002336AC">
      <w:pPr>
        <w:spacing w:line="360" w:lineRule="auto"/>
        <w:jc w:val="both"/>
        <w:rPr>
          <w:rFonts w:ascii="Times New Roman" w:hAnsi="Times New Roman" w:cs="Times New Roman"/>
          <w:b/>
          <w:bCs/>
          <w:sz w:val="24"/>
          <w:szCs w:val="24"/>
        </w:rPr>
      </w:pPr>
    </w:p>
    <w:p w14:paraId="7D47517A" w14:textId="77777777" w:rsidR="00C96BC9" w:rsidRDefault="00C96BC9" w:rsidP="002336AC">
      <w:pPr>
        <w:spacing w:line="360" w:lineRule="auto"/>
        <w:jc w:val="both"/>
        <w:rPr>
          <w:rFonts w:ascii="Times New Roman" w:hAnsi="Times New Roman" w:cs="Times New Roman"/>
          <w:b/>
          <w:bCs/>
          <w:sz w:val="24"/>
          <w:szCs w:val="24"/>
        </w:rPr>
      </w:pPr>
    </w:p>
    <w:p w14:paraId="0A0E490E" w14:textId="77777777" w:rsidR="00C96BC9" w:rsidRDefault="00C96BC9" w:rsidP="002336AC">
      <w:pPr>
        <w:spacing w:line="360" w:lineRule="auto"/>
        <w:jc w:val="both"/>
        <w:rPr>
          <w:rFonts w:ascii="Times New Roman" w:hAnsi="Times New Roman" w:cs="Times New Roman"/>
          <w:b/>
          <w:bCs/>
          <w:sz w:val="24"/>
          <w:szCs w:val="24"/>
        </w:rPr>
      </w:pPr>
    </w:p>
    <w:p w14:paraId="2C59F7BF" w14:textId="27BE6AE2" w:rsidR="001E79ED" w:rsidRPr="002336AC" w:rsidRDefault="001E79ED" w:rsidP="001E79ED">
      <w:pPr>
        <w:spacing w:line="24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lastRenderedPageBreak/>
        <w:t>Table 2</w:t>
      </w:r>
      <w:r>
        <w:rPr>
          <w:rFonts w:ascii="Times New Roman" w:hAnsi="Times New Roman" w:cs="Times New Roman"/>
          <w:b/>
          <w:bCs/>
          <w:sz w:val="24"/>
          <w:szCs w:val="24"/>
        </w:rPr>
        <w:t xml:space="preserve">: </w:t>
      </w:r>
      <w:r w:rsidRPr="002156CC">
        <w:rPr>
          <w:rFonts w:ascii="Times New Roman" w:hAnsi="Times New Roman" w:cs="Times New Roman"/>
          <w:b/>
          <w:bCs/>
          <w:sz w:val="24"/>
          <w:szCs w:val="24"/>
        </w:rPr>
        <w:t>Age of Milk producer Companies in India</w:t>
      </w:r>
    </w:p>
    <w:tbl>
      <w:tblPr>
        <w:tblStyle w:val="TableGrid"/>
        <w:tblW w:w="8158" w:type="dxa"/>
        <w:tblInd w:w="-5" w:type="dxa"/>
        <w:tblLook w:val="04A0" w:firstRow="1" w:lastRow="0" w:firstColumn="1" w:lastColumn="0" w:noHBand="0" w:noVBand="1"/>
      </w:tblPr>
      <w:tblGrid>
        <w:gridCol w:w="2719"/>
        <w:gridCol w:w="2719"/>
        <w:gridCol w:w="2720"/>
      </w:tblGrid>
      <w:tr w:rsidR="008C48D3" w:rsidRPr="002156CC" w14:paraId="0CB899E3" w14:textId="77777777" w:rsidTr="00113612">
        <w:trPr>
          <w:trHeight w:val="716"/>
        </w:trPr>
        <w:tc>
          <w:tcPr>
            <w:tcW w:w="2719" w:type="dxa"/>
            <w:vAlign w:val="center"/>
          </w:tcPr>
          <w:p w14:paraId="0D91AA05"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Age of MPCs</w:t>
            </w:r>
          </w:p>
        </w:tc>
        <w:tc>
          <w:tcPr>
            <w:tcW w:w="2719" w:type="dxa"/>
            <w:vAlign w:val="center"/>
          </w:tcPr>
          <w:p w14:paraId="28343119" w14:textId="36282F9B"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Number</w:t>
            </w:r>
          </w:p>
        </w:tc>
        <w:tc>
          <w:tcPr>
            <w:tcW w:w="2720" w:type="dxa"/>
            <w:vAlign w:val="center"/>
          </w:tcPr>
          <w:p w14:paraId="754C5728"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Percentage</w:t>
            </w:r>
          </w:p>
        </w:tc>
      </w:tr>
      <w:tr w:rsidR="008C48D3" w:rsidRPr="002156CC" w14:paraId="0EF27420" w14:textId="77777777" w:rsidTr="00113612">
        <w:trPr>
          <w:trHeight w:val="748"/>
        </w:trPr>
        <w:tc>
          <w:tcPr>
            <w:tcW w:w="2719" w:type="dxa"/>
            <w:vAlign w:val="center"/>
          </w:tcPr>
          <w:p w14:paraId="20F452CA" w14:textId="77777777" w:rsidR="008C48D3" w:rsidRPr="00113612" w:rsidRDefault="008C48D3" w:rsidP="00113612">
            <w:pPr>
              <w:pStyle w:val="ListParagraph"/>
              <w:spacing w:line="360" w:lineRule="auto"/>
              <w:ind w:left="0"/>
              <w:rPr>
                <w:rFonts w:ascii="Times New Roman" w:hAnsi="Times New Roman" w:cs="Times New Roman"/>
                <w:sz w:val="24"/>
                <w:szCs w:val="24"/>
              </w:rPr>
            </w:pPr>
            <w:r w:rsidRPr="00113612">
              <w:rPr>
                <w:rFonts w:ascii="Times New Roman" w:hAnsi="Times New Roman" w:cs="Times New Roman"/>
                <w:sz w:val="24"/>
                <w:szCs w:val="24"/>
              </w:rPr>
              <w:t>&lt; 2 years</w:t>
            </w:r>
          </w:p>
        </w:tc>
        <w:tc>
          <w:tcPr>
            <w:tcW w:w="2719" w:type="dxa"/>
            <w:vAlign w:val="center"/>
          </w:tcPr>
          <w:p w14:paraId="5818C122"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47</w:t>
            </w:r>
          </w:p>
        </w:tc>
        <w:tc>
          <w:tcPr>
            <w:tcW w:w="2720" w:type="dxa"/>
            <w:vAlign w:val="center"/>
          </w:tcPr>
          <w:p w14:paraId="48B62691"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22%</w:t>
            </w:r>
          </w:p>
        </w:tc>
      </w:tr>
      <w:tr w:rsidR="008C48D3" w:rsidRPr="002156CC" w14:paraId="23B18439" w14:textId="77777777" w:rsidTr="00113612">
        <w:trPr>
          <w:trHeight w:val="716"/>
        </w:trPr>
        <w:tc>
          <w:tcPr>
            <w:tcW w:w="2719" w:type="dxa"/>
            <w:vAlign w:val="center"/>
          </w:tcPr>
          <w:p w14:paraId="53FE8ED2" w14:textId="3EB70F2C" w:rsidR="008C48D3" w:rsidRPr="00113612" w:rsidRDefault="008C48D3" w:rsidP="00113612">
            <w:pPr>
              <w:spacing w:line="360" w:lineRule="auto"/>
              <w:rPr>
                <w:rFonts w:ascii="Times New Roman" w:hAnsi="Times New Roman" w:cs="Times New Roman"/>
                <w:sz w:val="24"/>
                <w:szCs w:val="24"/>
              </w:rPr>
            </w:pPr>
            <w:r w:rsidRPr="00113612">
              <w:rPr>
                <w:rFonts w:ascii="Times New Roman" w:hAnsi="Times New Roman" w:cs="Times New Roman"/>
                <w:sz w:val="24"/>
                <w:szCs w:val="24"/>
              </w:rPr>
              <w:t xml:space="preserve">&gt;=2 and &lt;5 years  </w:t>
            </w:r>
          </w:p>
        </w:tc>
        <w:tc>
          <w:tcPr>
            <w:tcW w:w="2719" w:type="dxa"/>
            <w:vAlign w:val="center"/>
          </w:tcPr>
          <w:p w14:paraId="67B9E7D4"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124</w:t>
            </w:r>
          </w:p>
        </w:tc>
        <w:tc>
          <w:tcPr>
            <w:tcW w:w="2720" w:type="dxa"/>
            <w:vAlign w:val="center"/>
          </w:tcPr>
          <w:p w14:paraId="61FF8C2D"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59%</w:t>
            </w:r>
          </w:p>
        </w:tc>
      </w:tr>
      <w:tr w:rsidR="008C48D3" w:rsidRPr="002156CC" w14:paraId="526A62B8" w14:textId="77777777" w:rsidTr="00113612">
        <w:trPr>
          <w:trHeight w:val="748"/>
        </w:trPr>
        <w:tc>
          <w:tcPr>
            <w:tcW w:w="2719" w:type="dxa"/>
            <w:vAlign w:val="center"/>
          </w:tcPr>
          <w:p w14:paraId="6C2A4B6E" w14:textId="77777777" w:rsidR="008C48D3" w:rsidRPr="00113612" w:rsidRDefault="008C48D3" w:rsidP="00113612">
            <w:pPr>
              <w:pStyle w:val="ListParagraph"/>
              <w:spacing w:line="360" w:lineRule="auto"/>
              <w:ind w:left="0"/>
              <w:rPr>
                <w:rFonts w:ascii="Times New Roman" w:hAnsi="Times New Roman" w:cs="Times New Roman"/>
                <w:sz w:val="24"/>
                <w:szCs w:val="24"/>
              </w:rPr>
            </w:pPr>
            <w:r w:rsidRPr="00113612">
              <w:rPr>
                <w:rFonts w:ascii="Times New Roman" w:hAnsi="Times New Roman" w:cs="Times New Roman"/>
                <w:sz w:val="24"/>
                <w:szCs w:val="24"/>
              </w:rPr>
              <w:t>&gt;= 5 and &lt; 10 years</w:t>
            </w:r>
          </w:p>
        </w:tc>
        <w:tc>
          <w:tcPr>
            <w:tcW w:w="2719" w:type="dxa"/>
            <w:vAlign w:val="center"/>
          </w:tcPr>
          <w:p w14:paraId="2D9CBB2A"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28</w:t>
            </w:r>
          </w:p>
        </w:tc>
        <w:tc>
          <w:tcPr>
            <w:tcW w:w="2720" w:type="dxa"/>
            <w:vAlign w:val="center"/>
          </w:tcPr>
          <w:p w14:paraId="70C50C00"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13%</w:t>
            </w:r>
          </w:p>
        </w:tc>
      </w:tr>
      <w:tr w:rsidR="008C48D3" w:rsidRPr="002156CC" w14:paraId="7C0452A8" w14:textId="77777777" w:rsidTr="00113612">
        <w:trPr>
          <w:trHeight w:val="716"/>
        </w:trPr>
        <w:tc>
          <w:tcPr>
            <w:tcW w:w="2719" w:type="dxa"/>
            <w:vAlign w:val="center"/>
          </w:tcPr>
          <w:p w14:paraId="565A1D76" w14:textId="77777777" w:rsidR="008C48D3" w:rsidRPr="00113612" w:rsidRDefault="008C48D3" w:rsidP="00113612">
            <w:pPr>
              <w:pStyle w:val="ListParagraph"/>
              <w:spacing w:line="360" w:lineRule="auto"/>
              <w:ind w:left="0"/>
              <w:rPr>
                <w:rFonts w:ascii="Times New Roman" w:hAnsi="Times New Roman" w:cs="Times New Roman"/>
                <w:sz w:val="24"/>
                <w:szCs w:val="24"/>
              </w:rPr>
            </w:pPr>
            <w:r w:rsidRPr="00113612">
              <w:rPr>
                <w:rFonts w:ascii="Times New Roman" w:hAnsi="Times New Roman" w:cs="Times New Roman"/>
                <w:sz w:val="24"/>
                <w:szCs w:val="24"/>
              </w:rPr>
              <w:t>&gt;=10 years</w:t>
            </w:r>
          </w:p>
        </w:tc>
        <w:tc>
          <w:tcPr>
            <w:tcW w:w="2719" w:type="dxa"/>
            <w:vAlign w:val="center"/>
          </w:tcPr>
          <w:p w14:paraId="5A2911EE"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11</w:t>
            </w:r>
          </w:p>
        </w:tc>
        <w:tc>
          <w:tcPr>
            <w:tcW w:w="2720" w:type="dxa"/>
            <w:vAlign w:val="center"/>
          </w:tcPr>
          <w:p w14:paraId="74A1BE09"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5%</w:t>
            </w:r>
          </w:p>
        </w:tc>
      </w:tr>
      <w:tr w:rsidR="008C48D3" w:rsidRPr="002156CC" w14:paraId="26C67D47" w14:textId="77777777" w:rsidTr="00113612">
        <w:trPr>
          <w:trHeight w:val="716"/>
        </w:trPr>
        <w:tc>
          <w:tcPr>
            <w:tcW w:w="2719" w:type="dxa"/>
            <w:vAlign w:val="center"/>
          </w:tcPr>
          <w:p w14:paraId="4CE3ECBE" w14:textId="77777777" w:rsidR="008C48D3" w:rsidRPr="00113612" w:rsidRDefault="008C48D3" w:rsidP="00C96BC9">
            <w:pPr>
              <w:pStyle w:val="ListParagraph"/>
              <w:ind w:left="0"/>
              <w:rPr>
                <w:rFonts w:ascii="Times New Roman" w:hAnsi="Times New Roman" w:cs="Times New Roman"/>
                <w:sz w:val="24"/>
                <w:szCs w:val="24"/>
              </w:rPr>
            </w:pPr>
            <w:r w:rsidRPr="00113612">
              <w:rPr>
                <w:rFonts w:ascii="Times New Roman" w:hAnsi="Times New Roman" w:cs="Times New Roman"/>
                <w:sz w:val="24"/>
                <w:szCs w:val="24"/>
              </w:rPr>
              <w:t>All ages</w:t>
            </w:r>
          </w:p>
        </w:tc>
        <w:tc>
          <w:tcPr>
            <w:tcW w:w="2719" w:type="dxa"/>
            <w:vAlign w:val="center"/>
          </w:tcPr>
          <w:p w14:paraId="5EFE1CA6" w14:textId="77777777" w:rsidR="008C48D3" w:rsidRPr="00113612" w:rsidRDefault="008C48D3" w:rsidP="00C96BC9">
            <w:pPr>
              <w:pStyle w:val="ListParagraph"/>
              <w:ind w:left="0"/>
              <w:jc w:val="center"/>
              <w:rPr>
                <w:rFonts w:ascii="Times New Roman" w:hAnsi="Times New Roman" w:cs="Times New Roman"/>
                <w:sz w:val="24"/>
                <w:szCs w:val="24"/>
              </w:rPr>
            </w:pPr>
            <w:r w:rsidRPr="00113612">
              <w:rPr>
                <w:rFonts w:ascii="Times New Roman" w:hAnsi="Times New Roman" w:cs="Times New Roman"/>
                <w:sz w:val="24"/>
                <w:szCs w:val="24"/>
              </w:rPr>
              <w:t>210</w:t>
            </w:r>
          </w:p>
        </w:tc>
        <w:tc>
          <w:tcPr>
            <w:tcW w:w="2720" w:type="dxa"/>
            <w:vAlign w:val="center"/>
          </w:tcPr>
          <w:p w14:paraId="559DEE29" w14:textId="77777777" w:rsidR="008C48D3" w:rsidRPr="00113612" w:rsidRDefault="008C48D3" w:rsidP="00C96BC9">
            <w:pPr>
              <w:pStyle w:val="ListParagraph"/>
              <w:ind w:left="0"/>
              <w:jc w:val="center"/>
              <w:rPr>
                <w:rFonts w:ascii="Times New Roman" w:hAnsi="Times New Roman" w:cs="Times New Roman"/>
                <w:sz w:val="24"/>
                <w:szCs w:val="24"/>
              </w:rPr>
            </w:pPr>
            <w:r w:rsidRPr="00113612">
              <w:rPr>
                <w:rFonts w:ascii="Times New Roman" w:hAnsi="Times New Roman" w:cs="Times New Roman"/>
                <w:sz w:val="24"/>
                <w:szCs w:val="24"/>
              </w:rPr>
              <w:t>100%</w:t>
            </w:r>
          </w:p>
        </w:tc>
      </w:tr>
    </w:tbl>
    <w:p w14:paraId="27C0D33A" w14:textId="265E5368" w:rsidR="008C48D3" w:rsidRPr="001E79ED" w:rsidRDefault="001E79ED" w:rsidP="00C96BC9">
      <w:pPr>
        <w:spacing w:line="240" w:lineRule="auto"/>
        <w:jc w:val="both"/>
        <w:rPr>
          <w:rFonts w:ascii="Times New Roman" w:hAnsi="Times New Roman" w:cs="Times New Roman"/>
          <w:color w:val="000000" w:themeColor="text1"/>
          <w:sz w:val="24"/>
          <w:szCs w:val="24"/>
        </w:rPr>
      </w:pPr>
      <w:r w:rsidRPr="008F5B3E">
        <w:rPr>
          <w:rFonts w:ascii="Times New Roman" w:hAnsi="Times New Roman" w:cs="Times New Roman"/>
          <w:color w:val="000000" w:themeColor="text1"/>
          <w:sz w:val="24"/>
          <w:szCs w:val="24"/>
        </w:rPr>
        <w:t>Sourc</w:t>
      </w:r>
      <w:r>
        <w:rPr>
          <w:rFonts w:ascii="Times New Roman" w:hAnsi="Times New Roman" w:cs="Times New Roman"/>
          <w:color w:val="000000" w:themeColor="text1"/>
          <w:sz w:val="24"/>
          <w:szCs w:val="24"/>
        </w:rPr>
        <w:t>e</w:t>
      </w:r>
      <w:r w:rsidRPr="008F5B3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NABARD, 2019</w:t>
      </w:r>
    </w:p>
    <w:p w14:paraId="0C86FE2D" w14:textId="77777777" w:rsidR="0000705B" w:rsidRDefault="0000705B" w:rsidP="002336AC">
      <w:pPr>
        <w:spacing w:line="360" w:lineRule="auto"/>
        <w:jc w:val="both"/>
        <w:rPr>
          <w:rFonts w:ascii="Times New Roman" w:hAnsi="Times New Roman" w:cs="Times New Roman"/>
          <w:sz w:val="24"/>
          <w:szCs w:val="24"/>
        </w:rPr>
      </w:pPr>
    </w:p>
    <w:p w14:paraId="5F588C1C" w14:textId="5CA122E8" w:rsidR="008C48D3" w:rsidRPr="001E79ED" w:rsidRDefault="001E79ED" w:rsidP="001E79ED">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Table</w:t>
      </w:r>
      <w:r>
        <w:rPr>
          <w:rFonts w:ascii="Times New Roman" w:hAnsi="Times New Roman" w:cs="Times New Roman"/>
          <w:b/>
          <w:bCs/>
          <w:sz w:val="24"/>
          <w:szCs w:val="24"/>
        </w:rPr>
        <w:t xml:space="preserve"> </w:t>
      </w:r>
      <w:r w:rsidRPr="002156CC">
        <w:rPr>
          <w:rFonts w:ascii="Times New Roman" w:hAnsi="Times New Roman" w:cs="Times New Roman"/>
          <w:b/>
          <w:bCs/>
          <w:sz w:val="24"/>
          <w:szCs w:val="24"/>
        </w:rPr>
        <w:t>3: Milk producer companies by PUC (Paid-up Capital) categories (active companies only)</w:t>
      </w:r>
    </w:p>
    <w:tbl>
      <w:tblPr>
        <w:tblStyle w:val="TableGrid"/>
        <w:tblW w:w="8895" w:type="dxa"/>
        <w:tblInd w:w="-5" w:type="dxa"/>
        <w:tblLook w:val="04A0" w:firstRow="1" w:lastRow="0" w:firstColumn="1" w:lastColumn="0" w:noHBand="0" w:noVBand="1"/>
      </w:tblPr>
      <w:tblGrid>
        <w:gridCol w:w="2379"/>
        <w:gridCol w:w="1412"/>
        <w:gridCol w:w="1750"/>
        <w:gridCol w:w="1750"/>
        <w:gridCol w:w="1604"/>
      </w:tblGrid>
      <w:tr w:rsidR="008C48D3" w:rsidRPr="002156CC" w14:paraId="5CF16572" w14:textId="77777777" w:rsidTr="00113612">
        <w:trPr>
          <w:trHeight w:val="571"/>
        </w:trPr>
        <w:tc>
          <w:tcPr>
            <w:tcW w:w="2379" w:type="dxa"/>
            <w:vAlign w:val="center"/>
          </w:tcPr>
          <w:p w14:paraId="6303FD5D"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p>
        </w:tc>
        <w:tc>
          <w:tcPr>
            <w:tcW w:w="3162" w:type="dxa"/>
            <w:gridSpan w:val="2"/>
            <w:vAlign w:val="center"/>
          </w:tcPr>
          <w:p w14:paraId="2B1BC7E8"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Dairies</w:t>
            </w:r>
          </w:p>
        </w:tc>
        <w:tc>
          <w:tcPr>
            <w:tcW w:w="3354" w:type="dxa"/>
            <w:gridSpan w:val="2"/>
            <w:vAlign w:val="center"/>
          </w:tcPr>
          <w:p w14:paraId="63D0D111"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All PCs</w:t>
            </w:r>
          </w:p>
        </w:tc>
      </w:tr>
      <w:tr w:rsidR="008C48D3" w:rsidRPr="002156CC" w14:paraId="466BBD49" w14:textId="77777777" w:rsidTr="00113612">
        <w:trPr>
          <w:trHeight w:val="571"/>
        </w:trPr>
        <w:tc>
          <w:tcPr>
            <w:tcW w:w="2379" w:type="dxa"/>
            <w:vAlign w:val="center"/>
          </w:tcPr>
          <w:p w14:paraId="33CDB250"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PUC category</w:t>
            </w:r>
          </w:p>
        </w:tc>
        <w:tc>
          <w:tcPr>
            <w:tcW w:w="1412" w:type="dxa"/>
            <w:vAlign w:val="center"/>
          </w:tcPr>
          <w:p w14:paraId="753E701D"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Number</w:t>
            </w:r>
          </w:p>
        </w:tc>
        <w:tc>
          <w:tcPr>
            <w:tcW w:w="1750" w:type="dxa"/>
            <w:vAlign w:val="center"/>
          </w:tcPr>
          <w:p w14:paraId="77600C8E"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Percentage</w:t>
            </w:r>
          </w:p>
        </w:tc>
        <w:tc>
          <w:tcPr>
            <w:tcW w:w="1750" w:type="dxa"/>
            <w:vAlign w:val="center"/>
          </w:tcPr>
          <w:p w14:paraId="3ACEA5E3" w14:textId="13446E76"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Number</w:t>
            </w:r>
          </w:p>
        </w:tc>
        <w:tc>
          <w:tcPr>
            <w:tcW w:w="1604" w:type="dxa"/>
            <w:vAlign w:val="center"/>
          </w:tcPr>
          <w:p w14:paraId="24BECA83"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Percentage</w:t>
            </w:r>
          </w:p>
        </w:tc>
      </w:tr>
      <w:tr w:rsidR="008C48D3" w:rsidRPr="002156CC" w14:paraId="20A505BA" w14:textId="77777777" w:rsidTr="00113612">
        <w:trPr>
          <w:trHeight w:val="549"/>
        </w:trPr>
        <w:tc>
          <w:tcPr>
            <w:tcW w:w="2379" w:type="dxa"/>
            <w:vAlign w:val="center"/>
          </w:tcPr>
          <w:p w14:paraId="2E496E1D"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PUC ≥ 50 lakh</w:t>
            </w:r>
          </w:p>
        </w:tc>
        <w:tc>
          <w:tcPr>
            <w:tcW w:w="1412" w:type="dxa"/>
            <w:vAlign w:val="center"/>
          </w:tcPr>
          <w:p w14:paraId="52122B25"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22</w:t>
            </w:r>
          </w:p>
        </w:tc>
        <w:tc>
          <w:tcPr>
            <w:tcW w:w="1750" w:type="dxa"/>
            <w:vAlign w:val="center"/>
          </w:tcPr>
          <w:p w14:paraId="1E0E17C4"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10%</w:t>
            </w:r>
          </w:p>
        </w:tc>
        <w:tc>
          <w:tcPr>
            <w:tcW w:w="1750" w:type="dxa"/>
            <w:vAlign w:val="center"/>
          </w:tcPr>
          <w:p w14:paraId="1DB26E35"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90</w:t>
            </w:r>
          </w:p>
        </w:tc>
        <w:tc>
          <w:tcPr>
            <w:tcW w:w="1604" w:type="dxa"/>
            <w:vAlign w:val="center"/>
          </w:tcPr>
          <w:p w14:paraId="613A9CFA"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w:t>
            </w:r>
          </w:p>
        </w:tc>
      </w:tr>
      <w:tr w:rsidR="008C48D3" w:rsidRPr="002156CC" w14:paraId="0C6D77D9" w14:textId="77777777" w:rsidTr="00113612">
        <w:trPr>
          <w:trHeight w:val="571"/>
        </w:trPr>
        <w:tc>
          <w:tcPr>
            <w:tcW w:w="2379" w:type="dxa"/>
            <w:vAlign w:val="center"/>
          </w:tcPr>
          <w:p w14:paraId="75D9816A"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 xml:space="preserve">PUC ≥ 25 and &lt; 50 </w:t>
            </w:r>
            <w:proofErr w:type="gramStart"/>
            <w:r w:rsidRPr="002156CC">
              <w:rPr>
                <w:rFonts w:ascii="Times New Roman" w:hAnsi="Times New Roman" w:cs="Times New Roman"/>
                <w:b/>
                <w:bCs/>
                <w:sz w:val="24"/>
                <w:szCs w:val="24"/>
              </w:rPr>
              <w:t>lakh</w:t>
            </w:r>
            <w:proofErr w:type="gramEnd"/>
          </w:p>
        </w:tc>
        <w:tc>
          <w:tcPr>
            <w:tcW w:w="1412" w:type="dxa"/>
            <w:vAlign w:val="center"/>
          </w:tcPr>
          <w:p w14:paraId="3446BF56"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7</w:t>
            </w:r>
          </w:p>
        </w:tc>
        <w:tc>
          <w:tcPr>
            <w:tcW w:w="1750" w:type="dxa"/>
            <w:vAlign w:val="center"/>
          </w:tcPr>
          <w:p w14:paraId="19271B97"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3%</w:t>
            </w:r>
          </w:p>
        </w:tc>
        <w:tc>
          <w:tcPr>
            <w:tcW w:w="1750" w:type="dxa"/>
            <w:vAlign w:val="center"/>
          </w:tcPr>
          <w:p w14:paraId="0C5A1F10"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87</w:t>
            </w:r>
          </w:p>
        </w:tc>
        <w:tc>
          <w:tcPr>
            <w:tcW w:w="1604" w:type="dxa"/>
            <w:vAlign w:val="center"/>
          </w:tcPr>
          <w:p w14:paraId="78666CEB"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w:t>
            </w:r>
          </w:p>
        </w:tc>
      </w:tr>
      <w:tr w:rsidR="008C48D3" w:rsidRPr="002156CC" w14:paraId="67688A67" w14:textId="77777777" w:rsidTr="00113612">
        <w:trPr>
          <w:trHeight w:val="549"/>
        </w:trPr>
        <w:tc>
          <w:tcPr>
            <w:tcW w:w="2379" w:type="dxa"/>
            <w:vAlign w:val="center"/>
          </w:tcPr>
          <w:p w14:paraId="5E9B78B3"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 xml:space="preserve">PUC ≥ 10 and &lt; 25 </w:t>
            </w:r>
            <w:proofErr w:type="gramStart"/>
            <w:r w:rsidRPr="002156CC">
              <w:rPr>
                <w:rFonts w:ascii="Times New Roman" w:hAnsi="Times New Roman" w:cs="Times New Roman"/>
                <w:b/>
                <w:bCs/>
                <w:sz w:val="24"/>
                <w:szCs w:val="24"/>
              </w:rPr>
              <w:t>lakh</w:t>
            </w:r>
            <w:proofErr w:type="gramEnd"/>
          </w:p>
        </w:tc>
        <w:tc>
          <w:tcPr>
            <w:tcW w:w="1412" w:type="dxa"/>
            <w:vAlign w:val="center"/>
          </w:tcPr>
          <w:p w14:paraId="0D726610"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16</w:t>
            </w:r>
          </w:p>
        </w:tc>
        <w:tc>
          <w:tcPr>
            <w:tcW w:w="1750" w:type="dxa"/>
            <w:vAlign w:val="center"/>
          </w:tcPr>
          <w:p w14:paraId="78C23107"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8%</w:t>
            </w:r>
          </w:p>
        </w:tc>
        <w:tc>
          <w:tcPr>
            <w:tcW w:w="1750" w:type="dxa"/>
            <w:vAlign w:val="center"/>
          </w:tcPr>
          <w:p w14:paraId="4CDFC2BE"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767</w:t>
            </w:r>
          </w:p>
        </w:tc>
        <w:tc>
          <w:tcPr>
            <w:tcW w:w="1604" w:type="dxa"/>
            <w:vAlign w:val="center"/>
          </w:tcPr>
          <w:p w14:paraId="3F3ECDC3"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11%</w:t>
            </w:r>
          </w:p>
        </w:tc>
      </w:tr>
      <w:tr w:rsidR="008C48D3" w:rsidRPr="002156CC" w14:paraId="45B278D5" w14:textId="77777777" w:rsidTr="00113612">
        <w:trPr>
          <w:trHeight w:val="549"/>
        </w:trPr>
        <w:tc>
          <w:tcPr>
            <w:tcW w:w="2379" w:type="dxa"/>
            <w:vAlign w:val="center"/>
          </w:tcPr>
          <w:p w14:paraId="30928615"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PUC &lt; 10 lakh</w:t>
            </w:r>
          </w:p>
        </w:tc>
        <w:tc>
          <w:tcPr>
            <w:tcW w:w="1412" w:type="dxa"/>
            <w:vAlign w:val="center"/>
          </w:tcPr>
          <w:p w14:paraId="002EA65B"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165</w:t>
            </w:r>
          </w:p>
        </w:tc>
        <w:tc>
          <w:tcPr>
            <w:tcW w:w="1750" w:type="dxa"/>
            <w:vAlign w:val="center"/>
          </w:tcPr>
          <w:p w14:paraId="18B0928E"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79%</w:t>
            </w:r>
          </w:p>
        </w:tc>
        <w:tc>
          <w:tcPr>
            <w:tcW w:w="1750" w:type="dxa"/>
            <w:vAlign w:val="center"/>
          </w:tcPr>
          <w:p w14:paraId="48F30C7B"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5982</w:t>
            </w:r>
          </w:p>
        </w:tc>
        <w:tc>
          <w:tcPr>
            <w:tcW w:w="1604" w:type="dxa"/>
            <w:vAlign w:val="center"/>
          </w:tcPr>
          <w:p w14:paraId="2F32AA0D"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86%</w:t>
            </w:r>
          </w:p>
        </w:tc>
      </w:tr>
      <w:tr w:rsidR="008C48D3" w:rsidRPr="002156CC" w14:paraId="74B297CA" w14:textId="77777777" w:rsidTr="00113612">
        <w:trPr>
          <w:trHeight w:val="549"/>
        </w:trPr>
        <w:tc>
          <w:tcPr>
            <w:tcW w:w="2379" w:type="dxa"/>
            <w:vAlign w:val="center"/>
          </w:tcPr>
          <w:p w14:paraId="6AD2617D"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All Categories</w:t>
            </w:r>
          </w:p>
        </w:tc>
        <w:tc>
          <w:tcPr>
            <w:tcW w:w="1412" w:type="dxa"/>
            <w:vAlign w:val="center"/>
          </w:tcPr>
          <w:p w14:paraId="23F2D7A5"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210</w:t>
            </w:r>
          </w:p>
        </w:tc>
        <w:tc>
          <w:tcPr>
            <w:tcW w:w="1750" w:type="dxa"/>
            <w:vAlign w:val="center"/>
          </w:tcPr>
          <w:p w14:paraId="3647A9B0"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100%</w:t>
            </w:r>
          </w:p>
        </w:tc>
        <w:tc>
          <w:tcPr>
            <w:tcW w:w="1750" w:type="dxa"/>
            <w:vAlign w:val="center"/>
          </w:tcPr>
          <w:p w14:paraId="7645891F"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6926</w:t>
            </w:r>
          </w:p>
        </w:tc>
        <w:tc>
          <w:tcPr>
            <w:tcW w:w="1604" w:type="dxa"/>
            <w:vAlign w:val="center"/>
          </w:tcPr>
          <w:p w14:paraId="64AA4F57"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100%</w:t>
            </w:r>
          </w:p>
        </w:tc>
      </w:tr>
    </w:tbl>
    <w:p w14:paraId="027622C3" w14:textId="1E82A1BE" w:rsidR="008C48D3" w:rsidRPr="001E79ED" w:rsidRDefault="001E79ED" w:rsidP="001E79ED">
      <w:pPr>
        <w:spacing w:line="240" w:lineRule="auto"/>
        <w:jc w:val="both"/>
        <w:rPr>
          <w:rFonts w:ascii="Times New Roman" w:hAnsi="Times New Roman" w:cs="Times New Roman"/>
          <w:color w:val="000000" w:themeColor="text1"/>
          <w:sz w:val="24"/>
          <w:szCs w:val="24"/>
        </w:rPr>
      </w:pPr>
      <w:r w:rsidRPr="001E79ED">
        <w:rPr>
          <w:rFonts w:ascii="Times New Roman" w:hAnsi="Times New Roman" w:cs="Times New Roman"/>
          <w:sz w:val="24"/>
          <w:szCs w:val="24"/>
        </w:rPr>
        <w:t>Source: NABARD, 2019</w:t>
      </w:r>
    </w:p>
    <w:p w14:paraId="1DDC7029" w14:textId="2E8B4931" w:rsidR="002336AC" w:rsidRDefault="002336AC" w:rsidP="002336AC">
      <w:pPr>
        <w:spacing w:line="360" w:lineRule="auto"/>
        <w:jc w:val="both"/>
        <w:rPr>
          <w:rFonts w:ascii="Times New Roman" w:hAnsi="Times New Roman" w:cs="Times New Roman"/>
          <w:sz w:val="24"/>
          <w:szCs w:val="24"/>
        </w:rPr>
      </w:pPr>
    </w:p>
    <w:p w14:paraId="413C3927" w14:textId="77777777" w:rsidR="001E79ED" w:rsidRDefault="001E79ED" w:rsidP="002336AC">
      <w:pPr>
        <w:spacing w:line="360" w:lineRule="auto"/>
        <w:jc w:val="both"/>
        <w:rPr>
          <w:rFonts w:ascii="Times New Roman" w:hAnsi="Times New Roman" w:cs="Times New Roman"/>
          <w:sz w:val="24"/>
          <w:szCs w:val="24"/>
        </w:rPr>
      </w:pPr>
    </w:p>
    <w:p w14:paraId="6CA18965" w14:textId="77777777" w:rsidR="001E79ED" w:rsidRDefault="001E79ED" w:rsidP="002336AC">
      <w:pPr>
        <w:spacing w:line="360" w:lineRule="auto"/>
        <w:jc w:val="both"/>
        <w:rPr>
          <w:rFonts w:ascii="Times New Roman" w:hAnsi="Times New Roman" w:cs="Times New Roman"/>
          <w:sz w:val="24"/>
          <w:szCs w:val="24"/>
        </w:rPr>
      </w:pPr>
    </w:p>
    <w:p w14:paraId="655BCEB6" w14:textId="77777777" w:rsidR="001E79ED" w:rsidRDefault="001E79ED" w:rsidP="002336AC">
      <w:pPr>
        <w:spacing w:line="360" w:lineRule="auto"/>
        <w:jc w:val="both"/>
        <w:rPr>
          <w:rFonts w:ascii="Times New Roman" w:hAnsi="Times New Roman" w:cs="Times New Roman"/>
          <w:sz w:val="24"/>
          <w:szCs w:val="24"/>
        </w:rPr>
      </w:pPr>
    </w:p>
    <w:p w14:paraId="003833C0" w14:textId="590015F0" w:rsidR="001E79ED" w:rsidRDefault="001E79ED" w:rsidP="002336AC">
      <w:p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lastRenderedPageBreak/>
        <w:t>Women Milk producer companies</w:t>
      </w:r>
      <w:r>
        <w:rPr>
          <w:rFonts w:ascii="Times New Roman" w:hAnsi="Times New Roman" w:cs="Times New Roman"/>
          <w:b/>
          <w:bCs/>
          <w:sz w:val="24"/>
          <w:szCs w:val="24"/>
        </w:rPr>
        <w:t>:</w:t>
      </w:r>
    </w:p>
    <w:p w14:paraId="45E0F7C2"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noProof/>
          <w:sz w:val="24"/>
          <w:szCs w:val="24"/>
        </w:rPr>
        <w:drawing>
          <wp:inline distT="0" distB="0" distL="0" distR="0" wp14:anchorId="688F043D" wp14:editId="4B4E8825">
            <wp:extent cx="3924300" cy="2034540"/>
            <wp:effectExtent l="0" t="0" r="0" b="3810"/>
            <wp:docPr id="846456829" name="Chart 1">
              <a:extLst xmlns:a="http://schemas.openxmlformats.org/drawingml/2006/main">
                <a:ext uri="{FF2B5EF4-FFF2-40B4-BE49-F238E27FC236}">
                  <a16:creationId xmlns:a16="http://schemas.microsoft.com/office/drawing/2014/main" id="{EEF6CA09-B5D1-3503-6545-F3DB5733C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B41D84" w14:textId="68FB9505" w:rsidR="002336AC" w:rsidRPr="00361E5C" w:rsidRDefault="008F5B3E" w:rsidP="002336A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61E5C">
        <w:rPr>
          <w:rFonts w:ascii="Times New Roman" w:hAnsi="Times New Roman" w:cs="Times New Roman"/>
          <w:b/>
          <w:bCs/>
          <w:sz w:val="24"/>
          <w:szCs w:val="24"/>
        </w:rPr>
        <w:t xml:space="preserve">Fig </w:t>
      </w:r>
      <w:r w:rsidR="00C140FC">
        <w:rPr>
          <w:rFonts w:ascii="Times New Roman" w:hAnsi="Times New Roman" w:cs="Times New Roman"/>
          <w:b/>
          <w:bCs/>
          <w:sz w:val="24"/>
          <w:szCs w:val="24"/>
        </w:rPr>
        <w:t>2</w:t>
      </w:r>
      <w:r w:rsidR="00361E5C">
        <w:rPr>
          <w:rFonts w:ascii="Times New Roman" w:hAnsi="Times New Roman" w:cs="Times New Roman"/>
          <w:b/>
          <w:bCs/>
          <w:sz w:val="24"/>
          <w:szCs w:val="24"/>
        </w:rPr>
        <w:t xml:space="preserve">: </w:t>
      </w:r>
      <w:r w:rsidR="00361E5C" w:rsidRPr="002156CC">
        <w:rPr>
          <w:rFonts w:ascii="Times New Roman" w:hAnsi="Times New Roman" w:cs="Times New Roman"/>
          <w:b/>
          <w:bCs/>
          <w:sz w:val="24"/>
          <w:szCs w:val="24"/>
        </w:rPr>
        <w:t xml:space="preserve">Women Milk producer companies </w:t>
      </w:r>
    </w:p>
    <w:p w14:paraId="4FF2D5A1" w14:textId="1B5F80C9" w:rsidR="00AE780E" w:rsidRDefault="008F5B3E" w:rsidP="002156CC">
      <w:pPr>
        <w:spacing w:line="360" w:lineRule="auto"/>
        <w:jc w:val="both"/>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Prominent Milk producer companies</w:t>
      </w:r>
      <w:r>
        <w:rPr>
          <w:rFonts w:ascii="Times New Roman" w:hAnsi="Times New Roman" w:cs="Times New Roman"/>
          <w:b/>
          <w:bCs/>
          <w:sz w:val="24"/>
          <w:szCs w:val="24"/>
          <w:lang w:val="en-US"/>
        </w:rPr>
        <w:t>:</w:t>
      </w:r>
    </w:p>
    <w:p w14:paraId="35110950" w14:textId="296C2EA0" w:rsidR="008C48D3" w:rsidRPr="002156CC" w:rsidRDefault="008F5B3E" w:rsidP="002156CC">
      <w:pPr>
        <w:spacing w:line="360" w:lineRule="auto"/>
        <w:jc w:val="both"/>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 xml:space="preserve">Table </w:t>
      </w:r>
      <w:r w:rsidR="00E648D5">
        <w:rPr>
          <w:rFonts w:ascii="Times New Roman" w:hAnsi="Times New Roman" w:cs="Times New Roman"/>
          <w:b/>
          <w:bCs/>
          <w:sz w:val="24"/>
          <w:szCs w:val="24"/>
          <w:lang w:val="en-US"/>
        </w:rPr>
        <w:t>4</w:t>
      </w:r>
      <w:r>
        <w:rPr>
          <w:rFonts w:ascii="Times New Roman" w:hAnsi="Times New Roman" w:cs="Times New Roman"/>
          <w:b/>
          <w:bCs/>
          <w:sz w:val="24"/>
          <w:szCs w:val="24"/>
          <w:lang w:val="en-US"/>
        </w:rPr>
        <w:t xml:space="preserve">: </w:t>
      </w:r>
      <w:r w:rsidRPr="002156CC">
        <w:rPr>
          <w:rFonts w:ascii="Times New Roman" w:hAnsi="Times New Roman" w:cs="Times New Roman"/>
          <w:b/>
          <w:bCs/>
          <w:sz w:val="24"/>
          <w:szCs w:val="24"/>
          <w:lang w:val="en-US"/>
        </w:rPr>
        <w:t xml:space="preserve">Prominent Milk producer companies  </w:t>
      </w:r>
    </w:p>
    <w:tbl>
      <w:tblPr>
        <w:tblStyle w:val="TableGrid"/>
        <w:tblW w:w="9898" w:type="dxa"/>
        <w:tblLook w:val="04A0" w:firstRow="1" w:lastRow="0" w:firstColumn="1" w:lastColumn="0" w:noHBand="0" w:noVBand="1"/>
      </w:tblPr>
      <w:tblGrid>
        <w:gridCol w:w="846"/>
        <w:gridCol w:w="4102"/>
        <w:gridCol w:w="1710"/>
        <w:gridCol w:w="3240"/>
      </w:tblGrid>
      <w:tr w:rsidR="008C48D3" w:rsidRPr="002156CC" w14:paraId="20A1D5E6" w14:textId="77777777" w:rsidTr="00AE780E">
        <w:trPr>
          <w:trHeight w:val="567"/>
        </w:trPr>
        <w:tc>
          <w:tcPr>
            <w:tcW w:w="846" w:type="dxa"/>
            <w:vAlign w:val="center"/>
          </w:tcPr>
          <w:p w14:paraId="699F251E" w14:textId="4B2F7931"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S</w:t>
            </w:r>
            <w:r w:rsidR="00361E5C">
              <w:rPr>
                <w:rFonts w:ascii="Times New Roman" w:hAnsi="Times New Roman" w:cs="Times New Roman"/>
                <w:b/>
                <w:bCs/>
                <w:sz w:val="24"/>
                <w:szCs w:val="24"/>
                <w:lang w:val="en-US"/>
              </w:rPr>
              <w:t>l</w:t>
            </w:r>
            <w:r w:rsidRPr="002156CC">
              <w:rPr>
                <w:rFonts w:ascii="Times New Roman" w:hAnsi="Times New Roman" w:cs="Times New Roman"/>
                <w:b/>
                <w:bCs/>
                <w:sz w:val="24"/>
                <w:szCs w:val="24"/>
                <w:lang w:val="en-US"/>
              </w:rPr>
              <w:t>.</w:t>
            </w:r>
            <w:r w:rsidR="00361E5C">
              <w:rPr>
                <w:rFonts w:ascii="Times New Roman" w:hAnsi="Times New Roman" w:cs="Times New Roman"/>
                <w:b/>
                <w:bCs/>
                <w:sz w:val="24"/>
                <w:szCs w:val="24"/>
                <w:lang w:val="en-US"/>
              </w:rPr>
              <w:t xml:space="preserve"> </w:t>
            </w:r>
            <w:r w:rsidRPr="002156CC">
              <w:rPr>
                <w:rFonts w:ascii="Times New Roman" w:hAnsi="Times New Roman" w:cs="Times New Roman"/>
                <w:b/>
                <w:bCs/>
                <w:sz w:val="24"/>
                <w:szCs w:val="24"/>
                <w:lang w:val="en-US"/>
              </w:rPr>
              <w:t>No</w:t>
            </w:r>
          </w:p>
        </w:tc>
        <w:tc>
          <w:tcPr>
            <w:tcW w:w="4102" w:type="dxa"/>
            <w:vAlign w:val="center"/>
          </w:tcPr>
          <w:p w14:paraId="195FCEAF" w14:textId="45CCCC7F" w:rsidR="008C48D3" w:rsidRPr="002156CC" w:rsidRDefault="008C48D3" w:rsidP="00AE780E">
            <w:pPr>
              <w:pStyle w:val="Default"/>
              <w:jc w:val="center"/>
            </w:pPr>
            <w:r w:rsidRPr="002156CC">
              <w:rPr>
                <w:b/>
                <w:bCs/>
              </w:rPr>
              <w:t>Name of Milk Producer Company</w:t>
            </w:r>
          </w:p>
          <w:p w14:paraId="0B88E0CD" w14:textId="77777777" w:rsidR="008C48D3" w:rsidRPr="002156CC" w:rsidRDefault="008C48D3" w:rsidP="00AE780E">
            <w:pPr>
              <w:jc w:val="center"/>
              <w:rPr>
                <w:rFonts w:ascii="Times New Roman" w:hAnsi="Times New Roman" w:cs="Times New Roman"/>
                <w:b/>
                <w:bCs/>
                <w:sz w:val="24"/>
                <w:szCs w:val="24"/>
                <w:lang w:val="en-US"/>
              </w:rPr>
            </w:pPr>
          </w:p>
        </w:tc>
        <w:tc>
          <w:tcPr>
            <w:tcW w:w="1710" w:type="dxa"/>
            <w:vAlign w:val="center"/>
          </w:tcPr>
          <w:p w14:paraId="1D24C80E" w14:textId="5CCDFDF9" w:rsidR="008C48D3" w:rsidRPr="002156CC" w:rsidRDefault="008C48D3" w:rsidP="00AE780E">
            <w:pPr>
              <w:pStyle w:val="Default"/>
              <w:jc w:val="center"/>
            </w:pPr>
            <w:r w:rsidRPr="002156CC">
              <w:rPr>
                <w:b/>
                <w:bCs/>
              </w:rPr>
              <w:t>Year of registration</w:t>
            </w:r>
          </w:p>
          <w:p w14:paraId="271B81AD" w14:textId="77777777" w:rsidR="008C48D3" w:rsidRPr="002156CC" w:rsidRDefault="008C48D3" w:rsidP="00AE780E">
            <w:pPr>
              <w:jc w:val="center"/>
              <w:rPr>
                <w:rFonts w:ascii="Times New Roman" w:hAnsi="Times New Roman" w:cs="Times New Roman"/>
                <w:b/>
                <w:bCs/>
                <w:sz w:val="24"/>
                <w:szCs w:val="24"/>
                <w:lang w:val="en-US"/>
              </w:rPr>
            </w:pPr>
          </w:p>
        </w:tc>
        <w:tc>
          <w:tcPr>
            <w:tcW w:w="3240" w:type="dxa"/>
            <w:vAlign w:val="center"/>
          </w:tcPr>
          <w:p w14:paraId="654A935A" w14:textId="6595317D" w:rsidR="008C48D3" w:rsidRPr="002156CC" w:rsidRDefault="008C48D3" w:rsidP="00AE780E">
            <w:pPr>
              <w:pStyle w:val="Default"/>
              <w:jc w:val="center"/>
            </w:pPr>
            <w:r w:rsidRPr="002156CC">
              <w:rPr>
                <w:b/>
                <w:bCs/>
              </w:rPr>
              <w:t>Area of operation</w:t>
            </w:r>
          </w:p>
          <w:p w14:paraId="7903C4CD" w14:textId="77777777" w:rsidR="008C48D3" w:rsidRPr="002156CC" w:rsidRDefault="008C48D3" w:rsidP="00AE780E">
            <w:pPr>
              <w:jc w:val="center"/>
              <w:rPr>
                <w:rFonts w:ascii="Times New Roman" w:hAnsi="Times New Roman" w:cs="Times New Roman"/>
                <w:b/>
                <w:bCs/>
                <w:sz w:val="24"/>
                <w:szCs w:val="24"/>
                <w:lang w:val="en-US"/>
              </w:rPr>
            </w:pPr>
          </w:p>
        </w:tc>
      </w:tr>
      <w:tr w:rsidR="008C48D3" w:rsidRPr="002156CC" w14:paraId="31676BC3" w14:textId="77777777" w:rsidTr="00AE780E">
        <w:trPr>
          <w:trHeight w:val="567"/>
        </w:trPr>
        <w:tc>
          <w:tcPr>
            <w:tcW w:w="846" w:type="dxa"/>
            <w:vAlign w:val="center"/>
          </w:tcPr>
          <w:p w14:paraId="7B97A1E8"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1.</w:t>
            </w:r>
          </w:p>
        </w:tc>
        <w:tc>
          <w:tcPr>
            <w:tcW w:w="4102" w:type="dxa"/>
            <w:vAlign w:val="center"/>
          </w:tcPr>
          <w:p w14:paraId="032B3AD2" w14:textId="2798882A" w:rsidR="008C48D3" w:rsidRPr="002156CC" w:rsidRDefault="008C48D3" w:rsidP="00AE780E">
            <w:pPr>
              <w:pStyle w:val="Default"/>
            </w:pPr>
            <w:r w:rsidRPr="002156CC">
              <w:t>Sri Vijaya Visakha Milk Producer Company</w:t>
            </w:r>
          </w:p>
        </w:tc>
        <w:tc>
          <w:tcPr>
            <w:tcW w:w="1710" w:type="dxa"/>
            <w:vAlign w:val="center"/>
          </w:tcPr>
          <w:p w14:paraId="2C7C2F61"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2006</w:t>
            </w:r>
          </w:p>
        </w:tc>
        <w:tc>
          <w:tcPr>
            <w:tcW w:w="3240" w:type="dxa"/>
            <w:vAlign w:val="center"/>
          </w:tcPr>
          <w:p w14:paraId="333272B5"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Andhra Pradesh</w:t>
            </w:r>
          </w:p>
        </w:tc>
      </w:tr>
      <w:tr w:rsidR="008C48D3" w:rsidRPr="002156CC" w14:paraId="45A512ED" w14:textId="77777777" w:rsidTr="00AE780E">
        <w:trPr>
          <w:trHeight w:val="567"/>
        </w:trPr>
        <w:tc>
          <w:tcPr>
            <w:tcW w:w="846" w:type="dxa"/>
            <w:vAlign w:val="center"/>
          </w:tcPr>
          <w:p w14:paraId="679DE1CB"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2.</w:t>
            </w:r>
          </w:p>
        </w:tc>
        <w:tc>
          <w:tcPr>
            <w:tcW w:w="4102" w:type="dxa"/>
            <w:vAlign w:val="center"/>
          </w:tcPr>
          <w:p w14:paraId="30C713AC" w14:textId="37B936DA" w:rsidR="008C48D3" w:rsidRPr="00AE780E" w:rsidRDefault="008C48D3" w:rsidP="00AE780E">
            <w:pPr>
              <w:pStyle w:val="Default"/>
            </w:pPr>
            <w:r w:rsidRPr="002156CC">
              <w:t>Paayas Milk Producer Company</w:t>
            </w:r>
          </w:p>
        </w:tc>
        <w:tc>
          <w:tcPr>
            <w:tcW w:w="1710" w:type="dxa"/>
            <w:vAlign w:val="center"/>
          </w:tcPr>
          <w:p w14:paraId="604A7903"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2012</w:t>
            </w:r>
          </w:p>
        </w:tc>
        <w:tc>
          <w:tcPr>
            <w:tcW w:w="3240" w:type="dxa"/>
            <w:vAlign w:val="center"/>
          </w:tcPr>
          <w:p w14:paraId="24114587"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Rajasthan</w:t>
            </w:r>
          </w:p>
        </w:tc>
      </w:tr>
      <w:tr w:rsidR="008C48D3" w:rsidRPr="002156CC" w14:paraId="4AA3743D" w14:textId="77777777" w:rsidTr="00AE780E">
        <w:trPr>
          <w:trHeight w:val="567"/>
        </w:trPr>
        <w:tc>
          <w:tcPr>
            <w:tcW w:w="846" w:type="dxa"/>
            <w:vAlign w:val="center"/>
          </w:tcPr>
          <w:p w14:paraId="68D3E17E"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3.</w:t>
            </w:r>
          </w:p>
        </w:tc>
        <w:tc>
          <w:tcPr>
            <w:tcW w:w="4102" w:type="dxa"/>
            <w:vAlign w:val="center"/>
          </w:tcPr>
          <w:p w14:paraId="46DA45B7" w14:textId="577A1C4A" w:rsidR="008C48D3" w:rsidRPr="00AE780E" w:rsidRDefault="008C48D3" w:rsidP="00AE780E">
            <w:pPr>
              <w:pStyle w:val="Default"/>
            </w:pPr>
            <w:r w:rsidRPr="002156CC">
              <w:t>Maahi Milk Producer Company</w:t>
            </w:r>
          </w:p>
        </w:tc>
        <w:tc>
          <w:tcPr>
            <w:tcW w:w="1710" w:type="dxa"/>
            <w:vAlign w:val="center"/>
          </w:tcPr>
          <w:p w14:paraId="3EB151DA"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2012</w:t>
            </w:r>
          </w:p>
        </w:tc>
        <w:tc>
          <w:tcPr>
            <w:tcW w:w="3240" w:type="dxa"/>
            <w:vAlign w:val="center"/>
          </w:tcPr>
          <w:p w14:paraId="339DDFE7"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Gujarat</w:t>
            </w:r>
          </w:p>
        </w:tc>
      </w:tr>
      <w:tr w:rsidR="008C48D3" w:rsidRPr="002156CC" w14:paraId="78832986" w14:textId="77777777" w:rsidTr="00AE780E">
        <w:trPr>
          <w:trHeight w:val="567"/>
        </w:trPr>
        <w:tc>
          <w:tcPr>
            <w:tcW w:w="846" w:type="dxa"/>
            <w:vAlign w:val="center"/>
          </w:tcPr>
          <w:p w14:paraId="7BAF2165"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4.</w:t>
            </w:r>
          </w:p>
        </w:tc>
        <w:tc>
          <w:tcPr>
            <w:tcW w:w="4102" w:type="dxa"/>
            <w:vAlign w:val="center"/>
          </w:tcPr>
          <w:p w14:paraId="08A12CB6" w14:textId="287FAD74" w:rsidR="008C48D3" w:rsidRPr="002156CC" w:rsidRDefault="008C48D3" w:rsidP="00AE780E">
            <w:pPr>
              <w:pStyle w:val="Default"/>
            </w:pPr>
            <w:r w:rsidRPr="002156CC">
              <w:t>Sahaj Milk Producer Company</w:t>
            </w:r>
          </w:p>
        </w:tc>
        <w:tc>
          <w:tcPr>
            <w:tcW w:w="1710" w:type="dxa"/>
            <w:vAlign w:val="center"/>
          </w:tcPr>
          <w:p w14:paraId="2A3CEFE6"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2014</w:t>
            </w:r>
          </w:p>
        </w:tc>
        <w:tc>
          <w:tcPr>
            <w:tcW w:w="3240" w:type="dxa"/>
            <w:vAlign w:val="center"/>
          </w:tcPr>
          <w:p w14:paraId="7ECC23B7"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Uttar Pradesh</w:t>
            </w:r>
          </w:p>
        </w:tc>
      </w:tr>
      <w:tr w:rsidR="008C48D3" w:rsidRPr="002156CC" w14:paraId="4AE45ACF" w14:textId="77777777" w:rsidTr="00AE780E">
        <w:trPr>
          <w:trHeight w:val="567"/>
        </w:trPr>
        <w:tc>
          <w:tcPr>
            <w:tcW w:w="846" w:type="dxa"/>
            <w:vAlign w:val="center"/>
          </w:tcPr>
          <w:p w14:paraId="5ADCF83B"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5.</w:t>
            </w:r>
          </w:p>
        </w:tc>
        <w:tc>
          <w:tcPr>
            <w:tcW w:w="4102" w:type="dxa"/>
            <w:vAlign w:val="center"/>
          </w:tcPr>
          <w:p w14:paraId="31645F99" w14:textId="029C2D96" w:rsidR="008C48D3" w:rsidRPr="00AE780E" w:rsidRDefault="008C48D3" w:rsidP="00AE780E">
            <w:pPr>
              <w:pStyle w:val="Default"/>
            </w:pPr>
            <w:r w:rsidRPr="002156CC">
              <w:t>Karimnagar Milk Producer Company</w:t>
            </w:r>
          </w:p>
        </w:tc>
        <w:tc>
          <w:tcPr>
            <w:tcW w:w="1710" w:type="dxa"/>
            <w:vAlign w:val="center"/>
          </w:tcPr>
          <w:p w14:paraId="72B43271"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2012</w:t>
            </w:r>
          </w:p>
        </w:tc>
        <w:tc>
          <w:tcPr>
            <w:tcW w:w="3240" w:type="dxa"/>
            <w:vAlign w:val="center"/>
          </w:tcPr>
          <w:p w14:paraId="06000C4B"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Telangana</w:t>
            </w:r>
          </w:p>
        </w:tc>
      </w:tr>
      <w:tr w:rsidR="008C48D3" w:rsidRPr="002156CC" w14:paraId="24E5FAC3" w14:textId="77777777" w:rsidTr="00AE780E">
        <w:trPr>
          <w:trHeight w:val="567"/>
        </w:trPr>
        <w:tc>
          <w:tcPr>
            <w:tcW w:w="846" w:type="dxa"/>
            <w:vAlign w:val="center"/>
          </w:tcPr>
          <w:p w14:paraId="357C8E91"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6.</w:t>
            </w:r>
          </w:p>
        </w:tc>
        <w:tc>
          <w:tcPr>
            <w:tcW w:w="4102" w:type="dxa"/>
            <w:vAlign w:val="center"/>
          </w:tcPr>
          <w:p w14:paraId="06762294" w14:textId="0F3BE8A9" w:rsidR="008C48D3" w:rsidRPr="002156CC" w:rsidRDefault="008C48D3" w:rsidP="00AE780E">
            <w:pPr>
              <w:pStyle w:val="Default"/>
            </w:pPr>
            <w:r w:rsidRPr="002156CC">
              <w:t>Maval Dairy Farmer Services Producer Company Ltd</w:t>
            </w:r>
          </w:p>
        </w:tc>
        <w:tc>
          <w:tcPr>
            <w:tcW w:w="1710" w:type="dxa"/>
            <w:vAlign w:val="center"/>
          </w:tcPr>
          <w:p w14:paraId="7D192955"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2015</w:t>
            </w:r>
          </w:p>
        </w:tc>
        <w:tc>
          <w:tcPr>
            <w:tcW w:w="3240" w:type="dxa"/>
            <w:vAlign w:val="center"/>
          </w:tcPr>
          <w:p w14:paraId="49538A1B"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Pune, Maharastra</w:t>
            </w:r>
          </w:p>
        </w:tc>
      </w:tr>
      <w:tr w:rsidR="008C48D3" w:rsidRPr="002156CC" w14:paraId="3BCD8CE4" w14:textId="77777777" w:rsidTr="00AE780E">
        <w:trPr>
          <w:trHeight w:val="567"/>
        </w:trPr>
        <w:tc>
          <w:tcPr>
            <w:tcW w:w="846" w:type="dxa"/>
            <w:vAlign w:val="center"/>
          </w:tcPr>
          <w:p w14:paraId="25D1D339"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7.</w:t>
            </w:r>
          </w:p>
        </w:tc>
        <w:tc>
          <w:tcPr>
            <w:tcW w:w="4102" w:type="dxa"/>
            <w:vAlign w:val="center"/>
          </w:tcPr>
          <w:p w14:paraId="23312EF8" w14:textId="3C8D79C8" w:rsidR="008C48D3" w:rsidRPr="00AE780E" w:rsidRDefault="008C48D3" w:rsidP="00AE780E">
            <w:pPr>
              <w:pStyle w:val="Default"/>
            </w:pPr>
            <w:r w:rsidRPr="002156CC">
              <w:t>Sakhi Mahila Milk Producer Company</w:t>
            </w:r>
          </w:p>
        </w:tc>
        <w:tc>
          <w:tcPr>
            <w:tcW w:w="1710" w:type="dxa"/>
            <w:vAlign w:val="center"/>
          </w:tcPr>
          <w:p w14:paraId="30E3A3C1"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2016</w:t>
            </w:r>
          </w:p>
        </w:tc>
        <w:tc>
          <w:tcPr>
            <w:tcW w:w="3240" w:type="dxa"/>
            <w:vAlign w:val="center"/>
          </w:tcPr>
          <w:p w14:paraId="280DFDC7"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Mewat region, Rajasthan</w:t>
            </w:r>
          </w:p>
        </w:tc>
      </w:tr>
    </w:tbl>
    <w:p w14:paraId="57A2D940" w14:textId="0B43FFD2" w:rsidR="008C48D3" w:rsidRPr="002156CC" w:rsidRDefault="008C48D3" w:rsidP="002156CC">
      <w:pPr>
        <w:pStyle w:val="Default"/>
        <w:spacing w:line="360" w:lineRule="auto"/>
        <w:jc w:val="both"/>
        <w:rPr>
          <w:color w:val="auto"/>
        </w:rPr>
      </w:pPr>
      <w:r w:rsidRPr="002156CC">
        <w:rPr>
          <w:color w:val="auto"/>
        </w:rPr>
        <w:t xml:space="preserve">      </w:t>
      </w:r>
      <w:r w:rsidR="008F5B3E">
        <w:rPr>
          <w:color w:val="auto"/>
        </w:rPr>
        <w:t xml:space="preserve">Source: </w:t>
      </w:r>
      <w:r w:rsidRPr="002156CC">
        <w:rPr>
          <w:color w:val="auto"/>
        </w:rPr>
        <w:t xml:space="preserve">Gupta, 2019; Neti </w:t>
      </w:r>
      <w:r w:rsidRPr="002156CC">
        <w:rPr>
          <w:i/>
          <w:iCs/>
          <w:color w:val="auto"/>
        </w:rPr>
        <w:t>et al</w:t>
      </w:r>
      <w:r w:rsidRPr="002156CC">
        <w:rPr>
          <w:color w:val="auto"/>
        </w:rPr>
        <w:t>., 2019; Agriculture today, 2020; Singh, 2019</w:t>
      </w:r>
    </w:p>
    <w:p w14:paraId="60DAFB74" w14:textId="77777777" w:rsidR="008C48D3" w:rsidRPr="002156CC" w:rsidRDefault="008C48D3" w:rsidP="002156CC">
      <w:pPr>
        <w:pStyle w:val="Default"/>
        <w:spacing w:line="360" w:lineRule="auto"/>
        <w:jc w:val="both"/>
        <w:rPr>
          <w:color w:val="auto"/>
        </w:rPr>
      </w:pPr>
    </w:p>
    <w:p w14:paraId="5A911BF7" w14:textId="77777777" w:rsidR="001E79ED" w:rsidRDefault="001E79ED" w:rsidP="002156CC">
      <w:pPr>
        <w:pStyle w:val="Default"/>
        <w:spacing w:after="120" w:line="360" w:lineRule="auto"/>
        <w:jc w:val="both"/>
        <w:rPr>
          <w:b/>
          <w:bCs/>
          <w:lang w:val="en-US"/>
        </w:rPr>
      </w:pPr>
    </w:p>
    <w:p w14:paraId="4427B781" w14:textId="77777777" w:rsidR="001E79ED" w:rsidRDefault="001E79ED" w:rsidP="002156CC">
      <w:pPr>
        <w:pStyle w:val="Default"/>
        <w:spacing w:after="120" w:line="360" w:lineRule="auto"/>
        <w:jc w:val="both"/>
        <w:rPr>
          <w:b/>
          <w:bCs/>
          <w:lang w:val="en-US"/>
        </w:rPr>
      </w:pPr>
    </w:p>
    <w:p w14:paraId="1CA55CAB" w14:textId="77777777" w:rsidR="001E79ED" w:rsidRDefault="001E79ED" w:rsidP="002156CC">
      <w:pPr>
        <w:pStyle w:val="Default"/>
        <w:spacing w:after="120" w:line="360" w:lineRule="auto"/>
        <w:jc w:val="both"/>
        <w:rPr>
          <w:b/>
          <w:bCs/>
          <w:lang w:val="en-US"/>
        </w:rPr>
      </w:pPr>
    </w:p>
    <w:p w14:paraId="5E6B2A87" w14:textId="77777777" w:rsidR="001E79ED" w:rsidRDefault="001E79ED" w:rsidP="002156CC">
      <w:pPr>
        <w:pStyle w:val="Default"/>
        <w:spacing w:after="120" w:line="360" w:lineRule="auto"/>
        <w:jc w:val="both"/>
        <w:rPr>
          <w:b/>
          <w:bCs/>
          <w:lang w:val="en-US"/>
        </w:rPr>
      </w:pPr>
    </w:p>
    <w:p w14:paraId="7A47749C" w14:textId="77777777" w:rsidR="001E79ED" w:rsidRDefault="001E79ED" w:rsidP="002156CC">
      <w:pPr>
        <w:pStyle w:val="Default"/>
        <w:spacing w:after="120" w:line="360" w:lineRule="auto"/>
        <w:jc w:val="both"/>
        <w:rPr>
          <w:b/>
          <w:bCs/>
          <w:lang w:val="en-US"/>
        </w:rPr>
      </w:pPr>
    </w:p>
    <w:p w14:paraId="232B69F2" w14:textId="6A4AABD8" w:rsidR="008C48D3" w:rsidRPr="00A5608B" w:rsidRDefault="008C48D3" w:rsidP="00A5608B">
      <w:pPr>
        <w:pStyle w:val="Default"/>
        <w:spacing w:after="120" w:line="360" w:lineRule="auto"/>
        <w:jc w:val="both"/>
      </w:pPr>
      <w:r w:rsidRPr="002156CC">
        <w:rPr>
          <w:b/>
          <w:bCs/>
          <w:lang w:val="en-US"/>
        </w:rPr>
        <w:lastRenderedPageBreak/>
        <w:t xml:space="preserve">Stakeholders involved in Milk Producer Companies </w:t>
      </w:r>
    </w:p>
    <w:p w14:paraId="7D2794C4" w14:textId="43185569" w:rsidR="008C48D3" w:rsidRPr="002156CC" w:rsidRDefault="008C48D3" w:rsidP="00361E5C">
      <w:pPr>
        <w:pStyle w:val="Default"/>
        <w:spacing w:after="120" w:line="360" w:lineRule="auto"/>
        <w:jc w:val="both"/>
      </w:pPr>
      <w:r w:rsidRPr="002156CC">
        <w:rPr>
          <w:b/>
          <w:bCs/>
        </w:rPr>
        <w:t>1. Farmers</w:t>
      </w:r>
      <w:r w:rsidR="00361E5C">
        <w:rPr>
          <w:b/>
          <w:bCs/>
        </w:rPr>
        <w:t xml:space="preserve">: </w:t>
      </w:r>
      <w:r w:rsidRPr="002156CC">
        <w:t>Farmers are the most important stakeholders in MPCs, as they form the core of these organizations. They contribute directly by supplying milk and are responsible for the company’s existence. As primary producers, their interest lies in receiving fair prices for their milk, access to better inputs and improving their livelihoods. Farmers' involvement ensures that the MPCs stay focused on their mission of serving the producer community</w:t>
      </w:r>
      <w:r w:rsidR="00EB7926">
        <w:t xml:space="preserve"> </w:t>
      </w:r>
      <w:r w:rsidR="00EB7926" w:rsidRPr="00EB7926">
        <w:t>(Kumar, 2020)</w:t>
      </w:r>
      <w:r w:rsidR="00EB7926">
        <w:t>.</w:t>
      </w:r>
    </w:p>
    <w:p w14:paraId="2C5F599D" w14:textId="0C1C45E0" w:rsidR="008C48D3" w:rsidRPr="002156CC" w:rsidRDefault="008C48D3" w:rsidP="00361E5C">
      <w:pPr>
        <w:pStyle w:val="Default"/>
        <w:spacing w:after="120" w:line="360" w:lineRule="auto"/>
        <w:jc w:val="both"/>
      </w:pPr>
      <w:r w:rsidRPr="002156CC">
        <w:rPr>
          <w:b/>
          <w:bCs/>
        </w:rPr>
        <w:t>2. Funding Agencies</w:t>
      </w:r>
      <w:r w:rsidR="00361E5C">
        <w:rPr>
          <w:b/>
          <w:bCs/>
        </w:rPr>
        <w:t xml:space="preserve">: </w:t>
      </w:r>
      <w:r w:rsidRPr="002156CC">
        <w:t>The second most important stakeholders are funding agencies such as NABARD, banks and trusts. These agencies provide the financial backbone to MPCs, offering loans, grants and working capital. Without their support, MPCs would struggle to operate or expand. Funding agencies enable MPCs to invest in infrastructure, technology and capacity-building activities</w:t>
      </w:r>
      <w:r w:rsidR="00EB7926">
        <w:t xml:space="preserve"> </w:t>
      </w:r>
      <w:r w:rsidR="00EB7926" w:rsidRPr="00EB7926">
        <w:t>(Kumar, 2020)</w:t>
      </w:r>
      <w:r w:rsidR="00EB7926">
        <w:t>.</w:t>
      </w:r>
    </w:p>
    <w:p w14:paraId="00BB5E1A" w14:textId="5AC64CD6" w:rsidR="008C48D3" w:rsidRPr="002156CC" w:rsidRDefault="008C48D3" w:rsidP="00361E5C">
      <w:pPr>
        <w:pStyle w:val="Default"/>
        <w:spacing w:after="120" w:line="360" w:lineRule="auto"/>
        <w:jc w:val="both"/>
      </w:pPr>
      <w:r w:rsidRPr="002156CC">
        <w:rPr>
          <w:b/>
          <w:bCs/>
        </w:rPr>
        <w:t>3. Customers</w:t>
      </w:r>
      <w:r w:rsidR="00361E5C">
        <w:rPr>
          <w:b/>
          <w:bCs/>
        </w:rPr>
        <w:t xml:space="preserve">: </w:t>
      </w:r>
      <w:r w:rsidRPr="002156CC">
        <w:t>Customers play a critical role, especially for MPCs that focus on perishable products like milk. Their demand directly influences the growth and sustainability of the company. MPCs strive to maintain high-quality standards, fair pricing and brand loyalty to ensure consistent demand from customers</w:t>
      </w:r>
      <w:r w:rsidR="00EB7926">
        <w:t xml:space="preserve"> </w:t>
      </w:r>
      <w:r w:rsidR="00EB7926" w:rsidRPr="00EB7926">
        <w:t>(Kumar, 2020)</w:t>
      </w:r>
      <w:r w:rsidR="00EB7926">
        <w:t>.</w:t>
      </w:r>
    </w:p>
    <w:p w14:paraId="708F324D" w14:textId="3D21575B" w:rsidR="008C48D3" w:rsidRPr="002156CC" w:rsidRDefault="008C48D3" w:rsidP="00361E5C">
      <w:pPr>
        <w:pStyle w:val="Default"/>
        <w:spacing w:after="120" w:line="360" w:lineRule="auto"/>
        <w:jc w:val="both"/>
      </w:pPr>
      <w:r w:rsidRPr="002156CC">
        <w:rPr>
          <w:b/>
          <w:bCs/>
        </w:rPr>
        <w:t>4. NGOs and Resource Institutions</w:t>
      </w:r>
      <w:r w:rsidR="00361E5C">
        <w:rPr>
          <w:b/>
          <w:bCs/>
        </w:rPr>
        <w:t xml:space="preserve">: </w:t>
      </w:r>
      <w:r w:rsidRPr="002156CC">
        <w:t>Non-governmental organizations (NGOs) and resource institutions help in the initial formation of MPCs by providing expertise, organizing farmers and facilitating legal procedures. These entities also provide training and technical assistance, contributing significantly to the governance and management capacity of MPCs. Their role is essential in ensuring that MPCs adhere to cooperative principles while maintaining professionalism</w:t>
      </w:r>
      <w:r w:rsidR="00EB7926">
        <w:t xml:space="preserve"> </w:t>
      </w:r>
      <w:r w:rsidR="00EB7926" w:rsidRPr="00EB7926">
        <w:t>(Kumar, 2020)</w:t>
      </w:r>
      <w:r w:rsidR="00EB7926">
        <w:t>.</w:t>
      </w:r>
    </w:p>
    <w:p w14:paraId="7C271755" w14:textId="318D0D17" w:rsidR="008C48D3" w:rsidRPr="002156CC" w:rsidRDefault="008C48D3" w:rsidP="00361E5C">
      <w:pPr>
        <w:pStyle w:val="Default"/>
        <w:spacing w:after="120" w:line="360" w:lineRule="auto"/>
        <w:jc w:val="both"/>
      </w:pPr>
      <w:r w:rsidRPr="002156CC">
        <w:rPr>
          <w:b/>
          <w:bCs/>
        </w:rPr>
        <w:t>5. Market Actors</w:t>
      </w:r>
      <w:r w:rsidR="00361E5C">
        <w:rPr>
          <w:b/>
          <w:bCs/>
        </w:rPr>
        <w:t xml:space="preserve">: </w:t>
      </w:r>
      <w:r w:rsidRPr="002156CC">
        <w:t>Market actors such as wholesalers and retailers are integral to the MPC value chain. They help in the distribution and sale of milk and dairy products, ensuring that farmers’ produce reaches the market efficiently. These actors create the link between the MPCs and the end consumers, which is crucial for maintaining the flow of goods and revenue</w:t>
      </w:r>
      <w:r w:rsidR="00EB7926">
        <w:t xml:space="preserve"> </w:t>
      </w:r>
      <w:r w:rsidR="00EB7926" w:rsidRPr="00EB7926">
        <w:t>(Kumar, 2020)</w:t>
      </w:r>
      <w:r w:rsidR="00EB7926">
        <w:t>.</w:t>
      </w:r>
    </w:p>
    <w:p w14:paraId="465D0134" w14:textId="73AF23EF" w:rsidR="008C48D3" w:rsidRPr="002156CC" w:rsidRDefault="008C48D3" w:rsidP="00361E5C">
      <w:pPr>
        <w:pStyle w:val="Default"/>
        <w:spacing w:after="120" w:line="360" w:lineRule="auto"/>
        <w:jc w:val="both"/>
      </w:pPr>
      <w:r w:rsidRPr="002156CC">
        <w:rPr>
          <w:b/>
          <w:bCs/>
        </w:rPr>
        <w:t>6. Input Suppliers</w:t>
      </w:r>
      <w:r w:rsidR="00361E5C">
        <w:rPr>
          <w:b/>
          <w:bCs/>
        </w:rPr>
        <w:t xml:space="preserve">: </w:t>
      </w:r>
      <w:r w:rsidRPr="002156CC">
        <w:t>Input suppliers, who provide fodder, feed and other necessary resources, hold a significant position. They ensure that farmers receive quality inputs that can enhance productivity and lower costs. By supplying inputs at competitive prices, they indirectly influence the operational efficiency of MPCs and the profitability of member farmers</w:t>
      </w:r>
      <w:r w:rsidR="001E79ED">
        <w:t xml:space="preserve"> </w:t>
      </w:r>
      <w:r w:rsidR="00EB7926" w:rsidRPr="00EB7926">
        <w:t>(Kumar, 2020)</w:t>
      </w:r>
      <w:r w:rsidR="00EB7926">
        <w:t>.</w:t>
      </w:r>
    </w:p>
    <w:p w14:paraId="2B5E591E" w14:textId="64234458" w:rsidR="008C48D3" w:rsidRPr="002156CC" w:rsidRDefault="008C48D3" w:rsidP="00361E5C">
      <w:pPr>
        <w:pStyle w:val="Default"/>
        <w:spacing w:after="120" w:line="360" w:lineRule="auto"/>
        <w:jc w:val="both"/>
      </w:pPr>
      <w:r w:rsidRPr="002156CC">
        <w:rPr>
          <w:b/>
          <w:bCs/>
        </w:rPr>
        <w:lastRenderedPageBreak/>
        <w:t>7. Professional Staff</w:t>
      </w:r>
      <w:r w:rsidR="00361E5C">
        <w:rPr>
          <w:b/>
          <w:bCs/>
        </w:rPr>
        <w:t xml:space="preserve">: </w:t>
      </w:r>
      <w:r w:rsidRPr="002156CC">
        <w:t>The professional management of MPCs is handled by CEOs, accountants and technical/non-technical staff. These professionals are responsible for day-to-day operations, governance and ensuring that the company adheres to legal and financial regulations. They help in maintaining transparency, efficiency and accountability within the organization</w:t>
      </w:r>
      <w:r w:rsidR="001E79ED">
        <w:t xml:space="preserve"> </w:t>
      </w:r>
      <w:r w:rsidR="00EB7926" w:rsidRPr="00EB7926">
        <w:t>(Kumar, 2020)</w:t>
      </w:r>
      <w:r w:rsidR="00EB7926">
        <w:t>.</w:t>
      </w:r>
    </w:p>
    <w:p w14:paraId="1BCE25AF" w14:textId="43E66C47" w:rsidR="008C48D3" w:rsidRPr="002156CC" w:rsidRDefault="008C48D3" w:rsidP="002156CC">
      <w:pPr>
        <w:pStyle w:val="Default"/>
        <w:spacing w:after="120" w:line="360" w:lineRule="auto"/>
        <w:jc w:val="both"/>
      </w:pPr>
      <w:r w:rsidRPr="002156CC">
        <w:rPr>
          <w:b/>
          <w:bCs/>
        </w:rPr>
        <w:t>8. Banks</w:t>
      </w:r>
      <w:r w:rsidR="00361E5C">
        <w:rPr>
          <w:b/>
          <w:bCs/>
        </w:rPr>
        <w:t xml:space="preserve">: </w:t>
      </w:r>
      <w:r w:rsidRPr="002156CC">
        <w:t>Banks support MPCs by facilitating financial transactions, loans and credit services. Although their relationship with MPCs may not always be direct, they play an essential role in the financial sustainability of these organizations. Banks provide liquidity and help MPCs manage their finances more efficiently</w:t>
      </w:r>
      <w:r w:rsidR="00EB7926">
        <w:t xml:space="preserve"> </w:t>
      </w:r>
      <w:r w:rsidR="00EB7926" w:rsidRPr="00EB7926">
        <w:t>(Kumar, 2020)</w:t>
      </w:r>
      <w:r w:rsidR="00EB7926">
        <w:t>.</w:t>
      </w:r>
    </w:p>
    <w:p w14:paraId="63728907" w14:textId="3496F7AC" w:rsidR="008C48D3" w:rsidRPr="002156CC" w:rsidRDefault="008C48D3" w:rsidP="002156CC">
      <w:pPr>
        <w:pStyle w:val="Default"/>
        <w:spacing w:after="120" w:line="360" w:lineRule="auto"/>
        <w:jc w:val="both"/>
      </w:pPr>
      <w:r w:rsidRPr="002156CC">
        <w:rPr>
          <w:b/>
          <w:bCs/>
        </w:rPr>
        <w:t>9. Research and Training Institutions</w:t>
      </w:r>
      <w:r w:rsidR="00361E5C">
        <w:rPr>
          <w:b/>
          <w:bCs/>
        </w:rPr>
        <w:t xml:space="preserve">: </w:t>
      </w:r>
      <w:r w:rsidRPr="002156CC">
        <w:t xml:space="preserve">These institutions are responsible for capacity building within MPCs. They provide training to farmers and staff, offer exposure to new technologies and conduct demonstrations. Their role in introducing innovative practices helps improve productivity and the overall performance of MPCs </w:t>
      </w:r>
      <w:r w:rsidR="00EB7926" w:rsidRPr="00EB7926">
        <w:t>(Kumar, 2020)</w:t>
      </w:r>
      <w:r w:rsidR="00EB7926">
        <w:t>.</w:t>
      </w:r>
    </w:p>
    <w:p w14:paraId="5BF10E2B" w14:textId="059D6838" w:rsidR="008C48D3" w:rsidRPr="002156CC" w:rsidRDefault="008C48D3" w:rsidP="002156CC">
      <w:pPr>
        <w:pStyle w:val="Default"/>
        <w:spacing w:after="120" w:line="360" w:lineRule="auto"/>
        <w:jc w:val="both"/>
      </w:pPr>
      <w:r w:rsidRPr="002156CC">
        <w:rPr>
          <w:b/>
          <w:bCs/>
        </w:rPr>
        <w:t>10. Processing Industry</w:t>
      </w:r>
      <w:r w:rsidR="00361E5C">
        <w:rPr>
          <w:b/>
          <w:bCs/>
        </w:rPr>
        <w:t xml:space="preserve">: </w:t>
      </w:r>
      <w:r w:rsidRPr="002156CC">
        <w:t>The processing industry is involved in transforming raw milk into marketable dairy products. For MPCs lacking infrastructure for processing, partnerships with the processing industry are crucial. This collaboration allows MPCs to focus on procurement while leveraging external facilities for value addition</w:t>
      </w:r>
      <w:r w:rsidR="00EB7926">
        <w:t xml:space="preserve"> </w:t>
      </w:r>
      <w:r w:rsidR="00EB7926" w:rsidRPr="00EB7926">
        <w:t>(Kumar, 2020)</w:t>
      </w:r>
      <w:r w:rsidR="00EB7926">
        <w:t>.</w:t>
      </w:r>
    </w:p>
    <w:p w14:paraId="679200E6" w14:textId="55999AD9" w:rsidR="008C48D3" w:rsidRPr="002156CC" w:rsidRDefault="008C48D3" w:rsidP="002156CC">
      <w:pPr>
        <w:pStyle w:val="Default"/>
        <w:spacing w:after="120" w:line="360" w:lineRule="auto"/>
        <w:jc w:val="both"/>
      </w:pPr>
      <w:r w:rsidRPr="002156CC">
        <w:rPr>
          <w:b/>
          <w:bCs/>
        </w:rPr>
        <w:t>11. Facilitating Organizations</w:t>
      </w:r>
      <w:r w:rsidR="00361E5C">
        <w:rPr>
          <w:b/>
          <w:bCs/>
        </w:rPr>
        <w:t xml:space="preserve">: </w:t>
      </w:r>
      <w:r w:rsidRPr="002156CC">
        <w:t xml:space="preserve">Facilitating organizations like local government authorities, veterinary officers and agricultural universities contribute by providing regulatory oversight, veterinary services and policy support. These organizations ensure that MPCs operate within legal frameworks and benefit from state-level policies aimed at supporting the dairy sector </w:t>
      </w:r>
      <w:r w:rsidR="00EB7926" w:rsidRPr="00EB7926">
        <w:t>(Kumar, 2020)</w:t>
      </w:r>
      <w:r w:rsidR="00EB7926">
        <w:t>.</w:t>
      </w:r>
    </w:p>
    <w:p w14:paraId="38F5C740" w14:textId="77777777" w:rsidR="00EB7926" w:rsidRDefault="008C48D3" w:rsidP="00EB7926">
      <w:pPr>
        <w:pStyle w:val="Default"/>
        <w:spacing w:after="120" w:line="360" w:lineRule="auto"/>
        <w:jc w:val="both"/>
      </w:pPr>
      <w:r w:rsidRPr="002156CC">
        <w:rPr>
          <w:b/>
          <w:bCs/>
        </w:rPr>
        <w:t>12. State Agricultural and other Departments</w:t>
      </w:r>
      <w:r w:rsidR="00361E5C">
        <w:rPr>
          <w:b/>
          <w:bCs/>
        </w:rPr>
        <w:t xml:space="preserve">: </w:t>
      </w:r>
      <w:r w:rsidRPr="002156CC">
        <w:t xml:space="preserve">Although these departments are not directly responsible for the formation of MPCs, they provide valuable support through extension services, agricultural subsidies and technical assistance. Their role is primarily focused on improving the ground-level functioning of MPCs, ensuring their long-term </w:t>
      </w:r>
      <w:r w:rsidR="00EB7926" w:rsidRPr="00EB7926">
        <w:t>(Kumar, 2020)</w:t>
      </w:r>
      <w:r w:rsidR="00EB7926">
        <w:t>.</w:t>
      </w:r>
    </w:p>
    <w:p w14:paraId="401F7970" w14:textId="44AFE7F9" w:rsidR="00A5608B" w:rsidRDefault="00A5608B" w:rsidP="00A5608B">
      <w:pPr>
        <w:pStyle w:val="Default"/>
        <w:spacing w:after="120" w:line="360" w:lineRule="auto"/>
        <w:jc w:val="center"/>
      </w:pPr>
      <w:r w:rsidRPr="002156CC">
        <w:rPr>
          <w:b/>
          <w:bCs/>
          <w:noProof/>
        </w:rPr>
        <w:lastRenderedPageBreak/>
        <w:drawing>
          <wp:inline distT="0" distB="0" distL="0" distR="0" wp14:anchorId="2B632089" wp14:editId="14E402E3">
            <wp:extent cx="4346846" cy="2509520"/>
            <wp:effectExtent l="0" t="0" r="0" b="5080"/>
            <wp:docPr id="687009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09935" name=""/>
                    <pic:cNvPicPr/>
                  </pic:nvPicPr>
                  <pic:blipFill>
                    <a:blip r:embed="rId9"/>
                    <a:stretch>
                      <a:fillRect/>
                    </a:stretch>
                  </pic:blipFill>
                  <pic:spPr>
                    <a:xfrm>
                      <a:off x="0" y="0"/>
                      <a:ext cx="4348886" cy="2510698"/>
                    </a:xfrm>
                    <a:prstGeom prst="rect">
                      <a:avLst/>
                    </a:prstGeom>
                  </pic:spPr>
                </pic:pic>
              </a:graphicData>
            </a:graphic>
          </wp:inline>
        </w:drawing>
      </w:r>
    </w:p>
    <w:p w14:paraId="6E902E00" w14:textId="4B8EB719" w:rsidR="00A5608B" w:rsidRPr="002156CC" w:rsidRDefault="00A5608B" w:rsidP="00A5608B">
      <w:pPr>
        <w:pStyle w:val="Default"/>
        <w:spacing w:after="120" w:line="360" w:lineRule="auto"/>
        <w:jc w:val="both"/>
      </w:pPr>
      <w:r>
        <w:rPr>
          <w:b/>
          <w:bCs/>
          <w:color w:val="000000" w:themeColor="text1"/>
        </w:rPr>
        <w:t xml:space="preserve">                         </w:t>
      </w:r>
      <w:r w:rsidRPr="00361E5C">
        <w:rPr>
          <w:b/>
          <w:bCs/>
          <w:color w:val="000000" w:themeColor="text1"/>
        </w:rPr>
        <w:t xml:space="preserve">Fig </w:t>
      </w:r>
      <w:r w:rsidR="00C140FC">
        <w:rPr>
          <w:b/>
          <w:bCs/>
          <w:color w:val="000000" w:themeColor="text1"/>
        </w:rPr>
        <w:t>3</w:t>
      </w:r>
      <w:r w:rsidRPr="00361E5C">
        <w:rPr>
          <w:b/>
          <w:bCs/>
          <w:color w:val="000000" w:themeColor="text1"/>
        </w:rPr>
        <w:t>:</w:t>
      </w:r>
      <w:r>
        <w:rPr>
          <w:color w:val="000000" w:themeColor="text1"/>
        </w:rPr>
        <w:t xml:space="preserve"> </w:t>
      </w:r>
      <w:r w:rsidRPr="002156CC">
        <w:rPr>
          <w:b/>
          <w:bCs/>
          <w:lang w:val="en-US"/>
        </w:rPr>
        <w:t xml:space="preserve">Stakeholders involved in Milk Producer Companies </w:t>
      </w:r>
    </w:p>
    <w:p w14:paraId="4425C338" w14:textId="77777777" w:rsidR="008C48D3" w:rsidRDefault="008C48D3" w:rsidP="002156CC">
      <w:pPr>
        <w:pStyle w:val="Default"/>
        <w:spacing w:line="360" w:lineRule="auto"/>
        <w:jc w:val="both"/>
        <w:rPr>
          <w:color w:val="auto"/>
        </w:rPr>
      </w:pPr>
    </w:p>
    <w:p w14:paraId="5DB37AAE" w14:textId="77777777" w:rsidR="00657FAE" w:rsidRPr="00657FAE" w:rsidRDefault="00657FAE" w:rsidP="00657FAE">
      <w:pPr>
        <w:pStyle w:val="Default"/>
        <w:spacing w:line="360" w:lineRule="auto"/>
        <w:jc w:val="both"/>
        <w:rPr>
          <w:b/>
          <w:bCs/>
          <w:color w:val="auto"/>
        </w:rPr>
      </w:pPr>
      <w:r w:rsidRPr="00657FAE">
        <w:rPr>
          <w:b/>
          <w:bCs/>
          <w:color w:val="auto"/>
        </w:rPr>
        <w:t>Challenges Faced by Dairy Farmers</w:t>
      </w:r>
    </w:p>
    <w:p w14:paraId="49765035" w14:textId="5820B813" w:rsidR="00657FAE" w:rsidRPr="00950686" w:rsidRDefault="00657FAE" w:rsidP="00657FAE">
      <w:pPr>
        <w:pStyle w:val="Default"/>
        <w:numPr>
          <w:ilvl w:val="0"/>
          <w:numId w:val="6"/>
        </w:numPr>
        <w:spacing w:line="360" w:lineRule="auto"/>
        <w:jc w:val="both"/>
        <w:rPr>
          <w:color w:val="auto"/>
        </w:rPr>
      </w:pPr>
      <w:r w:rsidRPr="00396A83">
        <w:rPr>
          <w:b/>
          <w:bCs/>
        </w:rPr>
        <w:t>Livestock feeding</w:t>
      </w:r>
      <w:r>
        <w:rPr>
          <w:b/>
          <w:bCs/>
        </w:rPr>
        <w:t xml:space="preserve"> constraints</w:t>
      </w:r>
      <w:r w:rsidR="00950686">
        <w:rPr>
          <w:color w:val="auto"/>
        </w:rPr>
        <w:t xml:space="preserve">: </w:t>
      </w:r>
      <w:r w:rsidRPr="00950686">
        <w:rPr>
          <w:color w:val="auto"/>
        </w:rPr>
        <w:t xml:space="preserve">A persistent challenge for dairy farmers, particularly smallholders, is the high cost of cattle feed and the chronic shortage of both green and dry fodder. The cattle feed market is often dominated by intermediaries, resulting in inflated prices and limited bargaining power for individual farmers (Thakur, 2020). Marginal and landless farmers, who make up a significant proportion of livestock owners in India, are especially disadvantaged, as they lack land resources to cultivate green fodder or collect sufficient crop residues for dry fodder. Consequently, these farmers are often forced to purchase dry fodder at elevated market rates, further eroding their already thin profit margins. This dependence on purchased feed not only raises production costs but also limits farmers ability to choose feed quality and composition, which can negatively impact animal health and milk yield (NITI Aayog, 2018). </w:t>
      </w:r>
    </w:p>
    <w:p w14:paraId="5AEFE9C7" w14:textId="77777777" w:rsidR="00657FAE" w:rsidRPr="00657FAE" w:rsidRDefault="00657FAE" w:rsidP="00657FAE">
      <w:pPr>
        <w:pStyle w:val="Default"/>
        <w:spacing w:line="360" w:lineRule="auto"/>
        <w:jc w:val="both"/>
        <w:rPr>
          <w:color w:val="auto"/>
        </w:rPr>
      </w:pPr>
    </w:p>
    <w:p w14:paraId="2DB95D4A" w14:textId="2D767BB3" w:rsidR="00657FAE" w:rsidRPr="00950686" w:rsidRDefault="00657FAE" w:rsidP="00657FAE">
      <w:pPr>
        <w:pStyle w:val="Default"/>
        <w:numPr>
          <w:ilvl w:val="0"/>
          <w:numId w:val="6"/>
        </w:numPr>
        <w:spacing w:line="360" w:lineRule="auto"/>
        <w:jc w:val="both"/>
        <w:rPr>
          <w:b/>
          <w:bCs/>
          <w:color w:val="auto"/>
        </w:rPr>
      </w:pPr>
      <w:r w:rsidRPr="00657FAE">
        <w:rPr>
          <w:b/>
          <w:bCs/>
          <w:color w:val="auto"/>
        </w:rPr>
        <w:t>Inadequate Animal Health Services</w:t>
      </w:r>
      <w:r w:rsidR="00950686">
        <w:rPr>
          <w:b/>
          <w:bCs/>
          <w:color w:val="auto"/>
        </w:rPr>
        <w:t xml:space="preserve">: </w:t>
      </w:r>
      <w:r w:rsidRPr="00950686">
        <w:rPr>
          <w:color w:val="auto"/>
        </w:rPr>
        <w:t xml:space="preserve">Access to timely and quality veterinary care remains another critical bottleneck in the livestock sector. The public sector, which is the main provider of veterinary services in rural areas, suffers from a shortage of skilled personnel with estimates indicating a 40–50% deficit in qualified veterinarians (Rao et al., 2015). This shortage leads to delayed or substandard treatment, with little differentiation between high and low-value livestock, thereby hampering disease control and genetic improvement efforts (Thakur, 2020). Artificial insemination (AI) services, vital for genetic enhancement, also suffer from low coverage, reaching only </w:t>
      </w:r>
      <w:r w:rsidRPr="00950686">
        <w:rPr>
          <w:color w:val="auto"/>
        </w:rPr>
        <w:lastRenderedPageBreak/>
        <w:t>about 26% of the breedable population, far below the level needed for effective herd improvement (GOI, 2017).</w:t>
      </w:r>
    </w:p>
    <w:p w14:paraId="3B3CAAD0" w14:textId="77777777" w:rsidR="00657FAE" w:rsidRDefault="00657FAE" w:rsidP="00657FAE">
      <w:pPr>
        <w:pStyle w:val="Default"/>
        <w:spacing w:line="360" w:lineRule="auto"/>
        <w:jc w:val="both"/>
        <w:rPr>
          <w:color w:val="auto"/>
        </w:rPr>
      </w:pPr>
    </w:p>
    <w:p w14:paraId="1534CDDE" w14:textId="77777777" w:rsidR="00657FAE" w:rsidRDefault="00657FAE" w:rsidP="00657FAE">
      <w:pPr>
        <w:pStyle w:val="Default"/>
        <w:spacing w:line="360" w:lineRule="auto"/>
        <w:jc w:val="both"/>
        <w:rPr>
          <w:color w:val="auto"/>
        </w:rPr>
      </w:pPr>
    </w:p>
    <w:p w14:paraId="61713529" w14:textId="77777777" w:rsidR="00657FAE" w:rsidRPr="00657FAE" w:rsidRDefault="00657FAE" w:rsidP="00657FAE">
      <w:pPr>
        <w:pStyle w:val="Default"/>
        <w:spacing w:line="360" w:lineRule="auto"/>
        <w:jc w:val="both"/>
        <w:rPr>
          <w:color w:val="auto"/>
        </w:rPr>
      </w:pPr>
    </w:p>
    <w:p w14:paraId="22EAA3E3" w14:textId="29E006B1" w:rsidR="00657FAE" w:rsidRPr="00950686" w:rsidRDefault="00657FAE" w:rsidP="00657FAE">
      <w:pPr>
        <w:pStyle w:val="Default"/>
        <w:numPr>
          <w:ilvl w:val="0"/>
          <w:numId w:val="6"/>
        </w:numPr>
        <w:spacing w:line="360" w:lineRule="auto"/>
        <w:jc w:val="both"/>
        <w:rPr>
          <w:b/>
          <w:bCs/>
          <w:color w:val="auto"/>
        </w:rPr>
      </w:pPr>
      <w:r w:rsidRPr="00657FAE">
        <w:rPr>
          <w:b/>
          <w:bCs/>
          <w:color w:val="auto"/>
        </w:rPr>
        <w:t>Weak Extension Support and Limited Access to Credit</w:t>
      </w:r>
      <w:r w:rsidR="00950686">
        <w:rPr>
          <w:b/>
          <w:bCs/>
          <w:color w:val="auto"/>
        </w:rPr>
        <w:t xml:space="preserve">: </w:t>
      </w:r>
      <w:r w:rsidRPr="00950686">
        <w:rPr>
          <w:color w:val="auto"/>
        </w:rPr>
        <w:t>Dairy farmers also face major obstacles in accessing reliable extension services and institutional credit. The high cost of delivering extension services to widely scattered smallholders results in sporadic outreach and poor dissemination of best practices in animal health, nutrition and management. Furthermore, formal credit institutions are often reluctant to lend to small-scale dairy farmers, especially women, due to the lack of collateral and the perceived risk associated with the sector. This exclusion from formal financial systems restricts farmers’ ability to invest in productivity-enhancing technologies or practices (Thakur, 2020;</w:t>
      </w:r>
      <w:r w:rsidR="00E70EDD" w:rsidRPr="00E70EDD">
        <w:rPr>
          <w:rFonts w:asciiTheme="minorHAnsi" w:hAnsiTheme="minorHAnsi" w:cstheme="minorBidi"/>
          <w:color w:val="auto"/>
          <w:kern w:val="2"/>
          <w:sz w:val="22"/>
          <w:szCs w:val="22"/>
        </w:rPr>
        <w:t xml:space="preserve"> </w:t>
      </w:r>
      <w:r w:rsidR="00E70EDD" w:rsidRPr="00E70EDD">
        <w:rPr>
          <w:color w:val="auto"/>
        </w:rPr>
        <w:t>Chaudhary, 2023</w:t>
      </w:r>
      <w:r w:rsidRPr="00950686">
        <w:rPr>
          <w:color w:val="auto"/>
        </w:rPr>
        <w:t>).</w:t>
      </w:r>
    </w:p>
    <w:p w14:paraId="1E9E0BDE" w14:textId="77777777" w:rsidR="00657FAE" w:rsidRPr="00657FAE" w:rsidRDefault="00657FAE" w:rsidP="00657FAE">
      <w:pPr>
        <w:pStyle w:val="Default"/>
        <w:spacing w:line="360" w:lineRule="auto"/>
        <w:jc w:val="both"/>
        <w:rPr>
          <w:color w:val="auto"/>
        </w:rPr>
      </w:pPr>
    </w:p>
    <w:p w14:paraId="3A37BEE5" w14:textId="746A52D1" w:rsidR="00657FAE" w:rsidRPr="00950686" w:rsidRDefault="00657FAE" w:rsidP="00657FAE">
      <w:pPr>
        <w:pStyle w:val="Default"/>
        <w:numPr>
          <w:ilvl w:val="0"/>
          <w:numId w:val="6"/>
        </w:numPr>
        <w:spacing w:line="360" w:lineRule="auto"/>
        <w:jc w:val="both"/>
        <w:rPr>
          <w:b/>
          <w:bCs/>
          <w:color w:val="auto"/>
        </w:rPr>
      </w:pPr>
      <w:r w:rsidRPr="00657FAE">
        <w:rPr>
          <w:b/>
          <w:bCs/>
          <w:color w:val="auto"/>
        </w:rPr>
        <w:t>Market Constraints and Poor Bargaining Power</w:t>
      </w:r>
      <w:r w:rsidR="00950686">
        <w:rPr>
          <w:b/>
          <w:bCs/>
          <w:color w:val="auto"/>
        </w:rPr>
        <w:t xml:space="preserve">: </w:t>
      </w:r>
      <w:r w:rsidRPr="00950686">
        <w:rPr>
          <w:color w:val="auto"/>
        </w:rPr>
        <w:t>Milk marketing is fraught with multiple challenges. Its perishable nature, combined with a lack of on-farm processing and storage infrastructure, often compels farmers to make distress sales at low prices. The dominance of intermediaries in the supply chain further reduces the share of the final consumer price that reaches producers. Individual farmers, with limited volumes, lack the bargaining power to negotiate better prices. These challenges contribute to income instability and discourage investment in the dairy sector (Thakur, 2020).</w:t>
      </w:r>
    </w:p>
    <w:p w14:paraId="07A31C94" w14:textId="77777777" w:rsidR="00657FAE" w:rsidRPr="00657FAE" w:rsidRDefault="00657FAE" w:rsidP="00657FAE">
      <w:pPr>
        <w:pStyle w:val="Default"/>
        <w:spacing w:line="360" w:lineRule="auto"/>
        <w:jc w:val="both"/>
        <w:rPr>
          <w:color w:val="auto"/>
        </w:rPr>
      </w:pPr>
    </w:p>
    <w:p w14:paraId="178C14E3" w14:textId="06505F6D" w:rsidR="00657FAE" w:rsidRPr="00657FAE" w:rsidRDefault="00657FAE" w:rsidP="00950686">
      <w:pPr>
        <w:pStyle w:val="Default"/>
        <w:spacing w:line="360" w:lineRule="auto"/>
        <w:jc w:val="both"/>
        <w:rPr>
          <w:b/>
          <w:bCs/>
          <w:color w:val="auto"/>
        </w:rPr>
      </w:pPr>
      <w:r w:rsidRPr="00657FAE">
        <w:rPr>
          <w:b/>
          <w:bCs/>
          <w:color w:val="auto"/>
        </w:rPr>
        <w:t>Interventions through Milk Producer Companies (MPCs)</w:t>
      </w:r>
    </w:p>
    <w:p w14:paraId="3FE1E967" w14:textId="01842E68" w:rsidR="00657FAE" w:rsidRPr="00950686" w:rsidRDefault="00657FAE" w:rsidP="00657FAE">
      <w:pPr>
        <w:pStyle w:val="Default"/>
        <w:numPr>
          <w:ilvl w:val="0"/>
          <w:numId w:val="7"/>
        </w:numPr>
        <w:spacing w:line="360" w:lineRule="auto"/>
        <w:jc w:val="both"/>
        <w:rPr>
          <w:b/>
          <w:bCs/>
          <w:color w:val="auto"/>
        </w:rPr>
      </w:pPr>
      <w:r w:rsidRPr="00950686">
        <w:rPr>
          <w:b/>
          <w:bCs/>
          <w:color w:val="auto"/>
        </w:rPr>
        <w:t>Collective Procurement and Input Management</w:t>
      </w:r>
      <w:r w:rsidR="00950686">
        <w:rPr>
          <w:b/>
          <w:bCs/>
          <w:color w:val="auto"/>
        </w:rPr>
        <w:t xml:space="preserve">: </w:t>
      </w:r>
      <w:r w:rsidR="00950686" w:rsidRPr="00950686">
        <w:rPr>
          <w:color w:val="auto"/>
        </w:rPr>
        <w:t>MPCs</w:t>
      </w:r>
      <w:r w:rsidRPr="00950686">
        <w:rPr>
          <w:color w:val="auto"/>
        </w:rPr>
        <w:t xml:space="preserve"> offer an effective institutional solution to address input procurement and fodder-related challenges. By aggregating input demand, MPCs can negotiate bulk purchase discounts for cattle feed and other essentials, thereby reducing costs and improving product quality for member farmers. Some MPCs have also established their own feed production units, further enhancing cost-effectiveness and ensuring consistent quality.</w:t>
      </w:r>
      <w:r w:rsidR="00950686" w:rsidRPr="00950686">
        <w:rPr>
          <w:color w:val="auto"/>
        </w:rPr>
        <w:t xml:space="preserve"> </w:t>
      </w:r>
      <w:r w:rsidRPr="00950686">
        <w:rPr>
          <w:color w:val="auto"/>
        </w:rPr>
        <w:t>To combat fodder shortages, MPCs can partner with local organizations to utilize communal land for green fodder cultivation</w:t>
      </w:r>
      <w:r w:rsidR="00950686" w:rsidRPr="00950686">
        <w:rPr>
          <w:color w:val="auto"/>
        </w:rPr>
        <w:t xml:space="preserve"> </w:t>
      </w:r>
      <w:r w:rsidRPr="00950686">
        <w:rPr>
          <w:color w:val="auto"/>
        </w:rPr>
        <w:t>and coordinate the collection, transport, and storage of dry fodder among members. This collective approach ensures year-round fodder availability and minimizes wastage (Thakur, 2020).</w:t>
      </w:r>
    </w:p>
    <w:p w14:paraId="58C3E291" w14:textId="77777777" w:rsidR="00657FAE" w:rsidRPr="00657FAE" w:rsidRDefault="00657FAE" w:rsidP="00657FAE">
      <w:pPr>
        <w:pStyle w:val="Default"/>
        <w:spacing w:line="360" w:lineRule="auto"/>
        <w:jc w:val="both"/>
        <w:rPr>
          <w:color w:val="auto"/>
        </w:rPr>
      </w:pPr>
    </w:p>
    <w:p w14:paraId="08E6D1C1" w14:textId="1022E2E7" w:rsidR="00657FAE" w:rsidRPr="00950686" w:rsidRDefault="00657FAE" w:rsidP="00657FAE">
      <w:pPr>
        <w:pStyle w:val="Default"/>
        <w:numPr>
          <w:ilvl w:val="0"/>
          <w:numId w:val="7"/>
        </w:numPr>
        <w:spacing w:line="360" w:lineRule="auto"/>
        <w:jc w:val="both"/>
        <w:rPr>
          <w:b/>
          <w:bCs/>
          <w:color w:val="auto"/>
        </w:rPr>
      </w:pPr>
      <w:r w:rsidRPr="00950686">
        <w:rPr>
          <w:b/>
          <w:bCs/>
          <w:color w:val="auto"/>
        </w:rPr>
        <w:t>Enhanced Animal Health and Breeding Services</w:t>
      </w:r>
      <w:r w:rsidR="00950686">
        <w:rPr>
          <w:b/>
          <w:bCs/>
          <w:color w:val="auto"/>
        </w:rPr>
        <w:t xml:space="preserve">: </w:t>
      </w:r>
      <w:r w:rsidRPr="00950686">
        <w:rPr>
          <w:color w:val="auto"/>
        </w:rPr>
        <w:t>MPCs are well-positioned to fill the gap in veterinary and breeding services by hiring skilled professionals on a pay-per-use basis and deploying trained artificial insemination technicians within their areas of operation. This localized approach enhances both timeliness and quality of veterinary services, enabling targeted treatment based on livestock value and supporting productivity gains. These services not only improve animal health but also create rural employment opportunities and strengthen the overall livestock development ecosystem</w:t>
      </w:r>
      <w:r w:rsidR="00950686">
        <w:rPr>
          <w:color w:val="auto"/>
        </w:rPr>
        <w:t xml:space="preserve"> </w:t>
      </w:r>
      <w:r w:rsidR="00950686" w:rsidRPr="00950686">
        <w:rPr>
          <w:color w:val="auto"/>
        </w:rPr>
        <w:t>(Thakur, 2020; GOI, 2020)</w:t>
      </w:r>
      <w:r w:rsidR="00950686">
        <w:rPr>
          <w:color w:val="auto"/>
        </w:rPr>
        <w:t>.</w:t>
      </w:r>
    </w:p>
    <w:p w14:paraId="1A099356" w14:textId="77777777" w:rsidR="00657FAE" w:rsidRPr="00657FAE" w:rsidRDefault="00657FAE" w:rsidP="00657FAE">
      <w:pPr>
        <w:pStyle w:val="Default"/>
        <w:spacing w:line="360" w:lineRule="auto"/>
        <w:jc w:val="both"/>
        <w:rPr>
          <w:color w:val="auto"/>
        </w:rPr>
      </w:pPr>
    </w:p>
    <w:p w14:paraId="7089A497" w14:textId="470770D0" w:rsidR="00657FAE" w:rsidRPr="00950686" w:rsidRDefault="00657FAE" w:rsidP="00657FAE">
      <w:pPr>
        <w:pStyle w:val="Default"/>
        <w:numPr>
          <w:ilvl w:val="0"/>
          <w:numId w:val="7"/>
        </w:numPr>
        <w:spacing w:line="360" w:lineRule="auto"/>
        <w:jc w:val="both"/>
        <w:rPr>
          <w:b/>
          <w:bCs/>
          <w:color w:val="auto"/>
        </w:rPr>
      </w:pPr>
      <w:r w:rsidRPr="00950686">
        <w:rPr>
          <w:b/>
          <w:bCs/>
          <w:color w:val="auto"/>
        </w:rPr>
        <w:t>Strengthening Extension and Financial Inclusion</w:t>
      </w:r>
      <w:r w:rsidR="00950686">
        <w:rPr>
          <w:b/>
          <w:bCs/>
          <w:color w:val="auto"/>
        </w:rPr>
        <w:t xml:space="preserve">: </w:t>
      </w:r>
      <w:r w:rsidRPr="00950686">
        <w:rPr>
          <w:color w:val="auto"/>
        </w:rPr>
        <w:t xml:space="preserve">Through innovative extension strategies, including digital platforms, ICT tools, and the establishment of model dairy farms, MPCs facilitate the widespread dissemination of knowledge and best practices among member farmers </w:t>
      </w:r>
      <w:r w:rsidR="00E70EDD" w:rsidRPr="00E70EDD">
        <w:rPr>
          <w:color w:val="auto"/>
        </w:rPr>
        <w:t>(Chaudhary, 2023)</w:t>
      </w:r>
      <w:r w:rsidR="00E70EDD">
        <w:rPr>
          <w:color w:val="auto"/>
        </w:rPr>
        <w:t xml:space="preserve">. </w:t>
      </w:r>
      <w:r w:rsidRPr="00950686">
        <w:rPr>
          <w:color w:val="auto"/>
        </w:rPr>
        <w:t>Additionally, MPCs often offer tailored credit and savings services, particularly for smallholders and women, addressing common barriers such as lack of collateral and limited financial access</w:t>
      </w:r>
      <w:r w:rsidR="00950686">
        <w:rPr>
          <w:color w:val="auto"/>
        </w:rPr>
        <w:t xml:space="preserve">. </w:t>
      </w:r>
      <w:r w:rsidRPr="00950686">
        <w:rPr>
          <w:color w:val="auto"/>
        </w:rPr>
        <w:t>This integrated support enhances the technical and financial capabilities of dairy farmers, enabling long-term sustainability</w:t>
      </w:r>
      <w:r w:rsidR="00950686">
        <w:rPr>
          <w:color w:val="auto"/>
        </w:rPr>
        <w:t xml:space="preserve"> </w:t>
      </w:r>
      <w:r w:rsidR="00950686" w:rsidRPr="00950686">
        <w:rPr>
          <w:color w:val="auto"/>
        </w:rPr>
        <w:t>(Thakur, 2020).</w:t>
      </w:r>
    </w:p>
    <w:p w14:paraId="6B7C24DF" w14:textId="77777777" w:rsidR="00657FAE" w:rsidRPr="00657FAE" w:rsidRDefault="00657FAE" w:rsidP="00657FAE">
      <w:pPr>
        <w:pStyle w:val="Default"/>
        <w:spacing w:line="360" w:lineRule="auto"/>
        <w:jc w:val="both"/>
        <w:rPr>
          <w:color w:val="auto"/>
        </w:rPr>
      </w:pPr>
    </w:p>
    <w:p w14:paraId="48958B28" w14:textId="203D7785" w:rsidR="00361E5C" w:rsidRPr="006B1272" w:rsidRDefault="00657FAE" w:rsidP="002156CC">
      <w:pPr>
        <w:pStyle w:val="Default"/>
        <w:numPr>
          <w:ilvl w:val="0"/>
          <w:numId w:val="7"/>
        </w:numPr>
        <w:spacing w:line="360" w:lineRule="auto"/>
        <w:jc w:val="both"/>
        <w:rPr>
          <w:b/>
          <w:bCs/>
          <w:color w:val="auto"/>
        </w:rPr>
      </w:pPr>
      <w:r w:rsidRPr="00950686">
        <w:rPr>
          <w:b/>
          <w:bCs/>
          <w:color w:val="auto"/>
        </w:rPr>
        <w:t>Market Linkages and Price Realization</w:t>
      </w:r>
      <w:r w:rsidR="00950686">
        <w:rPr>
          <w:b/>
          <w:bCs/>
          <w:color w:val="auto"/>
        </w:rPr>
        <w:t xml:space="preserve">: </w:t>
      </w:r>
      <w:r w:rsidRPr="00950686">
        <w:rPr>
          <w:color w:val="auto"/>
        </w:rPr>
        <w:t>By eliminating intermediaries and procuring milk directly from farmers, MPCs allow producers to retain a greater share of the consumer price, leading to improved income stability and incentives for quality enhancement. MPCs also invest in collective transportation and storage infrastructure, reducing post-harvest losses and allowing farmers to time their sales for optimal price realization</w:t>
      </w:r>
      <w:r w:rsidR="00950686">
        <w:rPr>
          <w:color w:val="auto"/>
        </w:rPr>
        <w:t xml:space="preserve">. </w:t>
      </w:r>
      <w:r w:rsidRPr="00950686">
        <w:rPr>
          <w:color w:val="auto"/>
        </w:rPr>
        <w:t>This aggregation enhances bargaining power, improves market access, and supports the creation of value-added dairy products, thus fostering sustainable and inclusive growth in the dairy sector</w:t>
      </w:r>
      <w:r w:rsidR="00950686">
        <w:rPr>
          <w:color w:val="auto"/>
        </w:rPr>
        <w:t xml:space="preserve"> </w:t>
      </w:r>
      <w:r w:rsidR="00950686" w:rsidRPr="00950686">
        <w:rPr>
          <w:color w:val="auto"/>
        </w:rPr>
        <w:t>(Thakur, 2020).</w:t>
      </w:r>
    </w:p>
    <w:p w14:paraId="1D753E99" w14:textId="77777777" w:rsidR="008C48D3" w:rsidRPr="002156CC" w:rsidRDefault="008C48D3" w:rsidP="002156CC">
      <w:pPr>
        <w:pStyle w:val="Default"/>
        <w:spacing w:line="360" w:lineRule="auto"/>
        <w:jc w:val="both"/>
        <w:rPr>
          <w:color w:val="auto"/>
        </w:rPr>
      </w:pPr>
    </w:p>
    <w:p w14:paraId="35EF3EF6" w14:textId="77777777" w:rsidR="008C48D3" w:rsidRPr="002156CC" w:rsidRDefault="008C48D3" w:rsidP="002156CC">
      <w:pPr>
        <w:pStyle w:val="Default"/>
        <w:spacing w:line="360" w:lineRule="auto"/>
        <w:jc w:val="both"/>
        <w:rPr>
          <w:b/>
          <w:bCs/>
        </w:rPr>
      </w:pPr>
    </w:p>
    <w:p w14:paraId="00EC2FDF" w14:textId="77777777" w:rsidR="001B1C60" w:rsidRPr="002156CC" w:rsidRDefault="001B1C60" w:rsidP="002156CC">
      <w:pPr>
        <w:pStyle w:val="Default"/>
        <w:spacing w:after="120" w:line="360" w:lineRule="auto"/>
        <w:jc w:val="both"/>
        <w:rPr>
          <w:b/>
          <w:bCs/>
        </w:rPr>
      </w:pPr>
      <w:r w:rsidRPr="002156CC">
        <w:rPr>
          <w:b/>
          <w:bCs/>
        </w:rPr>
        <w:t>Role of Extension services in Milk producers Companies Development</w:t>
      </w:r>
    </w:p>
    <w:p w14:paraId="7FF53455" w14:textId="77777777" w:rsidR="001B1C60" w:rsidRPr="002156CC" w:rsidRDefault="001B1C60" w:rsidP="002156CC">
      <w:pPr>
        <w:pStyle w:val="Default"/>
        <w:spacing w:after="120" w:line="360" w:lineRule="auto"/>
        <w:ind w:firstLine="720"/>
        <w:jc w:val="both"/>
      </w:pPr>
      <w:r w:rsidRPr="002156CC">
        <w:t>Extension services play a vital role in promoting and sustaining these companies by providing essential support in various areas, ensuring that farmers can improve their production and market performance.</w:t>
      </w:r>
    </w:p>
    <w:p w14:paraId="0E987468" w14:textId="0E9DCA82" w:rsidR="001B1C60" w:rsidRPr="002156CC" w:rsidRDefault="001B1C60" w:rsidP="002156CC">
      <w:pPr>
        <w:pStyle w:val="Default"/>
        <w:spacing w:after="120" w:line="360" w:lineRule="auto"/>
        <w:jc w:val="both"/>
      </w:pPr>
      <w:r w:rsidRPr="002156CC">
        <w:rPr>
          <w:b/>
          <w:bCs/>
        </w:rPr>
        <w:lastRenderedPageBreak/>
        <w:t>Capacity Building:</w:t>
      </w:r>
      <w:r w:rsidR="00361E5C">
        <w:rPr>
          <w:b/>
          <w:bCs/>
        </w:rPr>
        <w:t xml:space="preserve"> </w:t>
      </w:r>
      <w:r w:rsidRPr="002156CC">
        <w:t xml:space="preserve">One of the primary functions of extension services is capacity building. This involves training farmers in best practices for dairy management, including feeding, breeding and healthcare. Workshops and field demonstrations are instrumental in enhancing the skills and knowledge of farmers, leading to improved milk quality and higher yields. When farmers are well-trained, they are more likely to implement effective practices that enhance productivity and profitability </w:t>
      </w:r>
      <w:r w:rsidRPr="002156CC">
        <w:fldChar w:fldCharType="begin"/>
      </w:r>
      <w:r w:rsidRPr="002156CC">
        <w:instrText xml:space="preserve"> ADDIN ZOTERO_ITEM CSL_CITATION {"citationID":"TGiyjJqV","properties":{"formattedCitation":"(Jose et al., 2024; Uddin et al., 2016)","plainCitation":"(Jose et al., 2024; Uddin et al., 2016)","noteIndex":0},"citationItems":[{"id":148,"uris":["http://zotero.org/users/14950836/items/6TV4DDXA"],"itemData":{"id":148,"type":"article-journal","container-title":"Journal of Experimental Agriculture International","issue":"7","page":"638–648","source":"Google Scholar","title":"Extension Strategies and Models in Agri Trading through Farmer Producer Companies (FPCs): A Way towards Sustainability","title-short":"Extension Strategies and Models in Agri Trading through Farmer Producer Companies (FPCs)","volume":"46","author":[{"family":"Jose","given":"Asha Elizabeth"},{"family":"Raj","given":"Nithin"},{"family":"Chavan","given":"Niraj"},{"family":"Lakshmi","given":"K. Vijaya"},{"family":"Ngasainao","given":"Centy"},{"family":"Kruparani","given":"Pandhiri"},{"family":"Shaiza","given":"Machutrin"}],"issued":{"date-parts":[["2024"]]}}},{"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(Jose et al., 2024; Uddin et al., 2016)</w:t>
      </w:r>
      <w:r w:rsidRPr="002156CC">
        <w:fldChar w:fldCharType="end"/>
      </w:r>
      <w:r w:rsidRPr="002156CC">
        <w:t>.</w:t>
      </w:r>
    </w:p>
    <w:p w14:paraId="36C98BCE" w14:textId="231504C8" w:rsidR="001B1C60" w:rsidRPr="002156CC" w:rsidRDefault="001B1C60" w:rsidP="002156CC">
      <w:pPr>
        <w:pStyle w:val="Default"/>
        <w:spacing w:after="120" w:line="360" w:lineRule="auto"/>
        <w:jc w:val="both"/>
      </w:pPr>
      <w:r w:rsidRPr="002156CC">
        <w:rPr>
          <w:b/>
          <w:bCs/>
        </w:rPr>
        <w:t>Market Access:</w:t>
      </w:r>
      <w:r w:rsidR="00361E5C">
        <w:rPr>
          <w:b/>
          <w:bCs/>
        </w:rPr>
        <w:t xml:space="preserve"> </w:t>
      </w:r>
      <w:r w:rsidRPr="002156CC">
        <w:t>Extension services also facilitate market access for MPCs. By connecting farmers with buyers, cooperatives and food processing industries, extension programs help organize collective marketing efforts. This collective approach allows farmers to negotiate better prices for their products and reduces their reliance on intermediaries. By enhancing market access, extension services empower farmers to capitalize on higher-value opportunities, thus improving their incomes</w:t>
      </w:r>
      <w:r w:rsidR="00E70EDD">
        <w:t xml:space="preserve"> </w:t>
      </w:r>
      <w:r w:rsidRPr="002156CC">
        <w:fldChar w:fldCharType="begin"/>
      </w:r>
      <w:r w:rsidRPr="002156CC">
        <w:instrText xml:space="preserve"> ADDIN ZOTERO_ITEM CSL_CITATION {"citationID":"lSF6OMFB","properties":{"formattedCitation":"(Uddin et al., 2016)","plainCitation":"(Uddin et al., 2016)","noteIndex":0},"citationItems":[{"id":153,"uris":["http://zotero.org/users/14950836/items/IFH3GZU3"],"itemData":{"id":153,"type":"article-journal","container-title":"Asian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(Uddin et al., 2016)</w:t>
      </w:r>
      <w:r w:rsidRPr="002156CC">
        <w:fldChar w:fldCharType="end"/>
      </w:r>
      <w:r w:rsidRPr="002156CC">
        <w:t>.</w:t>
      </w:r>
    </w:p>
    <w:p w14:paraId="7A0DD259" w14:textId="786541FF" w:rsidR="001B1C60" w:rsidRPr="002156CC" w:rsidRDefault="001B1C60" w:rsidP="002156CC">
      <w:pPr>
        <w:pStyle w:val="Default"/>
        <w:spacing w:after="120" w:line="360" w:lineRule="auto"/>
        <w:jc w:val="both"/>
      </w:pPr>
      <w:r w:rsidRPr="002156CC">
        <w:rPr>
          <w:b/>
          <w:bCs/>
        </w:rPr>
        <w:t>Resource Mobilization:</w:t>
      </w:r>
      <w:r w:rsidR="00361E5C">
        <w:rPr>
          <w:b/>
          <w:bCs/>
        </w:rPr>
        <w:t xml:space="preserve"> </w:t>
      </w:r>
      <w:r w:rsidRPr="002156CC">
        <w:t>MPCs often require funding and technical support to thrive and extension services play a critical role in resource mobilization. They guide farmers in accessing government schemes and financial assistance from organizations like NABARD and SFAC. This support is particularly vital for new MPCs that may struggle to reach financial sustainability. By facilitating access to resources, extension services help ensure that MPCs can invest in necessary infrastructure and technology</w:t>
      </w:r>
      <w:r w:rsidR="00E70EDD">
        <w:t xml:space="preserve"> </w:t>
      </w:r>
      <w:r w:rsidRPr="002156CC">
        <w:fldChar w:fldCharType="begin"/>
      </w:r>
      <w:r w:rsidRPr="002156CC">
        <w:instrText xml:space="preserve"> ADDIN ZOTERO_ITEM CSL_CITATION {"citationID":"7fGIegGC","properties":{"formattedCitation":"(Jose et al., 2024; Uddin et al., 2016)","plainCitation":"(Jose et al., 2024; Uddin et al., 2016)","noteIndex":0},"citationItems":[{"id":148,"uris":["http://zotero.org/users/14950836/items/6TV4DDXA"],"itemData":{"id":148,"type":"article-journal","container-title":"Journal of Experimental Agriculture International","issue":"7","page":"638–648","source":"Google Scholar","title":"Extension Strategies and Models in Agri Trading through Farmer Producer Companies (FPCs): A Way towards Sustainability","title-short":"Extension Strategies and Models in Agri Trading through Farmer Producer Companies (FPCs)","volume":"46","author":[{"family":"Jose","given":"Asha Elizabeth"},{"family":"Raj","given":"Nithin"},{"family":"Chavan","given":"Niraj"},{"family":"Lakshmi","given":"K. Vijaya"},{"family":"Ngasainao","given":"Centy"},{"family":"Kruparani","given":"Pandhiri"},{"family":"Shaiza","given":"Machutrin"}],"issued":{"date-parts":[["2024"]]}}},{"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(Jose et al., 2024; Uddin et al., 2016)</w:t>
      </w:r>
      <w:r w:rsidRPr="002156CC">
        <w:fldChar w:fldCharType="end"/>
      </w:r>
      <w:r w:rsidRPr="002156CC">
        <w:t>.</w:t>
      </w:r>
    </w:p>
    <w:p w14:paraId="112712DE" w14:textId="5FA1CF91" w:rsidR="001B1C60" w:rsidRPr="002156CC" w:rsidRDefault="001B1C60" w:rsidP="002156CC">
      <w:pPr>
        <w:pStyle w:val="Default"/>
        <w:spacing w:after="120" w:line="360" w:lineRule="auto"/>
        <w:jc w:val="both"/>
      </w:pPr>
      <w:r w:rsidRPr="002156CC">
        <w:rPr>
          <w:b/>
          <w:bCs/>
        </w:rPr>
        <w:t>Technology Adoption:</w:t>
      </w:r>
      <w:r w:rsidR="00361E5C">
        <w:rPr>
          <w:b/>
          <w:bCs/>
        </w:rPr>
        <w:t xml:space="preserve"> </w:t>
      </w:r>
      <w:r w:rsidRPr="002156CC">
        <w:t>The integration of technology in dairy management is another area where extension services significantly contribute. By promoting mobile applications and digital tools for order management and supply chain optimization, extension services enhance operational efficiency. For example, applications like "Abhinav Cart" help streamline order processing and reduce miscommunication between farmers and customers, leading to improved customer satisfaction and timely deliveries</w:t>
      </w:r>
      <w:r w:rsidR="00E70EDD">
        <w:t xml:space="preserve"> </w:t>
      </w:r>
      <w:r w:rsidRPr="002156CC">
        <w:fldChar w:fldCharType="begin"/>
      </w:r>
      <w:r w:rsidRPr="002156CC">
        <w:instrText xml:space="preserve"> ADDIN ZOTERO_ITEM CSL_CITATION {"citationID":"lSF6OMFB","properties":{"formattedCitation":"(Uddin et al., 2016)","plainCitation":"(Uddin et al., 2016)","noteIndex":0},"citationItems":[{"id":153,"uris":["http://zotero.org/users/14950836/items/IFH3GZU3"],"itemData":{"id":153,"type":"article-journal","container-title":"Asian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(Uddin et al., 2016)</w:t>
      </w:r>
      <w:r w:rsidRPr="002156CC">
        <w:fldChar w:fldCharType="end"/>
      </w:r>
      <w:r w:rsidRPr="002156CC">
        <w:t>.</w:t>
      </w:r>
    </w:p>
    <w:p w14:paraId="0CD9484C" w14:textId="6AD66E98" w:rsidR="001B1C60" w:rsidRPr="002156CC" w:rsidRDefault="001B1C60" w:rsidP="002156CC">
      <w:pPr>
        <w:pStyle w:val="Default"/>
        <w:spacing w:after="120" w:line="360" w:lineRule="auto"/>
        <w:jc w:val="both"/>
      </w:pPr>
      <w:r w:rsidRPr="002156CC">
        <w:rPr>
          <w:b/>
          <w:bCs/>
        </w:rPr>
        <w:t>Leadership and Governance</w:t>
      </w:r>
      <w:r w:rsidRPr="002156CC">
        <w:t>: Many Milk Producer Companies</w:t>
      </w:r>
      <w:r w:rsidR="00E70EDD">
        <w:t xml:space="preserve"> </w:t>
      </w:r>
      <w:r w:rsidRPr="002156CC">
        <w:t>struggle with inadequate leadership, which hampers their effectiveness. Extension services can focus on developing strong governance structures to enhance transparency and accountability, ensuring that these organizations operate efficiently</w:t>
      </w:r>
      <w:r w:rsidR="00E70EDD">
        <w:t xml:space="preserve"> </w:t>
      </w:r>
      <w:r w:rsidRPr="002156CC">
        <w:fldChar w:fldCharType="begin"/>
      </w:r>
      <w:r w:rsidRPr="002156CC">
        <w:instrText xml:space="preserve"> ADDIN ZOTERO_ITEM CSL_CITATION {"citationID":"Eq4iKifa","properties":{"formattedCitation":"(Jose et al., 2024; Uddin et al., 2016)","plainCitation":"(Jose et al., 2024; Uddin et al., 2016)","noteIndex":0},"citationItems":[{"id":148,"uris":["http://zotero.org/users/14950836/items/6TV4DDXA"],"itemData":{"id":148,"type":"article-journal","container-title":"Journal of Experimental Agriculture International","issue":"7","page":"638–648","source":"Google Scholar","title":"Extension Strategies and Models in Agri Trading through Farmer Producer Companies (FPCs): A Way towards Sustainability","title-short":"Extension Strategies and Models in Agri Trading through Farmer Producer Companies (FPCs)","volume":"46","author":[{"family":"Jose","given":"Asha Elizabeth"},{"family":"Raj","given":"Nithin"},{"family":"Chavan","given":"Niraj"},{"family":"Lakshmi","given":"K. Vijaya"},{"family":"Ngasainao","given":"Centy"},{"family":"Kruparani","given":"Pandhiri"},{"family":"Shaiza","given":"Machutrin"}],"issued":{"date-parts":[["2024"]]}}},{"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(Jose et al., 2024; Uddin et al., 2016)</w:t>
      </w:r>
      <w:r w:rsidRPr="002156CC">
        <w:fldChar w:fldCharType="end"/>
      </w:r>
      <w:r w:rsidRPr="002156CC">
        <w:t>.</w:t>
      </w:r>
    </w:p>
    <w:p w14:paraId="22A93DC7" w14:textId="3F5DC01E" w:rsidR="001B1C60" w:rsidRPr="002156CC" w:rsidRDefault="001B1C60" w:rsidP="002156CC">
      <w:pPr>
        <w:pStyle w:val="Default"/>
        <w:spacing w:after="120" w:line="360" w:lineRule="auto"/>
        <w:jc w:val="both"/>
      </w:pPr>
      <w:r w:rsidRPr="002156CC">
        <w:rPr>
          <w:b/>
          <w:bCs/>
        </w:rPr>
        <w:t>Market Orientation</w:t>
      </w:r>
      <w:r w:rsidRPr="002156CC">
        <w:t xml:space="preserve">: A significant challenge for MPCs is the lack of a market-driven approach, which limits their competitiveness. Extension programs need to emphasize the importance of understanding market demands and adapting production practices accordingly. </w:t>
      </w:r>
      <w:r w:rsidRPr="002156CC">
        <w:lastRenderedPageBreak/>
        <w:t>This alignment with market needs can help MPCs better position themselves in the marketplace</w:t>
      </w:r>
      <w:r w:rsidR="00E70EDD">
        <w:t xml:space="preserve"> </w:t>
      </w:r>
      <w:r w:rsidRPr="002156CC">
        <w:fldChar w:fldCharType="begin"/>
      </w:r>
      <w:r w:rsidRPr="002156CC">
        <w:instrText xml:space="preserve"> ADDIN ZOTERO_ITEM CSL_CITATION {"citationID":"lSF6OMFB","properties":{"formattedCitation":"(Uddin et al., 2016)","plainCitation":"(Uddin et al., 2016)","noteIndex":0},"citationItems":[{"id":153,"uris":["http://zotero.org/users/14950836/items/IFH3GZU3"],"itemData":{"id":153,"type":"article-journal","container-title":"Asian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(Uddin et al., 2016)</w:t>
      </w:r>
      <w:r w:rsidRPr="002156CC">
        <w:fldChar w:fldCharType="end"/>
      </w:r>
      <w:r w:rsidRPr="002156CC">
        <w:t>.</w:t>
      </w:r>
    </w:p>
    <w:p w14:paraId="7A24151C" w14:textId="0AA02554" w:rsidR="001B1C60" w:rsidRPr="002156CC" w:rsidRDefault="001B1C60" w:rsidP="002156CC">
      <w:pPr>
        <w:pStyle w:val="Default"/>
        <w:spacing w:after="120" w:line="360" w:lineRule="auto"/>
        <w:jc w:val="both"/>
      </w:pPr>
      <w:r w:rsidRPr="002156CC">
        <w:rPr>
          <w:b/>
          <w:bCs/>
        </w:rPr>
        <w:t>Sustainability Issues</w:t>
      </w:r>
      <w:r w:rsidRPr="002156CC">
        <w:t>: The long-term viability of MPCs is essential for their success. Extension services must prioritize the development of self-sustaining business models that minimize reliance on external funding. By fostering independence, MPCs can thrive and continue to support their members effectively</w:t>
      </w:r>
      <w:r w:rsidR="00E70EDD">
        <w:t xml:space="preserve"> </w:t>
      </w:r>
      <w:r w:rsidRPr="002156CC">
        <w:fldChar w:fldCharType="begin"/>
      </w:r>
      <w:r w:rsidRPr="002156CC">
        <w:instrText xml:space="preserve"> ADDIN ZOTERO_ITEM CSL_CITATION {"citationID":"lSF6OMFB","properties":{"formattedCitation":"(Uddin et al., 2016)","plainCitation":"(Uddin et al., 2016)","noteIndex":0},"citationItems":[{"id":153,"uris":["http://zotero.org/users/14950836/items/IFH3GZU3"],"itemData":{"id":153,"type":"article-journal","container-title":"Asian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(Uddin et al., 2016)</w:t>
      </w:r>
      <w:r w:rsidRPr="002156CC">
        <w:fldChar w:fldCharType="end"/>
      </w:r>
      <w:r w:rsidRPr="002156CC">
        <w:t>.</w:t>
      </w:r>
    </w:p>
    <w:p w14:paraId="457D3FD3" w14:textId="77777777" w:rsidR="0019320D" w:rsidRPr="00361E5C" w:rsidRDefault="0019320D" w:rsidP="002156CC">
      <w:pPr>
        <w:spacing w:line="360" w:lineRule="auto"/>
        <w:jc w:val="both"/>
        <w:rPr>
          <w:rFonts w:ascii="Times New Roman" w:hAnsi="Times New Roman" w:cs="Times New Roman"/>
          <w:b/>
          <w:bCs/>
          <w:sz w:val="24"/>
          <w:szCs w:val="24"/>
        </w:rPr>
      </w:pPr>
      <w:r w:rsidRPr="00361E5C">
        <w:rPr>
          <w:rFonts w:ascii="Times New Roman" w:hAnsi="Times New Roman" w:cs="Times New Roman"/>
          <w:b/>
          <w:bCs/>
          <w:sz w:val="24"/>
          <w:szCs w:val="24"/>
        </w:rPr>
        <w:t>Success Stories and Case Studies of Dairy-Based Milk Producer Companies</w:t>
      </w:r>
    </w:p>
    <w:p w14:paraId="69B68007" w14:textId="77777777" w:rsidR="0000705B" w:rsidRPr="0000705B" w:rsidRDefault="0000705B" w:rsidP="0000705B">
      <w:pPr>
        <w:spacing w:line="360" w:lineRule="auto"/>
        <w:jc w:val="both"/>
        <w:rPr>
          <w:rFonts w:ascii="Times New Roman" w:hAnsi="Times New Roman" w:cs="Times New Roman"/>
          <w:b/>
          <w:bCs/>
          <w:sz w:val="24"/>
          <w:szCs w:val="24"/>
        </w:rPr>
      </w:pPr>
      <w:r w:rsidRPr="0000705B">
        <w:rPr>
          <w:rFonts w:ascii="Times New Roman" w:hAnsi="Times New Roman" w:cs="Times New Roman"/>
          <w:b/>
          <w:bCs/>
          <w:sz w:val="24"/>
          <w:szCs w:val="24"/>
        </w:rPr>
        <w:t>Case Study 1: Shreeja Mahila Milk Producer Company Limited</w:t>
      </w:r>
    </w:p>
    <w:p w14:paraId="195A7DC3" w14:textId="7E309805" w:rsidR="0000705B" w:rsidRDefault="0000705B" w:rsidP="0000705B">
      <w:pPr>
        <w:spacing w:line="360" w:lineRule="auto"/>
        <w:jc w:val="both"/>
        <w:rPr>
          <w:rFonts w:ascii="Times New Roman" w:hAnsi="Times New Roman" w:cs="Times New Roman"/>
          <w:sz w:val="24"/>
          <w:szCs w:val="24"/>
        </w:rPr>
      </w:pPr>
      <w:r w:rsidRPr="0000705B">
        <w:rPr>
          <w:rFonts w:ascii="Times New Roman" w:hAnsi="Times New Roman" w:cs="Times New Roman"/>
          <w:sz w:val="24"/>
          <w:szCs w:val="24"/>
        </w:rPr>
        <w:t>Shreeja Mahila Milk Producer Company Limited (Shreeja MMPCL) is an all-women milk producer company established in 2014 with the support of the National Dairy Development Board (NDDB). Headquartered in Tirupati, Shreeja was founded to serve small and marginal women milk producers, empowering rural mothers through collective enterprise. The company has rapidly expanded its operations across Andhra Pradesh, Karnataka, and Tamil Nadu, now reaching over 1,500 villages and comprising more than 74,000 women members. Shreeja’s business model focuses on quality assurance, with state-of-the-art ISO-certified processing facilities and a strong emphasis on delivering pure, adulteration-free milk and dairy products. The company’s operations are marked by transparency, member participation, and inclusive governance, with women actively involved in decision-making and leadership roles. Shreeja has achieved significant growth, with daily milk procurement exceeding 5.5 lakh liters and a turnover approaching ₹1,000 crore. The organization has received national and international recognition for its innovation in women’s empowerment and its commitment to improving the livelihoods of its members, who receive a substantial share of the company’s earnings. Shreeja’s success is further underlined by its adoption of digital tools, effective member management, and continuous investment in capacity-building and technology</w:t>
      </w:r>
      <w:r w:rsidR="00DF4E43">
        <w:rPr>
          <w:rFonts w:ascii="Times New Roman" w:hAnsi="Times New Roman" w:cs="Times New Roman"/>
          <w:sz w:val="24"/>
          <w:szCs w:val="24"/>
        </w:rPr>
        <w:t xml:space="preserve"> </w:t>
      </w:r>
      <w:r w:rsidR="00DF4E43" w:rsidRPr="00DF4E43">
        <w:rPr>
          <w:rFonts w:ascii="Times New Roman" w:hAnsi="Times New Roman" w:cs="Times New Roman"/>
          <w:sz w:val="24"/>
          <w:szCs w:val="24"/>
        </w:rPr>
        <w:t>(Shreeja M.P.C., 2018)</w:t>
      </w:r>
      <w:r w:rsidR="00DF4E43">
        <w:rPr>
          <w:rFonts w:ascii="Times New Roman" w:hAnsi="Times New Roman" w:cs="Times New Roman"/>
          <w:sz w:val="24"/>
          <w:szCs w:val="24"/>
        </w:rPr>
        <w:t>.</w:t>
      </w:r>
    </w:p>
    <w:p w14:paraId="2C2521F6" w14:textId="77777777" w:rsidR="0000705B" w:rsidRPr="0000705B" w:rsidRDefault="0000705B" w:rsidP="0000705B">
      <w:pPr>
        <w:spacing w:line="360" w:lineRule="auto"/>
        <w:jc w:val="both"/>
        <w:rPr>
          <w:rFonts w:ascii="Times New Roman" w:hAnsi="Times New Roman" w:cs="Times New Roman"/>
          <w:b/>
          <w:bCs/>
          <w:sz w:val="24"/>
          <w:szCs w:val="24"/>
        </w:rPr>
      </w:pPr>
      <w:r w:rsidRPr="0000705B">
        <w:rPr>
          <w:rFonts w:ascii="Times New Roman" w:hAnsi="Times New Roman" w:cs="Times New Roman"/>
          <w:b/>
          <w:bCs/>
          <w:sz w:val="24"/>
          <w:szCs w:val="24"/>
        </w:rPr>
        <w:t>Case Study 2: Karimnagar Milk Producers Company Limited</w:t>
      </w:r>
    </w:p>
    <w:p w14:paraId="27949B55" w14:textId="37951707" w:rsidR="0000705B" w:rsidRPr="00DF4E43" w:rsidRDefault="0000705B" w:rsidP="00DF4E43">
      <w:pPr>
        <w:spacing w:line="360" w:lineRule="auto"/>
        <w:jc w:val="both"/>
      </w:pPr>
      <w:r w:rsidRPr="0000705B">
        <w:rPr>
          <w:rFonts w:ascii="Times New Roman" w:hAnsi="Times New Roman" w:cs="Times New Roman"/>
          <w:sz w:val="24"/>
          <w:szCs w:val="24"/>
        </w:rPr>
        <w:t xml:space="preserve">Karimnagar Milk Producers Company Limited (KMPCL), also known as Karimnagar Dairy, was established in 1971 and has evolved into a major cooperative in Telangana. KMPCL connects over 90,000 farmers across 10 districts through a network of 1,150 Milk Producer Institutions and 34 Bulk Chilling Units. The company has built robust procurement, processing, and marketing infrastructure, including a mega dairy plant and automated chilling centers, </w:t>
      </w:r>
      <w:r w:rsidRPr="0000705B">
        <w:rPr>
          <w:rFonts w:ascii="Times New Roman" w:hAnsi="Times New Roman" w:cs="Times New Roman"/>
          <w:sz w:val="24"/>
          <w:szCs w:val="24"/>
        </w:rPr>
        <w:lastRenderedPageBreak/>
        <w:t>ensuring quality control and efficient logistics. KMPCL’s farmer-centric approach is reflected in its comprehensive welfare programs, which include financial aid, educational scholarships, and subsidized inputs for members. The company actively promotes women’s participation and has received multiple national awards for its efforts. KMPCL’s turnover has seen impressive growth, rising from ₹266.89 crores in 2018-19 to ₹418.92 crores in 2021-22. The success of Karimnagar Dairy is attributed to its investment in technology, diversification, and continuous capacity-building, enabling it to address challenges such as market fluctuations and infrastructure maintenance while sustaining member welfare and organizational growth</w:t>
      </w:r>
      <w:r w:rsidR="00DF4E43">
        <w:rPr>
          <w:rFonts w:ascii="Times New Roman" w:hAnsi="Times New Roman" w:cs="Times New Roman"/>
          <w:sz w:val="24"/>
          <w:szCs w:val="24"/>
        </w:rPr>
        <w:t xml:space="preserve"> (</w:t>
      </w:r>
      <w:proofErr w:type="spellStart"/>
      <w:r w:rsidR="00DF4E43">
        <w:rPr>
          <w:rFonts w:ascii="Times New Roman" w:hAnsi="Times New Roman" w:cs="Times New Roman"/>
          <w:sz w:val="24"/>
          <w:szCs w:val="24"/>
        </w:rPr>
        <w:t>K</w:t>
      </w:r>
      <w:r w:rsidR="00DF4E43" w:rsidRPr="00375492">
        <w:rPr>
          <w:rFonts w:ascii="Times New Roman" w:hAnsi="Times New Roman" w:cs="Times New Roman"/>
          <w:sz w:val="24"/>
          <w:szCs w:val="24"/>
        </w:rPr>
        <w:t>arimnagardairy</w:t>
      </w:r>
      <w:proofErr w:type="spellEnd"/>
      <w:r w:rsidR="00DF4E43">
        <w:rPr>
          <w:rFonts w:ascii="Times New Roman" w:hAnsi="Times New Roman" w:cs="Times New Roman"/>
          <w:sz w:val="24"/>
          <w:szCs w:val="24"/>
        </w:rPr>
        <w:t xml:space="preserve">, </w:t>
      </w:r>
      <w:r w:rsidR="00DF4E43" w:rsidRPr="00375492">
        <w:rPr>
          <w:rFonts w:ascii="Times New Roman" w:hAnsi="Times New Roman" w:cs="Times New Roman"/>
          <w:sz w:val="24"/>
          <w:szCs w:val="24"/>
        </w:rPr>
        <w:t>2022</w:t>
      </w:r>
      <w:r w:rsidR="00DF4E43">
        <w:rPr>
          <w:rFonts w:ascii="Times New Roman" w:hAnsi="Times New Roman" w:cs="Times New Roman"/>
          <w:sz w:val="24"/>
          <w:szCs w:val="24"/>
        </w:rPr>
        <w:t>)</w:t>
      </w:r>
    </w:p>
    <w:p w14:paraId="4E621AAE" w14:textId="61BBC56B" w:rsidR="0000705B" w:rsidRDefault="00AE780E" w:rsidP="0000705B">
      <w:pPr>
        <w:spacing w:line="360" w:lineRule="auto"/>
        <w:jc w:val="both"/>
        <w:rPr>
          <w:rFonts w:ascii="Times New Roman" w:hAnsi="Times New Roman" w:cs="Times New Roman"/>
          <w:b/>
          <w:bCs/>
          <w:sz w:val="24"/>
          <w:szCs w:val="24"/>
        </w:rPr>
      </w:pPr>
      <w:r w:rsidRPr="00AE780E">
        <w:rPr>
          <w:rFonts w:ascii="Times New Roman" w:hAnsi="Times New Roman" w:cs="Times New Roman"/>
          <w:b/>
          <w:bCs/>
          <w:sz w:val="24"/>
          <w:szCs w:val="24"/>
        </w:rPr>
        <w:t>Conclusion</w:t>
      </w:r>
    </w:p>
    <w:p w14:paraId="58AB4924" w14:textId="3BBB8B33" w:rsidR="00400383" w:rsidRPr="002156CC" w:rsidRDefault="007B5ACF" w:rsidP="002156CC">
      <w:pPr>
        <w:spacing w:line="360" w:lineRule="auto"/>
        <w:jc w:val="both"/>
        <w:rPr>
          <w:rFonts w:ascii="Times New Roman" w:hAnsi="Times New Roman" w:cs="Times New Roman"/>
          <w:sz w:val="24"/>
          <w:szCs w:val="24"/>
        </w:rPr>
      </w:pPr>
      <w:r w:rsidRPr="007B5ACF">
        <w:rPr>
          <w:rFonts w:ascii="Times New Roman" w:hAnsi="Times New Roman" w:cs="Times New Roman"/>
          <w:sz w:val="24"/>
          <w:szCs w:val="24"/>
        </w:rPr>
        <w:t>The dairy sector in India, predominantly composed of small and marginal farmers, faces critical challenges such as high input costs, inadequate veterinary services, limited credit access, and market inefficiencies. The emergence of Milk Producer Companies (MPCs) has proven to be a transformative institutional innovation, enabling farmers to collectively procure inputs, access veterinary care, leverage extension services, and secure better market prices. Government agencies like SFAC, NABARD, and NDDB, alongside NGOs and development partners, play a pivotal role in supporting MPCs through financial aid, training, and infrastructure development. Despite their relative novelty, MPCs have shown strong potential for scalability and sustainability, particularly when supported by effective extension services and market linkages. Case studies such as Shreeja and Karimnagar Milk Producer Companies illustrate successful models of women empowerment, financial inclusion, and value chain integration. Strengthening such frameworks is essential for ensuring equitable growth, improving rural livelihoods, and realizing the full potential of India’s dairy economy.</w:t>
      </w:r>
    </w:p>
    <w:p w14:paraId="1F119F80" w14:textId="30AB540E" w:rsidR="00400383" w:rsidRPr="000B57BB" w:rsidRDefault="00400383" w:rsidP="000B57BB">
      <w:pPr>
        <w:pStyle w:val="ListParagraph"/>
        <w:spacing w:line="360" w:lineRule="auto"/>
        <w:jc w:val="center"/>
        <w:rPr>
          <w:rFonts w:ascii="Times New Roman" w:hAnsi="Times New Roman" w:cs="Times New Roman"/>
          <w:b/>
          <w:bCs/>
          <w:sz w:val="24"/>
          <w:szCs w:val="24"/>
        </w:rPr>
      </w:pPr>
      <w:r w:rsidRPr="000B57BB">
        <w:rPr>
          <w:rFonts w:ascii="Times New Roman" w:hAnsi="Times New Roman" w:cs="Times New Roman"/>
          <w:b/>
          <w:bCs/>
          <w:sz w:val="24"/>
          <w:szCs w:val="24"/>
        </w:rPr>
        <w:t>REFERENCES</w:t>
      </w:r>
    </w:p>
    <w:p w14:paraId="0220B816" w14:textId="77777777" w:rsidR="00400383" w:rsidRDefault="00400383" w:rsidP="00400383"/>
    <w:p w14:paraId="2EF33DFA"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Aayog, N. I. T. I. (2018). </w:t>
      </w:r>
      <w:r w:rsidRPr="000B57BB">
        <w:rPr>
          <w:rFonts w:ascii="Times New Roman" w:hAnsi="Times New Roman" w:cs="Times New Roman"/>
          <w:i/>
          <w:iCs/>
          <w:sz w:val="24"/>
          <w:szCs w:val="24"/>
        </w:rPr>
        <w:t>Demand and supply projections towards 2033: Crops, livestock, fisheries and agricultural inputs</w:t>
      </w:r>
      <w:r w:rsidRPr="000B57BB">
        <w:rPr>
          <w:rFonts w:ascii="Times New Roman" w:hAnsi="Times New Roman" w:cs="Times New Roman"/>
          <w:sz w:val="24"/>
          <w:szCs w:val="24"/>
        </w:rPr>
        <w:t>. Government of India.</w:t>
      </w:r>
    </w:p>
    <w:p w14:paraId="449D6BDF"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Agriculture Today. (2020). India Dairy Awards. </w:t>
      </w:r>
      <w:r w:rsidRPr="000B57BB">
        <w:rPr>
          <w:rFonts w:ascii="Times New Roman" w:hAnsi="Times New Roman" w:cs="Times New Roman"/>
          <w:i/>
          <w:iCs/>
          <w:sz w:val="24"/>
          <w:szCs w:val="24"/>
        </w:rPr>
        <w:t>The National Agriculture Magazine</w:t>
      </w:r>
      <w:r w:rsidRPr="000B57BB">
        <w:rPr>
          <w:rFonts w:ascii="Times New Roman" w:hAnsi="Times New Roman" w:cs="Times New Roman"/>
          <w:sz w:val="24"/>
          <w:szCs w:val="24"/>
        </w:rPr>
        <w:t>, 22(2), 36–40.</w:t>
      </w:r>
    </w:p>
    <w:p w14:paraId="664031DC"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Anonymous. (2023). </w:t>
      </w:r>
      <w:r w:rsidRPr="000B57BB">
        <w:rPr>
          <w:rFonts w:ascii="Times New Roman" w:hAnsi="Times New Roman" w:cs="Times New Roman"/>
          <w:i/>
          <w:iCs/>
          <w:sz w:val="24"/>
          <w:szCs w:val="24"/>
        </w:rPr>
        <w:t>FPO platform for India</w:t>
      </w:r>
      <w:r w:rsidRPr="000B57BB">
        <w:rPr>
          <w:rFonts w:ascii="Times New Roman" w:hAnsi="Times New Roman" w:cs="Times New Roman"/>
          <w:sz w:val="24"/>
          <w:szCs w:val="24"/>
        </w:rPr>
        <w:t xml:space="preserve">. Tata-Cornell Institute. </w:t>
      </w:r>
      <w:hyperlink r:id="rId10" w:tgtFrame="_new" w:history="1">
        <w:r w:rsidRPr="000B57BB">
          <w:rPr>
            <w:rStyle w:val="Hyperlink"/>
            <w:rFonts w:ascii="Times New Roman" w:hAnsi="Times New Roman" w:cs="Times New Roman"/>
            <w:sz w:val="24"/>
            <w:szCs w:val="24"/>
          </w:rPr>
          <w:t>https://fpo.tci.cornell.edu/dashboard</w:t>
        </w:r>
      </w:hyperlink>
    </w:p>
    <w:p w14:paraId="47C5BBAF"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lastRenderedPageBreak/>
        <w:t xml:space="preserve">Chaudhary, N. (2023). Challenges faced by farm enterprises and current status of FPO's in India: A review. </w:t>
      </w:r>
      <w:r w:rsidRPr="000B57BB">
        <w:rPr>
          <w:rFonts w:ascii="Times New Roman" w:hAnsi="Times New Roman" w:cs="Times New Roman"/>
          <w:i/>
          <w:iCs/>
          <w:sz w:val="24"/>
          <w:szCs w:val="24"/>
        </w:rPr>
        <w:t>Madhya Bharti - Humanities and Social Sciences</w:t>
      </w:r>
      <w:r w:rsidRPr="000B57BB">
        <w:rPr>
          <w:rFonts w:ascii="Times New Roman" w:hAnsi="Times New Roman" w:cs="Times New Roman"/>
          <w:sz w:val="24"/>
          <w:szCs w:val="24"/>
        </w:rPr>
        <w:t>, 83, 169–176.</w:t>
      </w:r>
    </w:p>
    <w:p w14:paraId="07BDFE98"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Govil, R., Neti, A., &amp; Rao, M. R. (2020). Farmer producer companies: Past, present and future.</w:t>
      </w:r>
    </w:p>
    <w:p w14:paraId="1EDCD4C7"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Government of India. (2017). </w:t>
      </w:r>
      <w:r w:rsidRPr="000B57BB">
        <w:rPr>
          <w:rFonts w:ascii="Times New Roman" w:hAnsi="Times New Roman" w:cs="Times New Roman"/>
          <w:i/>
          <w:iCs/>
          <w:sz w:val="24"/>
          <w:szCs w:val="24"/>
        </w:rPr>
        <w:t>State wise target set for 100 million artificial insemination for 2017–18</w:t>
      </w:r>
      <w:r w:rsidRPr="000B57BB">
        <w:rPr>
          <w:rFonts w:ascii="Times New Roman" w:hAnsi="Times New Roman" w:cs="Times New Roman"/>
          <w:sz w:val="24"/>
          <w:szCs w:val="24"/>
        </w:rPr>
        <w:t>. Press Information Bureau. https://pib.gov.in/newsite/PrintRelease.aspx?relid=169770</w:t>
      </w:r>
    </w:p>
    <w:p w14:paraId="18DB9BAE"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Gupta, P. (2019). Maharashtra gets Amul-like dairy cooperative with all-women team; to sell products under Creyo brand. </w:t>
      </w:r>
      <w:r w:rsidRPr="000B57BB">
        <w:rPr>
          <w:rFonts w:ascii="Times New Roman" w:hAnsi="Times New Roman" w:cs="Times New Roman"/>
          <w:i/>
          <w:iCs/>
          <w:sz w:val="24"/>
          <w:szCs w:val="24"/>
        </w:rPr>
        <w:t>The Financial Express</w:t>
      </w:r>
      <w:r w:rsidRPr="000B57BB">
        <w:rPr>
          <w:rFonts w:ascii="Times New Roman" w:hAnsi="Times New Roman" w:cs="Times New Roman"/>
          <w:sz w:val="24"/>
          <w:szCs w:val="24"/>
        </w:rPr>
        <w:t xml:space="preserve">. </w:t>
      </w:r>
      <w:hyperlink r:id="rId11" w:tgtFrame="_new" w:history="1">
        <w:r w:rsidRPr="000B57BB">
          <w:rPr>
            <w:rStyle w:val="Hyperlink"/>
            <w:rFonts w:ascii="Times New Roman" w:hAnsi="Times New Roman" w:cs="Times New Roman"/>
            <w:sz w:val="24"/>
            <w:szCs w:val="24"/>
          </w:rPr>
          <w:t>https://www.financialexpress.com/industry/maharashtra-gets-amul-like-dairy-cooperative-with-all-women-team-to-sell-products-under-creyo-brand/1796380/</w:t>
        </w:r>
      </w:hyperlink>
    </w:p>
    <w:p w14:paraId="3BF01D54"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Jose, A. E., Raj, N., Chavan, N., Lakshmi, K. V., </w:t>
      </w:r>
      <w:proofErr w:type="spellStart"/>
      <w:r w:rsidRPr="000B57BB">
        <w:rPr>
          <w:rFonts w:ascii="Times New Roman" w:hAnsi="Times New Roman" w:cs="Times New Roman"/>
          <w:sz w:val="24"/>
          <w:szCs w:val="24"/>
        </w:rPr>
        <w:t>Ngasainao</w:t>
      </w:r>
      <w:proofErr w:type="spellEnd"/>
      <w:r w:rsidRPr="000B57BB">
        <w:rPr>
          <w:rFonts w:ascii="Times New Roman" w:hAnsi="Times New Roman" w:cs="Times New Roman"/>
          <w:sz w:val="24"/>
          <w:szCs w:val="24"/>
        </w:rPr>
        <w:t xml:space="preserve">, C., </w:t>
      </w:r>
      <w:proofErr w:type="spellStart"/>
      <w:r w:rsidRPr="000B57BB">
        <w:rPr>
          <w:rFonts w:ascii="Times New Roman" w:hAnsi="Times New Roman" w:cs="Times New Roman"/>
          <w:sz w:val="24"/>
          <w:szCs w:val="24"/>
        </w:rPr>
        <w:t>Kruparani</w:t>
      </w:r>
      <w:proofErr w:type="spellEnd"/>
      <w:r w:rsidRPr="000B57BB">
        <w:rPr>
          <w:rFonts w:ascii="Times New Roman" w:hAnsi="Times New Roman" w:cs="Times New Roman"/>
          <w:sz w:val="24"/>
          <w:szCs w:val="24"/>
        </w:rPr>
        <w:t xml:space="preserve">, P., &amp; </w:t>
      </w:r>
      <w:proofErr w:type="spellStart"/>
      <w:r w:rsidRPr="000B57BB">
        <w:rPr>
          <w:rFonts w:ascii="Times New Roman" w:hAnsi="Times New Roman" w:cs="Times New Roman"/>
          <w:sz w:val="24"/>
          <w:szCs w:val="24"/>
        </w:rPr>
        <w:t>Shaiza</w:t>
      </w:r>
      <w:proofErr w:type="spellEnd"/>
      <w:r w:rsidRPr="000B57BB">
        <w:rPr>
          <w:rFonts w:ascii="Times New Roman" w:hAnsi="Times New Roman" w:cs="Times New Roman"/>
          <w:sz w:val="24"/>
          <w:szCs w:val="24"/>
        </w:rPr>
        <w:t xml:space="preserve">, M. (2024). Extension strategies and models in </w:t>
      </w:r>
      <w:proofErr w:type="spellStart"/>
      <w:r w:rsidRPr="000B57BB">
        <w:rPr>
          <w:rFonts w:ascii="Times New Roman" w:hAnsi="Times New Roman" w:cs="Times New Roman"/>
          <w:sz w:val="24"/>
          <w:szCs w:val="24"/>
        </w:rPr>
        <w:t>agri</w:t>
      </w:r>
      <w:proofErr w:type="spellEnd"/>
      <w:r w:rsidRPr="000B57BB">
        <w:rPr>
          <w:rFonts w:ascii="Times New Roman" w:hAnsi="Times New Roman" w:cs="Times New Roman"/>
          <w:sz w:val="24"/>
          <w:szCs w:val="24"/>
        </w:rPr>
        <w:t xml:space="preserve"> trading through farmer producer companies (FPCs): A way towards sustainability. </w:t>
      </w:r>
      <w:r w:rsidRPr="000B57BB">
        <w:rPr>
          <w:rFonts w:ascii="Times New Roman" w:hAnsi="Times New Roman" w:cs="Times New Roman"/>
          <w:i/>
          <w:iCs/>
          <w:sz w:val="24"/>
          <w:szCs w:val="24"/>
        </w:rPr>
        <w:t>Journal of Experimental Agriculture International</w:t>
      </w:r>
      <w:r w:rsidRPr="000B57BB">
        <w:rPr>
          <w:rFonts w:ascii="Times New Roman" w:hAnsi="Times New Roman" w:cs="Times New Roman"/>
          <w:sz w:val="24"/>
          <w:szCs w:val="24"/>
        </w:rPr>
        <w:t>, 46(7), 638–648.</w:t>
      </w:r>
    </w:p>
    <w:p w14:paraId="05A2056C" w14:textId="77777777" w:rsidR="000B57BB" w:rsidRPr="000B57BB" w:rsidRDefault="000B57BB" w:rsidP="000B57BB">
      <w:pPr>
        <w:spacing w:line="360" w:lineRule="auto"/>
        <w:ind w:left="720" w:hanging="720"/>
        <w:jc w:val="both"/>
        <w:rPr>
          <w:rFonts w:ascii="Times New Roman" w:hAnsi="Times New Roman" w:cs="Times New Roman"/>
          <w:sz w:val="24"/>
          <w:szCs w:val="24"/>
        </w:rPr>
      </w:pPr>
      <w:proofErr w:type="spellStart"/>
      <w:r w:rsidRPr="000B57BB">
        <w:rPr>
          <w:rFonts w:ascii="Times New Roman" w:hAnsi="Times New Roman" w:cs="Times New Roman"/>
          <w:sz w:val="24"/>
          <w:szCs w:val="24"/>
        </w:rPr>
        <w:t>Karimnagardairy</w:t>
      </w:r>
      <w:proofErr w:type="spellEnd"/>
      <w:r w:rsidRPr="000B57BB">
        <w:rPr>
          <w:rFonts w:ascii="Times New Roman" w:hAnsi="Times New Roman" w:cs="Times New Roman"/>
          <w:sz w:val="24"/>
          <w:szCs w:val="24"/>
        </w:rPr>
        <w:t xml:space="preserve">. (2022, May 19). </w:t>
      </w:r>
      <w:r w:rsidRPr="000B57BB">
        <w:rPr>
          <w:rFonts w:ascii="Times New Roman" w:hAnsi="Times New Roman" w:cs="Times New Roman"/>
          <w:i/>
          <w:iCs/>
          <w:sz w:val="24"/>
          <w:szCs w:val="24"/>
        </w:rPr>
        <w:t>Karimnagar Dairy statues</w:t>
      </w:r>
      <w:r w:rsidRPr="000B57BB">
        <w:rPr>
          <w:rFonts w:ascii="Times New Roman" w:hAnsi="Times New Roman" w:cs="Times New Roman"/>
          <w:sz w:val="24"/>
          <w:szCs w:val="24"/>
        </w:rPr>
        <w:t xml:space="preserve">. </w:t>
      </w:r>
      <w:hyperlink r:id="rId12" w:tgtFrame="_new" w:history="1">
        <w:r w:rsidRPr="000B57BB">
          <w:rPr>
            <w:rStyle w:val="Hyperlink"/>
            <w:rFonts w:ascii="Times New Roman" w:hAnsi="Times New Roman" w:cs="Times New Roman"/>
            <w:sz w:val="24"/>
            <w:szCs w:val="24"/>
          </w:rPr>
          <w:t>https://www.karimnagardairy.in/karimnagar-dairy-statues/</w:t>
        </w:r>
      </w:hyperlink>
    </w:p>
    <w:p w14:paraId="33B6B4E9"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Kumar, S. (2020). </w:t>
      </w:r>
      <w:r w:rsidRPr="000B57BB">
        <w:rPr>
          <w:rFonts w:ascii="Times New Roman" w:hAnsi="Times New Roman" w:cs="Times New Roman"/>
          <w:i/>
          <w:iCs/>
          <w:sz w:val="24"/>
          <w:szCs w:val="24"/>
        </w:rPr>
        <w:t>An appraisal of dairy based farmer producer companies in India</w:t>
      </w:r>
      <w:r w:rsidRPr="000B57BB">
        <w:rPr>
          <w:rFonts w:ascii="Times New Roman" w:hAnsi="Times New Roman" w:cs="Times New Roman"/>
          <w:sz w:val="24"/>
          <w:szCs w:val="24"/>
        </w:rPr>
        <w:t xml:space="preserve">. </w:t>
      </w:r>
      <w:hyperlink r:id="rId13" w:tgtFrame="_new" w:history="1">
        <w:r w:rsidRPr="000B57BB">
          <w:rPr>
            <w:rStyle w:val="Hyperlink"/>
            <w:rFonts w:ascii="Times New Roman" w:hAnsi="Times New Roman" w:cs="Times New Roman"/>
            <w:sz w:val="24"/>
            <w:szCs w:val="24"/>
          </w:rPr>
          <w:t>https://krishikosh.egranth.ac.in/items/89954519-634d-4986-a336-8e566789cad7</w:t>
        </w:r>
      </w:hyperlink>
    </w:p>
    <w:p w14:paraId="03471CB9"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Kurwijila, L. R., &amp; Boki, K. J. (2003). A review of the small-scale dairy sector–Tanzania. In </w:t>
      </w:r>
      <w:r w:rsidRPr="000B57BB">
        <w:rPr>
          <w:rFonts w:ascii="Times New Roman" w:hAnsi="Times New Roman" w:cs="Times New Roman"/>
          <w:i/>
          <w:iCs/>
          <w:sz w:val="24"/>
          <w:szCs w:val="24"/>
        </w:rPr>
        <w:t>Milk and dairy products, post-harvest losses and food safety in Sub-Saharan Africa and the Near East</w:t>
      </w:r>
      <w:r w:rsidRPr="000B57BB">
        <w:rPr>
          <w:rFonts w:ascii="Times New Roman" w:hAnsi="Times New Roman" w:cs="Times New Roman"/>
          <w:sz w:val="24"/>
          <w:szCs w:val="24"/>
        </w:rPr>
        <w:t>. FAO Prevention of Food Losses Programme.</w:t>
      </w:r>
    </w:p>
    <w:p w14:paraId="5A25A306"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Meena, D., </w:t>
      </w:r>
      <w:proofErr w:type="spellStart"/>
      <w:r w:rsidRPr="000B57BB">
        <w:rPr>
          <w:rFonts w:ascii="Times New Roman" w:hAnsi="Times New Roman" w:cs="Times New Roman"/>
          <w:sz w:val="24"/>
          <w:szCs w:val="24"/>
        </w:rPr>
        <w:t>Sankhala</w:t>
      </w:r>
      <w:proofErr w:type="spellEnd"/>
      <w:r w:rsidRPr="000B57BB">
        <w:rPr>
          <w:rFonts w:ascii="Times New Roman" w:hAnsi="Times New Roman" w:cs="Times New Roman"/>
          <w:sz w:val="24"/>
          <w:szCs w:val="24"/>
        </w:rPr>
        <w:t xml:space="preserve">, G., &amp; Kumar, S. (2020). Utilization pattern of feed and fodder for dairy animals in the Rajasthan state of India. </w:t>
      </w:r>
      <w:r w:rsidRPr="000B57BB">
        <w:rPr>
          <w:rFonts w:ascii="Times New Roman" w:hAnsi="Times New Roman" w:cs="Times New Roman"/>
          <w:i/>
          <w:iCs/>
          <w:sz w:val="24"/>
          <w:szCs w:val="24"/>
        </w:rPr>
        <w:t>International Journal of Livestock Research</w:t>
      </w:r>
      <w:r w:rsidRPr="000B57BB">
        <w:rPr>
          <w:rFonts w:ascii="Times New Roman" w:hAnsi="Times New Roman" w:cs="Times New Roman"/>
          <w:sz w:val="24"/>
          <w:szCs w:val="24"/>
        </w:rPr>
        <w:t>, 10(3), 67–73.</w:t>
      </w:r>
    </w:p>
    <w:p w14:paraId="70EBF166"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Ministry of Agriculture &amp; Farmers Welfare. (2025, February 28). </w:t>
      </w:r>
      <w:r w:rsidRPr="000B57BB">
        <w:rPr>
          <w:rFonts w:ascii="Times New Roman" w:hAnsi="Times New Roman" w:cs="Times New Roman"/>
          <w:i/>
          <w:iCs/>
          <w:sz w:val="24"/>
          <w:szCs w:val="24"/>
        </w:rPr>
        <w:t xml:space="preserve">10,000 FPOs achieved under government’s flagship scheme: A step towards </w:t>
      </w:r>
      <w:proofErr w:type="spellStart"/>
      <w:r w:rsidRPr="000B57BB">
        <w:rPr>
          <w:rFonts w:ascii="Times New Roman" w:hAnsi="Times New Roman" w:cs="Times New Roman"/>
          <w:i/>
          <w:iCs/>
          <w:sz w:val="24"/>
          <w:szCs w:val="24"/>
        </w:rPr>
        <w:t>Atmnirbhar</w:t>
      </w:r>
      <w:proofErr w:type="spellEnd"/>
      <w:r w:rsidRPr="000B57BB">
        <w:rPr>
          <w:rFonts w:ascii="Times New Roman" w:hAnsi="Times New Roman" w:cs="Times New Roman"/>
          <w:i/>
          <w:iCs/>
          <w:sz w:val="24"/>
          <w:szCs w:val="24"/>
        </w:rPr>
        <w:t xml:space="preserve"> Krishi</w:t>
      </w:r>
      <w:r w:rsidRPr="000B57BB">
        <w:rPr>
          <w:rFonts w:ascii="Times New Roman" w:hAnsi="Times New Roman" w:cs="Times New Roman"/>
          <w:sz w:val="24"/>
          <w:szCs w:val="24"/>
        </w:rPr>
        <w:t>. Press Information Bureau.</w:t>
      </w:r>
    </w:p>
    <w:p w14:paraId="2698CD31"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Ministry of Skill Development and Entrepreneurship. (2023). </w:t>
      </w:r>
      <w:r w:rsidRPr="000B57BB">
        <w:rPr>
          <w:rFonts w:ascii="Times New Roman" w:hAnsi="Times New Roman" w:cs="Times New Roman"/>
          <w:i/>
          <w:iCs/>
          <w:sz w:val="24"/>
          <w:szCs w:val="24"/>
        </w:rPr>
        <w:t>Annual report 2023–2024</w:t>
      </w:r>
      <w:r w:rsidRPr="000B57BB">
        <w:rPr>
          <w:rFonts w:ascii="Times New Roman" w:hAnsi="Times New Roman" w:cs="Times New Roman"/>
          <w:sz w:val="24"/>
          <w:szCs w:val="24"/>
        </w:rPr>
        <w:t xml:space="preserve">. Government of India. </w:t>
      </w:r>
      <w:hyperlink r:id="rId14" w:tgtFrame="_new" w:history="1">
        <w:r w:rsidRPr="000B57BB">
          <w:rPr>
            <w:rStyle w:val="Hyperlink"/>
            <w:rFonts w:ascii="Times New Roman" w:hAnsi="Times New Roman" w:cs="Times New Roman"/>
            <w:sz w:val="24"/>
            <w:szCs w:val="24"/>
          </w:rPr>
          <w:t>https://www.msde.gov.in/en/reports-documents/annual-reports</w:t>
        </w:r>
      </w:hyperlink>
    </w:p>
    <w:p w14:paraId="4F04A372"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lastRenderedPageBreak/>
        <w:t xml:space="preserve">Mukherjee, A., Singh, P., Ray, M., Satyapriya, &amp; Burman, R. R. (2018). Enhancing farmers’ income through farmers' producers’ companies in India: Status and roadmap. </w:t>
      </w:r>
      <w:r w:rsidRPr="000B57BB">
        <w:rPr>
          <w:rFonts w:ascii="Times New Roman" w:hAnsi="Times New Roman" w:cs="Times New Roman"/>
          <w:i/>
          <w:iCs/>
          <w:sz w:val="24"/>
          <w:szCs w:val="24"/>
        </w:rPr>
        <w:t>Indian Journal of Agricultural Sciences</w:t>
      </w:r>
      <w:r w:rsidRPr="000B57BB">
        <w:rPr>
          <w:rFonts w:ascii="Times New Roman" w:hAnsi="Times New Roman" w:cs="Times New Roman"/>
          <w:sz w:val="24"/>
          <w:szCs w:val="24"/>
        </w:rPr>
        <w:t>, 88(8), 1151–1161.</w:t>
      </w:r>
    </w:p>
    <w:p w14:paraId="7FFF33A9"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NABARD. (2015). </w:t>
      </w:r>
      <w:r w:rsidRPr="000B57BB">
        <w:rPr>
          <w:rFonts w:ascii="Times New Roman" w:hAnsi="Times New Roman" w:cs="Times New Roman"/>
          <w:i/>
          <w:iCs/>
          <w:sz w:val="24"/>
          <w:szCs w:val="24"/>
        </w:rPr>
        <w:t>Farmers' frequently asked questions (FAQs)</w:t>
      </w:r>
      <w:r w:rsidRPr="000B57BB">
        <w:rPr>
          <w:rFonts w:ascii="Times New Roman" w:hAnsi="Times New Roman" w:cs="Times New Roman"/>
          <w:sz w:val="24"/>
          <w:szCs w:val="24"/>
        </w:rPr>
        <w:t>. National Bank for Agriculture and Rural Development, Mumbai.</w:t>
      </w:r>
    </w:p>
    <w:p w14:paraId="7C6DE622"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NABARD. (2019). </w:t>
      </w:r>
      <w:r w:rsidRPr="000B57BB">
        <w:rPr>
          <w:rFonts w:ascii="Times New Roman" w:hAnsi="Times New Roman" w:cs="Times New Roman"/>
          <w:i/>
          <w:iCs/>
          <w:sz w:val="24"/>
          <w:szCs w:val="24"/>
        </w:rPr>
        <w:t>Farmer producers’ organizations (FPCs): Status, issues &amp; suggested policy reforms</w:t>
      </w:r>
      <w:r w:rsidRPr="000B57BB">
        <w:rPr>
          <w:rFonts w:ascii="Times New Roman" w:hAnsi="Times New Roman" w:cs="Times New Roman"/>
          <w:sz w:val="24"/>
          <w:szCs w:val="24"/>
        </w:rPr>
        <w:t>. National Level Paper, Potential Linked Plans (PLP).</w:t>
      </w:r>
    </w:p>
    <w:p w14:paraId="1F229D6A"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NDDB. (2020). </w:t>
      </w:r>
      <w:r w:rsidRPr="000B57BB">
        <w:rPr>
          <w:rFonts w:ascii="Times New Roman" w:hAnsi="Times New Roman" w:cs="Times New Roman"/>
          <w:i/>
          <w:iCs/>
          <w:sz w:val="24"/>
          <w:szCs w:val="24"/>
        </w:rPr>
        <w:t>New generation cooperatives leading to producer company</w:t>
      </w:r>
      <w:r w:rsidRPr="000B57BB">
        <w:rPr>
          <w:rFonts w:ascii="Times New Roman" w:hAnsi="Times New Roman" w:cs="Times New Roman"/>
          <w:sz w:val="24"/>
          <w:szCs w:val="24"/>
        </w:rPr>
        <w:t>. https://www.nddb.coop/services/cooperative/newgen</w:t>
      </w:r>
    </w:p>
    <w:p w14:paraId="0DFDB71D"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Neti, A., Govil, R., &amp; Rao, M. R. (2019). Farmer producer companies in India: Demystifying the numbers. </w:t>
      </w:r>
      <w:r w:rsidRPr="000B57BB">
        <w:rPr>
          <w:rFonts w:ascii="Times New Roman" w:hAnsi="Times New Roman" w:cs="Times New Roman"/>
          <w:i/>
          <w:iCs/>
          <w:sz w:val="24"/>
          <w:szCs w:val="24"/>
        </w:rPr>
        <w:t>Review of Agrarian Studies</w:t>
      </w:r>
      <w:r w:rsidRPr="000B57BB">
        <w:rPr>
          <w:rFonts w:ascii="Times New Roman" w:hAnsi="Times New Roman" w:cs="Times New Roman"/>
          <w:sz w:val="24"/>
          <w:szCs w:val="24"/>
        </w:rPr>
        <w:t>, 9(2), 1–11.</w:t>
      </w:r>
    </w:p>
    <w:p w14:paraId="59669193"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Rao, S. E., Rasheed, V. S., </w:t>
      </w:r>
      <w:proofErr w:type="spellStart"/>
      <w:r w:rsidRPr="000B57BB">
        <w:rPr>
          <w:rFonts w:ascii="Times New Roman" w:hAnsi="Times New Roman" w:cs="Times New Roman"/>
          <w:sz w:val="24"/>
          <w:szCs w:val="24"/>
        </w:rPr>
        <w:t>Natchimuthu</w:t>
      </w:r>
      <w:proofErr w:type="spellEnd"/>
      <w:r w:rsidRPr="000B57BB">
        <w:rPr>
          <w:rFonts w:ascii="Times New Roman" w:hAnsi="Times New Roman" w:cs="Times New Roman"/>
          <w:sz w:val="24"/>
          <w:szCs w:val="24"/>
        </w:rPr>
        <w:t xml:space="preserve">, K., Ramkumar, S., &amp; Sasidhar, P. V. (2015). Improving the delivery of veterinary services in India. </w:t>
      </w:r>
      <w:r w:rsidRPr="000B57BB">
        <w:rPr>
          <w:rFonts w:ascii="Times New Roman" w:hAnsi="Times New Roman" w:cs="Times New Roman"/>
          <w:i/>
          <w:iCs/>
          <w:sz w:val="24"/>
          <w:szCs w:val="24"/>
        </w:rPr>
        <w:t xml:space="preserve">Revue </w:t>
      </w:r>
      <w:proofErr w:type="spellStart"/>
      <w:r w:rsidRPr="000B57BB">
        <w:rPr>
          <w:rFonts w:ascii="Times New Roman" w:hAnsi="Times New Roman" w:cs="Times New Roman"/>
          <w:i/>
          <w:iCs/>
          <w:sz w:val="24"/>
          <w:szCs w:val="24"/>
        </w:rPr>
        <w:t>Scientifique</w:t>
      </w:r>
      <w:proofErr w:type="spellEnd"/>
      <w:r w:rsidRPr="000B57BB">
        <w:rPr>
          <w:rFonts w:ascii="Times New Roman" w:hAnsi="Times New Roman" w:cs="Times New Roman"/>
          <w:i/>
          <w:iCs/>
          <w:sz w:val="24"/>
          <w:szCs w:val="24"/>
        </w:rPr>
        <w:t xml:space="preserve"> et Technique (OIE)</w:t>
      </w:r>
      <w:r w:rsidRPr="000B57BB">
        <w:rPr>
          <w:rFonts w:ascii="Times New Roman" w:hAnsi="Times New Roman" w:cs="Times New Roman"/>
          <w:sz w:val="24"/>
          <w:szCs w:val="24"/>
        </w:rPr>
        <w:t>, 34(3), 767–777.</w:t>
      </w:r>
    </w:p>
    <w:p w14:paraId="4EEB9D87"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Sahu, S. (2014). </w:t>
      </w:r>
      <w:r w:rsidRPr="000B57BB">
        <w:rPr>
          <w:rFonts w:ascii="Times New Roman" w:hAnsi="Times New Roman" w:cs="Times New Roman"/>
          <w:i/>
          <w:iCs/>
          <w:sz w:val="24"/>
          <w:szCs w:val="24"/>
        </w:rPr>
        <w:t>Socio-economic impact of farmers’ organisation: A critical analysis</w:t>
      </w:r>
      <w:r w:rsidRPr="000B57BB">
        <w:rPr>
          <w:rFonts w:ascii="Times New Roman" w:hAnsi="Times New Roman" w:cs="Times New Roman"/>
          <w:sz w:val="24"/>
          <w:szCs w:val="24"/>
        </w:rPr>
        <w:t xml:space="preserve"> (M.Sc. thesis, ICAR-Indian Agricultural Research Institute).</w:t>
      </w:r>
    </w:p>
    <w:p w14:paraId="400717D0"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SFAC. (2019). </w:t>
      </w:r>
      <w:r w:rsidRPr="000B57BB">
        <w:rPr>
          <w:rFonts w:ascii="Times New Roman" w:hAnsi="Times New Roman" w:cs="Times New Roman"/>
          <w:i/>
          <w:iCs/>
          <w:sz w:val="24"/>
          <w:szCs w:val="24"/>
        </w:rPr>
        <w:t>Portal on farmer producers' organizations</w:t>
      </w:r>
      <w:r w:rsidRPr="000B57BB">
        <w:rPr>
          <w:rFonts w:ascii="Times New Roman" w:hAnsi="Times New Roman" w:cs="Times New Roman"/>
          <w:sz w:val="24"/>
          <w:szCs w:val="24"/>
        </w:rPr>
        <w:t xml:space="preserve">. </w:t>
      </w:r>
      <w:hyperlink r:id="rId15" w:tgtFrame="_new" w:history="1">
        <w:r w:rsidRPr="000B57BB">
          <w:rPr>
            <w:rStyle w:val="Hyperlink"/>
            <w:rFonts w:ascii="Times New Roman" w:hAnsi="Times New Roman" w:cs="Times New Roman"/>
            <w:sz w:val="24"/>
            <w:szCs w:val="24"/>
          </w:rPr>
          <w:t>http://sfacindia.com/List-of-FPO-Statewise.aspx</w:t>
        </w:r>
      </w:hyperlink>
    </w:p>
    <w:p w14:paraId="6B29633F"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Shreeja Mahila Milk Producer Company Ltd. (2023). </w:t>
      </w:r>
      <w:r w:rsidRPr="000B57BB">
        <w:rPr>
          <w:rFonts w:ascii="Times New Roman" w:hAnsi="Times New Roman" w:cs="Times New Roman"/>
          <w:i/>
          <w:iCs/>
          <w:sz w:val="24"/>
          <w:szCs w:val="24"/>
        </w:rPr>
        <w:t>Annual report</w:t>
      </w:r>
      <w:r w:rsidRPr="000B57BB">
        <w:rPr>
          <w:rFonts w:ascii="Times New Roman" w:hAnsi="Times New Roman" w:cs="Times New Roman"/>
          <w:sz w:val="24"/>
          <w:szCs w:val="24"/>
        </w:rPr>
        <w:t>. https://shreejamilk.com/annual-report/</w:t>
      </w:r>
    </w:p>
    <w:p w14:paraId="2DD15C2D"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Singh, P., </w:t>
      </w:r>
      <w:proofErr w:type="spellStart"/>
      <w:r w:rsidRPr="000B57BB">
        <w:rPr>
          <w:rFonts w:ascii="Times New Roman" w:hAnsi="Times New Roman" w:cs="Times New Roman"/>
          <w:sz w:val="24"/>
          <w:szCs w:val="24"/>
        </w:rPr>
        <w:t>Ghadei</w:t>
      </w:r>
      <w:proofErr w:type="spellEnd"/>
      <w:r w:rsidRPr="000B57BB">
        <w:rPr>
          <w:rFonts w:ascii="Times New Roman" w:hAnsi="Times New Roman" w:cs="Times New Roman"/>
          <w:sz w:val="24"/>
          <w:szCs w:val="24"/>
        </w:rPr>
        <w:t xml:space="preserve">, K., &amp; Roy, P. (2023). Krishi Vigyan </w:t>
      </w:r>
      <w:proofErr w:type="spellStart"/>
      <w:r w:rsidRPr="000B57BB">
        <w:rPr>
          <w:rFonts w:ascii="Times New Roman" w:hAnsi="Times New Roman" w:cs="Times New Roman"/>
          <w:sz w:val="24"/>
          <w:szCs w:val="24"/>
        </w:rPr>
        <w:t>Kendras</w:t>
      </w:r>
      <w:proofErr w:type="spellEnd"/>
      <w:r w:rsidRPr="000B57BB">
        <w:rPr>
          <w:rFonts w:ascii="Times New Roman" w:hAnsi="Times New Roman" w:cs="Times New Roman"/>
          <w:sz w:val="24"/>
          <w:szCs w:val="24"/>
        </w:rPr>
        <w:t xml:space="preserve"> (KVKs) in India: Empowering farmers for a sustainable future.</w:t>
      </w:r>
    </w:p>
    <w:p w14:paraId="53CA0097"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Singh, S. (2019). Producer company: An innovative and enabling institutional form for producer owned enterprises. In </w:t>
      </w:r>
      <w:r w:rsidRPr="000B57BB">
        <w:rPr>
          <w:rFonts w:ascii="Times New Roman" w:hAnsi="Times New Roman" w:cs="Times New Roman"/>
          <w:i/>
          <w:iCs/>
          <w:sz w:val="24"/>
          <w:szCs w:val="24"/>
        </w:rPr>
        <w:t>Proceedings of 47th Dairy Industry Conference</w:t>
      </w:r>
      <w:r w:rsidRPr="000B57BB">
        <w:rPr>
          <w:rFonts w:ascii="Times New Roman" w:hAnsi="Times New Roman" w:cs="Times New Roman"/>
          <w:sz w:val="24"/>
          <w:szCs w:val="24"/>
        </w:rPr>
        <w:t xml:space="preserve"> (pp. 98–99). Patna, India.</w:t>
      </w:r>
    </w:p>
    <w:p w14:paraId="07857D52"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Thakur, D. (2020). Milk producer companies in India: A review. </w:t>
      </w:r>
      <w:r w:rsidRPr="000B57BB">
        <w:rPr>
          <w:rFonts w:ascii="Times New Roman" w:hAnsi="Times New Roman" w:cs="Times New Roman"/>
          <w:i/>
          <w:iCs/>
          <w:sz w:val="24"/>
          <w:szCs w:val="24"/>
        </w:rPr>
        <w:t>Indian Journal of Current Microbiology and Applied Sciences</w:t>
      </w:r>
      <w:r w:rsidRPr="000B57BB">
        <w:rPr>
          <w:rFonts w:ascii="Times New Roman" w:hAnsi="Times New Roman" w:cs="Times New Roman"/>
          <w:sz w:val="24"/>
          <w:szCs w:val="24"/>
        </w:rPr>
        <w:t>, 9, 1385–1393.</w:t>
      </w:r>
    </w:p>
    <w:p w14:paraId="27256BD0"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Uddin, M., Islam, M. S., Rahman, M. H., &amp; Qi-Jie, G. (2016). Effect of farmers’ organization-based extension on service delivery and livelihood: Case of smallholder dairy in </w:t>
      </w:r>
      <w:r w:rsidRPr="000B57BB">
        <w:rPr>
          <w:rFonts w:ascii="Times New Roman" w:hAnsi="Times New Roman" w:cs="Times New Roman"/>
          <w:sz w:val="24"/>
          <w:szCs w:val="24"/>
        </w:rPr>
        <w:lastRenderedPageBreak/>
        <w:t xml:space="preserve">Bangladesh. </w:t>
      </w:r>
      <w:hyperlink r:id="rId16" w:tgtFrame="_new" w:history="1">
        <w:r w:rsidRPr="000B57BB">
          <w:rPr>
            <w:rStyle w:val="Hyperlink"/>
            <w:rFonts w:ascii="Times New Roman" w:hAnsi="Times New Roman" w:cs="Times New Roman"/>
            <w:sz w:val="24"/>
            <w:szCs w:val="24"/>
          </w:rPr>
          <w:t>https://www.semanticscholar.org/paper/Effect-of-Farmers%E2%80%99-Organization-based-Extension-on-Uddin-Islam/7cddb9630d6a9d23f1cabe790757ef977a1a4358</w:t>
        </w:r>
      </w:hyperlink>
    </w:p>
    <w:p w14:paraId="683B20BA" w14:textId="77777777" w:rsidR="00400383" w:rsidRPr="002156CC" w:rsidRDefault="00400383" w:rsidP="000B57BB">
      <w:pPr>
        <w:spacing w:line="360" w:lineRule="auto"/>
        <w:ind w:left="720" w:hanging="720"/>
        <w:jc w:val="both"/>
        <w:rPr>
          <w:rFonts w:ascii="Times New Roman" w:hAnsi="Times New Roman" w:cs="Times New Roman"/>
          <w:sz w:val="24"/>
          <w:szCs w:val="24"/>
        </w:rPr>
      </w:pPr>
    </w:p>
    <w:sectPr w:rsidR="00400383" w:rsidRPr="002156C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A779" w14:textId="77777777" w:rsidR="00924A5A" w:rsidRDefault="00924A5A" w:rsidP="002F4BC0">
      <w:pPr>
        <w:spacing w:after="0" w:line="240" w:lineRule="auto"/>
      </w:pPr>
      <w:r>
        <w:separator/>
      </w:r>
    </w:p>
  </w:endnote>
  <w:endnote w:type="continuationSeparator" w:id="0">
    <w:p w14:paraId="17DA79EA" w14:textId="77777777" w:rsidR="00924A5A" w:rsidRDefault="00924A5A" w:rsidP="002F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B7CB" w14:textId="77777777" w:rsidR="002F4BC0" w:rsidRDefault="002F4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CF03" w14:textId="77777777" w:rsidR="002F4BC0" w:rsidRDefault="002F4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67AB" w14:textId="77777777" w:rsidR="002F4BC0" w:rsidRDefault="002F4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6A60F" w14:textId="77777777" w:rsidR="00924A5A" w:rsidRDefault="00924A5A" w:rsidP="002F4BC0">
      <w:pPr>
        <w:spacing w:after="0" w:line="240" w:lineRule="auto"/>
      </w:pPr>
      <w:r>
        <w:separator/>
      </w:r>
    </w:p>
  </w:footnote>
  <w:footnote w:type="continuationSeparator" w:id="0">
    <w:p w14:paraId="030E57A4" w14:textId="77777777" w:rsidR="00924A5A" w:rsidRDefault="00924A5A" w:rsidP="002F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B67C" w14:textId="5E09CFEE" w:rsidR="002F4BC0" w:rsidRDefault="002F4BC0">
    <w:pPr>
      <w:pStyle w:val="Header"/>
    </w:pPr>
    <w:r>
      <w:rPr>
        <w:noProof/>
      </w:rPr>
      <w:pict w14:anchorId="03292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3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6B80" w14:textId="253DFD75" w:rsidR="002F4BC0" w:rsidRDefault="002F4BC0">
    <w:pPr>
      <w:pStyle w:val="Header"/>
    </w:pPr>
    <w:r>
      <w:rPr>
        <w:noProof/>
      </w:rPr>
      <w:pict w14:anchorId="3BF79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3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4A11" w14:textId="437648D0" w:rsidR="002F4BC0" w:rsidRDefault="002F4BC0">
    <w:pPr>
      <w:pStyle w:val="Header"/>
    </w:pPr>
    <w:r>
      <w:rPr>
        <w:noProof/>
      </w:rPr>
      <w:pict w14:anchorId="6FC3B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3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E67"/>
    <w:multiLevelType w:val="multilevel"/>
    <w:tmpl w:val="99BA08A4"/>
    <w:lvl w:ilvl="0">
      <w:start w:val="1"/>
      <w:numFmt w:val="decimal"/>
      <w:lvlText w:val="%1."/>
      <w:lvlJc w:val="left"/>
      <w:pPr>
        <w:tabs>
          <w:tab w:val="num" w:pos="142"/>
        </w:tabs>
        <w:ind w:left="142" w:hanging="360"/>
      </w:pPr>
      <w:rPr>
        <w:rFonts w:ascii="Times New Roman" w:eastAsiaTheme="minorHAnsi" w:hAnsi="Times New Roman" w:cs="Times New Roman"/>
        <w:b/>
        <w:bCs/>
        <w:sz w:val="24"/>
        <w:szCs w:val="24"/>
      </w:rPr>
    </w:lvl>
    <w:lvl w:ilvl="1" w:tentative="1">
      <w:start w:val="1"/>
      <w:numFmt w:val="bullet"/>
      <w:lvlText w:val="o"/>
      <w:lvlJc w:val="left"/>
      <w:pPr>
        <w:tabs>
          <w:tab w:val="num" w:pos="862"/>
        </w:tabs>
        <w:ind w:left="862" w:hanging="360"/>
      </w:pPr>
      <w:rPr>
        <w:rFonts w:ascii="Courier New" w:hAnsi="Courier New" w:hint="default"/>
        <w:sz w:val="20"/>
      </w:rPr>
    </w:lvl>
    <w:lvl w:ilvl="2" w:tentative="1">
      <w:start w:val="1"/>
      <w:numFmt w:val="bullet"/>
      <w:lvlText w:val=""/>
      <w:lvlJc w:val="left"/>
      <w:pPr>
        <w:tabs>
          <w:tab w:val="num" w:pos="1582"/>
        </w:tabs>
        <w:ind w:left="1582" w:hanging="360"/>
      </w:pPr>
      <w:rPr>
        <w:rFonts w:ascii="Wingdings" w:hAnsi="Wingdings" w:hint="default"/>
        <w:sz w:val="20"/>
      </w:rPr>
    </w:lvl>
    <w:lvl w:ilvl="3" w:tentative="1">
      <w:start w:val="1"/>
      <w:numFmt w:val="bullet"/>
      <w:lvlText w:val=""/>
      <w:lvlJc w:val="left"/>
      <w:pPr>
        <w:tabs>
          <w:tab w:val="num" w:pos="2302"/>
        </w:tabs>
        <w:ind w:left="2302" w:hanging="360"/>
      </w:pPr>
      <w:rPr>
        <w:rFonts w:ascii="Wingdings" w:hAnsi="Wingdings" w:hint="default"/>
        <w:sz w:val="20"/>
      </w:rPr>
    </w:lvl>
    <w:lvl w:ilvl="4" w:tentative="1">
      <w:start w:val="1"/>
      <w:numFmt w:val="bullet"/>
      <w:lvlText w:val=""/>
      <w:lvlJc w:val="left"/>
      <w:pPr>
        <w:tabs>
          <w:tab w:val="num" w:pos="3022"/>
        </w:tabs>
        <w:ind w:left="3022" w:hanging="360"/>
      </w:pPr>
      <w:rPr>
        <w:rFonts w:ascii="Wingdings" w:hAnsi="Wingdings" w:hint="default"/>
        <w:sz w:val="20"/>
      </w:rPr>
    </w:lvl>
    <w:lvl w:ilvl="5" w:tentative="1">
      <w:start w:val="1"/>
      <w:numFmt w:val="bullet"/>
      <w:lvlText w:val=""/>
      <w:lvlJc w:val="left"/>
      <w:pPr>
        <w:tabs>
          <w:tab w:val="num" w:pos="3742"/>
        </w:tabs>
        <w:ind w:left="3742" w:hanging="360"/>
      </w:pPr>
      <w:rPr>
        <w:rFonts w:ascii="Wingdings" w:hAnsi="Wingdings" w:hint="default"/>
        <w:sz w:val="20"/>
      </w:rPr>
    </w:lvl>
    <w:lvl w:ilvl="6" w:tentative="1">
      <w:start w:val="1"/>
      <w:numFmt w:val="bullet"/>
      <w:lvlText w:val=""/>
      <w:lvlJc w:val="left"/>
      <w:pPr>
        <w:tabs>
          <w:tab w:val="num" w:pos="4462"/>
        </w:tabs>
        <w:ind w:left="4462" w:hanging="360"/>
      </w:pPr>
      <w:rPr>
        <w:rFonts w:ascii="Wingdings" w:hAnsi="Wingdings" w:hint="default"/>
        <w:sz w:val="20"/>
      </w:rPr>
    </w:lvl>
    <w:lvl w:ilvl="7" w:tentative="1">
      <w:start w:val="1"/>
      <w:numFmt w:val="bullet"/>
      <w:lvlText w:val=""/>
      <w:lvlJc w:val="left"/>
      <w:pPr>
        <w:tabs>
          <w:tab w:val="num" w:pos="5182"/>
        </w:tabs>
        <w:ind w:left="5182" w:hanging="360"/>
      </w:pPr>
      <w:rPr>
        <w:rFonts w:ascii="Wingdings" w:hAnsi="Wingdings" w:hint="default"/>
        <w:sz w:val="20"/>
      </w:rPr>
    </w:lvl>
    <w:lvl w:ilvl="8" w:tentative="1">
      <w:start w:val="1"/>
      <w:numFmt w:val="bullet"/>
      <w:lvlText w:val=""/>
      <w:lvlJc w:val="left"/>
      <w:pPr>
        <w:tabs>
          <w:tab w:val="num" w:pos="5902"/>
        </w:tabs>
        <w:ind w:left="5902" w:hanging="360"/>
      </w:pPr>
      <w:rPr>
        <w:rFonts w:ascii="Wingdings" w:hAnsi="Wingdings" w:hint="default"/>
        <w:sz w:val="20"/>
      </w:rPr>
    </w:lvl>
  </w:abstractNum>
  <w:abstractNum w:abstractNumId="1" w15:restartNumberingAfterBreak="0">
    <w:nsid w:val="1F6226A4"/>
    <w:multiLevelType w:val="multilevel"/>
    <w:tmpl w:val="3530CA94"/>
    <w:lvl w:ilvl="0">
      <w:start w:val="1"/>
      <w:numFmt w:val="decimal"/>
      <w:lvlText w:val="%1."/>
      <w:lvlJc w:val="left"/>
      <w:pPr>
        <w:tabs>
          <w:tab w:val="num" w:pos="502"/>
        </w:tabs>
        <w:ind w:left="502" w:hanging="360"/>
      </w:pPr>
      <w:rPr>
        <w:rFonts w:ascii="Times New Roman" w:eastAsiaTheme="minorHAnsi" w:hAnsi="Times New Roman" w:cs="Times New Roman"/>
        <w:b/>
        <w:bCs/>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295E28AA"/>
    <w:multiLevelType w:val="hybridMultilevel"/>
    <w:tmpl w:val="703AFDFC"/>
    <w:lvl w:ilvl="0" w:tplc="5C34B26A">
      <w:start w:val="1"/>
      <w:numFmt w:val="decimal"/>
      <w:lvlText w:val="%1."/>
      <w:lvlJc w:val="left"/>
      <w:pPr>
        <w:ind w:left="36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B518FC"/>
    <w:multiLevelType w:val="multilevel"/>
    <w:tmpl w:val="9EC6A11A"/>
    <w:lvl w:ilvl="0">
      <w:start w:val="1"/>
      <w:numFmt w:val="decimal"/>
      <w:lvlText w:val="%1."/>
      <w:lvlJc w:val="left"/>
      <w:pPr>
        <w:tabs>
          <w:tab w:val="num" w:pos="502"/>
        </w:tabs>
        <w:ind w:left="502" w:hanging="360"/>
      </w:pPr>
      <w:rPr>
        <w:rFonts w:ascii="Times New Roman" w:eastAsiaTheme="minorHAnsi" w:hAnsi="Times New Roman" w:cs="Times New Roman"/>
        <w:b/>
        <w:bCs/>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2F4242F6"/>
    <w:multiLevelType w:val="hybridMultilevel"/>
    <w:tmpl w:val="F4643D1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597285A"/>
    <w:multiLevelType w:val="hybridMultilevel"/>
    <w:tmpl w:val="FE127F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C73F7C"/>
    <w:multiLevelType w:val="hybridMultilevel"/>
    <w:tmpl w:val="5D0E4F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9B7EAD"/>
    <w:multiLevelType w:val="multilevel"/>
    <w:tmpl w:val="10F2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C9472F"/>
    <w:multiLevelType w:val="hybridMultilevel"/>
    <w:tmpl w:val="1A709C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3F628CC"/>
    <w:multiLevelType w:val="multilevel"/>
    <w:tmpl w:val="868C3DB0"/>
    <w:lvl w:ilvl="0">
      <w:start w:val="1"/>
      <w:numFmt w:val="decimal"/>
      <w:lvlText w:val="%1."/>
      <w:lvlJc w:val="left"/>
      <w:pPr>
        <w:tabs>
          <w:tab w:val="num" w:pos="502"/>
        </w:tabs>
        <w:ind w:left="502" w:hanging="360"/>
      </w:pPr>
      <w:rPr>
        <w:rFonts w:ascii="Times New Roman" w:eastAsiaTheme="minorHAnsi" w:hAnsi="Times New Roman" w:cs="Times New Roman"/>
        <w:b/>
        <w:bCs/>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79F173BD"/>
    <w:multiLevelType w:val="hybridMultilevel"/>
    <w:tmpl w:val="AC8AB642"/>
    <w:lvl w:ilvl="0" w:tplc="CC64D78C">
      <w:start w:val="1"/>
      <w:numFmt w:val="decimal"/>
      <w:lvlText w:val="%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0"/>
  </w:num>
  <w:num w:numId="5">
    <w:abstractNumId w:val="7"/>
  </w:num>
  <w:num w:numId="6">
    <w:abstractNumId w:val="10"/>
  </w:num>
  <w:num w:numId="7">
    <w:abstractNumId w:val="5"/>
  </w:num>
  <w:num w:numId="8">
    <w:abstractNumId w:val="4"/>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D3"/>
    <w:rsid w:val="0000705B"/>
    <w:rsid w:val="0002310D"/>
    <w:rsid w:val="000326EE"/>
    <w:rsid w:val="000759E6"/>
    <w:rsid w:val="000B57BB"/>
    <w:rsid w:val="00113612"/>
    <w:rsid w:val="00127B6F"/>
    <w:rsid w:val="00181C58"/>
    <w:rsid w:val="0019320D"/>
    <w:rsid w:val="001B1C60"/>
    <w:rsid w:val="001E79ED"/>
    <w:rsid w:val="002156CC"/>
    <w:rsid w:val="00217A9A"/>
    <w:rsid w:val="002336AC"/>
    <w:rsid w:val="002F4BC0"/>
    <w:rsid w:val="002F599E"/>
    <w:rsid w:val="00345C60"/>
    <w:rsid w:val="00361E5C"/>
    <w:rsid w:val="003B0A34"/>
    <w:rsid w:val="003D72A0"/>
    <w:rsid w:val="00400383"/>
    <w:rsid w:val="0044160B"/>
    <w:rsid w:val="004567BE"/>
    <w:rsid w:val="00456C99"/>
    <w:rsid w:val="004968BC"/>
    <w:rsid w:val="005072E5"/>
    <w:rsid w:val="00555EC2"/>
    <w:rsid w:val="00584327"/>
    <w:rsid w:val="005D621B"/>
    <w:rsid w:val="005E3E54"/>
    <w:rsid w:val="00657FAE"/>
    <w:rsid w:val="00667A9C"/>
    <w:rsid w:val="006B1272"/>
    <w:rsid w:val="00721EBF"/>
    <w:rsid w:val="00766867"/>
    <w:rsid w:val="00776910"/>
    <w:rsid w:val="007B5ACF"/>
    <w:rsid w:val="008179E8"/>
    <w:rsid w:val="008C48D3"/>
    <w:rsid w:val="008D05FC"/>
    <w:rsid w:val="008F4207"/>
    <w:rsid w:val="008F5B3E"/>
    <w:rsid w:val="00924A5A"/>
    <w:rsid w:val="00950686"/>
    <w:rsid w:val="00985290"/>
    <w:rsid w:val="00987DC4"/>
    <w:rsid w:val="009F32A7"/>
    <w:rsid w:val="00A5608B"/>
    <w:rsid w:val="00AE780E"/>
    <w:rsid w:val="00B77D03"/>
    <w:rsid w:val="00C0297A"/>
    <w:rsid w:val="00C140FC"/>
    <w:rsid w:val="00C601FE"/>
    <w:rsid w:val="00C96BC9"/>
    <w:rsid w:val="00CB5A03"/>
    <w:rsid w:val="00CE63AB"/>
    <w:rsid w:val="00DD4BAA"/>
    <w:rsid w:val="00DF4E43"/>
    <w:rsid w:val="00E648D5"/>
    <w:rsid w:val="00E70EDD"/>
    <w:rsid w:val="00EA40F1"/>
    <w:rsid w:val="00EB0F31"/>
    <w:rsid w:val="00EB7926"/>
    <w:rsid w:val="00EF2941"/>
    <w:rsid w:val="00FA47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376DD9"/>
  <w15:chartTrackingRefBased/>
  <w15:docId w15:val="{08B3E32B-526E-41B0-A254-E4FBE1B2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8D3"/>
    <w:rPr>
      <w:rFonts w:eastAsiaTheme="majorEastAsia" w:cstheme="majorBidi"/>
      <w:color w:val="272727" w:themeColor="text1" w:themeTint="D8"/>
    </w:rPr>
  </w:style>
  <w:style w:type="paragraph" w:styleId="Title">
    <w:name w:val="Title"/>
    <w:basedOn w:val="Normal"/>
    <w:next w:val="Normal"/>
    <w:link w:val="TitleChar"/>
    <w:uiPriority w:val="10"/>
    <w:qFormat/>
    <w:rsid w:val="008C4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8D3"/>
    <w:pPr>
      <w:spacing w:before="160"/>
      <w:jc w:val="center"/>
    </w:pPr>
    <w:rPr>
      <w:i/>
      <w:iCs/>
      <w:color w:val="404040" w:themeColor="text1" w:themeTint="BF"/>
    </w:rPr>
  </w:style>
  <w:style w:type="character" w:customStyle="1" w:styleId="QuoteChar">
    <w:name w:val="Quote Char"/>
    <w:basedOn w:val="DefaultParagraphFont"/>
    <w:link w:val="Quote"/>
    <w:uiPriority w:val="29"/>
    <w:rsid w:val="008C48D3"/>
    <w:rPr>
      <w:i/>
      <w:iCs/>
      <w:color w:val="404040" w:themeColor="text1" w:themeTint="BF"/>
    </w:rPr>
  </w:style>
  <w:style w:type="paragraph" w:styleId="ListParagraph">
    <w:name w:val="List Paragraph"/>
    <w:basedOn w:val="Normal"/>
    <w:uiPriority w:val="34"/>
    <w:qFormat/>
    <w:rsid w:val="008C48D3"/>
    <w:pPr>
      <w:ind w:left="720"/>
      <w:contextualSpacing/>
    </w:pPr>
  </w:style>
  <w:style w:type="character" w:styleId="IntenseEmphasis">
    <w:name w:val="Intense Emphasis"/>
    <w:basedOn w:val="DefaultParagraphFont"/>
    <w:uiPriority w:val="21"/>
    <w:qFormat/>
    <w:rsid w:val="008C48D3"/>
    <w:rPr>
      <w:i/>
      <w:iCs/>
      <w:color w:val="2F5496" w:themeColor="accent1" w:themeShade="BF"/>
    </w:rPr>
  </w:style>
  <w:style w:type="paragraph" w:styleId="IntenseQuote">
    <w:name w:val="Intense Quote"/>
    <w:basedOn w:val="Normal"/>
    <w:next w:val="Normal"/>
    <w:link w:val="IntenseQuoteChar"/>
    <w:uiPriority w:val="30"/>
    <w:qFormat/>
    <w:rsid w:val="008C4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8D3"/>
    <w:rPr>
      <w:i/>
      <w:iCs/>
      <w:color w:val="2F5496" w:themeColor="accent1" w:themeShade="BF"/>
    </w:rPr>
  </w:style>
  <w:style w:type="character" w:styleId="IntenseReference">
    <w:name w:val="Intense Reference"/>
    <w:basedOn w:val="DefaultParagraphFont"/>
    <w:uiPriority w:val="32"/>
    <w:qFormat/>
    <w:rsid w:val="008C48D3"/>
    <w:rPr>
      <w:b/>
      <w:bCs/>
      <w:smallCaps/>
      <w:color w:val="2F5496" w:themeColor="accent1" w:themeShade="BF"/>
      <w:spacing w:val="5"/>
    </w:rPr>
  </w:style>
  <w:style w:type="table" w:styleId="TableGrid">
    <w:name w:val="Table Grid"/>
    <w:basedOn w:val="TableNormal"/>
    <w:uiPriority w:val="39"/>
    <w:rsid w:val="008C48D3"/>
    <w:pPr>
      <w:spacing w:after="0" w:line="240" w:lineRule="auto"/>
    </w:pPr>
    <w:rPr>
      <w:sz w:val="12"/>
      <w:szCs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8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19320D"/>
    <w:rPr>
      <w:color w:val="0563C1" w:themeColor="hyperlink"/>
      <w:u w:val="single"/>
    </w:rPr>
  </w:style>
  <w:style w:type="character" w:styleId="UnresolvedMention">
    <w:name w:val="Unresolved Mention"/>
    <w:basedOn w:val="DefaultParagraphFont"/>
    <w:uiPriority w:val="99"/>
    <w:semiHidden/>
    <w:unhideWhenUsed/>
    <w:rsid w:val="0019320D"/>
    <w:rPr>
      <w:color w:val="605E5C"/>
      <w:shd w:val="clear" w:color="auto" w:fill="E1DFDD"/>
    </w:rPr>
  </w:style>
  <w:style w:type="paragraph" w:styleId="NormalWeb">
    <w:name w:val="Normal (Web)"/>
    <w:basedOn w:val="Normal"/>
    <w:uiPriority w:val="99"/>
    <w:semiHidden/>
    <w:unhideWhenUsed/>
    <w:rsid w:val="00DF4E43"/>
    <w:rPr>
      <w:rFonts w:ascii="Times New Roman" w:hAnsi="Times New Roman" w:cs="Times New Roman"/>
      <w:sz w:val="24"/>
      <w:szCs w:val="24"/>
    </w:rPr>
  </w:style>
  <w:style w:type="paragraph" w:styleId="Bibliography">
    <w:name w:val="Bibliography"/>
    <w:basedOn w:val="Normal"/>
    <w:next w:val="Normal"/>
    <w:uiPriority w:val="37"/>
    <w:semiHidden/>
    <w:unhideWhenUsed/>
    <w:rsid w:val="00400383"/>
  </w:style>
  <w:style w:type="paragraph" w:styleId="Header">
    <w:name w:val="header"/>
    <w:basedOn w:val="Normal"/>
    <w:link w:val="HeaderChar"/>
    <w:uiPriority w:val="99"/>
    <w:unhideWhenUsed/>
    <w:rsid w:val="002F4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BC0"/>
  </w:style>
  <w:style w:type="paragraph" w:styleId="Footer">
    <w:name w:val="footer"/>
    <w:basedOn w:val="Normal"/>
    <w:link w:val="FooterChar"/>
    <w:uiPriority w:val="99"/>
    <w:unhideWhenUsed/>
    <w:rsid w:val="002F4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14145">
      <w:bodyDiv w:val="1"/>
      <w:marLeft w:val="0"/>
      <w:marRight w:val="0"/>
      <w:marTop w:val="0"/>
      <w:marBottom w:val="0"/>
      <w:divBdr>
        <w:top w:val="none" w:sz="0" w:space="0" w:color="auto"/>
        <w:left w:val="none" w:sz="0" w:space="0" w:color="auto"/>
        <w:bottom w:val="none" w:sz="0" w:space="0" w:color="auto"/>
        <w:right w:val="none" w:sz="0" w:space="0" w:color="auto"/>
      </w:divBdr>
    </w:div>
    <w:div w:id="566889561">
      <w:bodyDiv w:val="1"/>
      <w:marLeft w:val="0"/>
      <w:marRight w:val="0"/>
      <w:marTop w:val="0"/>
      <w:marBottom w:val="0"/>
      <w:divBdr>
        <w:top w:val="none" w:sz="0" w:space="0" w:color="auto"/>
        <w:left w:val="none" w:sz="0" w:space="0" w:color="auto"/>
        <w:bottom w:val="none" w:sz="0" w:space="0" w:color="auto"/>
        <w:right w:val="none" w:sz="0" w:space="0" w:color="auto"/>
      </w:divBdr>
    </w:div>
    <w:div w:id="719207956">
      <w:bodyDiv w:val="1"/>
      <w:marLeft w:val="0"/>
      <w:marRight w:val="0"/>
      <w:marTop w:val="0"/>
      <w:marBottom w:val="0"/>
      <w:divBdr>
        <w:top w:val="none" w:sz="0" w:space="0" w:color="auto"/>
        <w:left w:val="none" w:sz="0" w:space="0" w:color="auto"/>
        <w:bottom w:val="none" w:sz="0" w:space="0" w:color="auto"/>
        <w:right w:val="none" w:sz="0" w:space="0" w:color="auto"/>
      </w:divBdr>
    </w:div>
    <w:div w:id="878322140">
      <w:bodyDiv w:val="1"/>
      <w:marLeft w:val="0"/>
      <w:marRight w:val="0"/>
      <w:marTop w:val="0"/>
      <w:marBottom w:val="0"/>
      <w:divBdr>
        <w:top w:val="none" w:sz="0" w:space="0" w:color="auto"/>
        <w:left w:val="none" w:sz="0" w:space="0" w:color="auto"/>
        <w:bottom w:val="none" w:sz="0" w:space="0" w:color="auto"/>
        <w:right w:val="none" w:sz="0" w:space="0" w:color="auto"/>
      </w:divBdr>
    </w:div>
    <w:div w:id="974801327">
      <w:bodyDiv w:val="1"/>
      <w:marLeft w:val="0"/>
      <w:marRight w:val="0"/>
      <w:marTop w:val="0"/>
      <w:marBottom w:val="0"/>
      <w:divBdr>
        <w:top w:val="none" w:sz="0" w:space="0" w:color="auto"/>
        <w:left w:val="none" w:sz="0" w:space="0" w:color="auto"/>
        <w:bottom w:val="none" w:sz="0" w:space="0" w:color="auto"/>
        <w:right w:val="none" w:sz="0" w:space="0" w:color="auto"/>
      </w:divBdr>
    </w:div>
    <w:div w:id="1063287220">
      <w:bodyDiv w:val="1"/>
      <w:marLeft w:val="0"/>
      <w:marRight w:val="0"/>
      <w:marTop w:val="0"/>
      <w:marBottom w:val="0"/>
      <w:divBdr>
        <w:top w:val="none" w:sz="0" w:space="0" w:color="auto"/>
        <w:left w:val="none" w:sz="0" w:space="0" w:color="auto"/>
        <w:bottom w:val="none" w:sz="0" w:space="0" w:color="auto"/>
        <w:right w:val="none" w:sz="0" w:space="0" w:color="auto"/>
      </w:divBdr>
    </w:div>
    <w:div w:id="1087846328">
      <w:bodyDiv w:val="1"/>
      <w:marLeft w:val="0"/>
      <w:marRight w:val="0"/>
      <w:marTop w:val="0"/>
      <w:marBottom w:val="0"/>
      <w:divBdr>
        <w:top w:val="none" w:sz="0" w:space="0" w:color="auto"/>
        <w:left w:val="none" w:sz="0" w:space="0" w:color="auto"/>
        <w:bottom w:val="none" w:sz="0" w:space="0" w:color="auto"/>
        <w:right w:val="none" w:sz="0" w:space="0" w:color="auto"/>
      </w:divBdr>
    </w:div>
    <w:div w:id="1175606868">
      <w:bodyDiv w:val="1"/>
      <w:marLeft w:val="0"/>
      <w:marRight w:val="0"/>
      <w:marTop w:val="0"/>
      <w:marBottom w:val="0"/>
      <w:divBdr>
        <w:top w:val="none" w:sz="0" w:space="0" w:color="auto"/>
        <w:left w:val="none" w:sz="0" w:space="0" w:color="auto"/>
        <w:bottom w:val="none" w:sz="0" w:space="0" w:color="auto"/>
        <w:right w:val="none" w:sz="0" w:space="0" w:color="auto"/>
      </w:divBdr>
    </w:div>
    <w:div w:id="1212039812">
      <w:bodyDiv w:val="1"/>
      <w:marLeft w:val="0"/>
      <w:marRight w:val="0"/>
      <w:marTop w:val="0"/>
      <w:marBottom w:val="0"/>
      <w:divBdr>
        <w:top w:val="none" w:sz="0" w:space="0" w:color="auto"/>
        <w:left w:val="none" w:sz="0" w:space="0" w:color="auto"/>
        <w:bottom w:val="none" w:sz="0" w:space="0" w:color="auto"/>
        <w:right w:val="none" w:sz="0" w:space="0" w:color="auto"/>
      </w:divBdr>
    </w:div>
    <w:div w:id="1261178364">
      <w:bodyDiv w:val="1"/>
      <w:marLeft w:val="0"/>
      <w:marRight w:val="0"/>
      <w:marTop w:val="0"/>
      <w:marBottom w:val="0"/>
      <w:divBdr>
        <w:top w:val="none" w:sz="0" w:space="0" w:color="auto"/>
        <w:left w:val="none" w:sz="0" w:space="0" w:color="auto"/>
        <w:bottom w:val="none" w:sz="0" w:space="0" w:color="auto"/>
        <w:right w:val="none" w:sz="0" w:space="0" w:color="auto"/>
      </w:divBdr>
    </w:div>
    <w:div w:id="1377973177">
      <w:bodyDiv w:val="1"/>
      <w:marLeft w:val="0"/>
      <w:marRight w:val="0"/>
      <w:marTop w:val="0"/>
      <w:marBottom w:val="0"/>
      <w:divBdr>
        <w:top w:val="none" w:sz="0" w:space="0" w:color="auto"/>
        <w:left w:val="none" w:sz="0" w:space="0" w:color="auto"/>
        <w:bottom w:val="none" w:sz="0" w:space="0" w:color="auto"/>
        <w:right w:val="none" w:sz="0" w:space="0" w:color="auto"/>
      </w:divBdr>
    </w:div>
    <w:div w:id="1422289984">
      <w:bodyDiv w:val="1"/>
      <w:marLeft w:val="0"/>
      <w:marRight w:val="0"/>
      <w:marTop w:val="0"/>
      <w:marBottom w:val="0"/>
      <w:divBdr>
        <w:top w:val="none" w:sz="0" w:space="0" w:color="auto"/>
        <w:left w:val="none" w:sz="0" w:space="0" w:color="auto"/>
        <w:bottom w:val="none" w:sz="0" w:space="0" w:color="auto"/>
        <w:right w:val="none" w:sz="0" w:space="0" w:color="auto"/>
      </w:divBdr>
    </w:div>
    <w:div w:id="1481465181">
      <w:bodyDiv w:val="1"/>
      <w:marLeft w:val="0"/>
      <w:marRight w:val="0"/>
      <w:marTop w:val="0"/>
      <w:marBottom w:val="0"/>
      <w:divBdr>
        <w:top w:val="none" w:sz="0" w:space="0" w:color="auto"/>
        <w:left w:val="none" w:sz="0" w:space="0" w:color="auto"/>
        <w:bottom w:val="none" w:sz="0" w:space="0" w:color="auto"/>
        <w:right w:val="none" w:sz="0" w:space="0" w:color="auto"/>
      </w:divBdr>
    </w:div>
    <w:div w:id="1600718287">
      <w:bodyDiv w:val="1"/>
      <w:marLeft w:val="0"/>
      <w:marRight w:val="0"/>
      <w:marTop w:val="0"/>
      <w:marBottom w:val="0"/>
      <w:divBdr>
        <w:top w:val="none" w:sz="0" w:space="0" w:color="auto"/>
        <w:left w:val="none" w:sz="0" w:space="0" w:color="auto"/>
        <w:bottom w:val="none" w:sz="0" w:space="0" w:color="auto"/>
        <w:right w:val="none" w:sz="0" w:space="0" w:color="auto"/>
      </w:divBdr>
    </w:div>
    <w:div w:id="1756826484">
      <w:bodyDiv w:val="1"/>
      <w:marLeft w:val="0"/>
      <w:marRight w:val="0"/>
      <w:marTop w:val="0"/>
      <w:marBottom w:val="0"/>
      <w:divBdr>
        <w:top w:val="none" w:sz="0" w:space="0" w:color="auto"/>
        <w:left w:val="none" w:sz="0" w:space="0" w:color="auto"/>
        <w:bottom w:val="none" w:sz="0" w:space="0" w:color="auto"/>
        <w:right w:val="none" w:sz="0" w:space="0" w:color="auto"/>
      </w:divBdr>
    </w:div>
    <w:div w:id="1756971829">
      <w:bodyDiv w:val="1"/>
      <w:marLeft w:val="0"/>
      <w:marRight w:val="0"/>
      <w:marTop w:val="0"/>
      <w:marBottom w:val="0"/>
      <w:divBdr>
        <w:top w:val="none" w:sz="0" w:space="0" w:color="auto"/>
        <w:left w:val="none" w:sz="0" w:space="0" w:color="auto"/>
        <w:bottom w:val="none" w:sz="0" w:space="0" w:color="auto"/>
        <w:right w:val="none" w:sz="0" w:space="0" w:color="auto"/>
      </w:divBdr>
    </w:div>
    <w:div w:id="1770159964">
      <w:bodyDiv w:val="1"/>
      <w:marLeft w:val="0"/>
      <w:marRight w:val="0"/>
      <w:marTop w:val="0"/>
      <w:marBottom w:val="0"/>
      <w:divBdr>
        <w:top w:val="none" w:sz="0" w:space="0" w:color="auto"/>
        <w:left w:val="none" w:sz="0" w:space="0" w:color="auto"/>
        <w:bottom w:val="none" w:sz="0" w:space="0" w:color="auto"/>
        <w:right w:val="none" w:sz="0" w:space="0" w:color="auto"/>
      </w:divBdr>
    </w:div>
    <w:div w:id="1789814879">
      <w:bodyDiv w:val="1"/>
      <w:marLeft w:val="0"/>
      <w:marRight w:val="0"/>
      <w:marTop w:val="0"/>
      <w:marBottom w:val="0"/>
      <w:divBdr>
        <w:top w:val="none" w:sz="0" w:space="0" w:color="auto"/>
        <w:left w:val="none" w:sz="0" w:space="0" w:color="auto"/>
        <w:bottom w:val="none" w:sz="0" w:space="0" w:color="auto"/>
        <w:right w:val="none" w:sz="0" w:space="0" w:color="auto"/>
      </w:divBdr>
    </w:div>
    <w:div w:id="1858957237">
      <w:bodyDiv w:val="1"/>
      <w:marLeft w:val="0"/>
      <w:marRight w:val="0"/>
      <w:marTop w:val="0"/>
      <w:marBottom w:val="0"/>
      <w:divBdr>
        <w:top w:val="none" w:sz="0" w:space="0" w:color="auto"/>
        <w:left w:val="none" w:sz="0" w:space="0" w:color="auto"/>
        <w:bottom w:val="none" w:sz="0" w:space="0" w:color="auto"/>
        <w:right w:val="none" w:sz="0" w:space="0" w:color="auto"/>
      </w:divBdr>
    </w:div>
    <w:div w:id="1871071641">
      <w:bodyDiv w:val="1"/>
      <w:marLeft w:val="0"/>
      <w:marRight w:val="0"/>
      <w:marTop w:val="0"/>
      <w:marBottom w:val="0"/>
      <w:divBdr>
        <w:top w:val="none" w:sz="0" w:space="0" w:color="auto"/>
        <w:left w:val="none" w:sz="0" w:space="0" w:color="auto"/>
        <w:bottom w:val="none" w:sz="0" w:space="0" w:color="auto"/>
        <w:right w:val="none" w:sz="0" w:space="0" w:color="auto"/>
      </w:divBdr>
    </w:div>
    <w:div w:id="194419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krishikosh.egranth.ac.in/items/89954519-634d-4986-a336-8e566789cad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hyperlink" Target="https://www.karimnagardairy.in/karimnagar-dairy-statu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emanticscholar.org/paper/Effect-of-Farmers%E2%80%99-Organization-based-Extension-on-Uddin-Islam/7cddb9630d6a9d23f1cabe790757ef977a1a435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ancialexpress.com/industry/maharashtra-gets-amul-like-dairy-cooperative-with-all-women-team-to-sell-products-under-creyo-brand/179638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acindia.com/List-of-FPO-Statewise.aspx" TargetMode="External"/><Relationship Id="rId23" Type="http://schemas.openxmlformats.org/officeDocument/2006/relationships/fontTable" Target="fontTable.xml"/><Relationship Id="rId10" Type="http://schemas.openxmlformats.org/officeDocument/2006/relationships/hyperlink" Target="https://fpo.tci.cornell.edu/dashboar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msde.gov.in/en/reports-documents/annual-reports"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Allocated FPOs</c:v>
                </c:pt>
              </c:strCache>
            </c:strRef>
          </c:tx>
          <c:spPr>
            <a:solidFill>
              <a:schemeClr val="accent1"/>
            </a:solidFill>
            <a:ln>
              <a:noFill/>
            </a:ln>
            <a:effectLst/>
          </c:spPr>
          <c:invertIfNegative val="0"/>
          <c:cat>
            <c:strRef>
              <c:f>Sheet1!$B$2:$B$28</c:f>
              <c:strCache>
                <c:ptCount val="27"/>
                <c:pt idx="0">
                  <c:v>Andhra Pradesh</c:v>
                </c:pt>
                <c:pt idx="1">
                  <c:v>Arunachal Pradesh</c:v>
                </c:pt>
                <c:pt idx="2">
                  <c:v>Assam</c:v>
                </c:pt>
                <c:pt idx="3">
                  <c:v>Bihar</c:v>
                </c:pt>
                <c:pt idx="4">
                  <c:v>Chhattisgarh</c:v>
                </c:pt>
                <c:pt idx="5">
                  <c:v>Gujarat</c:v>
                </c:pt>
                <c:pt idx="6">
                  <c:v>Haryana</c:v>
                </c:pt>
                <c:pt idx="7">
                  <c:v>Himachal Pradesh</c:v>
                </c:pt>
                <c:pt idx="8">
                  <c:v>Jammu &amp; Kashmir</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Tamil Nadu</c:v>
                </c:pt>
                <c:pt idx="22">
                  <c:v>Telangana</c:v>
                </c:pt>
                <c:pt idx="23">
                  <c:v>Tripura</c:v>
                </c:pt>
                <c:pt idx="24">
                  <c:v>Uttar Pradesh</c:v>
                </c:pt>
                <c:pt idx="25">
                  <c:v>Uttarakhand</c:v>
                </c:pt>
                <c:pt idx="26">
                  <c:v>West Bengal</c:v>
                </c:pt>
              </c:strCache>
            </c:strRef>
          </c:cat>
          <c:val>
            <c:numRef>
              <c:f>Sheet1!$C$2:$C$28</c:f>
              <c:numCache>
                <c:formatCode>General</c:formatCode>
                <c:ptCount val="27"/>
                <c:pt idx="0">
                  <c:v>226</c:v>
                </c:pt>
                <c:pt idx="1">
                  <c:v>39</c:v>
                </c:pt>
                <c:pt idx="2">
                  <c:v>177</c:v>
                </c:pt>
                <c:pt idx="3">
                  <c:v>303</c:v>
                </c:pt>
                <c:pt idx="4">
                  <c:v>69</c:v>
                </c:pt>
                <c:pt idx="5">
                  <c:v>136</c:v>
                </c:pt>
                <c:pt idx="6">
                  <c:v>120</c:v>
                </c:pt>
                <c:pt idx="7">
                  <c:v>61</c:v>
                </c:pt>
                <c:pt idx="8">
                  <c:v>142</c:v>
                </c:pt>
                <c:pt idx="9">
                  <c:v>93</c:v>
                </c:pt>
                <c:pt idx="10">
                  <c:v>52</c:v>
                </c:pt>
                <c:pt idx="11">
                  <c:v>45</c:v>
                </c:pt>
                <c:pt idx="12">
                  <c:v>335</c:v>
                </c:pt>
                <c:pt idx="13">
                  <c:v>220</c:v>
                </c:pt>
                <c:pt idx="14">
                  <c:v>9</c:v>
                </c:pt>
                <c:pt idx="15">
                  <c:v>14</c:v>
                </c:pt>
                <c:pt idx="16">
                  <c:v>14</c:v>
                </c:pt>
                <c:pt idx="17">
                  <c:v>8</c:v>
                </c:pt>
                <c:pt idx="18">
                  <c:v>158</c:v>
                </c:pt>
                <c:pt idx="19">
                  <c:v>78</c:v>
                </c:pt>
                <c:pt idx="20">
                  <c:v>221</c:v>
                </c:pt>
                <c:pt idx="21">
                  <c:v>91</c:v>
                </c:pt>
                <c:pt idx="22">
                  <c:v>120</c:v>
                </c:pt>
                <c:pt idx="23">
                  <c:v>22</c:v>
                </c:pt>
                <c:pt idx="24">
                  <c:v>757</c:v>
                </c:pt>
                <c:pt idx="25">
                  <c:v>44</c:v>
                </c:pt>
                <c:pt idx="26">
                  <c:v>157</c:v>
                </c:pt>
              </c:numCache>
            </c:numRef>
          </c:val>
          <c:extLst>
            <c:ext xmlns:c16="http://schemas.microsoft.com/office/drawing/2014/chart" uri="{C3380CC4-5D6E-409C-BE32-E72D297353CC}">
              <c16:uniqueId val="{00000000-DDE8-4869-B6FC-8E54A804FE1E}"/>
            </c:ext>
          </c:extLst>
        </c:ser>
        <c:ser>
          <c:idx val="1"/>
          <c:order val="1"/>
          <c:tx>
            <c:strRef>
              <c:f>Sheet1!$D$1</c:f>
              <c:strCache>
                <c:ptCount val="1"/>
                <c:pt idx="0">
                  <c:v>Registered FPOs</c:v>
                </c:pt>
              </c:strCache>
            </c:strRef>
          </c:tx>
          <c:spPr>
            <a:solidFill>
              <a:srgbClr val="FFFF00"/>
            </a:solidFill>
            <a:ln>
              <a:noFill/>
            </a:ln>
            <a:effectLst/>
          </c:spPr>
          <c:invertIfNegative val="0"/>
          <c:cat>
            <c:strRef>
              <c:f>Sheet1!$B$2:$B$28</c:f>
              <c:strCache>
                <c:ptCount val="27"/>
                <c:pt idx="0">
                  <c:v>Andhra Pradesh</c:v>
                </c:pt>
                <c:pt idx="1">
                  <c:v>Arunachal Pradesh</c:v>
                </c:pt>
                <c:pt idx="2">
                  <c:v>Assam</c:v>
                </c:pt>
                <c:pt idx="3">
                  <c:v>Bihar</c:v>
                </c:pt>
                <c:pt idx="4">
                  <c:v>Chhattisgarh</c:v>
                </c:pt>
                <c:pt idx="5">
                  <c:v>Gujarat</c:v>
                </c:pt>
                <c:pt idx="6">
                  <c:v>Haryana</c:v>
                </c:pt>
                <c:pt idx="7">
                  <c:v>Himachal Pradesh</c:v>
                </c:pt>
                <c:pt idx="8">
                  <c:v>Jammu &amp; Kashmir</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Tamil Nadu</c:v>
                </c:pt>
                <c:pt idx="22">
                  <c:v>Telangana</c:v>
                </c:pt>
                <c:pt idx="23">
                  <c:v>Tripura</c:v>
                </c:pt>
                <c:pt idx="24">
                  <c:v>Uttar Pradesh</c:v>
                </c:pt>
                <c:pt idx="25">
                  <c:v>Uttarakhand</c:v>
                </c:pt>
                <c:pt idx="26">
                  <c:v>West Bengal</c:v>
                </c:pt>
              </c:strCache>
            </c:strRef>
          </c:cat>
          <c:val>
            <c:numRef>
              <c:f>Sheet1!$D$2:$D$28</c:f>
              <c:numCache>
                <c:formatCode>General</c:formatCode>
                <c:ptCount val="27"/>
                <c:pt idx="0">
                  <c:v>204</c:v>
                </c:pt>
                <c:pt idx="1">
                  <c:v>38</c:v>
                </c:pt>
                <c:pt idx="2">
                  <c:v>175</c:v>
                </c:pt>
                <c:pt idx="3">
                  <c:v>294</c:v>
                </c:pt>
                <c:pt idx="4">
                  <c:v>67</c:v>
                </c:pt>
                <c:pt idx="5">
                  <c:v>131</c:v>
                </c:pt>
                <c:pt idx="6">
                  <c:v>111</c:v>
                </c:pt>
                <c:pt idx="7">
                  <c:v>58</c:v>
                </c:pt>
                <c:pt idx="8">
                  <c:v>135</c:v>
                </c:pt>
                <c:pt idx="9">
                  <c:v>93</c:v>
                </c:pt>
                <c:pt idx="10">
                  <c:v>50</c:v>
                </c:pt>
                <c:pt idx="11">
                  <c:v>44</c:v>
                </c:pt>
                <c:pt idx="12">
                  <c:v>328</c:v>
                </c:pt>
                <c:pt idx="13">
                  <c:v>207</c:v>
                </c:pt>
                <c:pt idx="14">
                  <c:v>9</c:v>
                </c:pt>
                <c:pt idx="15">
                  <c:v>13</c:v>
                </c:pt>
                <c:pt idx="16">
                  <c:v>14</c:v>
                </c:pt>
                <c:pt idx="17">
                  <c:v>8</c:v>
                </c:pt>
                <c:pt idx="18">
                  <c:v>151</c:v>
                </c:pt>
                <c:pt idx="19">
                  <c:v>77</c:v>
                </c:pt>
                <c:pt idx="20">
                  <c:v>218</c:v>
                </c:pt>
                <c:pt idx="21">
                  <c:v>89</c:v>
                </c:pt>
                <c:pt idx="22">
                  <c:v>113</c:v>
                </c:pt>
                <c:pt idx="23">
                  <c:v>21</c:v>
                </c:pt>
                <c:pt idx="24">
                  <c:v>748</c:v>
                </c:pt>
                <c:pt idx="25">
                  <c:v>43</c:v>
                </c:pt>
                <c:pt idx="26">
                  <c:v>155</c:v>
                </c:pt>
              </c:numCache>
            </c:numRef>
          </c:val>
          <c:extLst>
            <c:ext xmlns:c16="http://schemas.microsoft.com/office/drawing/2014/chart" uri="{C3380CC4-5D6E-409C-BE32-E72D297353CC}">
              <c16:uniqueId val="{00000001-DDE8-4869-B6FC-8E54A804FE1E}"/>
            </c:ext>
          </c:extLst>
        </c:ser>
        <c:ser>
          <c:idx val="2"/>
          <c:order val="2"/>
          <c:tx>
            <c:strRef>
              <c:f>Sheet1!$E$1</c:f>
              <c:strCache>
                <c:ptCount val="1"/>
                <c:pt idx="0">
                  <c:v>Under Process of Registration</c:v>
                </c:pt>
              </c:strCache>
            </c:strRef>
          </c:tx>
          <c:spPr>
            <a:solidFill>
              <a:srgbClr val="FF0000"/>
            </a:solidFill>
            <a:ln>
              <a:noFill/>
            </a:ln>
            <a:effectLst/>
          </c:spPr>
          <c:invertIfNegative val="0"/>
          <c:cat>
            <c:strRef>
              <c:f>Sheet1!$B$2:$B$28</c:f>
              <c:strCache>
                <c:ptCount val="27"/>
                <c:pt idx="0">
                  <c:v>Andhra Pradesh</c:v>
                </c:pt>
                <c:pt idx="1">
                  <c:v>Arunachal Pradesh</c:v>
                </c:pt>
                <c:pt idx="2">
                  <c:v>Assam</c:v>
                </c:pt>
                <c:pt idx="3">
                  <c:v>Bihar</c:v>
                </c:pt>
                <c:pt idx="4">
                  <c:v>Chhattisgarh</c:v>
                </c:pt>
                <c:pt idx="5">
                  <c:v>Gujarat</c:v>
                </c:pt>
                <c:pt idx="6">
                  <c:v>Haryana</c:v>
                </c:pt>
                <c:pt idx="7">
                  <c:v>Himachal Pradesh</c:v>
                </c:pt>
                <c:pt idx="8">
                  <c:v>Jammu &amp; Kashmir</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Tamil Nadu</c:v>
                </c:pt>
                <c:pt idx="22">
                  <c:v>Telangana</c:v>
                </c:pt>
                <c:pt idx="23">
                  <c:v>Tripura</c:v>
                </c:pt>
                <c:pt idx="24">
                  <c:v>Uttar Pradesh</c:v>
                </c:pt>
                <c:pt idx="25">
                  <c:v>Uttarakhand</c:v>
                </c:pt>
                <c:pt idx="26">
                  <c:v>West Bengal</c:v>
                </c:pt>
              </c:strCache>
            </c:strRef>
          </c:cat>
          <c:val>
            <c:numRef>
              <c:f>Sheet1!$E$2:$E$28</c:f>
              <c:numCache>
                <c:formatCode>General</c:formatCode>
                <c:ptCount val="27"/>
                <c:pt idx="0">
                  <c:v>22</c:v>
                </c:pt>
                <c:pt idx="1">
                  <c:v>1</c:v>
                </c:pt>
                <c:pt idx="2">
                  <c:v>2</c:v>
                </c:pt>
                <c:pt idx="3">
                  <c:v>9</c:v>
                </c:pt>
                <c:pt idx="4">
                  <c:v>2</c:v>
                </c:pt>
                <c:pt idx="5">
                  <c:v>5</c:v>
                </c:pt>
                <c:pt idx="6">
                  <c:v>9</c:v>
                </c:pt>
                <c:pt idx="7">
                  <c:v>3</c:v>
                </c:pt>
                <c:pt idx="8">
                  <c:v>7</c:v>
                </c:pt>
                <c:pt idx="9">
                  <c:v>0</c:v>
                </c:pt>
                <c:pt idx="10">
                  <c:v>2</c:v>
                </c:pt>
                <c:pt idx="11">
                  <c:v>1</c:v>
                </c:pt>
                <c:pt idx="12">
                  <c:v>7</c:v>
                </c:pt>
                <c:pt idx="13">
                  <c:v>13</c:v>
                </c:pt>
                <c:pt idx="14">
                  <c:v>0</c:v>
                </c:pt>
                <c:pt idx="15">
                  <c:v>1</c:v>
                </c:pt>
                <c:pt idx="16">
                  <c:v>0</c:v>
                </c:pt>
                <c:pt idx="17">
                  <c:v>0</c:v>
                </c:pt>
                <c:pt idx="18">
                  <c:v>7</c:v>
                </c:pt>
                <c:pt idx="19">
                  <c:v>1</c:v>
                </c:pt>
                <c:pt idx="20">
                  <c:v>3</c:v>
                </c:pt>
                <c:pt idx="21">
                  <c:v>2</c:v>
                </c:pt>
                <c:pt idx="22">
                  <c:v>7</c:v>
                </c:pt>
                <c:pt idx="23">
                  <c:v>1</c:v>
                </c:pt>
                <c:pt idx="24">
                  <c:v>9</c:v>
                </c:pt>
                <c:pt idx="25">
                  <c:v>1</c:v>
                </c:pt>
                <c:pt idx="26">
                  <c:v>2</c:v>
                </c:pt>
              </c:numCache>
            </c:numRef>
          </c:val>
          <c:extLst>
            <c:ext xmlns:c16="http://schemas.microsoft.com/office/drawing/2014/chart" uri="{C3380CC4-5D6E-409C-BE32-E72D297353CC}">
              <c16:uniqueId val="{00000002-DDE8-4869-B6FC-8E54A804FE1E}"/>
            </c:ext>
          </c:extLst>
        </c:ser>
        <c:dLbls>
          <c:showLegendKey val="0"/>
          <c:showVal val="0"/>
          <c:showCatName val="0"/>
          <c:showSerName val="0"/>
          <c:showPercent val="0"/>
          <c:showBubbleSize val="0"/>
        </c:dLbls>
        <c:gapWidth val="182"/>
        <c:axId val="1854322688"/>
        <c:axId val="1854317888"/>
      </c:barChart>
      <c:catAx>
        <c:axId val="1854322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baseline="0">
                    <a:solidFill>
                      <a:srgbClr val="00B0F0"/>
                    </a:solidFill>
                    <a:latin typeface="Times New Roman" panose="02020603050405020304" pitchFamily="18" charset="0"/>
                    <a:cs typeface="Times New Roman" panose="02020603050405020304" pitchFamily="18" charset="0"/>
                  </a:rPr>
                  <a:t>State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317888"/>
        <c:crosses val="autoZero"/>
        <c:auto val="1"/>
        <c:lblAlgn val="ctr"/>
        <c:lblOffset val="100"/>
        <c:noMultiLvlLbl val="0"/>
      </c:catAx>
      <c:valAx>
        <c:axId val="1854317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u="none" strike="noStrike" kern="1200" baseline="0">
                    <a:solidFill>
                      <a:srgbClr val="00B0F0"/>
                    </a:solidFill>
                    <a:latin typeface="Times New Roman" panose="02020603050405020304" pitchFamily="18" charset="0"/>
                    <a:cs typeface="Times New Roman" panose="02020603050405020304" pitchFamily="18" charset="0"/>
                  </a:rPr>
                  <a:t>Number of FPOs</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32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Number (Women)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C0-4667-B521-C7099AA3AC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C0-4667-B521-C7099AA3AC77}"/>
              </c:ext>
            </c:extLst>
          </c:dPt>
          <c:dLbls>
            <c:dLbl>
              <c:idx val="1"/>
              <c:tx>
                <c:rich>
                  <a:bodyPr/>
                  <a:lstStyle/>
                  <a:p>
                    <a:r>
                      <a:rPr lang="en-US"/>
                      <a:t>197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C0-4667-B521-C7099AA3AC7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Black" panose="020B0A04020102020204" pitchFamily="34" charset="0"/>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Women MPCs</c:v>
                </c:pt>
                <c:pt idx="1">
                  <c:v>Total MPCs</c:v>
                </c:pt>
              </c:strCache>
            </c:strRef>
          </c:cat>
          <c:val>
            <c:numRef>
              <c:f>Sheet1!$B$2:$B$3</c:f>
              <c:numCache>
                <c:formatCode>General</c:formatCode>
                <c:ptCount val="2"/>
                <c:pt idx="0">
                  <c:v>13</c:v>
                </c:pt>
                <c:pt idx="1">
                  <c:v>210</c:v>
                </c:pt>
              </c:numCache>
            </c:numRef>
          </c:val>
          <c:extLst>
            <c:ext xmlns:c16="http://schemas.microsoft.com/office/drawing/2014/chart" uri="{C3380CC4-5D6E-409C-BE32-E72D297353CC}">
              <c16:uniqueId val="{00000004-B1C0-4667-B521-C7099AA3AC77}"/>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B1C0-4667-B521-C7099AA3AC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B1C0-4667-B521-C7099AA3AC77}"/>
                    </c:ext>
                  </c:extLst>
                </c:dPt>
                <c:cat>
                  <c:strRef>
                    <c:extLst>
                      <c:ext uri="{02D57815-91ED-43cb-92C2-25804820EDAC}">
                        <c15:formulaRef>
                          <c15:sqref>Sheet1!$A$2:$A$3</c15:sqref>
                        </c15:formulaRef>
                      </c:ext>
                    </c:extLst>
                    <c:strCache>
                      <c:ptCount val="2"/>
                      <c:pt idx="0">
                        <c:v>Women MPCs</c:v>
                      </c:pt>
                      <c:pt idx="1">
                        <c:v>Total MPCs</c:v>
                      </c:pt>
                    </c:strCache>
                  </c:strRef>
                </c:cat>
                <c:val>
                  <c:numRef>
                    <c:extLst>
                      <c:ext uri="{02D57815-91ED-43cb-92C2-25804820EDAC}">
                        <c15:formulaRef>
                          <c15:sqref>Sheet1!$C$2:$C$3</c15:sqref>
                        </c15:formulaRef>
                      </c:ext>
                    </c:extLst>
                    <c:numCache>
                      <c:formatCode>General</c:formatCode>
                      <c:ptCount val="2"/>
                    </c:numCache>
                  </c:numRef>
                </c:val>
                <c:extLst>
                  <c:ext xmlns:c16="http://schemas.microsoft.com/office/drawing/2014/chart" uri="{C3380CC4-5D6E-409C-BE32-E72D297353CC}">
                    <c16:uniqueId val="{00000009-B1C0-4667-B521-C7099AA3AC77}"/>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6824</Words>
  <Characters>38900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Sankar</dc:creator>
  <cp:keywords/>
  <dc:description/>
  <cp:lastModifiedBy>SDI 1084</cp:lastModifiedBy>
  <cp:revision>13</cp:revision>
  <dcterms:created xsi:type="dcterms:W3CDTF">2025-06-11T04:33:00Z</dcterms:created>
  <dcterms:modified xsi:type="dcterms:W3CDTF">2025-06-13T09:53:00Z</dcterms:modified>
</cp:coreProperties>
</file>