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8D38" w14:textId="54C650A6" w:rsidR="00754C9A" w:rsidRPr="00E471D8" w:rsidRDefault="00B06352" w:rsidP="00441B6F">
      <w:pPr>
        <w:pStyle w:val="Title"/>
        <w:spacing w:after="0"/>
        <w:jc w:val="both"/>
        <w:rPr>
          <w:rFonts w:ascii="Arial" w:hAnsi="Arial" w:cs="Arial"/>
          <w:sz w:val="32"/>
          <w:szCs w:val="18"/>
          <w:u w:val="single"/>
        </w:rPr>
      </w:pPr>
      <w:r w:rsidRPr="00E471D8">
        <w:rPr>
          <w:rFonts w:ascii="Arial" w:hAnsi="Arial" w:cs="Arial"/>
          <w:sz w:val="32"/>
          <w:szCs w:val="18"/>
          <w:u w:val="single"/>
        </w:rPr>
        <w:t>Short Research Article</w:t>
      </w:r>
    </w:p>
    <w:p w14:paraId="07D68C17" w14:textId="12618BDD" w:rsidR="00163BC4" w:rsidRPr="00163BC4" w:rsidRDefault="000C312C" w:rsidP="00441B6F">
      <w:pPr>
        <w:pStyle w:val="Author"/>
        <w:spacing w:line="240" w:lineRule="auto"/>
        <w:rPr>
          <w:rFonts w:ascii="Arial" w:hAnsi="Arial" w:cs="Arial"/>
          <w:bCs/>
          <w:iCs/>
          <w:kern w:val="28"/>
          <w:sz w:val="36"/>
        </w:rPr>
      </w:pPr>
      <w:r w:rsidRPr="000C312C">
        <w:rPr>
          <w:rFonts w:ascii="Arial" w:hAnsi="Arial" w:cs="Arial"/>
          <w:bCs/>
          <w:iCs/>
          <w:kern w:val="28"/>
          <w:sz w:val="36"/>
        </w:rPr>
        <w:t>ORAL HEALTH ASSESSMENT FROM THE USER'S PERSPECTIVE IN PRIMARY CARE: REGIONAL DIFFERENCES IN BRAZIL</w:t>
      </w:r>
      <w:r w:rsidR="00231920">
        <w:rPr>
          <w:rFonts w:ascii="Arial" w:hAnsi="Arial" w:cs="Arial"/>
          <w:bCs/>
          <w:iCs/>
          <w:kern w:val="28"/>
          <w:sz w:val="36"/>
        </w:rPr>
        <w:t xml:space="preserve"> </w:t>
      </w:r>
    </w:p>
    <w:p w14:paraId="4CC913D0" w14:textId="77777777" w:rsidR="00A258C3" w:rsidRPr="00790ADA" w:rsidRDefault="00A258C3" w:rsidP="00441B6F">
      <w:pPr>
        <w:pStyle w:val="Author"/>
        <w:spacing w:line="240" w:lineRule="auto"/>
        <w:jc w:val="both"/>
        <w:rPr>
          <w:rFonts w:ascii="Arial" w:hAnsi="Arial" w:cs="Arial"/>
          <w:sz w:val="36"/>
        </w:rPr>
      </w:pPr>
    </w:p>
    <w:p w14:paraId="615303EF" w14:textId="77777777" w:rsidR="005E264B" w:rsidRDefault="005E264B" w:rsidP="005741B6">
      <w:pPr>
        <w:pStyle w:val="Author"/>
        <w:spacing w:line="240" w:lineRule="auto"/>
        <w:rPr>
          <w:rFonts w:ascii="Arial" w:hAnsi="Arial" w:cs="Arial"/>
          <w:i/>
          <w:iCs/>
          <w:sz w:val="16"/>
          <w:lang w:val="pt-BR"/>
        </w:rPr>
      </w:pPr>
    </w:p>
    <w:p w14:paraId="7D5DF812" w14:textId="77777777" w:rsidR="005741B6" w:rsidRPr="006C0C56" w:rsidRDefault="005741B6" w:rsidP="00017E6B">
      <w:pPr>
        <w:pStyle w:val="Author"/>
        <w:spacing w:line="240" w:lineRule="auto"/>
        <w:rPr>
          <w:rFonts w:ascii="Arial" w:hAnsi="Arial" w:cs="Arial"/>
          <w:i/>
          <w:sz w:val="16"/>
        </w:rPr>
      </w:pPr>
    </w:p>
    <w:p w14:paraId="02769651" w14:textId="77777777" w:rsidR="002C57D2" w:rsidRPr="00FB3A86" w:rsidRDefault="002C57D2" w:rsidP="00441B6F">
      <w:pPr>
        <w:pStyle w:val="Affiliation"/>
        <w:spacing w:after="0" w:line="240" w:lineRule="auto"/>
        <w:jc w:val="both"/>
        <w:rPr>
          <w:rFonts w:ascii="Arial" w:hAnsi="Arial" w:cs="Arial"/>
        </w:rPr>
      </w:pPr>
    </w:p>
    <w:p w14:paraId="1A716311" w14:textId="77777777" w:rsidR="00B01FCD" w:rsidRPr="00FB3A86" w:rsidRDefault="00000000" w:rsidP="00441B6F">
      <w:pPr>
        <w:pStyle w:val="Copyright"/>
        <w:spacing w:after="0" w:line="240" w:lineRule="auto"/>
        <w:jc w:val="both"/>
        <w:rPr>
          <w:rFonts w:ascii="Arial" w:hAnsi="Arial" w:cs="Arial"/>
        </w:rPr>
        <w:sectPr w:rsidR="00B01FCD" w:rsidRPr="00FB3A86" w:rsidSect="000F42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A6BE31">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AF23B27" w14:textId="564FC1D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D405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027476" w14:textId="77777777" w:rsidTr="001E44FE">
        <w:tc>
          <w:tcPr>
            <w:tcW w:w="9576" w:type="dxa"/>
            <w:shd w:val="clear" w:color="auto" w:fill="F2F2F2"/>
          </w:tcPr>
          <w:p w14:paraId="2E24541A" w14:textId="77777777" w:rsidR="00E3114E" w:rsidRDefault="00E3114E" w:rsidP="00441B6F">
            <w:pPr>
              <w:pStyle w:val="Body"/>
              <w:spacing w:after="0"/>
              <w:rPr>
                <w:rFonts w:ascii="Arial" w:eastAsia="Calibri" w:hAnsi="Arial" w:cs="Arial"/>
                <w:b/>
                <w:szCs w:val="22"/>
              </w:rPr>
            </w:pPr>
          </w:p>
          <w:p w14:paraId="7BE29981" w14:textId="77777777" w:rsidR="00E21CC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F3163" w:rsidRPr="00AF3163">
              <w:rPr>
                <w:rFonts w:ascii="Arial" w:eastAsia="Calibri" w:hAnsi="Arial" w:cs="Arial"/>
                <w:szCs w:val="22"/>
              </w:rPr>
              <w:t>One of the alternatives used to evaluate the quality of dental services is the use of instruments, which provide an analysis of the user's perception of health care in the service. The study aims to identify regional differences in the quality of oral health in Primary Health Care (PHC) from the perspective of service users.</w:t>
            </w:r>
          </w:p>
          <w:p w14:paraId="7B2EACAC" w14:textId="0B2094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21CC2" w:rsidRPr="00E21CC2">
              <w:rPr>
                <w:rFonts w:ascii="Arial" w:eastAsia="Calibri" w:hAnsi="Arial" w:cs="Arial"/>
                <w:szCs w:val="22"/>
              </w:rPr>
              <w:t>This is an Integrative Literature Review</w:t>
            </w:r>
            <w:r w:rsidRPr="00BA1B01">
              <w:rPr>
                <w:rFonts w:ascii="Arial" w:eastAsia="Calibri" w:hAnsi="Arial" w:cs="Arial"/>
                <w:szCs w:val="22"/>
              </w:rPr>
              <w:t>.</w:t>
            </w:r>
          </w:p>
          <w:p w14:paraId="48A34CA7" w14:textId="1851EAC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E029B" w:rsidRPr="00DE029B">
              <w:rPr>
                <w:rFonts w:ascii="Arial" w:eastAsia="Calibri" w:hAnsi="Arial" w:cs="Arial"/>
                <w:szCs w:val="22"/>
              </w:rPr>
              <w:t>This is a qualitative study using the Scielo, Bireme and PubMed databases. By crossing the descriptors “Health Assessment”, “Primary Health Care”, “Oral Health”, and “Brazil”, 661 studies were obtained, of which 14 were selected for meeting the inclusion criteria.</w:t>
            </w:r>
          </w:p>
          <w:p w14:paraId="3B2CB402" w14:textId="044D20C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A2D8A" w:rsidRPr="006A2D8A">
              <w:rPr>
                <w:rFonts w:ascii="Arial" w:eastAsia="Calibri" w:hAnsi="Arial" w:cs="Arial"/>
                <w:szCs w:val="22"/>
              </w:rPr>
              <w:t>The results of the studies in the different regions of Brazil showed similarities, exposing the need for Public Policies that recognize the user's vision as a means of improving the service provided by PHC.</w:t>
            </w:r>
          </w:p>
        </w:tc>
      </w:tr>
    </w:tbl>
    <w:p w14:paraId="223AB480" w14:textId="77777777" w:rsidR="00636EB2" w:rsidRDefault="00636EB2" w:rsidP="00441B6F">
      <w:pPr>
        <w:pStyle w:val="Body"/>
        <w:spacing w:after="0"/>
        <w:rPr>
          <w:rFonts w:ascii="Arial" w:hAnsi="Arial" w:cs="Arial"/>
          <w:i/>
        </w:rPr>
      </w:pPr>
    </w:p>
    <w:p w14:paraId="412B5FFA" w14:textId="3DD5E1F5" w:rsidR="00A24E7E" w:rsidRDefault="006A2D8A" w:rsidP="00441B6F">
      <w:pPr>
        <w:pStyle w:val="Body"/>
        <w:spacing w:after="0"/>
        <w:rPr>
          <w:rFonts w:ascii="Arial" w:hAnsi="Arial" w:cs="Arial"/>
          <w:i/>
        </w:rPr>
      </w:pPr>
      <w:r w:rsidRPr="006A2D8A">
        <w:rPr>
          <w:rFonts w:ascii="Arial" w:hAnsi="Arial" w:cs="Arial"/>
          <w:i/>
        </w:rPr>
        <w:t>Keywords: Health Assessment. Primary Health Care. Oral Health. Brazil</w:t>
      </w:r>
      <w:r>
        <w:rPr>
          <w:rFonts w:ascii="Arial" w:hAnsi="Arial" w:cs="Arial"/>
          <w:i/>
        </w:rPr>
        <w:t>.</w:t>
      </w:r>
    </w:p>
    <w:p w14:paraId="21BCA764" w14:textId="1ABA90DF" w:rsidR="006A2D8A" w:rsidRDefault="006A2D8A" w:rsidP="00441B6F">
      <w:pPr>
        <w:pStyle w:val="Body"/>
        <w:spacing w:after="0"/>
        <w:rPr>
          <w:rFonts w:ascii="Arial" w:hAnsi="Arial" w:cs="Arial"/>
          <w:i/>
        </w:rPr>
      </w:pPr>
    </w:p>
    <w:p w14:paraId="3CD1911C" w14:textId="77777777" w:rsidR="006A2D8A" w:rsidRPr="00A24E7E" w:rsidRDefault="006A2D8A" w:rsidP="00441B6F">
      <w:pPr>
        <w:pStyle w:val="Body"/>
        <w:spacing w:after="0"/>
        <w:rPr>
          <w:rFonts w:ascii="Arial" w:hAnsi="Arial" w:cs="Arial"/>
          <w:i/>
        </w:rPr>
      </w:pPr>
    </w:p>
    <w:p w14:paraId="5254753B" w14:textId="44F4C1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D223280" w14:textId="77777777" w:rsidR="00790ADA" w:rsidRPr="00FB3A86" w:rsidRDefault="00790ADA" w:rsidP="00441B6F">
      <w:pPr>
        <w:pStyle w:val="AbstHead"/>
        <w:spacing w:after="0"/>
        <w:jc w:val="both"/>
        <w:rPr>
          <w:rFonts w:ascii="Arial" w:hAnsi="Arial" w:cs="Arial"/>
        </w:rPr>
      </w:pPr>
    </w:p>
    <w:p w14:paraId="2B1C09F4" w14:textId="1F00AA8E" w:rsidR="00790ADA" w:rsidRDefault="006A315F" w:rsidP="00441B6F">
      <w:pPr>
        <w:pStyle w:val="Body"/>
        <w:spacing w:after="0"/>
        <w:rPr>
          <w:rFonts w:ascii="Arial" w:hAnsi="Arial" w:cs="Arial"/>
        </w:rPr>
      </w:pPr>
      <w:r>
        <w:rPr>
          <w:rFonts w:ascii="Arial" w:hAnsi="Arial" w:cs="Arial"/>
        </w:rPr>
        <w:t xml:space="preserve">             </w:t>
      </w:r>
      <w:r w:rsidRPr="006A315F">
        <w:rPr>
          <w:rFonts w:ascii="Arial" w:hAnsi="Arial" w:cs="Arial"/>
        </w:rPr>
        <w:t>Primary Health Care (PHC) is described by a set of conducts, at the individual and collective levels, which include the promotion and protection of health, the prevention of diseases, diagnosis, therapeutic resources, rehabilitation and health maintenance, which interfere in the indicators and in the high regulatory competence of the use of high-standard technological means, ensuring society the advantages of universal access that the services offer. [1]</w:t>
      </w:r>
      <w:r>
        <w:rPr>
          <w:rFonts w:ascii="Arial" w:hAnsi="Arial" w:cs="Arial"/>
        </w:rPr>
        <w:t xml:space="preserve"> </w:t>
      </w:r>
    </w:p>
    <w:p w14:paraId="496C1CBB" w14:textId="4D3D225F" w:rsidR="00C6559D" w:rsidRDefault="006A315F" w:rsidP="00E04237">
      <w:pPr>
        <w:pStyle w:val="Body"/>
        <w:spacing w:after="0"/>
        <w:rPr>
          <w:rFonts w:ascii="Arial" w:hAnsi="Arial" w:cs="Arial"/>
          <w:lang w:val="pt-BR"/>
        </w:rPr>
      </w:pPr>
      <w:r>
        <w:rPr>
          <w:rFonts w:ascii="Arial" w:hAnsi="Arial" w:cs="Arial"/>
        </w:rPr>
        <w:t xml:space="preserve">             </w:t>
      </w:r>
      <w:r w:rsidR="00C6559D" w:rsidRPr="00C6559D">
        <w:rPr>
          <w:rFonts w:ascii="Arial" w:hAnsi="Arial" w:cs="Arial"/>
          <w:lang w:val="pt-BR"/>
        </w:rPr>
        <w:t>Barbara Starfield systematized Primary Health Care into essential and derived attributes, which classify care and expand the relationship between the community and service users. [2] In this way, an effective primary care service is established as a means of promoting access to its “front door” in a simple and easy way. Care must be uninterrupted and progressive, presented in a coordinated and integrated manner, taking into account the most varied nuances and biopsychosocial aspects of users. The peculiarities of the families that occupy a given territory are also highlighted, highlighting not only the demands of the community itself but also the inherent cultural aspect of each population, which are fundamental characteristics. [3]</w:t>
      </w:r>
    </w:p>
    <w:p w14:paraId="5FEC4CCD" w14:textId="77777777" w:rsidR="00E04237" w:rsidRPr="00E04237" w:rsidRDefault="00C6559D" w:rsidP="00E04237">
      <w:pPr>
        <w:pStyle w:val="Body"/>
        <w:spacing w:after="0"/>
        <w:rPr>
          <w:rFonts w:ascii="Arial" w:hAnsi="Arial" w:cs="Arial"/>
          <w:lang w:val="pt-BR"/>
        </w:rPr>
      </w:pPr>
      <w:r>
        <w:rPr>
          <w:rFonts w:ascii="Arial" w:hAnsi="Arial" w:cs="Arial"/>
        </w:rPr>
        <w:t xml:space="preserve">             </w:t>
      </w:r>
      <w:r w:rsidR="00E04237" w:rsidRPr="00E04237">
        <w:rPr>
          <w:rFonts w:ascii="Arial" w:hAnsi="Arial" w:cs="Arial"/>
          <w:lang w:val="pt-BR"/>
        </w:rPr>
        <w:t xml:space="preserve">PHC activities are organized by means of seven attributes, known as dimensions, with structuring aspects that relate to the quality, effectiveness and efficiency of their interventions: access, longitudinality, comprehensiveness and coordination of Primary Health Care – which are classified as primary attributes; family-centered health care, community assistance and cultural competence – as derived attributes. Therefore, the </w:t>
      </w:r>
      <w:r w:rsidR="00E04237" w:rsidRPr="00E04237">
        <w:rPr>
          <w:rFonts w:ascii="Arial" w:hAnsi="Arial" w:cs="Arial"/>
          <w:lang w:val="pt-BR"/>
        </w:rPr>
        <w:lastRenderedPageBreak/>
        <w:t>greater the performance and relevance of these attributes, the more stable their presence in primary care. [21]</w:t>
      </w:r>
    </w:p>
    <w:p w14:paraId="074B4911" w14:textId="6FE1DDDE" w:rsidR="00E04237" w:rsidRPr="00E04237" w:rsidRDefault="00E04237" w:rsidP="00E04237">
      <w:pPr>
        <w:pStyle w:val="Body"/>
        <w:spacing w:after="0"/>
        <w:rPr>
          <w:rFonts w:ascii="Arial" w:hAnsi="Arial" w:cs="Arial"/>
          <w:lang w:val="pt-BR"/>
        </w:rPr>
      </w:pPr>
      <w:r>
        <w:rPr>
          <w:rFonts w:ascii="Arial" w:hAnsi="Arial" w:cs="Arial"/>
        </w:rPr>
        <w:t xml:space="preserve">             </w:t>
      </w:r>
      <w:r w:rsidRPr="00E04237">
        <w:rPr>
          <w:rFonts w:ascii="Arial" w:hAnsi="Arial" w:cs="Arial"/>
          <w:lang w:val="pt-BR"/>
        </w:rPr>
        <w:t>However, health promotion is something different from the treatment and prevention of diseases. Therefore, by perceiving this reality and studying the problems, it was possible to observe the fragility of the curative medical approach in effectively managing the health demands of the Brazilian territory, requiring a restructuring of health services. Therefore, it became urgent to consolidate a health system that emphasizes comprehensive care and equity. Thus, over time, health authorities realized that the health model centered on curativism and individualization, linked to hospital care, was doomed to user dissatisfaction and failure to resolve demands. [4]</w:t>
      </w:r>
    </w:p>
    <w:p w14:paraId="6E3EB690" w14:textId="5B38FF23" w:rsidR="00E04237" w:rsidRPr="00E04237" w:rsidRDefault="00E04237" w:rsidP="00E04237">
      <w:pPr>
        <w:pStyle w:val="Body"/>
        <w:spacing w:after="0"/>
        <w:rPr>
          <w:rFonts w:ascii="Arial" w:hAnsi="Arial" w:cs="Arial"/>
          <w:lang w:val="pt-BR"/>
        </w:rPr>
      </w:pPr>
      <w:r>
        <w:rPr>
          <w:rFonts w:ascii="Arial" w:hAnsi="Arial" w:cs="Arial"/>
        </w:rPr>
        <w:t xml:space="preserve">             </w:t>
      </w:r>
      <w:r w:rsidRPr="00E04237">
        <w:rPr>
          <w:rFonts w:ascii="Arial" w:hAnsi="Arial" w:cs="Arial"/>
          <w:lang w:val="pt-BR"/>
        </w:rPr>
        <w:t>The history of dentistry in Brazil is no different. It has been characterized by failures in care, which has overburdened the health system due to the population's difficulty in accessing care. Therefore, it was essential to develop a Public Policy focused on oral health, which has been in effect since 2003 through the Brazil Smiles Program. The Program's guidelines emphasize the expansion and quality of dental services in primary care, through tasks aimed at promoting health and preventing diseases, providing coverage to the entire population. [1]</w:t>
      </w:r>
    </w:p>
    <w:p w14:paraId="76EEA4A6" w14:textId="0D7E34E3" w:rsidR="00E04237" w:rsidRPr="00E04237" w:rsidRDefault="00E04237" w:rsidP="00E04237">
      <w:pPr>
        <w:pStyle w:val="Body"/>
        <w:spacing w:after="0"/>
        <w:rPr>
          <w:rFonts w:ascii="Arial" w:hAnsi="Arial" w:cs="Arial"/>
          <w:lang w:val="pt-BR"/>
        </w:rPr>
      </w:pPr>
      <w:r>
        <w:rPr>
          <w:rFonts w:ascii="Arial" w:hAnsi="Arial" w:cs="Arial"/>
        </w:rPr>
        <w:t xml:space="preserve">             </w:t>
      </w:r>
      <w:r w:rsidRPr="00E04237">
        <w:rPr>
          <w:rFonts w:ascii="Arial" w:hAnsi="Arial" w:cs="Arial"/>
          <w:lang w:val="pt-BR"/>
        </w:rPr>
        <w:t>One of the alternatives used to assess the quality of dental services is the use of instruments, which provide an analysis of the user's perception of their health care in a given service, specifying the nuances of the procedure, while enabling the incorporation of information related to the health status of users. [5]</w:t>
      </w:r>
    </w:p>
    <w:p w14:paraId="3C2F7BB3" w14:textId="3C91E930" w:rsidR="00E04237" w:rsidRPr="00E04237" w:rsidRDefault="00E04237" w:rsidP="00E04237">
      <w:pPr>
        <w:pStyle w:val="Body"/>
        <w:spacing w:after="0"/>
        <w:rPr>
          <w:rFonts w:ascii="Arial" w:hAnsi="Arial" w:cs="Arial"/>
          <w:lang w:val="pt-BR"/>
        </w:rPr>
      </w:pPr>
      <w:r>
        <w:rPr>
          <w:rFonts w:ascii="Arial" w:hAnsi="Arial" w:cs="Arial"/>
        </w:rPr>
        <w:t xml:space="preserve">             </w:t>
      </w:r>
      <w:r w:rsidRPr="00E04237">
        <w:rPr>
          <w:rFonts w:ascii="Arial" w:hAnsi="Arial" w:cs="Arial"/>
          <w:lang w:val="pt-BR"/>
        </w:rPr>
        <w:t>The users' point of view is established as an instrument to measure the effectiveness of health services. Therefore, satisfaction is understood as a measure of health outcomes. Thus, the analysis of individuals' satisfaction with the provision of health services consolidates the integration of community members by appropriating their civil rights and investing them with obligations for co-production of the health approach, which can help guide planning and decision-making methods related to health management. [6]</w:t>
      </w:r>
    </w:p>
    <w:p w14:paraId="04A96490" w14:textId="69A16F00" w:rsidR="00E04237" w:rsidRPr="00E04237" w:rsidRDefault="00E04237" w:rsidP="00E04237">
      <w:pPr>
        <w:pStyle w:val="Body"/>
        <w:spacing w:after="0"/>
        <w:rPr>
          <w:rFonts w:ascii="Arial" w:hAnsi="Arial" w:cs="Arial"/>
          <w:lang w:val="pt-BR"/>
        </w:rPr>
      </w:pPr>
      <w:r>
        <w:rPr>
          <w:rFonts w:ascii="Arial" w:hAnsi="Arial" w:cs="Arial"/>
        </w:rPr>
        <w:t xml:space="preserve">             </w:t>
      </w:r>
      <w:r w:rsidRPr="00E04237">
        <w:rPr>
          <w:rFonts w:ascii="Arial" w:hAnsi="Arial" w:cs="Arial"/>
          <w:lang w:val="pt-BR"/>
        </w:rPr>
        <w:t>As the care provided and user approval are directly linked to access, coordination and continuity in health units, user dissatisfaction is mainly due to the lack of responsibility, respect, adequate reception, accessibility, unique therapeutic projects, care coordination and comprehensiveness. [22]</w:t>
      </w:r>
    </w:p>
    <w:p w14:paraId="71839651" w14:textId="42CB2F06" w:rsidR="00E04237" w:rsidRPr="00E04237" w:rsidRDefault="00E04237" w:rsidP="00E04237">
      <w:pPr>
        <w:pStyle w:val="Body"/>
        <w:rPr>
          <w:rFonts w:ascii="Arial" w:hAnsi="Arial" w:cs="Arial"/>
          <w:lang w:val="pt-BR"/>
        </w:rPr>
      </w:pPr>
      <w:r>
        <w:rPr>
          <w:rFonts w:ascii="Arial" w:hAnsi="Arial" w:cs="Arial"/>
        </w:rPr>
        <w:t xml:space="preserve">             </w:t>
      </w:r>
      <w:r w:rsidRPr="00E04237">
        <w:rPr>
          <w:rFonts w:ascii="Arial" w:hAnsi="Arial" w:cs="Arial"/>
          <w:lang w:val="pt-BR"/>
        </w:rPr>
        <w:t>Brazil has a historical legacy that highlights the regional differences that define its political and economic profile. During the 20th century, progress was characterized by the execution of productive tasks related to the geodemographic and cultural particularities of the country's large regions. The regional layout of the Unified Health System (SUS) expresses and configures the territorial contrasts of Brazil. In the first ten years of its implementation, the regional organization of health practices, specifically in Primary Health Care (PHC) and with a focus on the Family Health Program (PSF), achieved significant growth in the country's poorest states.[7] Discrepancies in health and access to care in primary care institutions are being analyzed through surveys of user opinions in order to understand the health deficiencies, the search for services and the socioeconomic situation of each region.[8]</w:t>
      </w:r>
    </w:p>
    <w:p w14:paraId="602A8F7E" w14:textId="67742988" w:rsidR="00E04237" w:rsidRPr="00E04237" w:rsidRDefault="00E04237" w:rsidP="00E04237">
      <w:pPr>
        <w:pStyle w:val="Body"/>
        <w:spacing w:after="0"/>
        <w:rPr>
          <w:rFonts w:ascii="Arial" w:hAnsi="Arial" w:cs="Arial"/>
          <w:lang w:val="pt-BR"/>
        </w:rPr>
      </w:pPr>
      <w:r>
        <w:rPr>
          <w:rFonts w:ascii="Arial" w:hAnsi="Arial" w:cs="Arial"/>
        </w:rPr>
        <w:t xml:space="preserve">             </w:t>
      </w:r>
      <w:r w:rsidRPr="00E04237">
        <w:rPr>
          <w:rFonts w:ascii="Arial" w:hAnsi="Arial" w:cs="Arial"/>
          <w:lang w:val="pt-BR"/>
        </w:rPr>
        <w:t>However, even with the numerous advances and significant developments over time, there is still a need for Brazil to successfully overcome the significant dissolution of activities and provision of health services and competence in the conduct of care, with regard to the burden of Primary Health Care (PHC). [5]</w:t>
      </w:r>
    </w:p>
    <w:p w14:paraId="0B6AFCFE" w14:textId="73A825E7" w:rsidR="00C6559D" w:rsidRPr="00C6559D" w:rsidRDefault="00E04237" w:rsidP="00C6559D">
      <w:pPr>
        <w:pStyle w:val="Body"/>
        <w:rPr>
          <w:rFonts w:ascii="Arial" w:hAnsi="Arial" w:cs="Arial"/>
          <w:lang w:val="pt-BR"/>
        </w:rPr>
      </w:pPr>
      <w:r>
        <w:rPr>
          <w:rFonts w:ascii="Arial" w:hAnsi="Arial" w:cs="Arial"/>
        </w:rPr>
        <w:t xml:space="preserve">             </w:t>
      </w:r>
      <w:r w:rsidRPr="00E04237">
        <w:rPr>
          <w:rFonts w:ascii="Arial" w:hAnsi="Arial" w:cs="Arial"/>
          <w:lang w:val="pt-BR"/>
        </w:rPr>
        <w:t>Confirming the relevance of users in the evaluation of services offered in primary care, this study aims to identify the predominant regional differences in the quality of oral health in Primary Health Care (PHC) from the perspective of service users</w:t>
      </w:r>
      <w:r>
        <w:rPr>
          <w:rFonts w:ascii="Arial" w:hAnsi="Arial" w:cs="Arial"/>
          <w:lang w:val="pt-BR"/>
        </w:rPr>
        <w:t>.</w:t>
      </w:r>
    </w:p>
    <w:p w14:paraId="6985FC96" w14:textId="326C7440" w:rsidR="006A315F" w:rsidRPr="00FB3A86" w:rsidRDefault="006A315F" w:rsidP="00441B6F">
      <w:pPr>
        <w:pStyle w:val="Body"/>
        <w:spacing w:after="0"/>
        <w:rPr>
          <w:rFonts w:ascii="Arial" w:hAnsi="Arial" w:cs="Arial"/>
        </w:rPr>
      </w:pPr>
    </w:p>
    <w:p w14:paraId="2DAE8A8A" w14:textId="77777777" w:rsidR="005D01CF" w:rsidRDefault="005D01CF" w:rsidP="005D01CF">
      <w:pPr>
        <w:pStyle w:val="AbstHead"/>
        <w:spacing w:after="0"/>
        <w:jc w:val="both"/>
        <w:rPr>
          <w:rFonts w:ascii="Arial" w:hAnsi="Arial" w:cs="Arial"/>
          <w:bCs/>
          <w:lang w:val="pt-BR"/>
        </w:rPr>
      </w:pPr>
      <w:r w:rsidRPr="005D01CF">
        <w:rPr>
          <w:rFonts w:ascii="Arial" w:hAnsi="Arial" w:cs="Arial"/>
          <w:bCs/>
          <w:lang w:val="pt-BR"/>
        </w:rPr>
        <w:lastRenderedPageBreak/>
        <w:t>2. METHODOLOGY </w:t>
      </w:r>
    </w:p>
    <w:p w14:paraId="4A346E28" w14:textId="77777777" w:rsidR="00726080" w:rsidRDefault="00726080" w:rsidP="005D01CF">
      <w:pPr>
        <w:pStyle w:val="AbstHead"/>
        <w:spacing w:after="0"/>
        <w:jc w:val="both"/>
        <w:rPr>
          <w:rFonts w:ascii="Arial" w:hAnsi="Arial" w:cs="Arial"/>
          <w:bCs/>
          <w:lang w:val="pt-BR"/>
        </w:rPr>
      </w:pPr>
    </w:p>
    <w:p w14:paraId="5B9968E2" w14:textId="77777777" w:rsidR="00784A49" w:rsidRPr="00784A49" w:rsidRDefault="00784A49" w:rsidP="00784A49">
      <w:pPr>
        <w:rPr>
          <w:rFonts w:ascii="Times New Roman" w:hAnsi="Times New Roman"/>
          <w:sz w:val="24"/>
          <w:szCs w:val="24"/>
          <w:lang w:val="pt-BR" w:eastAsia="pt-BR"/>
        </w:rPr>
      </w:pPr>
      <w:r w:rsidRPr="00784A49">
        <w:rPr>
          <w:rFonts w:ascii="Arial" w:hAnsi="Arial" w:cs="Arial"/>
          <w:b/>
          <w:bCs/>
          <w:color w:val="000000"/>
          <w:sz w:val="22"/>
          <w:szCs w:val="22"/>
          <w:lang w:val="pt-BR" w:eastAsia="pt-BR"/>
        </w:rPr>
        <w:t>2.1 Type of Study</w:t>
      </w:r>
    </w:p>
    <w:p w14:paraId="275982DD" w14:textId="77777777" w:rsidR="00784A49" w:rsidRDefault="00784A49" w:rsidP="00784A49">
      <w:pPr>
        <w:ind w:firstLine="720"/>
        <w:jc w:val="both"/>
        <w:rPr>
          <w:rFonts w:ascii="Arial" w:hAnsi="Arial" w:cs="Arial"/>
          <w:color w:val="000000"/>
          <w:lang w:val="pt-BR" w:eastAsia="pt-BR"/>
        </w:rPr>
      </w:pPr>
      <w:r w:rsidRPr="00784A49">
        <w:rPr>
          <w:rFonts w:ascii="Arial" w:hAnsi="Arial" w:cs="Arial"/>
          <w:color w:val="000000"/>
          <w:lang w:val="pt-BR" w:eastAsia="pt-BR"/>
        </w:rPr>
        <w:t>This is an Integrative Literature Review on the opinion of users in different regions of Brazil on the qualification of oral health services in PHC, with a qualitative approach, in which the bibliographic survey was carried out in the Scielo, Bireme and PubMed databases.</w:t>
      </w:r>
    </w:p>
    <w:p w14:paraId="6D3F355A" w14:textId="77777777" w:rsidR="00BB2395" w:rsidRPr="00784A49" w:rsidRDefault="00BB2395" w:rsidP="00784A49">
      <w:pPr>
        <w:ind w:firstLine="720"/>
        <w:jc w:val="both"/>
        <w:rPr>
          <w:rFonts w:ascii="Times New Roman" w:hAnsi="Times New Roman"/>
          <w:sz w:val="24"/>
          <w:szCs w:val="24"/>
          <w:lang w:val="pt-BR" w:eastAsia="pt-BR"/>
        </w:rPr>
      </w:pPr>
    </w:p>
    <w:p w14:paraId="2FFE2D2E" w14:textId="77777777" w:rsidR="00784A49" w:rsidRPr="00784A49" w:rsidRDefault="00784A49" w:rsidP="00784A49">
      <w:pPr>
        <w:jc w:val="both"/>
        <w:rPr>
          <w:rFonts w:ascii="Times New Roman" w:hAnsi="Times New Roman"/>
          <w:sz w:val="24"/>
          <w:szCs w:val="24"/>
          <w:lang w:val="pt-BR" w:eastAsia="pt-BR"/>
        </w:rPr>
      </w:pPr>
      <w:r w:rsidRPr="00784A49">
        <w:rPr>
          <w:rFonts w:ascii="Arial" w:hAnsi="Arial" w:cs="Arial"/>
          <w:b/>
          <w:bCs/>
          <w:color w:val="000000"/>
          <w:sz w:val="22"/>
          <w:szCs w:val="22"/>
          <w:lang w:val="pt-BR" w:eastAsia="pt-BR"/>
        </w:rPr>
        <w:t>2.2 Research Design</w:t>
      </w:r>
    </w:p>
    <w:p w14:paraId="45180FD5" w14:textId="77777777" w:rsidR="00784A49" w:rsidRDefault="00784A49" w:rsidP="00784A49">
      <w:pPr>
        <w:ind w:firstLine="720"/>
        <w:jc w:val="both"/>
        <w:rPr>
          <w:rFonts w:ascii="Arial" w:hAnsi="Arial" w:cs="Arial"/>
          <w:color w:val="000000"/>
          <w:lang w:val="pt-BR" w:eastAsia="pt-BR"/>
        </w:rPr>
      </w:pPr>
      <w:r w:rsidRPr="00784A49">
        <w:rPr>
          <w:rFonts w:ascii="Arial" w:hAnsi="Arial" w:cs="Arial"/>
          <w:color w:val="000000"/>
          <w:lang w:val="pt-BR" w:eastAsia="pt-BR"/>
        </w:rPr>
        <w:t>The research was directed by adopting the following guiding criteria: study carried out in different regions of Brazil and taking into account articles that show the perspective of users on the condition of oral health in Primary Health Care services.</w:t>
      </w:r>
    </w:p>
    <w:p w14:paraId="2E6F114A" w14:textId="77777777" w:rsidR="00BB2395" w:rsidRPr="00784A49" w:rsidRDefault="00BB2395" w:rsidP="00784A49">
      <w:pPr>
        <w:ind w:firstLine="720"/>
        <w:jc w:val="both"/>
        <w:rPr>
          <w:rFonts w:ascii="Times New Roman" w:hAnsi="Times New Roman"/>
          <w:sz w:val="24"/>
          <w:szCs w:val="24"/>
          <w:lang w:val="pt-BR" w:eastAsia="pt-BR"/>
        </w:rPr>
      </w:pPr>
    </w:p>
    <w:p w14:paraId="47243B37" w14:textId="77777777" w:rsidR="00784A49" w:rsidRPr="00784A49" w:rsidRDefault="00784A49" w:rsidP="00784A49">
      <w:pPr>
        <w:jc w:val="both"/>
        <w:rPr>
          <w:rFonts w:ascii="Times New Roman" w:hAnsi="Times New Roman"/>
          <w:sz w:val="24"/>
          <w:szCs w:val="24"/>
          <w:lang w:val="pt-BR" w:eastAsia="pt-BR"/>
        </w:rPr>
      </w:pPr>
      <w:r w:rsidRPr="00784A49">
        <w:rPr>
          <w:rFonts w:ascii="Arial" w:hAnsi="Arial" w:cs="Arial"/>
          <w:b/>
          <w:bCs/>
          <w:color w:val="000000"/>
          <w:sz w:val="22"/>
          <w:szCs w:val="22"/>
          <w:lang w:val="pt-BR" w:eastAsia="pt-BR"/>
        </w:rPr>
        <w:t>2.3 Database search strategy</w:t>
      </w:r>
    </w:p>
    <w:p w14:paraId="540088D7" w14:textId="77777777" w:rsidR="00784A49" w:rsidRDefault="00784A49" w:rsidP="00784A49">
      <w:pPr>
        <w:ind w:firstLine="720"/>
        <w:jc w:val="both"/>
        <w:rPr>
          <w:rFonts w:ascii="Arial" w:hAnsi="Arial" w:cs="Arial"/>
          <w:color w:val="000000"/>
          <w:lang w:val="pt-BR" w:eastAsia="pt-BR"/>
        </w:rPr>
      </w:pPr>
      <w:r w:rsidRPr="00784A49">
        <w:rPr>
          <w:rFonts w:ascii="Arial" w:hAnsi="Arial" w:cs="Arial"/>
          <w:color w:val="000000"/>
          <w:lang w:val="pt-BR" w:eastAsia="pt-BR"/>
        </w:rPr>
        <w:t>An initial search was carried out on September 30, 2023, by crossing the health descriptors (DeCS) “Health Assessment” AND “Primary Health Care” AND “Oral Health” AND “Brazil” on the Scielo and Bireme platforms and “Oral Health” AND “Primary Health Care” AND “Health Evaluation” AND “Brazil” on the PubMed platform, obtaining a total of 661 articles.</w:t>
      </w:r>
    </w:p>
    <w:p w14:paraId="44B873CC" w14:textId="77777777" w:rsidR="00BB2395" w:rsidRPr="00784A49" w:rsidRDefault="00BB2395" w:rsidP="00784A49">
      <w:pPr>
        <w:ind w:firstLine="720"/>
        <w:jc w:val="both"/>
        <w:rPr>
          <w:rFonts w:ascii="Times New Roman" w:hAnsi="Times New Roman"/>
          <w:sz w:val="24"/>
          <w:szCs w:val="24"/>
          <w:lang w:val="pt-BR" w:eastAsia="pt-BR"/>
        </w:rPr>
      </w:pPr>
    </w:p>
    <w:p w14:paraId="338E9478" w14:textId="77777777" w:rsidR="00784A49" w:rsidRPr="00784A49" w:rsidRDefault="00784A49" w:rsidP="00784A49">
      <w:pPr>
        <w:jc w:val="both"/>
        <w:rPr>
          <w:rFonts w:ascii="Times New Roman" w:hAnsi="Times New Roman"/>
          <w:sz w:val="24"/>
          <w:szCs w:val="24"/>
          <w:lang w:val="pt-BR" w:eastAsia="pt-BR"/>
        </w:rPr>
      </w:pPr>
      <w:r w:rsidRPr="00784A49">
        <w:rPr>
          <w:rFonts w:ascii="Arial" w:hAnsi="Arial" w:cs="Arial"/>
          <w:b/>
          <w:bCs/>
          <w:color w:val="000000"/>
          <w:sz w:val="22"/>
          <w:szCs w:val="22"/>
          <w:lang w:val="pt-BR" w:eastAsia="pt-BR"/>
        </w:rPr>
        <w:t>2.4 Inclusion and exclusion criteria</w:t>
      </w:r>
    </w:p>
    <w:p w14:paraId="7FE29CCD" w14:textId="77777777" w:rsidR="00784A49" w:rsidRPr="00784A49" w:rsidRDefault="00784A49" w:rsidP="00784A49">
      <w:pPr>
        <w:ind w:firstLine="720"/>
        <w:jc w:val="both"/>
        <w:rPr>
          <w:rFonts w:ascii="Times New Roman" w:hAnsi="Times New Roman"/>
          <w:sz w:val="24"/>
          <w:szCs w:val="24"/>
          <w:lang w:val="pt-BR" w:eastAsia="pt-BR"/>
        </w:rPr>
      </w:pPr>
      <w:r w:rsidRPr="00784A49">
        <w:rPr>
          <w:rFonts w:ascii="Arial" w:hAnsi="Arial" w:cs="Arial"/>
          <w:color w:val="000000"/>
          <w:lang w:val="pt-BR" w:eastAsia="pt-BR"/>
        </w:rPr>
        <w:t>The inclusion criteria were studies conducted in Brazil, focusing on the opinion of users of the Unified Health System (SUS) and using some instrument to assess oral health in PHC, available in full for free, written in English and Portuguese. Studies that were not plausible with the theme according to the titles, literature reviews and systematic reviews, opinion articles and editorials, dissertations or theses, and research conducted focusing on the point of view of Primary Health Care professionals were excluded. There were no time restrictions.</w:t>
      </w:r>
    </w:p>
    <w:p w14:paraId="33A6632D" w14:textId="77777777" w:rsidR="00784A49" w:rsidRPr="00784A49" w:rsidRDefault="00784A49" w:rsidP="00784A49">
      <w:pPr>
        <w:ind w:firstLine="709"/>
        <w:jc w:val="both"/>
        <w:rPr>
          <w:rFonts w:ascii="Times New Roman" w:hAnsi="Times New Roman"/>
          <w:sz w:val="24"/>
          <w:szCs w:val="24"/>
          <w:lang w:val="pt-BR" w:eastAsia="pt-BR"/>
        </w:rPr>
      </w:pPr>
      <w:r w:rsidRPr="00784A49">
        <w:rPr>
          <w:rFonts w:ascii="Arial" w:hAnsi="Arial" w:cs="Arial"/>
          <w:color w:val="000000"/>
          <w:lang w:val="pt-BR" w:eastAsia="pt-BR"/>
        </w:rPr>
        <w:t>In the “Scielo” database, a total of 12 studies were obtained, of which only 1 article was selected. In the Bireme database, a total of 347 articles were found, of which 7 articles were selected. Finally, in the PubMed platform, a total of 302 studies were obtained, of which 6 were chosen for writing. At the end of the search, 14 articles remained that were designated for writing this study and that met the inclusion criteria that were previously established.</w:t>
      </w:r>
    </w:p>
    <w:p w14:paraId="1137952F" w14:textId="77777777" w:rsidR="00784A49" w:rsidRPr="00784A49" w:rsidRDefault="00784A49" w:rsidP="00784A49">
      <w:pPr>
        <w:ind w:firstLine="709"/>
        <w:jc w:val="both"/>
        <w:rPr>
          <w:rFonts w:ascii="Times New Roman" w:hAnsi="Times New Roman"/>
          <w:sz w:val="24"/>
          <w:szCs w:val="24"/>
          <w:lang w:val="pt-BR" w:eastAsia="pt-BR"/>
        </w:rPr>
      </w:pPr>
      <w:r w:rsidRPr="00784A49">
        <w:rPr>
          <w:rFonts w:ascii="Arial" w:hAnsi="Arial" w:cs="Arial"/>
          <w:color w:val="000000"/>
          <w:lang w:val="pt-BR" w:eastAsia="pt-BR"/>
        </w:rPr>
        <w:t>The selection of articles for the synthesis of this study was based on the information present in the objectives and methodologies of each selected study. A categorization was made with the data from all the studies found and those that most closely related to the objective of this Integrative Literature Review were selected.</w:t>
      </w:r>
    </w:p>
    <w:p w14:paraId="149F118C" w14:textId="77777777" w:rsidR="00790ADA" w:rsidRDefault="00790ADA" w:rsidP="00441B6F">
      <w:pPr>
        <w:pStyle w:val="AbstHead"/>
        <w:spacing w:after="0"/>
        <w:jc w:val="both"/>
        <w:rPr>
          <w:rFonts w:ascii="Arial" w:hAnsi="Arial" w:cs="Arial"/>
          <w:lang w:val="pt-BR"/>
        </w:rPr>
      </w:pPr>
    </w:p>
    <w:p w14:paraId="09EEC3CF" w14:textId="77777777" w:rsidR="00BB2395" w:rsidRPr="00FB3A86" w:rsidRDefault="00BB2395" w:rsidP="00441B6F">
      <w:pPr>
        <w:pStyle w:val="AbstHead"/>
        <w:spacing w:after="0"/>
        <w:jc w:val="both"/>
        <w:rPr>
          <w:rFonts w:ascii="Arial" w:hAnsi="Arial" w:cs="Arial"/>
        </w:rPr>
      </w:pPr>
    </w:p>
    <w:p w14:paraId="0D27DC8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4493E4" w14:textId="77777777" w:rsidR="00790ADA" w:rsidRPr="00FB3A86" w:rsidRDefault="00790ADA" w:rsidP="00441B6F">
      <w:pPr>
        <w:pStyle w:val="Head1"/>
        <w:spacing w:after="0"/>
        <w:jc w:val="both"/>
        <w:rPr>
          <w:rFonts w:ascii="Arial" w:hAnsi="Arial" w:cs="Arial"/>
        </w:rPr>
      </w:pPr>
    </w:p>
    <w:p w14:paraId="0892B1C5" w14:textId="77777777" w:rsidR="00FD48A4" w:rsidRPr="00FD48A4" w:rsidRDefault="00C034F4" w:rsidP="008E7162">
      <w:pPr>
        <w:pStyle w:val="Body"/>
        <w:spacing w:after="0"/>
        <w:rPr>
          <w:rFonts w:ascii="Arial" w:hAnsi="Arial" w:cs="Arial"/>
          <w:lang w:val="pt-BR"/>
        </w:rPr>
      </w:pPr>
      <w:r>
        <w:rPr>
          <w:rFonts w:ascii="Arial" w:hAnsi="Arial" w:cs="Arial"/>
        </w:rPr>
        <w:t xml:space="preserve">             </w:t>
      </w:r>
      <w:r w:rsidR="00FD48A4" w:rsidRPr="00FD48A4">
        <w:rPr>
          <w:rFonts w:ascii="Arial" w:hAnsi="Arial" w:cs="Arial"/>
          <w:lang w:val="pt-BR"/>
        </w:rPr>
        <w:t>Based on the applied research criteria, 661 articles were obtained as a result of the searches, of which 6 studies were excluded due to the presence of duplications, leaving 655 studies. After reading the titles and abstracts, 621 publications were discarded because they were not in the field of Dentistry and/or had themes that differed from the present article, as well as research that did not meet the inclusion criteria. From the final reading of the 34 articles that remained after the initial selection, a total of 20 studies were eliminated because they did not meet the stated objective.</w:t>
      </w:r>
    </w:p>
    <w:p w14:paraId="7EBA861D" w14:textId="6C1E7FAC" w:rsidR="00FD48A4" w:rsidRPr="00FD48A4" w:rsidRDefault="00FD48A4" w:rsidP="008E7162">
      <w:pPr>
        <w:pStyle w:val="Body"/>
        <w:spacing w:after="0"/>
        <w:rPr>
          <w:rFonts w:ascii="Arial" w:hAnsi="Arial" w:cs="Arial"/>
          <w:lang w:val="pt-BR"/>
        </w:rPr>
      </w:pPr>
      <w:r>
        <w:rPr>
          <w:rFonts w:ascii="Arial" w:hAnsi="Arial" w:cs="Arial"/>
        </w:rPr>
        <w:t xml:space="preserve">             </w:t>
      </w:r>
      <w:r w:rsidRPr="00FD48A4">
        <w:rPr>
          <w:rFonts w:ascii="Arial" w:hAnsi="Arial" w:cs="Arial"/>
          <w:lang w:val="pt-BR"/>
        </w:rPr>
        <w:t>The selection of articles for writing this Integrative Literature Review is represented in a flowchart model (Figure 1). Information that includes the number of potentially relevant publications in each database, exclusion criteria and articles included for methodological evaluation are displayed in the aforementioned image.</w:t>
      </w:r>
    </w:p>
    <w:p w14:paraId="54B8058A" w14:textId="10C2D2B0" w:rsidR="00FD48A4" w:rsidRPr="00FD48A4" w:rsidRDefault="00FD48A4" w:rsidP="008E7162">
      <w:pPr>
        <w:pStyle w:val="Body"/>
        <w:spacing w:after="0"/>
        <w:rPr>
          <w:rFonts w:ascii="Arial" w:hAnsi="Arial" w:cs="Arial"/>
          <w:lang w:val="pt-BR"/>
        </w:rPr>
      </w:pPr>
      <w:r>
        <w:rPr>
          <w:rFonts w:ascii="Arial" w:hAnsi="Arial" w:cs="Arial"/>
        </w:rPr>
        <w:lastRenderedPageBreak/>
        <w:t xml:space="preserve">             </w:t>
      </w:r>
      <w:r w:rsidRPr="00FD48A4">
        <w:rPr>
          <w:rFonts w:ascii="Arial" w:hAnsi="Arial" w:cs="Arial"/>
          <w:lang w:val="pt-BR"/>
        </w:rPr>
        <w:t>Table 1 below presents the selected articles, the year in which they were published, the location where the study was carried out, its outcome, the instrument used for the research and, finally, what each author concluded.</w:t>
      </w:r>
    </w:p>
    <w:p w14:paraId="32B9547A" w14:textId="21E444C2" w:rsidR="00FD48A4" w:rsidRPr="00FD48A4" w:rsidRDefault="00FD48A4" w:rsidP="008E7162">
      <w:pPr>
        <w:pStyle w:val="Body"/>
        <w:spacing w:after="0"/>
        <w:rPr>
          <w:rFonts w:ascii="Arial" w:hAnsi="Arial" w:cs="Arial"/>
          <w:lang w:val="pt-BR"/>
        </w:rPr>
      </w:pPr>
      <w:r>
        <w:rPr>
          <w:rFonts w:ascii="Arial" w:hAnsi="Arial" w:cs="Arial"/>
        </w:rPr>
        <w:t xml:space="preserve">             </w:t>
      </w:r>
      <w:r w:rsidRPr="00FD48A4">
        <w:rPr>
          <w:rFonts w:ascii="Arial" w:hAnsi="Arial" w:cs="Arial"/>
          <w:lang w:val="pt-BR"/>
        </w:rPr>
        <w:t>In view of the above, it became clear that the range of publications addressed presented a similarity in their conclusions, which attest that the search for dental services in PHC is linked to the following factors: age, gender, socioeconomic conditions and level of education.</w:t>
      </w:r>
    </w:p>
    <w:p w14:paraId="0AEAA1E4" w14:textId="2F493DE9" w:rsidR="00FD48A4" w:rsidRPr="00FD48A4" w:rsidRDefault="00FD48A4" w:rsidP="008E7162">
      <w:pPr>
        <w:pStyle w:val="Body"/>
        <w:spacing w:after="0"/>
        <w:rPr>
          <w:rFonts w:ascii="Arial" w:hAnsi="Arial" w:cs="Arial"/>
          <w:lang w:val="pt-BR"/>
        </w:rPr>
      </w:pPr>
      <w:r>
        <w:rPr>
          <w:rFonts w:ascii="Arial" w:hAnsi="Arial" w:cs="Arial"/>
        </w:rPr>
        <w:t xml:space="preserve">             </w:t>
      </w:r>
      <w:r w:rsidRPr="00FD48A4">
        <w:rPr>
          <w:rFonts w:ascii="Arial" w:hAnsi="Arial" w:cs="Arial"/>
          <w:lang w:val="pt-BR"/>
        </w:rPr>
        <w:t>All articles used to write this Integrative Literature Review were conducted in Brazil. No isolated studies were found in the Northeast, North and Central-West regions. Of the 14 publications selected, 42.8% were written through research conducted in the South of Brazil, 35.7% in the Southeast region and 21.4% occurred at a national level.</w:t>
      </w:r>
    </w:p>
    <w:p w14:paraId="66516BF0" w14:textId="283A35C1" w:rsidR="00FD48A4" w:rsidRPr="00FD48A4" w:rsidRDefault="00FD48A4" w:rsidP="008E7162">
      <w:pPr>
        <w:pStyle w:val="Body"/>
        <w:spacing w:after="0"/>
        <w:rPr>
          <w:rFonts w:ascii="Arial" w:hAnsi="Arial" w:cs="Arial"/>
          <w:lang w:val="pt-BR"/>
        </w:rPr>
      </w:pPr>
      <w:r>
        <w:rPr>
          <w:rFonts w:ascii="Arial" w:hAnsi="Arial" w:cs="Arial"/>
        </w:rPr>
        <w:t xml:space="preserve">             </w:t>
      </w:r>
      <w:r w:rsidRPr="00FD48A4">
        <w:rPr>
          <w:rFonts w:ascii="Arial" w:hAnsi="Arial" w:cs="Arial"/>
          <w:lang w:val="pt-BR"/>
        </w:rPr>
        <w:t>The most widely used instruments in the literature chosen for writing this article were: PMAQ-AB (28.5%) and PCATool-SB (21.4%). The National Program for Improving Access and Quality in Primary Care (PMAQ-AB) was structured with the aim of promoting improvements in the aspect of public health services through means of improvement, monitoring and analysis of professionals in Primary Health Care (PHC). Three cycles of the Program have been carried out to date. The member cities that obtain better results in the standard of care will have increased financial resources. [9]</w:t>
      </w:r>
    </w:p>
    <w:p w14:paraId="5CA6B44C" w14:textId="589F2329" w:rsidR="00FD48A4" w:rsidRPr="00FD48A4" w:rsidRDefault="00FD48A4" w:rsidP="008E7162">
      <w:pPr>
        <w:pStyle w:val="Body"/>
        <w:spacing w:after="0"/>
        <w:rPr>
          <w:rFonts w:ascii="Arial" w:hAnsi="Arial" w:cs="Arial"/>
          <w:lang w:val="pt-BR"/>
        </w:rPr>
      </w:pPr>
      <w:r>
        <w:rPr>
          <w:rFonts w:ascii="Arial" w:hAnsi="Arial" w:cs="Arial"/>
        </w:rPr>
        <w:t xml:space="preserve">             </w:t>
      </w:r>
      <w:r w:rsidRPr="00FD48A4">
        <w:rPr>
          <w:rFonts w:ascii="Arial" w:hAnsi="Arial" w:cs="Arial"/>
          <w:lang w:val="pt-BR"/>
        </w:rPr>
        <w:t>The general variant of the Primary Care Assessment Tool is a potentially effective instrument for assessing the quality of services provided in PHC, based on the estimated coverage of essential and derived attributes, resulting in a score on the effectiveness of care. [10]</w:t>
      </w:r>
    </w:p>
    <w:p w14:paraId="2A60DFA3" w14:textId="025FA6D9" w:rsidR="00790ADA" w:rsidRDefault="00790ADA" w:rsidP="00441B6F">
      <w:pPr>
        <w:pStyle w:val="Body"/>
        <w:spacing w:after="0"/>
        <w:rPr>
          <w:rFonts w:ascii="Arial" w:hAnsi="Arial" w:cs="Arial"/>
        </w:rPr>
      </w:pPr>
    </w:p>
    <w:p w14:paraId="2A1B20AD" w14:textId="73D4FBFE" w:rsidR="00863BD3" w:rsidRDefault="008E7162" w:rsidP="00441B6F">
      <w:pPr>
        <w:tabs>
          <w:tab w:val="left" w:pos="1080"/>
        </w:tabs>
        <w:jc w:val="both"/>
        <w:rPr>
          <w:rFonts w:ascii="Arial" w:hAnsi="Arial"/>
          <w:b/>
          <w:bCs/>
        </w:rPr>
      </w:pPr>
      <w:r w:rsidRPr="008E7162">
        <w:rPr>
          <w:rFonts w:ascii="Arial" w:hAnsi="Arial"/>
          <w:b/>
          <w:bCs/>
        </w:rPr>
        <w:t>Figure 1: Flowchart of article search and selection.</w:t>
      </w:r>
    </w:p>
    <w:p w14:paraId="5ED326D2" w14:textId="77777777" w:rsidR="00AA7DAB" w:rsidRDefault="00AA7DAB" w:rsidP="00441B6F">
      <w:pPr>
        <w:tabs>
          <w:tab w:val="left" w:pos="1080"/>
        </w:tabs>
        <w:jc w:val="both"/>
        <w:rPr>
          <w:rFonts w:ascii="Arial" w:hAnsi="Arial"/>
          <w:b/>
          <w:bCs/>
        </w:rPr>
      </w:pPr>
    </w:p>
    <w:p w14:paraId="07CAAD60" w14:textId="2AFEFB30" w:rsidR="00AA7DAB" w:rsidRDefault="00AA7DAB" w:rsidP="004C7B5D">
      <w:pPr>
        <w:tabs>
          <w:tab w:val="left" w:pos="1080"/>
        </w:tabs>
        <w:jc w:val="center"/>
        <w:rPr>
          <w:rFonts w:ascii="Arial" w:hAnsi="Arial"/>
          <w:b/>
          <w:bCs/>
        </w:rPr>
      </w:pPr>
      <w:r>
        <w:rPr>
          <w:noProof/>
          <w:bdr w:val="none" w:sz="0" w:space="0" w:color="auto" w:frame="1"/>
        </w:rPr>
        <w:drawing>
          <wp:inline distT="0" distB="0" distL="0" distR="0" wp14:anchorId="12F7302A" wp14:editId="6A30D2E6">
            <wp:extent cx="4686300" cy="2885991"/>
            <wp:effectExtent l="0" t="0" r="0" b="0"/>
            <wp:docPr id="1857591815"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91815" name="Imagem 1" descr="Diagrama&#10;&#10;O conteúdo gerado por IA pode estar incorret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8532"/>
                    <a:stretch>
                      <a:fillRect/>
                    </a:stretch>
                  </pic:blipFill>
                  <pic:spPr bwMode="auto">
                    <a:xfrm>
                      <a:off x="0" y="0"/>
                      <a:ext cx="4724496" cy="2909513"/>
                    </a:xfrm>
                    <a:prstGeom prst="rect">
                      <a:avLst/>
                    </a:prstGeom>
                    <a:noFill/>
                    <a:ln>
                      <a:noFill/>
                    </a:ln>
                    <a:extLst>
                      <a:ext uri="{53640926-AAD7-44D8-BBD7-CCE9431645EC}">
                        <a14:shadowObscured xmlns:a14="http://schemas.microsoft.com/office/drawing/2010/main"/>
                      </a:ext>
                    </a:extLst>
                  </pic:spPr>
                </pic:pic>
              </a:graphicData>
            </a:graphic>
          </wp:inline>
        </w:drawing>
      </w:r>
    </w:p>
    <w:p w14:paraId="49678DFA" w14:textId="54D8F316" w:rsidR="00AA7DAB" w:rsidRDefault="00AA7DAB" w:rsidP="00441B6F">
      <w:pPr>
        <w:tabs>
          <w:tab w:val="left" w:pos="1080"/>
        </w:tabs>
        <w:jc w:val="both"/>
        <w:rPr>
          <w:rFonts w:ascii="Arial" w:hAnsi="Arial"/>
          <w:b/>
          <w:bCs/>
        </w:rPr>
      </w:pPr>
      <w:r w:rsidRPr="00AA7DAB">
        <w:rPr>
          <w:rFonts w:ascii="Arial" w:hAnsi="Arial"/>
          <w:b/>
          <w:bCs/>
        </w:rPr>
        <w:t xml:space="preserve">Source: </w:t>
      </w:r>
      <w:r w:rsidRPr="00AA7DAB">
        <w:rPr>
          <w:rFonts w:ascii="Arial" w:hAnsi="Arial"/>
        </w:rPr>
        <w:t>Prepared by the authors (2024).</w:t>
      </w:r>
    </w:p>
    <w:p w14:paraId="23509D53" w14:textId="77777777" w:rsidR="00AA7DAB" w:rsidRDefault="00AA7DAB" w:rsidP="00441B6F">
      <w:pPr>
        <w:tabs>
          <w:tab w:val="left" w:pos="1080"/>
        </w:tabs>
        <w:jc w:val="both"/>
        <w:rPr>
          <w:rFonts w:ascii="Arial" w:hAnsi="Arial"/>
          <w:b/>
          <w:bCs/>
        </w:rPr>
      </w:pPr>
    </w:p>
    <w:p w14:paraId="373F7951" w14:textId="65046771" w:rsidR="00AA7DAB" w:rsidRPr="00AA7DAB" w:rsidRDefault="00AA7DAB" w:rsidP="00AA7DAB">
      <w:pPr>
        <w:pStyle w:val="Body"/>
        <w:rPr>
          <w:rFonts w:ascii="Arial" w:hAnsi="Arial" w:cs="Arial"/>
          <w:lang w:val="pt-BR"/>
        </w:rPr>
      </w:pPr>
      <w:r w:rsidRPr="00593034">
        <w:rPr>
          <w:rFonts w:ascii="Arial" w:hAnsi="Arial" w:cs="Arial"/>
          <w:b/>
          <w:bCs/>
          <w:lang w:val="pt-BR"/>
        </w:rPr>
        <w:t xml:space="preserve">Table 1: </w:t>
      </w:r>
      <w:r w:rsidRPr="00593034">
        <w:rPr>
          <w:rFonts w:ascii="Arial" w:hAnsi="Arial" w:cs="Arial"/>
          <w:lang w:val="pt-BR"/>
        </w:rPr>
        <w:t>Year of publication, author, research location, outcome, instrument and conclusion</w:t>
      </w:r>
    </w:p>
    <w:p w14:paraId="5DFA269B" w14:textId="77777777" w:rsidR="00E5670E" w:rsidRDefault="00E5670E" w:rsidP="00441B6F">
      <w:pPr>
        <w:tabs>
          <w:tab w:val="left" w:pos="1080"/>
        </w:tabs>
        <w:jc w:val="both"/>
        <w:rPr>
          <w:rFonts w:ascii="Arial" w:hAnsi="Arial"/>
          <w:b/>
          <w:bCs/>
        </w:rPr>
      </w:pPr>
    </w:p>
    <w:tbl>
      <w:tblPr>
        <w:tblW w:w="8931" w:type="dxa"/>
        <w:tblInd w:w="-176" w:type="dxa"/>
        <w:tblCellMar>
          <w:top w:w="15" w:type="dxa"/>
          <w:left w:w="15" w:type="dxa"/>
          <w:bottom w:w="15" w:type="dxa"/>
          <w:right w:w="15" w:type="dxa"/>
        </w:tblCellMar>
        <w:tblLook w:val="04A0" w:firstRow="1" w:lastRow="0" w:firstColumn="1" w:lastColumn="0" w:noHBand="0" w:noVBand="1"/>
      </w:tblPr>
      <w:tblGrid>
        <w:gridCol w:w="851"/>
        <w:gridCol w:w="1754"/>
        <w:gridCol w:w="1085"/>
        <w:gridCol w:w="1693"/>
        <w:gridCol w:w="1526"/>
        <w:gridCol w:w="2022"/>
      </w:tblGrid>
      <w:tr w:rsidR="00EB1716" w:rsidRPr="00EB1716" w14:paraId="44D53253" w14:textId="77777777" w:rsidTr="00AA7DAB">
        <w:tc>
          <w:tcPr>
            <w:tcW w:w="8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663D6A6" w14:textId="77777777" w:rsidR="00EB1716" w:rsidRPr="00EB1716" w:rsidRDefault="00EB1716" w:rsidP="00AA7DAB">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Year</w:t>
            </w:r>
          </w:p>
        </w:tc>
        <w:tc>
          <w:tcPr>
            <w:tcW w:w="175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F2E6364" w14:textId="77777777" w:rsidR="00EB1716" w:rsidRPr="00EB1716" w:rsidRDefault="00EB1716" w:rsidP="00AA7DAB">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Title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1A7B8F1" w14:textId="77777777" w:rsidR="00EB1716" w:rsidRPr="00EB1716" w:rsidRDefault="00EB1716" w:rsidP="00AA7DAB">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Research Location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A6E9F37" w14:textId="77777777" w:rsidR="00EB1716" w:rsidRPr="00EB1716" w:rsidRDefault="00EB1716" w:rsidP="00AA7DAB">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0DEB429" w14:textId="77777777" w:rsidR="00EB1716" w:rsidRPr="00EB1716" w:rsidRDefault="00EB1716" w:rsidP="00AA7DAB">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Instrument</w:t>
            </w:r>
          </w:p>
        </w:tc>
        <w:tc>
          <w:tcPr>
            <w:tcW w:w="20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AB24A32" w14:textId="77777777" w:rsidR="00EB1716" w:rsidRPr="00EB1716" w:rsidRDefault="00EB1716" w:rsidP="00AA7DAB">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Conclusion</w:t>
            </w:r>
          </w:p>
        </w:tc>
      </w:tr>
      <w:tr w:rsidR="00EB1716" w:rsidRPr="00EB1716" w14:paraId="63D44CE1"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8674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2012</w:t>
            </w:r>
            <w:r w:rsidRPr="00EB1716">
              <w:rPr>
                <w:rFonts w:ascii="Arial" w:hAnsi="Arial" w:cs="Arial"/>
                <w:noProof/>
                <w:bdr w:val="none" w:sz="0" w:space="0" w:color="auto" w:frame="1"/>
                <w:vertAlign w:val="superscript"/>
                <w:lang w:val="pt-BR"/>
              </w:rPr>
              <w:t>11</w:t>
            </w:r>
          </w:p>
          <w:p w14:paraId="719F6ED3"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B98E7"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 xml:space="preserve">Self-assessment </w:t>
            </w:r>
            <w:r w:rsidRPr="00EB1716">
              <w:rPr>
                <w:rFonts w:ascii="Arial" w:hAnsi="Arial" w:cs="Arial"/>
                <w:noProof/>
                <w:bdr w:val="none" w:sz="0" w:space="0" w:color="auto" w:frame="1"/>
                <w:lang w:val="pt-BR"/>
              </w:rPr>
              <w:lastRenderedPageBreak/>
              <w:t>of oral health: results of the World Health Survey – Primary Care in four municipalities in the State of Rio de Janeiro, Brazil, 2005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5A053"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1C7451C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lastRenderedPageBreak/>
              <w:t>Rio de Janeiro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290B8"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lastRenderedPageBreak/>
              <w:t xml:space="preserve">Positive or </w:t>
            </w:r>
            <w:r w:rsidRPr="00EB1716">
              <w:rPr>
                <w:rFonts w:ascii="Arial" w:hAnsi="Arial" w:cs="Arial"/>
                <w:noProof/>
                <w:bdr w:val="none" w:sz="0" w:space="0" w:color="auto" w:frame="1"/>
                <w:lang w:val="pt-BR"/>
              </w:rPr>
              <w:lastRenderedPageBreak/>
              <w:t>negative self-assessment is related to age group, socioeconomic factors and education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6B0A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lastRenderedPageBreak/>
              <w:t xml:space="preserve">Adaptation of </w:t>
            </w:r>
            <w:r w:rsidRPr="00EB1716">
              <w:rPr>
                <w:rFonts w:ascii="Arial" w:hAnsi="Arial" w:cs="Arial"/>
                <w:noProof/>
                <w:bdr w:val="none" w:sz="0" w:space="0" w:color="auto" w:frame="1"/>
                <w:lang w:val="pt-BR"/>
              </w:rPr>
              <w:lastRenderedPageBreak/>
              <w:t>the World Health Survey (WHS) questionnaire</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28C1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lastRenderedPageBreak/>
              <w:t xml:space="preserve">Dental care should </w:t>
            </w:r>
            <w:r w:rsidRPr="00EB1716">
              <w:rPr>
                <w:rFonts w:ascii="Arial" w:hAnsi="Arial" w:cs="Arial"/>
                <w:noProof/>
                <w:bdr w:val="none" w:sz="0" w:space="0" w:color="auto" w:frame="1"/>
                <w:lang w:val="pt-BR"/>
              </w:rPr>
              <w:lastRenderedPageBreak/>
              <w:t>address health promotion and disease prevention actions</w:t>
            </w:r>
          </w:p>
        </w:tc>
      </w:tr>
      <w:tr w:rsidR="00EB1716" w:rsidRPr="00EB1716" w14:paraId="03EC11C5"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6325F"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lastRenderedPageBreak/>
              <w:t>2013</w:t>
            </w:r>
            <w:r w:rsidRPr="00EB1716">
              <w:rPr>
                <w:rFonts w:ascii="Arial" w:hAnsi="Arial" w:cs="Arial"/>
                <w:noProof/>
                <w:bdr w:val="none" w:sz="0" w:space="0" w:color="auto" w:frame="1"/>
                <w:vertAlign w:val="superscript"/>
                <w:lang w:val="pt-BR"/>
              </w:rPr>
              <w:t>12</w:t>
            </w:r>
          </w:p>
          <w:p w14:paraId="37175029"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B131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Evaluation of oral health services: a comparative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7CC77"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Rio Grande do Sul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BE82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ESF oral health well evaluated due to the fact that it meets the attributes of PHC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5911C"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349CA57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QASSaB</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43B8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The direct work of the professional in the territory brings greater satisfaction to users</w:t>
            </w:r>
          </w:p>
        </w:tc>
      </w:tr>
      <w:tr w:rsidR="00EB1716" w:rsidRPr="00EB1716" w14:paraId="26230496"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26BBD"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2015</w:t>
            </w:r>
            <w:r w:rsidRPr="00EB1716">
              <w:rPr>
                <w:rFonts w:ascii="Arial" w:hAnsi="Arial" w:cs="Arial"/>
                <w:noProof/>
                <w:bdr w:val="none" w:sz="0" w:space="0" w:color="auto" w:frame="1"/>
                <w:vertAlign w:val="superscript"/>
                <w:lang w:val="pt-BR"/>
              </w:rPr>
              <w:t>13</w:t>
            </w:r>
          </w:p>
          <w:p w14:paraId="4A9BFBD7"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93A3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Comparative study of user and health professionals' satisfaction with the public dental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AA13A"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7D67FAB8"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Paraná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A5E1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High level of satisfaction among users, however, they show conformism and low critical content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7FB35"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3BFD073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Adaptation of PNASS and PMAQ</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A45C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High levels of user satisfaction were achieved. More specific and periodic evaluations are suggested.</w:t>
            </w:r>
          </w:p>
        </w:tc>
      </w:tr>
      <w:tr w:rsidR="00EB1716" w:rsidRPr="00EB1716" w14:paraId="5C128DCF"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3B18E"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2016</w:t>
            </w:r>
            <w:r w:rsidRPr="00EB1716">
              <w:rPr>
                <w:rFonts w:ascii="Arial" w:hAnsi="Arial" w:cs="Arial"/>
                <w:noProof/>
                <w:bdr w:val="none" w:sz="0" w:space="0" w:color="auto" w:frame="1"/>
                <w:vertAlign w:val="superscript"/>
                <w:lang w:val="pt-BR"/>
              </w:rPr>
              <w:t>15</w:t>
            </w:r>
          </w:p>
          <w:p w14:paraId="796F5DDD"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0D9DA"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Relationship between perception of dental services and oral health conditions in hypertensive and diabetic individuals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24FB2"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0A982EC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Minas Gerais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7CE08"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Faster services in the ESF, but access, connection and communication are insufficient.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7C9CB"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11C5562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ASBAP-user</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5DA3F"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Oral health was better evaluated in users who had a good relationship with the dentist</w:t>
            </w:r>
          </w:p>
        </w:tc>
      </w:tr>
      <w:tr w:rsidR="00EB1716" w:rsidRPr="00EB1716" w14:paraId="5E73C7E3"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71FC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2017</w:t>
            </w:r>
            <w:r w:rsidRPr="00EB1716">
              <w:rPr>
                <w:rFonts w:ascii="Arial" w:hAnsi="Arial" w:cs="Arial"/>
                <w:noProof/>
                <w:bdr w:val="none" w:sz="0" w:space="0" w:color="auto" w:frame="1"/>
                <w:vertAlign w:val="superscript"/>
                <w:lang w:val="pt-BR"/>
              </w:rPr>
              <w:t>16</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A1BFC"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Factors associated with patient satisfaction in Brazilian primary dental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06978"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Minas Gerais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AC8AF"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Education level, gender and professional status are associated with satisfaction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19BDF"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521579A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PMAQ-AB</w:t>
            </w:r>
          </w:p>
          <w:p w14:paraId="1CE7D122"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ECF4F"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Combination of factors interfere in the final satisfaction of patients</w:t>
            </w:r>
          </w:p>
        </w:tc>
      </w:tr>
      <w:tr w:rsidR="00EB1716" w:rsidRPr="00EB1716" w14:paraId="7181AE5A"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84687"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2017</w:t>
            </w:r>
            <w:r w:rsidRPr="00EB1716">
              <w:rPr>
                <w:rFonts w:ascii="Arial" w:hAnsi="Arial" w:cs="Arial"/>
                <w:noProof/>
                <w:bdr w:val="none" w:sz="0" w:space="0" w:color="auto" w:frame="1"/>
                <w:vertAlign w:val="superscript"/>
                <w:lang w:val="pt-BR"/>
              </w:rPr>
              <w:t>14</w:t>
            </w:r>
          </w:p>
          <w:p w14:paraId="10467493"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2E279"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User Satisfaction with Public Oral Health Services in Different Dimensions of Health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72933"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4024837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Paraná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3278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Users were satisfied with the services. However, conformism and low critical level must be taken into account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0E0C0"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44DB1D1C"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Questionnaire summarized by the authors themselves</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8A29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The overall satisfaction of individuals was associated with gender, age and education</w:t>
            </w:r>
          </w:p>
        </w:tc>
      </w:tr>
      <w:tr w:rsidR="00EB1716" w:rsidRPr="00EB1716" w14:paraId="2F7A33CB" w14:textId="77777777" w:rsidTr="00AA7DAB">
        <w:trPr>
          <w:trHeight w:val="11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AA17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2018</w:t>
            </w:r>
            <w:r w:rsidRPr="00EB1716">
              <w:rPr>
                <w:rFonts w:ascii="Arial" w:hAnsi="Arial" w:cs="Arial"/>
                <w:noProof/>
                <w:bdr w:val="none" w:sz="0" w:space="0" w:color="auto" w:frame="1"/>
                <w:vertAlign w:val="superscript"/>
                <w:lang w:val="pt-BR"/>
              </w:rPr>
              <w:t>17</w:t>
            </w:r>
          </w:p>
          <w:p w14:paraId="0DE03183"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830AD"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Use of oral health services during prenatal care in primary health care: data from PMAQ-AB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03EA1"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1BFF81FA"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Brasil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A2558"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Higher prevalence of prenatal dental care among pregnant women &gt; 30 years old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76C6C"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7C3741B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PMAQ-AB</w:t>
            </w:r>
          </w:p>
          <w:p w14:paraId="6EE06164"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532CA"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Low-income and younger women used dental services less during prenatal care</w:t>
            </w:r>
          </w:p>
        </w:tc>
      </w:tr>
      <w:tr w:rsidR="00EB1716" w:rsidRPr="00EB1716" w14:paraId="6D6D8099"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1C65D"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lastRenderedPageBreak/>
              <w:t>2018</w:t>
            </w:r>
            <w:r w:rsidRPr="00EB1716">
              <w:rPr>
                <w:rFonts w:ascii="Arial" w:hAnsi="Arial" w:cs="Arial"/>
                <w:noProof/>
                <w:bdr w:val="none" w:sz="0" w:space="0" w:color="auto" w:frame="1"/>
                <w:vertAlign w:val="superscript"/>
                <w:lang w:val="pt-BR"/>
              </w:rPr>
              <w:t>18</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3D2E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Evaluation of public oral health services in Curitiba, Brazil: a cross-sectional study using the Primary Care Assessment Tool (PCATool) in Primary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97CD"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4A9249A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Paraná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0254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The users' perception of the attributes of PHC in the ESF was favorable, except for affiliation and accessibility.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38CBC"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677ABDA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PCATool-SB</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A495E"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The positive results achieved indicate that the provision of oral health care should be expanded</w:t>
            </w:r>
          </w:p>
        </w:tc>
      </w:tr>
      <w:tr w:rsidR="00EB1716" w:rsidRPr="00EB1716" w14:paraId="11F7D04F"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B6BB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2019</w:t>
            </w:r>
            <w:r w:rsidRPr="00EB1716">
              <w:rPr>
                <w:rFonts w:ascii="Arial" w:hAnsi="Arial" w:cs="Arial"/>
                <w:noProof/>
                <w:bdr w:val="none" w:sz="0" w:space="0" w:color="auto" w:frame="1"/>
                <w:vertAlign w:val="superscript"/>
                <w:lang w:val="pt-BR"/>
              </w:rPr>
              <w:t>6</w:t>
            </w:r>
          </w:p>
          <w:p w14:paraId="0E8F0D64"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 </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16FA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User satisfaction with public oral health services in the Brazilian Unified Health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40CBD"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350990A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Minas Gerais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FBA1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Users reported satisfaction with services. Assessment associated with age and socioeconomic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24F75"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3AFF0C34"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PMAQ-AB</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3F26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Users with low socioeconomic status and older reported greater satisfaction</w:t>
            </w:r>
          </w:p>
        </w:tc>
      </w:tr>
      <w:tr w:rsidR="00EB1716" w:rsidRPr="00EB1716" w14:paraId="5C25B0AE" w14:textId="77777777" w:rsidTr="00AA7DAB">
        <w:trPr>
          <w:trHeight w:val="1061"/>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F2D94"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2019</w:t>
            </w:r>
            <w:r w:rsidRPr="00EB1716">
              <w:rPr>
                <w:rFonts w:ascii="Arial" w:hAnsi="Arial" w:cs="Arial"/>
                <w:noProof/>
                <w:bdr w:val="none" w:sz="0" w:space="0" w:color="auto" w:frame="1"/>
                <w:vertAlign w:val="superscript"/>
                <w:lang w:val="pt-BR"/>
              </w:rPr>
              <w:t>5</w:t>
            </w:r>
          </w:p>
          <w:p w14:paraId="5A848086"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374F7"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Access to dental services and quality of life related to oral health in the context of Primary Health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AEADE"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554116E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Rio Grande do Sul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83DA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Access to dental care is associated with better oral health-related quality of life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16603"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5EB36C16"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PCATool-SB</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6708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Access to dental services impacts the user's quality of life</w:t>
            </w:r>
          </w:p>
          <w:p w14:paraId="3D5760B4" w14:textId="77777777" w:rsidR="00EB1716" w:rsidRPr="00EB1716" w:rsidRDefault="00EB1716" w:rsidP="00EB1716">
            <w:pPr>
              <w:tabs>
                <w:tab w:val="left" w:pos="1080"/>
              </w:tabs>
              <w:jc w:val="both"/>
              <w:rPr>
                <w:rFonts w:ascii="Arial" w:hAnsi="Arial" w:cs="Arial"/>
                <w:noProof/>
                <w:bdr w:val="none" w:sz="0" w:space="0" w:color="auto" w:frame="1"/>
                <w:lang w:val="pt-BR"/>
              </w:rPr>
            </w:pPr>
          </w:p>
        </w:tc>
      </w:tr>
      <w:tr w:rsidR="00EB1716" w:rsidRPr="00EB1716" w14:paraId="5470FCD3"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7F48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2019</w:t>
            </w:r>
            <w:r w:rsidRPr="00EB1716">
              <w:rPr>
                <w:rFonts w:ascii="Arial" w:hAnsi="Arial" w:cs="Arial"/>
                <w:noProof/>
                <w:bdr w:val="none" w:sz="0" w:space="0" w:color="auto" w:frame="1"/>
                <w:vertAlign w:val="superscript"/>
                <w:lang w:val="pt-BR"/>
              </w:rPr>
              <w:t>19</w:t>
            </w:r>
          </w:p>
          <w:p w14:paraId="3F6BC4EA"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E2CDC"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Contextual and individual determinants of non-use of dental services among Brazilian adults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BC452"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0B6753CF"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Brasil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6F3C2"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Non-use of dental services was higher among adults in cities with a high cost of living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21EDD"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6926BF67"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SB Brazil Project</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9B85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Socioeconomic and demographic issues influence the non-use of dental services</w:t>
            </w:r>
          </w:p>
        </w:tc>
      </w:tr>
      <w:tr w:rsidR="00EB1716" w:rsidRPr="00EB1716" w14:paraId="0C61DBBC"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01F18"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2020</w:t>
            </w:r>
            <w:r w:rsidRPr="00EB1716">
              <w:rPr>
                <w:rFonts w:ascii="Arial" w:hAnsi="Arial" w:cs="Arial"/>
                <w:noProof/>
                <w:bdr w:val="none" w:sz="0" w:space="0" w:color="auto" w:frame="1"/>
                <w:vertAlign w:val="superscript"/>
                <w:lang w:val="pt-BR"/>
              </w:rPr>
              <w:t>10</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59989"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Validity and reliability of the Brazilian Primary Care Assessment Tool: Adult Oral Health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F0FD"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4C7CFA0B"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Rio Grande do Sul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1538E"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The instrument was effective in measuring the presence and extent of essential and derived attributes of PHC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F6D70"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6F564F74"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PCATool-SB</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31963"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Instrument was effective and reliable in assessing user experience in PHC</w:t>
            </w:r>
          </w:p>
        </w:tc>
      </w:tr>
      <w:tr w:rsidR="00EB1716" w:rsidRPr="00EB1716" w14:paraId="10CA26BE"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77CF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2021</w:t>
            </w:r>
            <w:r w:rsidRPr="00EB1716">
              <w:rPr>
                <w:rFonts w:ascii="Arial" w:hAnsi="Arial" w:cs="Arial"/>
                <w:noProof/>
                <w:bdr w:val="none" w:sz="0" w:space="0" w:color="auto" w:frame="1"/>
                <w:vertAlign w:val="superscript"/>
                <w:lang w:val="pt-BR"/>
              </w:rPr>
              <w:t>20</w:t>
            </w:r>
          </w:p>
          <w:p w14:paraId="68C0BB28" w14:textId="77777777" w:rsidR="00EB1716" w:rsidRPr="00EB1716" w:rsidRDefault="00EB1716" w:rsidP="00EB1716">
            <w:pPr>
              <w:tabs>
                <w:tab w:val="left" w:pos="1080"/>
              </w:tabs>
              <w:jc w:val="both"/>
              <w:rPr>
                <w:rFonts w:ascii="Arial" w:hAnsi="Arial" w:cs="Arial"/>
                <w:noProof/>
                <w:bdr w:val="none" w:sz="0" w:space="0" w:color="auto" w:frame="1"/>
                <w:lang w:val="pt-BR"/>
              </w:rPr>
            </w:pP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8E1AC"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Association between oral health literacy and dental outcomes among users of AP servicesS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64BCA"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3CA66916"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São Paulo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4FA0"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Low oral health literacy is linked to higher rates of tooth loss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D96C7"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HL in Dentistry Scale (HeLD-14)</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E081E"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Socioeconomic factors and low education are related to greater tooth loss</w:t>
            </w:r>
          </w:p>
        </w:tc>
      </w:tr>
      <w:tr w:rsidR="00EB1716" w:rsidRPr="00EB1716" w14:paraId="4740FFFE" w14:textId="77777777" w:rsidTr="00AA7DA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CF136"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 xml:space="preserve">2021 </w:t>
            </w:r>
            <w:r w:rsidRPr="00EB1716">
              <w:rPr>
                <w:rFonts w:ascii="Arial" w:hAnsi="Arial" w:cs="Arial"/>
                <w:noProof/>
                <w:bdr w:val="none" w:sz="0" w:space="0" w:color="auto" w:frame="1"/>
                <w:vertAlign w:val="superscript"/>
                <w:lang w:val="pt-BR"/>
              </w:rPr>
              <w:t>9</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E6235"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 xml:space="preserve">Indicators for scheduling dental appointments in </w:t>
            </w:r>
            <w:r w:rsidRPr="00EB1716">
              <w:rPr>
                <w:rFonts w:ascii="Arial" w:hAnsi="Arial" w:cs="Arial"/>
                <w:noProof/>
                <w:bdr w:val="none" w:sz="0" w:space="0" w:color="auto" w:frame="1"/>
                <w:lang w:val="pt-BR"/>
              </w:rPr>
              <w:lastRenderedPageBreak/>
              <w:t>PHC: a national cross-sectional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70EE"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679B46F4"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Brasil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DFF71"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 xml:space="preserve">The search for oral treatment in the PHC depends on the </w:t>
            </w:r>
            <w:r w:rsidRPr="00EB1716">
              <w:rPr>
                <w:rFonts w:ascii="Arial" w:hAnsi="Arial" w:cs="Arial"/>
                <w:noProof/>
                <w:bdr w:val="none" w:sz="0" w:space="0" w:color="auto" w:frame="1"/>
                <w:lang w:val="pt-BR"/>
              </w:rPr>
              <w:lastRenderedPageBreak/>
              <w:t>user and the unit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751C" w14:textId="77777777" w:rsidR="00EB1716" w:rsidRPr="00EB1716" w:rsidRDefault="00EB1716" w:rsidP="00EB1716">
            <w:pPr>
              <w:tabs>
                <w:tab w:val="left" w:pos="1080"/>
              </w:tabs>
              <w:jc w:val="both"/>
              <w:rPr>
                <w:rFonts w:ascii="Arial" w:hAnsi="Arial" w:cs="Arial"/>
                <w:noProof/>
                <w:bdr w:val="none" w:sz="0" w:space="0" w:color="auto" w:frame="1"/>
                <w:lang w:val="pt-BR"/>
              </w:rPr>
            </w:pPr>
          </w:p>
          <w:p w14:paraId="09C26B99"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PMAQ-AB</w:t>
            </w:r>
          </w:p>
        </w:tc>
        <w:tc>
          <w:tcPr>
            <w:tcW w:w="2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67772" w14:textId="77777777" w:rsidR="00EB1716" w:rsidRPr="00EB1716" w:rsidRDefault="00EB1716" w:rsidP="00EB1716">
            <w:pPr>
              <w:tabs>
                <w:tab w:val="left" w:pos="1080"/>
              </w:tabs>
              <w:jc w:val="both"/>
              <w:rPr>
                <w:rFonts w:ascii="Arial" w:hAnsi="Arial" w:cs="Arial"/>
                <w:noProof/>
                <w:bdr w:val="none" w:sz="0" w:space="0" w:color="auto" w:frame="1"/>
                <w:lang w:val="pt-BR"/>
              </w:rPr>
            </w:pPr>
            <w:r w:rsidRPr="00EB1716">
              <w:rPr>
                <w:rFonts w:ascii="Arial" w:hAnsi="Arial" w:cs="Arial"/>
                <w:noProof/>
                <w:bdr w:val="none" w:sz="0" w:space="0" w:color="auto" w:frame="1"/>
                <w:lang w:val="pt-BR"/>
              </w:rPr>
              <w:t xml:space="preserve">The age of users and the organization of the service influence </w:t>
            </w:r>
            <w:r w:rsidRPr="00EB1716">
              <w:rPr>
                <w:rFonts w:ascii="Arial" w:hAnsi="Arial" w:cs="Arial"/>
                <w:noProof/>
                <w:bdr w:val="none" w:sz="0" w:space="0" w:color="auto" w:frame="1"/>
                <w:lang w:val="pt-BR"/>
              </w:rPr>
              <w:lastRenderedPageBreak/>
              <w:t>the search for treatment</w:t>
            </w:r>
          </w:p>
        </w:tc>
      </w:tr>
    </w:tbl>
    <w:p w14:paraId="742C0670" w14:textId="77777777" w:rsidR="00971FE2" w:rsidRDefault="00971FE2" w:rsidP="00E5670E">
      <w:pPr>
        <w:pStyle w:val="BodyText3"/>
        <w:tabs>
          <w:tab w:val="left" w:pos="1080"/>
        </w:tabs>
        <w:spacing w:after="0"/>
        <w:jc w:val="both"/>
        <w:rPr>
          <w:rFonts w:ascii="Arial" w:hAnsi="Arial"/>
          <w:b/>
          <w:bCs/>
          <w:sz w:val="20"/>
          <w:szCs w:val="20"/>
        </w:rPr>
      </w:pPr>
    </w:p>
    <w:p w14:paraId="31CEA368" w14:textId="10B7BF21" w:rsidR="00863BD3" w:rsidRDefault="00971FE2" w:rsidP="004C7B5D">
      <w:pPr>
        <w:pStyle w:val="BodyText3"/>
        <w:tabs>
          <w:tab w:val="left" w:pos="1080"/>
        </w:tabs>
        <w:spacing w:after="0"/>
        <w:jc w:val="both"/>
        <w:rPr>
          <w:rFonts w:ascii="Arial" w:hAnsi="Arial"/>
          <w:bCs/>
          <w:sz w:val="20"/>
          <w:szCs w:val="20"/>
        </w:rPr>
      </w:pPr>
      <w:r w:rsidRPr="00971FE2">
        <w:rPr>
          <w:rFonts w:ascii="Arial" w:hAnsi="Arial"/>
          <w:b/>
          <w:bCs/>
          <w:sz w:val="20"/>
          <w:szCs w:val="20"/>
        </w:rPr>
        <w:t>Source:</w:t>
      </w:r>
      <w:r w:rsidRPr="00971FE2">
        <w:rPr>
          <w:rFonts w:ascii="Arial" w:hAnsi="Arial"/>
          <w:b/>
          <w:sz w:val="20"/>
          <w:szCs w:val="20"/>
        </w:rPr>
        <w:t xml:space="preserve"> </w:t>
      </w:r>
      <w:r w:rsidRPr="00971FE2">
        <w:rPr>
          <w:rFonts w:ascii="Arial" w:hAnsi="Arial"/>
          <w:bCs/>
          <w:sz w:val="20"/>
          <w:szCs w:val="20"/>
        </w:rPr>
        <w:t>Prepared by the authors (2024).</w:t>
      </w:r>
    </w:p>
    <w:p w14:paraId="59741B1F" w14:textId="77777777" w:rsidR="00AA7DAB" w:rsidRDefault="00AA7DAB" w:rsidP="00E5670E">
      <w:pPr>
        <w:pStyle w:val="BodyText3"/>
        <w:tabs>
          <w:tab w:val="left" w:pos="1080"/>
        </w:tabs>
        <w:spacing w:after="0"/>
        <w:jc w:val="both"/>
        <w:rPr>
          <w:rFonts w:ascii="Arial" w:hAnsi="Arial"/>
          <w:bCs/>
          <w:sz w:val="20"/>
          <w:szCs w:val="20"/>
        </w:rPr>
      </w:pPr>
    </w:p>
    <w:p w14:paraId="3A92FBFA" w14:textId="2F2435AA" w:rsidR="00AA7DAB" w:rsidRPr="00AA7DAB" w:rsidRDefault="00AA7DAB" w:rsidP="00AA7DAB">
      <w:pPr>
        <w:pStyle w:val="BodyText3"/>
        <w:tabs>
          <w:tab w:val="left" w:pos="1080"/>
        </w:tabs>
        <w:spacing w:after="0"/>
        <w:rPr>
          <w:rFonts w:ascii="Arial" w:hAnsi="Arial"/>
          <w:bCs/>
          <w:sz w:val="20"/>
          <w:szCs w:val="20"/>
          <w:lang w:val="pt-BR"/>
        </w:rPr>
      </w:pPr>
      <w:r>
        <w:rPr>
          <w:rFonts w:ascii="Arial" w:hAnsi="Arial" w:cs="Arial"/>
        </w:rPr>
        <w:t xml:space="preserve">             </w:t>
      </w:r>
      <w:r w:rsidRPr="00AA7DAB">
        <w:rPr>
          <w:rFonts w:ascii="Arial" w:hAnsi="Arial"/>
          <w:bCs/>
          <w:sz w:val="20"/>
          <w:szCs w:val="20"/>
          <w:lang w:val="pt-BR"/>
        </w:rPr>
        <w:t>In one article, a study was conducted on self-assessment of oral health among individuals living in the state of Rio de Janeiro. It showed that, although residents had coverage from the Primary Health Care service, the demand for dental care showed low rates. It was identified that this demand varied according to gender, age, level of education and socioeconomic conditions, finding that women, young people and those with a higher level of education represented the majority when using the services, and consequently, greater satisfaction with their oral health condition. [11]</w:t>
      </w:r>
    </w:p>
    <w:p w14:paraId="0DC618D7" w14:textId="77777777"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In the state of Rio Grande do Sul, the socioeconomic status of the user was linked to satisfaction with dental care provided by the Family Health Strategy (ESF). Access to the service was another factor that performed positively, demonstrating that this condition is the one that most impacts a favorable evaluation of oral health services in primary care. [12]</w:t>
      </w:r>
    </w:p>
    <w:p w14:paraId="03B39B91" w14:textId="36044F53"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In a study conducted in Paraná, users also demonstrated satisfaction with the approach to dental care in PHC, reaffirming findings from national bibliographical research. However, the data collected require a detailed analysis, since Brazilians are complacent and have limited critical sense regarding the public health services apparatus, validating them as a privilege and not as a duty of the State. Socioeconomic, demographic and educational circumstances induce the understanding of users, in which those who have lower levels of the aforementioned characteristics are more likely to have a better evaluation of oral health services. [13,14]</w:t>
      </w:r>
    </w:p>
    <w:p w14:paraId="1C63CAA4" w14:textId="7E3A7F55"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In Minas Gerais, researchers conducted an epidemiological survey on the perception of dental services among patients with Chronic Noncommunicable Diseases (NCDs) - hypertensive and diabetic. Females and the elderly were the most prevalent in the surveys and reported that care in the ESF was quick; however, the essential attributes of Primary Health Care remained weakened, both due to user choice and sociocultural factors. [15]</w:t>
      </w:r>
    </w:p>
    <w:p w14:paraId="3B61BB90" w14:textId="5DC933B7"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In the same state of the aforementioned article, male users, employees and those with a considerable level of education were less likely to be satisfied with the dental services provided in Primary Health Care. The conditions of reception and connection provided to patients, as well as the perspective on the structure of the dental office were evaluated positively. Users who were seen on a first-come, first-served basis were more satisfied when compared to those who were seen at a previously scheduled time. It can be inferred that the education, gender and professional context of individuals are closely linked to satisfaction with oral health services. [16]</w:t>
      </w:r>
    </w:p>
    <w:p w14:paraId="2F654FD1" w14:textId="44135057"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At a national level, the prevalence of pregnant women in prenatal dental care was assessed based on results obtained in cycles I and II of the Program for Improving Access and Quality of Primary Care (PMAQ-AB). Population size, financial situation and age group are the most prevalent aspects in the findings of both cycles of the Program. The interviewed users aged &gt;30 years demonstrated greater presence in the use of dental services during pregnancy. It is important to mention that the women who benefited most from prenatal dental care were those with higher incomes and who lived in large cities. [17]</w:t>
      </w:r>
    </w:p>
    <w:p w14:paraId="5CB3C9DC" w14:textId="1E16D329"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 xml:space="preserve">In another study conducted in the state of Paraná, in the city of Curitiba, regarding the evaluation of public oral health services, it was demonstrated that changes in the dynamics of dental care in the Family Health Strategy (ESF) were required. This finding was confirmed by the limited evaluation of some essential attributes, specifically affiliation and accessibility. Sociodemographic issues, travel time to the health unit, as well as cultural factors, affect the user's accessibility to the health service. In contrast, the attributes derived </w:t>
      </w:r>
      <w:r w:rsidRPr="00AA7DAB">
        <w:rPr>
          <w:rFonts w:ascii="Arial" w:hAnsi="Arial" w:cs="Arial"/>
          <w:sz w:val="20"/>
          <w:szCs w:val="20"/>
          <w:lang w:val="pt-BR"/>
        </w:rPr>
        <w:lastRenderedPageBreak/>
        <w:t>from PHC were evaluated positively by the users, an aspect that favors the maintenance of a good bond with the professionals and the unit. [18]</w:t>
      </w:r>
    </w:p>
    <w:p w14:paraId="7853DAF4" w14:textId="7EA45E24"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A study conducted in Minas Gerais assessed patient satisfaction with the dental care provided by the Family Health Strategy. It was clear that individuals with lower purchasing power, low levels of education and advanced age (elderly) were satisfied with the service offered, influencing a perspective that is far from reality, as these users tend to develop a less critical view of the services offered by the unit. [6]</w:t>
      </w:r>
    </w:p>
    <w:p w14:paraId="4403C145" w14:textId="5D23775C"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lang w:val="pt-BR"/>
        </w:rPr>
        <w:t> </w:t>
      </w:r>
      <w:r w:rsidRPr="00AA7DAB">
        <w:rPr>
          <w:rFonts w:ascii="Arial" w:hAnsi="Arial" w:cs="Arial"/>
          <w:sz w:val="20"/>
          <w:szCs w:val="20"/>
        </w:rPr>
        <w:t xml:space="preserve">             </w:t>
      </w:r>
      <w:r w:rsidRPr="00AA7DAB">
        <w:rPr>
          <w:rFonts w:ascii="Arial" w:hAnsi="Arial" w:cs="Arial"/>
          <w:sz w:val="20"/>
          <w:szCs w:val="20"/>
          <w:lang w:val="pt-BR"/>
        </w:rPr>
        <w:t>In a study conducted in the state of Rio Grande do Sul, researchers obtained relevant data regarding the association between oral health in Primary Health Care and the quality of life of service users. The conduct of offering effective access to oral health in a dignified manner and at the appropriate time is linked to a quality of life related to ideal oral health. [5]</w:t>
      </w:r>
    </w:p>
    <w:p w14:paraId="5F1A4D01" w14:textId="67F585ED" w:rsid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Another study investigated individual and contextual determinants of non-use of national dental services among adult patients. The findings indicated that the human development index (HDI), demographic and socioeconomic conditions, as well as gender, ethnicity and education were associated with non-use of the service. The prevalence was more evident in indigenous and black adults, with low educational attainment and economically disadvantaged. The demand for dental consultation was higher among younger users, since the elderly tend to neglect their oral health [9,19].</w:t>
      </w:r>
    </w:p>
    <w:p w14:paraId="15FD973E" w14:textId="3DF6ABCA"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In a study conducted in Rio Grande do Sul, users of an ESF evaluated the Access (first contact) attribute negatively, highlighting failures in telephone services, waiting times of over 30 minutes to be seen by a dentist, and the need to take time off work or school to attend dental care. The Continuity attribute also received an unfavorable evaluation, as users claimed instability in the permanence of oral health professionals in the Family Health Strategy, which harmed the bond between user and professional. However, the coordination and family guidance attributes received a satisfactory evaluation. [10]</w:t>
      </w:r>
    </w:p>
    <w:p w14:paraId="3C9FD627" w14:textId="4457FF26"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0"/>
          <w:szCs w:val="20"/>
        </w:rPr>
        <w:t xml:space="preserve">             </w:t>
      </w:r>
      <w:r w:rsidRPr="00AA7DAB">
        <w:rPr>
          <w:rFonts w:ascii="Arial" w:hAnsi="Arial" w:cs="Arial"/>
          <w:sz w:val="20"/>
          <w:szCs w:val="20"/>
          <w:lang w:val="pt-BR"/>
        </w:rPr>
        <w:t>In the state of São Paulo, researchers interviewed users of primary health care dental services to investigate the relationship between oral health literacy and oral hygiene conditions. Factors related to low levels of education and family income were associated with lower levels of education and self-care for oral health, leading to tooth loss, untreated cavities and periodontal disease. Users have very low accuracy in recognizing the need for early treatment. [20]</w:t>
      </w:r>
    </w:p>
    <w:p w14:paraId="5AE76B96" w14:textId="66EFCAA1"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Despite the significant number of studies obtained during the literature searches, many of them were intrinsically linked to the areas of Medicine and Nursing or focused on the oral health team of Primary Health Care (PHC) services. It can be inferred that the prevalence of research on the perspective of users on dental care in the Family Health Strategy was in the South and Southeast regions of Brazil.</w:t>
      </w:r>
    </w:p>
    <w:p w14:paraId="7B173606" w14:textId="7C631C6E"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In general, similarities were observed between the outcomes of the articles. Aspects such as age group, gender, level of education and socioeconomic status were linked to the ability of users to evaluate the quality of oral health services in the PHC from their perspective. A more accurate perspective of patients is needed to analyze whether the services offered in the unit are in line with the essential and derived attributes of PHC. [6,13,14,19]</w:t>
      </w:r>
    </w:p>
    <w:p w14:paraId="448090E5" w14:textId="236D496D"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The oldest article used in this Integrative Literature Review, conducted in the Southeast region of Brazil, addressed individuals' perceptions of their oral health, as well as the use of services offered by the ESF. The outcome of this study was similar to that of the most recent research, conducted at a national level, highlighting the relationship between the level of knowledge of users and the efficiency in evaluating the oral health services offered. [9, 11]</w:t>
      </w:r>
    </w:p>
    <w:p w14:paraId="13437FD4" w14:textId="7B1DA4F2"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 xml:space="preserve">Two publications were related to the evaluation of oral health from the perspective of patients with special needs (PNE), which discussed hypertensive and diabetic patients in a city in the Southeast region and prenatal dental care in capitals of the national territory. A coincident factor in both concerns the socioeconomic condition and level of education of </w:t>
      </w:r>
      <w:r w:rsidRPr="00AA7DAB">
        <w:rPr>
          <w:rFonts w:ascii="Arial" w:hAnsi="Arial" w:cs="Arial"/>
          <w:sz w:val="20"/>
          <w:szCs w:val="20"/>
          <w:lang w:val="pt-BR"/>
        </w:rPr>
        <w:lastRenderedPageBreak/>
        <w:t>users, since this group of individuals tends to seek care when they have a higher income and higher level of education. This result explains the hypothesis that access to services is not in accordance with the principles and guidelines of the Unified Health System (SUS). [15,17]</w:t>
      </w:r>
    </w:p>
    <w:p w14:paraId="1F8BAB4E" w14:textId="14C1FFBB"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Other studies filtered to integrate this research, carried out in the South and Southeast regions of Brazil, addressed the relevance of access to Primary Health Care services to user satisfaction with their oral health condition. A good relationship with the dentist influenced a more positive assessment of the oral health of individuals and the consultations offered. [12,15,19]</w:t>
      </w:r>
    </w:p>
    <w:p w14:paraId="4C378728" w14:textId="6DDC25E6" w:rsidR="00AA7DAB" w:rsidRPr="00AA7DAB" w:rsidRDefault="00AA7DAB" w:rsidP="00AA7DAB">
      <w:pPr>
        <w:pStyle w:val="BodyText3"/>
        <w:tabs>
          <w:tab w:val="left" w:pos="1080"/>
        </w:tabs>
        <w:spacing w:after="0"/>
        <w:rPr>
          <w:rFonts w:ascii="Arial" w:hAnsi="Arial" w:cs="Arial"/>
          <w:sz w:val="20"/>
          <w:szCs w:val="20"/>
          <w:lang w:val="pt-BR"/>
        </w:rPr>
      </w:pPr>
      <w:r w:rsidRPr="00AA7DAB">
        <w:rPr>
          <w:rFonts w:ascii="Arial" w:hAnsi="Arial" w:cs="Arial"/>
          <w:sz w:val="24"/>
          <w:szCs w:val="24"/>
        </w:rPr>
        <w:t xml:space="preserve">             </w:t>
      </w:r>
      <w:r w:rsidRPr="00AA7DAB">
        <w:rPr>
          <w:rFonts w:ascii="Arial" w:hAnsi="Arial" w:cs="Arial"/>
          <w:sz w:val="20"/>
          <w:szCs w:val="20"/>
          <w:lang w:val="pt-BR"/>
        </w:rPr>
        <w:t>It is important to emphasize the relevance of applying assessment instruments in primary care services in order to determine, analyze and study the oral health scenario from the users' point of view. They will benefit from new research on the subject, as well as improvements in the dynamics of work in the Family Health Strategy (ESF). [10,18,19]</w:t>
      </w:r>
    </w:p>
    <w:p w14:paraId="26F70096" w14:textId="0F091082" w:rsidR="00AA7DAB" w:rsidRDefault="00AA7DAB" w:rsidP="00E5670E">
      <w:pPr>
        <w:pStyle w:val="BodyText3"/>
        <w:tabs>
          <w:tab w:val="left" w:pos="1080"/>
        </w:tabs>
        <w:spacing w:after="0"/>
        <w:jc w:val="both"/>
        <w:rPr>
          <w:rFonts w:ascii="Arial" w:hAnsi="Arial"/>
          <w:b/>
          <w:sz w:val="20"/>
          <w:szCs w:val="20"/>
        </w:rPr>
      </w:pPr>
    </w:p>
    <w:p w14:paraId="7A88CCBC" w14:textId="77777777" w:rsidR="00790ADA" w:rsidRPr="00FB3A86" w:rsidRDefault="00790ADA" w:rsidP="00441B6F">
      <w:pPr>
        <w:pStyle w:val="Body"/>
        <w:spacing w:after="0"/>
        <w:rPr>
          <w:rFonts w:ascii="Arial" w:hAnsi="Arial" w:cs="Arial"/>
        </w:rPr>
      </w:pPr>
    </w:p>
    <w:p w14:paraId="6D2348A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DA6E7FC" w14:textId="77777777" w:rsidR="00790ADA" w:rsidRPr="00FB3A86" w:rsidRDefault="00790ADA" w:rsidP="00441B6F">
      <w:pPr>
        <w:pStyle w:val="ConcHead"/>
        <w:spacing w:after="0"/>
        <w:jc w:val="both"/>
        <w:rPr>
          <w:rFonts w:ascii="Arial" w:hAnsi="Arial" w:cs="Arial"/>
        </w:rPr>
      </w:pPr>
    </w:p>
    <w:p w14:paraId="7D58AF30" w14:textId="5C287E44" w:rsidR="00AA7DAB" w:rsidRPr="00AA7DAB" w:rsidRDefault="00AA7DAB" w:rsidP="00AA7DAB">
      <w:pPr>
        <w:pStyle w:val="Body"/>
        <w:rPr>
          <w:rFonts w:ascii="Arial" w:hAnsi="Arial" w:cs="Arial"/>
          <w:lang w:val="pt-BR"/>
        </w:rPr>
      </w:pPr>
      <w:r w:rsidRPr="00AA7DAB">
        <w:rPr>
          <w:rFonts w:ascii="Arial" w:hAnsi="Arial" w:cs="Arial"/>
          <w:sz w:val="24"/>
          <w:szCs w:val="24"/>
        </w:rPr>
        <w:t xml:space="preserve">             </w:t>
      </w:r>
      <w:r w:rsidRPr="00AA7DAB">
        <w:rPr>
          <w:rFonts w:ascii="Arial" w:hAnsi="Arial" w:cs="Arial"/>
          <w:lang w:val="pt-BR"/>
        </w:rPr>
        <w:t>The publications selected for the synthesis of this Integrative Literature Review highlight that socioeconomic aspects, gender, age group and level of education induce a positive or negative evaluation by users. Such data were collected through the application of evaluation tools in Primary Health Care units with an emphasis on the patients' perspective.</w:t>
      </w:r>
    </w:p>
    <w:p w14:paraId="269600D2" w14:textId="77777777" w:rsidR="00AA7DAB" w:rsidRDefault="00AA7DAB" w:rsidP="00AA7DAB">
      <w:pPr>
        <w:pStyle w:val="Body"/>
        <w:spacing w:after="0"/>
        <w:rPr>
          <w:rFonts w:ascii="Arial" w:hAnsi="Arial" w:cs="Arial"/>
          <w:lang w:val="pt-BR"/>
        </w:rPr>
      </w:pPr>
      <w:r w:rsidRPr="00AA7DAB">
        <w:rPr>
          <w:rFonts w:ascii="Arial" w:hAnsi="Arial" w:cs="Arial"/>
          <w:sz w:val="24"/>
          <w:szCs w:val="24"/>
        </w:rPr>
        <w:t xml:space="preserve">             </w:t>
      </w:r>
      <w:r w:rsidRPr="00AA7DAB">
        <w:rPr>
          <w:rFonts w:ascii="Arial" w:hAnsi="Arial" w:cs="Arial"/>
          <w:lang w:val="pt-BR"/>
        </w:rPr>
        <w:t>It is worth noting that the outcomes of the studies in the different regions of Brazil showed similarities. It was found that women, elderly people, those with low levels of education and socioeconomic status were more expressive in the use and evaluation of services, exposing the need for more effective Public Policies that take into account the user's perspective as a guiding means to make improvements in the service provided by PHC.</w:t>
      </w:r>
    </w:p>
    <w:p w14:paraId="666A4FC1" w14:textId="53826645" w:rsidR="00AA7DAB" w:rsidRPr="00AA7DAB" w:rsidRDefault="00AA7DAB" w:rsidP="00AA7DAB">
      <w:pPr>
        <w:pStyle w:val="Body"/>
        <w:spacing w:after="0"/>
        <w:rPr>
          <w:rFonts w:ascii="Arial" w:hAnsi="Arial" w:cs="Arial"/>
          <w:lang w:val="pt-BR"/>
        </w:rPr>
      </w:pPr>
      <w:r w:rsidRPr="00AA7DAB">
        <w:rPr>
          <w:rFonts w:ascii="Arial" w:hAnsi="Arial" w:cs="Arial"/>
          <w:sz w:val="24"/>
          <w:szCs w:val="24"/>
        </w:rPr>
        <w:t xml:space="preserve">             </w:t>
      </w:r>
      <w:r w:rsidRPr="00AA7DAB">
        <w:rPr>
          <w:rFonts w:ascii="Arial" w:hAnsi="Arial" w:cs="Arial"/>
          <w:lang w:val="pt-BR"/>
        </w:rPr>
        <w:t>It is essential to carry out more research on the subject in the North of the country, where studies have been carried out, but only regarding the professional opinion on the service or focused on Secondary Health Care. As they will provide adjustments in the units and consequently, the essential and derived attributes will be fulfilled and applied successfully.</w:t>
      </w:r>
    </w:p>
    <w:p w14:paraId="3EE39058" w14:textId="77777777" w:rsidR="00790ADA" w:rsidRPr="00FB3A86" w:rsidRDefault="00790ADA" w:rsidP="00441B6F">
      <w:pPr>
        <w:pStyle w:val="Body"/>
        <w:spacing w:after="0"/>
        <w:rPr>
          <w:rFonts w:ascii="Arial" w:hAnsi="Arial" w:cs="Arial"/>
        </w:rPr>
      </w:pPr>
    </w:p>
    <w:p w14:paraId="04D8E4BC" w14:textId="77777777" w:rsidR="00CE6C9C" w:rsidRDefault="00CE6C9C" w:rsidP="00AA7DAB">
      <w:pPr>
        <w:rPr>
          <w:rFonts w:ascii="Arial" w:hAnsi="Arial" w:cs="Arial"/>
          <w:lang w:val="pt-BR"/>
        </w:rPr>
      </w:pPr>
    </w:p>
    <w:p w14:paraId="3F31DD23" w14:textId="77777777" w:rsidR="00CE6C9C" w:rsidRPr="00CE6C9C" w:rsidRDefault="00CE6C9C" w:rsidP="00CE6C9C">
      <w:pPr>
        <w:spacing w:after="200" w:line="276" w:lineRule="auto"/>
        <w:jc w:val="both"/>
        <w:outlineLvl w:val="0"/>
        <w:rPr>
          <w:rFonts w:ascii="Arial" w:eastAsiaTheme="minorEastAsia" w:hAnsi="Arial" w:cs="Arial"/>
          <w:sz w:val="22"/>
          <w:szCs w:val="22"/>
          <w:lang w:val="en-GB" w:eastAsia="en-GB"/>
        </w:rPr>
      </w:pPr>
      <w:r w:rsidRPr="00CE6C9C">
        <w:rPr>
          <w:rFonts w:ascii="Arial" w:eastAsiaTheme="minorEastAsia" w:hAnsi="Arial" w:cs="Arial"/>
          <w:b/>
          <w:bCs/>
          <w:sz w:val="22"/>
          <w:szCs w:val="22"/>
          <w:lang w:val="en-GB" w:eastAsia="en-GB"/>
        </w:rPr>
        <w:t>COMPETING INTERESTS DISCLAIMER:</w:t>
      </w:r>
    </w:p>
    <w:p w14:paraId="76FD4CB9" w14:textId="77777777" w:rsidR="00CE6C9C" w:rsidRPr="00CE6C9C" w:rsidRDefault="00CE6C9C" w:rsidP="00CE6C9C">
      <w:pPr>
        <w:spacing w:after="200" w:line="276" w:lineRule="auto"/>
        <w:rPr>
          <w:rFonts w:asciiTheme="minorHAnsi" w:eastAsiaTheme="minorEastAsia" w:hAnsiTheme="minorHAnsi" w:cstheme="minorBidi"/>
          <w:sz w:val="22"/>
          <w:szCs w:val="22"/>
          <w:lang w:val="en-GB" w:eastAsia="en-GB"/>
        </w:rPr>
      </w:pPr>
      <w:r w:rsidRPr="00CE6C9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DA35313" w14:textId="77777777" w:rsidR="00CE6C9C" w:rsidRPr="00AA7DAB" w:rsidRDefault="00CE6C9C" w:rsidP="00AA7DAB">
      <w:pPr>
        <w:rPr>
          <w:rFonts w:ascii="Arial" w:hAnsi="Arial" w:cs="Arial"/>
          <w:lang w:val="pt-BR"/>
        </w:rPr>
      </w:pPr>
    </w:p>
    <w:p w14:paraId="612062C6" w14:textId="77777777" w:rsidR="00860000" w:rsidRDefault="00860000" w:rsidP="00441B6F">
      <w:pPr>
        <w:pStyle w:val="ReferHead"/>
        <w:spacing w:after="0"/>
        <w:jc w:val="both"/>
        <w:rPr>
          <w:rFonts w:ascii="Arial" w:hAnsi="Arial" w:cs="Arial"/>
        </w:rPr>
      </w:pPr>
    </w:p>
    <w:p w14:paraId="327A40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FB625F" w14:textId="77777777" w:rsidR="00790ADA" w:rsidRPr="00FB3A86" w:rsidRDefault="00790ADA" w:rsidP="00441B6F">
      <w:pPr>
        <w:pStyle w:val="ReferHead"/>
        <w:spacing w:after="0"/>
        <w:jc w:val="both"/>
        <w:rPr>
          <w:rFonts w:ascii="Arial" w:hAnsi="Arial" w:cs="Arial"/>
        </w:rPr>
      </w:pPr>
    </w:p>
    <w:p w14:paraId="4A68FA90" w14:textId="77777777" w:rsidR="0048209D" w:rsidRPr="0048209D" w:rsidRDefault="0048209D" w:rsidP="0048209D">
      <w:pPr>
        <w:pStyle w:val="Body"/>
        <w:rPr>
          <w:lang w:val="pt-BR"/>
        </w:rPr>
      </w:pPr>
      <w:r w:rsidRPr="0048209D">
        <w:rPr>
          <w:lang w:val="pt-BR"/>
        </w:rPr>
        <w:t>1. Bulgareli J, Cortellazzi KL, Ambrosano GMB, Meneghim MDC, de Faria ET, Mialhe FL, et al. Oral health problem-solving ability in primary care as a tool for evaluating care models. Science and Public Health. February 2014;19(2):383–91.</w:t>
      </w:r>
    </w:p>
    <w:p w14:paraId="38614626" w14:textId="77777777" w:rsidR="0048209D" w:rsidRPr="0048209D" w:rsidRDefault="0048209D" w:rsidP="0048209D">
      <w:pPr>
        <w:pStyle w:val="Body"/>
        <w:rPr>
          <w:lang w:val="pt-BR"/>
        </w:rPr>
      </w:pPr>
      <w:r w:rsidRPr="0048209D">
        <w:rPr>
          <w:lang w:val="pt-BR"/>
        </w:rPr>
        <w:t xml:space="preserve">2. Prates ML, Machado JC, Da Silva LS, Avelar PS, Prates LL, De Mendonça ET, et al. Primary health care performance according to the PCATool instrument: A systematic review. </w:t>
      </w:r>
      <w:r w:rsidRPr="0048209D">
        <w:rPr>
          <w:lang w:val="pt-BR"/>
        </w:rPr>
        <w:lastRenderedPageBreak/>
        <w:t>Vol. 22, Science and Public Health. Brazilian Association of Postgraduate Studies in Public Health; 2017. p. 1881–93.</w:t>
      </w:r>
    </w:p>
    <w:p w14:paraId="06CCDF7F" w14:textId="77777777" w:rsidR="0048209D" w:rsidRPr="0048209D" w:rsidRDefault="0048209D" w:rsidP="0048209D">
      <w:pPr>
        <w:pStyle w:val="Body"/>
        <w:rPr>
          <w:lang w:val="pt-BR"/>
        </w:rPr>
      </w:pPr>
      <w:r w:rsidRPr="0048209D">
        <w:rPr>
          <w:lang w:val="pt-BR"/>
        </w:rPr>
        <w:t>3. D’ávila Otávio HF. Evaluation of Oral Health Services in Primary Health Care: psychometric and exploratory analysis. UFRGS Lume Digital Repository [Internet]. June 2016 [cited 2023 Nov 1];01–125. Available from: https://lume.ufrgs.br/bitstream/handle/10183/147161/000999280.pdf?sequence=1</w:t>
      </w:r>
    </w:p>
    <w:p w14:paraId="7CA6CDBF" w14:textId="77777777" w:rsidR="0048209D" w:rsidRPr="0048209D" w:rsidRDefault="0048209D" w:rsidP="0048209D">
      <w:pPr>
        <w:pStyle w:val="Body"/>
        <w:rPr>
          <w:lang w:val="pt-BR"/>
        </w:rPr>
      </w:pPr>
      <w:r w:rsidRPr="0048209D">
        <w:rPr>
          <w:lang w:val="pt-BR"/>
        </w:rPr>
        <w:t>4. BUSS PM. Family health promotion. Brazilian Journal of Family Health [Internet]. December 2002 [cited 2023 Nov 21];2:50–63. Available from: https://bvsms.saude.gov.br/bvs/is_digital/is_0103/IS23(1)021.pdf</w:t>
      </w:r>
    </w:p>
    <w:p w14:paraId="26300496" w14:textId="77777777" w:rsidR="0048209D" w:rsidRPr="0048209D" w:rsidRDefault="0048209D" w:rsidP="0048209D">
      <w:pPr>
        <w:pStyle w:val="Body"/>
        <w:rPr>
          <w:lang w:val="pt-BR"/>
        </w:rPr>
      </w:pPr>
      <w:r w:rsidRPr="0048209D">
        <w:rPr>
          <w:lang w:val="pt-BR"/>
        </w:rPr>
        <w:t>5. Bastos LF, Hugo FN, Hilgert JB, Cardozo DD, Bulgarelli AF, dos Santos CM. Access to dental services and oral health-related quality of life in the context of primary health care. Braz Oral Res. 2019;33.</w:t>
      </w:r>
    </w:p>
    <w:p w14:paraId="1B2CAD0F" w14:textId="77777777" w:rsidR="0048209D" w:rsidRPr="0048209D" w:rsidRDefault="0048209D" w:rsidP="0048209D">
      <w:pPr>
        <w:pStyle w:val="Body"/>
        <w:rPr>
          <w:lang w:val="pt-BR"/>
        </w:rPr>
      </w:pPr>
      <w:r w:rsidRPr="0048209D">
        <w:rPr>
          <w:lang w:val="pt-BR"/>
        </w:rPr>
        <w:t>6. Amorim LDP, Senna MIB, Alencar GP, Rodrigues LG, De Paula JS, Ferreira RC. User satisfaction with public oral health services in the Brazilian Unified Health System. BMC Oral Health. 2019 Jun 25;19(1).</w:t>
      </w:r>
    </w:p>
    <w:p w14:paraId="1BF7E5A1" w14:textId="77777777" w:rsidR="0048209D" w:rsidRPr="0048209D" w:rsidRDefault="0048209D" w:rsidP="0048209D">
      <w:pPr>
        <w:pStyle w:val="Body"/>
        <w:rPr>
          <w:lang w:val="pt-BR"/>
        </w:rPr>
      </w:pPr>
      <w:r w:rsidRPr="0048209D">
        <w:rPr>
          <w:lang w:val="pt-BR"/>
        </w:rPr>
        <w:t>7. De Albuquerque MV, Viana AL d’Ávila, De Lima LD, Ferreira MP, Fusaro ER, Iozzi FL. Regional health inequalities: Changes observed in Brazil from 2000-2016. Ciencia e Saude Coletiva. 2017 Apr 1;22(4):1055–64.</w:t>
      </w:r>
    </w:p>
    <w:p w14:paraId="1031086A" w14:textId="77777777" w:rsidR="0048209D" w:rsidRPr="0048209D" w:rsidRDefault="0048209D" w:rsidP="0048209D">
      <w:pPr>
        <w:pStyle w:val="Body"/>
        <w:rPr>
          <w:lang w:val="pt-BR"/>
        </w:rPr>
      </w:pPr>
      <w:r w:rsidRPr="0048209D">
        <w:rPr>
          <w:lang w:val="pt-BR"/>
        </w:rPr>
        <w:t>8. Viacava F, Porto SM, Carvalho C de C, Bellido JG. Regional and social inequalities in health according to household surveys (Brazil, 1998-2013). Cien Saude Colet. 2019 Jul 22;24(7):2745–60.</w:t>
      </w:r>
    </w:p>
    <w:p w14:paraId="441C8374" w14:textId="77777777" w:rsidR="0048209D" w:rsidRPr="0048209D" w:rsidRDefault="0048209D" w:rsidP="0048209D">
      <w:pPr>
        <w:pStyle w:val="Body"/>
        <w:rPr>
          <w:lang w:val="pt-BR"/>
        </w:rPr>
      </w:pPr>
      <w:r w:rsidRPr="0048209D">
        <w:rPr>
          <w:lang w:val="pt-BR"/>
        </w:rPr>
        <w:t>9. Melo EA, Probst LF, Guerra LM, Tagliaferro EP da S, De-Carli AD, Pereira AC. Indicators for dental appointment scheduling in primary health care: a national cross-sectional study. BMC Public Health. 2021 Dec 1;21(1).</w:t>
      </w:r>
    </w:p>
    <w:p w14:paraId="14EBD4C8" w14:textId="77777777" w:rsidR="0048209D" w:rsidRPr="0048209D" w:rsidRDefault="0048209D" w:rsidP="0048209D">
      <w:pPr>
        <w:pStyle w:val="Body"/>
        <w:rPr>
          <w:lang w:val="pt-BR"/>
        </w:rPr>
      </w:pPr>
      <w:r w:rsidRPr="0048209D">
        <w:rPr>
          <w:lang w:val="pt-BR"/>
        </w:rPr>
        <w:t>10. Cardozo DD, Stein C, Hauser L, Fontanive LT, Harzheim E, Hugo FN. Validity and reliability of the brazilian primary care assessment tool: Oral health of adults. Revista Brasileira de Epidemiologia. 2020;23:1–11.</w:t>
      </w:r>
    </w:p>
    <w:p w14:paraId="364EB5C1" w14:textId="77777777" w:rsidR="0048209D" w:rsidRPr="0048209D" w:rsidRDefault="0048209D" w:rsidP="0048209D">
      <w:pPr>
        <w:pStyle w:val="Body"/>
        <w:rPr>
          <w:lang w:val="pt-BR"/>
        </w:rPr>
      </w:pPr>
      <w:r w:rsidRPr="0048209D">
        <w:rPr>
          <w:lang w:val="pt-BR"/>
        </w:rPr>
        <w:t>11. Mendonça HLC de, Szwarcwald CL, Damacena GN. Self-assessment of oral health: results from the World Health Survey – Primary Care in four cities of the State of Rio de Janeiro, Brazil, 2005. Cad Saude Publica [Internet]. October 2012;28(10):1927–38. Available from: http://www.scielo.br/scielo.php?script=sci_arttext&amp;pid=S0102-311X2012001000011&amp;lng=pt&amp;tlng=pt</w:t>
      </w:r>
    </w:p>
    <w:p w14:paraId="049F7054" w14:textId="77777777" w:rsidR="0048209D" w:rsidRPr="0048209D" w:rsidRDefault="0048209D" w:rsidP="0048209D">
      <w:pPr>
        <w:pStyle w:val="Body"/>
        <w:rPr>
          <w:lang w:val="pt-BR"/>
        </w:rPr>
      </w:pPr>
      <w:r w:rsidRPr="0048209D">
        <w:rPr>
          <w:lang w:val="pt-BR"/>
        </w:rPr>
        <w:t>12. Brunhauser AL, Magro ML, Neves M. Assessment of oral health services: a comparative study. Journal of the School of Dentistry - UPF [Internet]. December 10, 2013;18(1):24–31. Available at: http://www.upf.br/seer/index.php/rfo/article/view/2850</w:t>
      </w:r>
    </w:p>
    <w:p w14:paraId="73A4F75E" w14:textId="77777777" w:rsidR="0048209D" w:rsidRPr="0048209D" w:rsidRDefault="0048209D" w:rsidP="0048209D">
      <w:pPr>
        <w:pStyle w:val="Body"/>
        <w:rPr>
          <w:lang w:val="pt-BR"/>
        </w:rPr>
      </w:pPr>
      <w:r w:rsidRPr="0048209D">
        <w:rPr>
          <w:lang w:val="pt-BR"/>
        </w:rPr>
        <w:t>13. Bordin D, Fadel CB, Moimaz SAS, Garbin CAS, Saliba NA. Comparative study of user and health professionals’ satisfaction with the public dental service. Ciencia e Saude Coletiva. January 1, 2017;22(1):151–60.</w:t>
      </w:r>
    </w:p>
    <w:p w14:paraId="1AB2BB79" w14:textId="77777777" w:rsidR="0048209D" w:rsidRPr="0048209D" w:rsidRDefault="0048209D" w:rsidP="0048209D">
      <w:pPr>
        <w:pStyle w:val="Body"/>
        <w:rPr>
          <w:lang w:val="pt-BR"/>
        </w:rPr>
      </w:pPr>
      <w:r w:rsidRPr="0048209D">
        <w:rPr>
          <w:lang w:val="pt-BR"/>
        </w:rPr>
        <w:t>14. Bordin D, Fadel CB, Moimaz SAS, Garbin CAS, dos Santos CB, Saliba NA. User satisfaction with the public oral health services in the different dimensions of health care. Pesqui Bras Odontopediatria Clin Integr. January 1, 2017;17(1).</w:t>
      </w:r>
    </w:p>
    <w:p w14:paraId="55CEE134" w14:textId="77777777" w:rsidR="0048209D" w:rsidRPr="0048209D" w:rsidRDefault="0048209D" w:rsidP="0048209D">
      <w:pPr>
        <w:pStyle w:val="Body"/>
        <w:rPr>
          <w:lang w:val="pt-BR"/>
        </w:rPr>
      </w:pPr>
      <w:r w:rsidRPr="0048209D">
        <w:rPr>
          <w:lang w:val="pt-BR"/>
        </w:rPr>
        <w:lastRenderedPageBreak/>
        <w:t>15. Oliveira EJP, Nogueira DA, Pereira AA. Relationship between the perception of dental care and oral health conditions in hypertensive and diabetic patients. Ciencia e Saude Coletiva. 2018 Nov 1;23(11):3695–704.</w:t>
      </w:r>
    </w:p>
    <w:p w14:paraId="7CA27655" w14:textId="77777777" w:rsidR="0048209D" w:rsidRPr="0048209D" w:rsidRDefault="0048209D" w:rsidP="0048209D">
      <w:pPr>
        <w:pStyle w:val="Body"/>
        <w:rPr>
          <w:lang w:val="pt-BR"/>
        </w:rPr>
      </w:pPr>
      <w:r w:rsidRPr="0048209D">
        <w:rPr>
          <w:lang w:val="pt-BR"/>
        </w:rPr>
        <w:t>16. Aldosari MA, Tavares MA, Matta-Machado ATG, Abreu MHNG. Factors associated with patients’ satisfaction in Brazilian dental primary health care. PLoS One. 2017 Nov 1;12(11).</w:t>
      </w:r>
    </w:p>
    <w:p w14:paraId="7FA2910A" w14:textId="77777777" w:rsidR="0048209D" w:rsidRPr="0048209D" w:rsidRDefault="0048209D" w:rsidP="0048209D">
      <w:pPr>
        <w:pStyle w:val="Body"/>
        <w:rPr>
          <w:lang w:val="pt-BR"/>
        </w:rPr>
      </w:pPr>
      <w:r w:rsidRPr="0048209D">
        <w:rPr>
          <w:lang w:val="pt-BR"/>
        </w:rPr>
        <w:t>17. Gonçalves KF, Giordani JMDA, Bidinotto AB, Ferla AA, Martins AB, Hilgert JB. Oral healthcare utilization during prenatal care in primary healthcare: Data from PMAQ-AB. Ciencia e Saude Coletiva. 2020 Feb 1;25(2):519–32.</w:t>
      </w:r>
    </w:p>
    <w:p w14:paraId="1AA317B5" w14:textId="77777777" w:rsidR="0048209D" w:rsidRPr="0048209D" w:rsidRDefault="0048209D" w:rsidP="0048209D">
      <w:pPr>
        <w:pStyle w:val="Body"/>
        <w:rPr>
          <w:lang w:val="pt-BR"/>
        </w:rPr>
      </w:pPr>
      <w:r w:rsidRPr="0048209D">
        <w:rPr>
          <w:lang w:val="pt-BR"/>
        </w:rPr>
        <w:t>18. Nascimento AC, Moysés ST, Werneck RI, Gabardo MCL, Moysés SJ. Assessment of public oral healthcare services in Curitiba, Brazil: A cross-sectional study using the Primary Care Assessment Tool (PCATool). BMJOpen. January 1, 2019;9(1).</w:t>
      </w:r>
    </w:p>
    <w:p w14:paraId="7DD143F5" w14:textId="77777777" w:rsidR="0048209D" w:rsidRPr="0048209D" w:rsidRDefault="0048209D" w:rsidP="0048209D">
      <w:pPr>
        <w:pStyle w:val="Body"/>
        <w:rPr>
          <w:lang w:val="pt-BR"/>
        </w:rPr>
      </w:pPr>
      <w:r w:rsidRPr="0048209D">
        <w:rPr>
          <w:lang w:val="pt-BR"/>
        </w:rPr>
        <w:t>19. Rebelo Vieira JM, Rebelo MAB, Martins NM de O, Gomes JFF, Vettore MV. Contextual and individual determinants of non-utilization of dental services among Brazilian adults. J Public Health Dent. 2019 Dec 1;79(1):60–70.</w:t>
      </w:r>
    </w:p>
    <w:p w14:paraId="6028F999" w14:textId="77777777" w:rsidR="0048209D" w:rsidRPr="0048209D" w:rsidRDefault="0048209D" w:rsidP="0048209D">
      <w:pPr>
        <w:pStyle w:val="Body"/>
        <w:rPr>
          <w:lang w:val="pt-BR"/>
        </w:rPr>
      </w:pPr>
      <w:r w:rsidRPr="0048209D">
        <w:rPr>
          <w:lang w:val="pt-BR"/>
        </w:rPr>
        <w:t>20. Mialhe FL, Santos BL, Bado FMR, de Oliveira AJ, Soares GH. Association between oral health literacy and dental outcomes among users of primary healthcare services. Braz Oral Res. 2022;36.</w:t>
      </w:r>
    </w:p>
    <w:p w14:paraId="1EFC5C7E" w14:textId="77777777" w:rsidR="0048209D" w:rsidRPr="0048209D" w:rsidRDefault="0048209D" w:rsidP="0048209D">
      <w:pPr>
        <w:pStyle w:val="Body"/>
        <w:rPr>
          <w:lang w:val="pt-BR"/>
        </w:rPr>
      </w:pPr>
      <w:r w:rsidRPr="0048209D">
        <w:rPr>
          <w:lang w:val="pt-BR"/>
        </w:rPr>
        <w:t>21. Araújo R, Mendonça A, Sousa M. Perception of users and health professionals in the Federal District: the attributes of primary care. Health in Debate. 2015; 387-399.</w:t>
      </w:r>
    </w:p>
    <w:p w14:paraId="35D629F4" w14:textId="0682E827" w:rsidR="00441B6F" w:rsidRDefault="0048209D" w:rsidP="00441B6F">
      <w:pPr>
        <w:pStyle w:val="Body"/>
        <w:spacing w:after="0"/>
        <w:jc w:val="left"/>
      </w:pPr>
      <w:r w:rsidRPr="0048209D">
        <w:t>22.</w:t>
      </w:r>
      <w:r w:rsidRPr="0048209D">
        <w:tab/>
        <w:t xml:space="preserve">Maciel J, Silva R, Farias M et al. User assessment on attributes of primary oral health care in the Family Health Strategy. </w:t>
      </w:r>
      <w:proofErr w:type="spellStart"/>
      <w:r w:rsidRPr="0048209D">
        <w:t>Revista</w:t>
      </w:r>
      <w:proofErr w:type="spellEnd"/>
      <w:r w:rsidRPr="0048209D">
        <w:t xml:space="preserve"> de APS. 2021; 23(3).</w:t>
      </w:r>
    </w:p>
    <w:p w14:paraId="65123EA7" w14:textId="176B86AA" w:rsidR="004D4277" w:rsidRPr="00FB3A86" w:rsidRDefault="004D4277" w:rsidP="00441B6F">
      <w:pPr>
        <w:pStyle w:val="Appendix"/>
        <w:spacing w:after="0"/>
        <w:jc w:val="both"/>
        <w:rPr>
          <w:rFonts w:ascii="Arial" w:hAnsi="Arial" w:cs="Arial"/>
          <w:b w:val="0"/>
        </w:rPr>
        <w:sectPr w:rsidR="004D4277" w:rsidRPr="00FB3A86" w:rsidSect="000F421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7FA83CF" w14:textId="77777777" w:rsidR="00B01FCD" w:rsidRPr="00FB3A86" w:rsidRDefault="00B01FCD" w:rsidP="00441B6F">
      <w:pPr>
        <w:pStyle w:val="Appendix"/>
        <w:spacing w:after="0"/>
        <w:jc w:val="both"/>
        <w:rPr>
          <w:rFonts w:ascii="Arial" w:hAnsi="Arial" w:cs="Arial"/>
          <w:b w:val="0"/>
        </w:rPr>
      </w:pPr>
    </w:p>
    <w:sectPr w:rsidR="00B01FCD" w:rsidRPr="00FB3A86" w:rsidSect="000F42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E7DC" w14:textId="77777777" w:rsidR="00AF55CF" w:rsidRDefault="00AF55CF" w:rsidP="00C37E61">
      <w:r>
        <w:separator/>
      </w:r>
    </w:p>
  </w:endnote>
  <w:endnote w:type="continuationSeparator" w:id="0">
    <w:p w14:paraId="6FBCF101" w14:textId="77777777" w:rsidR="00AF55CF" w:rsidRDefault="00AF55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0CBA" w14:textId="77777777" w:rsidR="000F4215" w:rsidRDefault="000F4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2DAB" w14:textId="77777777" w:rsidR="000F4215" w:rsidRDefault="000F4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2C13" w14:textId="77777777" w:rsidR="009E048A" w:rsidRDefault="009E048A">
    <w:pPr>
      <w:pStyle w:val="Footer"/>
      <w:rPr>
        <w:rFonts w:ascii="Arial" w:hAnsi="Arial" w:cs="Arial"/>
        <w:sz w:val="16"/>
      </w:rPr>
    </w:pPr>
  </w:p>
  <w:p w14:paraId="33B9AC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C83CC" w14:textId="77777777" w:rsidR="009E048A" w:rsidRDefault="009E048A">
    <w:pPr>
      <w:pStyle w:val="Footer"/>
      <w:rPr>
        <w:rFonts w:ascii="Arial" w:hAnsi="Arial" w:cs="Arial"/>
        <w:sz w:val="16"/>
      </w:rPr>
    </w:pPr>
  </w:p>
  <w:p w14:paraId="47C918A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18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05C03" w14:textId="77777777" w:rsidR="00AF55CF" w:rsidRDefault="00AF55CF" w:rsidP="00C37E61">
      <w:r>
        <w:separator/>
      </w:r>
    </w:p>
  </w:footnote>
  <w:footnote w:type="continuationSeparator" w:id="0">
    <w:p w14:paraId="3A9EAA2D" w14:textId="77777777" w:rsidR="00AF55CF" w:rsidRDefault="00AF55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231B" w14:textId="356CF2C2" w:rsidR="000F4215" w:rsidRDefault="000F4215">
    <w:pPr>
      <w:pStyle w:val="Header"/>
    </w:pPr>
    <w:r>
      <w:rPr>
        <w:noProof/>
      </w:rPr>
      <w:pict w14:anchorId="5BBE7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99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7E2A" w14:textId="55B3F818" w:rsidR="000F4215" w:rsidRDefault="000F4215">
    <w:pPr>
      <w:pStyle w:val="Header"/>
    </w:pPr>
    <w:r>
      <w:rPr>
        <w:noProof/>
      </w:rPr>
      <w:pict w14:anchorId="63E4A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99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A116" w14:textId="37FAC4EB" w:rsidR="00296529" w:rsidRPr="00296529" w:rsidRDefault="000F4215" w:rsidP="00296529">
    <w:pPr>
      <w:ind w:left="2160"/>
      <w:jc w:val="center"/>
      <w:rPr>
        <w:rFonts w:ascii="Times New Roman" w:eastAsia="Calibri" w:hAnsi="Times New Roman"/>
        <w:i/>
        <w:sz w:val="18"/>
        <w:szCs w:val="22"/>
      </w:rPr>
    </w:pPr>
    <w:r>
      <w:rPr>
        <w:noProof/>
      </w:rPr>
      <w:pict w14:anchorId="3486F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99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488E6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8ADA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E7BA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FC4A6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BF45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EAA69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CAC1" w14:textId="3478070C" w:rsidR="000F4215" w:rsidRDefault="000F4215">
    <w:pPr>
      <w:pStyle w:val="Header"/>
    </w:pPr>
    <w:r>
      <w:rPr>
        <w:noProof/>
      </w:rPr>
      <w:pict w14:anchorId="38050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99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56EA" w14:textId="0088CF24" w:rsidR="000F4215" w:rsidRDefault="000F4215">
    <w:pPr>
      <w:pStyle w:val="Header"/>
    </w:pPr>
    <w:r>
      <w:rPr>
        <w:noProof/>
      </w:rPr>
      <w:pict w14:anchorId="71E5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99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0BA4" w14:textId="2498CB52" w:rsidR="000F4215" w:rsidRDefault="000F4215">
    <w:pPr>
      <w:pStyle w:val="Header"/>
    </w:pPr>
    <w:r>
      <w:rPr>
        <w:noProof/>
      </w:rPr>
      <w:pict w14:anchorId="62C46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99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350906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221907">
    <w:abstractNumId w:val="15"/>
  </w:num>
  <w:num w:numId="3" w16cid:durableId="949051804">
    <w:abstractNumId w:val="23"/>
  </w:num>
  <w:num w:numId="4" w16cid:durableId="5634147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0518883">
    <w:abstractNumId w:val="7"/>
  </w:num>
  <w:num w:numId="6" w16cid:durableId="2064404273">
    <w:abstractNumId w:val="6"/>
  </w:num>
  <w:num w:numId="7" w16cid:durableId="501165125">
    <w:abstractNumId w:val="1"/>
  </w:num>
  <w:num w:numId="8" w16cid:durableId="571742498">
    <w:abstractNumId w:val="12"/>
  </w:num>
  <w:num w:numId="9" w16cid:durableId="1278441033">
    <w:abstractNumId w:val="25"/>
  </w:num>
  <w:num w:numId="10" w16cid:durableId="826868704">
    <w:abstractNumId w:val="2"/>
  </w:num>
  <w:num w:numId="11" w16cid:durableId="604193547">
    <w:abstractNumId w:val="18"/>
  </w:num>
  <w:num w:numId="12" w16cid:durableId="360202926">
    <w:abstractNumId w:val="3"/>
  </w:num>
  <w:num w:numId="13" w16cid:durableId="968128428">
    <w:abstractNumId w:val="17"/>
  </w:num>
  <w:num w:numId="14" w16cid:durableId="355811183">
    <w:abstractNumId w:val="8"/>
  </w:num>
  <w:num w:numId="15" w16cid:durableId="2087026056">
    <w:abstractNumId w:val="21"/>
  </w:num>
  <w:num w:numId="16" w16cid:durableId="29769701">
    <w:abstractNumId w:val="5"/>
  </w:num>
  <w:num w:numId="17" w16cid:durableId="1198423630">
    <w:abstractNumId w:val="22"/>
  </w:num>
  <w:num w:numId="18" w16cid:durableId="2094088062">
    <w:abstractNumId w:val="14"/>
  </w:num>
  <w:num w:numId="19" w16cid:durableId="1685666132">
    <w:abstractNumId w:val="28"/>
  </w:num>
  <w:num w:numId="20" w16cid:durableId="1830292288">
    <w:abstractNumId w:val="11"/>
  </w:num>
  <w:num w:numId="21" w16cid:durableId="1484394456">
    <w:abstractNumId w:val="9"/>
  </w:num>
  <w:num w:numId="22" w16cid:durableId="517549243">
    <w:abstractNumId w:val="13"/>
  </w:num>
  <w:num w:numId="23" w16cid:durableId="1776242457">
    <w:abstractNumId w:val="19"/>
  </w:num>
  <w:num w:numId="24" w16cid:durableId="1769542169">
    <w:abstractNumId w:val="26"/>
  </w:num>
  <w:num w:numId="25" w16cid:durableId="622199602">
    <w:abstractNumId w:val="4"/>
  </w:num>
  <w:num w:numId="26" w16cid:durableId="1302418482">
    <w:abstractNumId w:val="16"/>
  </w:num>
  <w:num w:numId="27" w16cid:durableId="1955555894">
    <w:abstractNumId w:val="20"/>
  </w:num>
  <w:num w:numId="28" w16cid:durableId="1897204363">
    <w:abstractNumId w:val="27"/>
  </w:num>
  <w:num w:numId="29" w16cid:durableId="767313409">
    <w:abstractNumId w:val="24"/>
  </w:num>
  <w:num w:numId="30" w16cid:durableId="504049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E6B"/>
    <w:rsid w:val="00030174"/>
    <w:rsid w:val="0004579C"/>
    <w:rsid w:val="000A47FA"/>
    <w:rsid w:val="000A65D3"/>
    <w:rsid w:val="000B1E33"/>
    <w:rsid w:val="000C312C"/>
    <w:rsid w:val="000D689F"/>
    <w:rsid w:val="000E7B7B"/>
    <w:rsid w:val="000E7D62"/>
    <w:rsid w:val="000F4215"/>
    <w:rsid w:val="000F591C"/>
    <w:rsid w:val="001008F4"/>
    <w:rsid w:val="00103357"/>
    <w:rsid w:val="001133DF"/>
    <w:rsid w:val="00123C9F"/>
    <w:rsid w:val="00126190"/>
    <w:rsid w:val="00130F17"/>
    <w:rsid w:val="001320BF"/>
    <w:rsid w:val="00144EEE"/>
    <w:rsid w:val="00163BC4"/>
    <w:rsid w:val="00191062"/>
    <w:rsid w:val="00192B72"/>
    <w:rsid w:val="001A29D8"/>
    <w:rsid w:val="001A5CAA"/>
    <w:rsid w:val="001B0427"/>
    <w:rsid w:val="001D3A51"/>
    <w:rsid w:val="001E10D2"/>
    <w:rsid w:val="001E25B4"/>
    <w:rsid w:val="001E44FE"/>
    <w:rsid w:val="001F15F3"/>
    <w:rsid w:val="00200595"/>
    <w:rsid w:val="00204835"/>
    <w:rsid w:val="00231920"/>
    <w:rsid w:val="0023195C"/>
    <w:rsid w:val="0024282C"/>
    <w:rsid w:val="002460DC"/>
    <w:rsid w:val="00250985"/>
    <w:rsid w:val="002556F6"/>
    <w:rsid w:val="00266C0B"/>
    <w:rsid w:val="0028093B"/>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C4A"/>
    <w:rsid w:val="00423789"/>
    <w:rsid w:val="00440F43"/>
    <w:rsid w:val="00441B6F"/>
    <w:rsid w:val="00446221"/>
    <w:rsid w:val="00450E62"/>
    <w:rsid w:val="004539DB"/>
    <w:rsid w:val="00471A80"/>
    <w:rsid w:val="0048209D"/>
    <w:rsid w:val="00484E63"/>
    <w:rsid w:val="004B2C2C"/>
    <w:rsid w:val="004C7B5D"/>
    <w:rsid w:val="004D305E"/>
    <w:rsid w:val="004D4277"/>
    <w:rsid w:val="00502516"/>
    <w:rsid w:val="00505F06"/>
    <w:rsid w:val="00506828"/>
    <w:rsid w:val="0052508B"/>
    <w:rsid w:val="0053056E"/>
    <w:rsid w:val="005307E9"/>
    <w:rsid w:val="0053682D"/>
    <w:rsid w:val="00554FDA"/>
    <w:rsid w:val="005741B6"/>
    <w:rsid w:val="00593034"/>
    <w:rsid w:val="005C784C"/>
    <w:rsid w:val="005D01CF"/>
    <w:rsid w:val="005D17F6"/>
    <w:rsid w:val="005E264B"/>
    <w:rsid w:val="005E5539"/>
    <w:rsid w:val="00602BF5"/>
    <w:rsid w:val="0060604C"/>
    <w:rsid w:val="00617FDD"/>
    <w:rsid w:val="00633614"/>
    <w:rsid w:val="00633F68"/>
    <w:rsid w:val="00636EB2"/>
    <w:rsid w:val="006375B8"/>
    <w:rsid w:val="0066510A"/>
    <w:rsid w:val="00673F9F"/>
    <w:rsid w:val="00686953"/>
    <w:rsid w:val="00687DEA"/>
    <w:rsid w:val="00687E67"/>
    <w:rsid w:val="006967F7"/>
    <w:rsid w:val="006A250C"/>
    <w:rsid w:val="006A2D8A"/>
    <w:rsid w:val="006A315F"/>
    <w:rsid w:val="006B21D3"/>
    <w:rsid w:val="006B57D0"/>
    <w:rsid w:val="006C0C56"/>
    <w:rsid w:val="006D30FF"/>
    <w:rsid w:val="006D6940"/>
    <w:rsid w:val="006F11EC"/>
    <w:rsid w:val="0070082C"/>
    <w:rsid w:val="00726080"/>
    <w:rsid w:val="007369E6"/>
    <w:rsid w:val="00737411"/>
    <w:rsid w:val="00746E59"/>
    <w:rsid w:val="00750045"/>
    <w:rsid w:val="00754C9A"/>
    <w:rsid w:val="0075599A"/>
    <w:rsid w:val="00761D52"/>
    <w:rsid w:val="00773919"/>
    <w:rsid w:val="0077749E"/>
    <w:rsid w:val="00784A49"/>
    <w:rsid w:val="00790ADA"/>
    <w:rsid w:val="00797D2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E7162"/>
    <w:rsid w:val="008F69D6"/>
    <w:rsid w:val="00902823"/>
    <w:rsid w:val="00914FF3"/>
    <w:rsid w:val="00915315"/>
    <w:rsid w:val="00915CA6"/>
    <w:rsid w:val="00927834"/>
    <w:rsid w:val="00941CA5"/>
    <w:rsid w:val="00946375"/>
    <w:rsid w:val="009500A6"/>
    <w:rsid w:val="00957C18"/>
    <w:rsid w:val="009659BA"/>
    <w:rsid w:val="00971FE2"/>
    <w:rsid w:val="00983040"/>
    <w:rsid w:val="00994F78"/>
    <w:rsid w:val="009A36EE"/>
    <w:rsid w:val="009B3FB9"/>
    <w:rsid w:val="009B6D2B"/>
    <w:rsid w:val="009C2465"/>
    <w:rsid w:val="009D35A0"/>
    <w:rsid w:val="009D7EB7"/>
    <w:rsid w:val="009E048A"/>
    <w:rsid w:val="009E08E9"/>
    <w:rsid w:val="009E3DB9"/>
    <w:rsid w:val="009E6E35"/>
    <w:rsid w:val="009F0EDA"/>
    <w:rsid w:val="00A03B96"/>
    <w:rsid w:val="00A05B19"/>
    <w:rsid w:val="00A1134E"/>
    <w:rsid w:val="00A1330E"/>
    <w:rsid w:val="00A24E7E"/>
    <w:rsid w:val="00A258C3"/>
    <w:rsid w:val="00A347C0"/>
    <w:rsid w:val="00A51431"/>
    <w:rsid w:val="00A539AD"/>
    <w:rsid w:val="00A744B9"/>
    <w:rsid w:val="00A94063"/>
    <w:rsid w:val="00AA6219"/>
    <w:rsid w:val="00AA74E0"/>
    <w:rsid w:val="00AA7DAB"/>
    <w:rsid w:val="00AB703F"/>
    <w:rsid w:val="00AC6BB8"/>
    <w:rsid w:val="00AE008F"/>
    <w:rsid w:val="00AE1AA7"/>
    <w:rsid w:val="00AF3163"/>
    <w:rsid w:val="00AF55CF"/>
    <w:rsid w:val="00B01FCD"/>
    <w:rsid w:val="00B06352"/>
    <w:rsid w:val="00B1776C"/>
    <w:rsid w:val="00B52583"/>
    <w:rsid w:val="00B52896"/>
    <w:rsid w:val="00B95236"/>
    <w:rsid w:val="00B96BD9"/>
    <w:rsid w:val="00BA1B01"/>
    <w:rsid w:val="00BA2641"/>
    <w:rsid w:val="00BA3E78"/>
    <w:rsid w:val="00BB2395"/>
    <w:rsid w:val="00BB37AA"/>
    <w:rsid w:val="00BC53A0"/>
    <w:rsid w:val="00BE09FF"/>
    <w:rsid w:val="00BE62AD"/>
    <w:rsid w:val="00BF121F"/>
    <w:rsid w:val="00BF1F80"/>
    <w:rsid w:val="00C034F4"/>
    <w:rsid w:val="00C166EF"/>
    <w:rsid w:val="00C17EB0"/>
    <w:rsid w:val="00C27A03"/>
    <w:rsid w:val="00C27F5F"/>
    <w:rsid w:val="00C30A0F"/>
    <w:rsid w:val="00C37E61"/>
    <w:rsid w:val="00C6559D"/>
    <w:rsid w:val="00C70F1B"/>
    <w:rsid w:val="00C71A47"/>
    <w:rsid w:val="00C7464C"/>
    <w:rsid w:val="00C74AED"/>
    <w:rsid w:val="00C85588"/>
    <w:rsid w:val="00CD6755"/>
    <w:rsid w:val="00CD6856"/>
    <w:rsid w:val="00CE0089"/>
    <w:rsid w:val="00CE6C9C"/>
    <w:rsid w:val="00CE793C"/>
    <w:rsid w:val="00CF193C"/>
    <w:rsid w:val="00D173F1"/>
    <w:rsid w:val="00D475C5"/>
    <w:rsid w:val="00D74CB0"/>
    <w:rsid w:val="00D8295D"/>
    <w:rsid w:val="00D83A62"/>
    <w:rsid w:val="00DC2A65"/>
    <w:rsid w:val="00DE029B"/>
    <w:rsid w:val="00DE15F0"/>
    <w:rsid w:val="00DE5663"/>
    <w:rsid w:val="00DE78AA"/>
    <w:rsid w:val="00DF7098"/>
    <w:rsid w:val="00E04237"/>
    <w:rsid w:val="00E053D0"/>
    <w:rsid w:val="00E130F2"/>
    <w:rsid w:val="00E15994"/>
    <w:rsid w:val="00E21CC2"/>
    <w:rsid w:val="00E3114E"/>
    <w:rsid w:val="00E31A70"/>
    <w:rsid w:val="00E35B02"/>
    <w:rsid w:val="00E471D8"/>
    <w:rsid w:val="00E5670E"/>
    <w:rsid w:val="00E66496"/>
    <w:rsid w:val="00E66B35"/>
    <w:rsid w:val="00E66E10"/>
    <w:rsid w:val="00E769F6"/>
    <w:rsid w:val="00E8407C"/>
    <w:rsid w:val="00E84F3C"/>
    <w:rsid w:val="00EA012C"/>
    <w:rsid w:val="00EA0F2B"/>
    <w:rsid w:val="00EB1716"/>
    <w:rsid w:val="00EC6A55"/>
    <w:rsid w:val="00ED0288"/>
    <w:rsid w:val="00EE52CB"/>
    <w:rsid w:val="00EF581D"/>
    <w:rsid w:val="00EF7FD8"/>
    <w:rsid w:val="00F06F59"/>
    <w:rsid w:val="00F17988"/>
    <w:rsid w:val="00F469F0"/>
    <w:rsid w:val="00F53273"/>
    <w:rsid w:val="00F755E4"/>
    <w:rsid w:val="00F77D02"/>
    <w:rsid w:val="00F87953"/>
    <w:rsid w:val="00F90169"/>
    <w:rsid w:val="00FA18DD"/>
    <w:rsid w:val="00FB3A86"/>
    <w:rsid w:val="00FD36C8"/>
    <w:rsid w:val="00FD48A4"/>
    <w:rsid w:val="00FF6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1471B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F15F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9811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840533">
      <w:bodyDiv w:val="1"/>
      <w:marLeft w:val="0"/>
      <w:marRight w:val="0"/>
      <w:marTop w:val="0"/>
      <w:marBottom w:val="0"/>
      <w:divBdr>
        <w:top w:val="none" w:sz="0" w:space="0" w:color="auto"/>
        <w:left w:val="none" w:sz="0" w:space="0" w:color="auto"/>
        <w:bottom w:val="none" w:sz="0" w:space="0" w:color="auto"/>
        <w:right w:val="none" w:sz="0" w:space="0" w:color="auto"/>
      </w:divBdr>
    </w:div>
    <w:div w:id="23543221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144359">
      <w:bodyDiv w:val="1"/>
      <w:marLeft w:val="0"/>
      <w:marRight w:val="0"/>
      <w:marTop w:val="0"/>
      <w:marBottom w:val="0"/>
      <w:divBdr>
        <w:top w:val="none" w:sz="0" w:space="0" w:color="auto"/>
        <w:left w:val="none" w:sz="0" w:space="0" w:color="auto"/>
        <w:bottom w:val="none" w:sz="0" w:space="0" w:color="auto"/>
        <w:right w:val="none" w:sz="0" w:space="0" w:color="auto"/>
      </w:divBdr>
    </w:div>
    <w:div w:id="399254916">
      <w:bodyDiv w:val="1"/>
      <w:marLeft w:val="0"/>
      <w:marRight w:val="0"/>
      <w:marTop w:val="0"/>
      <w:marBottom w:val="0"/>
      <w:divBdr>
        <w:top w:val="none" w:sz="0" w:space="0" w:color="auto"/>
        <w:left w:val="none" w:sz="0" w:space="0" w:color="auto"/>
        <w:bottom w:val="none" w:sz="0" w:space="0" w:color="auto"/>
        <w:right w:val="none" w:sz="0" w:space="0" w:color="auto"/>
      </w:divBdr>
    </w:div>
    <w:div w:id="518857075">
      <w:bodyDiv w:val="1"/>
      <w:marLeft w:val="0"/>
      <w:marRight w:val="0"/>
      <w:marTop w:val="0"/>
      <w:marBottom w:val="0"/>
      <w:divBdr>
        <w:top w:val="none" w:sz="0" w:space="0" w:color="auto"/>
        <w:left w:val="none" w:sz="0" w:space="0" w:color="auto"/>
        <w:bottom w:val="none" w:sz="0" w:space="0" w:color="auto"/>
        <w:right w:val="none" w:sz="0" w:space="0" w:color="auto"/>
      </w:divBdr>
    </w:div>
    <w:div w:id="526255710">
      <w:bodyDiv w:val="1"/>
      <w:marLeft w:val="0"/>
      <w:marRight w:val="0"/>
      <w:marTop w:val="0"/>
      <w:marBottom w:val="0"/>
      <w:divBdr>
        <w:top w:val="none" w:sz="0" w:space="0" w:color="auto"/>
        <w:left w:val="none" w:sz="0" w:space="0" w:color="auto"/>
        <w:bottom w:val="none" w:sz="0" w:space="0" w:color="auto"/>
        <w:right w:val="none" w:sz="0" w:space="0" w:color="auto"/>
      </w:divBdr>
    </w:div>
    <w:div w:id="541795441">
      <w:bodyDiv w:val="1"/>
      <w:marLeft w:val="0"/>
      <w:marRight w:val="0"/>
      <w:marTop w:val="0"/>
      <w:marBottom w:val="0"/>
      <w:divBdr>
        <w:top w:val="none" w:sz="0" w:space="0" w:color="auto"/>
        <w:left w:val="none" w:sz="0" w:space="0" w:color="auto"/>
        <w:bottom w:val="none" w:sz="0" w:space="0" w:color="auto"/>
        <w:right w:val="none" w:sz="0" w:space="0" w:color="auto"/>
      </w:divBdr>
    </w:div>
    <w:div w:id="5522728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3535923">
      <w:bodyDiv w:val="1"/>
      <w:marLeft w:val="0"/>
      <w:marRight w:val="0"/>
      <w:marTop w:val="0"/>
      <w:marBottom w:val="0"/>
      <w:divBdr>
        <w:top w:val="none" w:sz="0" w:space="0" w:color="auto"/>
        <w:left w:val="none" w:sz="0" w:space="0" w:color="auto"/>
        <w:bottom w:val="none" w:sz="0" w:space="0" w:color="auto"/>
        <w:right w:val="none" w:sz="0" w:space="0" w:color="auto"/>
      </w:divBdr>
    </w:div>
    <w:div w:id="682754241">
      <w:bodyDiv w:val="1"/>
      <w:marLeft w:val="0"/>
      <w:marRight w:val="0"/>
      <w:marTop w:val="0"/>
      <w:marBottom w:val="0"/>
      <w:divBdr>
        <w:top w:val="none" w:sz="0" w:space="0" w:color="auto"/>
        <w:left w:val="none" w:sz="0" w:space="0" w:color="auto"/>
        <w:bottom w:val="none" w:sz="0" w:space="0" w:color="auto"/>
        <w:right w:val="none" w:sz="0" w:space="0" w:color="auto"/>
      </w:divBdr>
    </w:div>
    <w:div w:id="757941448">
      <w:bodyDiv w:val="1"/>
      <w:marLeft w:val="0"/>
      <w:marRight w:val="0"/>
      <w:marTop w:val="0"/>
      <w:marBottom w:val="0"/>
      <w:divBdr>
        <w:top w:val="none" w:sz="0" w:space="0" w:color="auto"/>
        <w:left w:val="none" w:sz="0" w:space="0" w:color="auto"/>
        <w:bottom w:val="none" w:sz="0" w:space="0" w:color="auto"/>
        <w:right w:val="none" w:sz="0" w:space="0" w:color="auto"/>
      </w:divBdr>
    </w:div>
    <w:div w:id="768042055">
      <w:bodyDiv w:val="1"/>
      <w:marLeft w:val="0"/>
      <w:marRight w:val="0"/>
      <w:marTop w:val="0"/>
      <w:marBottom w:val="0"/>
      <w:divBdr>
        <w:top w:val="none" w:sz="0" w:space="0" w:color="auto"/>
        <w:left w:val="none" w:sz="0" w:space="0" w:color="auto"/>
        <w:bottom w:val="none" w:sz="0" w:space="0" w:color="auto"/>
        <w:right w:val="none" w:sz="0" w:space="0" w:color="auto"/>
      </w:divBdr>
    </w:div>
    <w:div w:id="808286232">
      <w:bodyDiv w:val="1"/>
      <w:marLeft w:val="0"/>
      <w:marRight w:val="0"/>
      <w:marTop w:val="0"/>
      <w:marBottom w:val="0"/>
      <w:divBdr>
        <w:top w:val="none" w:sz="0" w:space="0" w:color="auto"/>
        <w:left w:val="none" w:sz="0" w:space="0" w:color="auto"/>
        <w:bottom w:val="none" w:sz="0" w:space="0" w:color="auto"/>
        <w:right w:val="none" w:sz="0" w:space="0" w:color="auto"/>
      </w:divBdr>
    </w:div>
    <w:div w:id="840897949">
      <w:bodyDiv w:val="1"/>
      <w:marLeft w:val="0"/>
      <w:marRight w:val="0"/>
      <w:marTop w:val="0"/>
      <w:marBottom w:val="0"/>
      <w:divBdr>
        <w:top w:val="none" w:sz="0" w:space="0" w:color="auto"/>
        <w:left w:val="none" w:sz="0" w:space="0" w:color="auto"/>
        <w:bottom w:val="none" w:sz="0" w:space="0" w:color="auto"/>
        <w:right w:val="none" w:sz="0" w:space="0" w:color="auto"/>
      </w:divBdr>
    </w:div>
    <w:div w:id="910575323">
      <w:bodyDiv w:val="1"/>
      <w:marLeft w:val="0"/>
      <w:marRight w:val="0"/>
      <w:marTop w:val="0"/>
      <w:marBottom w:val="0"/>
      <w:divBdr>
        <w:top w:val="none" w:sz="0" w:space="0" w:color="auto"/>
        <w:left w:val="none" w:sz="0" w:space="0" w:color="auto"/>
        <w:bottom w:val="none" w:sz="0" w:space="0" w:color="auto"/>
        <w:right w:val="none" w:sz="0" w:space="0" w:color="auto"/>
      </w:divBdr>
    </w:div>
    <w:div w:id="96824508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486360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4653539">
      <w:bodyDiv w:val="1"/>
      <w:marLeft w:val="0"/>
      <w:marRight w:val="0"/>
      <w:marTop w:val="0"/>
      <w:marBottom w:val="0"/>
      <w:divBdr>
        <w:top w:val="none" w:sz="0" w:space="0" w:color="auto"/>
        <w:left w:val="none" w:sz="0" w:space="0" w:color="auto"/>
        <w:bottom w:val="none" w:sz="0" w:space="0" w:color="auto"/>
        <w:right w:val="none" w:sz="0" w:space="0" w:color="auto"/>
      </w:divBdr>
    </w:div>
    <w:div w:id="1024094748">
      <w:bodyDiv w:val="1"/>
      <w:marLeft w:val="0"/>
      <w:marRight w:val="0"/>
      <w:marTop w:val="0"/>
      <w:marBottom w:val="0"/>
      <w:divBdr>
        <w:top w:val="none" w:sz="0" w:space="0" w:color="auto"/>
        <w:left w:val="none" w:sz="0" w:space="0" w:color="auto"/>
        <w:bottom w:val="none" w:sz="0" w:space="0" w:color="auto"/>
        <w:right w:val="none" w:sz="0" w:space="0" w:color="auto"/>
      </w:divBdr>
    </w:div>
    <w:div w:id="1028800090">
      <w:bodyDiv w:val="1"/>
      <w:marLeft w:val="0"/>
      <w:marRight w:val="0"/>
      <w:marTop w:val="0"/>
      <w:marBottom w:val="0"/>
      <w:divBdr>
        <w:top w:val="none" w:sz="0" w:space="0" w:color="auto"/>
        <w:left w:val="none" w:sz="0" w:space="0" w:color="auto"/>
        <w:bottom w:val="none" w:sz="0" w:space="0" w:color="auto"/>
        <w:right w:val="none" w:sz="0" w:space="0" w:color="auto"/>
      </w:divBdr>
    </w:div>
    <w:div w:id="1043748430">
      <w:bodyDiv w:val="1"/>
      <w:marLeft w:val="0"/>
      <w:marRight w:val="0"/>
      <w:marTop w:val="0"/>
      <w:marBottom w:val="0"/>
      <w:divBdr>
        <w:top w:val="none" w:sz="0" w:space="0" w:color="auto"/>
        <w:left w:val="none" w:sz="0" w:space="0" w:color="auto"/>
        <w:bottom w:val="none" w:sz="0" w:space="0" w:color="auto"/>
        <w:right w:val="none" w:sz="0" w:space="0" w:color="auto"/>
      </w:divBdr>
    </w:div>
    <w:div w:id="104413287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0337969">
      <w:bodyDiv w:val="1"/>
      <w:marLeft w:val="0"/>
      <w:marRight w:val="0"/>
      <w:marTop w:val="0"/>
      <w:marBottom w:val="0"/>
      <w:divBdr>
        <w:top w:val="none" w:sz="0" w:space="0" w:color="auto"/>
        <w:left w:val="none" w:sz="0" w:space="0" w:color="auto"/>
        <w:bottom w:val="none" w:sz="0" w:space="0" w:color="auto"/>
        <w:right w:val="none" w:sz="0" w:space="0" w:color="auto"/>
      </w:divBdr>
    </w:div>
    <w:div w:id="1224415081">
      <w:bodyDiv w:val="1"/>
      <w:marLeft w:val="0"/>
      <w:marRight w:val="0"/>
      <w:marTop w:val="0"/>
      <w:marBottom w:val="0"/>
      <w:divBdr>
        <w:top w:val="none" w:sz="0" w:space="0" w:color="auto"/>
        <w:left w:val="none" w:sz="0" w:space="0" w:color="auto"/>
        <w:bottom w:val="none" w:sz="0" w:space="0" w:color="auto"/>
        <w:right w:val="none" w:sz="0" w:space="0" w:color="auto"/>
      </w:divBdr>
    </w:div>
    <w:div w:id="1269696435">
      <w:bodyDiv w:val="1"/>
      <w:marLeft w:val="0"/>
      <w:marRight w:val="0"/>
      <w:marTop w:val="0"/>
      <w:marBottom w:val="0"/>
      <w:divBdr>
        <w:top w:val="none" w:sz="0" w:space="0" w:color="auto"/>
        <w:left w:val="none" w:sz="0" w:space="0" w:color="auto"/>
        <w:bottom w:val="none" w:sz="0" w:space="0" w:color="auto"/>
        <w:right w:val="none" w:sz="0" w:space="0" w:color="auto"/>
      </w:divBdr>
    </w:div>
    <w:div w:id="1328098426">
      <w:bodyDiv w:val="1"/>
      <w:marLeft w:val="0"/>
      <w:marRight w:val="0"/>
      <w:marTop w:val="0"/>
      <w:marBottom w:val="0"/>
      <w:divBdr>
        <w:top w:val="none" w:sz="0" w:space="0" w:color="auto"/>
        <w:left w:val="none" w:sz="0" w:space="0" w:color="auto"/>
        <w:bottom w:val="none" w:sz="0" w:space="0" w:color="auto"/>
        <w:right w:val="none" w:sz="0" w:space="0" w:color="auto"/>
      </w:divBdr>
    </w:div>
    <w:div w:id="1329673543">
      <w:bodyDiv w:val="1"/>
      <w:marLeft w:val="0"/>
      <w:marRight w:val="0"/>
      <w:marTop w:val="0"/>
      <w:marBottom w:val="0"/>
      <w:divBdr>
        <w:top w:val="none" w:sz="0" w:space="0" w:color="auto"/>
        <w:left w:val="none" w:sz="0" w:space="0" w:color="auto"/>
        <w:bottom w:val="none" w:sz="0" w:space="0" w:color="auto"/>
        <w:right w:val="none" w:sz="0" w:space="0" w:color="auto"/>
      </w:divBdr>
    </w:div>
    <w:div w:id="1332680063">
      <w:bodyDiv w:val="1"/>
      <w:marLeft w:val="0"/>
      <w:marRight w:val="0"/>
      <w:marTop w:val="0"/>
      <w:marBottom w:val="0"/>
      <w:divBdr>
        <w:top w:val="none" w:sz="0" w:space="0" w:color="auto"/>
        <w:left w:val="none" w:sz="0" w:space="0" w:color="auto"/>
        <w:bottom w:val="none" w:sz="0" w:space="0" w:color="auto"/>
        <w:right w:val="none" w:sz="0" w:space="0" w:color="auto"/>
      </w:divBdr>
    </w:div>
    <w:div w:id="1334727424">
      <w:bodyDiv w:val="1"/>
      <w:marLeft w:val="0"/>
      <w:marRight w:val="0"/>
      <w:marTop w:val="0"/>
      <w:marBottom w:val="0"/>
      <w:divBdr>
        <w:top w:val="none" w:sz="0" w:space="0" w:color="auto"/>
        <w:left w:val="none" w:sz="0" w:space="0" w:color="auto"/>
        <w:bottom w:val="none" w:sz="0" w:space="0" w:color="auto"/>
        <w:right w:val="none" w:sz="0" w:space="0" w:color="auto"/>
      </w:divBdr>
    </w:div>
    <w:div w:id="1381058362">
      <w:bodyDiv w:val="1"/>
      <w:marLeft w:val="0"/>
      <w:marRight w:val="0"/>
      <w:marTop w:val="0"/>
      <w:marBottom w:val="0"/>
      <w:divBdr>
        <w:top w:val="none" w:sz="0" w:space="0" w:color="auto"/>
        <w:left w:val="none" w:sz="0" w:space="0" w:color="auto"/>
        <w:bottom w:val="none" w:sz="0" w:space="0" w:color="auto"/>
        <w:right w:val="none" w:sz="0" w:space="0" w:color="auto"/>
      </w:divBdr>
    </w:div>
    <w:div w:id="1426028017">
      <w:bodyDiv w:val="1"/>
      <w:marLeft w:val="0"/>
      <w:marRight w:val="0"/>
      <w:marTop w:val="0"/>
      <w:marBottom w:val="0"/>
      <w:divBdr>
        <w:top w:val="none" w:sz="0" w:space="0" w:color="auto"/>
        <w:left w:val="none" w:sz="0" w:space="0" w:color="auto"/>
        <w:bottom w:val="none" w:sz="0" w:space="0" w:color="auto"/>
        <w:right w:val="none" w:sz="0" w:space="0" w:color="auto"/>
      </w:divBdr>
    </w:div>
    <w:div w:id="1472557512">
      <w:bodyDiv w:val="1"/>
      <w:marLeft w:val="0"/>
      <w:marRight w:val="0"/>
      <w:marTop w:val="0"/>
      <w:marBottom w:val="0"/>
      <w:divBdr>
        <w:top w:val="none" w:sz="0" w:space="0" w:color="auto"/>
        <w:left w:val="none" w:sz="0" w:space="0" w:color="auto"/>
        <w:bottom w:val="none" w:sz="0" w:space="0" w:color="auto"/>
        <w:right w:val="none" w:sz="0" w:space="0" w:color="auto"/>
      </w:divBdr>
    </w:div>
    <w:div w:id="1518152353">
      <w:bodyDiv w:val="1"/>
      <w:marLeft w:val="0"/>
      <w:marRight w:val="0"/>
      <w:marTop w:val="0"/>
      <w:marBottom w:val="0"/>
      <w:divBdr>
        <w:top w:val="none" w:sz="0" w:space="0" w:color="auto"/>
        <w:left w:val="none" w:sz="0" w:space="0" w:color="auto"/>
        <w:bottom w:val="none" w:sz="0" w:space="0" w:color="auto"/>
        <w:right w:val="none" w:sz="0" w:space="0" w:color="auto"/>
      </w:divBdr>
    </w:div>
    <w:div w:id="1615670865">
      <w:bodyDiv w:val="1"/>
      <w:marLeft w:val="0"/>
      <w:marRight w:val="0"/>
      <w:marTop w:val="0"/>
      <w:marBottom w:val="0"/>
      <w:divBdr>
        <w:top w:val="none" w:sz="0" w:space="0" w:color="auto"/>
        <w:left w:val="none" w:sz="0" w:space="0" w:color="auto"/>
        <w:bottom w:val="none" w:sz="0" w:space="0" w:color="auto"/>
        <w:right w:val="none" w:sz="0" w:space="0" w:color="auto"/>
      </w:divBdr>
    </w:div>
    <w:div w:id="168034679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9834351">
      <w:bodyDiv w:val="1"/>
      <w:marLeft w:val="0"/>
      <w:marRight w:val="0"/>
      <w:marTop w:val="0"/>
      <w:marBottom w:val="0"/>
      <w:divBdr>
        <w:top w:val="none" w:sz="0" w:space="0" w:color="auto"/>
        <w:left w:val="none" w:sz="0" w:space="0" w:color="auto"/>
        <w:bottom w:val="none" w:sz="0" w:space="0" w:color="auto"/>
        <w:right w:val="none" w:sz="0" w:space="0" w:color="auto"/>
      </w:divBdr>
    </w:div>
    <w:div w:id="1888296185">
      <w:bodyDiv w:val="1"/>
      <w:marLeft w:val="0"/>
      <w:marRight w:val="0"/>
      <w:marTop w:val="0"/>
      <w:marBottom w:val="0"/>
      <w:divBdr>
        <w:top w:val="none" w:sz="0" w:space="0" w:color="auto"/>
        <w:left w:val="none" w:sz="0" w:space="0" w:color="auto"/>
        <w:bottom w:val="none" w:sz="0" w:space="0" w:color="auto"/>
        <w:right w:val="none" w:sz="0" w:space="0" w:color="auto"/>
      </w:divBdr>
    </w:div>
    <w:div w:id="189662203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629868">
      <w:bodyDiv w:val="1"/>
      <w:marLeft w:val="0"/>
      <w:marRight w:val="0"/>
      <w:marTop w:val="0"/>
      <w:marBottom w:val="0"/>
      <w:divBdr>
        <w:top w:val="none" w:sz="0" w:space="0" w:color="auto"/>
        <w:left w:val="none" w:sz="0" w:space="0" w:color="auto"/>
        <w:bottom w:val="none" w:sz="0" w:space="0" w:color="auto"/>
        <w:right w:val="none" w:sz="0" w:space="0" w:color="auto"/>
      </w:divBdr>
    </w:div>
    <w:div w:id="21064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1693</TotalTime>
  <Pages>11</Pages>
  <Words>4837</Words>
  <Characters>27571</Characters>
  <Application>Microsoft Office Word</Application>
  <DocSecurity>0</DocSecurity>
  <Lines>229</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32344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67</cp:revision>
  <cp:lastPrinted>1999-07-06T11:00:00Z</cp:lastPrinted>
  <dcterms:created xsi:type="dcterms:W3CDTF">2025-06-06T14:34:00Z</dcterms:created>
  <dcterms:modified xsi:type="dcterms:W3CDTF">2025-06-09T05:43:00Z</dcterms:modified>
</cp:coreProperties>
</file>