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AE9D79" w14:textId="77777777" w:rsidR="00EC04BD" w:rsidRPr="00095D50" w:rsidRDefault="0063768D" w:rsidP="00EC04BD">
      <w:pPr>
        <w:jc w:val="both"/>
        <w:rPr>
          <w:rFonts w:ascii="Times New Roman" w:hAnsi="Times New Roman" w:cs="Times New Roman"/>
          <w:b/>
          <w:bCs/>
          <w:sz w:val="24"/>
          <w:szCs w:val="24"/>
        </w:rPr>
      </w:pPr>
      <w:r w:rsidRPr="00095D50">
        <w:rPr>
          <w:rFonts w:ascii="Times New Roman" w:hAnsi="Times New Roman" w:cs="Times New Roman"/>
          <w:b/>
          <w:bCs/>
          <w:sz w:val="24"/>
          <w:szCs w:val="24"/>
        </w:rPr>
        <w:t>Failure vs. Restoration: Intrinsic Network Pharmacology Insights from Modern Nutrient Deficiency and Rasayana-Based Epigenetic Repair</w:t>
      </w:r>
    </w:p>
    <w:p w14:paraId="3DE0CADF" w14:textId="77777777" w:rsidR="00A97B22" w:rsidRDefault="00A97B22" w:rsidP="00F105AD">
      <w:pPr>
        <w:jc w:val="both"/>
        <w:rPr>
          <w:rFonts w:ascii="Times New Roman" w:hAnsi="Times New Roman" w:cs="Times New Roman"/>
          <w:b/>
          <w:bCs/>
          <w:sz w:val="24"/>
          <w:szCs w:val="24"/>
        </w:rPr>
      </w:pPr>
    </w:p>
    <w:p w14:paraId="0CF07605" w14:textId="528B1CE8" w:rsidR="00F105AD" w:rsidRPr="00095D50" w:rsidRDefault="00F105AD" w:rsidP="00F105AD">
      <w:pPr>
        <w:jc w:val="both"/>
        <w:rPr>
          <w:rFonts w:ascii="Times New Roman" w:hAnsi="Times New Roman" w:cs="Times New Roman"/>
          <w:b/>
          <w:bCs/>
          <w:sz w:val="24"/>
          <w:szCs w:val="24"/>
        </w:rPr>
      </w:pPr>
      <w:r w:rsidRPr="00095D50">
        <w:rPr>
          <w:rFonts w:ascii="Times New Roman" w:hAnsi="Times New Roman" w:cs="Times New Roman"/>
          <w:b/>
          <w:bCs/>
          <w:sz w:val="24"/>
          <w:szCs w:val="24"/>
        </w:rPr>
        <w:t>Abstract</w:t>
      </w:r>
    </w:p>
    <w:p w14:paraId="7FEC65AB" w14:textId="77777777" w:rsidR="0063768D" w:rsidRPr="00095D50" w:rsidRDefault="0063768D" w:rsidP="0063768D">
      <w:pPr>
        <w:jc w:val="both"/>
        <w:rPr>
          <w:rFonts w:ascii="Times New Roman" w:hAnsi="Times New Roman" w:cs="Times New Roman"/>
          <w:bCs/>
          <w:sz w:val="24"/>
          <w:szCs w:val="24"/>
        </w:rPr>
      </w:pPr>
      <w:r w:rsidRPr="00095D50">
        <w:rPr>
          <w:rFonts w:ascii="Times New Roman" w:hAnsi="Times New Roman" w:cs="Times New Roman"/>
          <w:bCs/>
          <w:sz w:val="24"/>
          <w:szCs w:val="24"/>
        </w:rPr>
        <w:t>Modern chronic diseases, such as ubiquitous deficiencies of key micronutrients like Vitamin D3 and Vitamin B12, are presently known to be expressions of multifaceted failure of system metabolic and regulatory networks. Such deficiencies are no longer the function of discrete biochemical imbalances; rather, they are being seen more as system disruptors of integrated biological processes that include redox signaling, feedback inhibition, immune modulation, and epigenetic stability. In order to gain a better understanding and representation of these failures—and to determine possible systemic restorative strategies—we utilize a systematic 7-layer Intrinsic Network Pharmacology (INP) protocol. This computational model broadens the scope of standard network pharmacology by adding feedback loops, oxidative stress control, autophagy kinetics, and real-time simulation of collapse and recovery from homeostasis.</w:t>
      </w:r>
      <w:r w:rsidR="00BC25BF" w:rsidRPr="00095D50">
        <w:rPr>
          <w:rFonts w:ascii="Times New Roman" w:hAnsi="Times New Roman" w:cs="Times New Roman"/>
          <w:bCs/>
          <w:sz w:val="24"/>
          <w:szCs w:val="24"/>
        </w:rPr>
        <w:t xml:space="preserve"> </w:t>
      </w:r>
      <w:r w:rsidRPr="00095D50">
        <w:rPr>
          <w:rFonts w:ascii="Times New Roman" w:hAnsi="Times New Roman" w:cs="Times New Roman"/>
          <w:bCs/>
          <w:sz w:val="24"/>
          <w:szCs w:val="24"/>
        </w:rPr>
        <w:t xml:space="preserve">Here, within this </w:t>
      </w:r>
      <w:r w:rsidR="00CE140B" w:rsidRPr="00095D50">
        <w:rPr>
          <w:rFonts w:ascii="Times New Roman" w:hAnsi="Times New Roman" w:cs="Times New Roman"/>
          <w:bCs/>
          <w:sz w:val="24"/>
          <w:szCs w:val="24"/>
        </w:rPr>
        <w:t>research</w:t>
      </w:r>
      <w:r w:rsidRPr="00095D50">
        <w:rPr>
          <w:rFonts w:ascii="Times New Roman" w:hAnsi="Times New Roman" w:cs="Times New Roman"/>
          <w:bCs/>
          <w:sz w:val="24"/>
          <w:szCs w:val="24"/>
        </w:rPr>
        <w:t>, we use the INP system to investigate two opposite scenarios.</w:t>
      </w:r>
      <w:r w:rsidR="00C45D71" w:rsidRPr="00095D50">
        <w:rPr>
          <w:rFonts w:ascii="Times New Roman" w:hAnsi="Times New Roman" w:cs="Times New Roman"/>
          <w:bCs/>
          <w:sz w:val="24"/>
          <w:szCs w:val="24"/>
        </w:rPr>
        <w:t xml:space="preserve"> For the first time, we introduce the Intrinsic Network Pharmacology (INP) protocol as a structured framework to bridge the gap between theoretical network pharmacology and real-world pharmacological systems.</w:t>
      </w:r>
      <w:r w:rsidRPr="00095D50">
        <w:rPr>
          <w:rFonts w:ascii="Times New Roman" w:hAnsi="Times New Roman" w:cs="Times New Roman"/>
          <w:bCs/>
          <w:sz w:val="24"/>
          <w:szCs w:val="24"/>
        </w:rPr>
        <w:t xml:space="preserve"> First, we deconstruct the cascade of regulatory failures seen in Vitamin D3 and B12 deficiency syndromes, pinpointing key failure nodes in all seven INP layers, from molecular initiators to dysfunctional autophagic removal. Second, we use the same analysis to assess the restorative capacity of Chyawanprash, a traditional Ayurvedic Rasayana medicine, distinguished by its multi-herb composition and adaptogenic activity. With a combination of target mapping mined from literature, INP Fit Score, and ordinary differential equation (ODE) simulation, we simulate how Chyawanprash modulates major epigenetic and redox regulators like Nrf2, SIRT1, FOXO3, Beclin1, and DNMT1.</w:t>
      </w:r>
      <w:r w:rsidR="00BC25BF" w:rsidRPr="00095D50">
        <w:rPr>
          <w:rFonts w:ascii="Times New Roman" w:hAnsi="Times New Roman" w:cs="Times New Roman"/>
          <w:bCs/>
          <w:sz w:val="24"/>
          <w:szCs w:val="24"/>
        </w:rPr>
        <w:t xml:space="preserve"> </w:t>
      </w:r>
      <w:r w:rsidRPr="00095D50">
        <w:rPr>
          <w:rFonts w:ascii="Times New Roman" w:hAnsi="Times New Roman" w:cs="Times New Roman"/>
          <w:bCs/>
          <w:sz w:val="24"/>
          <w:szCs w:val="24"/>
        </w:rPr>
        <w:t>Our findings demonstrate unambiguous divergence of system trajectories between Rasayana-facilitated recovery and deficiency-caused collapse, substantiating the INP protocol as a dual-purpose platform for failure mapping and the creation of multi-layered therapeutic interventions. Although all the observations made herein are model-based and computational, they indicate Rasayana preparations could act as systems-level interventions with epigenetic network reprogramming ability. They illustrate the utility of INP-based frameworks in furthering integrative responses to management of chronic conditions and nutraceutical research</w:t>
      </w:r>
    </w:p>
    <w:p w14:paraId="2B0558BE" w14:textId="77777777" w:rsidR="00353F37" w:rsidRPr="00095D50" w:rsidRDefault="00353F37" w:rsidP="0063768D">
      <w:pPr>
        <w:jc w:val="both"/>
        <w:rPr>
          <w:rFonts w:ascii="Times New Roman" w:hAnsi="Times New Roman" w:cs="Times New Roman"/>
          <w:b/>
          <w:bCs/>
          <w:sz w:val="24"/>
          <w:szCs w:val="24"/>
        </w:rPr>
      </w:pPr>
      <w:r w:rsidRPr="00095D50">
        <w:rPr>
          <w:rFonts w:ascii="Times New Roman" w:hAnsi="Times New Roman" w:cs="Times New Roman"/>
          <w:b/>
          <w:bCs/>
          <w:sz w:val="24"/>
          <w:szCs w:val="24"/>
        </w:rPr>
        <w:t xml:space="preserve">Keywords: </w:t>
      </w:r>
      <w:r w:rsidRPr="00095D50">
        <w:rPr>
          <w:rFonts w:ascii="Times New Roman" w:hAnsi="Times New Roman" w:cs="Times New Roman"/>
          <w:bCs/>
          <w:sz w:val="24"/>
          <w:szCs w:val="24"/>
        </w:rPr>
        <w:t xml:space="preserve">Network pharmacology, Intrinsic Network pharmacology, Epigenetic repair, Rasayana, </w:t>
      </w:r>
      <w:r w:rsidR="00BC08E3" w:rsidRPr="00095D50">
        <w:rPr>
          <w:rFonts w:ascii="Times New Roman" w:hAnsi="Times New Roman" w:cs="Times New Roman"/>
          <w:bCs/>
          <w:sz w:val="24"/>
          <w:szCs w:val="24"/>
        </w:rPr>
        <w:t>Chyawanprash,</w:t>
      </w:r>
      <w:r w:rsidRPr="00095D50">
        <w:rPr>
          <w:rFonts w:ascii="Times New Roman" w:hAnsi="Times New Roman" w:cs="Times New Roman"/>
          <w:bCs/>
          <w:sz w:val="24"/>
          <w:szCs w:val="24"/>
        </w:rPr>
        <w:t xml:space="preserve"> Vitamin deficiency, Feedback loops</w:t>
      </w:r>
    </w:p>
    <w:p w14:paraId="072A422D" w14:textId="77777777" w:rsidR="005A7C3A" w:rsidRPr="00095D50" w:rsidRDefault="005A7C3A" w:rsidP="005833E6">
      <w:pPr>
        <w:jc w:val="both"/>
        <w:rPr>
          <w:rFonts w:ascii="Times New Roman" w:hAnsi="Times New Roman" w:cs="Times New Roman"/>
          <w:b/>
          <w:bCs/>
          <w:sz w:val="24"/>
          <w:szCs w:val="24"/>
        </w:rPr>
      </w:pPr>
    </w:p>
    <w:p w14:paraId="7B3960F5" w14:textId="77777777" w:rsidR="005833E6" w:rsidRPr="00095D50" w:rsidRDefault="005833E6" w:rsidP="005833E6">
      <w:pPr>
        <w:jc w:val="both"/>
        <w:rPr>
          <w:rFonts w:ascii="Times New Roman" w:hAnsi="Times New Roman" w:cs="Times New Roman"/>
          <w:b/>
          <w:bCs/>
          <w:sz w:val="24"/>
          <w:szCs w:val="24"/>
        </w:rPr>
      </w:pPr>
      <w:r w:rsidRPr="00095D50">
        <w:rPr>
          <w:rFonts w:ascii="Times New Roman" w:hAnsi="Times New Roman" w:cs="Times New Roman"/>
          <w:b/>
          <w:bCs/>
          <w:sz w:val="24"/>
          <w:szCs w:val="24"/>
        </w:rPr>
        <w:t>1. Introduction</w:t>
      </w:r>
    </w:p>
    <w:p w14:paraId="63498213" w14:textId="77777777" w:rsidR="005833E6" w:rsidRPr="00095D50" w:rsidRDefault="005833E6" w:rsidP="005833E6">
      <w:pPr>
        <w:jc w:val="both"/>
        <w:rPr>
          <w:rFonts w:ascii="Times New Roman" w:hAnsi="Times New Roman" w:cs="Times New Roman"/>
          <w:b/>
          <w:bCs/>
          <w:sz w:val="24"/>
          <w:szCs w:val="24"/>
        </w:rPr>
      </w:pPr>
      <w:r w:rsidRPr="00095D50">
        <w:rPr>
          <w:rFonts w:ascii="Times New Roman" w:hAnsi="Times New Roman" w:cs="Times New Roman"/>
          <w:b/>
          <w:bCs/>
          <w:sz w:val="24"/>
          <w:szCs w:val="24"/>
        </w:rPr>
        <w:t>1.1 Systems Biology and Its Role in Drug Discovery</w:t>
      </w:r>
    </w:p>
    <w:p w14:paraId="16100279" w14:textId="77777777" w:rsidR="005833E6" w:rsidRPr="00095D50" w:rsidRDefault="005833E6" w:rsidP="005833E6">
      <w:pPr>
        <w:jc w:val="both"/>
        <w:rPr>
          <w:rFonts w:ascii="Times New Roman" w:hAnsi="Times New Roman" w:cs="Times New Roman"/>
          <w:bCs/>
          <w:sz w:val="24"/>
          <w:szCs w:val="24"/>
        </w:rPr>
      </w:pPr>
      <w:r w:rsidRPr="00095D50">
        <w:rPr>
          <w:rFonts w:ascii="Times New Roman" w:hAnsi="Times New Roman" w:cs="Times New Roman"/>
          <w:bCs/>
          <w:sz w:val="24"/>
          <w:szCs w:val="24"/>
        </w:rPr>
        <w:t xml:space="preserve">The past two decades have seen a shift in biomedical research from reductionist biology to systems biology, a field that seeks to comprehend biological complexity by integrating multi-omics data, computational models, and network </w:t>
      </w:r>
      <w:r w:rsidR="00633C11" w:rsidRPr="00095D50">
        <w:rPr>
          <w:rFonts w:ascii="Times New Roman" w:hAnsi="Times New Roman" w:cs="Times New Roman"/>
          <w:bCs/>
          <w:sz w:val="24"/>
          <w:szCs w:val="24"/>
        </w:rPr>
        <w:t>analysis [1,2]</w:t>
      </w:r>
      <w:r w:rsidRPr="00095D50">
        <w:rPr>
          <w:rFonts w:ascii="Times New Roman" w:hAnsi="Times New Roman" w:cs="Times New Roman"/>
          <w:bCs/>
          <w:sz w:val="24"/>
          <w:szCs w:val="24"/>
        </w:rPr>
        <w:t xml:space="preserve">. As opposed to studying single genes or </w:t>
      </w:r>
      <w:r w:rsidRPr="00095D50">
        <w:rPr>
          <w:rFonts w:ascii="Times New Roman" w:hAnsi="Times New Roman" w:cs="Times New Roman"/>
          <w:bCs/>
          <w:sz w:val="24"/>
          <w:szCs w:val="24"/>
        </w:rPr>
        <w:lastRenderedPageBreak/>
        <w:t>pathways, systems biology builds and simulates system-level models of biological systems and captures their emergent features like feedback loops, robustness, adaptation, and nonlinear dynamics</w:t>
      </w:r>
      <w:r w:rsidR="00633C11" w:rsidRPr="00095D50">
        <w:rPr>
          <w:rFonts w:ascii="Times New Roman" w:hAnsi="Times New Roman" w:cs="Times New Roman"/>
          <w:bCs/>
          <w:sz w:val="24"/>
          <w:szCs w:val="24"/>
        </w:rPr>
        <w:t xml:space="preserve"> [3,4]</w:t>
      </w:r>
      <w:r w:rsidRPr="00095D50">
        <w:rPr>
          <w:rFonts w:ascii="Times New Roman" w:hAnsi="Times New Roman" w:cs="Times New Roman"/>
          <w:bCs/>
          <w:sz w:val="24"/>
          <w:szCs w:val="24"/>
        </w:rPr>
        <w:t>.</w:t>
      </w:r>
    </w:p>
    <w:p w14:paraId="7F3BA130" w14:textId="77777777" w:rsidR="005833E6" w:rsidRPr="00095D50" w:rsidRDefault="005833E6" w:rsidP="005833E6">
      <w:pPr>
        <w:jc w:val="both"/>
        <w:rPr>
          <w:rFonts w:ascii="Times New Roman" w:hAnsi="Times New Roman" w:cs="Times New Roman"/>
          <w:bCs/>
          <w:sz w:val="24"/>
          <w:szCs w:val="24"/>
        </w:rPr>
      </w:pPr>
      <w:r w:rsidRPr="00095D50">
        <w:rPr>
          <w:rFonts w:ascii="Times New Roman" w:hAnsi="Times New Roman" w:cs="Times New Roman"/>
          <w:bCs/>
          <w:sz w:val="24"/>
          <w:szCs w:val="24"/>
        </w:rPr>
        <w:t>In drug discovery, this has meant network-guided target identification, prediction of off-target activity, and optimization of polypharmacology interventions</w:t>
      </w:r>
      <w:r w:rsidR="00633C11" w:rsidRPr="00095D50">
        <w:rPr>
          <w:rFonts w:ascii="Times New Roman" w:hAnsi="Times New Roman" w:cs="Times New Roman"/>
          <w:bCs/>
          <w:sz w:val="24"/>
          <w:szCs w:val="24"/>
        </w:rPr>
        <w:t xml:space="preserve"> [5]</w:t>
      </w:r>
      <w:r w:rsidRPr="00095D50">
        <w:rPr>
          <w:rFonts w:ascii="Times New Roman" w:hAnsi="Times New Roman" w:cs="Times New Roman"/>
          <w:bCs/>
          <w:sz w:val="24"/>
          <w:szCs w:val="24"/>
        </w:rPr>
        <w:t>. Systems biology has particularly influenced the comprehension of chronic, multifactorial pathologies like cancer, neurodegeneration, and metabolic syndromes, wherein mono-targeted approaches fall short as a result of pathway redundancies and compensatory responses</w:t>
      </w:r>
      <w:r w:rsidR="00633C11" w:rsidRPr="00095D50">
        <w:rPr>
          <w:rFonts w:ascii="Times New Roman" w:hAnsi="Times New Roman" w:cs="Times New Roman"/>
          <w:bCs/>
          <w:sz w:val="24"/>
          <w:szCs w:val="24"/>
        </w:rPr>
        <w:t xml:space="preserve"> [6]</w:t>
      </w:r>
      <w:r w:rsidRPr="00095D50">
        <w:rPr>
          <w:rFonts w:ascii="Times New Roman" w:hAnsi="Times New Roman" w:cs="Times New Roman"/>
          <w:bCs/>
          <w:sz w:val="24"/>
          <w:szCs w:val="24"/>
        </w:rPr>
        <w:t>.</w:t>
      </w:r>
    </w:p>
    <w:p w14:paraId="2DA3A859" w14:textId="77777777" w:rsidR="005833E6" w:rsidRPr="00095D50" w:rsidRDefault="005833E6" w:rsidP="005833E6">
      <w:pPr>
        <w:jc w:val="both"/>
        <w:rPr>
          <w:rFonts w:ascii="Times New Roman" w:hAnsi="Times New Roman" w:cs="Times New Roman"/>
          <w:b/>
          <w:bCs/>
          <w:sz w:val="24"/>
          <w:szCs w:val="24"/>
        </w:rPr>
      </w:pPr>
      <w:r w:rsidRPr="00095D50">
        <w:rPr>
          <w:rFonts w:ascii="Times New Roman" w:hAnsi="Times New Roman" w:cs="Times New Roman"/>
          <w:b/>
          <w:bCs/>
          <w:sz w:val="24"/>
          <w:szCs w:val="24"/>
        </w:rPr>
        <w:t>1.2 Evolution to Network Pharmacology</w:t>
      </w:r>
    </w:p>
    <w:p w14:paraId="7A7E262F" w14:textId="77777777" w:rsidR="005833E6" w:rsidRPr="00095D50" w:rsidRDefault="005833E6" w:rsidP="005833E6">
      <w:pPr>
        <w:jc w:val="both"/>
        <w:rPr>
          <w:rFonts w:ascii="Times New Roman" w:hAnsi="Times New Roman" w:cs="Times New Roman"/>
          <w:bCs/>
          <w:sz w:val="24"/>
          <w:szCs w:val="24"/>
        </w:rPr>
      </w:pPr>
      <w:r w:rsidRPr="00095D50">
        <w:rPr>
          <w:rFonts w:ascii="Times New Roman" w:hAnsi="Times New Roman" w:cs="Times New Roman"/>
          <w:bCs/>
          <w:sz w:val="24"/>
          <w:szCs w:val="24"/>
        </w:rPr>
        <w:t>Extending the systems biology paradigm, Network Pharmacology (NP) as a new field was born in the early 2000s with the call made by Hopkins and others that drugs should be designed to act upon entire networks rather than individual proteins</w:t>
      </w:r>
      <w:r w:rsidR="00633C11" w:rsidRPr="00095D50">
        <w:rPr>
          <w:rFonts w:ascii="Times New Roman" w:hAnsi="Times New Roman" w:cs="Times New Roman"/>
          <w:bCs/>
          <w:sz w:val="24"/>
          <w:szCs w:val="24"/>
        </w:rPr>
        <w:t xml:space="preserve"> [8,9]</w:t>
      </w:r>
      <w:r w:rsidRPr="00095D50">
        <w:rPr>
          <w:rFonts w:ascii="Times New Roman" w:hAnsi="Times New Roman" w:cs="Times New Roman"/>
          <w:bCs/>
          <w:sz w:val="24"/>
          <w:szCs w:val="24"/>
        </w:rPr>
        <w:t>. NP makes this concept operational by:</w:t>
      </w:r>
    </w:p>
    <w:p w14:paraId="548BE0B2" w14:textId="77777777" w:rsidR="005833E6" w:rsidRPr="00095D50" w:rsidRDefault="005833E6" w:rsidP="005833E6">
      <w:pPr>
        <w:pStyle w:val="ListParagraph"/>
        <w:numPr>
          <w:ilvl w:val="0"/>
          <w:numId w:val="11"/>
        </w:numPr>
        <w:jc w:val="both"/>
        <w:rPr>
          <w:rFonts w:ascii="Times New Roman" w:hAnsi="Times New Roman" w:cs="Times New Roman"/>
          <w:bCs/>
          <w:sz w:val="24"/>
          <w:szCs w:val="24"/>
        </w:rPr>
      </w:pPr>
      <w:r w:rsidRPr="00095D50">
        <w:rPr>
          <w:rFonts w:ascii="Times New Roman" w:hAnsi="Times New Roman" w:cs="Times New Roman"/>
          <w:bCs/>
          <w:sz w:val="24"/>
          <w:szCs w:val="24"/>
        </w:rPr>
        <w:t xml:space="preserve">Cartographing drug–target–disease </w:t>
      </w:r>
      <w:r w:rsidR="00633C11" w:rsidRPr="00095D50">
        <w:rPr>
          <w:rFonts w:ascii="Times New Roman" w:hAnsi="Times New Roman" w:cs="Times New Roman"/>
          <w:bCs/>
          <w:sz w:val="24"/>
          <w:szCs w:val="24"/>
        </w:rPr>
        <w:t>associations, [10,11]</w:t>
      </w:r>
    </w:p>
    <w:p w14:paraId="1537DDD0" w14:textId="77777777" w:rsidR="005833E6" w:rsidRPr="00095D50" w:rsidRDefault="005833E6" w:rsidP="005833E6">
      <w:pPr>
        <w:pStyle w:val="ListParagraph"/>
        <w:numPr>
          <w:ilvl w:val="0"/>
          <w:numId w:val="11"/>
        </w:numPr>
        <w:jc w:val="both"/>
        <w:rPr>
          <w:rFonts w:ascii="Times New Roman" w:hAnsi="Times New Roman" w:cs="Times New Roman"/>
          <w:bCs/>
          <w:sz w:val="24"/>
          <w:szCs w:val="24"/>
        </w:rPr>
      </w:pPr>
      <w:r w:rsidRPr="00095D50">
        <w:rPr>
          <w:rFonts w:ascii="Times New Roman" w:hAnsi="Times New Roman" w:cs="Times New Roman"/>
          <w:bCs/>
          <w:sz w:val="24"/>
          <w:szCs w:val="24"/>
        </w:rPr>
        <w:t>Designing interaction networks (e.g., protein–protein interaction, gene regulation),</w:t>
      </w:r>
      <w:r w:rsidR="00633C11" w:rsidRPr="00095D50">
        <w:rPr>
          <w:rFonts w:ascii="Times New Roman" w:hAnsi="Times New Roman" w:cs="Times New Roman"/>
          <w:bCs/>
          <w:sz w:val="24"/>
          <w:szCs w:val="24"/>
        </w:rPr>
        <w:t xml:space="preserve"> [12,13]</w:t>
      </w:r>
    </w:p>
    <w:p w14:paraId="1B45438A" w14:textId="77777777" w:rsidR="005833E6" w:rsidRPr="00095D50" w:rsidRDefault="005833E6" w:rsidP="005833E6">
      <w:pPr>
        <w:pStyle w:val="ListParagraph"/>
        <w:numPr>
          <w:ilvl w:val="0"/>
          <w:numId w:val="11"/>
        </w:numPr>
        <w:jc w:val="both"/>
        <w:rPr>
          <w:rFonts w:ascii="Times New Roman" w:hAnsi="Times New Roman" w:cs="Times New Roman"/>
          <w:bCs/>
          <w:sz w:val="24"/>
          <w:szCs w:val="24"/>
        </w:rPr>
      </w:pPr>
      <w:r w:rsidRPr="00095D50">
        <w:rPr>
          <w:rFonts w:ascii="Times New Roman" w:hAnsi="Times New Roman" w:cs="Times New Roman"/>
          <w:bCs/>
          <w:sz w:val="24"/>
          <w:szCs w:val="24"/>
        </w:rPr>
        <w:t>Discovery of key hubs or bottlenecks affecting disease phenotypes,</w:t>
      </w:r>
      <w:r w:rsidR="00633C11" w:rsidRPr="00095D50">
        <w:rPr>
          <w:rFonts w:ascii="Times New Roman" w:hAnsi="Times New Roman" w:cs="Times New Roman"/>
          <w:bCs/>
          <w:sz w:val="24"/>
          <w:szCs w:val="24"/>
        </w:rPr>
        <w:t xml:space="preserve"> [14,15]</w:t>
      </w:r>
    </w:p>
    <w:p w14:paraId="4B3CC9D7" w14:textId="77777777" w:rsidR="005833E6" w:rsidRPr="00095D50" w:rsidRDefault="005833E6" w:rsidP="005833E6">
      <w:pPr>
        <w:pStyle w:val="ListParagraph"/>
        <w:numPr>
          <w:ilvl w:val="0"/>
          <w:numId w:val="11"/>
        </w:numPr>
        <w:jc w:val="both"/>
        <w:rPr>
          <w:rFonts w:ascii="Times New Roman" w:hAnsi="Times New Roman" w:cs="Times New Roman"/>
          <w:bCs/>
          <w:sz w:val="24"/>
          <w:szCs w:val="24"/>
        </w:rPr>
      </w:pPr>
      <w:r w:rsidRPr="00095D50">
        <w:rPr>
          <w:rFonts w:ascii="Times New Roman" w:hAnsi="Times New Roman" w:cs="Times New Roman"/>
          <w:bCs/>
          <w:sz w:val="24"/>
          <w:szCs w:val="24"/>
        </w:rPr>
        <w:t xml:space="preserve">Assessment of drug repurposing or synergistic combinations using common network </w:t>
      </w:r>
      <w:r w:rsidR="00633C11" w:rsidRPr="00095D50">
        <w:rPr>
          <w:rFonts w:ascii="Times New Roman" w:hAnsi="Times New Roman" w:cs="Times New Roman"/>
          <w:bCs/>
          <w:sz w:val="24"/>
          <w:szCs w:val="24"/>
        </w:rPr>
        <w:t>footprints. [16, 17]</w:t>
      </w:r>
    </w:p>
    <w:p w14:paraId="76182C99" w14:textId="77777777" w:rsidR="005833E6" w:rsidRPr="00095D50" w:rsidRDefault="005833E6" w:rsidP="005833E6">
      <w:pPr>
        <w:jc w:val="both"/>
        <w:rPr>
          <w:rFonts w:ascii="Times New Roman" w:hAnsi="Times New Roman" w:cs="Times New Roman"/>
          <w:bCs/>
          <w:sz w:val="24"/>
          <w:szCs w:val="24"/>
        </w:rPr>
      </w:pPr>
      <w:r w:rsidRPr="00095D50">
        <w:rPr>
          <w:rFonts w:ascii="Times New Roman" w:hAnsi="Times New Roman" w:cs="Times New Roman"/>
          <w:bCs/>
          <w:sz w:val="24"/>
          <w:szCs w:val="24"/>
        </w:rPr>
        <w:t>This strategy facilitated the research on multi-targeted ancient drugs (e.g., Ayurveda, TCM), polyherbal combinations, and drug repositioning approaches through computational pipelines. Classical NP is, however, subject to some limitations:</w:t>
      </w:r>
      <w:r w:rsidR="00633C11" w:rsidRPr="00095D50">
        <w:rPr>
          <w:rFonts w:ascii="Times New Roman" w:hAnsi="Times New Roman" w:cs="Times New Roman"/>
          <w:bCs/>
          <w:sz w:val="24"/>
          <w:szCs w:val="24"/>
        </w:rPr>
        <w:t xml:space="preserve"> [18,19,20]</w:t>
      </w:r>
    </w:p>
    <w:p w14:paraId="1873CE37" w14:textId="77777777" w:rsidR="005833E6" w:rsidRPr="00095D50" w:rsidRDefault="005833E6" w:rsidP="005833E6">
      <w:pPr>
        <w:pStyle w:val="ListParagraph"/>
        <w:numPr>
          <w:ilvl w:val="0"/>
          <w:numId w:val="12"/>
        </w:numPr>
        <w:jc w:val="both"/>
        <w:rPr>
          <w:rFonts w:ascii="Times New Roman" w:hAnsi="Times New Roman" w:cs="Times New Roman"/>
          <w:bCs/>
          <w:sz w:val="24"/>
          <w:szCs w:val="24"/>
        </w:rPr>
      </w:pPr>
      <w:r w:rsidRPr="00095D50">
        <w:rPr>
          <w:rFonts w:ascii="Times New Roman" w:hAnsi="Times New Roman" w:cs="Times New Roman"/>
          <w:bCs/>
          <w:sz w:val="24"/>
          <w:szCs w:val="24"/>
        </w:rPr>
        <w:t>It tends to use static, topology-based network representations,</w:t>
      </w:r>
      <w:r w:rsidR="00633C11" w:rsidRPr="00095D50">
        <w:rPr>
          <w:rFonts w:ascii="Times New Roman" w:hAnsi="Times New Roman" w:cs="Times New Roman"/>
          <w:bCs/>
          <w:sz w:val="24"/>
          <w:szCs w:val="24"/>
        </w:rPr>
        <w:t xml:space="preserve"> [21]</w:t>
      </w:r>
    </w:p>
    <w:p w14:paraId="2DBAC55C" w14:textId="77777777" w:rsidR="005833E6" w:rsidRPr="00095D50" w:rsidRDefault="005833E6" w:rsidP="005833E6">
      <w:pPr>
        <w:pStyle w:val="ListParagraph"/>
        <w:numPr>
          <w:ilvl w:val="0"/>
          <w:numId w:val="12"/>
        </w:numPr>
        <w:jc w:val="both"/>
        <w:rPr>
          <w:rFonts w:ascii="Times New Roman" w:hAnsi="Times New Roman" w:cs="Times New Roman"/>
          <w:bCs/>
          <w:sz w:val="24"/>
          <w:szCs w:val="24"/>
        </w:rPr>
      </w:pPr>
      <w:r w:rsidRPr="00095D50">
        <w:rPr>
          <w:rFonts w:ascii="Times New Roman" w:hAnsi="Times New Roman" w:cs="Times New Roman"/>
          <w:bCs/>
          <w:sz w:val="24"/>
          <w:szCs w:val="24"/>
        </w:rPr>
        <w:t xml:space="preserve">It fails to integrate functional aspects of redox, immune, and repair </w:t>
      </w:r>
      <w:r w:rsidR="00633C11" w:rsidRPr="00095D50">
        <w:rPr>
          <w:rFonts w:ascii="Times New Roman" w:hAnsi="Times New Roman" w:cs="Times New Roman"/>
          <w:bCs/>
          <w:sz w:val="24"/>
          <w:szCs w:val="24"/>
        </w:rPr>
        <w:t>dynamics, [22]</w:t>
      </w:r>
    </w:p>
    <w:p w14:paraId="713228CB" w14:textId="77777777" w:rsidR="005833E6" w:rsidRPr="00095D50" w:rsidRDefault="005833E6" w:rsidP="005833E6">
      <w:pPr>
        <w:pStyle w:val="ListParagraph"/>
        <w:numPr>
          <w:ilvl w:val="0"/>
          <w:numId w:val="12"/>
        </w:numPr>
        <w:jc w:val="both"/>
        <w:rPr>
          <w:rFonts w:ascii="Times New Roman" w:hAnsi="Times New Roman" w:cs="Times New Roman"/>
          <w:bCs/>
          <w:sz w:val="24"/>
          <w:szCs w:val="24"/>
        </w:rPr>
      </w:pPr>
      <w:r w:rsidRPr="00095D50">
        <w:rPr>
          <w:rFonts w:ascii="Times New Roman" w:hAnsi="Times New Roman" w:cs="Times New Roman"/>
          <w:bCs/>
          <w:sz w:val="24"/>
          <w:szCs w:val="24"/>
        </w:rPr>
        <w:t>It has difficulty simulating network collapse and recovery in nutrient or stress conditions,</w:t>
      </w:r>
      <w:r w:rsidR="00633C11" w:rsidRPr="00095D50">
        <w:rPr>
          <w:rFonts w:ascii="Times New Roman" w:hAnsi="Times New Roman" w:cs="Times New Roman"/>
          <w:bCs/>
          <w:sz w:val="24"/>
          <w:szCs w:val="24"/>
        </w:rPr>
        <w:t xml:space="preserve"> [23]</w:t>
      </w:r>
    </w:p>
    <w:p w14:paraId="2C53F3CD" w14:textId="77777777" w:rsidR="005833E6" w:rsidRPr="00095D50" w:rsidRDefault="005833E6" w:rsidP="005833E6">
      <w:pPr>
        <w:pStyle w:val="ListParagraph"/>
        <w:numPr>
          <w:ilvl w:val="0"/>
          <w:numId w:val="12"/>
        </w:numPr>
        <w:jc w:val="both"/>
        <w:rPr>
          <w:rFonts w:ascii="Times New Roman" w:hAnsi="Times New Roman" w:cs="Times New Roman"/>
          <w:bCs/>
          <w:sz w:val="24"/>
          <w:szCs w:val="24"/>
        </w:rPr>
      </w:pPr>
      <w:r w:rsidRPr="00095D50">
        <w:rPr>
          <w:rFonts w:ascii="Times New Roman" w:hAnsi="Times New Roman" w:cs="Times New Roman"/>
          <w:bCs/>
          <w:sz w:val="24"/>
          <w:szCs w:val="24"/>
        </w:rPr>
        <w:t xml:space="preserve">And it infrequently incorporates temporal simulation or homeostatic feedback </w:t>
      </w:r>
      <w:r w:rsidR="00633C11" w:rsidRPr="00095D50">
        <w:rPr>
          <w:rFonts w:ascii="Times New Roman" w:hAnsi="Times New Roman" w:cs="Times New Roman"/>
          <w:bCs/>
          <w:sz w:val="24"/>
          <w:szCs w:val="24"/>
        </w:rPr>
        <w:t>modeling. [23,24]</w:t>
      </w:r>
    </w:p>
    <w:p w14:paraId="2BBCC349" w14:textId="77777777" w:rsidR="005833E6" w:rsidRPr="00095D50" w:rsidRDefault="005833E6" w:rsidP="005833E6">
      <w:pPr>
        <w:jc w:val="both"/>
        <w:rPr>
          <w:rFonts w:ascii="Times New Roman" w:hAnsi="Times New Roman" w:cs="Times New Roman"/>
          <w:b/>
          <w:bCs/>
          <w:sz w:val="24"/>
          <w:szCs w:val="24"/>
        </w:rPr>
      </w:pPr>
      <w:r w:rsidRPr="00095D50">
        <w:rPr>
          <w:rFonts w:ascii="Times New Roman" w:hAnsi="Times New Roman" w:cs="Times New Roman"/>
          <w:b/>
          <w:bCs/>
          <w:sz w:val="24"/>
          <w:szCs w:val="24"/>
        </w:rPr>
        <w:t>1.3 Justification for Establishing the Intrinsic Network Pharmacology (INP) Model</w:t>
      </w:r>
    </w:p>
    <w:p w14:paraId="039C89C3" w14:textId="77777777" w:rsidR="005833E6" w:rsidRPr="00095D50" w:rsidRDefault="005833E6" w:rsidP="005833E6">
      <w:pPr>
        <w:jc w:val="both"/>
        <w:rPr>
          <w:rFonts w:ascii="Times New Roman" w:hAnsi="Times New Roman" w:cs="Times New Roman"/>
          <w:bCs/>
          <w:sz w:val="24"/>
          <w:szCs w:val="24"/>
        </w:rPr>
      </w:pPr>
      <w:r w:rsidRPr="00095D50">
        <w:rPr>
          <w:rFonts w:ascii="Times New Roman" w:hAnsi="Times New Roman" w:cs="Times New Roman"/>
          <w:bCs/>
          <w:sz w:val="24"/>
          <w:szCs w:val="24"/>
        </w:rPr>
        <w:t>In order to overcome these shortcomings, we established the 7-layer Intrinsic Network Pharmacology (INP) model. The model advances traditional NP by:</w:t>
      </w:r>
    </w:p>
    <w:p w14:paraId="275DA0D5" w14:textId="77777777" w:rsidR="005833E6" w:rsidRPr="00095D50" w:rsidRDefault="005833E6" w:rsidP="005833E6">
      <w:pPr>
        <w:jc w:val="both"/>
        <w:rPr>
          <w:rFonts w:ascii="Times New Roman" w:hAnsi="Times New Roman" w:cs="Times New Roman"/>
          <w:bCs/>
          <w:sz w:val="24"/>
          <w:szCs w:val="24"/>
        </w:rPr>
      </w:pPr>
      <w:r w:rsidRPr="00095D50">
        <w:rPr>
          <w:rFonts w:ascii="Times New Roman" w:hAnsi="Times New Roman" w:cs="Times New Roman"/>
          <w:bCs/>
          <w:sz w:val="24"/>
          <w:szCs w:val="24"/>
        </w:rPr>
        <w:t>Including feedback loops and oscillatory networks (e.g., VDR–FGF23–Klotho, SAM–SAH methylation), Translating redox regulation and ROS buffering into the network (through Nrf2, GPX, SOD), Representing immune–vascular–autophagic interactions that characterize the cellular context, scoring drugs based on a Fit Score measure commensurate with functional network repair, and Modeling dynamic restoration with ODE-based or Boolean models.</w:t>
      </w:r>
    </w:p>
    <w:p w14:paraId="4DEFDE8C" w14:textId="77777777" w:rsidR="005833E6" w:rsidRPr="00095D50" w:rsidRDefault="005833E6" w:rsidP="005833E6">
      <w:pPr>
        <w:jc w:val="both"/>
        <w:rPr>
          <w:rFonts w:ascii="Times New Roman" w:hAnsi="Times New Roman" w:cs="Times New Roman"/>
          <w:bCs/>
          <w:sz w:val="24"/>
          <w:szCs w:val="24"/>
        </w:rPr>
      </w:pPr>
      <w:r w:rsidRPr="00095D50">
        <w:rPr>
          <w:rFonts w:ascii="Times New Roman" w:hAnsi="Times New Roman" w:cs="Times New Roman"/>
          <w:bCs/>
          <w:sz w:val="24"/>
          <w:szCs w:val="24"/>
        </w:rPr>
        <w:t>INP interprets disease and deficiency not as all-or-nothing states but as progressive dissolutions of resilience and regulation, and therefore places recovery as systemic reprogramming, rather than receptor engagement.</w:t>
      </w:r>
    </w:p>
    <w:p w14:paraId="06399288" w14:textId="77777777" w:rsidR="005833E6" w:rsidRPr="00095D50" w:rsidRDefault="005833E6" w:rsidP="005833E6">
      <w:pPr>
        <w:jc w:val="both"/>
        <w:rPr>
          <w:rFonts w:ascii="Times New Roman" w:hAnsi="Times New Roman" w:cs="Times New Roman"/>
          <w:bCs/>
          <w:sz w:val="24"/>
          <w:szCs w:val="24"/>
        </w:rPr>
      </w:pPr>
      <w:r w:rsidRPr="00095D50">
        <w:rPr>
          <w:rFonts w:ascii="Times New Roman" w:hAnsi="Times New Roman" w:cs="Times New Roman"/>
          <w:bCs/>
          <w:sz w:val="24"/>
          <w:szCs w:val="24"/>
        </w:rPr>
        <w:lastRenderedPageBreak/>
        <w:t>This is especially well-suited for:</w:t>
      </w:r>
    </w:p>
    <w:p w14:paraId="69B70D92" w14:textId="77777777" w:rsidR="005833E6" w:rsidRPr="00095D50" w:rsidRDefault="005833E6" w:rsidP="005833E6">
      <w:pPr>
        <w:pStyle w:val="ListParagraph"/>
        <w:numPr>
          <w:ilvl w:val="0"/>
          <w:numId w:val="13"/>
        </w:numPr>
        <w:jc w:val="both"/>
        <w:rPr>
          <w:rFonts w:ascii="Times New Roman" w:hAnsi="Times New Roman" w:cs="Times New Roman"/>
          <w:bCs/>
          <w:sz w:val="24"/>
          <w:szCs w:val="24"/>
        </w:rPr>
      </w:pPr>
      <w:r w:rsidRPr="00095D50">
        <w:rPr>
          <w:rFonts w:ascii="Times New Roman" w:hAnsi="Times New Roman" w:cs="Times New Roman"/>
          <w:bCs/>
          <w:sz w:val="24"/>
          <w:szCs w:val="24"/>
        </w:rPr>
        <w:t>Nutrient-cofactor deficiency syndromes in which deficiencies disrupt dozens of downstream processes,</w:t>
      </w:r>
    </w:p>
    <w:p w14:paraId="2E9093A6" w14:textId="77777777" w:rsidR="005833E6" w:rsidRPr="00095D50" w:rsidRDefault="005833E6" w:rsidP="005833E6">
      <w:pPr>
        <w:pStyle w:val="ListParagraph"/>
        <w:numPr>
          <w:ilvl w:val="0"/>
          <w:numId w:val="13"/>
        </w:numPr>
        <w:jc w:val="both"/>
        <w:rPr>
          <w:rFonts w:ascii="Times New Roman" w:hAnsi="Times New Roman" w:cs="Times New Roman"/>
          <w:bCs/>
          <w:sz w:val="24"/>
          <w:szCs w:val="24"/>
        </w:rPr>
      </w:pPr>
      <w:r w:rsidRPr="00095D50">
        <w:rPr>
          <w:rFonts w:ascii="Times New Roman" w:hAnsi="Times New Roman" w:cs="Times New Roman"/>
          <w:bCs/>
          <w:sz w:val="24"/>
          <w:szCs w:val="24"/>
        </w:rPr>
        <w:t>Multi-targeted herbal or nutraceutical treatments in which individual compound activity is weak but collectively synergistic</w:t>
      </w:r>
    </w:p>
    <w:p w14:paraId="7B7D1993" w14:textId="77777777" w:rsidR="005833E6" w:rsidRPr="00095D50" w:rsidRDefault="005833E6" w:rsidP="005833E6">
      <w:pPr>
        <w:pStyle w:val="ListParagraph"/>
        <w:numPr>
          <w:ilvl w:val="0"/>
          <w:numId w:val="13"/>
        </w:numPr>
        <w:jc w:val="both"/>
        <w:rPr>
          <w:rFonts w:ascii="Times New Roman" w:hAnsi="Times New Roman" w:cs="Times New Roman"/>
          <w:bCs/>
          <w:sz w:val="24"/>
          <w:szCs w:val="24"/>
        </w:rPr>
      </w:pPr>
      <w:r w:rsidRPr="00095D50">
        <w:rPr>
          <w:rFonts w:ascii="Times New Roman" w:hAnsi="Times New Roman" w:cs="Times New Roman"/>
          <w:bCs/>
          <w:sz w:val="24"/>
          <w:szCs w:val="24"/>
        </w:rPr>
        <w:t>And chronic diseases in which dynamic restoration, instead of symptom control, is the treatment objective.</w:t>
      </w:r>
    </w:p>
    <w:p w14:paraId="094B072E" w14:textId="77777777" w:rsidR="005833E6" w:rsidRPr="00095D50" w:rsidRDefault="005833E6" w:rsidP="005833E6">
      <w:pPr>
        <w:jc w:val="both"/>
        <w:rPr>
          <w:rFonts w:ascii="Times New Roman" w:hAnsi="Times New Roman" w:cs="Times New Roman"/>
          <w:b/>
          <w:bCs/>
          <w:sz w:val="24"/>
          <w:szCs w:val="24"/>
        </w:rPr>
      </w:pPr>
      <w:r w:rsidRPr="00095D50">
        <w:rPr>
          <w:rFonts w:ascii="Times New Roman" w:hAnsi="Times New Roman" w:cs="Times New Roman"/>
          <w:b/>
          <w:bCs/>
          <w:sz w:val="24"/>
          <w:szCs w:val="24"/>
        </w:rPr>
        <w:t>1.4 Relevance to Contemporary Nutrient Deficiency and Rasayana-Based Epigenetic Repair</w:t>
      </w:r>
    </w:p>
    <w:p w14:paraId="1E5F1D0C" w14:textId="77777777" w:rsidR="005833E6" w:rsidRPr="00095D50" w:rsidRDefault="005833E6" w:rsidP="005833E6">
      <w:pPr>
        <w:jc w:val="both"/>
        <w:rPr>
          <w:rFonts w:ascii="Times New Roman" w:hAnsi="Times New Roman" w:cs="Times New Roman"/>
          <w:bCs/>
          <w:sz w:val="24"/>
          <w:szCs w:val="24"/>
        </w:rPr>
      </w:pPr>
      <w:r w:rsidRPr="00095D50">
        <w:rPr>
          <w:rFonts w:ascii="Times New Roman" w:hAnsi="Times New Roman" w:cs="Times New Roman"/>
          <w:bCs/>
          <w:sz w:val="24"/>
          <w:szCs w:val="24"/>
        </w:rPr>
        <w:t>One of the urgent contemporary phenomena of INP breakdown is the global prevalence of Vitamin D3 and B12 deficiency, especially among city-dwelling, indoor-living populations</w:t>
      </w:r>
      <w:r w:rsidR="00633C11" w:rsidRPr="00095D50">
        <w:rPr>
          <w:rFonts w:ascii="Times New Roman" w:hAnsi="Times New Roman" w:cs="Times New Roman"/>
          <w:bCs/>
          <w:sz w:val="24"/>
          <w:szCs w:val="24"/>
        </w:rPr>
        <w:t xml:space="preserve"> [22,23,24,25,26]</w:t>
      </w:r>
      <w:r w:rsidRPr="00095D50">
        <w:rPr>
          <w:rFonts w:ascii="Times New Roman" w:hAnsi="Times New Roman" w:cs="Times New Roman"/>
          <w:bCs/>
          <w:sz w:val="24"/>
          <w:szCs w:val="24"/>
        </w:rPr>
        <w:t>. These deficiencies are no longer considered just micronutrient deficiencies; they are known to impair:</w:t>
      </w:r>
    </w:p>
    <w:p w14:paraId="41EA04B7" w14:textId="77777777" w:rsidR="005833E6" w:rsidRPr="00095D50" w:rsidRDefault="005833E6" w:rsidP="005833E6">
      <w:pPr>
        <w:pStyle w:val="ListParagraph"/>
        <w:numPr>
          <w:ilvl w:val="0"/>
          <w:numId w:val="14"/>
        </w:numPr>
        <w:jc w:val="both"/>
        <w:rPr>
          <w:rFonts w:ascii="Times New Roman" w:hAnsi="Times New Roman" w:cs="Times New Roman"/>
          <w:bCs/>
          <w:sz w:val="24"/>
          <w:szCs w:val="24"/>
        </w:rPr>
      </w:pPr>
      <w:r w:rsidRPr="00095D50">
        <w:rPr>
          <w:rFonts w:ascii="Times New Roman" w:hAnsi="Times New Roman" w:cs="Times New Roman"/>
          <w:bCs/>
          <w:sz w:val="24"/>
          <w:szCs w:val="24"/>
        </w:rPr>
        <w:t>Epigenetic regulation (through methylation derangement),</w:t>
      </w:r>
    </w:p>
    <w:p w14:paraId="49C3B287" w14:textId="77777777" w:rsidR="005833E6" w:rsidRPr="00095D50" w:rsidRDefault="005833E6" w:rsidP="005833E6">
      <w:pPr>
        <w:pStyle w:val="ListParagraph"/>
        <w:numPr>
          <w:ilvl w:val="0"/>
          <w:numId w:val="14"/>
        </w:numPr>
        <w:jc w:val="both"/>
        <w:rPr>
          <w:rFonts w:ascii="Times New Roman" w:hAnsi="Times New Roman" w:cs="Times New Roman"/>
          <w:bCs/>
          <w:sz w:val="24"/>
          <w:szCs w:val="24"/>
        </w:rPr>
      </w:pPr>
      <w:r w:rsidRPr="00095D50">
        <w:rPr>
          <w:rFonts w:ascii="Times New Roman" w:hAnsi="Times New Roman" w:cs="Times New Roman"/>
          <w:bCs/>
          <w:sz w:val="24"/>
          <w:szCs w:val="24"/>
        </w:rPr>
        <w:t>Redox signaling (through reduced antioxidant enzymes),</w:t>
      </w:r>
    </w:p>
    <w:p w14:paraId="73A4BAE8" w14:textId="77777777" w:rsidR="005833E6" w:rsidRPr="00095D50" w:rsidRDefault="005833E6" w:rsidP="005833E6">
      <w:pPr>
        <w:pStyle w:val="ListParagraph"/>
        <w:numPr>
          <w:ilvl w:val="0"/>
          <w:numId w:val="14"/>
        </w:numPr>
        <w:jc w:val="both"/>
        <w:rPr>
          <w:rFonts w:ascii="Times New Roman" w:hAnsi="Times New Roman" w:cs="Times New Roman"/>
          <w:bCs/>
          <w:sz w:val="24"/>
          <w:szCs w:val="24"/>
        </w:rPr>
      </w:pPr>
      <w:r w:rsidRPr="00095D50">
        <w:rPr>
          <w:rFonts w:ascii="Times New Roman" w:hAnsi="Times New Roman" w:cs="Times New Roman"/>
          <w:bCs/>
          <w:sz w:val="24"/>
          <w:szCs w:val="24"/>
        </w:rPr>
        <w:t>Immune resilience (through cytokine imbalance and gut permeability),</w:t>
      </w:r>
    </w:p>
    <w:p w14:paraId="11A35CA1" w14:textId="77777777" w:rsidR="005833E6" w:rsidRPr="00095D50" w:rsidRDefault="005833E6" w:rsidP="005833E6">
      <w:pPr>
        <w:pStyle w:val="ListParagraph"/>
        <w:numPr>
          <w:ilvl w:val="0"/>
          <w:numId w:val="14"/>
        </w:numPr>
        <w:jc w:val="both"/>
        <w:rPr>
          <w:rFonts w:ascii="Times New Roman" w:hAnsi="Times New Roman" w:cs="Times New Roman"/>
          <w:bCs/>
          <w:sz w:val="24"/>
          <w:szCs w:val="24"/>
        </w:rPr>
      </w:pPr>
      <w:r w:rsidRPr="00095D50">
        <w:rPr>
          <w:rFonts w:ascii="Times New Roman" w:hAnsi="Times New Roman" w:cs="Times New Roman"/>
          <w:bCs/>
          <w:sz w:val="24"/>
          <w:szCs w:val="24"/>
        </w:rPr>
        <w:t>Autophagy and mitochondrial integrity (owing to inefficient NAD+/SAM cycling)</w:t>
      </w:r>
    </w:p>
    <w:p w14:paraId="43255A30" w14:textId="77777777" w:rsidR="005833E6" w:rsidRPr="00095D50" w:rsidRDefault="005833E6" w:rsidP="005833E6">
      <w:pPr>
        <w:jc w:val="both"/>
        <w:rPr>
          <w:rFonts w:ascii="Times New Roman" w:hAnsi="Times New Roman" w:cs="Times New Roman"/>
          <w:bCs/>
          <w:sz w:val="24"/>
          <w:szCs w:val="24"/>
        </w:rPr>
      </w:pPr>
      <w:r w:rsidRPr="00095D50">
        <w:rPr>
          <w:rFonts w:ascii="Times New Roman" w:hAnsi="Times New Roman" w:cs="Times New Roman"/>
          <w:bCs/>
          <w:sz w:val="24"/>
          <w:szCs w:val="24"/>
        </w:rPr>
        <w:t xml:space="preserve">At the same time, interest in classical Rasayana therapies like Chyawanprash is revived, which are said to regain vigor, immunity, and resilience. Their mechanisms, however, have been poorly elaborated at the molecular level. The INP approach offers a scientifically sound and computationally convenient framework to assess how such multi-herb combinations may engage with contemporary pathophysiology at a systems </w:t>
      </w:r>
      <w:proofErr w:type="gramStart"/>
      <w:r w:rsidRPr="00095D50">
        <w:rPr>
          <w:rFonts w:ascii="Times New Roman" w:hAnsi="Times New Roman" w:cs="Times New Roman"/>
          <w:bCs/>
          <w:sz w:val="24"/>
          <w:szCs w:val="24"/>
        </w:rPr>
        <w:t>level.</w:t>
      </w:r>
      <w:r w:rsidR="00633C11" w:rsidRPr="00095D50">
        <w:rPr>
          <w:rFonts w:ascii="Times New Roman" w:hAnsi="Times New Roman" w:cs="Times New Roman"/>
          <w:bCs/>
          <w:sz w:val="24"/>
          <w:szCs w:val="24"/>
        </w:rPr>
        <w:t>[</w:t>
      </w:r>
      <w:proofErr w:type="gramEnd"/>
      <w:r w:rsidR="00633C11" w:rsidRPr="00095D50">
        <w:rPr>
          <w:rFonts w:ascii="Times New Roman" w:hAnsi="Times New Roman" w:cs="Times New Roman"/>
          <w:bCs/>
          <w:sz w:val="24"/>
          <w:szCs w:val="24"/>
        </w:rPr>
        <w:t>26, 27]</w:t>
      </w:r>
    </w:p>
    <w:p w14:paraId="0B01CB24" w14:textId="77777777" w:rsidR="005833E6" w:rsidRPr="00095D50" w:rsidRDefault="005833E6" w:rsidP="005833E6">
      <w:pPr>
        <w:jc w:val="both"/>
        <w:rPr>
          <w:rFonts w:ascii="Times New Roman" w:hAnsi="Times New Roman" w:cs="Times New Roman"/>
          <w:bCs/>
          <w:sz w:val="24"/>
          <w:szCs w:val="24"/>
        </w:rPr>
      </w:pPr>
      <w:r w:rsidRPr="00095D50">
        <w:rPr>
          <w:rFonts w:ascii="Times New Roman" w:hAnsi="Times New Roman" w:cs="Times New Roman"/>
          <w:bCs/>
          <w:sz w:val="24"/>
          <w:szCs w:val="24"/>
        </w:rPr>
        <w:t xml:space="preserve">By deriving INP to both contemporary deficiency-led collapse and classical formulation-led renewal, we advocate a common approach to: Disassemble intricate failure sequences, </w:t>
      </w:r>
      <w:r w:rsidR="00BC08E3" w:rsidRPr="00095D50">
        <w:rPr>
          <w:rFonts w:ascii="Times New Roman" w:hAnsi="Times New Roman" w:cs="Times New Roman"/>
          <w:bCs/>
          <w:sz w:val="24"/>
          <w:szCs w:val="24"/>
        </w:rPr>
        <w:t>anticipate</w:t>
      </w:r>
      <w:r w:rsidRPr="00095D50">
        <w:rPr>
          <w:rFonts w:ascii="Times New Roman" w:hAnsi="Times New Roman" w:cs="Times New Roman"/>
          <w:bCs/>
          <w:sz w:val="24"/>
          <w:szCs w:val="24"/>
        </w:rPr>
        <w:t xml:space="preserve"> synergistic repair hubs, create or refine comprehensive interventions.</w:t>
      </w:r>
    </w:p>
    <w:p w14:paraId="5EDAE68A" w14:textId="77777777" w:rsidR="00C45D71" w:rsidRPr="00095D50" w:rsidRDefault="00C45D71" w:rsidP="005833E6">
      <w:pPr>
        <w:jc w:val="both"/>
        <w:rPr>
          <w:rFonts w:ascii="Times New Roman" w:hAnsi="Times New Roman" w:cs="Times New Roman"/>
          <w:bCs/>
          <w:sz w:val="24"/>
          <w:szCs w:val="24"/>
        </w:rPr>
      </w:pPr>
      <w:r w:rsidRPr="00095D50">
        <w:rPr>
          <w:rFonts w:ascii="Times New Roman" w:hAnsi="Times New Roman" w:cs="Times New Roman"/>
          <w:bCs/>
          <w:sz w:val="24"/>
          <w:szCs w:val="24"/>
        </w:rPr>
        <w:t>For the first time, we introduce the Intrinsic Network Pharmacology (INP) protocol as a structured framework to bridge the gap between theoretical network pharmacology and real-world pharmacological systems. This model offers a dynamic, multi-layered approach to simulate, analyze, and align pharmacological interventions with biological complexity.</w:t>
      </w:r>
    </w:p>
    <w:p w14:paraId="0ECB1A65" w14:textId="77777777" w:rsidR="00EC04BD" w:rsidRPr="00095D50" w:rsidRDefault="005833E6" w:rsidP="005833E6">
      <w:pPr>
        <w:jc w:val="both"/>
        <w:rPr>
          <w:rFonts w:ascii="Times New Roman" w:hAnsi="Times New Roman" w:cs="Times New Roman"/>
          <w:bCs/>
          <w:sz w:val="24"/>
          <w:szCs w:val="24"/>
        </w:rPr>
      </w:pPr>
      <w:r w:rsidRPr="00095D50">
        <w:rPr>
          <w:rFonts w:ascii="Times New Roman" w:hAnsi="Times New Roman" w:cs="Times New Roman"/>
          <w:bCs/>
          <w:sz w:val="24"/>
          <w:szCs w:val="24"/>
        </w:rPr>
        <w:t>In this paper, we implement the INP protocol to compare two scenarios: the network failure profile in Vitamin D3 and B12 deficiencies, and network repair potential of the traditional Rasayana medicine Chyawanprash. Our results, though computational and based on models, disclose therapeutic hypotheses and system-wide interactions that are worthy of further experimental confirmation.</w:t>
      </w:r>
    </w:p>
    <w:p w14:paraId="20C05B80" w14:textId="77777777" w:rsidR="00EC04BD" w:rsidRPr="00095D50" w:rsidRDefault="005833E6" w:rsidP="00EC04BD">
      <w:pPr>
        <w:jc w:val="both"/>
        <w:rPr>
          <w:rFonts w:ascii="Times New Roman" w:hAnsi="Times New Roman" w:cs="Times New Roman"/>
          <w:b/>
          <w:bCs/>
          <w:sz w:val="24"/>
          <w:szCs w:val="24"/>
        </w:rPr>
      </w:pPr>
      <w:r w:rsidRPr="00095D50">
        <w:rPr>
          <w:rFonts w:ascii="Times New Roman" w:hAnsi="Times New Roman" w:cs="Times New Roman"/>
          <w:b/>
          <w:bCs/>
          <w:sz w:val="24"/>
          <w:szCs w:val="24"/>
        </w:rPr>
        <w:t xml:space="preserve">2. </w:t>
      </w:r>
      <w:r w:rsidR="00EC04BD" w:rsidRPr="00095D50">
        <w:rPr>
          <w:rFonts w:ascii="Times New Roman" w:hAnsi="Times New Roman" w:cs="Times New Roman"/>
          <w:b/>
          <w:bCs/>
          <w:sz w:val="24"/>
          <w:szCs w:val="24"/>
        </w:rPr>
        <w:t xml:space="preserve">Methodology: </w:t>
      </w:r>
    </w:p>
    <w:p w14:paraId="0E8309EE" w14:textId="77777777" w:rsidR="00EC04BD" w:rsidRPr="00095D50" w:rsidRDefault="00EC04BD" w:rsidP="00EC04BD">
      <w:pPr>
        <w:jc w:val="both"/>
        <w:rPr>
          <w:rFonts w:ascii="Times New Roman" w:hAnsi="Times New Roman" w:cs="Times New Roman"/>
          <w:b/>
          <w:bCs/>
          <w:sz w:val="24"/>
          <w:szCs w:val="24"/>
        </w:rPr>
      </w:pPr>
      <w:r w:rsidRPr="00095D50">
        <w:rPr>
          <w:rFonts w:ascii="Times New Roman" w:hAnsi="Times New Roman" w:cs="Times New Roman"/>
          <w:b/>
          <w:bCs/>
          <w:sz w:val="24"/>
          <w:szCs w:val="24"/>
        </w:rPr>
        <w:t>The 7-Layer Intrinsic Network Pharmacology (INP) Framework</w:t>
      </w:r>
    </w:p>
    <w:p w14:paraId="5420AD6D"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sz w:val="24"/>
          <w:szCs w:val="24"/>
        </w:rPr>
        <w:t xml:space="preserve">The </w:t>
      </w:r>
      <w:r w:rsidRPr="00095D50">
        <w:rPr>
          <w:rFonts w:ascii="Times New Roman" w:hAnsi="Times New Roman" w:cs="Times New Roman"/>
          <w:b/>
          <w:bCs/>
          <w:sz w:val="24"/>
          <w:szCs w:val="24"/>
        </w:rPr>
        <w:t>7-layer INP framework</w:t>
      </w:r>
      <w:r w:rsidRPr="00095D50">
        <w:rPr>
          <w:rFonts w:ascii="Times New Roman" w:hAnsi="Times New Roman" w:cs="Times New Roman"/>
          <w:sz w:val="24"/>
          <w:szCs w:val="24"/>
        </w:rPr>
        <w:t xml:space="preserve"> is designed to systemically map how biological networks collapse under chronic stress or insufficiency and how they can be theoretically restored using targeted or </w:t>
      </w:r>
      <w:r w:rsidRPr="00095D50">
        <w:rPr>
          <w:rFonts w:ascii="Times New Roman" w:hAnsi="Times New Roman" w:cs="Times New Roman"/>
          <w:sz w:val="24"/>
          <w:szCs w:val="24"/>
        </w:rPr>
        <w:lastRenderedPageBreak/>
        <w:t xml:space="preserve">polypharmacological inputs. It is an expansion of conventional </w:t>
      </w:r>
      <w:r w:rsidRPr="00095D50">
        <w:rPr>
          <w:rFonts w:ascii="Times New Roman" w:hAnsi="Times New Roman" w:cs="Times New Roman"/>
          <w:b/>
          <w:bCs/>
          <w:sz w:val="24"/>
          <w:szCs w:val="24"/>
        </w:rPr>
        <w:t>network pharmacology (NP)</w:t>
      </w:r>
      <w:r w:rsidRPr="00095D50">
        <w:rPr>
          <w:rFonts w:ascii="Times New Roman" w:hAnsi="Times New Roman" w:cs="Times New Roman"/>
          <w:sz w:val="24"/>
          <w:szCs w:val="24"/>
        </w:rPr>
        <w:t>, incorporating feedback systems, redox coupling, immune signaling, and simulation layers beyond static node-target associations.</w:t>
      </w:r>
    </w:p>
    <w:p w14:paraId="04AA10C2"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sz w:val="24"/>
          <w:szCs w:val="24"/>
        </w:rPr>
        <w:t>Each layer builds upon the previous one, integrating dynamic, functional, and hierarchical network behavior into a unified modeling pipeline.</w:t>
      </w:r>
    </w:p>
    <w:p w14:paraId="0B519402" w14:textId="77777777" w:rsidR="00EC04BD" w:rsidRPr="00095D50" w:rsidRDefault="00EC04BD" w:rsidP="00EC04BD">
      <w:pPr>
        <w:jc w:val="both"/>
        <w:rPr>
          <w:rFonts w:ascii="Times New Roman" w:hAnsi="Times New Roman" w:cs="Times New Roman"/>
          <w:b/>
          <w:bCs/>
          <w:sz w:val="24"/>
          <w:szCs w:val="24"/>
        </w:rPr>
      </w:pPr>
      <w:r w:rsidRPr="00095D50">
        <w:rPr>
          <w:rFonts w:ascii="Times New Roman" w:hAnsi="Times New Roman" w:cs="Times New Roman"/>
          <w:b/>
          <w:bCs/>
          <w:sz w:val="24"/>
          <w:szCs w:val="24"/>
        </w:rPr>
        <w:t>Layer 1: Trigger &amp; Collapse Node Identification</w:t>
      </w:r>
    </w:p>
    <w:p w14:paraId="53A7C6AD"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Objective</w:t>
      </w:r>
      <w:r w:rsidRPr="00095D50">
        <w:rPr>
          <w:rFonts w:ascii="Times New Roman" w:hAnsi="Times New Roman" w:cs="Times New Roman"/>
          <w:sz w:val="24"/>
          <w:szCs w:val="24"/>
        </w:rPr>
        <w:t>: Identify primary stressors or biological imbalances that initiate the destabilization of complex homeostatic networks.</w:t>
      </w:r>
    </w:p>
    <w:p w14:paraId="667DAC4B"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Methodology</w:t>
      </w:r>
      <w:r w:rsidRPr="00095D50">
        <w:rPr>
          <w:rFonts w:ascii="Times New Roman" w:hAnsi="Times New Roman" w:cs="Times New Roman"/>
          <w:sz w:val="24"/>
          <w:szCs w:val="24"/>
        </w:rPr>
        <w:t>:</w:t>
      </w:r>
    </w:p>
    <w:p w14:paraId="7E47A417" w14:textId="77777777" w:rsidR="00EC04BD" w:rsidRPr="00095D50" w:rsidRDefault="00EC04BD" w:rsidP="00EC04BD">
      <w:pPr>
        <w:numPr>
          <w:ilvl w:val="0"/>
          <w:numId w:val="1"/>
        </w:numPr>
        <w:jc w:val="both"/>
        <w:rPr>
          <w:rFonts w:ascii="Times New Roman" w:hAnsi="Times New Roman" w:cs="Times New Roman"/>
          <w:sz w:val="24"/>
          <w:szCs w:val="24"/>
        </w:rPr>
      </w:pPr>
      <w:r w:rsidRPr="00095D50">
        <w:rPr>
          <w:rFonts w:ascii="Times New Roman" w:hAnsi="Times New Roman" w:cs="Times New Roman"/>
          <w:sz w:val="24"/>
          <w:szCs w:val="24"/>
        </w:rPr>
        <w:t>Extract system-level triggers (environmental, genetic, metabolic) through omics analysis or literature curation.</w:t>
      </w:r>
    </w:p>
    <w:p w14:paraId="1D6F074F" w14:textId="77777777" w:rsidR="00EC04BD" w:rsidRPr="00095D50" w:rsidRDefault="00EC04BD" w:rsidP="00EC04BD">
      <w:pPr>
        <w:numPr>
          <w:ilvl w:val="0"/>
          <w:numId w:val="1"/>
        </w:numPr>
        <w:jc w:val="both"/>
        <w:rPr>
          <w:rFonts w:ascii="Times New Roman" w:hAnsi="Times New Roman" w:cs="Times New Roman"/>
          <w:sz w:val="24"/>
          <w:szCs w:val="24"/>
        </w:rPr>
      </w:pPr>
      <w:r w:rsidRPr="00095D50">
        <w:rPr>
          <w:rFonts w:ascii="Times New Roman" w:hAnsi="Times New Roman" w:cs="Times New Roman"/>
          <w:sz w:val="24"/>
          <w:szCs w:val="24"/>
        </w:rPr>
        <w:t xml:space="preserve">Map these triggers to </w:t>
      </w:r>
      <w:r w:rsidRPr="00095D50">
        <w:rPr>
          <w:rFonts w:ascii="Times New Roman" w:hAnsi="Times New Roman" w:cs="Times New Roman"/>
          <w:b/>
          <w:bCs/>
          <w:sz w:val="24"/>
          <w:szCs w:val="24"/>
        </w:rPr>
        <w:t>first-order molecular events</w:t>
      </w:r>
      <w:r w:rsidRPr="00095D50">
        <w:rPr>
          <w:rFonts w:ascii="Times New Roman" w:hAnsi="Times New Roman" w:cs="Times New Roman"/>
          <w:sz w:val="24"/>
          <w:szCs w:val="24"/>
        </w:rPr>
        <w:t>, such as transcriptional repression, nutrient transporter failure, or ROS accumulation.</w:t>
      </w:r>
    </w:p>
    <w:p w14:paraId="47782C67" w14:textId="77777777" w:rsidR="00EC04BD" w:rsidRPr="00095D50" w:rsidRDefault="00EC04BD" w:rsidP="00EC04BD">
      <w:pPr>
        <w:numPr>
          <w:ilvl w:val="0"/>
          <w:numId w:val="1"/>
        </w:numPr>
        <w:jc w:val="both"/>
        <w:rPr>
          <w:rFonts w:ascii="Times New Roman" w:hAnsi="Times New Roman" w:cs="Times New Roman"/>
          <w:sz w:val="24"/>
          <w:szCs w:val="24"/>
        </w:rPr>
      </w:pPr>
      <w:r w:rsidRPr="00095D50">
        <w:rPr>
          <w:rFonts w:ascii="Times New Roman" w:hAnsi="Times New Roman" w:cs="Times New Roman"/>
          <w:sz w:val="24"/>
          <w:szCs w:val="24"/>
        </w:rPr>
        <w:t xml:space="preserve">Construct </w:t>
      </w:r>
      <w:r w:rsidRPr="00095D50">
        <w:rPr>
          <w:rFonts w:ascii="Times New Roman" w:hAnsi="Times New Roman" w:cs="Times New Roman"/>
          <w:b/>
          <w:bCs/>
          <w:sz w:val="24"/>
          <w:szCs w:val="24"/>
        </w:rPr>
        <w:t>cause-effect cascades</w:t>
      </w:r>
      <w:r w:rsidRPr="00095D50">
        <w:rPr>
          <w:rFonts w:ascii="Times New Roman" w:hAnsi="Times New Roman" w:cs="Times New Roman"/>
          <w:sz w:val="24"/>
          <w:szCs w:val="24"/>
        </w:rPr>
        <w:t xml:space="preserve"> using directed acyclic graphs (DAGs) to highlight the first collapse node(s).</w:t>
      </w:r>
    </w:p>
    <w:p w14:paraId="684C48ED" w14:textId="77777777" w:rsidR="00EC04BD" w:rsidRPr="00095D50" w:rsidRDefault="00EC04BD" w:rsidP="00EC04BD">
      <w:pPr>
        <w:numPr>
          <w:ilvl w:val="0"/>
          <w:numId w:val="1"/>
        </w:numPr>
        <w:jc w:val="both"/>
        <w:rPr>
          <w:rFonts w:ascii="Times New Roman" w:hAnsi="Times New Roman" w:cs="Times New Roman"/>
          <w:sz w:val="24"/>
          <w:szCs w:val="24"/>
        </w:rPr>
      </w:pPr>
      <w:r w:rsidRPr="00095D50">
        <w:rPr>
          <w:rFonts w:ascii="Times New Roman" w:hAnsi="Times New Roman" w:cs="Times New Roman"/>
          <w:sz w:val="24"/>
          <w:szCs w:val="24"/>
        </w:rPr>
        <w:t>Use data integration tools (e.g., DisGeNET, BioGRID) to trace how localized failures propagate across multi-organ systems or cellular compartments.</w:t>
      </w:r>
    </w:p>
    <w:p w14:paraId="5196A050"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Output</w:t>
      </w:r>
      <w:r w:rsidRPr="00095D50">
        <w:rPr>
          <w:rFonts w:ascii="Times New Roman" w:hAnsi="Times New Roman" w:cs="Times New Roman"/>
          <w:sz w:val="24"/>
          <w:szCs w:val="24"/>
        </w:rPr>
        <w:t>: Root collapse map identifying upstream initiators and early sentinel nodes of INP disruption.</w:t>
      </w:r>
    </w:p>
    <w:p w14:paraId="1A90EC57" w14:textId="77777777" w:rsidR="00EC04BD" w:rsidRPr="00095D50" w:rsidRDefault="00EC04BD" w:rsidP="00EC04BD">
      <w:pPr>
        <w:jc w:val="both"/>
        <w:rPr>
          <w:rFonts w:ascii="Times New Roman" w:hAnsi="Times New Roman" w:cs="Times New Roman"/>
          <w:b/>
          <w:bCs/>
          <w:sz w:val="24"/>
          <w:szCs w:val="24"/>
        </w:rPr>
      </w:pPr>
      <w:r w:rsidRPr="00095D50">
        <w:rPr>
          <w:rFonts w:ascii="Times New Roman" w:hAnsi="Times New Roman" w:cs="Times New Roman"/>
          <w:b/>
          <w:bCs/>
          <w:sz w:val="24"/>
          <w:szCs w:val="24"/>
        </w:rPr>
        <w:t>Layer 2: Feedback Inhibition Mapping</w:t>
      </w:r>
    </w:p>
    <w:p w14:paraId="44C77FD3"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Objective</w:t>
      </w:r>
      <w:r w:rsidRPr="00095D50">
        <w:rPr>
          <w:rFonts w:ascii="Times New Roman" w:hAnsi="Times New Roman" w:cs="Times New Roman"/>
          <w:sz w:val="24"/>
          <w:szCs w:val="24"/>
        </w:rPr>
        <w:t>: Analyze the breakdown or reinforcement of regulatory feedback loops that maintain system stability.</w:t>
      </w:r>
    </w:p>
    <w:p w14:paraId="347FA0AA"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Methodology</w:t>
      </w:r>
      <w:r w:rsidRPr="00095D50">
        <w:rPr>
          <w:rFonts w:ascii="Times New Roman" w:hAnsi="Times New Roman" w:cs="Times New Roman"/>
          <w:sz w:val="24"/>
          <w:szCs w:val="24"/>
        </w:rPr>
        <w:t>:</w:t>
      </w:r>
    </w:p>
    <w:p w14:paraId="1F435986" w14:textId="77777777" w:rsidR="00EC04BD" w:rsidRPr="00095D50" w:rsidRDefault="00EC04BD" w:rsidP="00EC04BD">
      <w:pPr>
        <w:numPr>
          <w:ilvl w:val="0"/>
          <w:numId w:val="2"/>
        </w:numPr>
        <w:jc w:val="both"/>
        <w:rPr>
          <w:rFonts w:ascii="Times New Roman" w:hAnsi="Times New Roman" w:cs="Times New Roman"/>
          <w:sz w:val="24"/>
          <w:szCs w:val="24"/>
        </w:rPr>
      </w:pPr>
      <w:r w:rsidRPr="00095D50">
        <w:rPr>
          <w:rFonts w:ascii="Times New Roman" w:hAnsi="Times New Roman" w:cs="Times New Roman"/>
          <w:sz w:val="24"/>
          <w:szCs w:val="24"/>
        </w:rPr>
        <w:t xml:space="preserve">Identify </w:t>
      </w:r>
      <w:r w:rsidRPr="00095D50">
        <w:rPr>
          <w:rFonts w:ascii="Times New Roman" w:hAnsi="Times New Roman" w:cs="Times New Roman"/>
          <w:b/>
          <w:bCs/>
          <w:sz w:val="24"/>
          <w:szCs w:val="24"/>
        </w:rPr>
        <w:t>positive and negative feedback motifs</w:t>
      </w:r>
      <w:r w:rsidRPr="00095D50">
        <w:rPr>
          <w:rFonts w:ascii="Times New Roman" w:hAnsi="Times New Roman" w:cs="Times New Roman"/>
          <w:sz w:val="24"/>
          <w:szCs w:val="24"/>
        </w:rPr>
        <w:t xml:space="preserve"> in signaling pathways using logic-based modeling or Boolean algebra.</w:t>
      </w:r>
    </w:p>
    <w:p w14:paraId="75CE3342" w14:textId="77777777" w:rsidR="00EC04BD" w:rsidRPr="00095D50" w:rsidRDefault="00EC04BD" w:rsidP="00EC04BD">
      <w:pPr>
        <w:numPr>
          <w:ilvl w:val="0"/>
          <w:numId w:val="2"/>
        </w:numPr>
        <w:jc w:val="both"/>
        <w:rPr>
          <w:rFonts w:ascii="Times New Roman" w:hAnsi="Times New Roman" w:cs="Times New Roman"/>
          <w:sz w:val="24"/>
          <w:szCs w:val="24"/>
        </w:rPr>
      </w:pPr>
      <w:r w:rsidRPr="00095D50">
        <w:rPr>
          <w:rFonts w:ascii="Times New Roman" w:hAnsi="Times New Roman" w:cs="Times New Roman"/>
          <w:sz w:val="24"/>
          <w:szCs w:val="24"/>
        </w:rPr>
        <w:t>Focus on regulators like transcription factors, repressors, and coactivators (e.g., SOCS, LRIG, SIRT).</w:t>
      </w:r>
    </w:p>
    <w:p w14:paraId="0291530E" w14:textId="77777777" w:rsidR="00EC04BD" w:rsidRPr="00095D50" w:rsidRDefault="00EC04BD" w:rsidP="00EC04BD">
      <w:pPr>
        <w:numPr>
          <w:ilvl w:val="0"/>
          <w:numId w:val="2"/>
        </w:numPr>
        <w:jc w:val="both"/>
        <w:rPr>
          <w:rFonts w:ascii="Times New Roman" w:hAnsi="Times New Roman" w:cs="Times New Roman"/>
          <w:sz w:val="24"/>
          <w:szCs w:val="24"/>
        </w:rPr>
      </w:pPr>
      <w:r w:rsidRPr="00095D50">
        <w:rPr>
          <w:rFonts w:ascii="Times New Roman" w:hAnsi="Times New Roman" w:cs="Times New Roman"/>
          <w:sz w:val="24"/>
          <w:szCs w:val="24"/>
        </w:rPr>
        <w:t xml:space="preserve">Use feedback network topology to evaluate </w:t>
      </w:r>
      <w:r w:rsidRPr="00095D50">
        <w:rPr>
          <w:rFonts w:ascii="Times New Roman" w:hAnsi="Times New Roman" w:cs="Times New Roman"/>
          <w:b/>
          <w:bCs/>
          <w:sz w:val="24"/>
          <w:szCs w:val="24"/>
        </w:rPr>
        <w:t>control robustness</w:t>
      </w:r>
      <w:r w:rsidRPr="00095D50">
        <w:rPr>
          <w:rFonts w:ascii="Times New Roman" w:hAnsi="Times New Roman" w:cs="Times New Roman"/>
          <w:sz w:val="24"/>
          <w:szCs w:val="24"/>
        </w:rPr>
        <w:t xml:space="preserve">, </w:t>
      </w:r>
      <w:r w:rsidRPr="00095D50">
        <w:rPr>
          <w:rFonts w:ascii="Times New Roman" w:hAnsi="Times New Roman" w:cs="Times New Roman"/>
          <w:b/>
          <w:bCs/>
          <w:sz w:val="24"/>
          <w:szCs w:val="24"/>
        </w:rPr>
        <w:t>gain saturation</w:t>
      </w:r>
      <w:r w:rsidRPr="00095D50">
        <w:rPr>
          <w:rFonts w:ascii="Times New Roman" w:hAnsi="Times New Roman" w:cs="Times New Roman"/>
          <w:sz w:val="24"/>
          <w:szCs w:val="24"/>
        </w:rPr>
        <w:t xml:space="preserve">, and </w:t>
      </w:r>
      <w:r w:rsidRPr="00095D50">
        <w:rPr>
          <w:rFonts w:ascii="Times New Roman" w:hAnsi="Times New Roman" w:cs="Times New Roman"/>
          <w:b/>
          <w:bCs/>
          <w:sz w:val="24"/>
          <w:szCs w:val="24"/>
        </w:rPr>
        <w:t>feedback damping</w:t>
      </w:r>
      <w:r w:rsidRPr="00095D50">
        <w:rPr>
          <w:rFonts w:ascii="Times New Roman" w:hAnsi="Times New Roman" w:cs="Times New Roman"/>
          <w:sz w:val="24"/>
          <w:szCs w:val="24"/>
        </w:rPr>
        <w:t xml:space="preserve"> characteristics.</w:t>
      </w:r>
    </w:p>
    <w:p w14:paraId="1C2BFF1A" w14:textId="77777777" w:rsidR="00EC04BD" w:rsidRPr="00095D50" w:rsidRDefault="00EC04BD" w:rsidP="00EC04BD">
      <w:pPr>
        <w:numPr>
          <w:ilvl w:val="0"/>
          <w:numId w:val="2"/>
        </w:numPr>
        <w:jc w:val="both"/>
        <w:rPr>
          <w:rFonts w:ascii="Times New Roman" w:hAnsi="Times New Roman" w:cs="Times New Roman"/>
          <w:sz w:val="24"/>
          <w:szCs w:val="24"/>
        </w:rPr>
      </w:pPr>
      <w:r w:rsidRPr="00095D50">
        <w:rPr>
          <w:rFonts w:ascii="Times New Roman" w:hAnsi="Times New Roman" w:cs="Times New Roman"/>
          <w:sz w:val="24"/>
          <w:szCs w:val="24"/>
        </w:rPr>
        <w:t>Classify feedback loops as disrupted, compensatory, or amplified using pathway simulators (e.g., CellDesigner or PySB).</w:t>
      </w:r>
    </w:p>
    <w:p w14:paraId="5EE65912"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Output</w:t>
      </w:r>
      <w:r w:rsidRPr="00095D50">
        <w:rPr>
          <w:rFonts w:ascii="Times New Roman" w:hAnsi="Times New Roman" w:cs="Times New Roman"/>
          <w:sz w:val="24"/>
          <w:szCs w:val="24"/>
        </w:rPr>
        <w:t>: Dynamic feedback map characterizing how the system loses or regains regulatory control.</w:t>
      </w:r>
    </w:p>
    <w:p w14:paraId="45F3E31A" w14:textId="77777777" w:rsidR="00EC04BD" w:rsidRPr="00095D50" w:rsidRDefault="00EC04BD" w:rsidP="00EC04BD">
      <w:pPr>
        <w:jc w:val="both"/>
        <w:rPr>
          <w:rFonts w:ascii="Times New Roman" w:hAnsi="Times New Roman" w:cs="Times New Roman"/>
          <w:b/>
          <w:bCs/>
          <w:sz w:val="24"/>
          <w:szCs w:val="24"/>
        </w:rPr>
      </w:pPr>
      <w:r w:rsidRPr="00095D50">
        <w:rPr>
          <w:rFonts w:ascii="Times New Roman" w:hAnsi="Times New Roman" w:cs="Times New Roman"/>
          <w:b/>
          <w:bCs/>
          <w:sz w:val="24"/>
          <w:szCs w:val="24"/>
        </w:rPr>
        <w:t>Layer 3: Redox and Oxidative Balance Layer</w:t>
      </w:r>
    </w:p>
    <w:p w14:paraId="385C34F0"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lastRenderedPageBreak/>
        <w:t>Objective</w:t>
      </w:r>
      <w:r w:rsidRPr="00095D50">
        <w:rPr>
          <w:rFonts w:ascii="Times New Roman" w:hAnsi="Times New Roman" w:cs="Times New Roman"/>
          <w:sz w:val="24"/>
          <w:szCs w:val="24"/>
        </w:rPr>
        <w:t>: Assess how redox status influences overall system function and failure.</w:t>
      </w:r>
    </w:p>
    <w:p w14:paraId="4467A285"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Methodology</w:t>
      </w:r>
      <w:r w:rsidRPr="00095D50">
        <w:rPr>
          <w:rFonts w:ascii="Times New Roman" w:hAnsi="Times New Roman" w:cs="Times New Roman"/>
          <w:sz w:val="24"/>
          <w:szCs w:val="24"/>
        </w:rPr>
        <w:t>:</w:t>
      </w:r>
    </w:p>
    <w:p w14:paraId="56D29F28" w14:textId="77777777" w:rsidR="00EC04BD" w:rsidRPr="00095D50" w:rsidRDefault="00EC04BD" w:rsidP="00EC04BD">
      <w:pPr>
        <w:numPr>
          <w:ilvl w:val="0"/>
          <w:numId w:val="3"/>
        </w:numPr>
        <w:jc w:val="both"/>
        <w:rPr>
          <w:rFonts w:ascii="Times New Roman" w:hAnsi="Times New Roman" w:cs="Times New Roman"/>
          <w:sz w:val="24"/>
          <w:szCs w:val="24"/>
        </w:rPr>
      </w:pPr>
      <w:r w:rsidRPr="00095D50">
        <w:rPr>
          <w:rFonts w:ascii="Times New Roman" w:hAnsi="Times New Roman" w:cs="Times New Roman"/>
          <w:sz w:val="24"/>
          <w:szCs w:val="24"/>
        </w:rPr>
        <w:t>Use omics data or curated literature to assess expression and activity of redox-sensitive molecules (e.g., Nrf2, GPX, CAT, SOD).</w:t>
      </w:r>
    </w:p>
    <w:p w14:paraId="6930AF60" w14:textId="77777777" w:rsidR="00EC04BD" w:rsidRPr="00095D50" w:rsidRDefault="00EC04BD" w:rsidP="00EC04BD">
      <w:pPr>
        <w:numPr>
          <w:ilvl w:val="0"/>
          <w:numId w:val="3"/>
        </w:numPr>
        <w:jc w:val="both"/>
        <w:rPr>
          <w:rFonts w:ascii="Times New Roman" w:hAnsi="Times New Roman" w:cs="Times New Roman"/>
          <w:sz w:val="24"/>
          <w:szCs w:val="24"/>
        </w:rPr>
      </w:pPr>
      <w:r w:rsidRPr="00095D50">
        <w:rPr>
          <w:rFonts w:ascii="Times New Roman" w:hAnsi="Times New Roman" w:cs="Times New Roman"/>
          <w:sz w:val="24"/>
          <w:szCs w:val="24"/>
        </w:rPr>
        <w:t xml:space="preserve">Construct </w:t>
      </w:r>
      <w:r w:rsidRPr="00095D50">
        <w:rPr>
          <w:rFonts w:ascii="Times New Roman" w:hAnsi="Times New Roman" w:cs="Times New Roman"/>
          <w:b/>
          <w:bCs/>
          <w:sz w:val="24"/>
          <w:szCs w:val="24"/>
        </w:rPr>
        <w:t>redox regulatory networks</w:t>
      </w:r>
      <w:r w:rsidRPr="00095D50">
        <w:rPr>
          <w:rFonts w:ascii="Times New Roman" w:hAnsi="Times New Roman" w:cs="Times New Roman"/>
          <w:sz w:val="24"/>
          <w:szCs w:val="24"/>
        </w:rPr>
        <w:t xml:space="preserve"> that interface with mitochondrial health, autophagy, and metabolic sensing.</w:t>
      </w:r>
    </w:p>
    <w:p w14:paraId="0BC4DAA8" w14:textId="77777777" w:rsidR="00EC04BD" w:rsidRPr="00095D50" w:rsidRDefault="00EC04BD" w:rsidP="00EC04BD">
      <w:pPr>
        <w:numPr>
          <w:ilvl w:val="0"/>
          <w:numId w:val="3"/>
        </w:numPr>
        <w:jc w:val="both"/>
        <w:rPr>
          <w:rFonts w:ascii="Times New Roman" w:hAnsi="Times New Roman" w:cs="Times New Roman"/>
          <w:sz w:val="24"/>
          <w:szCs w:val="24"/>
        </w:rPr>
      </w:pPr>
      <w:r w:rsidRPr="00095D50">
        <w:rPr>
          <w:rFonts w:ascii="Times New Roman" w:hAnsi="Times New Roman" w:cs="Times New Roman"/>
          <w:sz w:val="24"/>
          <w:szCs w:val="24"/>
        </w:rPr>
        <w:t>Model ROS dynamics using differential equations that incorporate ROS generation (e.g., NOX, COX) and scavenging (e.g., GSH, thioredoxin).</w:t>
      </w:r>
    </w:p>
    <w:p w14:paraId="1A051E46" w14:textId="77777777" w:rsidR="00EC04BD" w:rsidRPr="00095D50" w:rsidRDefault="00EC04BD" w:rsidP="00EC04BD">
      <w:pPr>
        <w:numPr>
          <w:ilvl w:val="0"/>
          <w:numId w:val="3"/>
        </w:numPr>
        <w:jc w:val="both"/>
        <w:rPr>
          <w:rFonts w:ascii="Times New Roman" w:hAnsi="Times New Roman" w:cs="Times New Roman"/>
          <w:sz w:val="24"/>
          <w:szCs w:val="24"/>
        </w:rPr>
      </w:pPr>
      <w:r w:rsidRPr="00095D50">
        <w:rPr>
          <w:rFonts w:ascii="Times New Roman" w:hAnsi="Times New Roman" w:cs="Times New Roman"/>
          <w:sz w:val="24"/>
          <w:szCs w:val="24"/>
        </w:rPr>
        <w:t>Integrate redox feedback with transcriptional response layers to simulate oxidative resilience or overload.</w:t>
      </w:r>
    </w:p>
    <w:p w14:paraId="51672298"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Output</w:t>
      </w:r>
      <w:r w:rsidRPr="00095D50">
        <w:rPr>
          <w:rFonts w:ascii="Times New Roman" w:hAnsi="Times New Roman" w:cs="Times New Roman"/>
          <w:sz w:val="24"/>
          <w:szCs w:val="24"/>
        </w:rPr>
        <w:t>: A map of redox homeostasis capacity and its systemic impact on signaling fidelity and resilience.</w:t>
      </w:r>
    </w:p>
    <w:p w14:paraId="7CA6FFC6" w14:textId="77777777" w:rsidR="00EC04BD" w:rsidRPr="00095D50" w:rsidRDefault="00EC04BD" w:rsidP="00EC04BD">
      <w:pPr>
        <w:jc w:val="both"/>
        <w:rPr>
          <w:rFonts w:ascii="Times New Roman" w:hAnsi="Times New Roman" w:cs="Times New Roman"/>
          <w:b/>
          <w:bCs/>
          <w:sz w:val="24"/>
          <w:szCs w:val="24"/>
        </w:rPr>
      </w:pPr>
      <w:r w:rsidRPr="00095D50">
        <w:rPr>
          <w:rFonts w:ascii="Times New Roman" w:hAnsi="Times New Roman" w:cs="Times New Roman"/>
          <w:b/>
          <w:bCs/>
          <w:sz w:val="24"/>
          <w:szCs w:val="24"/>
        </w:rPr>
        <w:t>Layer 4: Immune, Coagulative, and Vascular Crosstalk Layer</w:t>
      </w:r>
    </w:p>
    <w:p w14:paraId="2DAF57FA"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Objective</w:t>
      </w:r>
      <w:r w:rsidRPr="00095D50">
        <w:rPr>
          <w:rFonts w:ascii="Times New Roman" w:hAnsi="Times New Roman" w:cs="Times New Roman"/>
          <w:sz w:val="24"/>
          <w:szCs w:val="24"/>
        </w:rPr>
        <w:t>: Understand how immune activation and inflammatory loops interface with vascular integrity and systemic feedback.</w:t>
      </w:r>
    </w:p>
    <w:p w14:paraId="3ACECDD7"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Methodology</w:t>
      </w:r>
      <w:r w:rsidRPr="00095D50">
        <w:rPr>
          <w:rFonts w:ascii="Times New Roman" w:hAnsi="Times New Roman" w:cs="Times New Roman"/>
          <w:sz w:val="24"/>
          <w:szCs w:val="24"/>
        </w:rPr>
        <w:t>:</w:t>
      </w:r>
    </w:p>
    <w:p w14:paraId="2ABB778A" w14:textId="77777777" w:rsidR="00EC04BD" w:rsidRPr="00095D50" w:rsidRDefault="00EC04BD" w:rsidP="00EC04BD">
      <w:pPr>
        <w:numPr>
          <w:ilvl w:val="0"/>
          <w:numId w:val="4"/>
        </w:numPr>
        <w:jc w:val="both"/>
        <w:rPr>
          <w:rFonts w:ascii="Times New Roman" w:hAnsi="Times New Roman" w:cs="Times New Roman"/>
          <w:sz w:val="24"/>
          <w:szCs w:val="24"/>
        </w:rPr>
      </w:pPr>
      <w:r w:rsidRPr="00095D50">
        <w:rPr>
          <w:rFonts w:ascii="Times New Roman" w:hAnsi="Times New Roman" w:cs="Times New Roman"/>
          <w:sz w:val="24"/>
          <w:szCs w:val="24"/>
        </w:rPr>
        <w:t>Identify key cytokines, chemokines, and vascular regulators (e.g., IL-6, TNF-α, VEGF, NOX2) in the network.</w:t>
      </w:r>
    </w:p>
    <w:p w14:paraId="74E5B914" w14:textId="77777777" w:rsidR="00EC04BD" w:rsidRPr="00095D50" w:rsidRDefault="00EC04BD" w:rsidP="00EC04BD">
      <w:pPr>
        <w:numPr>
          <w:ilvl w:val="0"/>
          <w:numId w:val="4"/>
        </w:numPr>
        <w:jc w:val="both"/>
        <w:rPr>
          <w:rFonts w:ascii="Times New Roman" w:hAnsi="Times New Roman" w:cs="Times New Roman"/>
          <w:sz w:val="24"/>
          <w:szCs w:val="24"/>
        </w:rPr>
      </w:pPr>
      <w:r w:rsidRPr="00095D50">
        <w:rPr>
          <w:rFonts w:ascii="Times New Roman" w:hAnsi="Times New Roman" w:cs="Times New Roman"/>
          <w:sz w:val="24"/>
          <w:szCs w:val="24"/>
        </w:rPr>
        <w:t xml:space="preserve">Use multi-scale models (tissue + cellular) to simulate </w:t>
      </w:r>
      <w:r w:rsidRPr="00095D50">
        <w:rPr>
          <w:rFonts w:ascii="Times New Roman" w:hAnsi="Times New Roman" w:cs="Times New Roman"/>
          <w:b/>
          <w:bCs/>
          <w:sz w:val="24"/>
          <w:szCs w:val="24"/>
        </w:rPr>
        <w:t>immune-triggered remodeling</w:t>
      </w:r>
      <w:r w:rsidRPr="00095D50">
        <w:rPr>
          <w:rFonts w:ascii="Times New Roman" w:hAnsi="Times New Roman" w:cs="Times New Roman"/>
          <w:sz w:val="24"/>
          <w:szCs w:val="24"/>
        </w:rPr>
        <w:t xml:space="preserve"> of endothelial, epithelial, or lymphatic barriers.</w:t>
      </w:r>
    </w:p>
    <w:p w14:paraId="2BFA2D34" w14:textId="77777777" w:rsidR="00EC04BD" w:rsidRPr="00095D50" w:rsidRDefault="00EC04BD" w:rsidP="00EC04BD">
      <w:pPr>
        <w:numPr>
          <w:ilvl w:val="0"/>
          <w:numId w:val="4"/>
        </w:numPr>
        <w:jc w:val="both"/>
        <w:rPr>
          <w:rFonts w:ascii="Times New Roman" w:hAnsi="Times New Roman" w:cs="Times New Roman"/>
          <w:sz w:val="24"/>
          <w:szCs w:val="24"/>
        </w:rPr>
      </w:pPr>
      <w:r w:rsidRPr="00095D50">
        <w:rPr>
          <w:rFonts w:ascii="Times New Roman" w:hAnsi="Times New Roman" w:cs="Times New Roman"/>
          <w:sz w:val="24"/>
          <w:szCs w:val="24"/>
        </w:rPr>
        <w:t xml:space="preserve">Map T-cell, B-cell, and macrophage signal integration using NP databases (e.g., </w:t>
      </w:r>
      <w:proofErr w:type="spellStart"/>
      <w:r w:rsidRPr="00095D50">
        <w:rPr>
          <w:rFonts w:ascii="Times New Roman" w:hAnsi="Times New Roman" w:cs="Times New Roman"/>
          <w:sz w:val="24"/>
          <w:szCs w:val="24"/>
        </w:rPr>
        <w:t>InnateDB</w:t>
      </w:r>
      <w:proofErr w:type="spellEnd"/>
      <w:r w:rsidRPr="00095D50">
        <w:rPr>
          <w:rFonts w:ascii="Times New Roman" w:hAnsi="Times New Roman" w:cs="Times New Roman"/>
          <w:sz w:val="24"/>
          <w:szCs w:val="24"/>
        </w:rPr>
        <w:t xml:space="preserve">, </w:t>
      </w:r>
      <w:proofErr w:type="spellStart"/>
      <w:r w:rsidRPr="00095D50">
        <w:rPr>
          <w:rFonts w:ascii="Times New Roman" w:hAnsi="Times New Roman" w:cs="Times New Roman"/>
          <w:sz w:val="24"/>
          <w:szCs w:val="24"/>
        </w:rPr>
        <w:t>Reactome</w:t>
      </w:r>
      <w:proofErr w:type="spellEnd"/>
      <w:r w:rsidRPr="00095D50">
        <w:rPr>
          <w:rFonts w:ascii="Times New Roman" w:hAnsi="Times New Roman" w:cs="Times New Roman"/>
          <w:sz w:val="24"/>
          <w:szCs w:val="24"/>
        </w:rPr>
        <w:t>).</w:t>
      </w:r>
    </w:p>
    <w:p w14:paraId="37A4DDF6" w14:textId="77777777" w:rsidR="00EC04BD" w:rsidRPr="00095D50" w:rsidRDefault="00EC04BD" w:rsidP="00EC04BD">
      <w:pPr>
        <w:numPr>
          <w:ilvl w:val="0"/>
          <w:numId w:val="4"/>
        </w:numPr>
        <w:jc w:val="both"/>
        <w:rPr>
          <w:rFonts w:ascii="Times New Roman" w:hAnsi="Times New Roman" w:cs="Times New Roman"/>
          <w:sz w:val="24"/>
          <w:szCs w:val="24"/>
        </w:rPr>
      </w:pPr>
      <w:r w:rsidRPr="00095D50">
        <w:rPr>
          <w:rFonts w:ascii="Times New Roman" w:hAnsi="Times New Roman" w:cs="Times New Roman"/>
          <w:sz w:val="24"/>
          <w:szCs w:val="24"/>
        </w:rPr>
        <w:t xml:space="preserve">Analyze </w:t>
      </w:r>
      <w:r w:rsidRPr="00095D50">
        <w:rPr>
          <w:rFonts w:ascii="Times New Roman" w:hAnsi="Times New Roman" w:cs="Times New Roman"/>
          <w:b/>
          <w:bCs/>
          <w:sz w:val="24"/>
          <w:szCs w:val="24"/>
        </w:rPr>
        <w:t>immune–metabolism cross-regulation</w:t>
      </w:r>
      <w:r w:rsidRPr="00095D50">
        <w:rPr>
          <w:rFonts w:ascii="Times New Roman" w:hAnsi="Times New Roman" w:cs="Times New Roman"/>
          <w:sz w:val="24"/>
          <w:szCs w:val="24"/>
        </w:rPr>
        <w:t xml:space="preserve"> through mTOR, AMPK, and PPAR pathways using network enrichment tools.</w:t>
      </w:r>
    </w:p>
    <w:p w14:paraId="4AE3F770"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Output</w:t>
      </w:r>
      <w:r w:rsidRPr="00095D50">
        <w:rPr>
          <w:rFonts w:ascii="Times New Roman" w:hAnsi="Times New Roman" w:cs="Times New Roman"/>
          <w:sz w:val="24"/>
          <w:szCs w:val="24"/>
        </w:rPr>
        <w:t>: A systems immunology map showing how immune feedback modulates INP states across local and systemic axes.</w:t>
      </w:r>
    </w:p>
    <w:p w14:paraId="2698720F" w14:textId="77777777" w:rsidR="00EC04BD" w:rsidRPr="00095D50" w:rsidRDefault="00EC04BD" w:rsidP="00EC04BD">
      <w:pPr>
        <w:jc w:val="both"/>
        <w:rPr>
          <w:rFonts w:ascii="Times New Roman" w:hAnsi="Times New Roman" w:cs="Times New Roman"/>
          <w:b/>
          <w:bCs/>
          <w:sz w:val="24"/>
          <w:szCs w:val="24"/>
        </w:rPr>
      </w:pPr>
      <w:r w:rsidRPr="00095D50">
        <w:rPr>
          <w:rFonts w:ascii="Times New Roman" w:hAnsi="Times New Roman" w:cs="Times New Roman"/>
          <w:b/>
          <w:bCs/>
          <w:sz w:val="24"/>
          <w:szCs w:val="24"/>
        </w:rPr>
        <w:t>Layer 5: Autophagy and Damage Repair Integration</w:t>
      </w:r>
    </w:p>
    <w:p w14:paraId="415C7248"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Objective</w:t>
      </w:r>
      <w:r w:rsidRPr="00095D50">
        <w:rPr>
          <w:rFonts w:ascii="Times New Roman" w:hAnsi="Times New Roman" w:cs="Times New Roman"/>
          <w:sz w:val="24"/>
          <w:szCs w:val="24"/>
        </w:rPr>
        <w:t>: Map the capacity of the system to detect, clear, and repair internal molecular damage.</w:t>
      </w:r>
    </w:p>
    <w:p w14:paraId="1298FCEA"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Methodology</w:t>
      </w:r>
      <w:r w:rsidRPr="00095D50">
        <w:rPr>
          <w:rFonts w:ascii="Times New Roman" w:hAnsi="Times New Roman" w:cs="Times New Roman"/>
          <w:sz w:val="24"/>
          <w:szCs w:val="24"/>
        </w:rPr>
        <w:t>:</w:t>
      </w:r>
    </w:p>
    <w:p w14:paraId="122B5ECC" w14:textId="77777777" w:rsidR="00EC04BD" w:rsidRPr="00095D50" w:rsidRDefault="00EC04BD" w:rsidP="00EC04BD">
      <w:pPr>
        <w:numPr>
          <w:ilvl w:val="0"/>
          <w:numId w:val="5"/>
        </w:numPr>
        <w:jc w:val="both"/>
        <w:rPr>
          <w:rFonts w:ascii="Times New Roman" w:hAnsi="Times New Roman" w:cs="Times New Roman"/>
          <w:sz w:val="24"/>
          <w:szCs w:val="24"/>
        </w:rPr>
      </w:pPr>
      <w:r w:rsidRPr="00095D50">
        <w:rPr>
          <w:rFonts w:ascii="Times New Roman" w:hAnsi="Times New Roman" w:cs="Times New Roman"/>
          <w:sz w:val="24"/>
          <w:szCs w:val="24"/>
        </w:rPr>
        <w:t>Identify nodes involved in autophagy initiation and execution (e.g., Beclin1, LC3, ULK1) and damage sensors (e.g., p62/SQSTM1, CHOP).</w:t>
      </w:r>
    </w:p>
    <w:p w14:paraId="24E07E05" w14:textId="77777777" w:rsidR="00EC04BD" w:rsidRPr="00095D50" w:rsidRDefault="00EC04BD" w:rsidP="00EC04BD">
      <w:pPr>
        <w:numPr>
          <w:ilvl w:val="0"/>
          <w:numId w:val="5"/>
        </w:numPr>
        <w:jc w:val="both"/>
        <w:rPr>
          <w:rFonts w:ascii="Times New Roman" w:hAnsi="Times New Roman" w:cs="Times New Roman"/>
          <w:sz w:val="24"/>
          <w:szCs w:val="24"/>
        </w:rPr>
      </w:pPr>
      <w:r w:rsidRPr="00095D50">
        <w:rPr>
          <w:rFonts w:ascii="Times New Roman" w:hAnsi="Times New Roman" w:cs="Times New Roman"/>
          <w:sz w:val="24"/>
          <w:szCs w:val="24"/>
        </w:rPr>
        <w:t>Integrate these with unfolded protein response (UPR), ER stress markers, and DNA repair pathways (e.g., ATM, PARP).</w:t>
      </w:r>
    </w:p>
    <w:p w14:paraId="534F4B59" w14:textId="77777777" w:rsidR="00EC04BD" w:rsidRPr="00095D50" w:rsidRDefault="00EC04BD" w:rsidP="00EC04BD">
      <w:pPr>
        <w:numPr>
          <w:ilvl w:val="0"/>
          <w:numId w:val="5"/>
        </w:numPr>
        <w:jc w:val="both"/>
        <w:rPr>
          <w:rFonts w:ascii="Times New Roman" w:hAnsi="Times New Roman" w:cs="Times New Roman"/>
          <w:sz w:val="24"/>
          <w:szCs w:val="24"/>
        </w:rPr>
      </w:pPr>
      <w:r w:rsidRPr="00095D50">
        <w:rPr>
          <w:rFonts w:ascii="Times New Roman" w:hAnsi="Times New Roman" w:cs="Times New Roman"/>
          <w:sz w:val="24"/>
          <w:szCs w:val="24"/>
        </w:rPr>
        <w:lastRenderedPageBreak/>
        <w:t>Quantify transcriptional and translational activation of autophagic flux using bioinformatic tools.</w:t>
      </w:r>
    </w:p>
    <w:p w14:paraId="240A84C1" w14:textId="77777777" w:rsidR="00EC04BD" w:rsidRPr="00095D50" w:rsidRDefault="00EC04BD" w:rsidP="00EC04BD">
      <w:pPr>
        <w:numPr>
          <w:ilvl w:val="0"/>
          <w:numId w:val="5"/>
        </w:numPr>
        <w:jc w:val="both"/>
        <w:rPr>
          <w:rFonts w:ascii="Times New Roman" w:hAnsi="Times New Roman" w:cs="Times New Roman"/>
          <w:sz w:val="24"/>
          <w:szCs w:val="24"/>
        </w:rPr>
      </w:pPr>
      <w:r w:rsidRPr="00095D50">
        <w:rPr>
          <w:rFonts w:ascii="Times New Roman" w:hAnsi="Times New Roman" w:cs="Times New Roman"/>
          <w:sz w:val="24"/>
          <w:szCs w:val="24"/>
        </w:rPr>
        <w:t>Simulate autophagy induction thresholds under nutrient-rich vs. nutrient-poor conditions using time-delay differential models.</w:t>
      </w:r>
    </w:p>
    <w:p w14:paraId="42939769"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Output</w:t>
      </w:r>
      <w:r w:rsidRPr="00095D50">
        <w:rPr>
          <w:rFonts w:ascii="Times New Roman" w:hAnsi="Times New Roman" w:cs="Times New Roman"/>
          <w:sz w:val="24"/>
          <w:szCs w:val="24"/>
        </w:rPr>
        <w:t>: A layered model of cellular damage clearance and self-repair, indicating points of overload or therapeutic leverage.</w:t>
      </w:r>
    </w:p>
    <w:p w14:paraId="332472EF" w14:textId="77777777" w:rsidR="00EC04BD" w:rsidRPr="00095D50" w:rsidRDefault="00EC04BD" w:rsidP="00EC04BD">
      <w:pPr>
        <w:jc w:val="both"/>
        <w:rPr>
          <w:rFonts w:ascii="Times New Roman" w:hAnsi="Times New Roman" w:cs="Times New Roman"/>
          <w:b/>
          <w:bCs/>
          <w:sz w:val="24"/>
          <w:szCs w:val="24"/>
        </w:rPr>
      </w:pPr>
      <w:r w:rsidRPr="00095D50">
        <w:rPr>
          <w:rFonts w:ascii="Times New Roman" w:hAnsi="Times New Roman" w:cs="Times New Roman"/>
          <w:b/>
          <w:bCs/>
          <w:sz w:val="24"/>
          <w:szCs w:val="24"/>
        </w:rPr>
        <w:t>Layer 6: Therapeutic Fit and Compound-Network Mapping</w:t>
      </w:r>
    </w:p>
    <w:p w14:paraId="185A01DC"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Objective</w:t>
      </w:r>
      <w:r w:rsidRPr="00095D50">
        <w:rPr>
          <w:rFonts w:ascii="Times New Roman" w:hAnsi="Times New Roman" w:cs="Times New Roman"/>
          <w:sz w:val="24"/>
          <w:szCs w:val="24"/>
        </w:rPr>
        <w:t>: Assess how well individual or multi-component therapeutics fit the INP-disrupted network.</w:t>
      </w:r>
    </w:p>
    <w:p w14:paraId="50060FE4"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Methodology</w:t>
      </w:r>
      <w:r w:rsidRPr="00095D50">
        <w:rPr>
          <w:rFonts w:ascii="Times New Roman" w:hAnsi="Times New Roman" w:cs="Times New Roman"/>
          <w:sz w:val="24"/>
          <w:szCs w:val="24"/>
        </w:rPr>
        <w:t>:</w:t>
      </w:r>
    </w:p>
    <w:p w14:paraId="139C75CC" w14:textId="77777777" w:rsidR="00EC04BD" w:rsidRPr="00095D50" w:rsidRDefault="00EC04BD" w:rsidP="00EC04BD">
      <w:pPr>
        <w:numPr>
          <w:ilvl w:val="0"/>
          <w:numId w:val="6"/>
        </w:numPr>
        <w:jc w:val="both"/>
        <w:rPr>
          <w:rFonts w:ascii="Times New Roman" w:hAnsi="Times New Roman" w:cs="Times New Roman"/>
          <w:sz w:val="24"/>
          <w:szCs w:val="24"/>
        </w:rPr>
      </w:pPr>
      <w:r w:rsidRPr="00095D50">
        <w:rPr>
          <w:rFonts w:ascii="Times New Roman" w:hAnsi="Times New Roman" w:cs="Times New Roman"/>
          <w:sz w:val="24"/>
          <w:szCs w:val="24"/>
        </w:rPr>
        <w:t xml:space="preserve">Construct a </w:t>
      </w:r>
      <w:r w:rsidRPr="00095D50">
        <w:rPr>
          <w:rFonts w:ascii="Times New Roman" w:hAnsi="Times New Roman" w:cs="Times New Roman"/>
          <w:b/>
          <w:bCs/>
          <w:sz w:val="24"/>
          <w:szCs w:val="24"/>
        </w:rPr>
        <w:t>target-matching score matrix</w:t>
      </w:r>
      <w:r w:rsidRPr="00095D50">
        <w:rPr>
          <w:rFonts w:ascii="Times New Roman" w:hAnsi="Times New Roman" w:cs="Times New Roman"/>
          <w:sz w:val="24"/>
          <w:szCs w:val="24"/>
        </w:rPr>
        <w:t xml:space="preserve"> using data from STITCH, ChEMBL, BindingDB, or TCMSP.</w:t>
      </w:r>
    </w:p>
    <w:p w14:paraId="745FD006" w14:textId="77777777" w:rsidR="00EC04BD" w:rsidRPr="00095D50" w:rsidRDefault="00EC04BD" w:rsidP="00EC04BD">
      <w:pPr>
        <w:numPr>
          <w:ilvl w:val="0"/>
          <w:numId w:val="6"/>
        </w:numPr>
        <w:jc w:val="both"/>
        <w:rPr>
          <w:rFonts w:ascii="Times New Roman" w:hAnsi="Times New Roman" w:cs="Times New Roman"/>
          <w:sz w:val="24"/>
          <w:szCs w:val="24"/>
        </w:rPr>
      </w:pPr>
      <w:r w:rsidRPr="00095D50">
        <w:rPr>
          <w:rFonts w:ascii="Times New Roman" w:hAnsi="Times New Roman" w:cs="Times New Roman"/>
          <w:sz w:val="24"/>
          <w:szCs w:val="24"/>
        </w:rPr>
        <w:t>Score each compound or formula for its target overlap with INP nodes across layers.</w:t>
      </w:r>
    </w:p>
    <w:p w14:paraId="1ABC69DF" w14:textId="77777777" w:rsidR="00EC04BD" w:rsidRPr="00095D50" w:rsidRDefault="00EC04BD" w:rsidP="00EC04BD">
      <w:pPr>
        <w:numPr>
          <w:ilvl w:val="0"/>
          <w:numId w:val="6"/>
        </w:numPr>
        <w:jc w:val="both"/>
        <w:rPr>
          <w:rFonts w:ascii="Times New Roman" w:hAnsi="Times New Roman" w:cs="Times New Roman"/>
          <w:sz w:val="24"/>
          <w:szCs w:val="24"/>
        </w:rPr>
      </w:pPr>
      <w:r w:rsidRPr="00095D50">
        <w:rPr>
          <w:rFonts w:ascii="Times New Roman" w:hAnsi="Times New Roman" w:cs="Times New Roman"/>
          <w:sz w:val="24"/>
          <w:szCs w:val="24"/>
        </w:rPr>
        <w:t xml:space="preserve">Use </w:t>
      </w:r>
      <w:r w:rsidRPr="00095D50">
        <w:rPr>
          <w:rFonts w:ascii="Times New Roman" w:hAnsi="Times New Roman" w:cs="Times New Roman"/>
          <w:b/>
          <w:bCs/>
          <w:sz w:val="24"/>
          <w:szCs w:val="24"/>
        </w:rPr>
        <w:t>Fit Score</w:t>
      </w:r>
      <w:r w:rsidRPr="00095D50">
        <w:rPr>
          <w:rFonts w:ascii="Times New Roman" w:hAnsi="Times New Roman" w:cs="Times New Roman"/>
          <w:sz w:val="24"/>
          <w:szCs w:val="24"/>
        </w:rPr>
        <w:t xml:space="preserve"> = (# of matched nodes) / (total relevant INP targets) as a quantitative measure.</w:t>
      </w:r>
    </w:p>
    <w:p w14:paraId="493654DF" w14:textId="77777777" w:rsidR="00EC04BD" w:rsidRPr="00095D50" w:rsidRDefault="00EC04BD" w:rsidP="00EC04BD">
      <w:pPr>
        <w:numPr>
          <w:ilvl w:val="0"/>
          <w:numId w:val="6"/>
        </w:numPr>
        <w:jc w:val="both"/>
        <w:rPr>
          <w:rFonts w:ascii="Times New Roman" w:hAnsi="Times New Roman" w:cs="Times New Roman"/>
          <w:sz w:val="24"/>
          <w:szCs w:val="24"/>
        </w:rPr>
      </w:pPr>
      <w:r w:rsidRPr="00095D50">
        <w:rPr>
          <w:rFonts w:ascii="Times New Roman" w:hAnsi="Times New Roman" w:cs="Times New Roman"/>
          <w:sz w:val="24"/>
          <w:szCs w:val="24"/>
        </w:rPr>
        <w:t>Apply network proximity analysis or diffusion modeling to evaluate indirect network effects.</w:t>
      </w:r>
    </w:p>
    <w:p w14:paraId="4462C614" w14:textId="77777777" w:rsidR="00EC04BD" w:rsidRPr="00095D50" w:rsidRDefault="00EC04BD" w:rsidP="00EC04BD">
      <w:pPr>
        <w:numPr>
          <w:ilvl w:val="0"/>
          <w:numId w:val="6"/>
        </w:numPr>
        <w:jc w:val="both"/>
        <w:rPr>
          <w:rFonts w:ascii="Times New Roman" w:hAnsi="Times New Roman" w:cs="Times New Roman"/>
          <w:sz w:val="24"/>
          <w:szCs w:val="24"/>
        </w:rPr>
      </w:pPr>
      <w:r w:rsidRPr="00095D50">
        <w:rPr>
          <w:rFonts w:ascii="Times New Roman" w:hAnsi="Times New Roman" w:cs="Times New Roman"/>
          <w:sz w:val="24"/>
          <w:szCs w:val="24"/>
        </w:rPr>
        <w:t xml:space="preserve">Prioritize compounds or formulas with high </w:t>
      </w:r>
      <w:r w:rsidRPr="00095D50">
        <w:rPr>
          <w:rFonts w:ascii="Times New Roman" w:hAnsi="Times New Roman" w:cs="Times New Roman"/>
          <w:b/>
          <w:bCs/>
          <w:sz w:val="24"/>
          <w:szCs w:val="24"/>
        </w:rPr>
        <w:t>multi-layer cross-talk coverage</w:t>
      </w:r>
      <w:r w:rsidRPr="00095D50">
        <w:rPr>
          <w:rFonts w:ascii="Times New Roman" w:hAnsi="Times New Roman" w:cs="Times New Roman"/>
          <w:sz w:val="24"/>
          <w:szCs w:val="24"/>
        </w:rPr>
        <w:t>.</w:t>
      </w:r>
    </w:p>
    <w:p w14:paraId="1C55C9A8"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Output</w:t>
      </w:r>
      <w:r w:rsidRPr="00095D50">
        <w:rPr>
          <w:rFonts w:ascii="Times New Roman" w:hAnsi="Times New Roman" w:cs="Times New Roman"/>
          <w:sz w:val="24"/>
          <w:szCs w:val="24"/>
        </w:rPr>
        <w:t>: Ranked therapeutic candidates or combinations based on system-fit and predicted restorative range.</w:t>
      </w:r>
    </w:p>
    <w:p w14:paraId="2225E416" w14:textId="77777777" w:rsidR="00EC04BD" w:rsidRPr="00095D50" w:rsidRDefault="00EC04BD" w:rsidP="00EC04BD">
      <w:pPr>
        <w:jc w:val="both"/>
        <w:rPr>
          <w:rFonts w:ascii="Times New Roman" w:hAnsi="Times New Roman" w:cs="Times New Roman"/>
          <w:b/>
          <w:bCs/>
          <w:sz w:val="24"/>
          <w:szCs w:val="24"/>
        </w:rPr>
      </w:pPr>
      <w:r w:rsidRPr="00095D50">
        <w:rPr>
          <w:rFonts w:ascii="Times New Roman" w:hAnsi="Times New Roman" w:cs="Times New Roman"/>
          <w:b/>
          <w:bCs/>
          <w:sz w:val="24"/>
          <w:szCs w:val="24"/>
        </w:rPr>
        <w:t>Layer 7: System Simulation and Restoration Modeling</w:t>
      </w:r>
    </w:p>
    <w:p w14:paraId="22ABE05C"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Objective</w:t>
      </w:r>
      <w:r w:rsidRPr="00095D50">
        <w:rPr>
          <w:rFonts w:ascii="Times New Roman" w:hAnsi="Times New Roman" w:cs="Times New Roman"/>
          <w:sz w:val="24"/>
          <w:szCs w:val="24"/>
        </w:rPr>
        <w:t>: Dynamically simulate the recovery or further collapse of the INP system under various intervention models.</w:t>
      </w:r>
    </w:p>
    <w:p w14:paraId="36CADE06"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Methodology</w:t>
      </w:r>
      <w:r w:rsidRPr="00095D50">
        <w:rPr>
          <w:rFonts w:ascii="Times New Roman" w:hAnsi="Times New Roman" w:cs="Times New Roman"/>
          <w:sz w:val="24"/>
          <w:szCs w:val="24"/>
        </w:rPr>
        <w:t>:</w:t>
      </w:r>
    </w:p>
    <w:p w14:paraId="1FB4534A" w14:textId="77777777" w:rsidR="00EC04BD" w:rsidRPr="00095D50" w:rsidRDefault="00EC04BD" w:rsidP="00EC04BD">
      <w:pPr>
        <w:numPr>
          <w:ilvl w:val="0"/>
          <w:numId w:val="7"/>
        </w:numPr>
        <w:jc w:val="both"/>
        <w:rPr>
          <w:rFonts w:ascii="Times New Roman" w:hAnsi="Times New Roman" w:cs="Times New Roman"/>
          <w:sz w:val="24"/>
          <w:szCs w:val="24"/>
        </w:rPr>
      </w:pPr>
      <w:r w:rsidRPr="00095D50">
        <w:rPr>
          <w:rFonts w:ascii="Times New Roman" w:hAnsi="Times New Roman" w:cs="Times New Roman"/>
          <w:sz w:val="24"/>
          <w:szCs w:val="24"/>
        </w:rPr>
        <w:t>Build ordinary differential equation (ODE) models or Boolean networks capturing feedback, activation, repression, and degradation rates of key nodes.</w:t>
      </w:r>
    </w:p>
    <w:p w14:paraId="63EBFFD1" w14:textId="77777777" w:rsidR="00EC04BD" w:rsidRPr="00095D50" w:rsidRDefault="00EC04BD" w:rsidP="00EC04BD">
      <w:pPr>
        <w:numPr>
          <w:ilvl w:val="0"/>
          <w:numId w:val="7"/>
        </w:numPr>
        <w:jc w:val="both"/>
        <w:rPr>
          <w:rFonts w:ascii="Times New Roman" w:hAnsi="Times New Roman" w:cs="Times New Roman"/>
          <w:sz w:val="24"/>
          <w:szCs w:val="24"/>
        </w:rPr>
      </w:pPr>
      <w:r w:rsidRPr="00095D50">
        <w:rPr>
          <w:rFonts w:ascii="Times New Roman" w:hAnsi="Times New Roman" w:cs="Times New Roman"/>
          <w:sz w:val="24"/>
          <w:szCs w:val="24"/>
        </w:rPr>
        <w:t>Simulate system trajectories under baseline (unstressed), disrupted, and intervention states.</w:t>
      </w:r>
    </w:p>
    <w:p w14:paraId="6FC1EF22" w14:textId="77777777" w:rsidR="00EC04BD" w:rsidRPr="00095D50" w:rsidRDefault="00EC04BD" w:rsidP="00EC04BD">
      <w:pPr>
        <w:numPr>
          <w:ilvl w:val="0"/>
          <w:numId w:val="7"/>
        </w:numPr>
        <w:jc w:val="both"/>
        <w:rPr>
          <w:rFonts w:ascii="Times New Roman" w:hAnsi="Times New Roman" w:cs="Times New Roman"/>
          <w:sz w:val="24"/>
          <w:szCs w:val="24"/>
        </w:rPr>
      </w:pPr>
      <w:r w:rsidRPr="00095D50">
        <w:rPr>
          <w:rFonts w:ascii="Times New Roman" w:hAnsi="Times New Roman" w:cs="Times New Roman"/>
          <w:sz w:val="24"/>
          <w:szCs w:val="24"/>
        </w:rPr>
        <w:t xml:space="preserve">Perform </w:t>
      </w:r>
      <w:r w:rsidRPr="00095D50">
        <w:rPr>
          <w:rFonts w:ascii="Times New Roman" w:hAnsi="Times New Roman" w:cs="Times New Roman"/>
          <w:b/>
          <w:bCs/>
          <w:sz w:val="24"/>
          <w:szCs w:val="24"/>
        </w:rPr>
        <w:t>stability and sensitivity analysis</w:t>
      </w:r>
      <w:r w:rsidRPr="00095D50">
        <w:rPr>
          <w:rFonts w:ascii="Times New Roman" w:hAnsi="Times New Roman" w:cs="Times New Roman"/>
          <w:sz w:val="24"/>
          <w:szCs w:val="24"/>
        </w:rPr>
        <w:t xml:space="preserve"> to identify fragile network nodes and therapeutic tipping points.</w:t>
      </w:r>
    </w:p>
    <w:p w14:paraId="7DFFCF01" w14:textId="77777777" w:rsidR="00EC04BD" w:rsidRPr="00095D50" w:rsidRDefault="00EC04BD" w:rsidP="00EC04BD">
      <w:pPr>
        <w:numPr>
          <w:ilvl w:val="0"/>
          <w:numId w:val="7"/>
        </w:numPr>
        <w:jc w:val="both"/>
        <w:rPr>
          <w:rFonts w:ascii="Times New Roman" w:hAnsi="Times New Roman" w:cs="Times New Roman"/>
          <w:sz w:val="24"/>
          <w:szCs w:val="24"/>
        </w:rPr>
      </w:pPr>
      <w:r w:rsidRPr="00095D50">
        <w:rPr>
          <w:rFonts w:ascii="Times New Roman" w:hAnsi="Times New Roman" w:cs="Times New Roman"/>
          <w:sz w:val="24"/>
          <w:szCs w:val="24"/>
        </w:rPr>
        <w:t>Use simulation tools (e.g., PySB, COPASI, Tellurium) to visualize time-based restoration curves and steady-state equilibria.</w:t>
      </w:r>
    </w:p>
    <w:p w14:paraId="59B549AE"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Output</w:t>
      </w:r>
      <w:r w:rsidRPr="00095D50">
        <w:rPr>
          <w:rFonts w:ascii="Times New Roman" w:hAnsi="Times New Roman" w:cs="Times New Roman"/>
          <w:sz w:val="24"/>
          <w:szCs w:val="24"/>
        </w:rPr>
        <w:t>: Predictive restoration profiles and critical transition maps showing system recovery potential under selected interventions.</w:t>
      </w:r>
    </w:p>
    <w:p w14:paraId="1AD87CD8" w14:textId="77777777" w:rsidR="00EC04BD" w:rsidRPr="00095D50" w:rsidRDefault="005833E6" w:rsidP="00EC04BD">
      <w:pPr>
        <w:jc w:val="both"/>
        <w:rPr>
          <w:rFonts w:ascii="Times New Roman" w:hAnsi="Times New Roman" w:cs="Times New Roman"/>
          <w:b/>
          <w:bCs/>
          <w:sz w:val="24"/>
          <w:szCs w:val="24"/>
        </w:rPr>
      </w:pPr>
      <w:r w:rsidRPr="00095D50">
        <w:rPr>
          <w:rFonts w:ascii="Times New Roman" w:hAnsi="Times New Roman" w:cs="Times New Roman"/>
          <w:b/>
          <w:bCs/>
          <w:sz w:val="24"/>
          <w:szCs w:val="24"/>
        </w:rPr>
        <w:lastRenderedPageBreak/>
        <w:t xml:space="preserve">3. </w:t>
      </w:r>
      <w:r w:rsidR="00EC04BD" w:rsidRPr="00095D50">
        <w:rPr>
          <w:rFonts w:ascii="Times New Roman" w:hAnsi="Times New Roman" w:cs="Times New Roman"/>
          <w:b/>
          <w:bCs/>
          <w:sz w:val="24"/>
          <w:szCs w:val="24"/>
        </w:rPr>
        <w:t>Integration with Classical Network Pharmacology (NP)</w:t>
      </w:r>
    </w:p>
    <w:p w14:paraId="7E3A1BC5"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sz w:val="24"/>
          <w:szCs w:val="24"/>
        </w:rPr>
        <w:t xml:space="preserve">While </w:t>
      </w:r>
      <w:r w:rsidRPr="00095D50">
        <w:rPr>
          <w:rFonts w:ascii="Times New Roman" w:hAnsi="Times New Roman" w:cs="Times New Roman"/>
          <w:b/>
          <w:bCs/>
          <w:sz w:val="24"/>
          <w:szCs w:val="24"/>
        </w:rPr>
        <w:t>NP</w:t>
      </w:r>
      <w:r w:rsidRPr="00095D50">
        <w:rPr>
          <w:rFonts w:ascii="Times New Roman" w:hAnsi="Times New Roman" w:cs="Times New Roman"/>
          <w:sz w:val="24"/>
          <w:szCs w:val="24"/>
        </w:rPr>
        <w:t xml:space="preserve"> focuses on static node–compound–disease relationships, INP extends this by:</w:t>
      </w:r>
    </w:p>
    <w:p w14:paraId="16484257" w14:textId="77777777" w:rsidR="00EC04BD" w:rsidRPr="00095D50" w:rsidRDefault="00EC04BD" w:rsidP="00EC04BD">
      <w:pPr>
        <w:numPr>
          <w:ilvl w:val="0"/>
          <w:numId w:val="8"/>
        </w:numPr>
        <w:jc w:val="both"/>
        <w:rPr>
          <w:rFonts w:ascii="Times New Roman" w:hAnsi="Times New Roman" w:cs="Times New Roman"/>
          <w:sz w:val="24"/>
          <w:szCs w:val="24"/>
        </w:rPr>
      </w:pPr>
      <w:r w:rsidRPr="00095D50">
        <w:rPr>
          <w:rFonts w:ascii="Times New Roman" w:hAnsi="Times New Roman" w:cs="Times New Roman"/>
          <w:sz w:val="24"/>
          <w:szCs w:val="24"/>
        </w:rPr>
        <w:t>Incorporating feedback control,</w:t>
      </w:r>
    </w:p>
    <w:p w14:paraId="6D25BB20" w14:textId="77777777" w:rsidR="00EC04BD" w:rsidRPr="00095D50" w:rsidRDefault="00EC04BD" w:rsidP="00EC04BD">
      <w:pPr>
        <w:numPr>
          <w:ilvl w:val="0"/>
          <w:numId w:val="8"/>
        </w:numPr>
        <w:jc w:val="both"/>
        <w:rPr>
          <w:rFonts w:ascii="Times New Roman" w:hAnsi="Times New Roman" w:cs="Times New Roman"/>
          <w:sz w:val="24"/>
          <w:szCs w:val="24"/>
        </w:rPr>
      </w:pPr>
      <w:r w:rsidRPr="00095D50">
        <w:rPr>
          <w:rFonts w:ascii="Times New Roman" w:hAnsi="Times New Roman" w:cs="Times New Roman"/>
          <w:sz w:val="24"/>
          <w:szCs w:val="24"/>
        </w:rPr>
        <w:t>Modeling temporal dynamics,</w:t>
      </w:r>
    </w:p>
    <w:p w14:paraId="5B88AB51" w14:textId="77777777" w:rsidR="00EC04BD" w:rsidRPr="00095D50" w:rsidRDefault="00EC04BD" w:rsidP="00EC04BD">
      <w:pPr>
        <w:numPr>
          <w:ilvl w:val="0"/>
          <w:numId w:val="8"/>
        </w:numPr>
        <w:jc w:val="both"/>
        <w:rPr>
          <w:rFonts w:ascii="Times New Roman" w:hAnsi="Times New Roman" w:cs="Times New Roman"/>
          <w:sz w:val="24"/>
          <w:szCs w:val="24"/>
        </w:rPr>
      </w:pPr>
      <w:r w:rsidRPr="00095D50">
        <w:rPr>
          <w:rFonts w:ascii="Times New Roman" w:hAnsi="Times New Roman" w:cs="Times New Roman"/>
          <w:sz w:val="24"/>
          <w:szCs w:val="24"/>
        </w:rPr>
        <w:t>Mapping redox, immune, and autophagy loops, and</w:t>
      </w:r>
    </w:p>
    <w:p w14:paraId="25212376" w14:textId="77777777" w:rsidR="00EC04BD" w:rsidRPr="00095D50" w:rsidRDefault="00EC04BD" w:rsidP="00EC04BD">
      <w:pPr>
        <w:numPr>
          <w:ilvl w:val="0"/>
          <w:numId w:val="8"/>
        </w:numPr>
        <w:jc w:val="both"/>
        <w:rPr>
          <w:rFonts w:ascii="Times New Roman" w:hAnsi="Times New Roman" w:cs="Times New Roman"/>
          <w:sz w:val="24"/>
          <w:szCs w:val="24"/>
        </w:rPr>
      </w:pPr>
      <w:r w:rsidRPr="00095D50">
        <w:rPr>
          <w:rFonts w:ascii="Times New Roman" w:hAnsi="Times New Roman" w:cs="Times New Roman"/>
          <w:sz w:val="24"/>
          <w:szCs w:val="24"/>
        </w:rPr>
        <w:t>Quantifying system resilience vs. overload thresholds.</w:t>
      </w:r>
    </w:p>
    <w:p w14:paraId="035A21F7"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sz w:val="24"/>
          <w:szCs w:val="24"/>
        </w:rPr>
        <w:t xml:space="preserve">The INP protocol retains all core NP techniques—target prediction, docking, enrichment—but layers them with </w:t>
      </w:r>
      <w:r w:rsidRPr="00095D50">
        <w:rPr>
          <w:rFonts w:ascii="Times New Roman" w:hAnsi="Times New Roman" w:cs="Times New Roman"/>
          <w:b/>
          <w:bCs/>
          <w:sz w:val="24"/>
          <w:szCs w:val="24"/>
        </w:rPr>
        <w:t>control theory</w:t>
      </w:r>
      <w:r w:rsidRPr="00095D50">
        <w:rPr>
          <w:rFonts w:ascii="Times New Roman" w:hAnsi="Times New Roman" w:cs="Times New Roman"/>
          <w:sz w:val="24"/>
          <w:szCs w:val="24"/>
        </w:rPr>
        <w:t xml:space="preserve">, </w:t>
      </w:r>
      <w:r w:rsidRPr="00095D50">
        <w:rPr>
          <w:rFonts w:ascii="Times New Roman" w:hAnsi="Times New Roman" w:cs="Times New Roman"/>
          <w:b/>
          <w:bCs/>
          <w:sz w:val="24"/>
          <w:szCs w:val="24"/>
        </w:rPr>
        <w:t>systems biology</w:t>
      </w:r>
      <w:r w:rsidRPr="00095D50">
        <w:rPr>
          <w:rFonts w:ascii="Times New Roman" w:hAnsi="Times New Roman" w:cs="Times New Roman"/>
          <w:sz w:val="24"/>
          <w:szCs w:val="24"/>
        </w:rPr>
        <w:t xml:space="preserve">, and </w:t>
      </w:r>
      <w:r w:rsidRPr="00095D50">
        <w:rPr>
          <w:rFonts w:ascii="Times New Roman" w:hAnsi="Times New Roman" w:cs="Times New Roman"/>
          <w:b/>
          <w:bCs/>
          <w:sz w:val="24"/>
          <w:szCs w:val="24"/>
        </w:rPr>
        <w:t>simulation logic</w:t>
      </w:r>
      <w:r w:rsidRPr="00095D50">
        <w:rPr>
          <w:rFonts w:ascii="Times New Roman" w:hAnsi="Times New Roman" w:cs="Times New Roman"/>
          <w:sz w:val="24"/>
          <w:szCs w:val="24"/>
        </w:rPr>
        <w:t>, enabling a richer and more predictive exploration of biological complexity.</w:t>
      </w:r>
    </w:p>
    <w:p w14:paraId="33D5A7C5"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sz w:val="24"/>
          <w:szCs w:val="24"/>
        </w:rPr>
        <w:t>In this research, the systems behavior underlining the Intrinsic Network Pharmacology (INP) failure caused by contemporary micronutrient deficiencies was contrasted with INP restoration facilitated by traditional Rasayana interventions. With a 7-layer structured INP approach, both conditions were computationally evaluated, with the findings unraveling the cascading breakdown of regulatory networks and their potential rescue by polyherbal synergy.</w:t>
      </w:r>
    </w:p>
    <w:p w14:paraId="2691FC65" w14:textId="77777777" w:rsidR="00EC04BD" w:rsidRPr="00095D50" w:rsidRDefault="005833E6" w:rsidP="00EC04BD">
      <w:pPr>
        <w:jc w:val="both"/>
        <w:rPr>
          <w:rFonts w:ascii="Times New Roman" w:hAnsi="Times New Roman" w:cs="Times New Roman"/>
          <w:b/>
          <w:sz w:val="24"/>
          <w:szCs w:val="24"/>
        </w:rPr>
      </w:pPr>
      <w:r w:rsidRPr="00095D50">
        <w:rPr>
          <w:rFonts w:ascii="Times New Roman" w:hAnsi="Times New Roman" w:cs="Times New Roman"/>
          <w:b/>
          <w:sz w:val="24"/>
          <w:szCs w:val="24"/>
        </w:rPr>
        <w:t xml:space="preserve">4. </w:t>
      </w:r>
      <w:r w:rsidR="00EC04BD" w:rsidRPr="00095D50">
        <w:rPr>
          <w:rFonts w:ascii="Times New Roman" w:hAnsi="Times New Roman" w:cs="Times New Roman"/>
          <w:b/>
          <w:sz w:val="24"/>
          <w:szCs w:val="24"/>
        </w:rPr>
        <w:t>INP Failure in Modern Nutrient Deficiency States</w:t>
      </w:r>
    </w:p>
    <w:p w14:paraId="498C81A3"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sz w:val="24"/>
          <w:szCs w:val="24"/>
        </w:rPr>
        <w:t>Vitamin D3 and B12 deficiency were examined as exemplary models for INP failure, demonstrating multi-level failure in homeostatic regulation</w:t>
      </w:r>
      <w:r w:rsidR="00710950" w:rsidRPr="00095D50">
        <w:rPr>
          <w:rFonts w:ascii="Times New Roman" w:hAnsi="Times New Roman" w:cs="Times New Roman"/>
          <w:sz w:val="24"/>
          <w:szCs w:val="24"/>
        </w:rPr>
        <w:t xml:space="preserve"> Image 1</w:t>
      </w:r>
      <w:r w:rsidRPr="00095D50">
        <w:rPr>
          <w:rFonts w:ascii="Times New Roman" w:hAnsi="Times New Roman" w:cs="Times New Roman"/>
          <w:sz w:val="24"/>
          <w:szCs w:val="24"/>
        </w:rPr>
        <w:t>.</w:t>
      </w:r>
    </w:p>
    <w:p w14:paraId="2E5626FA" w14:textId="77777777" w:rsidR="00EC04BD" w:rsidRPr="00095D50" w:rsidRDefault="00EC04BD" w:rsidP="00EC04BD">
      <w:pPr>
        <w:jc w:val="both"/>
        <w:rPr>
          <w:rFonts w:ascii="Times New Roman" w:hAnsi="Times New Roman" w:cs="Times New Roman"/>
          <w:b/>
          <w:sz w:val="24"/>
          <w:szCs w:val="24"/>
        </w:rPr>
      </w:pPr>
      <w:r w:rsidRPr="00095D50">
        <w:rPr>
          <w:rFonts w:ascii="Times New Roman" w:hAnsi="Times New Roman" w:cs="Times New Roman"/>
          <w:b/>
          <w:sz w:val="24"/>
          <w:szCs w:val="24"/>
        </w:rPr>
        <w:t>Layer 1: Collapse Node Activation</w:t>
      </w:r>
    </w:p>
    <w:p w14:paraId="3A2219B7"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sz w:val="24"/>
          <w:szCs w:val="24"/>
        </w:rPr>
        <w:t>Environmental and lifestyle factors like decreased UVB exposure and gastrointestinal impairment were recognized as trigger nodes. The downstream consequence was an important diminishment in Vitamin D3 production (through 7-dehydrocholesterol photoconversion) and B12 absorption (due to compromised intrinsic factor production). These are typical "collapse nodes"—initial disintegration points in the network that disseminate systemic dysfunction.</w:t>
      </w:r>
    </w:p>
    <w:p w14:paraId="4941539A" w14:textId="77777777" w:rsidR="00EC04BD" w:rsidRPr="00095D50" w:rsidRDefault="00EC04BD" w:rsidP="00EC04BD">
      <w:pPr>
        <w:jc w:val="both"/>
        <w:rPr>
          <w:rFonts w:ascii="Times New Roman" w:hAnsi="Times New Roman" w:cs="Times New Roman"/>
          <w:b/>
          <w:sz w:val="24"/>
          <w:szCs w:val="24"/>
        </w:rPr>
      </w:pPr>
      <w:r w:rsidRPr="00095D50">
        <w:rPr>
          <w:rFonts w:ascii="Times New Roman" w:hAnsi="Times New Roman" w:cs="Times New Roman"/>
          <w:b/>
          <w:sz w:val="24"/>
          <w:szCs w:val="24"/>
        </w:rPr>
        <w:t>Layer 2: Feedback Breakdown</w:t>
      </w:r>
    </w:p>
    <w:p w14:paraId="6A3117C7"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sz w:val="24"/>
          <w:szCs w:val="24"/>
        </w:rPr>
        <w:t>Critical biological feedback processes, i.e., the VDR–FGF23–Klotho for D3 and methylation–SAM/SAH feedback for B12, were compromised. These compromises are damaging to the ability of adaptive systems to recalibrate and to cellular decision-making during stress.</w:t>
      </w:r>
    </w:p>
    <w:p w14:paraId="786A2F84" w14:textId="77777777" w:rsidR="00EC04BD" w:rsidRPr="00095D50" w:rsidRDefault="00EC04BD" w:rsidP="00EC04BD">
      <w:pPr>
        <w:jc w:val="both"/>
        <w:rPr>
          <w:rFonts w:ascii="Times New Roman" w:hAnsi="Times New Roman" w:cs="Times New Roman"/>
          <w:b/>
          <w:sz w:val="24"/>
          <w:szCs w:val="24"/>
        </w:rPr>
      </w:pPr>
      <w:r w:rsidRPr="00095D50">
        <w:rPr>
          <w:rFonts w:ascii="Times New Roman" w:hAnsi="Times New Roman" w:cs="Times New Roman"/>
          <w:b/>
          <w:sz w:val="24"/>
          <w:szCs w:val="24"/>
        </w:rPr>
        <w:t>Layer 3: Redox Imbalance</w:t>
      </w:r>
    </w:p>
    <w:p w14:paraId="1CADCF52"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sz w:val="24"/>
          <w:szCs w:val="24"/>
        </w:rPr>
        <w:t>The states of deficiency were associated with endogenous antioxidant system downregulation (e.g., glutathione, catalase, superoxide dismutase), leading to high oxidative stress. This favors ROS-induced signaling distortion and destroys regulatory transcription factors such as Nrf2.</w:t>
      </w:r>
    </w:p>
    <w:p w14:paraId="52F733B6" w14:textId="77777777" w:rsidR="00EC04BD" w:rsidRPr="00095D50" w:rsidRDefault="00EC04BD" w:rsidP="00EC04BD">
      <w:pPr>
        <w:jc w:val="both"/>
        <w:rPr>
          <w:rFonts w:ascii="Times New Roman" w:hAnsi="Times New Roman" w:cs="Times New Roman"/>
          <w:b/>
          <w:sz w:val="24"/>
          <w:szCs w:val="24"/>
        </w:rPr>
      </w:pPr>
      <w:r w:rsidRPr="00095D50">
        <w:rPr>
          <w:rFonts w:ascii="Times New Roman" w:hAnsi="Times New Roman" w:cs="Times New Roman"/>
          <w:b/>
          <w:sz w:val="24"/>
          <w:szCs w:val="24"/>
        </w:rPr>
        <w:t>Layer 4: Immune-Vascular Crosstalk</w:t>
      </w:r>
    </w:p>
    <w:p w14:paraId="7087AC6C"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sz w:val="24"/>
          <w:szCs w:val="24"/>
        </w:rPr>
        <w:lastRenderedPageBreak/>
        <w:t>INP disruption was extended to the immune response, with deficiencies resulting in increased pro-inflammatory markers (e.g., IL-6, TNF-α) and endothelial dysfunction. This initiates a feed-forward inflammatory state and perpetuates immune misregulation.</w:t>
      </w:r>
    </w:p>
    <w:p w14:paraId="1FEEAD3D" w14:textId="77777777" w:rsidR="00EC04BD" w:rsidRPr="00095D50" w:rsidRDefault="00EC04BD" w:rsidP="00EC04BD">
      <w:pPr>
        <w:jc w:val="both"/>
        <w:rPr>
          <w:rFonts w:ascii="Times New Roman" w:hAnsi="Times New Roman" w:cs="Times New Roman"/>
          <w:b/>
          <w:sz w:val="24"/>
          <w:szCs w:val="24"/>
        </w:rPr>
      </w:pPr>
      <w:r w:rsidRPr="00095D50">
        <w:rPr>
          <w:rFonts w:ascii="Times New Roman" w:hAnsi="Times New Roman" w:cs="Times New Roman"/>
          <w:b/>
          <w:sz w:val="24"/>
          <w:szCs w:val="24"/>
        </w:rPr>
        <w:t>Layer 5: Failure of Autophagy</w:t>
      </w:r>
    </w:p>
    <w:p w14:paraId="2278B655"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sz w:val="24"/>
          <w:szCs w:val="24"/>
        </w:rPr>
        <w:t>Accumulation of cellular waste and defective mitochondrial clearance were described as results of suppressed autophagy and unresolved unfolded protein response (UPR), further exacerbating damage response failures.</w:t>
      </w:r>
    </w:p>
    <w:p w14:paraId="0BF7A510" w14:textId="77777777" w:rsidR="00EC04BD" w:rsidRPr="00095D50" w:rsidRDefault="00EC04BD" w:rsidP="00EC04BD">
      <w:pPr>
        <w:jc w:val="both"/>
        <w:rPr>
          <w:rFonts w:ascii="Times New Roman" w:hAnsi="Times New Roman" w:cs="Times New Roman"/>
          <w:b/>
          <w:sz w:val="24"/>
          <w:szCs w:val="24"/>
        </w:rPr>
      </w:pPr>
      <w:r w:rsidRPr="00095D50">
        <w:rPr>
          <w:rFonts w:ascii="Times New Roman" w:hAnsi="Times New Roman" w:cs="Times New Roman"/>
          <w:b/>
          <w:sz w:val="24"/>
          <w:szCs w:val="24"/>
        </w:rPr>
        <w:t>Layer 6 &amp; 7: Therapeutic Limitations</w:t>
      </w:r>
    </w:p>
    <w:p w14:paraId="3684038C"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sz w:val="24"/>
          <w:szCs w:val="24"/>
        </w:rPr>
        <w:t>Monotherapies with isolated vitamin supplementation were shown to be poorly congruent with the multi-targeted, complex failure map. Simulation experiments showed restoration to be only incomplete unless co-factors like NAD+, SAMe, and microbiota-supporting agents (e.g., probiotics) were included to facilitate feedback loops and mitochondrial repair.</w:t>
      </w:r>
    </w:p>
    <w:p w14:paraId="0188D633"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sz w:val="24"/>
          <w:szCs w:val="24"/>
        </w:rPr>
        <w:t>The findings illustrate vitamin deficiency as a network failure of systemic origin rather than as a single metabolic deficiency, demanding multi-layered therapeutic attention.</w:t>
      </w:r>
    </w:p>
    <w:p w14:paraId="798E08D0" w14:textId="77777777" w:rsidR="00EC04BD" w:rsidRPr="00095D50" w:rsidRDefault="005833E6" w:rsidP="00EC04BD">
      <w:pPr>
        <w:jc w:val="both"/>
        <w:rPr>
          <w:rFonts w:ascii="Times New Roman" w:hAnsi="Times New Roman" w:cs="Times New Roman"/>
          <w:b/>
          <w:sz w:val="24"/>
          <w:szCs w:val="24"/>
        </w:rPr>
      </w:pPr>
      <w:r w:rsidRPr="00095D50">
        <w:rPr>
          <w:rFonts w:ascii="Times New Roman" w:hAnsi="Times New Roman" w:cs="Times New Roman"/>
          <w:b/>
          <w:sz w:val="24"/>
          <w:szCs w:val="24"/>
        </w:rPr>
        <w:t xml:space="preserve">5. </w:t>
      </w:r>
      <w:r w:rsidR="00EC04BD" w:rsidRPr="00095D50">
        <w:rPr>
          <w:rFonts w:ascii="Times New Roman" w:hAnsi="Times New Roman" w:cs="Times New Roman"/>
          <w:b/>
          <w:sz w:val="24"/>
          <w:szCs w:val="24"/>
        </w:rPr>
        <w:t>INP Restoration through Rasayana-Based Epigenetic Network Reprogramming</w:t>
      </w:r>
    </w:p>
    <w:p w14:paraId="58F50CCC"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sz w:val="24"/>
          <w:szCs w:val="24"/>
        </w:rPr>
        <w:t>The traditional Ayurvedic preparation Chyawanprash was designed as a lead candidate for systemic INP rejuvenation, with its multicomponent, adaptogenic composition.</w:t>
      </w:r>
    </w:p>
    <w:p w14:paraId="4BF8CF71" w14:textId="77777777" w:rsidR="00560C2E" w:rsidRPr="00095D50" w:rsidRDefault="00560C2E" w:rsidP="00560C2E">
      <w:pPr>
        <w:jc w:val="both"/>
        <w:rPr>
          <w:rFonts w:ascii="Times New Roman" w:hAnsi="Times New Roman" w:cs="Times New Roman"/>
          <w:b/>
          <w:bCs/>
          <w:sz w:val="24"/>
          <w:szCs w:val="24"/>
        </w:rPr>
      </w:pPr>
      <w:r w:rsidRPr="00095D50">
        <w:rPr>
          <w:rFonts w:ascii="Times New Roman" w:hAnsi="Times New Roman" w:cs="Times New Roman"/>
          <w:b/>
          <w:bCs/>
          <w:sz w:val="24"/>
          <w:szCs w:val="24"/>
        </w:rPr>
        <w:t>Epigenetic Simulation via ODE Modeling</w:t>
      </w:r>
    </w:p>
    <w:p w14:paraId="233AFA05" w14:textId="77777777" w:rsidR="00560C2E" w:rsidRPr="00095D50" w:rsidRDefault="00560C2E" w:rsidP="00560C2E">
      <w:pPr>
        <w:jc w:val="both"/>
        <w:rPr>
          <w:rFonts w:ascii="Times New Roman" w:hAnsi="Times New Roman" w:cs="Times New Roman"/>
          <w:sz w:val="24"/>
          <w:szCs w:val="24"/>
        </w:rPr>
      </w:pPr>
      <w:r w:rsidRPr="00095D50">
        <w:rPr>
          <w:rFonts w:ascii="Times New Roman" w:hAnsi="Times New Roman" w:cs="Times New Roman"/>
          <w:sz w:val="24"/>
          <w:szCs w:val="24"/>
        </w:rPr>
        <w:t xml:space="preserve">To explore time-based system restoration, a dynamic ODE model was developed for five key epigenetic regulators: </w:t>
      </w:r>
      <w:r w:rsidRPr="00095D50">
        <w:rPr>
          <w:rFonts w:ascii="Times New Roman" w:hAnsi="Times New Roman" w:cs="Times New Roman"/>
          <w:b/>
          <w:bCs/>
          <w:sz w:val="24"/>
          <w:szCs w:val="24"/>
        </w:rPr>
        <w:t>Nrf2</w:t>
      </w:r>
      <w:r w:rsidRPr="00095D50">
        <w:rPr>
          <w:rFonts w:ascii="Times New Roman" w:hAnsi="Times New Roman" w:cs="Times New Roman"/>
          <w:sz w:val="24"/>
          <w:szCs w:val="24"/>
        </w:rPr>
        <w:t xml:space="preserve">, </w:t>
      </w:r>
      <w:r w:rsidRPr="00095D50">
        <w:rPr>
          <w:rFonts w:ascii="Times New Roman" w:hAnsi="Times New Roman" w:cs="Times New Roman"/>
          <w:b/>
          <w:bCs/>
          <w:sz w:val="24"/>
          <w:szCs w:val="24"/>
        </w:rPr>
        <w:t>SIRT1</w:t>
      </w:r>
      <w:r w:rsidRPr="00095D50">
        <w:rPr>
          <w:rFonts w:ascii="Times New Roman" w:hAnsi="Times New Roman" w:cs="Times New Roman"/>
          <w:sz w:val="24"/>
          <w:szCs w:val="24"/>
        </w:rPr>
        <w:t xml:space="preserve">, </w:t>
      </w:r>
      <w:r w:rsidRPr="00095D50">
        <w:rPr>
          <w:rFonts w:ascii="Times New Roman" w:hAnsi="Times New Roman" w:cs="Times New Roman"/>
          <w:b/>
          <w:bCs/>
          <w:sz w:val="24"/>
          <w:szCs w:val="24"/>
        </w:rPr>
        <w:t>FOXO3</w:t>
      </w:r>
      <w:r w:rsidRPr="00095D50">
        <w:rPr>
          <w:rFonts w:ascii="Times New Roman" w:hAnsi="Times New Roman" w:cs="Times New Roman"/>
          <w:sz w:val="24"/>
          <w:szCs w:val="24"/>
        </w:rPr>
        <w:t xml:space="preserve">, </w:t>
      </w:r>
      <w:r w:rsidRPr="00095D50">
        <w:rPr>
          <w:rFonts w:ascii="Times New Roman" w:hAnsi="Times New Roman" w:cs="Times New Roman"/>
          <w:b/>
          <w:bCs/>
          <w:sz w:val="24"/>
          <w:szCs w:val="24"/>
        </w:rPr>
        <w:t>DNMT1</w:t>
      </w:r>
      <w:r w:rsidRPr="00095D50">
        <w:rPr>
          <w:rFonts w:ascii="Times New Roman" w:hAnsi="Times New Roman" w:cs="Times New Roman"/>
          <w:sz w:val="24"/>
          <w:szCs w:val="24"/>
        </w:rPr>
        <w:t xml:space="preserve">, and </w:t>
      </w:r>
      <w:r w:rsidRPr="00095D50">
        <w:rPr>
          <w:rFonts w:ascii="Times New Roman" w:hAnsi="Times New Roman" w:cs="Times New Roman"/>
          <w:b/>
          <w:bCs/>
          <w:sz w:val="24"/>
          <w:szCs w:val="24"/>
        </w:rPr>
        <w:t>Beclin1</w:t>
      </w:r>
      <w:r w:rsidRPr="00095D50">
        <w:rPr>
          <w:rFonts w:ascii="Times New Roman" w:hAnsi="Times New Roman" w:cs="Times New Roman"/>
          <w:sz w:val="24"/>
          <w:szCs w:val="24"/>
        </w:rPr>
        <w:t>.</w:t>
      </w:r>
    </w:p>
    <w:p w14:paraId="28964EBC" w14:textId="77777777" w:rsidR="00560C2E" w:rsidRPr="00095D50" w:rsidRDefault="00560C2E" w:rsidP="00560C2E">
      <w:pPr>
        <w:jc w:val="both"/>
        <w:rPr>
          <w:rFonts w:ascii="Times New Roman" w:hAnsi="Times New Roman" w:cs="Times New Roman"/>
          <w:sz w:val="24"/>
          <w:szCs w:val="24"/>
        </w:rPr>
      </w:pPr>
      <w:r w:rsidRPr="00095D50">
        <w:rPr>
          <w:rFonts w:ascii="Times New Roman" w:hAnsi="Times New Roman" w:cs="Times New Roman"/>
          <w:sz w:val="24"/>
          <w:szCs w:val="24"/>
        </w:rPr>
        <w:t>Two conditions were simulated:</w:t>
      </w:r>
    </w:p>
    <w:p w14:paraId="29574FA0" w14:textId="77777777" w:rsidR="00560C2E" w:rsidRPr="00095D50" w:rsidRDefault="00560C2E" w:rsidP="00560C2E">
      <w:pPr>
        <w:numPr>
          <w:ilvl w:val="0"/>
          <w:numId w:val="9"/>
        </w:numPr>
        <w:jc w:val="both"/>
        <w:rPr>
          <w:rFonts w:ascii="Times New Roman" w:hAnsi="Times New Roman" w:cs="Times New Roman"/>
          <w:sz w:val="24"/>
          <w:szCs w:val="24"/>
        </w:rPr>
      </w:pPr>
      <w:r w:rsidRPr="00095D50">
        <w:rPr>
          <w:rFonts w:ascii="Times New Roman" w:hAnsi="Times New Roman" w:cs="Times New Roman"/>
          <w:b/>
          <w:bCs/>
          <w:sz w:val="24"/>
          <w:szCs w:val="24"/>
        </w:rPr>
        <w:t>Deficiency State</w:t>
      </w:r>
      <w:r w:rsidRPr="00095D50">
        <w:rPr>
          <w:rFonts w:ascii="Times New Roman" w:hAnsi="Times New Roman" w:cs="Times New Roman"/>
          <w:sz w:val="24"/>
          <w:szCs w:val="24"/>
        </w:rPr>
        <w:t>: with minimal stimulation coefficients (0.1 per node),</w:t>
      </w:r>
    </w:p>
    <w:p w14:paraId="159671FD" w14:textId="77777777" w:rsidR="00560C2E" w:rsidRPr="00095D50" w:rsidRDefault="00560C2E" w:rsidP="00560C2E">
      <w:pPr>
        <w:numPr>
          <w:ilvl w:val="0"/>
          <w:numId w:val="9"/>
        </w:numPr>
        <w:jc w:val="both"/>
        <w:rPr>
          <w:rFonts w:ascii="Times New Roman" w:hAnsi="Times New Roman" w:cs="Times New Roman"/>
          <w:sz w:val="24"/>
          <w:szCs w:val="24"/>
        </w:rPr>
      </w:pPr>
      <w:r w:rsidRPr="00095D50">
        <w:rPr>
          <w:rFonts w:ascii="Times New Roman" w:hAnsi="Times New Roman" w:cs="Times New Roman"/>
          <w:b/>
          <w:bCs/>
          <w:sz w:val="24"/>
          <w:szCs w:val="24"/>
        </w:rPr>
        <w:t>Full Chyawanprash Synergy</w:t>
      </w:r>
      <w:r w:rsidRPr="00095D50">
        <w:rPr>
          <w:rFonts w:ascii="Times New Roman" w:hAnsi="Times New Roman" w:cs="Times New Roman"/>
          <w:sz w:val="24"/>
          <w:szCs w:val="24"/>
        </w:rPr>
        <w:t>: using influence coefficients derived from the compound-target map (0.6–1.0).</w:t>
      </w:r>
    </w:p>
    <w:p w14:paraId="479FA79D" w14:textId="77777777" w:rsidR="00560C2E" w:rsidRPr="00095D50" w:rsidRDefault="00560C2E" w:rsidP="00560C2E">
      <w:pPr>
        <w:jc w:val="both"/>
        <w:rPr>
          <w:rFonts w:ascii="Times New Roman" w:hAnsi="Times New Roman" w:cs="Times New Roman"/>
          <w:b/>
          <w:sz w:val="24"/>
          <w:szCs w:val="24"/>
        </w:rPr>
      </w:pPr>
      <w:r w:rsidRPr="00095D50">
        <w:rPr>
          <w:rFonts w:ascii="Times New Roman" w:hAnsi="Times New Roman" w:cs="Times New Roman"/>
          <w:b/>
          <w:sz w:val="24"/>
          <w:szCs w:val="24"/>
        </w:rPr>
        <w:t>Results showed:</w:t>
      </w:r>
    </w:p>
    <w:p w14:paraId="52EE0E6C" w14:textId="77777777" w:rsidR="00560C2E" w:rsidRPr="00095D50" w:rsidRDefault="00560C2E" w:rsidP="00560C2E">
      <w:pPr>
        <w:numPr>
          <w:ilvl w:val="0"/>
          <w:numId w:val="10"/>
        </w:numPr>
        <w:jc w:val="both"/>
        <w:rPr>
          <w:rFonts w:ascii="Times New Roman" w:hAnsi="Times New Roman" w:cs="Times New Roman"/>
          <w:sz w:val="24"/>
          <w:szCs w:val="24"/>
        </w:rPr>
      </w:pPr>
      <w:r w:rsidRPr="00095D50">
        <w:rPr>
          <w:rFonts w:ascii="Times New Roman" w:hAnsi="Times New Roman" w:cs="Times New Roman"/>
          <w:sz w:val="24"/>
          <w:szCs w:val="24"/>
        </w:rPr>
        <w:t xml:space="preserve">Early and strong reactivation of </w:t>
      </w:r>
      <w:r w:rsidRPr="00095D50">
        <w:rPr>
          <w:rFonts w:ascii="Times New Roman" w:hAnsi="Times New Roman" w:cs="Times New Roman"/>
          <w:b/>
          <w:bCs/>
          <w:sz w:val="24"/>
          <w:szCs w:val="24"/>
        </w:rPr>
        <w:t>Nrf2</w:t>
      </w:r>
      <w:r w:rsidRPr="00095D50">
        <w:rPr>
          <w:rFonts w:ascii="Times New Roman" w:hAnsi="Times New Roman" w:cs="Times New Roman"/>
          <w:sz w:val="24"/>
          <w:szCs w:val="24"/>
        </w:rPr>
        <w:t xml:space="preserve"> and </w:t>
      </w:r>
      <w:r w:rsidRPr="00095D50">
        <w:rPr>
          <w:rFonts w:ascii="Times New Roman" w:hAnsi="Times New Roman" w:cs="Times New Roman"/>
          <w:b/>
          <w:bCs/>
          <w:sz w:val="24"/>
          <w:szCs w:val="24"/>
        </w:rPr>
        <w:t>SIRT1</w:t>
      </w:r>
      <w:r w:rsidRPr="00095D50">
        <w:rPr>
          <w:rFonts w:ascii="Times New Roman" w:hAnsi="Times New Roman" w:cs="Times New Roman"/>
          <w:sz w:val="24"/>
          <w:szCs w:val="24"/>
        </w:rPr>
        <w:t xml:space="preserve"> under the full formulation.</w:t>
      </w:r>
    </w:p>
    <w:p w14:paraId="11AC1DA7" w14:textId="77777777" w:rsidR="00560C2E" w:rsidRPr="00095D50" w:rsidRDefault="00560C2E" w:rsidP="00560C2E">
      <w:pPr>
        <w:numPr>
          <w:ilvl w:val="0"/>
          <w:numId w:val="10"/>
        </w:numPr>
        <w:jc w:val="both"/>
        <w:rPr>
          <w:rFonts w:ascii="Times New Roman" w:hAnsi="Times New Roman" w:cs="Times New Roman"/>
          <w:sz w:val="24"/>
          <w:szCs w:val="24"/>
        </w:rPr>
      </w:pPr>
      <w:r w:rsidRPr="00095D50">
        <w:rPr>
          <w:rFonts w:ascii="Times New Roman" w:hAnsi="Times New Roman" w:cs="Times New Roman"/>
          <w:sz w:val="24"/>
          <w:szCs w:val="24"/>
        </w:rPr>
        <w:t xml:space="preserve">Downstream re-engagement of </w:t>
      </w:r>
      <w:r w:rsidRPr="00095D50">
        <w:rPr>
          <w:rFonts w:ascii="Times New Roman" w:hAnsi="Times New Roman" w:cs="Times New Roman"/>
          <w:b/>
          <w:bCs/>
          <w:sz w:val="24"/>
          <w:szCs w:val="24"/>
        </w:rPr>
        <w:t>FOXO3</w:t>
      </w:r>
      <w:r w:rsidRPr="00095D50">
        <w:rPr>
          <w:rFonts w:ascii="Times New Roman" w:hAnsi="Times New Roman" w:cs="Times New Roman"/>
          <w:sz w:val="24"/>
          <w:szCs w:val="24"/>
        </w:rPr>
        <w:t xml:space="preserve">, </w:t>
      </w:r>
      <w:r w:rsidRPr="00095D50">
        <w:rPr>
          <w:rFonts w:ascii="Times New Roman" w:hAnsi="Times New Roman" w:cs="Times New Roman"/>
          <w:b/>
          <w:bCs/>
          <w:sz w:val="24"/>
          <w:szCs w:val="24"/>
        </w:rPr>
        <w:t>Beclin1</w:t>
      </w:r>
      <w:r w:rsidRPr="00095D50">
        <w:rPr>
          <w:rFonts w:ascii="Times New Roman" w:hAnsi="Times New Roman" w:cs="Times New Roman"/>
          <w:sz w:val="24"/>
          <w:szCs w:val="24"/>
        </w:rPr>
        <w:t xml:space="preserve">, and </w:t>
      </w:r>
      <w:r w:rsidRPr="00095D50">
        <w:rPr>
          <w:rFonts w:ascii="Times New Roman" w:hAnsi="Times New Roman" w:cs="Times New Roman"/>
          <w:b/>
          <w:bCs/>
          <w:sz w:val="24"/>
          <w:szCs w:val="24"/>
        </w:rPr>
        <w:t>DNMT1</w:t>
      </w:r>
      <w:r w:rsidRPr="00095D50">
        <w:rPr>
          <w:rFonts w:ascii="Times New Roman" w:hAnsi="Times New Roman" w:cs="Times New Roman"/>
          <w:sz w:val="24"/>
          <w:szCs w:val="24"/>
        </w:rPr>
        <w:t xml:space="preserve"> over time.</w:t>
      </w:r>
    </w:p>
    <w:p w14:paraId="12FA5009" w14:textId="77777777" w:rsidR="00560C2E" w:rsidRPr="00095D50" w:rsidRDefault="00560C2E" w:rsidP="00560C2E">
      <w:pPr>
        <w:numPr>
          <w:ilvl w:val="0"/>
          <w:numId w:val="10"/>
        </w:numPr>
        <w:jc w:val="both"/>
        <w:rPr>
          <w:rFonts w:ascii="Times New Roman" w:hAnsi="Times New Roman" w:cs="Times New Roman"/>
          <w:sz w:val="24"/>
          <w:szCs w:val="24"/>
        </w:rPr>
      </w:pPr>
      <w:r w:rsidRPr="00095D50">
        <w:rPr>
          <w:rFonts w:ascii="Times New Roman" w:hAnsi="Times New Roman" w:cs="Times New Roman"/>
          <w:sz w:val="24"/>
          <w:szCs w:val="24"/>
        </w:rPr>
        <w:t>Emergence of stable gene expression levels, in contrast to system stagnation observed in the deficiency state.</w:t>
      </w:r>
    </w:p>
    <w:p w14:paraId="27DD1DDF" w14:textId="77777777" w:rsidR="00560C2E" w:rsidRPr="00095D50" w:rsidRDefault="00560C2E" w:rsidP="00560C2E">
      <w:pPr>
        <w:jc w:val="both"/>
        <w:rPr>
          <w:rFonts w:ascii="Times New Roman" w:hAnsi="Times New Roman" w:cs="Times New Roman"/>
          <w:sz w:val="24"/>
          <w:szCs w:val="24"/>
        </w:rPr>
      </w:pPr>
      <w:r w:rsidRPr="00095D50">
        <w:rPr>
          <w:rFonts w:ascii="Times New Roman" w:hAnsi="Times New Roman" w:cs="Times New Roman"/>
          <w:sz w:val="24"/>
          <w:szCs w:val="24"/>
        </w:rPr>
        <w:t xml:space="preserve">This simulation suggests that Chyawanprash may </w:t>
      </w:r>
      <w:r w:rsidRPr="00095D50">
        <w:rPr>
          <w:rFonts w:ascii="Times New Roman" w:hAnsi="Times New Roman" w:cs="Times New Roman"/>
          <w:b/>
          <w:bCs/>
          <w:sz w:val="24"/>
          <w:szCs w:val="24"/>
        </w:rPr>
        <w:t>rebuild feedback loops and restore network stability</w:t>
      </w:r>
      <w:r w:rsidRPr="00095D50">
        <w:rPr>
          <w:rFonts w:ascii="Times New Roman" w:hAnsi="Times New Roman" w:cs="Times New Roman"/>
          <w:sz w:val="24"/>
          <w:szCs w:val="24"/>
        </w:rPr>
        <w:t xml:space="preserve"> by reactivating upstream regulators that cascade into broader system repair.</w:t>
      </w:r>
    </w:p>
    <w:p w14:paraId="68CFBB1E" w14:textId="77777777" w:rsidR="00560C2E" w:rsidRPr="00095D50" w:rsidRDefault="005833E6" w:rsidP="00560C2E">
      <w:pPr>
        <w:jc w:val="both"/>
        <w:rPr>
          <w:rFonts w:ascii="Times New Roman" w:hAnsi="Times New Roman" w:cs="Times New Roman"/>
          <w:b/>
          <w:bCs/>
          <w:sz w:val="24"/>
          <w:szCs w:val="24"/>
        </w:rPr>
      </w:pPr>
      <w:r w:rsidRPr="00095D50">
        <w:rPr>
          <w:rFonts w:ascii="Times New Roman" w:hAnsi="Times New Roman" w:cs="Times New Roman"/>
          <w:b/>
          <w:bCs/>
          <w:sz w:val="24"/>
          <w:szCs w:val="24"/>
        </w:rPr>
        <w:t xml:space="preserve">6. </w:t>
      </w:r>
      <w:r w:rsidR="00560C2E" w:rsidRPr="00095D50">
        <w:rPr>
          <w:rFonts w:ascii="Times New Roman" w:hAnsi="Times New Roman" w:cs="Times New Roman"/>
          <w:b/>
          <w:bCs/>
          <w:sz w:val="24"/>
          <w:szCs w:val="24"/>
        </w:rPr>
        <w:t>Comparative Map: Failure vs. Restoration</w:t>
      </w:r>
    </w:p>
    <w:p w14:paraId="044A5634" w14:textId="77777777" w:rsidR="00560C2E" w:rsidRPr="00095D50" w:rsidRDefault="00560C2E" w:rsidP="00560C2E">
      <w:pPr>
        <w:jc w:val="both"/>
        <w:rPr>
          <w:rFonts w:ascii="Times New Roman" w:hAnsi="Times New Roman" w:cs="Times New Roman"/>
          <w:b/>
          <w:bCs/>
          <w:sz w:val="24"/>
          <w:szCs w:val="24"/>
        </w:rPr>
      </w:pPr>
      <w:r w:rsidRPr="00095D50">
        <w:rPr>
          <w:rFonts w:ascii="Times New Roman" w:hAnsi="Times New Roman" w:cs="Times New Roman"/>
          <w:sz w:val="24"/>
          <w:szCs w:val="24"/>
        </w:rPr>
        <w:lastRenderedPageBreak/>
        <w:t>A layer-by-layer comparison between deficiency-induced failure and Rasayana-enabled recovery provides a structured systems-level contrast.</w:t>
      </w:r>
      <w:r w:rsidRPr="00095D50">
        <w:t xml:space="preserve"> </w:t>
      </w:r>
      <w:r w:rsidRPr="00095D50">
        <w:rPr>
          <w:rFonts w:ascii="Times New Roman" w:hAnsi="Times New Roman" w:cs="Times New Roman"/>
          <w:sz w:val="24"/>
          <w:szCs w:val="24"/>
        </w:rPr>
        <w:t>This dual-trajectory view demonstrates how complex biological failure can be gradually reversed by multi-layer pharmacological and epigenetic input, rather than single-molecule approaches.</w:t>
      </w:r>
      <w:r w:rsidRPr="00095D50">
        <w:rPr>
          <w:rFonts w:ascii="Times New Roman" w:hAnsi="Times New Roman" w:cs="Times New Roman"/>
          <w:b/>
          <w:bCs/>
          <w:sz w:val="24"/>
          <w:szCs w:val="24"/>
        </w:rPr>
        <w:t xml:space="preserve"> </w:t>
      </w:r>
    </w:p>
    <w:p w14:paraId="32D9B660" w14:textId="77777777" w:rsidR="00560C2E" w:rsidRPr="00095D50" w:rsidRDefault="005833E6" w:rsidP="00560C2E">
      <w:pPr>
        <w:jc w:val="both"/>
        <w:rPr>
          <w:rFonts w:ascii="Times New Roman" w:hAnsi="Times New Roman" w:cs="Times New Roman"/>
          <w:b/>
          <w:bCs/>
          <w:sz w:val="24"/>
          <w:szCs w:val="24"/>
        </w:rPr>
      </w:pPr>
      <w:r w:rsidRPr="00095D50">
        <w:rPr>
          <w:rFonts w:ascii="Times New Roman" w:hAnsi="Times New Roman" w:cs="Times New Roman"/>
          <w:b/>
          <w:bCs/>
          <w:sz w:val="24"/>
          <w:szCs w:val="24"/>
        </w:rPr>
        <w:t xml:space="preserve">7. </w:t>
      </w:r>
      <w:r w:rsidR="00560C2E" w:rsidRPr="00095D50">
        <w:rPr>
          <w:rFonts w:ascii="Times New Roman" w:hAnsi="Times New Roman" w:cs="Times New Roman"/>
          <w:b/>
          <w:bCs/>
          <w:sz w:val="24"/>
          <w:szCs w:val="24"/>
        </w:rPr>
        <w:t>Target Mapping and Fit Score Analysis</w:t>
      </w:r>
    </w:p>
    <w:p w14:paraId="65363E2A" w14:textId="77777777" w:rsidR="00560C2E" w:rsidRPr="00095D50" w:rsidRDefault="00560C2E" w:rsidP="00560C2E">
      <w:pPr>
        <w:jc w:val="both"/>
        <w:rPr>
          <w:rFonts w:ascii="Times New Roman" w:hAnsi="Times New Roman" w:cs="Times New Roman"/>
          <w:sz w:val="24"/>
          <w:szCs w:val="24"/>
        </w:rPr>
      </w:pPr>
      <w:r w:rsidRPr="00095D50">
        <w:rPr>
          <w:rFonts w:ascii="Times New Roman" w:hAnsi="Times New Roman" w:cs="Times New Roman"/>
          <w:sz w:val="24"/>
          <w:szCs w:val="24"/>
        </w:rPr>
        <w:t xml:space="preserve">Each herb in the formulation was mapped against known regulators of redox, epigenetic, and feedback-related pathways. Fit scores were computed to evaluate alignment with core INP failure nodes. High fit scores for </w:t>
      </w:r>
      <w:r w:rsidRPr="00095D50">
        <w:rPr>
          <w:rFonts w:ascii="Times New Roman" w:hAnsi="Times New Roman" w:cs="Times New Roman"/>
          <w:b/>
          <w:bCs/>
          <w:sz w:val="24"/>
          <w:szCs w:val="24"/>
        </w:rPr>
        <w:t>Amla</w:t>
      </w:r>
      <w:r w:rsidRPr="00095D50">
        <w:rPr>
          <w:rFonts w:ascii="Times New Roman" w:hAnsi="Times New Roman" w:cs="Times New Roman"/>
          <w:sz w:val="24"/>
          <w:szCs w:val="24"/>
        </w:rPr>
        <w:t xml:space="preserve"> and </w:t>
      </w:r>
      <w:r w:rsidRPr="00095D50">
        <w:rPr>
          <w:rFonts w:ascii="Times New Roman" w:hAnsi="Times New Roman" w:cs="Times New Roman"/>
          <w:b/>
          <w:bCs/>
          <w:sz w:val="24"/>
          <w:szCs w:val="24"/>
        </w:rPr>
        <w:t>Ashwagandha</w:t>
      </w:r>
      <w:r w:rsidRPr="00095D50">
        <w:rPr>
          <w:rFonts w:ascii="Times New Roman" w:hAnsi="Times New Roman" w:cs="Times New Roman"/>
          <w:sz w:val="24"/>
          <w:szCs w:val="24"/>
        </w:rPr>
        <w:t xml:space="preserve"> confirm their ability to modulate multiple INP-relevant nodes including transcriptional activators, redox buffers, and damage repair initiators. Table 1</w:t>
      </w:r>
    </w:p>
    <w:p w14:paraId="6CFBC16C" w14:textId="77777777" w:rsidR="00560C2E" w:rsidRPr="00095D50" w:rsidRDefault="00560C2E" w:rsidP="00560C2E">
      <w:pPr>
        <w:jc w:val="both"/>
        <w:rPr>
          <w:rFonts w:ascii="Times New Roman" w:hAnsi="Times New Roman" w:cs="Times New Roman"/>
          <w:sz w:val="24"/>
          <w:szCs w:val="24"/>
        </w:rPr>
      </w:pPr>
      <w:r w:rsidRPr="00095D50">
        <w:rPr>
          <w:rFonts w:ascii="Times New Roman" w:hAnsi="Times New Roman" w:cs="Times New Roman"/>
          <w:sz w:val="24"/>
          <w:szCs w:val="24"/>
        </w:rPr>
        <w:t>Nutrient deficiencies initiate cascade failures beginning at specific trigger nodes and extending into redox, immune, and repair systems. The classical INP framework successfully maps these disruptions and provides a consistent structure to model intervention strategies. Chyawanprash, due to its high INP fit score across herbs and dynamic simulation outcomes, presents a plausible computational model for Rasayana-mediated epigenetic and systemic restoration.</w:t>
      </w:r>
      <w:r w:rsidR="005833E6" w:rsidRPr="00095D50">
        <w:rPr>
          <w:rFonts w:ascii="Times New Roman" w:hAnsi="Times New Roman" w:cs="Times New Roman"/>
          <w:sz w:val="24"/>
          <w:szCs w:val="24"/>
        </w:rPr>
        <w:t xml:space="preserve"> Table 2 </w:t>
      </w:r>
    </w:p>
    <w:p w14:paraId="11384938" w14:textId="77777777" w:rsidR="005833E6" w:rsidRPr="00095D50" w:rsidRDefault="005833E6" w:rsidP="00560C2E">
      <w:pPr>
        <w:jc w:val="both"/>
        <w:rPr>
          <w:rFonts w:ascii="Times New Roman" w:hAnsi="Times New Roman" w:cs="Times New Roman"/>
          <w:b/>
          <w:sz w:val="24"/>
          <w:szCs w:val="24"/>
        </w:rPr>
      </w:pPr>
      <w:r w:rsidRPr="00095D50">
        <w:rPr>
          <w:rFonts w:ascii="Times New Roman" w:hAnsi="Times New Roman" w:cs="Times New Roman"/>
          <w:b/>
          <w:sz w:val="24"/>
          <w:szCs w:val="24"/>
        </w:rPr>
        <w:t xml:space="preserve">8. Simulation of Chyawanprash’s epigenetic network rewiring using these scores: </w:t>
      </w:r>
    </w:p>
    <w:p w14:paraId="375D9BEC" w14:textId="77777777" w:rsidR="005833E6" w:rsidRPr="00095D50" w:rsidRDefault="005833E6" w:rsidP="005833E6">
      <w:pPr>
        <w:jc w:val="both"/>
        <w:rPr>
          <w:rFonts w:ascii="Times New Roman" w:hAnsi="Times New Roman" w:cs="Times New Roman"/>
          <w:sz w:val="24"/>
          <w:szCs w:val="24"/>
        </w:rPr>
      </w:pPr>
      <w:r w:rsidRPr="00095D50">
        <w:rPr>
          <w:rFonts w:ascii="Times New Roman" w:hAnsi="Times New Roman" w:cs="Times New Roman"/>
          <w:sz w:val="24"/>
          <w:szCs w:val="24"/>
        </w:rPr>
        <w:t xml:space="preserve">Simulation Output of Chyawanprash’s Epigenetic Network Rewiring graph shows the epigenetic INP failure network is restored over time through the cumulative effects of top Chyawanprash herbs </w:t>
      </w:r>
      <w:r w:rsidRPr="00095D50">
        <w:rPr>
          <w:rFonts w:ascii="Times New Roman" w:hAnsi="Times New Roman" w:cs="Times New Roman"/>
          <w:b/>
          <w:sz w:val="24"/>
          <w:szCs w:val="24"/>
        </w:rPr>
        <w:t>Graph 1.</w:t>
      </w:r>
      <w:r w:rsidRPr="00095D50">
        <w:rPr>
          <w:rFonts w:ascii="Times New Roman" w:hAnsi="Times New Roman" w:cs="Times New Roman"/>
          <w:sz w:val="24"/>
          <w:szCs w:val="24"/>
        </w:rPr>
        <w:t xml:space="preserve"> </w:t>
      </w:r>
    </w:p>
    <w:p w14:paraId="1D337784" w14:textId="77777777" w:rsidR="00EC04BD" w:rsidRPr="00095D50" w:rsidRDefault="0063768D" w:rsidP="00EC04BD">
      <w:pPr>
        <w:jc w:val="both"/>
        <w:rPr>
          <w:rFonts w:ascii="Times New Roman" w:hAnsi="Times New Roman" w:cs="Times New Roman"/>
          <w:sz w:val="24"/>
          <w:szCs w:val="24"/>
        </w:rPr>
      </w:pPr>
      <w:r w:rsidRPr="00095D50">
        <w:rPr>
          <w:rFonts w:ascii="Times New Roman" w:hAnsi="Times New Roman" w:cs="Times New Roman"/>
          <w:sz w:val="24"/>
          <w:szCs w:val="24"/>
        </w:rPr>
        <w:t>During the simulation, Nrf2 and SIRT1 were revealed as early responders that took center stage in triggering redox buffering and metabolic stabilization in the initial 10–15-time units. Their early activation unleashes a cascade that brings about the progressive restoration of downstream epigenetic regulators such as DNMT1 (DNA methylation), FOXO3 (stress resistance and longevity), and Beclin1 (initiator autophagy). This temporal progression reflects the multi-layered logic of the INP repair model, in which early oxidative resistance pav</w:t>
      </w:r>
      <w:r w:rsidRPr="00095D50">
        <w:t xml:space="preserve"> </w:t>
      </w:r>
      <w:r w:rsidRPr="00095D50">
        <w:rPr>
          <w:rFonts w:ascii="Times New Roman" w:hAnsi="Times New Roman" w:cs="Times New Roman"/>
          <w:sz w:val="24"/>
          <w:szCs w:val="24"/>
        </w:rPr>
        <w:t xml:space="preserve">During the simulation, Nrf2 and SIRT1 were revealed as early responders that took center stage in triggering redox buffering and metabolic stabilization in the initial 10–15-time units. Their early activation unleashes a cascade that brings about the progressive restoration of downstream epigenetic regulators such as DNMT1 (DNA methylation), FOXO3 (stress resistance and longevity), and Beclin1 (initiator autophagy). This temporal progression reflects the multi-layered logic of the INP repair model, in which early oxidative resistance paves the way for later epigenetic and repair system stabilization. By around time unit 40, the expression of all five master regulators is stabilized, reflecting systemic balance has been restored under Chyawanprash treatment. These findings validate the hypothesis that Chyawanprash functions as a systems-level Rasayana, having the ability to stimulate upstream redox circuits (Nrf2, SIRT1), re-activate epigenetic methylation cycles (DNMT1), and augment transcriptional resilience and autophagic capacity (FOXO3, Beclin1).es the way for later epigenetic and repair system stabilization. By around time unit 40, the expression of all five master regulators is stabilized, reflecting systemic balance has been restored under Chyawanprash treatment. These findings validate the hypothesis that Chyawanprash functions as a systems-level Rasayana, having the ability to stimulate upstream redox circuits (Nrf2, SIRT1), re-activate </w:t>
      </w:r>
      <w:r w:rsidRPr="00095D50">
        <w:rPr>
          <w:rFonts w:ascii="Times New Roman" w:hAnsi="Times New Roman" w:cs="Times New Roman"/>
          <w:sz w:val="24"/>
          <w:szCs w:val="24"/>
        </w:rPr>
        <w:lastRenderedPageBreak/>
        <w:t>epigenetic methylation cycles (DNMT1), and augment transcriptional resilience and autophagic capacity (FOXO3, Beclin1)</w:t>
      </w:r>
      <w:r w:rsidR="00710950" w:rsidRPr="00095D50">
        <w:rPr>
          <w:rFonts w:ascii="Times New Roman" w:hAnsi="Times New Roman" w:cs="Times New Roman"/>
          <w:sz w:val="24"/>
          <w:szCs w:val="24"/>
        </w:rPr>
        <w:t xml:space="preserve"> Graph 1</w:t>
      </w:r>
      <w:r w:rsidRPr="00095D50">
        <w:rPr>
          <w:rFonts w:ascii="Times New Roman" w:hAnsi="Times New Roman" w:cs="Times New Roman"/>
          <w:sz w:val="24"/>
          <w:szCs w:val="24"/>
        </w:rPr>
        <w:t>.</w:t>
      </w:r>
      <w:r w:rsidR="004D0F15" w:rsidRPr="00095D50">
        <w:rPr>
          <w:rFonts w:ascii="Times New Roman" w:hAnsi="Times New Roman" w:cs="Times New Roman"/>
          <w:sz w:val="24"/>
          <w:szCs w:val="24"/>
        </w:rPr>
        <w:t xml:space="preserve"> We also identified other natural compounds that restore Vitamin D3 and Vitamin B12 intrinsic network failures using INP module given in Table 3</w:t>
      </w:r>
      <w:r w:rsidR="00710950" w:rsidRPr="00095D50">
        <w:rPr>
          <w:rFonts w:ascii="Times New Roman" w:hAnsi="Times New Roman" w:cs="Times New Roman"/>
          <w:sz w:val="24"/>
          <w:szCs w:val="24"/>
        </w:rPr>
        <w:t xml:space="preserve"> &amp; Image 2.</w:t>
      </w:r>
    </w:p>
    <w:p w14:paraId="5A7CC111" w14:textId="77777777" w:rsidR="00011F85" w:rsidRPr="00095D50" w:rsidRDefault="00011F85" w:rsidP="00011F85">
      <w:pPr>
        <w:jc w:val="both"/>
        <w:rPr>
          <w:rFonts w:ascii="Times New Roman" w:hAnsi="Times New Roman" w:cs="Times New Roman"/>
          <w:b/>
          <w:sz w:val="24"/>
          <w:szCs w:val="24"/>
        </w:rPr>
      </w:pPr>
      <w:r w:rsidRPr="00095D50">
        <w:rPr>
          <w:rFonts w:ascii="Times New Roman" w:hAnsi="Times New Roman" w:cs="Times New Roman"/>
          <w:b/>
          <w:sz w:val="24"/>
          <w:szCs w:val="24"/>
        </w:rPr>
        <w:t>9. Discussion</w:t>
      </w:r>
    </w:p>
    <w:p w14:paraId="7F079944" w14:textId="77777777" w:rsidR="00011F85" w:rsidRPr="00095D50" w:rsidRDefault="00011F85" w:rsidP="00011F85">
      <w:pPr>
        <w:jc w:val="both"/>
        <w:rPr>
          <w:rFonts w:ascii="Times New Roman" w:hAnsi="Times New Roman" w:cs="Times New Roman"/>
          <w:sz w:val="24"/>
          <w:szCs w:val="24"/>
        </w:rPr>
      </w:pPr>
      <w:r w:rsidRPr="00095D50">
        <w:rPr>
          <w:rFonts w:ascii="Times New Roman" w:hAnsi="Times New Roman" w:cs="Times New Roman"/>
          <w:sz w:val="24"/>
          <w:szCs w:val="24"/>
        </w:rPr>
        <w:t>This article describes a new application of the 7-layer Intrinsic Network Pharmacology (INP) approach to probe two intensely opposing biological conditions: the gradual failure of systemic function in Vitamin D3 and B12 deficiencies</w:t>
      </w:r>
      <w:r w:rsidR="00633C11" w:rsidRPr="00095D50">
        <w:rPr>
          <w:rFonts w:ascii="Times New Roman" w:hAnsi="Times New Roman" w:cs="Times New Roman"/>
          <w:sz w:val="24"/>
          <w:szCs w:val="24"/>
        </w:rPr>
        <w:t xml:space="preserve"> [18, 19,23]</w:t>
      </w:r>
      <w:r w:rsidRPr="00095D50">
        <w:rPr>
          <w:rFonts w:ascii="Times New Roman" w:hAnsi="Times New Roman" w:cs="Times New Roman"/>
          <w:sz w:val="24"/>
          <w:szCs w:val="24"/>
        </w:rPr>
        <w:t>, and the possible systemic restoration through the polyherbal Rasayana product Chyawanprash. The findings illustrate that chronic undernutrition with key nutrients goes well beyond single-biomarker dysfunctions and evokes broad-spectrum collapses in feedback control, redox balance, immune signaling, and autophagic clearance. In contrast, the multicomponent and adaptogenic profile of Chyawanprash offers a novel systems-level intervention that can network rewire these same layers.</w:t>
      </w:r>
    </w:p>
    <w:p w14:paraId="618FBBB7" w14:textId="77777777" w:rsidR="00011F85" w:rsidRPr="00095D50" w:rsidRDefault="00011F85" w:rsidP="00011F85">
      <w:pPr>
        <w:jc w:val="both"/>
        <w:rPr>
          <w:rFonts w:ascii="Times New Roman" w:hAnsi="Times New Roman" w:cs="Times New Roman"/>
          <w:b/>
          <w:sz w:val="24"/>
          <w:szCs w:val="24"/>
        </w:rPr>
      </w:pPr>
      <w:r w:rsidRPr="00095D50">
        <w:rPr>
          <w:rFonts w:ascii="Times New Roman" w:hAnsi="Times New Roman" w:cs="Times New Roman"/>
          <w:b/>
          <w:sz w:val="24"/>
          <w:szCs w:val="24"/>
        </w:rPr>
        <w:t>9.1 Systemic Breakdown Under Nutrient Deficiency</w:t>
      </w:r>
    </w:p>
    <w:p w14:paraId="6221389D" w14:textId="77777777" w:rsidR="00011F85" w:rsidRPr="00095D50" w:rsidRDefault="00011F85" w:rsidP="00011F85">
      <w:pPr>
        <w:jc w:val="both"/>
        <w:rPr>
          <w:rFonts w:ascii="Times New Roman" w:hAnsi="Times New Roman" w:cs="Times New Roman"/>
          <w:sz w:val="24"/>
          <w:szCs w:val="24"/>
        </w:rPr>
      </w:pPr>
      <w:r w:rsidRPr="00095D50">
        <w:rPr>
          <w:rFonts w:ascii="Times New Roman" w:hAnsi="Times New Roman" w:cs="Times New Roman"/>
          <w:sz w:val="24"/>
          <w:szCs w:val="24"/>
        </w:rPr>
        <w:t>The INP failure mapping between Vitamin D3 and B12 metabolism exposed a clear and layered pattern of breakdown:</w:t>
      </w:r>
    </w:p>
    <w:p w14:paraId="2F85D6C6" w14:textId="77777777" w:rsidR="00011F85" w:rsidRPr="00095D50" w:rsidRDefault="00011F85" w:rsidP="00011F85">
      <w:pPr>
        <w:jc w:val="both"/>
        <w:rPr>
          <w:rFonts w:ascii="Times New Roman" w:hAnsi="Times New Roman" w:cs="Times New Roman"/>
          <w:sz w:val="24"/>
          <w:szCs w:val="24"/>
        </w:rPr>
      </w:pPr>
      <w:r w:rsidRPr="00095D50">
        <w:rPr>
          <w:rFonts w:ascii="Times New Roman" w:hAnsi="Times New Roman" w:cs="Times New Roman"/>
          <w:sz w:val="24"/>
          <w:szCs w:val="24"/>
        </w:rPr>
        <w:t>Early precipitants like compromised UV exposure or gastric inflammation trigger collapse (Layer 1),Which causes feedback loop failure in methylation and hormonal control (Layer 2),</w:t>
      </w:r>
      <w:r w:rsidR="00BA361A" w:rsidRPr="00095D50">
        <w:rPr>
          <w:rFonts w:ascii="Times New Roman" w:hAnsi="Times New Roman" w:cs="Times New Roman"/>
          <w:sz w:val="24"/>
          <w:szCs w:val="24"/>
        </w:rPr>
        <w:t xml:space="preserve"> </w:t>
      </w:r>
      <w:r w:rsidRPr="00095D50">
        <w:rPr>
          <w:rFonts w:ascii="Times New Roman" w:hAnsi="Times New Roman" w:cs="Times New Roman"/>
          <w:sz w:val="24"/>
          <w:szCs w:val="24"/>
        </w:rPr>
        <w:t>Then redox imbalance through exhausted antioxidants and ROS buffering (Layer 3),</w:t>
      </w:r>
      <w:r w:rsidR="00BA361A" w:rsidRPr="00095D50">
        <w:rPr>
          <w:rFonts w:ascii="Times New Roman" w:hAnsi="Times New Roman" w:cs="Times New Roman"/>
          <w:sz w:val="24"/>
          <w:szCs w:val="24"/>
        </w:rPr>
        <w:t xml:space="preserve"> </w:t>
      </w:r>
      <w:r w:rsidRPr="00095D50">
        <w:rPr>
          <w:rFonts w:ascii="Times New Roman" w:hAnsi="Times New Roman" w:cs="Times New Roman"/>
          <w:sz w:val="24"/>
          <w:szCs w:val="24"/>
        </w:rPr>
        <w:t>And immune dysregulation, vascular stress, and inflammatory priming (Layer 4).These disruptions eventually affect cellular restoration processes (Layer 5), with our simulations of model systems (Layers 6–7) indicating mere partial rehabilitation via standard supplementation</w:t>
      </w:r>
      <w:r w:rsidR="00633C11" w:rsidRPr="00095D50">
        <w:rPr>
          <w:rFonts w:ascii="Times New Roman" w:hAnsi="Times New Roman" w:cs="Times New Roman"/>
          <w:sz w:val="24"/>
          <w:szCs w:val="24"/>
        </w:rPr>
        <w:t xml:space="preserve"> [18,19]</w:t>
      </w:r>
      <w:r w:rsidRPr="00095D50">
        <w:rPr>
          <w:rFonts w:ascii="Times New Roman" w:hAnsi="Times New Roman" w:cs="Times New Roman"/>
          <w:sz w:val="24"/>
          <w:szCs w:val="24"/>
        </w:rPr>
        <w:t>. The results indicate that monotherapies, even if biochemically adequate, could be insufficient to re-establish the complete dynamic integrity of biological systems after multi-layer network breakdown.</w:t>
      </w:r>
    </w:p>
    <w:p w14:paraId="3C8D2772" w14:textId="77777777" w:rsidR="00011F85" w:rsidRPr="00095D50" w:rsidRDefault="00BA361A" w:rsidP="00011F85">
      <w:pPr>
        <w:jc w:val="both"/>
        <w:rPr>
          <w:rFonts w:ascii="Times New Roman" w:hAnsi="Times New Roman" w:cs="Times New Roman"/>
          <w:b/>
          <w:sz w:val="24"/>
          <w:szCs w:val="24"/>
        </w:rPr>
      </w:pPr>
      <w:r w:rsidRPr="00095D50">
        <w:rPr>
          <w:rFonts w:ascii="Times New Roman" w:hAnsi="Times New Roman" w:cs="Times New Roman"/>
          <w:b/>
          <w:sz w:val="24"/>
          <w:szCs w:val="24"/>
        </w:rPr>
        <w:t>9</w:t>
      </w:r>
      <w:r w:rsidR="00011F85" w:rsidRPr="00095D50">
        <w:rPr>
          <w:rFonts w:ascii="Times New Roman" w:hAnsi="Times New Roman" w:cs="Times New Roman"/>
          <w:b/>
          <w:sz w:val="24"/>
          <w:szCs w:val="24"/>
        </w:rPr>
        <w:t>.2 Rasayana-Based Restoration and INP Reprogramming</w:t>
      </w:r>
    </w:p>
    <w:p w14:paraId="0E2F1F20" w14:textId="77777777" w:rsidR="00011F85" w:rsidRPr="00095D50" w:rsidRDefault="00011F85" w:rsidP="00011F85">
      <w:pPr>
        <w:jc w:val="both"/>
        <w:rPr>
          <w:rFonts w:ascii="Times New Roman" w:hAnsi="Times New Roman" w:cs="Times New Roman"/>
          <w:sz w:val="24"/>
          <w:szCs w:val="24"/>
        </w:rPr>
      </w:pPr>
      <w:r w:rsidRPr="00095D50">
        <w:rPr>
          <w:rFonts w:ascii="Times New Roman" w:hAnsi="Times New Roman" w:cs="Times New Roman"/>
          <w:sz w:val="24"/>
          <w:szCs w:val="24"/>
        </w:rPr>
        <w:t>In contrast, our INP Fit Score analysis and ODE-based simulations show that Chyawanprash, a product with more than 40 synergistic botanicals, concurrently activates a number of key regulators</w:t>
      </w:r>
      <w:r w:rsidR="00633C11" w:rsidRPr="00095D50">
        <w:rPr>
          <w:rFonts w:ascii="Times New Roman" w:hAnsi="Times New Roman" w:cs="Times New Roman"/>
          <w:sz w:val="24"/>
          <w:szCs w:val="24"/>
        </w:rPr>
        <w:t xml:space="preserve"> [24,25,26,27]</w:t>
      </w:r>
      <w:r w:rsidRPr="00095D50">
        <w:rPr>
          <w:rFonts w:ascii="Times New Roman" w:hAnsi="Times New Roman" w:cs="Times New Roman"/>
          <w:sz w:val="24"/>
          <w:szCs w:val="24"/>
        </w:rPr>
        <w:t>:</w:t>
      </w:r>
      <w:r w:rsidR="00BA361A" w:rsidRPr="00095D50">
        <w:rPr>
          <w:rFonts w:ascii="Times New Roman" w:hAnsi="Times New Roman" w:cs="Times New Roman"/>
          <w:sz w:val="24"/>
          <w:szCs w:val="24"/>
        </w:rPr>
        <w:t xml:space="preserve"> </w:t>
      </w:r>
      <w:r w:rsidRPr="00095D50">
        <w:rPr>
          <w:rFonts w:ascii="Times New Roman" w:hAnsi="Times New Roman" w:cs="Times New Roman"/>
          <w:sz w:val="24"/>
          <w:szCs w:val="24"/>
        </w:rPr>
        <w:t>Redox balancing and metabolic repair are induced early by the activation of Nrf2 and SIRT</w:t>
      </w:r>
      <w:r w:rsidR="00BA361A" w:rsidRPr="00095D50">
        <w:rPr>
          <w:rFonts w:ascii="Times New Roman" w:hAnsi="Times New Roman" w:cs="Times New Roman"/>
          <w:sz w:val="24"/>
          <w:szCs w:val="24"/>
        </w:rPr>
        <w:t>1, Stress</w:t>
      </w:r>
      <w:r w:rsidRPr="00095D50">
        <w:rPr>
          <w:rFonts w:ascii="Times New Roman" w:hAnsi="Times New Roman" w:cs="Times New Roman"/>
          <w:sz w:val="24"/>
          <w:szCs w:val="24"/>
        </w:rPr>
        <w:t xml:space="preserve"> resilience and epigenetic remodeling are facilitated by FOXO3 and DNMT</w:t>
      </w:r>
      <w:r w:rsidR="00BA361A" w:rsidRPr="00095D50">
        <w:rPr>
          <w:rFonts w:ascii="Times New Roman" w:hAnsi="Times New Roman" w:cs="Times New Roman"/>
          <w:sz w:val="24"/>
          <w:szCs w:val="24"/>
        </w:rPr>
        <w:t>1, Beclin</w:t>
      </w:r>
      <w:r w:rsidRPr="00095D50">
        <w:rPr>
          <w:rFonts w:ascii="Times New Roman" w:hAnsi="Times New Roman" w:cs="Times New Roman"/>
          <w:sz w:val="24"/>
          <w:szCs w:val="24"/>
        </w:rPr>
        <w:t xml:space="preserve">1 and LC3B initiate the reactivation of autophagy and damage </w:t>
      </w:r>
      <w:r w:rsidR="00BA361A" w:rsidRPr="00095D50">
        <w:rPr>
          <w:rFonts w:ascii="Times New Roman" w:hAnsi="Times New Roman" w:cs="Times New Roman"/>
          <w:sz w:val="24"/>
          <w:szCs w:val="24"/>
        </w:rPr>
        <w:t>clearance. Our</w:t>
      </w:r>
      <w:r w:rsidRPr="00095D50">
        <w:rPr>
          <w:rFonts w:ascii="Times New Roman" w:hAnsi="Times New Roman" w:cs="Times New Roman"/>
          <w:sz w:val="24"/>
          <w:szCs w:val="24"/>
        </w:rPr>
        <w:t xml:space="preserve"> comparative simulation evidently demonstrates a divergence in system trajectories, wherein the Rasayana condition attained stable restoration of INP function, in contrast to stagnation within nutrient-deficiency simulations. This confirms the hypothesis that polyherbal adaptogens act not by single targets, but by guiding entire networks to equilibrium.</w:t>
      </w:r>
    </w:p>
    <w:p w14:paraId="40C9D8E1" w14:textId="77777777" w:rsidR="00011F85" w:rsidRPr="00095D50" w:rsidRDefault="00BA361A" w:rsidP="00011F85">
      <w:pPr>
        <w:jc w:val="both"/>
        <w:rPr>
          <w:rFonts w:ascii="Times New Roman" w:hAnsi="Times New Roman" w:cs="Times New Roman"/>
          <w:b/>
          <w:sz w:val="24"/>
          <w:szCs w:val="24"/>
        </w:rPr>
      </w:pPr>
      <w:r w:rsidRPr="00095D50">
        <w:rPr>
          <w:rFonts w:ascii="Times New Roman" w:hAnsi="Times New Roman" w:cs="Times New Roman"/>
          <w:b/>
          <w:sz w:val="24"/>
          <w:szCs w:val="24"/>
        </w:rPr>
        <w:t>9</w:t>
      </w:r>
      <w:r w:rsidR="00011F85" w:rsidRPr="00095D50">
        <w:rPr>
          <w:rFonts w:ascii="Times New Roman" w:hAnsi="Times New Roman" w:cs="Times New Roman"/>
          <w:b/>
          <w:sz w:val="24"/>
          <w:szCs w:val="24"/>
        </w:rPr>
        <w:t>.3 Strengths and Limitations</w:t>
      </w:r>
    </w:p>
    <w:p w14:paraId="1A9209CE" w14:textId="77777777" w:rsidR="00011F85" w:rsidRPr="00095D50" w:rsidRDefault="00011F85" w:rsidP="00011F85">
      <w:pPr>
        <w:jc w:val="both"/>
        <w:rPr>
          <w:rFonts w:ascii="Times New Roman" w:hAnsi="Times New Roman" w:cs="Times New Roman"/>
          <w:sz w:val="24"/>
          <w:szCs w:val="24"/>
        </w:rPr>
      </w:pPr>
      <w:r w:rsidRPr="00095D50">
        <w:rPr>
          <w:rFonts w:ascii="Times New Roman" w:hAnsi="Times New Roman" w:cs="Times New Roman"/>
          <w:sz w:val="24"/>
          <w:szCs w:val="24"/>
        </w:rPr>
        <w:t xml:space="preserve">The major strength of this effort is the integration of classical Ayurvedic wisdom with cutting-edge systems pharmacology and dynamic modeling, permitting a dual-view analysis—failure and restoration—within a common protocol. It is also noteworthy that the ODE simulation of gene </w:t>
      </w:r>
      <w:r w:rsidRPr="00095D50">
        <w:rPr>
          <w:rFonts w:ascii="Times New Roman" w:hAnsi="Times New Roman" w:cs="Times New Roman"/>
          <w:sz w:val="24"/>
          <w:szCs w:val="24"/>
        </w:rPr>
        <w:lastRenderedPageBreak/>
        <w:t xml:space="preserve">regulatory dynamics under Rasayana influence lends temporal information into the rate and sequence of biological </w:t>
      </w:r>
      <w:r w:rsidR="00BA361A" w:rsidRPr="00095D50">
        <w:rPr>
          <w:rFonts w:ascii="Times New Roman" w:hAnsi="Times New Roman" w:cs="Times New Roman"/>
          <w:sz w:val="24"/>
          <w:szCs w:val="24"/>
        </w:rPr>
        <w:t>recovery. The</w:t>
      </w:r>
      <w:r w:rsidRPr="00095D50">
        <w:rPr>
          <w:rFonts w:ascii="Times New Roman" w:hAnsi="Times New Roman" w:cs="Times New Roman"/>
          <w:sz w:val="24"/>
          <w:szCs w:val="24"/>
        </w:rPr>
        <w:t xml:space="preserve"> limitations should be noted </w:t>
      </w:r>
      <w:r w:rsidR="00BA361A" w:rsidRPr="00095D50">
        <w:rPr>
          <w:rFonts w:ascii="Times New Roman" w:hAnsi="Times New Roman" w:cs="Times New Roman"/>
          <w:sz w:val="24"/>
          <w:szCs w:val="24"/>
        </w:rPr>
        <w:t>though. The</w:t>
      </w:r>
      <w:r w:rsidRPr="00095D50">
        <w:rPr>
          <w:rFonts w:ascii="Times New Roman" w:hAnsi="Times New Roman" w:cs="Times New Roman"/>
          <w:sz w:val="24"/>
          <w:szCs w:val="24"/>
        </w:rPr>
        <w:t xml:space="preserve"> research is entirely computational and does not have in vitro or in vivo confirmation.</w:t>
      </w:r>
      <w:r w:rsidR="00BA361A" w:rsidRPr="00095D50">
        <w:rPr>
          <w:rFonts w:ascii="Times New Roman" w:hAnsi="Times New Roman" w:cs="Times New Roman"/>
          <w:sz w:val="24"/>
          <w:szCs w:val="24"/>
        </w:rPr>
        <w:t xml:space="preserve"> </w:t>
      </w:r>
      <w:r w:rsidRPr="00095D50">
        <w:rPr>
          <w:rFonts w:ascii="Times New Roman" w:hAnsi="Times New Roman" w:cs="Times New Roman"/>
          <w:sz w:val="24"/>
          <w:szCs w:val="24"/>
        </w:rPr>
        <w:t>Compound–target mappings are text-based and can disregard context-specific interactions (e.g., gut metabolism, bioavailability).</w:t>
      </w:r>
      <w:r w:rsidR="00BA361A" w:rsidRPr="00095D50">
        <w:rPr>
          <w:rFonts w:ascii="Times New Roman" w:hAnsi="Times New Roman" w:cs="Times New Roman"/>
          <w:sz w:val="24"/>
          <w:szCs w:val="24"/>
        </w:rPr>
        <w:t xml:space="preserve"> </w:t>
      </w:r>
      <w:r w:rsidRPr="00095D50">
        <w:rPr>
          <w:rFonts w:ascii="Times New Roman" w:hAnsi="Times New Roman" w:cs="Times New Roman"/>
          <w:sz w:val="24"/>
          <w:szCs w:val="24"/>
        </w:rPr>
        <w:t xml:space="preserve">Herb–herb interaction effects, synergy thresholds, and </w:t>
      </w:r>
      <w:r w:rsidR="00BA361A" w:rsidRPr="00095D50">
        <w:rPr>
          <w:rFonts w:ascii="Times New Roman" w:hAnsi="Times New Roman" w:cs="Times New Roman"/>
          <w:sz w:val="24"/>
          <w:szCs w:val="24"/>
        </w:rPr>
        <w:t>hermetic</w:t>
      </w:r>
      <w:r w:rsidRPr="00095D50">
        <w:rPr>
          <w:rFonts w:ascii="Times New Roman" w:hAnsi="Times New Roman" w:cs="Times New Roman"/>
          <w:sz w:val="24"/>
          <w:szCs w:val="24"/>
        </w:rPr>
        <w:t xml:space="preserve"> responses are not modeled </w:t>
      </w:r>
      <w:r w:rsidR="00BA361A" w:rsidRPr="00095D50">
        <w:rPr>
          <w:rFonts w:ascii="Times New Roman" w:hAnsi="Times New Roman" w:cs="Times New Roman"/>
          <w:sz w:val="24"/>
          <w:szCs w:val="24"/>
        </w:rPr>
        <w:t>here. These</w:t>
      </w:r>
      <w:r w:rsidRPr="00095D50">
        <w:rPr>
          <w:rFonts w:ascii="Times New Roman" w:hAnsi="Times New Roman" w:cs="Times New Roman"/>
          <w:sz w:val="24"/>
          <w:szCs w:val="24"/>
        </w:rPr>
        <w:t xml:space="preserve"> provisos make clear the demand for multi-disciplinary research pipelines integrating ethnopharmacological knowledge with omics data and experimental pharmacodynamics.</w:t>
      </w:r>
    </w:p>
    <w:p w14:paraId="6F8EE40C" w14:textId="77777777" w:rsidR="00011F85" w:rsidRPr="00095D50" w:rsidRDefault="00BA361A" w:rsidP="00011F85">
      <w:pPr>
        <w:jc w:val="both"/>
        <w:rPr>
          <w:rFonts w:ascii="Times New Roman" w:hAnsi="Times New Roman" w:cs="Times New Roman"/>
          <w:b/>
          <w:sz w:val="24"/>
          <w:szCs w:val="24"/>
        </w:rPr>
      </w:pPr>
      <w:r w:rsidRPr="00095D50">
        <w:rPr>
          <w:rFonts w:ascii="Times New Roman" w:hAnsi="Times New Roman" w:cs="Times New Roman"/>
          <w:b/>
          <w:sz w:val="24"/>
          <w:szCs w:val="24"/>
        </w:rPr>
        <w:t xml:space="preserve">10. </w:t>
      </w:r>
      <w:r w:rsidR="00011F85" w:rsidRPr="00095D50">
        <w:rPr>
          <w:rFonts w:ascii="Times New Roman" w:hAnsi="Times New Roman" w:cs="Times New Roman"/>
          <w:b/>
          <w:sz w:val="24"/>
          <w:szCs w:val="24"/>
        </w:rPr>
        <w:t>Conclusion</w:t>
      </w:r>
    </w:p>
    <w:p w14:paraId="57CF93BF" w14:textId="77777777" w:rsidR="00011F85" w:rsidRPr="00095D50" w:rsidRDefault="00011F85" w:rsidP="00011F85">
      <w:pPr>
        <w:jc w:val="both"/>
        <w:rPr>
          <w:rFonts w:ascii="Times New Roman" w:hAnsi="Times New Roman" w:cs="Times New Roman"/>
          <w:sz w:val="24"/>
          <w:szCs w:val="24"/>
        </w:rPr>
      </w:pPr>
      <w:r w:rsidRPr="00095D50">
        <w:rPr>
          <w:rFonts w:ascii="Times New Roman" w:hAnsi="Times New Roman" w:cs="Times New Roman"/>
          <w:sz w:val="24"/>
          <w:szCs w:val="24"/>
        </w:rPr>
        <w:t>This research illustrates the power of the Intrinsic Network Pharmacology (INP) platform as a versatile tool for deciphering the multi-layered pathophysiology of biological breakdown and systems-based therapeutic design. With its seven-layer architecture, INP provides a special ability to simulate both collapse pathways like those found in Vitamin D3 and B12 deficiency and recovery routes like those activated by Rasayana preparations like Chyawanprash.</w:t>
      </w:r>
      <w:r w:rsidR="00BA361A" w:rsidRPr="00095D50">
        <w:rPr>
          <w:rFonts w:ascii="Times New Roman" w:hAnsi="Times New Roman" w:cs="Times New Roman"/>
          <w:sz w:val="24"/>
          <w:szCs w:val="24"/>
        </w:rPr>
        <w:t xml:space="preserve"> </w:t>
      </w:r>
      <w:r w:rsidRPr="00095D50">
        <w:rPr>
          <w:rFonts w:ascii="Times New Roman" w:hAnsi="Times New Roman" w:cs="Times New Roman"/>
          <w:sz w:val="24"/>
          <w:szCs w:val="24"/>
        </w:rPr>
        <w:t>Our results indicate that nutrient deficiencies do more than simply repress individual metabolic nodes but trigger cascading failures in feedback, redox, immune, and repair networks. More significantly, our computational modeling indicates that multi-targeted, adaptogenic therapeutics are effective at reversing these failures, reprogramming the network for homeostasis and resilience.</w:t>
      </w:r>
      <w:r w:rsidR="00BA361A" w:rsidRPr="00095D50">
        <w:rPr>
          <w:rFonts w:ascii="Times New Roman" w:hAnsi="Times New Roman" w:cs="Times New Roman"/>
          <w:sz w:val="24"/>
          <w:szCs w:val="24"/>
        </w:rPr>
        <w:t xml:space="preserve"> </w:t>
      </w:r>
      <w:r w:rsidRPr="00095D50">
        <w:rPr>
          <w:rFonts w:ascii="Times New Roman" w:hAnsi="Times New Roman" w:cs="Times New Roman"/>
          <w:sz w:val="24"/>
          <w:szCs w:val="24"/>
        </w:rPr>
        <w:t>Although additional validation in biological and clinical contexts is critical, this research provides a foundation for a new generation of systems-level nutraceutical approaches, guided by ancient medicine but regulated by contemporary network pharmacology and dynamic systems biology.</w:t>
      </w:r>
    </w:p>
    <w:p w14:paraId="27B26648" w14:textId="77777777" w:rsidR="0090366A" w:rsidRPr="00095D50" w:rsidRDefault="0090366A" w:rsidP="0090366A">
      <w:pPr>
        <w:jc w:val="both"/>
        <w:outlineLvl w:val="0"/>
        <w:rPr>
          <w:rFonts w:ascii="Arial" w:hAnsi="Arial" w:cs="Arial"/>
        </w:rPr>
      </w:pPr>
      <w:r w:rsidRPr="00095D50">
        <w:rPr>
          <w:rFonts w:ascii="Arial" w:hAnsi="Arial" w:cs="Arial"/>
          <w:b/>
          <w:bCs/>
        </w:rPr>
        <w:t>COMPETING INTERESTS DISCLAIMER:</w:t>
      </w:r>
    </w:p>
    <w:p w14:paraId="020AB153" w14:textId="77777777" w:rsidR="0090366A" w:rsidRPr="00095D50" w:rsidRDefault="0090366A" w:rsidP="0090366A">
      <w:r w:rsidRPr="00095D50">
        <w:t>Authors have declared that they have no known competing financial interests OR non-financial interests OR personal relationships that could have appeared to influence the work reported in this paper.</w:t>
      </w:r>
    </w:p>
    <w:p w14:paraId="12BD19AC" w14:textId="77777777" w:rsidR="0090366A" w:rsidRPr="00095D50" w:rsidRDefault="0090366A" w:rsidP="00011F85">
      <w:pPr>
        <w:jc w:val="both"/>
        <w:rPr>
          <w:rFonts w:ascii="Times New Roman" w:hAnsi="Times New Roman" w:cs="Times New Roman"/>
          <w:sz w:val="24"/>
          <w:szCs w:val="24"/>
        </w:rPr>
      </w:pPr>
    </w:p>
    <w:p w14:paraId="5163FC19" w14:textId="77777777" w:rsidR="00BA361A" w:rsidRPr="00095D50" w:rsidRDefault="00191829" w:rsidP="00EC04BD">
      <w:pPr>
        <w:jc w:val="both"/>
        <w:rPr>
          <w:rFonts w:ascii="Times New Roman" w:hAnsi="Times New Roman" w:cs="Times New Roman"/>
          <w:b/>
          <w:sz w:val="24"/>
          <w:szCs w:val="24"/>
        </w:rPr>
      </w:pPr>
      <w:r w:rsidRPr="00095D50">
        <w:rPr>
          <w:rFonts w:ascii="Times New Roman" w:hAnsi="Times New Roman" w:cs="Times New Roman"/>
          <w:b/>
          <w:sz w:val="24"/>
          <w:szCs w:val="24"/>
        </w:rPr>
        <w:t>References:</w:t>
      </w:r>
    </w:p>
    <w:p w14:paraId="03CB32A3" w14:textId="77777777" w:rsidR="00191829" w:rsidRPr="00095D50" w:rsidRDefault="00191829"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Auffray, C., Chen, Z. &amp; Hood, L. Systems medicine: the future of medical genomics and healthcare. Genome Med 1, 2 (2009). https://doi.org/10.1186/gm2</w:t>
      </w:r>
    </w:p>
    <w:p w14:paraId="25624BBE" w14:textId="77777777" w:rsidR="00191829" w:rsidRPr="00095D50" w:rsidRDefault="00191829"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Paolo Parini, The use of different types of networks, alone and in combination, for drug target identification, British Journal of Pharmacology, 10.1111/bph.70091, (2025).</w:t>
      </w:r>
    </w:p>
    <w:p w14:paraId="47007829" w14:textId="77777777" w:rsidR="00191829" w:rsidRPr="00095D50" w:rsidRDefault="00191829" w:rsidP="0056756A">
      <w:pPr>
        <w:pStyle w:val="ListParagraph"/>
        <w:numPr>
          <w:ilvl w:val="0"/>
          <w:numId w:val="16"/>
        </w:numPr>
        <w:jc w:val="both"/>
        <w:rPr>
          <w:rFonts w:ascii="Times New Roman" w:hAnsi="Times New Roman" w:cs="Times New Roman"/>
          <w:sz w:val="24"/>
          <w:szCs w:val="24"/>
        </w:rPr>
      </w:pPr>
      <w:proofErr w:type="spellStart"/>
      <w:r w:rsidRPr="00095D50">
        <w:rPr>
          <w:rFonts w:ascii="Times New Roman" w:hAnsi="Times New Roman" w:cs="Times New Roman"/>
          <w:sz w:val="24"/>
          <w:szCs w:val="24"/>
        </w:rPr>
        <w:t>Saiqing</w:t>
      </w:r>
      <w:proofErr w:type="spellEnd"/>
      <w:r w:rsidRPr="00095D50">
        <w:rPr>
          <w:rFonts w:ascii="Times New Roman" w:hAnsi="Times New Roman" w:cs="Times New Roman"/>
          <w:sz w:val="24"/>
          <w:szCs w:val="24"/>
        </w:rPr>
        <w:t xml:space="preserve"> Guan, Breast Cancer Risk Prediction: A Machine Learning Study Using Network Analysis, 2025 IEEE 15th Annual Computing and Communication Workshop and Conference (CCWC), 10.1109/CCWC62904.2025.10903845, (00448-00452), (2025).</w:t>
      </w:r>
    </w:p>
    <w:p w14:paraId="780EA950" w14:textId="77777777" w:rsidR="00191829" w:rsidRPr="00095D50" w:rsidRDefault="00191829"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Joseph Loscalzo, Isaac Kohane, Albert‐Laszlo Barabasi;</w:t>
      </w:r>
      <w:r w:rsidRPr="00095D50">
        <w:t xml:space="preserve"> </w:t>
      </w:r>
      <w:r w:rsidRPr="00095D50">
        <w:rPr>
          <w:rFonts w:ascii="Times New Roman" w:hAnsi="Times New Roman" w:cs="Times New Roman"/>
          <w:sz w:val="24"/>
          <w:szCs w:val="24"/>
        </w:rPr>
        <w:t>Human disease classification in the postgenomic era: A complex systems approach to human pathobiology Molecular Systems Biology (2007) 3: 124 https://doi.org/10.1038/msb4100163</w:t>
      </w:r>
    </w:p>
    <w:p w14:paraId="65825BE5" w14:textId="77777777" w:rsidR="00191829" w:rsidRPr="00095D50" w:rsidRDefault="00191829"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Ophir Shalem, Orna Dahan, Michal Levo, Maria Rodriguez Martinez, Itay Furman, Eran Segal, and Yitzhak Pilpel;</w:t>
      </w:r>
      <w:r w:rsidRPr="00095D50">
        <w:t xml:space="preserve"> </w:t>
      </w:r>
      <w:r w:rsidRPr="00095D50">
        <w:rPr>
          <w:rFonts w:ascii="Times New Roman" w:hAnsi="Times New Roman" w:cs="Times New Roman"/>
          <w:sz w:val="24"/>
          <w:szCs w:val="24"/>
        </w:rPr>
        <w:t>Transient transcriptional responses to stress are generated by opposing effects of mRNA production and degradation</w:t>
      </w:r>
      <w:r w:rsidR="00A61DAC" w:rsidRPr="00095D50">
        <w:rPr>
          <w:rFonts w:ascii="Times New Roman" w:hAnsi="Times New Roman" w:cs="Times New Roman"/>
          <w:sz w:val="24"/>
          <w:szCs w:val="24"/>
        </w:rPr>
        <w:t xml:space="preserve"> Molecular Systems Biology (2008) 4: 4 https://doi.org/10.1038/msb.2008.59</w:t>
      </w:r>
    </w:p>
    <w:p w14:paraId="550C4784" w14:textId="77777777"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lastRenderedPageBreak/>
        <w:t xml:space="preserve">Zhou, X., </w:t>
      </w:r>
      <w:proofErr w:type="spellStart"/>
      <w:r w:rsidRPr="00095D50">
        <w:rPr>
          <w:rFonts w:ascii="Times New Roman" w:hAnsi="Times New Roman" w:cs="Times New Roman"/>
          <w:sz w:val="24"/>
          <w:szCs w:val="24"/>
        </w:rPr>
        <w:t>Menche</w:t>
      </w:r>
      <w:proofErr w:type="spellEnd"/>
      <w:r w:rsidRPr="00095D50">
        <w:rPr>
          <w:rFonts w:ascii="Times New Roman" w:hAnsi="Times New Roman" w:cs="Times New Roman"/>
          <w:sz w:val="24"/>
          <w:szCs w:val="24"/>
        </w:rPr>
        <w:t xml:space="preserve">, J., </w:t>
      </w:r>
      <w:proofErr w:type="spellStart"/>
      <w:r w:rsidRPr="00095D50">
        <w:rPr>
          <w:rFonts w:ascii="Times New Roman" w:hAnsi="Times New Roman" w:cs="Times New Roman"/>
          <w:sz w:val="24"/>
          <w:szCs w:val="24"/>
        </w:rPr>
        <w:t>Barabási</w:t>
      </w:r>
      <w:proofErr w:type="spellEnd"/>
      <w:r w:rsidRPr="00095D50">
        <w:rPr>
          <w:rFonts w:ascii="Times New Roman" w:hAnsi="Times New Roman" w:cs="Times New Roman"/>
          <w:sz w:val="24"/>
          <w:szCs w:val="24"/>
        </w:rPr>
        <w:t>, AL. et al. Human symptoms–disease network. Nat Commun 5, 4212 (2014). https://doi.org/10.1038/ncomms5212</w:t>
      </w:r>
    </w:p>
    <w:p w14:paraId="53207F4C" w14:textId="77777777"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Mahajan, T., Dar, R.D. Internetwork connectivity of molecular networks across species of life. Sci Rep 11, 1168 (2021). https://doi.org/10.1038/s41598-020-80745-9.</w:t>
      </w:r>
    </w:p>
    <w:p w14:paraId="20C0797A" w14:textId="77777777"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Li, L., Yang, L., Yang, L. et al. Network pharmacology: a bright guiding light on the way to explore the personalized precise medication of traditional Chinese medicine. Chin Med 18, 146 (2023). https://doi.org/10.1186/s13020-023-00853-2</w:t>
      </w:r>
    </w:p>
    <w:p w14:paraId="13010242" w14:textId="77777777"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Hopkins, A. Network pharmacology: the next paradigm in drug discovery. Nat Chem Biol 4, 682–690 (2008). https://doi.org/10.1038/nchembio.118</w:t>
      </w:r>
    </w:p>
    <w:p w14:paraId="28C055A6" w14:textId="77777777"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Chandran, Uma et al. “Network Pharmacology.” Innovative Approaches in Drug Discovery (2017): 127–164. doi:10.1016/B978-0-12-801814-9.00005-2</w:t>
      </w:r>
    </w:p>
    <w:p w14:paraId="75A29991" w14:textId="77777777"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Hu, M., Yan, H., Li, H. et al. Use of network pharmacology and molecular docking to explore the mechanism of action of curcuma in the treatment of osteosarcoma. Sci Rep 13, 9569 (2023). https://doi.org/10.1038/s41598-023-36687-z</w:t>
      </w:r>
    </w:p>
    <w:p w14:paraId="79EA4ED3" w14:textId="77777777"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 xml:space="preserve">Saima, Latha S, Sharma R, Kumar A. Role of Network Pharmacology in Prediction of Mechanism of Neuroprotective Compounds. Methods Mol Biol. </w:t>
      </w:r>
      <w:proofErr w:type="gramStart"/>
      <w:r w:rsidRPr="00095D50">
        <w:rPr>
          <w:rFonts w:ascii="Times New Roman" w:hAnsi="Times New Roman" w:cs="Times New Roman"/>
          <w:sz w:val="24"/>
          <w:szCs w:val="24"/>
        </w:rPr>
        <w:t>2024;2761:159</w:t>
      </w:r>
      <w:proofErr w:type="gramEnd"/>
      <w:r w:rsidRPr="00095D50">
        <w:rPr>
          <w:rFonts w:ascii="Times New Roman" w:hAnsi="Times New Roman" w:cs="Times New Roman"/>
          <w:sz w:val="24"/>
          <w:szCs w:val="24"/>
        </w:rPr>
        <w:t xml:space="preserve">-179. </w:t>
      </w:r>
      <w:proofErr w:type="spellStart"/>
      <w:r w:rsidRPr="00095D50">
        <w:rPr>
          <w:rFonts w:ascii="Times New Roman" w:hAnsi="Times New Roman" w:cs="Times New Roman"/>
          <w:sz w:val="24"/>
          <w:szCs w:val="24"/>
        </w:rPr>
        <w:t>doi</w:t>
      </w:r>
      <w:proofErr w:type="spellEnd"/>
      <w:r w:rsidRPr="00095D50">
        <w:rPr>
          <w:rFonts w:ascii="Times New Roman" w:hAnsi="Times New Roman" w:cs="Times New Roman"/>
          <w:sz w:val="24"/>
          <w:szCs w:val="24"/>
        </w:rPr>
        <w:t>: 10.1007/978-1-0716-3662-6_13. PMID: 38427237.</w:t>
      </w:r>
    </w:p>
    <w:p w14:paraId="2CDEFE4C" w14:textId="77777777"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 xml:space="preserve">Peng Zhang, </w:t>
      </w:r>
      <w:proofErr w:type="spellStart"/>
      <w:r w:rsidRPr="00095D50">
        <w:rPr>
          <w:rFonts w:ascii="Times New Roman" w:hAnsi="Times New Roman" w:cs="Times New Roman"/>
          <w:sz w:val="24"/>
          <w:szCs w:val="24"/>
        </w:rPr>
        <w:t>Dingfan</w:t>
      </w:r>
      <w:proofErr w:type="spellEnd"/>
      <w:r w:rsidRPr="00095D50">
        <w:rPr>
          <w:rFonts w:ascii="Times New Roman" w:hAnsi="Times New Roman" w:cs="Times New Roman"/>
          <w:sz w:val="24"/>
          <w:szCs w:val="24"/>
        </w:rPr>
        <w:t xml:space="preserve"> Zhang, </w:t>
      </w:r>
      <w:proofErr w:type="spellStart"/>
      <w:r w:rsidRPr="00095D50">
        <w:rPr>
          <w:rFonts w:ascii="Times New Roman" w:hAnsi="Times New Roman" w:cs="Times New Roman"/>
          <w:sz w:val="24"/>
          <w:szCs w:val="24"/>
        </w:rPr>
        <w:t>Wuai</w:t>
      </w:r>
      <w:proofErr w:type="spellEnd"/>
      <w:r w:rsidRPr="00095D50">
        <w:rPr>
          <w:rFonts w:ascii="Times New Roman" w:hAnsi="Times New Roman" w:cs="Times New Roman"/>
          <w:sz w:val="24"/>
          <w:szCs w:val="24"/>
        </w:rPr>
        <w:t xml:space="preserve"> Zhou, Lan Wang, Boyang Wang, Tingyu Zhang, Shao Li, Network pharmacology: towards the artificial intelligence-based precision traditional Chinese medicine, Briefings in Bioinformatics, Volume 25, Issue 1, January 2024, bbad518, https://doi.org/10.1093/bib/bbad518</w:t>
      </w:r>
    </w:p>
    <w:p w14:paraId="01CE7704" w14:textId="77777777"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 xml:space="preserve">Shahzadi, Z., Yousaf, Z., Anjum, I. et al. Network pharmacology and molecular docking: combined computational approaches to explore the antihypertensive potential of Fabaceae species. </w:t>
      </w:r>
      <w:proofErr w:type="spellStart"/>
      <w:r w:rsidRPr="00095D50">
        <w:rPr>
          <w:rFonts w:ascii="Times New Roman" w:hAnsi="Times New Roman" w:cs="Times New Roman"/>
          <w:sz w:val="24"/>
          <w:szCs w:val="24"/>
        </w:rPr>
        <w:t>Bioresour</w:t>
      </w:r>
      <w:proofErr w:type="spellEnd"/>
      <w:r w:rsidRPr="00095D50">
        <w:rPr>
          <w:rFonts w:ascii="Times New Roman" w:hAnsi="Times New Roman" w:cs="Times New Roman"/>
          <w:sz w:val="24"/>
          <w:szCs w:val="24"/>
        </w:rPr>
        <w:t>. Bioprocess. 11, 53 (2024). https://doi.org/10.1186/s40643-024-00764-6</w:t>
      </w:r>
    </w:p>
    <w:p w14:paraId="68B879EA" w14:textId="77777777" w:rsidR="00191829" w:rsidRPr="00095D50" w:rsidRDefault="00A61DAC" w:rsidP="0056756A">
      <w:pPr>
        <w:pStyle w:val="ListParagraph"/>
        <w:numPr>
          <w:ilvl w:val="0"/>
          <w:numId w:val="16"/>
        </w:numPr>
        <w:jc w:val="both"/>
        <w:rPr>
          <w:rFonts w:ascii="Times New Roman" w:hAnsi="Times New Roman" w:cs="Times New Roman"/>
          <w:sz w:val="24"/>
          <w:szCs w:val="24"/>
        </w:rPr>
      </w:pPr>
      <w:proofErr w:type="spellStart"/>
      <w:r w:rsidRPr="00095D50">
        <w:rPr>
          <w:rFonts w:ascii="Times New Roman" w:hAnsi="Times New Roman" w:cs="Times New Roman"/>
          <w:sz w:val="24"/>
          <w:szCs w:val="24"/>
        </w:rPr>
        <w:t>Harakeh</w:t>
      </w:r>
      <w:proofErr w:type="spellEnd"/>
      <w:r w:rsidRPr="00095D50">
        <w:rPr>
          <w:rFonts w:ascii="Times New Roman" w:hAnsi="Times New Roman" w:cs="Times New Roman"/>
          <w:sz w:val="24"/>
          <w:szCs w:val="24"/>
        </w:rPr>
        <w:t>, Steve, et al. "Integrated Network Pharmacology Approach to Evaluate Bioactive Phytochemicals of Acalypha indica and Their Mechanistic Actions to Suppress Target Genes of Tuberculosis." ACS Omega, vol. 9, no. 2, 2024, pp. 2204–2219. American Chemical Society, https://doi.org/10.1021/acsomega.3c05589.</w:t>
      </w:r>
    </w:p>
    <w:p w14:paraId="0829FF53" w14:textId="77777777"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 xml:space="preserve">An, L., and Feng, F. (2015). Network pharmacology-based antioxidant effect study of </w:t>
      </w:r>
      <w:proofErr w:type="spellStart"/>
      <w:r w:rsidRPr="00095D50">
        <w:rPr>
          <w:rFonts w:ascii="Times New Roman" w:hAnsi="Times New Roman" w:cs="Times New Roman"/>
          <w:sz w:val="24"/>
          <w:szCs w:val="24"/>
        </w:rPr>
        <w:t>zhi</w:t>
      </w:r>
      <w:proofErr w:type="spellEnd"/>
      <w:r w:rsidRPr="00095D50">
        <w:rPr>
          <w:rFonts w:ascii="Times New Roman" w:hAnsi="Times New Roman" w:cs="Times New Roman"/>
          <w:sz w:val="24"/>
          <w:szCs w:val="24"/>
        </w:rPr>
        <w:t>-zi-da-</w:t>
      </w:r>
      <w:proofErr w:type="spellStart"/>
      <w:r w:rsidRPr="00095D50">
        <w:rPr>
          <w:rFonts w:ascii="Times New Roman" w:hAnsi="Times New Roman" w:cs="Times New Roman"/>
          <w:sz w:val="24"/>
          <w:szCs w:val="24"/>
        </w:rPr>
        <w:t>huang</w:t>
      </w:r>
      <w:proofErr w:type="spellEnd"/>
      <w:r w:rsidRPr="00095D50">
        <w:rPr>
          <w:rFonts w:ascii="Times New Roman" w:hAnsi="Times New Roman" w:cs="Times New Roman"/>
          <w:sz w:val="24"/>
          <w:szCs w:val="24"/>
        </w:rPr>
        <w:t xml:space="preserve"> decoction for alcoholic liver disease. Evid. Based. Complement. Alternat. Med. 2015:492470. </w:t>
      </w:r>
      <w:proofErr w:type="spellStart"/>
      <w:r w:rsidRPr="00095D50">
        <w:rPr>
          <w:rFonts w:ascii="Times New Roman" w:hAnsi="Times New Roman" w:cs="Times New Roman"/>
          <w:sz w:val="24"/>
          <w:szCs w:val="24"/>
        </w:rPr>
        <w:t>doi</w:t>
      </w:r>
      <w:proofErr w:type="spellEnd"/>
      <w:r w:rsidRPr="00095D50">
        <w:rPr>
          <w:rFonts w:ascii="Times New Roman" w:hAnsi="Times New Roman" w:cs="Times New Roman"/>
          <w:sz w:val="24"/>
          <w:szCs w:val="24"/>
        </w:rPr>
        <w:t>: 10.1155/2015/492470</w:t>
      </w:r>
    </w:p>
    <w:p w14:paraId="4E34BA30" w14:textId="77777777"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 xml:space="preserve">Chan, G. H., Law, B. Y., Chu, J. M., Yue, K. K., Jiang, Z. H., Lau, C. W., et al. (2013). Ginseng extracts restore high-glucose induced vascular dysfunctions by altering triglyceride metabolism and downregulation of atherosclerosis-related genes. Evid. Based. Complement. Alternat. Med. 2013:797310. </w:t>
      </w:r>
      <w:proofErr w:type="spellStart"/>
      <w:r w:rsidRPr="00095D50">
        <w:rPr>
          <w:rFonts w:ascii="Times New Roman" w:hAnsi="Times New Roman" w:cs="Times New Roman"/>
          <w:sz w:val="24"/>
          <w:szCs w:val="24"/>
        </w:rPr>
        <w:t>doi</w:t>
      </w:r>
      <w:proofErr w:type="spellEnd"/>
      <w:r w:rsidRPr="00095D50">
        <w:rPr>
          <w:rFonts w:ascii="Times New Roman" w:hAnsi="Times New Roman" w:cs="Times New Roman"/>
          <w:sz w:val="24"/>
          <w:szCs w:val="24"/>
        </w:rPr>
        <w:t>: 10.1155/2013/797310</w:t>
      </w:r>
    </w:p>
    <w:p w14:paraId="57D7B5A1" w14:textId="77777777"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 xml:space="preserve">Li S, Wang Y, Zhang C. Network pharmacology strategy for predicting the correlation of Systemic Scleroderma with Vitamin D deficiency. Int </w:t>
      </w:r>
      <w:proofErr w:type="spellStart"/>
      <w:r w:rsidRPr="00095D50">
        <w:rPr>
          <w:rFonts w:ascii="Times New Roman" w:hAnsi="Times New Roman" w:cs="Times New Roman"/>
          <w:sz w:val="24"/>
          <w:szCs w:val="24"/>
        </w:rPr>
        <w:t>Immunopharmacol</w:t>
      </w:r>
      <w:proofErr w:type="spellEnd"/>
      <w:r w:rsidRPr="00095D50">
        <w:rPr>
          <w:rFonts w:ascii="Times New Roman" w:hAnsi="Times New Roman" w:cs="Times New Roman"/>
          <w:sz w:val="24"/>
          <w:szCs w:val="24"/>
        </w:rPr>
        <w:t xml:space="preserve">. 2020 </w:t>
      </w:r>
      <w:proofErr w:type="gramStart"/>
      <w:r w:rsidRPr="00095D50">
        <w:rPr>
          <w:rFonts w:ascii="Times New Roman" w:hAnsi="Times New Roman" w:cs="Times New Roman"/>
          <w:sz w:val="24"/>
          <w:szCs w:val="24"/>
        </w:rPr>
        <w:t>Sep;86:106702</w:t>
      </w:r>
      <w:proofErr w:type="gramEnd"/>
      <w:r w:rsidRPr="00095D50">
        <w:rPr>
          <w:rFonts w:ascii="Times New Roman" w:hAnsi="Times New Roman" w:cs="Times New Roman"/>
          <w:sz w:val="24"/>
          <w:szCs w:val="24"/>
        </w:rPr>
        <w:t xml:space="preserve">. </w:t>
      </w:r>
      <w:proofErr w:type="spellStart"/>
      <w:r w:rsidRPr="00095D50">
        <w:rPr>
          <w:rFonts w:ascii="Times New Roman" w:hAnsi="Times New Roman" w:cs="Times New Roman"/>
          <w:sz w:val="24"/>
          <w:szCs w:val="24"/>
        </w:rPr>
        <w:t>doi</w:t>
      </w:r>
      <w:proofErr w:type="spellEnd"/>
      <w:r w:rsidRPr="00095D50">
        <w:rPr>
          <w:rFonts w:ascii="Times New Roman" w:hAnsi="Times New Roman" w:cs="Times New Roman"/>
          <w:sz w:val="24"/>
          <w:szCs w:val="24"/>
        </w:rPr>
        <w:t xml:space="preserve">: 10.1016/j.intimp.2020.106702. </w:t>
      </w:r>
      <w:proofErr w:type="spellStart"/>
      <w:r w:rsidRPr="00095D50">
        <w:rPr>
          <w:rFonts w:ascii="Times New Roman" w:hAnsi="Times New Roman" w:cs="Times New Roman"/>
          <w:sz w:val="24"/>
          <w:szCs w:val="24"/>
        </w:rPr>
        <w:t>Epub</w:t>
      </w:r>
      <w:proofErr w:type="spellEnd"/>
      <w:r w:rsidRPr="00095D50">
        <w:rPr>
          <w:rFonts w:ascii="Times New Roman" w:hAnsi="Times New Roman" w:cs="Times New Roman"/>
          <w:sz w:val="24"/>
          <w:szCs w:val="24"/>
        </w:rPr>
        <w:t xml:space="preserve"> 2020 Jun 18. PMID: 32563782.</w:t>
      </w:r>
    </w:p>
    <w:p w14:paraId="095FB470" w14:textId="77777777"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 xml:space="preserve">Wang, </w:t>
      </w:r>
      <w:proofErr w:type="spellStart"/>
      <w:r w:rsidRPr="00095D50">
        <w:rPr>
          <w:rFonts w:ascii="Times New Roman" w:hAnsi="Times New Roman" w:cs="Times New Roman"/>
          <w:sz w:val="24"/>
          <w:szCs w:val="24"/>
        </w:rPr>
        <w:t>Shanglin</w:t>
      </w:r>
      <w:proofErr w:type="spellEnd"/>
      <w:r w:rsidRPr="00095D50">
        <w:rPr>
          <w:rFonts w:ascii="Times New Roman" w:hAnsi="Times New Roman" w:cs="Times New Roman"/>
          <w:sz w:val="24"/>
          <w:szCs w:val="24"/>
        </w:rPr>
        <w:t xml:space="preserve"> et al. “Network Pharmacology and Bioinformatics Analyses Identify Intersection Genes of Vitamin D3 and COVID-19 as Potential Therapeutic Targets.” Frontiers in pharmacology vol. 13 874637. 28 Apr. 2022, doi:10.3389/fphar.2022.874637</w:t>
      </w:r>
    </w:p>
    <w:p w14:paraId="3799E316" w14:textId="77777777"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lastRenderedPageBreak/>
        <w:t>Dong, Q., Ren, G., Li, Y. et al. Network pharmacology analysis and experimental validation to explore the mechanism of kaempferol in the treatment of osteoporosis. Sci Rep 14, 7088 (2024). https://doi.org/10.1038/s41598-024-57796-3</w:t>
      </w:r>
    </w:p>
    <w:p w14:paraId="25A997E3" w14:textId="77777777"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Noor, Fatima et al. “Network Pharmacology Approach for Medicinal Plants: Review and Assessment.” Pharmaceuticals (Basel, Switzerland) vol. 15,5 572. 4 May. 2022, doi:10.3390/ph15050572</w:t>
      </w:r>
    </w:p>
    <w:p w14:paraId="7634B195" w14:textId="77777777"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 xml:space="preserve">Dagar, Neha, et al. "Nutraceuticals and Network Pharmacology Approach for Acute Kidney Injury: A Review from the Drug Discovery Aspect." </w:t>
      </w:r>
      <w:proofErr w:type="spellStart"/>
      <w:r w:rsidRPr="00095D50">
        <w:rPr>
          <w:rFonts w:ascii="Times New Roman" w:hAnsi="Times New Roman" w:cs="Times New Roman"/>
          <w:sz w:val="24"/>
          <w:szCs w:val="24"/>
        </w:rPr>
        <w:t>Fitoterapia</w:t>
      </w:r>
      <w:proofErr w:type="spellEnd"/>
      <w:r w:rsidRPr="00095D50">
        <w:rPr>
          <w:rFonts w:ascii="Times New Roman" w:hAnsi="Times New Roman" w:cs="Times New Roman"/>
          <w:sz w:val="24"/>
          <w:szCs w:val="24"/>
        </w:rPr>
        <w:t>, vol. 168, 2023, article no. 105563. Elsevier, https://doi.org/10.1016/j.fitote.2023.105563.</w:t>
      </w:r>
    </w:p>
    <w:p w14:paraId="5E8DA454" w14:textId="77777777" w:rsidR="00A61DAC" w:rsidRPr="00095D50" w:rsidRDefault="00A61DAC" w:rsidP="0056756A">
      <w:pPr>
        <w:pStyle w:val="ListParagraph"/>
        <w:numPr>
          <w:ilvl w:val="0"/>
          <w:numId w:val="16"/>
        </w:numPr>
        <w:jc w:val="both"/>
        <w:rPr>
          <w:rFonts w:ascii="Times New Roman" w:hAnsi="Times New Roman" w:cs="Times New Roman"/>
          <w:sz w:val="24"/>
          <w:szCs w:val="24"/>
        </w:rPr>
      </w:pPr>
      <w:proofErr w:type="spellStart"/>
      <w:r w:rsidRPr="00095D50">
        <w:rPr>
          <w:rFonts w:ascii="Times New Roman" w:hAnsi="Times New Roman" w:cs="Times New Roman"/>
          <w:sz w:val="24"/>
          <w:szCs w:val="24"/>
        </w:rPr>
        <w:t>Fuping</w:t>
      </w:r>
      <w:proofErr w:type="spellEnd"/>
      <w:r w:rsidRPr="00095D50">
        <w:rPr>
          <w:rFonts w:ascii="Times New Roman" w:hAnsi="Times New Roman" w:cs="Times New Roman"/>
          <w:sz w:val="24"/>
          <w:szCs w:val="24"/>
        </w:rPr>
        <w:t xml:space="preserve"> Zhu, </w:t>
      </w:r>
      <w:proofErr w:type="spellStart"/>
      <w:r w:rsidRPr="00095D50">
        <w:rPr>
          <w:rFonts w:ascii="Times New Roman" w:hAnsi="Times New Roman" w:cs="Times New Roman"/>
          <w:sz w:val="24"/>
          <w:szCs w:val="24"/>
        </w:rPr>
        <w:t>Wuping</w:t>
      </w:r>
      <w:proofErr w:type="spellEnd"/>
      <w:r w:rsidRPr="00095D50">
        <w:rPr>
          <w:rFonts w:ascii="Times New Roman" w:hAnsi="Times New Roman" w:cs="Times New Roman"/>
          <w:sz w:val="24"/>
          <w:szCs w:val="24"/>
        </w:rPr>
        <w:t xml:space="preserve"> Li, </w:t>
      </w:r>
      <w:proofErr w:type="spellStart"/>
      <w:r w:rsidRPr="00095D50">
        <w:rPr>
          <w:rFonts w:ascii="Times New Roman" w:hAnsi="Times New Roman" w:cs="Times New Roman"/>
          <w:sz w:val="24"/>
          <w:szCs w:val="24"/>
        </w:rPr>
        <w:t>Linhua</w:t>
      </w:r>
      <w:proofErr w:type="spellEnd"/>
      <w:r w:rsidRPr="00095D50">
        <w:rPr>
          <w:rFonts w:ascii="Times New Roman" w:hAnsi="Times New Roman" w:cs="Times New Roman"/>
          <w:sz w:val="24"/>
          <w:szCs w:val="24"/>
        </w:rPr>
        <w:t xml:space="preserve"> Wang, Bing Dai, </w:t>
      </w:r>
      <w:proofErr w:type="spellStart"/>
      <w:r w:rsidRPr="00095D50">
        <w:rPr>
          <w:rFonts w:ascii="Times New Roman" w:hAnsi="Times New Roman" w:cs="Times New Roman"/>
          <w:sz w:val="24"/>
          <w:szCs w:val="24"/>
        </w:rPr>
        <w:t>Zongyi</w:t>
      </w:r>
      <w:proofErr w:type="spellEnd"/>
      <w:r w:rsidRPr="00095D50">
        <w:rPr>
          <w:rFonts w:ascii="Times New Roman" w:hAnsi="Times New Roman" w:cs="Times New Roman"/>
          <w:sz w:val="24"/>
          <w:szCs w:val="24"/>
        </w:rPr>
        <w:t xml:space="preserve"> Liu, Hang Wu, Ting Deng, Study on the treatment of postmenopausal osteoporosis with quercetin in </w:t>
      </w:r>
      <w:proofErr w:type="spellStart"/>
      <w:r w:rsidRPr="00095D50">
        <w:rPr>
          <w:rFonts w:ascii="Times New Roman" w:hAnsi="Times New Roman" w:cs="Times New Roman"/>
          <w:sz w:val="24"/>
          <w:szCs w:val="24"/>
        </w:rPr>
        <w:t>Liuwei</w:t>
      </w:r>
      <w:proofErr w:type="spellEnd"/>
      <w:r w:rsidRPr="00095D50">
        <w:rPr>
          <w:rFonts w:ascii="Times New Roman" w:hAnsi="Times New Roman" w:cs="Times New Roman"/>
          <w:sz w:val="24"/>
          <w:szCs w:val="24"/>
        </w:rPr>
        <w:t xml:space="preserve"> </w:t>
      </w:r>
      <w:proofErr w:type="spellStart"/>
      <w:r w:rsidRPr="00095D50">
        <w:rPr>
          <w:rFonts w:ascii="Times New Roman" w:hAnsi="Times New Roman" w:cs="Times New Roman"/>
          <w:sz w:val="24"/>
          <w:szCs w:val="24"/>
        </w:rPr>
        <w:t>Dihuang</w:t>
      </w:r>
      <w:proofErr w:type="spellEnd"/>
      <w:r w:rsidRPr="00095D50">
        <w:rPr>
          <w:rFonts w:ascii="Times New Roman" w:hAnsi="Times New Roman" w:cs="Times New Roman"/>
          <w:sz w:val="24"/>
          <w:szCs w:val="24"/>
        </w:rPr>
        <w:t xml:space="preserve"> Pill based on network pharmacology, Journal of </w:t>
      </w:r>
      <w:proofErr w:type="spellStart"/>
      <w:r w:rsidRPr="00095D50">
        <w:rPr>
          <w:rFonts w:ascii="Times New Roman" w:hAnsi="Times New Roman" w:cs="Times New Roman"/>
          <w:sz w:val="24"/>
          <w:szCs w:val="24"/>
        </w:rPr>
        <w:t>Orthopaedic</w:t>
      </w:r>
      <w:proofErr w:type="spellEnd"/>
      <w:r w:rsidRPr="00095D50">
        <w:rPr>
          <w:rFonts w:ascii="Times New Roman" w:hAnsi="Times New Roman" w:cs="Times New Roman"/>
          <w:sz w:val="24"/>
          <w:szCs w:val="24"/>
        </w:rPr>
        <w:t xml:space="preserve"> Surgery and Research, 10.1186/s13018-022-03470-1, 18, 1, (2023).</w:t>
      </w:r>
    </w:p>
    <w:p w14:paraId="7AE60673" w14:textId="77777777"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Sharma, Rohit et al. “Chyawanprash: A Traditional Indian Bioactive Health Supplement.” Biomolecules vol. 9,5 161. 26 Apr. 2019, doi:10.3390/biom9050161</w:t>
      </w:r>
    </w:p>
    <w:p w14:paraId="6592651B" w14:textId="77777777"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 xml:space="preserve">Khanal, </w:t>
      </w:r>
      <w:proofErr w:type="spellStart"/>
      <w:r w:rsidRPr="00095D50">
        <w:rPr>
          <w:rFonts w:ascii="Times New Roman" w:hAnsi="Times New Roman" w:cs="Times New Roman"/>
          <w:sz w:val="24"/>
          <w:szCs w:val="24"/>
        </w:rPr>
        <w:t>Pukar</w:t>
      </w:r>
      <w:proofErr w:type="spellEnd"/>
      <w:r w:rsidRPr="00095D50">
        <w:rPr>
          <w:rFonts w:ascii="Times New Roman" w:hAnsi="Times New Roman" w:cs="Times New Roman"/>
          <w:sz w:val="24"/>
          <w:szCs w:val="24"/>
        </w:rPr>
        <w:t xml:space="preserve"> &amp; Dey, Yadu &amp; Wanjari, Manish. (2020). Network pharmacology of AYUSH recommended immune-boosting medicinal plants against COVID- 19. 10.21203/rs.3.rs-31776/v1.</w:t>
      </w:r>
    </w:p>
    <w:p w14:paraId="3C3DBC69" w14:textId="77777777"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 xml:space="preserve">Kirti Raina, Ruchika Kumari, Palak Thakur, Rohit Sharma, Randeep Singh, Abhinay Thakur, Vikas Anand, Rohit Sharma, </w:t>
      </w:r>
      <w:proofErr w:type="spellStart"/>
      <w:r w:rsidRPr="00095D50">
        <w:rPr>
          <w:rFonts w:ascii="Times New Roman" w:hAnsi="Times New Roman" w:cs="Times New Roman"/>
          <w:sz w:val="24"/>
          <w:szCs w:val="24"/>
        </w:rPr>
        <w:t>Ashun</w:t>
      </w:r>
      <w:proofErr w:type="spellEnd"/>
      <w:r w:rsidRPr="00095D50">
        <w:rPr>
          <w:rFonts w:ascii="Times New Roman" w:hAnsi="Times New Roman" w:cs="Times New Roman"/>
          <w:sz w:val="24"/>
          <w:szCs w:val="24"/>
        </w:rPr>
        <w:t xml:space="preserve"> Chaudhary, Mechanistic role and potential of Ayurvedic herbs as anti-aging therapies, Drug Metabolism and Personalized Therapy, 10.1515/dmpt-2023-0024, 38, 3, (211-226), (2023).</w:t>
      </w:r>
    </w:p>
    <w:p w14:paraId="2771EECC" w14:textId="77777777" w:rsidR="00C45D71" w:rsidRPr="00095D50" w:rsidRDefault="00C45D71"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 xml:space="preserve">Dongre P, Majumdar A. Network pharmacology analysis of Chandraprabha Vati: A new hope for the treatment of Metabolic Syndrome. J Ayurveda </w:t>
      </w:r>
      <w:proofErr w:type="spellStart"/>
      <w:r w:rsidRPr="00095D50">
        <w:rPr>
          <w:rFonts w:ascii="Times New Roman" w:hAnsi="Times New Roman" w:cs="Times New Roman"/>
          <w:sz w:val="24"/>
          <w:szCs w:val="24"/>
        </w:rPr>
        <w:t>Integr</w:t>
      </w:r>
      <w:proofErr w:type="spellEnd"/>
      <w:r w:rsidRPr="00095D50">
        <w:rPr>
          <w:rFonts w:ascii="Times New Roman" w:hAnsi="Times New Roman" w:cs="Times New Roman"/>
          <w:sz w:val="24"/>
          <w:szCs w:val="24"/>
        </w:rPr>
        <w:t xml:space="preserve"> Med. 2024 May-Jun;15(3):100902. </w:t>
      </w:r>
      <w:proofErr w:type="spellStart"/>
      <w:r w:rsidRPr="00095D50">
        <w:rPr>
          <w:rFonts w:ascii="Times New Roman" w:hAnsi="Times New Roman" w:cs="Times New Roman"/>
          <w:sz w:val="24"/>
          <w:szCs w:val="24"/>
        </w:rPr>
        <w:t>doi</w:t>
      </w:r>
      <w:proofErr w:type="spellEnd"/>
      <w:r w:rsidRPr="00095D50">
        <w:rPr>
          <w:rFonts w:ascii="Times New Roman" w:hAnsi="Times New Roman" w:cs="Times New Roman"/>
          <w:sz w:val="24"/>
          <w:szCs w:val="24"/>
        </w:rPr>
        <w:t xml:space="preserve">: 10.1016/j.jaim.2024.100902. </w:t>
      </w:r>
      <w:proofErr w:type="spellStart"/>
      <w:r w:rsidRPr="00095D50">
        <w:rPr>
          <w:rFonts w:ascii="Times New Roman" w:hAnsi="Times New Roman" w:cs="Times New Roman"/>
          <w:sz w:val="24"/>
          <w:szCs w:val="24"/>
        </w:rPr>
        <w:t>Epub</w:t>
      </w:r>
      <w:proofErr w:type="spellEnd"/>
      <w:r w:rsidRPr="00095D50">
        <w:rPr>
          <w:rFonts w:ascii="Times New Roman" w:hAnsi="Times New Roman" w:cs="Times New Roman"/>
          <w:sz w:val="24"/>
          <w:szCs w:val="24"/>
        </w:rPr>
        <w:t xml:space="preserve"> 2024 May 30. PMID: 38821011; PMCID: PMC11177199.</w:t>
      </w:r>
    </w:p>
    <w:p w14:paraId="58E2DC1A" w14:textId="77777777" w:rsidR="0056756A" w:rsidRPr="00095D50" w:rsidRDefault="0056756A" w:rsidP="0056756A">
      <w:pPr>
        <w:jc w:val="both"/>
        <w:rPr>
          <w:rFonts w:ascii="Times New Roman" w:hAnsi="Times New Roman" w:cs="Times New Roman"/>
          <w:sz w:val="24"/>
          <w:szCs w:val="24"/>
        </w:rPr>
      </w:pPr>
    </w:p>
    <w:p w14:paraId="1222C30A" w14:textId="77777777" w:rsidR="0056756A" w:rsidRPr="00095D50" w:rsidRDefault="0056756A" w:rsidP="0056756A">
      <w:pPr>
        <w:jc w:val="both"/>
        <w:rPr>
          <w:rFonts w:ascii="Times New Roman" w:hAnsi="Times New Roman" w:cs="Times New Roman"/>
          <w:sz w:val="24"/>
          <w:szCs w:val="24"/>
        </w:rPr>
      </w:pPr>
    </w:p>
    <w:p w14:paraId="5AA11832" w14:textId="77777777" w:rsidR="0056756A" w:rsidRPr="00095D50" w:rsidRDefault="0056756A" w:rsidP="0056756A">
      <w:pPr>
        <w:jc w:val="both"/>
        <w:rPr>
          <w:rFonts w:ascii="Times New Roman" w:hAnsi="Times New Roman" w:cs="Times New Roman"/>
          <w:sz w:val="24"/>
          <w:szCs w:val="24"/>
        </w:rPr>
      </w:pPr>
    </w:p>
    <w:p w14:paraId="712A0D87" w14:textId="77777777" w:rsidR="0056756A" w:rsidRPr="00095D50" w:rsidRDefault="0056756A" w:rsidP="0056756A">
      <w:pPr>
        <w:jc w:val="both"/>
        <w:rPr>
          <w:rFonts w:ascii="Times New Roman" w:hAnsi="Times New Roman" w:cs="Times New Roman"/>
          <w:sz w:val="24"/>
          <w:szCs w:val="24"/>
        </w:rPr>
      </w:pPr>
    </w:p>
    <w:p w14:paraId="7555EC4D" w14:textId="77777777" w:rsidR="0056756A" w:rsidRPr="00095D50" w:rsidRDefault="0056756A" w:rsidP="0056756A">
      <w:pPr>
        <w:jc w:val="both"/>
        <w:rPr>
          <w:rFonts w:ascii="Times New Roman" w:hAnsi="Times New Roman" w:cs="Times New Roman"/>
          <w:sz w:val="24"/>
          <w:szCs w:val="24"/>
        </w:rPr>
      </w:pPr>
    </w:p>
    <w:p w14:paraId="7C573457" w14:textId="77777777" w:rsidR="0056756A" w:rsidRPr="00095D50" w:rsidRDefault="0056756A" w:rsidP="0056756A">
      <w:pPr>
        <w:jc w:val="both"/>
        <w:rPr>
          <w:rFonts w:ascii="Times New Roman" w:hAnsi="Times New Roman" w:cs="Times New Roman"/>
          <w:sz w:val="24"/>
          <w:szCs w:val="24"/>
        </w:rPr>
      </w:pPr>
    </w:p>
    <w:p w14:paraId="387FDCE0" w14:textId="77777777" w:rsidR="0056756A" w:rsidRPr="00095D50" w:rsidRDefault="0056756A" w:rsidP="0056756A">
      <w:pPr>
        <w:jc w:val="both"/>
        <w:rPr>
          <w:rFonts w:ascii="Times New Roman" w:hAnsi="Times New Roman" w:cs="Times New Roman"/>
          <w:sz w:val="24"/>
          <w:szCs w:val="24"/>
        </w:rPr>
      </w:pPr>
    </w:p>
    <w:p w14:paraId="1C494D2D" w14:textId="77777777" w:rsidR="0056756A" w:rsidRPr="00095D50" w:rsidRDefault="0056756A" w:rsidP="0056756A">
      <w:pPr>
        <w:jc w:val="both"/>
        <w:rPr>
          <w:rFonts w:ascii="Times New Roman" w:hAnsi="Times New Roman" w:cs="Times New Roman"/>
          <w:sz w:val="24"/>
          <w:szCs w:val="24"/>
        </w:rPr>
      </w:pPr>
    </w:p>
    <w:p w14:paraId="43227BFB" w14:textId="77777777" w:rsidR="0056756A" w:rsidRPr="00095D50" w:rsidRDefault="0056756A" w:rsidP="0056756A">
      <w:pPr>
        <w:jc w:val="both"/>
        <w:rPr>
          <w:rFonts w:ascii="Times New Roman" w:hAnsi="Times New Roman" w:cs="Times New Roman"/>
          <w:sz w:val="24"/>
          <w:szCs w:val="24"/>
        </w:rPr>
      </w:pPr>
    </w:p>
    <w:p w14:paraId="1CFB34B6" w14:textId="77777777" w:rsidR="0056756A" w:rsidRPr="00095D50" w:rsidRDefault="0056756A" w:rsidP="0056756A">
      <w:pPr>
        <w:jc w:val="both"/>
        <w:rPr>
          <w:rFonts w:ascii="Times New Roman" w:hAnsi="Times New Roman" w:cs="Times New Roman"/>
          <w:sz w:val="24"/>
          <w:szCs w:val="24"/>
        </w:rPr>
      </w:pPr>
    </w:p>
    <w:p w14:paraId="6C21EC80" w14:textId="77777777" w:rsidR="0056756A" w:rsidRPr="00095D50" w:rsidRDefault="0056756A" w:rsidP="0056756A">
      <w:pPr>
        <w:jc w:val="both"/>
        <w:rPr>
          <w:rFonts w:ascii="Times New Roman" w:hAnsi="Times New Roman" w:cs="Times New Roman"/>
          <w:sz w:val="24"/>
          <w:szCs w:val="24"/>
        </w:rPr>
      </w:pPr>
    </w:p>
    <w:p w14:paraId="6C7AE827" w14:textId="77777777" w:rsidR="0056756A" w:rsidRPr="00095D50" w:rsidRDefault="0056756A" w:rsidP="0056756A">
      <w:pPr>
        <w:jc w:val="both"/>
        <w:rPr>
          <w:rFonts w:ascii="Times New Roman" w:hAnsi="Times New Roman" w:cs="Times New Roman"/>
          <w:sz w:val="24"/>
          <w:szCs w:val="24"/>
        </w:rPr>
      </w:pPr>
    </w:p>
    <w:p w14:paraId="42291189" w14:textId="77777777" w:rsidR="00A61DAC" w:rsidRPr="00095D50" w:rsidRDefault="00A61DAC" w:rsidP="00191829">
      <w:pPr>
        <w:jc w:val="both"/>
        <w:rPr>
          <w:rFonts w:ascii="Times New Roman" w:hAnsi="Times New Roman" w:cs="Times New Roman"/>
          <w:sz w:val="24"/>
          <w:szCs w:val="24"/>
        </w:rPr>
      </w:pPr>
    </w:p>
    <w:p w14:paraId="3C9287DE"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sz w:val="24"/>
          <w:szCs w:val="24"/>
        </w:rPr>
        <w:t>Tale 1:</w:t>
      </w:r>
      <w:r w:rsidRPr="00095D50">
        <w:rPr>
          <w:rFonts w:ascii="Times New Roman" w:hAnsi="Times New Roman" w:cs="Times New Roman"/>
          <w:sz w:val="24"/>
          <w:szCs w:val="24"/>
        </w:rPr>
        <w:t xml:space="preserve"> High fit scores of key ingredients of Chyawanprash</w:t>
      </w:r>
    </w:p>
    <w:tbl>
      <w:tblPr>
        <w:tblStyle w:val="TableGrid"/>
        <w:tblW w:w="0" w:type="auto"/>
        <w:tblLook w:val="04A0" w:firstRow="1" w:lastRow="0" w:firstColumn="1" w:lastColumn="0" w:noHBand="0" w:noVBand="1"/>
      </w:tblPr>
      <w:tblGrid>
        <w:gridCol w:w="1576"/>
        <w:gridCol w:w="3270"/>
        <w:gridCol w:w="1616"/>
      </w:tblGrid>
      <w:tr w:rsidR="00EC04BD" w:rsidRPr="00095D50" w14:paraId="784FC8D8" w14:textId="77777777" w:rsidTr="00EC04BD">
        <w:tc>
          <w:tcPr>
            <w:tcW w:w="0" w:type="auto"/>
            <w:hideMark/>
          </w:tcPr>
          <w:p w14:paraId="5C7313FB" w14:textId="77777777" w:rsidR="00EC04BD" w:rsidRPr="00095D50" w:rsidRDefault="00EC04BD" w:rsidP="00EC04BD">
            <w:pPr>
              <w:spacing w:after="160" w:line="259" w:lineRule="auto"/>
              <w:jc w:val="both"/>
              <w:rPr>
                <w:rFonts w:ascii="Times New Roman" w:hAnsi="Times New Roman" w:cs="Times New Roman"/>
                <w:b/>
                <w:bCs/>
                <w:sz w:val="24"/>
                <w:szCs w:val="24"/>
              </w:rPr>
            </w:pPr>
            <w:r w:rsidRPr="00095D50">
              <w:rPr>
                <w:rFonts w:ascii="Times New Roman" w:hAnsi="Times New Roman" w:cs="Times New Roman"/>
                <w:b/>
                <w:bCs/>
                <w:sz w:val="24"/>
                <w:szCs w:val="24"/>
              </w:rPr>
              <w:t>Herb</w:t>
            </w:r>
          </w:p>
        </w:tc>
        <w:tc>
          <w:tcPr>
            <w:tcW w:w="0" w:type="auto"/>
            <w:hideMark/>
          </w:tcPr>
          <w:p w14:paraId="45D27733" w14:textId="77777777" w:rsidR="00EC04BD" w:rsidRPr="00095D50" w:rsidRDefault="00EC04BD" w:rsidP="00EC04BD">
            <w:pPr>
              <w:spacing w:after="160" w:line="259" w:lineRule="auto"/>
              <w:jc w:val="both"/>
              <w:rPr>
                <w:rFonts w:ascii="Times New Roman" w:hAnsi="Times New Roman" w:cs="Times New Roman"/>
                <w:b/>
                <w:bCs/>
                <w:sz w:val="24"/>
                <w:szCs w:val="24"/>
              </w:rPr>
            </w:pPr>
            <w:r w:rsidRPr="00095D50">
              <w:rPr>
                <w:rFonts w:ascii="Times New Roman" w:hAnsi="Times New Roman" w:cs="Times New Roman"/>
                <w:b/>
                <w:bCs/>
                <w:sz w:val="24"/>
                <w:szCs w:val="24"/>
              </w:rPr>
              <w:t>Top Targets</w:t>
            </w:r>
          </w:p>
        </w:tc>
        <w:tc>
          <w:tcPr>
            <w:tcW w:w="0" w:type="auto"/>
            <w:hideMark/>
          </w:tcPr>
          <w:p w14:paraId="3633B266" w14:textId="77777777" w:rsidR="00EC04BD" w:rsidRPr="00095D50" w:rsidRDefault="00EC04BD" w:rsidP="00EC04BD">
            <w:pPr>
              <w:spacing w:after="160" w:line="259" w:lineRule="auto"/>
              <w:jc w:val="both"/>
              <w:rPr>
                <w:rFonts w:ascii="Times New Roman" w:hAnsi="Times New Roman" w:cs="Times New Roman"/>
                <w:b/>
                <w:bCs/>
                <w:sz w:val="24"/>
                <w:szCs w:val="24"/>
              </w:rPr>
            </w:pPr>
            <w:r w:rsidRPr="00095D50">
              <w:rPr>
                <w:rFonts w:ascii="Times New Roman" w:hAnsi="Times New Roman" w:cs="Times New Roman"/>
                <w:b/>
                <w:bCs/>
                <w:sz w:val="24"/>
                <w:szCs w:val="24"/>
              </w:rPr>
              <w:t>INP Fit Score</w:t>
            </w:r>
          </w:p>
        </w:tc>
      </w:tr>
      <w:tr w:rsidR="00EC04BD" w:rsidRPr="00095D50" w14:paraId="161D4ABB" w14:textId="77777777" w:rsidTr="00EC04BD">
        <w:tc>
          <w:tcPr>
            <w:tcW w:w="0" w:type="auto"/>
            <w:hideMark/>
          </w:tcPr>
          <w:p w14:paraId="27D905D9" w14:textId="77777777" w:rsidR="00EC04BD" w:rsidRPr="00095D50" w:rsidRDefault="00EC04BD" w:rsidP="00EC04BD">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Amla</w:t>
            </w:r>
          </w:p>
        </w:tc>
        <w:tc>
          <w:tcPr>
            <w:tcW w:w="0" w:type="auto"/>
            <w:hideMark/>
          </w:tcPr>
          <w:p w14:paraId="4BC22794" w14:textId="77777777" w:rsidR="00EC04BD" w:rsidRPr="00095D50" w:rsidRDefault="00EC04BD" w:rsidP="00EC04BD">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Nrf2, FOXO3, SIRT1, DNMT1</w:t>
            </w:r>
          </w:p>
        </w:tc>
        <w:tc>
          <w:tcPr>
            <w:tcW w:w="0" w:type="auto"/>
            <w:hideMark/>
          </w:tcPr>
          <w:p w14:paraId="7275391F" w14:textId="77777777" w:rsidR="00EC04BD" w:rsidRPr="00095D50" w:rsidRDefault="00EC04BD" w:rsidP="00EC04BD">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0.40</w:t>
            </w:r>
          </w:p>
        </w:tc>
      </w:tr>
      <w:tr w:rsidR="00EC04BD" w:rsidRPr="00095D50" w14:paraId="436CAF90" w14:textId="77777777" w:rsidTr="00EC04BD">
        <w:tc>
          <w:tcPr>
            <w:tcW w:w="0" w:type="auto"/>
            <w:hideMark/>
          </w:tcPr>
          <w:p w14:paraId="7CC8B422" w14:textId="77777777" w:rsidR="00EC04BD" w:rsidRPr="00095D50" w:rsidRDefault="00EC04BD" w:rsidP="00EC04BD">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Ashwagandha</w:t>
            </w:r>
          </w:p>
        </w:tc>
        <w:tc>
          <w:tcPr>
            <w:tcW w:w="0" w:type="auto"/>
            <w:hideMark/>
          </w:tcPr>
          <w:p w14:paraId="3AB37224" w14:textId="77777777" w:rsidR="00EC04BD" w:rsidRPr="00095D50" w:rsidRDefault="00EC04BD" w:rsidP="00EC04BD">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VDR, SOCS1, Beclin1, SIRT1</w:t>
            </w:r>
          </w:p>
        </w:tc>
        <w:tc>
          <w:tcPr>
            <w:tcW w:w="0" w:type="auto"/>
            <w:hideMark/>
          </w:tcPr>
          <w:p w14:paraId="112E973D" w14:textId="77777777" w:rsidR="00EC04BD" w:rsidRPr="00095D50" w:rsidRDefault="00EC04BD" w:rsidP="00EC04BD">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0.40</w:t>
            </w:r>
          </w:p>
        </w:tc>
      </w:tr>
      <w:tr w:rsidR="00EC04BD" w:rsidRPr="00095D50" w14:paraId="460F3CA5" w14:textId="77777777" w:rsidTr="00EC04BD">
        <w:tc>
          <w:tcPr>
            <w:tcW w:w="0" w:type="auto"/>
            <w:hideMark/>
          </w:tcPr>
          <w:p w14:paraId="3B980E31" w14:textId="77777777" w:rsidR="00EC04BD" w:rsidRPr="00095D50" w:rsidRDefault="00EC04BD" w:rsidP="00EC04BD">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Guduchi</w:t>
            </w:r>
          </w:p>
        </w:tc>
        <w:tc>
          <w:tcPr>
            <w:tcW w:w="0" w:type="auto"/>
            <w:hideMark/>
          </w:tcPr>
          <w:p w14:paraId="53653056" w14:textId="77777777" w:rsidR="00EC04BD" w:rsidRPr="00095D50" w:rsidRDefault="00EC04BD" w:rsidP="00EC04BD">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Nrf2, LC3B, FOXO3</w:t>
            </w:r>
          </w:p>
        </w:tc>
        <w:tc>
          <w:tcPr>
            <w:tcW w:w="0" w:type="auto"/>
            <w:hideMark/>
          </w:tcPr>
          <w:p w14:paraId="6BFC3878" w14:textId="77777777" w:rsidR="00EC04BD" w:rsidRPr="00095D50" w:rsidRDefault="00EC04BD" w:rsidP="00EC04BD">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0.30</w:t>
            </w:r>
          </w:p>
        </w:tc>
      </w:tr>
    </w:tbl>
    <w:p w14:paraId="519652E4" w14:textId="77777777" w:rsidR="00560C2E" w:rsidRPr="00095D50" w:rsidRDefault="00560C2E" w:rsidP="00EC04BD">
      <w:pPr>
        <w:jc w:val="both"/>
        <w:rPr>
          <w:rFonts w:ascii="Times New Roman" w:hAnsi="Times New Roman" w:cs="Times New Roman"/>
          <w:sz w:val="24"/>
          <w:szCs w:val="24"/>
        </w:rPr>
      </w:pPr>
    </w:p>
    <w:p w14:paraId="0EF6E393" w14:textId="77777777" w:rsidR="00560C2E" w:rsidRPr="00095D50" w:rsidRDefault="00560C2E" w:rsidP="00EC04BD">
      <w:pPr>
        <w:jc w:val="both"/>
        <w:rPr>
          <w:rFonts w:ascii="Times New Roman" w:hAnsi="Times New Roman" w:cs="Times New Roman"/>
          <w:sz w:val="24"/>
          <w:szCs w:val="24"/>
        </w:rPr>
      </w:pPr>
      <w:r w:rsidRPr="00095D50">
        <w:rPr>
          <w:rFonts w:ascii="Times New Roman" w:hAnsi="Times New Roman" w:cs="Times New Roman"/>
          <w:b/>
          <w:sz w:val="24"/>
          <w:szCs w:val="24"/>
        </w:rPr>
        <w:t>Table 2:</w:t>
      </w:r>
      <w:r w:rsidRPr="00095D50">
        <w:rPr>
          <w:rFonts w:ascii="Times New Roman" w:hAnsi="Times New Roman" w:cs="Times New Roman"/>
          <w:sz w:val="24"/>
          <w:szCs w:val="24"/>
        </w:rPr>
        <w:t xml:space="preserve"> Comparative Map: Failure vs. Restoration</w:t>
      </w:r>
    </w:p>
    <w:tbl>
      <w:tblPr>
        <w:tblStyle w:val="TableGrid"/>
        <w:tblW w:w="0" w:type="auto"/>
        <w:tblLook w:val="04A0" w:firstRow="1" w:lastRow="0" w:firstColumn="1" w:lastColumn="0" w:noHBand="0" w:noVBand="1"/>
      </w:tblPr>
      <w:tblGrid>
        <w:gridCol w:w="1303"/>
        <w:gridCol w:w="2676"/>
        <w:gridCol w:w="4283"/>
      </w:tblGrid>
      <w:tr w:rsidR="00560C2E" w:rsidRPr="00095D50" w14:paraId="11248D42" w14:textId="77777777" w:rsidTr="00560C2E">
        <w:tc>
          <w:tcPr>
            <w:tcW w:w="0" w:type="auto"/>
            <w:hideMark/>
          </w:tcPr>
          <w:p w14:paraId="308543B6" w14:textId="77777777" w:rsidR="00560C2E" w:rsidRPr="00095D50" w:rsidRDefault="00560C2E" w:rsidP="00560C2E">
            <w:pPr>
              <w:spacing w:after="160" w:line="259" w:lineRule="auto"/>
              <w:jc w:val="both"/>
              <w:rPr>
                <w:rFonts w:ascii="Times New Roman" w:hAnsi="Times New Roman" w:cs="Times New Roman"/>
                <w:b/>
                <w:bCs/>
                <w:sz w:val="24"/>
                <w:szCs w:val="24"/>
              </w:rPr>
            </w:pPr>
            <w:r w:rsidRPr="00095D50">
              <w:rPr>
                <w:rFonts w:ascii="Times New Roman" w:hAnsi="Times New Roman" w:cs="Times New Roman"/>
                <w:b/>
                <w:bCs/>
                <w:sz w:val="24"/>
                <w:szCs w:val="24"/>
              </w:rPr>
              <w:t>INP Layer</w:t>
            </w:r>
          </w:p>
        </w:tc>
        <w:tc>
          <w:tcPr>
            <w:tcW w:w="0" w:type="auto"/>
            <w:hideMark/>
          </w:tcPr>
          <w:p w14:paraId="038377A2" w14:textId="77777777" w:rsidR="00560C2E" w:rsidRPr="00095D50" w:rsidRDefault="00560C2E" w:rsidP="00560C2E">
            <w:pPr>
              <w:spacing w:after="160" w:line="259" w:lineRule="auto"/>
              <w:jc w:val="both"/>
              <w:rPr>
                <w:rFonts w:ascii="Times New Roman" w:hAnsi="Times New Roman" w:cs="Times New Roman"/>
                <w:b/>
                <w:bCs/>
                <w:sz w:val="24"/>
                <w:szCs w:val="24"/>
              </w:rPr>
            </w:pPr>
            <w:r w:rsidRPr="00095D50">
              <w:rPr>
                <w:rFonts w:ascii="Times New Roman" w:hAnsi="Times New Roman" w:cs="Times New Roman"/>
                <w:b/>
                <w:bCs/>
                <w:sz w:val="24"/>
                <w:szCs w:val="24"/>
              </w:rPr>
              <w:t>Failure State</w:t>
            </w:r>
          </w:p>
        </w:tc>
        <w:tc>
          <w:tcPr>
            <w:tcW w:w="0" w:type="auto"/>
            <w:hideMark/>
          </w:tcPr>
          <w:p w14:paraId="65914583" w14:textId="77777777" w:rsidR="00560C2E" w:rsidRPr="00095D50" w:rsidRDefault="00560C2E" w:rsidP="00560C2E">
            <w:pPr>
              <w:spacing w:after="160" w:line="259" w:lineRule="auto"/>
              <w:jc w:val="both"/>
              <w:rPr>
                <w:rFonts w:ascii="Times New Roman" w:hAnsi="Times New Roman" w:cs="Times New Roman"/>
                <w:b/>
                <w:bCs/>
                <w:sz w:val="24"/>
                <w:szCs w:val="24"/>
              </w:rPr>
            </w:pPr>
            <w:r w:rsidRPr="00095D50">
              <w:rPr>
                <w:rFonts w:ascii="Times New Roman" w:hAnsi="Times New Roman" w:cs="Times New Roman"/>
                <w:b/>
                <w:bCs/>
                <w:sz w:val="24"/>
                <w:szCs w:val="24"/>
              </w:rPr>
              <w:t>Restoration via Chyawanprash</w:t>
            </w:r>
          </w:p>
        </w:tc>
      </w:tr>
      <w:tr w:rsidR="00560C2E" w:rsidRPr="00095D50" w14:paraId="315477A3" w14:textId="77777777" w:rsidTr="00560C2E">
        <w:tc>
          <w:tcPr>
            <w:tcW w:w="0" w:type="auto"/>
            <w:hideMark/>
          </w:tcPr>
          <w:p w14:paraId="424BC836" w14:textId="77777777"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L1</w:t>
            </w:r>
          </w:p>
        </w:tc>
        <w:tc>
          <w:tcPr>
            <w:tcW w:w="0" w:type="auto"/>
            <w:hideMark/>
          </w:tcPr>
          <w:p w14:paraId="704C9209" w14:textId="77777777"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Low synthesis/absorption</w:t>
            </w:r>
          </w:p>
        </w:tc>
        <w:tc>
          <w:tcPr>
            <w:tcW w:w="0" w:type="auto"/>
            <w:hideMark/>
          </w:tcPr>
          <w:p w14:paraId="448B5BFB" w14:textId="77777777"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Adaptogen buffering</w:t>
            </w:r>
          </w:p>
        </w:tc>
      </w:tr>
      <w:tr w:rsidR="00560C2E" w:rsidRPr="00095D50" w14:paraId="43609CC0" w14:textId="77777777" w:rsidTr="00560C2E">
        <w:tc>
          <w:tcPr>
            <w:tcW w:w="0" w:type="auto"/>
            <w:hideMark/>
          </w:tcPr>
          <w:p w14:paraId="107E7EAF" w14:textId="77777777"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L2</w:t>
            </w:r>
          </w:p>
        </w:tc>
        <w:tc>
          <w:tcPr>
            <w:tcW w:w="0" w:type="auto"/>
            <w:hideMark/>
          </w:tcPr>
          <w:p w14:paraId="5FCECA93" w14:textId="77777777"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Feedback loop collapse</w:t>
            </w:r>
          </w:p>
        </w:tc>
        <w:tc>
          <w:tcPr>
            <w:tcW w:w="0" w:type="auto"/>
            <w:hideMark/>
          </w:tcPr>
          <w:p w14:paraId="1B3E62CA" w14:textId="77777777"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SOCS1/VDR/FOXO3 feedback activation</w:t>
            </w:r>
          </w:p>
        </w:tc>
      </w:tr>
      <w:tr w:rsidR="00560C2E" w:rsidRPr="00095D50" w14:paraId="51B4A4E2" w14:textId="77777777" w:rsidTr="00560C2E">
        <w:tc>
          <w:tcPr>
            <w:tcW w:w="0" w:type="auto"/>
            <w:hideMark/>
          </w:tcPr>
          <w:p w14:paraId="6C6A4285" w14:textId="77777777"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L3</w:t>
            </w:r>
          </w:p>
        </w:tc>
        <w:tc>
          <w:tcPr>
            <w:tcW w:w="0" w:type="auto"/>
            <w:hideMark/>
          </w:tcPr>
          <w:p w14:paraId="4386E12D" w14:textId="77777777"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Redox depletion</w:t>
            </w:r>
          </w:p>
        </w:tc>
        <w:tc>
          <w:tcPr>
            <w:tcW w:w="0" w:type="auto"/>
            <w:hideMark/>
          </w:tcPr>
          <w:p w14:paraId="287954BD" w14:textId="77777777"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Nrf2/GPX/SOD transcriptional activation</w:t>
            </w:r>
          </w:p>
        </w:tc>
      </w:tr>
      <w:tr w:rsidR="00560C2E" w:rsidRPr="00095D50" w14:paraId="54798101" w14:textId="77777777" w:rsidTr="00560C2E">
        <w:tc>
          <w:tcPr>
            <w:tcW w:w="0" w:type="auto"/>
            <w:hideMark/>
          </w:tcPr>
          <w:p w14:paraId="1A266438" w14:textId="77777777"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L4</w:t>
            </w:r>
          </w:p>
        </w:tc>
        <w:tc>
          <w:tcPr>
            <w:tcW w:w="0" w:type="auto"/>
            <w:hideMark/>
          </w:tcPr>
          <w:p w14:paraId="4DDF8452" w14:textId="77777777"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Inflammatory priming</w:t>
            </w:r>
          </w:p>
        </w:tc>
        <w:tc>
          <w:tcPr>
            <w:tcW w:w="0" w:type="auto"/>
            <w:hideMark/>
          </w:tcPr>
          <w:p w14:paraId="12E41EAD" w14:textId="77777777"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IL-10 upregulation, immune modulation</w:t>
            </w:r>
          </w:p>
        </w:tc>
      </w:tr>
      <w:tr w:rsidR="00560C2E" w:rsidRPr="00095D50" w14:paraId="61DAA242" w14:textId="77777777" w:rsidTr="00560C2E">
        <w:tc>
          <w:tcPr>
            <w:tcW w:w="0" w:type="auto"/>
            <w:hideMark/>
          </w:tcPr>
          <w:p w14:paraId="5456D901" w14:textId="77777777"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L5</w:t>
            </w:r>
          </w:p>
        </w:tc>
        <w:tc>
          <w:tcPr>
            <w:tcW w:w="0" w:type="auto"/>
            <w:hideMark/>
          </w:tcPr>
          <w:p w14:paraId="22CFECCF" w14:textId="77777777"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Autophagy inhibition</w:t>
            </w:r>
          </w:p>
        </w:tc>
        <w:tc>
          <w:tcPr>
            <w:tcW w:w="0" w:type="auto"/>
            <w:hideMark/>
          </w:tcPr>
          <w:p w14:paraId="1DBC74D4" w14:textId="77777777"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Beclin1/LC3B reactivation</w:t>
            </w:r>
          </w:p>
        </w:tc>
      </w:tr>
      <w:tr w:rsidR="00560C2E" w:rsidRPr="00095D50" w14:paraId="15E58B0E" w14:textId="77777777" w:rsidTr="00560C2E">
        <w:tc>
          <w:tcPr>
            <w:tcW w:w="0" w:type="auto"/>
            <w:hideMark/>
          </w:tcPr>
          <w:p w14:paraId="1B8FB57D" w14:textId="77777777"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L6</w:t>
            </w:r>
          </w:p>
        </w:tc>
        <w:tc>
          <w:tcPr>
            <w:tcW w:w="0" w:type="auto"/>
            <w:hideMark/>
          </w:tcPr>
          <w:p w14:paraId="73324B62" w14:textId="77777777"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Weak single-nutrient fit</w:t>
            </w:r>
          </w:p>
        </w:tc>
        <w:tc>
          <w:tcPr>
            <w:tcW w:w="0" w:type="auto"/>
            <w:hideMark/>
          </w:tcPr>
          <w:p w14:paraId="6B82D9AC" w14:textId="77777777"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High-fit polyherbal synergy</w:t>
            </w:r>
          </w:p>
        </w:tc>
      </w:tr>
      <w:tr w:rsidR="00560C2E" w:rsidRPr="00095D50" w14:paraId="743DC5AC" w14:textId="77777777" w:rsidTr="00560C2E">
        <w:tc>
          <w:tcPr>
            <w:tcW w:w="0" w:type="auto"/>
            <w:hideMark/>
          </w:tcPr>
          <w:p w14:paraId="22145D66" w14:textId="77777777"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L7</w:t>
            </w:r>
          </w:p>
        </w:tc>
        <w:tc>
          <w:tcPr>
            <w:tcW w:w="0" w:type="auto"/>
            <w:hideMark/>
          </w:tcPr>
          <w:p w14:paraId="024FC635" w14:textId="77777777"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Unstable homeostasis</w:t>
            </w:r>
          </w:p>
        </w:tc>
        <w:tc>
          <w:tcPr>
            <w:tcW w:w="0" w:type="auto"/>
            <w:hideMark/>
          </w:tcPr>
          <w:p w14:paraId="4973A2EA" w14:textId="77777777"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Stabilized system dynamics (ODE-based)</w:t>
            </w:r>
          </w:p>
        </w:tc>
      </w:tr>
    </w:tbl>
    <w:p w14:paraId="00D54017" w14:textId="77777777" w:rsidR="004D0F15" w:rsidRPr="00095D50" w:rsidRDefault="004D0F15" w:rsidP="004D0F15">
      <w:pPr>
        <w:jc w:val="both"/>
        <w:rPr>
          <w:rFonts w:ascii="Times New Roman" w:hAnsi="Times New Roman" w:cs="Times New Roman"/>
          <w:b/>
          <w:bCs/>
          <w:sz w:val="24"/>
          <w:szCs w:val="24"/>
        </w:rPr>
      </w:pPr>
    </w:p>
    <w:p w14:paraId="1008555A" w14:textId="77777777" w:rsidR="004D0F15" w:rsidRPr="00095D50" w:rsidRDefault="004D0F15" w:rsidP="004D0F15">
      <w:pPr>
        <w:jc w:val="both"/>
        <w:rPr>
          <w:rFonts w:ascii="Times New Roman" w:hAnsi="Times New Roman" w:cs="Times New Roman"/>
          <w:b/>
          <w:bCs/>
          <w:sz w:val="24"/>
          <w:szCs w:val="24"/>
        </w:rPr>
      </w:pPr>
      <w:r w:rsidRPr="00095D50">
        <w:rPr>
          <w:rFonts w:ascii="Times New Roman" w:hAnsi="Times New Roman" w:cs="Times New Roman"/>
          <w:b/>
          <w:bCs/>
          <w:sz w:val="24"/>
          <w:szCs w:val="24"/>
        </w:rPr>
        <w:t xml:space="preserve">Table 3: </w:t>
      </w:r>
      <w:r w:rsidRPr="00095D50">
        <w:rPr>
          <w:rFonts w:ascii="Times New Roman" w:hAnsi="Times New Roman" w:cs="Times New Roman"/>
          <w:bCs/>
          <w:sz w:val="24"/>
          <w:szCs w:val="24"/>
        </w:rPr>
        <w:t>Natural Compound-INP Target Matching — Fit Score Table</w:t>
      </w:r>
    </w:p>
    <w:tbl>
      <w:tblPr>
        <w:tblStyle w:val="TableGrid"/>
        <w:tblW w:w="0" w:type="auto"/>
        <w:tblLook w:val="04A0" w:firstRow="1" w:lastRow="0" w:firstColumn="1" w:lastColumn="0" w:noHBand="0" w:noVBand="1"/>
      </w:tblPr>
      <w:tblGrid>
        <w:gridCol w:w="1496"/>
        <w:gridCol w:w="2977"/>
        <w:gridCol w:w="1616"/>
      </w:tblGrid>
      <w:tr w:rsidR="004D0F15" w:rsidRPr="00095D50" w14:paraId="22478DAB" w14:textId="77777777" w:rsidTr="004D0F15">
        <w:tc>
          <w:tcPr>
            <w:tcW w:w="0" w:type="auto"/>
            <w:hideMark/>
          </w:tcPr>
          <w:p w14:paraId="2ABF0A81" w14:textId="77777777" w:rsidR="004D0F15" w:rsidRPr="00095D50" w:rsidRDefault="004D0F15" w:rsidP="004D0F15">
            <w:pPr>
              <w:spacing w:after="160" w:line="259" w:lineRule="auto"/>
              <w:jc w:val="both"/>
              <w:rPr>
                <w:rFonts w:ascii="Times New Roman" w:hAnsi="Times New Roman" w:cs="Times New Roman"/>
                <w:b/>
                <w:bCs/>
                <w:sz w:val="24"/>
                <w:szCs w:val="24"/>
              </w:rPr>
            </w:pPr>
            <w:r w:rsidRPr="00095D50">
              <w:rPr>
                <w:rFonts w:ascii="Times New Roman" w:hAnsi="Times New Roman" w:cs="Times New Roman"/>
                <w:b/>
                <w:bCs/>
                <w:sz w:val="24"/>
                <w:szCs w:val="24"/>
              </w:rPr>
              <w:t>Compound</w:t>
            </w:r>
          </w:p>
        </w:tc>
        <w:tc>
          <w:tcPr>
            <w:tcW w:w="0" w:type="auto"/>
            <w:hideMark/>
          </w:tcPr>
          <w:p w14:paraId="7E02CDAA" w14:textId="77777777" w:rsidR="004D0F15" w:rsidRPr="00095D50" w:rsidRDefault="004D0F15" w:rsidP="004D0F15">
            <w:pPr>
              <w:spacing w:after="160" w:line="259" w:lineRule="auto"/>
              <w:jc w:val="both"/>
              <w:rPr>
                <w:rFonts w:ascii="Times New Roman" w:hAnsi="Times New Roman" w:cs="Times New Roman"/>
                <w:b/>
                <w:bCs/>
                <w:sz w:val="24"/>
                <w:szCs w:val="24"/>
              </w:rPr>
            </w:pPr>
            <w:r w:rsidRPr="00095D50">
              <w:rPr>
                <w:rFonts w:ascii="Times New Roman" w:hAnsi="Times New Roman" w:cs="Times New Roman"/>
                <w:b/>
                <w:bCs/>
                <w:sz w:val="24"/>
                <w:szCs w:val="24"/>
              </w:rPr>
              <w:t>Matched INP Targets</w:t>
            </w:r>
          </w:p>
        </w:tc>
        <w:tc>
          <w:tcPr>
            <w:tcW w:w="0" w:type="auto"/>
            <w:hideMark/>
          </w:tcPr>
          <w:p w14:paraId="4C98F04D" w14:textId="77777777" w:rsidR="004D0F15" w:rsidRPr="00095D50" w:rsidRDefault="004D0F15" w:rsidP="004D0F15">
            <w:pPr>
              <w:spacing w:after="160" w:line="259" w:lineRule="auto"/>
              <w:jc w:val="both"/>
              <w:rPr>
                <w:rFonts w:ascii="Times New Roman" w:hAnsi="Times New Roman" w:cs="Times New Roman"/>
                <w:b/>
                <w:bCs/>
                <w:sz w:val="24"/>
                <w:szCs w:val="24"/>
              </w:rPr>
            </w:pPr>
            <w:r w:rsidRPr="00095D50">
              <w:rPr>
                <w:rFonts w:ascii="Times New Roman" w:hAnsi="Times New Roman" w:cs="Times New Roman"/>
                <w:b/>
                <w:bCs/>
                <w:sz w:val="24"/>
                <w:szCs w:val="24"/>
              </w:rPr>
              <w:t>INP Fit Score</w:t>
            </w:r>
          </w:p>
        </w:tc>
      </w:tr>
      <w:tr w:rsidR="004D0F15" w:rsidRPr="00095D50" w14:paraId="2BB7AF41" w14:textId="77777777" w:rsidTr="004D0F15">
        <w:tc>
          <w:tcPr>
            <w:tcW w:w="0" w:type="auto"/>
            <w:hideMark/>
          </w:tcPr>
          <w:p w14:paraId="2E12AED7" w14:textId="77777777"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b/>
                <w:bCs/>
                <w:sz w:val="24"/>
                <w:szCs w:val="24"/>
              </w:rPr>
              <w:t>Curcumin</w:t>
            </w:r>
          </w:p>
        </w:tc>
        <w:tc>
          <w:tcPr>
            <w:tcW w:w="0" w:type="auto"/>
            <w:hideMark/>
          </w:tcPr>
          <w:p w14:paraId="1DCA4028" w14:textId="77777777"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Nrf2, GPX, SOCS1, Beclin1</w:t>
            </w:r>
          </w:p>
        </w:tc>
        <w:tc>
          <w:tcPr>
            <w:tcW w:w="0" w:type="auto"/>
            <w:hideMark/>
          </w:tcPr>
          <w:p w14:paraId="730BEE08" w14:textId="77777777"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b/>
                <w:bCs/>
                <w:sz w:val="24"/>
                <w:szCs w:val="24"/>
              </w:rPr>
              <w:t>0.40</w:t>
            </w:r>
          </w:p>
        </w:tc>
      </w:tr>
      <w:tr w:rsidR="004D0F15" w:rsidRPr="00095D50" w14:paraId="2AA0EF05" w14:textId="77777777" w:rsidTr="004D0F15">
        <w:tc>
          <w:tcPr>
            <w:tcW w:w="0" w:type="auto"/>
            <w:hideMark/>
          </w:tcPr>
          <w:p w14:paraId="40CB1E50" w14:textId="77777777"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b/>
                <w:bCs/>
                <w:sz w:val="24"/>
                <w:szCs w:val="24"/>
              </w:rPr>
              <w:t>Quercetin</w:t>
            </w:r>
          </w:p>
        </w:tc>
        <w:tc>
          <w:tcPr>
            <w:tcW w:w="0" w:type="auto"/>
            <w:hideMark/>
          </w:tcPr>
          <w:p w14:paraId="4B56CAC3" w14:textId="77777777"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Nrf2, GPX, SOCS1, LC3</w:t>
            </w:r>
          </w:p>
        </w:tc>
        <w:tc>
          <w:tcPr>
            <w:tcW w:w="0" w:type="auto"/>
            <w:hideMark/>
          </w:tcPr>
          <w:p w14:paraId="5BAD83AA" w14:textId="77777777"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b/>
                <w:bCs/>
                <w:sz w:val="24"/>
                <w:szCs w:val="24"/>
              </w:rPr>
              <w:t>0.40</w:t>
            </w:r>
          </w:p>
        </w:tc>
      </w:tr>
      <w:tr w:rsidR="004D0F15" w:rsidRPr="00095D50" w14:paraId="2AC90761" w14:textId="77777777" w:rsidTr="004D0F15">
        <w:tc>
          <w:tcPr>
            <w:tcW w:w="0" w:type="auto"/>
            <w:hideMark/>
          </w:tcPr>
          <w:p w14:paraId="7AFE599F" w14:textId="77777777"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Resveratrol</w:t>
            </w:r>
          </w:p>
        </w:tc>
        <w:tc>
          <w:tcPr>
            <w:tcW w:w="0" w:type="auto"/>
            <w:hideMark/>
          </w:tcPr>
          <w:p w14:paraId="0AC11B8E" w14:textId="77777777"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Nrf2, VDR, Beclin1</w:t>
            </w:r>
          </w:p>
        </w:tc>
        <w:tc>
          <w:tcPr>
            <w:tcW w:w="0" w:type="auto"/>
            <w:hideMark/>
          </w:tcPr>
          <w:p w14:paraId="2D4AD48E" w14:textId="77777777"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0.30</w:t>
            </w:r>
          </w:p>
        </w:tc>
      </w:tr>
      <w:tr w:rsidR="004D0F15" w:rsidRPr="00095D50" w14:paraId="36C95CB8" w14:textId="77777777" w:rsidTr="004D0F15">
        <w:tc>
          <w:tcPr>
            <w:tcW w:w="0" w:type="auto"/>
            <w:hideMark/>
          </w:tcPr>
          <w:p w14:paraId="7D2CEC20" w14:textId="77777777"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Berberine</w:t>
            </w:r>
          </w:p>
        </w:tc>
        <w:tc>
          <w:tcPr>
            <w:tcW w:w="0" w:type="auto"/>
            <w:hideMark/>
          </w:tcPr>
          <w:p w14:paraId="3F6B8A4D" w14:textId="77777777"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FGF23, VDR, MTR</w:t>
            </w:r>
          </w:p>
        </w:tc>
        <w:tc>
          <w:tcPr>
            <w:tcW w:w="0" w:type="auto"/>
            <w:hideMark/>
          </w:tcPr>
          <w:p w14:paraId="1BA57D6C" w14:textId="77777777"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0.30</w:t>
            </w:r>
          </w:p>
        </w:tc>
      </w:tr>
      <w:tr w:rsidR="004D0F15" w:rsidRPr="00095D50" w14:paraId="1A80510C" w14:textId="77777777" w:rsidTr="004D0F15">
        <w:tc>
          <w:tcPr>
            <w:tcW w:w="0" w:type="auto"/>
            <w:hideMark/>
          </w:tcPr>
          <w:p w14:paraId="65F6D96E" w14:textId="77777777"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Sulforaphane</w:t>
            </w:r>
          </w:p>
        </w:tc>
        <w:tc>
          <w:tcPr>
            <w:tcW w:w="0" w:type="auto"/>
            <w:hideMark/>
          </w:tcPr>
          <w:p w14:paraId="4A0041F4" w14:textId="77777777"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Nrf2, GPX, SOCS1</w:t>
            </w:r>
          </w:p>
        </w:tc>
        <w:tc>
          <w:tcPr>
            <w:tcW w:w="0" w:type="auto"/>
            <w:hideMark/>
          </w:tcPr>
          <w:p w14:paraId="06EF0430" w14:textId="77777777"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0.30</w:t>
            </w:r>
          </w:p>
        </w:tc>
      </w:tr>
      <w:tr w:rsidR="004D0F15" w:rsidRPr="00095D50" w14:paraId="312AB5FE" w14:textId="77777777" w:rsidTr="004D0F15">
        <w:tc>
          <w:tcPr>
            <w:tcW w:w="0" w:type="auto"/>
            <w:hideMark/>
          </w:tcPr>
          <w:p w14:paraId="47B20842" w14:textId="77777777"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Spermidine</w:t>
            </w:r>
          </w:p>
        </w:tc>
        <w:tc>
          <w:tcPr>
            <w:tcW w:w="0" w:type="auto"/>
            <w:hideMark/>
          </w:tcPr>
          <w:p w14:paraId="13F3B015" w14:textId="77777777"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LC3, MTHFR, Beclin1</w:t>
            </w:r>
          </w:p>
        </w:tc>
        <w:tc>
          <w:tcPr>
            <w:tcW w:w="0" w:type="auto"/>
            <w:hideMark/>
          </w:tcPr>
          <w:p w14:paraId="06B6E2E2" w14:textId="77777777"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0.30</w:t>
            </w:r>
          </w:p>
        </w:tc>
      </w:tr>
      <w:tr w:rsidR="004D0F15" w:rsidRPr="00095D50" w14:paraId="2507DED1" w14:textId="77777777" w:rsidTr="004D0F15">
        <w:tc>
          <w:tcPr>
            <w:tcW w:w="0" w:type="auto"/>
            <w:hideMark/>
          </w:tcPr>
          <w:p w14:paraId="4E94AC76" w14:textId="77777777"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Celastrol</w:t>
            </w:r>
          </w:p>
        </w:tc>
        <w:tc>
          <w:tcPr>
            <w:tcW w:w="0" w:type="auto"/>
            <w:hideMark/>
          </w:tcPr>
          <w:p w14:paraId="38A906E1" w14:textId="77777777"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SOCS1, Beclin1</w:t>
            </w:r>
          </w:p>
        </w:tc>
        <w:tc>
          <w:tcPr>
            <w:tcW w:w="0" w:type="auto"/>
            <w:hideMark/>
          </w:tcPr>
          <w:p w14:paraId="4779C1AD" w14:textId="77777777"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0.20</w:t>
            </w:r>
          </w:p>
        </w:tc>
      </w:tr>
    </w:tbl>
    <w:p w14:paraId="39FBD104" w14:textId="77777777" w:rsidR="00560C2E" w:rsidRPr="00095D50" w:rsidRDefault="00560C2E" w:rsidP="00EC04BD">
      <w:pPr>
        <w:jc w:val="both"/>
        <w:rPr>
          <w:rFonts w:ascii="Times New Roman" w:hAnsi="Times New Roman" w:cs="Times New Roman"/>
          <w:sz w:val="24"/>
          <w:szCs w:val="24"/>
        </w:rPr>
      </w:pPr>
    </w:p>
    <w:p w14:paraId="0C8E5F2C" w14:textId="77777777" w:rsidR="004D0F15" w:rsidRPr="00095D50" w:rsidRDefault="004D0F15" w:rsidP="00EC04BD">
      <w:pPr>
        <w:jc w:val="both"/>
        <w:rPr>
          <w:rFonts w:ascii="Times New Roman" w:hAnsi="Times New Roman" w:cs="Times New Roman"/>
          <w:sz w:val="24"/>
          <w:szCs w:val="24"/>
        </w:rPr>
      </w:pPr>
    </w:p>
    <w:p w14:paraId="4CE5D0DB" w14:textId="77777777" w:rsidR="00EC04BD" w:rsidRPr="00095D50" w:rsidRDefault="00EC04BD" w:rsidP="00EC04BD">
      <w:pPr>
        <w:jc w:val="both"/>
        <w:rPr>
          <w:rFonts w:ascii="Times New Roman" w:hAnsi="Times New Roman" w:cs="Times New Roman"/>
          <w:sz w:val="24"/>
          <w:szCs w:val="24"/>
        </w:rPr>
      </w:pPr>
    </w:p>
    <w:p w14:paraId="278A5267" w14:textId="77777777" w:rsidR="0063768D" w:rsidRPr="00095D50" w:rsidRDefault="0063768D" w:rsidP="00EC04BD">
      <w:pPr>
        <w:jc w:val="both"/>
        <w:rPr>
          <w:rFonts w:ascii="Times New Roman" w:hAnsi="Times New Roman" w:cs="Times New Roman"/>
          <w:sz w:val="24"/>
          <w:szCs w:val="24"/>
        </w:rPr>
      </w:pPr>
      <w:r w:rsidRPr="00095D50">
        <w:rPr>
          <w:rFonts w:ascii="Times New Roman" w:hAnsi="Times New Roman" w:cs="Times New Roman"/>
          <w:noProof/>
          <w:sz w:val="24"/>
          <w:szCs w:val="24"/>
        </w:rPr>
        <w:drawing>
          <wp:inline distT="0" distB="0" distL="0" distR="0" wp14:anchorId="66A4FE02" wp14:editId="62B17E5D">
            <wp:extent cx="5943600" cy="2905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p.jpg"/>
                    <pic:cNvPicPr/>
                  </pic:nvPicPr>
                  <pic:blipFill rotWithShape="1">
                    <a:blip r:embed="rId7">
                      <a:extLst>
                        <a:ext uri="{28A0092B-C50C-407E-A947-70E740481C1C}">
                          <a14:useLocalDpi xmlns:a14="http://schemas.microsoft.com/office/drawing/2010/main" val="0"/>
                        </a:ext>
                      </a:extLst>
                    </a:blip>
                    <a:srcRect t="7123" b="5983"/>
                    <a:stretch/>
                  </pic:blipFill>
                  <pic:spPr bwMode="auto">
                    <a:xfrm>
                      <a:off x="0" y="0"/>
                      <a:ext cx="5943600" cy="2905125"/>
                    </a:xfrm>
                    <a:prstGeom prst="rect">
                      <a:avLst/>
                    </a:prstGeom>
                    <a:ln>
                      <a:noFill/>
                    </a:ln>
                    <a:extLst>
                      <a:ext uri="{53640926-AAD7-44D8-BBD7-CCE9431645EC}">
                        <a14:shadowObscured xmlns:a14="http://schemas.microsoft.com/office/drawing/2010/main"/>
                      </a:ext>
                    </a:extLst>
                  </pic:spPr>
                </pic:pic>
              </a:graphicData>
            </a:graphic>
          </wp:inline>
        </w:drawing>
      </w:r>
    </w:p>
    <w:p w14:paraId="00880207" w14:textId="77777777" w:rsidR="00DD6E6A" w:rsidRPr="00095D50" w:rsidRDefault="0063768D" w:rsidP="0063768D">
      <w:pPr>
        <w:rPr>
          <w:rFonts w:ascii="Times New Roman" w:hAnsi="Times New Roman" w:cs="Times New Roman"/>
          <w:sz w:val="24"/>
          <w:szCs w:val="24"/>
        </w:rPr>
      </w:pPr>
      <w:r w:rsidRPr="00095D50">
        <w:rPr>
          <w:rFonts w:ascii="Times New Roman" w:hAnsi="Times New Roman" w:cs="Times New Roman"/>
          <w:b/>
          <w:sz w:val="24"/>
          <w:szCs w:val="24"/>
        </w:rPr>
        <w:t xml:space="preserve">Graph 1: </w:t>
      </w:r>
      <w:r w:rsidR="00BC25BF" w:rsidRPr="00095D50">
        <w:rPr>
          <w:rFonts w:ascii="Times New Roman" w:hAnsi="Times New Roman" w:cs="Times New Roman"/>
          <w:sz w:val="24"/>
          <w:szCs w:val="24"/>
        </w:rPr>
        <w:t>Simulation Output: Chyawanprash’s Epigenetic Network Rewiring</w:t>
      </w:r>
    </w:p>
    <w:p w14:paraId="7CC27A64" w14:textId="77777777" w:rsidR="008F3265" w:rsidRPr="00095D50" w:rsidRDefault="008F3265" w:rsidP="0063768D">
      <w:pPr>
        <w:rPr>
          <w:rFonts w:ascii="Times New Roman" w:hAnsi="Times New Roman" w:cs="Times New Roman"/>
          <w:sz w:val="24"/>
          <w:szCs w:val="24"/>
        </w:rPr>
      </w:pPr>
    </w:p>
    <w:p w14:paraId="4BDE42D8" w14:textId="77777777" w:rsidR="008F3265" w:rsidRPr="00095D50" w:rsidRDefault="008F3265" w:rsidP="0063768D">
      <w:pPr>
        <w:rPr>
          <w:rFonts w:ascii="Times New Roman" w:hAnsi="Times New Roman" w:cs="Times New Roman"/>
          <w:sz w:val="24"/>
          <w:szCs w:val="24"/>
        </w:rPr>
      </w:pPr>
    </w:p>
    <w:p w14:paraId="28B728DE" w14:textId="77777777" w:rsidR="008F3265" w:rsidRPr="00095D50" w:rsidRDefault="008F3265" w:rsidP="0063768D">
      <w:pPr>
        <w:rPr>
          <w:rFonts w:ascii="Times New Roman" w:hAnsi="Times New Roman" w:cs="Times New Roman"/>
          <w:sz w:val="24"/>
          <w:szCs w:val="24"/>
        </w:rPr>
      </w:pPr>
    </w:p>
    <w:p w14:paraId="15A7A2AB" w14:textId="77777777" w:rsidR="008F3265" w:rsidRPr="00095D50" w:rsidRDefault="008F3265" w:rsidP="0063768D">
      <w:pPr>
        <w:rPr>
          <w:rFonts w:ascii="Times New Roman" w:hAnsi="Times New Roman" w:cs="Times New Roman"/>
          <w:sz w:val="24"/>
          <w:szCs w:val="24"/>
        </w:rPr>
      </w:pPr>
    </w:p>
    <w:p w14:paraId="5B1841AD" w14:textId="77777777" w:rsidR="008F3265" w:rsidRPr="00095D50" w:rsidRDefault="008F3265" w:rsidP="0063768D">
      <w:pPr>
        <w:rPr>
          <w:rFonts w:ascii="Times New Roman" w:hAnsi="Times New Roman" w:cs="Times New Roman"/>
          <w:sz w:val="24"/>
          <w:szCs w:val="24"/>
        </w:rPr>
      </w:pPr>
    </w:p>
    <w:p w14:paraId="4C9C7598" w14:textId="77777777" w:rsidR="008F3265" w:rsidRPr="00095D50" w:rsidRDefault="008F3265" w:rsidP="0063768D">
      <w:pPr>
        <w:rPr>
          <w:rFonts w:ascii="Times New Roman" w:hAnsi="Times New Roman" w:cs="Times New Roman"/>
          <w:sz w:val="24"/>
          <w:szCs w:val="24"/>
        </w:rPr>
      </w:pPr>
    </w:p>
    <w:p w14:paraId="295829B4" w14:textId="77777777" w:rsidR="008F3265" w:rsidRPr="00095D50" w:rsidRDefault="008F3265" w:rsidP="0063768D">
      <w:pPr>
        <w:rPr>
          <w:rFonts w:ascii="Times New Roman" w:hAnsi="Times New Roman" w:cs="Times New Roman"/>
          <w:sz w:val="24"/>
          <w:szCs w:val="24"/>
        </w:rPr>
      </w:pPr>
      <w:r w:rsidRPr="00095D50">
        <w:rPr>
          <w:rFonts w:ascii="Times New Roman" w:hAnsi="Times New Roman" w:cs="Times New Roman"/>
          <w:noProof/>
          <w:sz w:val="24"/>
          <w:szCs w:val="24"/>
        </w:rPr>
        <w:lastRenderedPageBreak/>
        <w:drawing>
          <wp:inline distT="0" distB="0" distL="0" distR="0" wp14:anchorId="4E499099" wp14:editId="773D1D1D">
            <wp:extent cx="4876800" cy="7315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6800" cy="7315200"/>
                    </a:xfrm>
                    <a:prstGeom prst="rect">
                      <a:avLst/>
                    </a:prstGeom>
                    <a:noFill/>
                  </pic:spPr>
                </pic:pic>
              </a:graphicData>
            </a:graphic>
          </wp:inline>
        </w:drawing>
      </w:r>
    </w:p>
    <w:p w14:paraId="36449DEE" w14:textId="77777777" w:rsidR="008F3265" w:rsidRPr="00095D50" w:rsidRDefault="008F3265" w:rsidP="0063768D">
      <w:pPr>
        <w:rPr>
          <w:rFonts w:ascii="Times New Roman" w:hAnsi="Times New Roman" w:cs="Times New Roman"/>
          <w:sz w:val="24"/>
          <w:szCs w:val="24"/>
        </w:rPr>
      </w:pPr>
      <w:r w:rsidRPr="00095D50">
        <w:rPr>
          <w:rFonts w:ascii="Times New Roman" w:hAnsi="Times New Roman" w:cs="Times New Roman"/>
          <w:b/>
          <w:sz w:val="24"/>
          <w:szCs w:val="24"/>
        </w:rPr>
        <w:t>Image 1:</w:t>
      </w:r>
      <w:r w:rsidRPr="00095D50">
        <w:rPr>
          <w:rFonts w:ascii="Times New Roman" w:hAnsi="Times New Roman" w:cs="Times New Roman"/>
          <w:sz w:val="24"/>
          <w:szCs w:val="24"/>
        </w:rPr>
        <w:t xml:space="preserve"> Intrinsic Network Pharmacology 7 Layer protocol </w:t>
      </w:r>
    </w:p>
    <w:p w14:paraId="016B8E81" w14:textId="77777777" w:rsidR="004D0F15" w:rsidRPr="00095D50" w:rsidRDefault="004D0F15" w:rsidP="0063768D">
      <w:pPr>
        <w:rPr>
          <w:rFonts w:ascii="Times New Roman" w:hAnsi="Times New Roman" w:cs="Times New Roman"/>
          <w:sz w:val="24"/>
          <w:szCs w:val="24"/>
        </w:rPr>
      </w:pPr>
    </w:p>
    <w:p w14:paraId="16469294" w14:textId="77777777" w:rsidR="004D0F15" w:rsidRPr="00095D50" w:rsidRDefault="004D0F15" w:rsidP="0063768D">
      <w:pPr>
        <w:rPr>
          <w:rFonts w:ascii="Times New Roman" w:hAnsi="Times New Roman" w:cs="Times New Roman"/>
          <w:sz w:val="24"/>
          <w:szCs w:val="24"/>
        </w:rPr>
      </w:pPr>
    </w:p>
    <w:p w14:paraId="2C71F596" w14:textId="77777777" w:rsidR="004D0F15" w:rsidRPr="00095D50" w:rsidRDefault="00CE140B" w:rsidP="0063768D">
      <w:pPr>
        <w:rPr>
          <w:rFonts w:ascii="Times New Roman" w:hAnsi="Times New Roman" w:cs="Times New Roman"/>
          <w:sz w:val="24"/>
          <w:szCs w:val="24"/>
        </w:rPr>
      </w:pPr>
      <w:r w:rsidRPr="00095D50">
        <w:rPr>
          <w:rFonts w:ascii="Times New Roman" w:hAnsi="Times New Roman" w:cs="Times New Roman"/>
          <w:noProof/>
          <w:sz w:val="24"/>
          <w:szCs w:val="24"/>
        </w:rPr>
        <w:lastRenderedPageBreak/>
        <w:drawing>
          <wp:inline distT="0" distB="0" distL="0" distR="0" wp14:anchorId="7E92D213" wp14:editId="61921C82">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pflow.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AE734DA" w14:textId="77777777" w:rsidR="004D0F15" w:rsidRDefault="004D0F15" w:rsidP="0063768D">
      <w:pPr>
        <w:rPr>
          <w:rFonts w:ascii="Times New Roman" w:hAnsi="Times New Roman" w:cs="Times New Roman"/>
          <w:sz w:val="24"/>
          <w:szCs w:val="24"/>
        </w:rPr>
      </w:pPr>
      <w:r w:rsidRPr="00095D50">
        <w:rPr>
          <w:rFonts w:ascii="Times New Roman" w:hAnsi="Times New Roman" w:cs="Times New Roman"/>
          <w:b/>
          <w:sz w:val="24"/>
          <w:szCs w:val="24"/>
        </w:rPr>
        <w:t xml:space="preserve">Image 2:  </w:t>
      </w:r>
      <w:r w:rsidRPr="00095D50">
        <w:rPr>
          <w:rFonts w:ascii="Times New Roman" w:hAnsi="Times New Roman" w:cs="Times New Roman"/>
          <w:sz w:val="24"/>
          <w:szCs w:val="24"/>
        </w:rPr>
        <w:t xml:space="preserve">Intrinsic network for vitamins deficiency and Epigenetic restoration by Chyawanprash </w:t>
      </w:r>
      <w:r w:rsidR="00CE140B" w:rsidRPr="00095D50">
        <w:rPr>
          <w:rFonts w:ascii="Times New Roman" w:hAnsi="Times New Roman" w:cs="Times New Roman"/>
          <w:sz w:val="24"/>
          <w:szCs w:val="24"/>
        </w:rPr>
        <w:t>and other Natural compounds</w:t>
      </w:r>
      <w:r w:rsidR="00CE140B">
        <w:rPr>
          <w:rFonts w:ascii="Times New Roman" w:hAnsi="Times New Roman" w:cs="Times New Roman"/>
          <w:sz w:val="24"/>
          <w:szCs w:val="24"/>
        </w:rPr>
        <w:t xml:space="preserve"> </w:t>
      </w:r>
    </w:p>
    <w:p w14:paraId="02E3579E" w14:textId="77777777" w:rsidR="004D0F15" w:rsidRPr="004D0F15" w:rsidRDefault="004D0F15" w:rsidP="0063768D">
      <w:pPr>
        <w:rPr>
          <w:rFonts w:ascii="Times New Roman" w:hAnsi="Times New Roman" w:cs="Times New Roman"/>
          <w:sz w:val="24"/>
          <w:szCs w:val="24"/>
        </w:rPr>
      </w:pPr>
    </w:p>
    <w:sectPr w:rsidR="004D0F15" w:rsidRPr="004D0F15">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25F2AF" w14:textId="77777777" w:rsidR="00AE16EE" w:rsidRDefault="00AE16EE" w:rsidP="00A97B22">
      <w:pPr>
        <w:spacing w:after="0" w:line="240" w:lineRule="auto"/>
      </w:pPr>
      <w:r>
        <w:separator/>
      </w:r>
    </w:p>
  </w:endnote>
  <w:endnote w:type="continuationSeparator" w:id="0">
    <w:p w14:paraId="6DF2A99A" w14:textId="77777777" w:rsidR="00AE16EE" w:rsidRDefault="00AE16EE" w:rsidP="00A97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B2514" w14:textId="77777777" w:rsidR="00A97B22" w:rsidRDefault="00A97B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FEF5F" w14:textId="77777777" w:rsidR="00A97B22" w:rsidRDefault="00A97B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03026" w14:textId="77777777" w:rsidR="00A97B22" w:rsidRDefault="00A97B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F768A" w14:textId="77777777" w:rsidR="00AE16EE" w:rsidRDefault="00AE16EE" w:rsidP="00A97B22">
      <w:pPr>
        <w:spacing w:after="0" w:line="240" w:lineRule="auto"/>
      </w:pPr>
      <w:r>
        <w:separator/>
      </w:r>
    </w:p>
  </w:footnote>
  <w:footnote w:type="continuationSeparator" w:id="0">
    <w:p w14:paraId="0A693394" w14:textId="77777777" w:rsidR="00AE16EE" w:rsidRDefault="00AE16EE" w:rsidP="00A97B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E70B9" w14:textId="5F29C0B8" w:rsidR="00A97B22" w:rsidRDefault="00A97B22">
    <w:pPr>
      <w:pStyle w:val="Header"/>
    </w:pPr>
    <w:r>
      <w:rPr>
        <w:noProof/>
      </w:rPr>
      <w:pict w14:anchorId="3C63E3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21209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72185" w14:textId="07B848F9" w:rsidR="00A97B22" w:rsidRDefault="00A97B22">
    <w:pPr>
      <w:pStyle w:val="Header"/>
    </w:pPr>
    <w:r>
      <w:rPr>
        <w:noProof/>
      </w:rPr>
      <w:pict w14:anchorId="622A31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21209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F6DE3" w14:textId="58268804" w:rsidR="00A97B22" w:rsidRDefault="00A97B22">
    <w:pPr>
      <w:pStyle w:val="Header"/>
    </w:pPr>
    <w:r>
      <w:rPr>
        <w:noProof/>
      </w:rPr>
      <w:pict w14:anchorId="18E65A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21209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57AD0"/>
    <w:multiLevelType w:val="multilevel"/>
    <w:tmpl w:val="BBD44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B53D70"/>
    <w:multiLevelType w:val="multilevel"/>
    <w:tmpl w:val="87543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465AAA"/>
    <w:multiLevelType w:val="multilevel"/>
    <w:tmpl w:val="D5C0D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895C21"/>
    <w:multiLevelType w:val="multilevel"/>
    <w:tmpl w:val="522E1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99184C"/>
    <w:multiLevelType w:val="hybridMultilevel"/>
    <w:tmpl w:val="C7A0D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690592"/>
    <w:multiLevelType w:val="multilevel"/>
    <w:tmpl w:val="CB9A6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18301A"/>
    <w:multiLevelType w:val="multilevel"/>
    <w:tmpl w:val="35520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866199"/>
    <w:multiLevelType w:val="multilevel"/>
    <w:tmpl w:val="CC7C3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24233A"/>
    <w:multiLevelType w:val="hybridMultilevel"/>
    <w:tmpl w:val="63DC7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A47871"/>
    <w:multiLevelType w:val="multilevel"/>
    <w:tmpl w:val="9E5C9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9D0892"/>
    <w:multiLevelType w:val="hybridMultilevel"/>
    <w:tmpl w:val="FF286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EC0366"/>
    <w:multiLevelType w:val="multilevel"/>
    <w:tmpl w:val="0678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CB3D9A"/>
    <w:multiLevelType w:val="multilevel"/>
    <w:tmpl w:val="FB1E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C21485"/>
    <w:multiLevelType w:val="hybridMultilevel"/>
    <w:tmpl w:val="B240F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143E89"/>
    <w:multiLevelType w:val="hybridMultilevel"/>
    <w:tmpl w:val="8B70B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C25145"/>
    <w:multiLevelType w:val="hybridMultilevel"/>
    <w:tmpl w:val="3870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613119">
    <w:abstractNumId w:val="6"/>
  </w:num>
  <w:num w:numId="2" w16cid:durableId="454640197">
    <w:abstractNumId w:val="5"/>
  </w:num>
  <w:num w:numId="3" w16cid:durableId="1743870421">
    <w:abstractNumId w:val="2"/>
  </w:num>
  <w:num w:numId="4" w16cid:durableId="964769671">
    <w:abstractNumId w:val="1"/>
  </w:num>
  <w:num w:numId="5" w16cid:durableId="420300762">
    <w:abstractNumId w:val="7"/>
  </w:num>
  <w:num w:numId="6" w16cid:durableId="1349255216">
    <w:abstractNumId w:val="3"/>
  </w:num>
  <w:num w:numId="7" w16cid:durableId="1692993071">
    <w:abstractNumId w:val="12"/>
  </w:num>
  <w:num w:numId="8" w16cid:durableId="1803452055">
    <w:abstractNumId w:val="9"/>
  </w:num>
  <w:num w:numId="9" w16cid:durableId="1518890928">
    <w:abstractNumId w:val="0"/>
  </w:num>
  <w:num w:numId="10" w16cid:durableId="1423137175">
    <w:abstractNumId w:val="11"/>
  </w:num>
  <w:num w:numId="11" w16cid:durableId="1320428494">
    <w:abstractNumId w:val="8"/>
  </w:num>
  <w:num w:numId="12" w16cid:durableId="2026863136">
    <w:abstractNumId w:val="13"/>
  </w:num>
  <w:num w:numId="13" w16cid:durableId="1013456299">
    <w:abstractNumId w:val="14"/>
  </w:num>
  <w:num w:numId="14" w16cid:durableId="1783839852">
    <w:abstractNumId w:val="15"/>
  </w:num>
  <w:num w:numId="15" w16cid:durableId="58750162">
    <w:abstractNumId w:val="10"/>
  </w:num>
  <w:num w:numId="16" w16cid:durableId="19278847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4BD"/>
    <w:rsid w:val="00011F85"/>
    <w:rsid w:val="00095D50"/>
    <w:rsid w:val="00191829"/>
    <w:rsid w:val="00353F37"/>
    <w:rsid w:val="004D0F15"/>
    <w:rsid w:val="00560C2E"/>
    <w:rsid w:val="0056756A"/>
    <w:rsid w:val="005833E6"/>
    <w:rsid w:val="00597871"/>
    <w:rsid w:val="005A7C3A"/>
    <w:rsid w:val="005F1BEF"/>
    <w:rsid w:val="00633C11"/>
    <w:rsid w:val="0063768D"/>
    <w:rsid w:val="006969AA"/>
    <w:rsid w:val="007020EE"/>
    <w:rsid w:val="00710950"/>
    <w:rsid w:val="008F3265"/>
    <w:rsid w:val="0090366A"/>
    <w:rsid w:val="00A61DAC"/>
    <w:rsid w:val="00A97B22"/>
    <w:rsid w:val="00A97E5C"/>
    <w:rsid w:val="00AE16EE"/>
    <w:rsid w:val="00BA361A"/>
    <w:rsid w:val="00BC08E3"/>
    <w:rsid w:val="00BC25BF"/>
    <w:rsid w:val="00C45D71"/>
    <w:rsid w:val="00CC33C7"/>
    <w:rsid w:val="00CE140B"/>
    <w:rsid w:val="00DD6E6A"/>
    <w:rsid w:val="00EC04BD"/>
    <w:rsid w:val="00F10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C0DB2C"/>
  <w15:chartTrackingRefBased/>
  <w15:docId w15:val="{E3DE4C05-E277-4724-9E61-EDA138E72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9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969AA"/>
    <w:pPr>
      <w:spacing w:after="0" w:line="240" w:lineRule="auto"/>
    </w:pPr>
  </w:style>
  <w:style w:type="table" w:styleId="TableGrid">
    <w:name w:val="Table Grid"/>
    <w:basedOn w:val="TableNormal"/>
    <w:uiPriority w:val="39"/>
    <w:rsid w:val="00EC0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33E6"/>
    <w:pPr>
      <w:ind w:left="720"/>
      <w:contextualSpacing/>
    </w:pPr>
  </w:style>
  <w:style w:type="character" w:styleId="Hyperlink">
    <w:name w:val="Hyperlink"/>
    <w:basedOn w:val="DefaultParagraphFont"/>
    <w:uiPriority w:val="99"/>
    <w:unhideWhenUsed/>
    <w:rsid w:val="00597871"/>
    <w:rPr>
      <w:color w:val="0563C1" w:themeColor="hyperlink"/>
      <w:u w:val="single"/>
    </w:rPr>
  </w:style>
  <w:style w:type="character" w:styleId="UnresolvedMention">
    <w:name w:val="Unresolved Mention"/>
    <w:basedOn w:val="DefaultParagraphFont"/>
    <w:uiPriority w:val="99"/>
    <w:semiHidden/>
    <w:unhideWhenUsed/>
    <w:rsid w:val="00597871"/>
    <w:rPr>
      <w:color w:val="605E5C"/>
      <w:shd w:val="clear" w:color="auto" w:fill="E1DFDD"/>
    </w:rPr>
  </w:style>
  <w:style w:type="paragraph" w:styleId="Header">
    <w:name w:val="header"/>
    <w:basedOn w:val="Normal"/>
    <w:link w:val="HeaderChar"/>
    <w:uiPriority w:val="99"/>
    <w:unhideWhenUsed/>
    <w:rsid w:val="00A97B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7B22"/>
  </w:style>
  <w:style w:type="paragraph" w:styleId="Footer">
    <w:name w:val="footer"/>
    <w:basedOn w:val="Normal"/>
    <w:link w:val="FooterChar"/>
    <w:uiPriority w:val="99"/>
    <w:unhideWhenUsed/>
    <w:rsid w:val="00A97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7B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2979741">
      <w:bodyDiv w:val="1"/>
      <w:marLeft w:val="0"/>
      <w:marRight w:val="0"/>
      <w:marTop w:val="0"/>
      <w:marBottom w:val="0"/>
      <w:divBdr>
        <w:top w:val="none" w:sz="0" w:space="0" w:color="auto"/>
        <w:left w:val="none" w:sz="0" w:space="0" w:color="auto"/>
        <w:bottom w:val="none" w:sz="0" w:space="0" w:color="auto"/>
        <w:right w:val="none" w:sz="0" w:space="0" w:color="auto"/>
      </w:divBdr>
      <w:divsChild>
        <w:div w:id="862010143">
          <w:marLeft w:val="0"/>
          <w:marRight w:val="0"/>
          <w:marTop w:val="0"/>
          <w:marBottom w:val="0"/>
          <w:divBdr>
            <w:top w:val="none" w:sz="0" w:space="0" w:color="auto"/>
            <w:left w:val="none" w:sz="0" w:space="0" w:color="auto"/>
            <w:bottom w:val="none" w:sz="0" w:space="0" w:color="auto"/>
            <w:right w:val="none" w:sz="0" w:space="0" w:color="auto"/>
          </w:divBdr>
          <w:divsChild>
            <w:div w:id="18259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31557">
      <w:bodyDiv w:val="1"/>
      <w:marLeft w:val="0"/>
      <w:marRight w:val="0"/>
      <w:marTop w:val="0"/>
      <w:marBottom w:val="0"/>
      <w:divBdr>
        <w:top w:val="none" w:sz="0" w:space="0" w:color="auto"/>
        <w:left w:val="none" w:sz="0" w:space="0" w:color="auto"/>
        <w:bottom w:val="none" w:sz="0" w:space="0" w:color="auto"/>
        <w:right w:val="none" w:sz="0" w:space="0" w:color="auto"/>
      </w:divBdr>
    </w:div>
    <w:div w:id="825173666">
      <w:bodyDiv w:val="1"/>
      <w:marLeft w:val="0"/>
      <w:marRight w:val="0"/>
      <w:marTop w:val="0"/>
      <w:marBottom w:val="0"/>
      <w:divBdr>
        <w:top w:val="none" w:sz="0" w:space="0" w:color="auto"/>
        <w:left w:val="none" w:sz="0" w:space="0" w:color="auto"/>
        <w:bottom w:val="none" w:sz="0" w:space="0" w:color="auto"/>
        <w:right w:val="none" w:sz="0" w:space="0" w:color="auto"/>
      </w:divBdr>
    </w:div>
    <w:div w:id="836337419">
      <w:bodyDiv w:val="1"/>
      <w:marLeft w:val="0"/>
      <w:marRight w:val="0"/>
      <w:marTop w:val="0"/>
      <w:marBottom w:val="0"/>
      <w:divBdr>
        <w:top w:val="none" w:sz="0" w:space="0" w:color="auto"/>
        <w:left w:val="none" w:sz="0" w:space="0" w:color="auto"/>
        <w:bottom w:val="none" w:sz="0" w:space="0" w:color="auto"/>
        <w:right w:val="none" w:sz="0" w:space="0" w:color="auto"/>
      </w:divBdr>
    </w:div>
    <w:div w:id="995261781">
      <w:bodyDiv w:val="1"/>
      <w:marLeft w:val="0"/>
      <w:marRight w:val="0"/>
      <w:marTop w:val="0"/>
      <w:marBottom w:val="0"/>
      <w:divBdr>
        <w:top w:val="none" w:sz="0" w:space="0" w:color="auto"/>
        <w:left w:val="none" w:sz="0" w:space="0" w:color="auto"/>
        <w:bottom w:val="none" w:sz="0" w:space="0" w:color="auto"/>
        <w:right w:val="none" w:sz="0" w:space="0" w:color="auto"/>
      </w:divBdr>
      <w:divsChild>
        <w:div w:id="1864779946">
          <w:marLeft w:val="0"/>
          <w:marRight w:val="0"/>
          <w:marTop w:val="0"/>
          <w:marBottom w:val="0"/>
          <w:divBdr>
            <w:top w:val="none" w:sz="0" w:space="0" w:color="auto"/>
            <w:left w:val="none" w:sz="0" w:space="0" w:color="auto"/>
            <w:bottom w:val="none" w:sz="0" w:space="0" w:color="auto"/>
            <w:right w:val="none" w:sz="0" w:space="0" w:color="auto"/>
          </w:divBdr>
          <w:divsChild>
            <w:div w:id="17760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4672">
      <w:bodyDiv w:val="1"/>
      <w:marLeft w:val="0"/>
      <w:marRight w:val="0"/>
      <w:marTop w:val="0"/>
      <w:marBottom w:val="0"/>
      <w:divBdr>
        <w:top w:val="none" w:sz="0" w:space="0" w:color="auto"/>
        <w:left w:val="none" w:sz="0" w:space="0" w:color="auto"/>
        <w:bottom w:val="none" w:sz="0" w:space="0" w:color="auto"/>
        <w:right w:val="none" w:sz="0" w:space="0" w:color="auto"/>
      </w:divBdr>
    </w:div>
    <w:div w:id="1790777001">
      <w:bodyDiv w:val="1"/>
      <w:marLeft w:val="0"/>
      <w:marRight w:val="0"/>
      <w:marTop w:val="0"/>
      <w:marBottom w:val="0"/>
      <w:divBdr>
        <w:top w:val="none" w:sz="0" w:space="0" w:color="auto"/>
        <w:left w:val="none" w:sz="0" w:space="0" w:color="auto"/>
        <w:bottom w:val="none" w:sz="0" w:space="0" w:color="auto"/>
        <w:right w:val="none" w:sz="0" w:space="0" w:color="auto"/>
      </w:divBdr>
      <w:divsChild>
        <w:div w:id="448008737">
          <w:marLeft w:val="0"/>
          <w:marRight w:val="0"/>
          <w:marTop w:val="0"/>
          <w:marBottom w:val="0"/>
          <w:divBdr>
            <w:top w:val="none" w:sz="0" w:space="0" w:color="auto"/>
            <w:left w:val="none" w:sz="0" w:space="0" w:color="auto"/>
            <w:bottom w:val="none" w:sz="0" w:space="0" w:color="auto"/>
            <w:right w:val="none" w:sz="0" w:space="0" w:color="auto"/>
          </w:divBdr>
        </w:div>
        <w:div w:id="2056272281">
          <w:marLeft w:val="0"/>
          <w:marRight w:val="0"/>
          <w:marTop w:val="0"/>
          <w:marBottom w:val="0"/>
          <w:divBdr>
            <w:top w:val="none" w:sz="0" w:space="0" w:color="auto"/>
            <w:left w:val="none" w:sz="0" w:space="0" w:color="auto"/>
            <w:bottom w:val="none" w:sz="0" w:space="0" w:color="auto"/>
            <w:right w:val="none" w:sz="0" w:space="0" w:color="auto"/>
          </w:divBdr>
        </w:div>
        <w:div w:id="1010640865">
          <w:marLeft w:val="0"/>
          <w:marRight w:val="0"/>
          <w:marTop w:val="0"/>
          <w:marBottom w:val="0"/>
          <w:divBdr>
            <w:top w:val="none" w:sz="0" w:space="0" w:color="auto"/>
            <w:left w:val="none" w:sz="0" w:space="0" w:color="auto"/>
            <w:bottom w:val="none" w:sz="0" w:space="0" w:color="auto"/>
            <w:right w:val="none" w:sz="0" w:space="0" w:color="auto"/>
          </w:divBdr>
        </w:div>
      </w:divsChild>
    </w:div>
    <w:div w:id="2035841753">
      <w:bodyDiv w:val="1"/>
      <w:marLeft w:val="0"/>
      <w:marRight w:val="0"/>
      <w:marTop w:val="0"/>
      <w:marBottom w:val="0"/>
      <w:divBdr>
        <w:top w:val="none" w:sz="0" w:space="0" w:color="auto"/>
        <w:left w:val="none" w:sz="0" w:space="0" w:color="auto"/>
        <w:bottom w:val="none" w:sz="0" w:space="0" w:color="auto"/>
        <w:right w:val="none" w:sz="0" w:space="0" w:color="auto"/>
      </w:divBdr>
      <w:divsChild>
        <w:div w:id="588537389">
          <w:marLeft w:val="0"/>
          <w:marRight w:val="0"/>
          <w:marTop w:val="0"/>
          <w:marBottom w:val="0"/>
          <w:divBdr>
            <w:top w:val="none" w:sz="0" w:space="0" w:color="auto"/>
            <w:left w:val="none" w:sz="0" w:space="0" w:color="auto"/>
            <w:bottom w:val="none" w:sz="0" w:space="0" w:color="auto"/>
            <w:right w:val="none" w:sz="0" w:space="0" w:color="auto"/>
          </w:divBdr>
          <w:divsChild>
            <w:div w:id="12151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17</Pages>
  <Words>5208</Words>
  <Characters>29691</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Hemanth</dc:creator>
  <cp:keywords/>
  <dc:description/>
  <cp:lastModifiedBy>Editor-22</cp:lastModifiedBy>
  <cp:revision>16</cp:revision>
  <dcterms:created xsi:type="dcterms:W3CDTF">2025-06-03T05:30:00Z</dcterms:created>
  <dcterms:modified xsi:type="dcterms:W3CDTF">2025-06-04T11:24:00Z</dcterms:modified>
</cp:coreProperties>
</file>