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66C5D" w14:textId="6A83E68D" w:rsidR="005001D3" w:rsidRPr="005001D3" w:rsidRDefault="005001D3" w:rsidP="005001D3">
      <w:pPr>
        <w:widowControl w:val="0"/>
        <w:autoSpaceDE w:val="0"/>
        <w:autoSpaceDN w:val="0"/>
        <w:spacing w:before="120" w:after="120" w:line="360" w:lineRule="auto"/>
        <w:rPr>
          <w:rFonts w:ascii="Times New Roman" w:eastAsia="Calibri" w:hAnsi="Times New Roman" w:cs="Times New Roman"/>
          <w:b/>
          <w:bCs/>
          <w:sz w:val="24"/>
          <w:szCs w:val="24"/>
          <w:u w:val="single"/>
        </w:rPr>
      </w:pPr>
      <w:r w:rsidRPr="005001D3">
        <w:rPr>
          <w:rFonts w:ascii="Times New Roman" w:eastAsia="Calibri" w:hAnsi="Times New Roman" w:cs="Times New Roman"/>
          <w:b/>
          <w:bCs/>
          <w:sz w:val="24"/>
          <w:szCs w:val="24"/>
          <w:u w:val="single"/>
        </w:rPr>
        <w:t>Original Research Article</w:t>
      </w:r>
    </w:p>
    <w:p w14:paraId="65BEA492" w14:textId="3B8BD77B" w:rsidR="0045653A" w:rsidRDefault="0045653A" w:rsidP="0045653A">
      <w:pPr>
        <w:widowControl w:val="0"/>
        <w:autoSpaceDE w:val="0"/>
        <w:autoSpaceDN w:val="0"/>
        <w:spacing w:before="120" w:after="120" w:line="360" w:lineRule="auto"/>
        <w:jc w:val="center"/>
        <w:rPr>
          <w:rFonts w:ascii="Times New Roman" w:eastAsia="Calibri" w:hAnsi="Times New Roman" w:cs="Times New Roman"/>
          <w:b/>
          <w:bCs/>
          <w:sz w:val="24"/>
          <w:szCs w:val="24"/>
        </w:rPr>
      </w:pPr>
      <w:r w:rsidRPr="004C26E8">
        <w:rPr>
          <w:rFonts w:ascii="Times New Roman" w:eastAsia="Calibri" w:hAnsi="Times New Roman" w:cs="Times New Roman"/>
          <w:b/>
          <w:bCs/>
          <w:sz w:val="24"/>
          <w:szCs w:val="24"/>
        </w:rPr>
        <w:t xml:space="preserve">Income and Employment patterns in the Production and Marketing of </w:t>
      </w:r>
      <w:r>
        <w:rPr>
          <w:rFonts w:ascii="Times New Roman" w:eastAsia="Calibri" w:hAnsi="Times New Roman" w:cs="Times New Roman"/>
          <w:b/>
          <w:bCs/>
          <w:sz w:val="24"/>
          <w:szCs w:val="24"/>
        </w:rPr>
        <w:t>Azalea (</w:t>
      </w:r>
      <w:r>
        <w:rPr>
          <w:rFonts w:ascii="Times New Roman" w:eastAsia="Calibri" w:hAnsi="Times New Roman" w:cs="Times New Roman"/>
          <w:b/>
          <w:bCs/>
          <w:i/>
          <w:iCs/>
          <w:sz w:val="24"/>
          <w:szCs w:val="24"/>
        </w:rPr>
        <w:t xml:space="preserve">Rhododendron </w:t>
      </w:r>
      <w:proofErr w:type="spellStart"/>
      <w:r>
        <w:rPr>
          <w:rFonts w:ascii="Times New Roman" w:eastAsia="Calibri" w:hAnsi="Times New Roman" w:cs="Times New Roman"/>
          <w:b/>
          <w:bCs/>
          <w:i/>
          <w:iCs/>
          <w:sz w:val="24"/>
          <w:szCs w:val="24"/>
        </w:rPr>
        <w:t>indica</w:t>
      </w:r>
      <w:proofErr w:type="spellEnd"/>
      <w:r>
        <w:rPr>
          <w:rFonts w:ascii="Times New Roman" w:eastAsia="Calibri" w:hAnsi="Times New Roman" w:cs="Times New Roman"/>
          <w:b/>
          <w:bCs/>
          <w:i/>
          <w:iCs/>
          <w:sz w:val="24"/>
          <w:szCs w:val="24"/>
        </w:rPr>
        <w:t>)</w:t>
      </w:r>
      <w:r w:rsidRPr="004C26E8">
        <w:rPr>
          <w:rFonts w:ascii="Times New Roman" w:eastAsia="Calibri" w:hAnsi="Times New Roman" w:cs="Times New Roman"/>
          <w:b/>
          <w:bCs/>
          <w:sz w:val="24"/>
          <w:szCs w:val="24"/>
        </w:rPr>
        <w:t xml:space="preserve"> in</w:t>
      </w:r>
      <w:r w:rsidR="00F07BB3">
        <w:rPr>
          <w:rFonts w:ascii="Times New Roman" w:eastAsia="Calibri" w:hAnsi="Times New Roman" w:cs="Times New Roman"/>
          <w:b/>
          <w:bCs/>
          <w:sz w:val="24"/>
          <w:szCs w:val="24"/>
        </w:rPr>
        <w:t xml:space="preserve"> </w:t>
      </w:r>
      <w:proofErr w:type="spellStart"/>
      <w:r w:rsidR="00F07BB3">
        <w:rPr>
          <w:rFonts w:ascii="Times New Roman" w:eastAsia="Calibri" w:hAnsi="Times New Roman" w:cs="Times New Roman"/>
          <w:b/>
          <w:bCs/>
          <w:sz w:val="24"/>
          <w:szCs w:val="24"/>
        </w:rPr>
        <w:t>Kalimpong</w:t>
      </w:r>
      <w:proofErr w:type="spellEnd"/>
      <w:r w:rsidR="00F07BB3">
        <w:rPr>
          <w:rFonts w:ascii="Times New Roman" w:eastAsia="Calibri" w:hAnsi="Times New Roman" w:cs="Times New Roman"/>
          <w:b/>
          <w:bCs/>
          <w:sz w:val="24"/>
          <w:szCs w:val="24"/>
        </w:rPr>
        <w:t xml:space="preserve"> district</w:t>
      </w:r>
      <w:r w:rsidRPr="004C26E8">
        <w:rPr>
          <w:rFonts w:ascii="Times New Roman" w:eastAsia="Calibri" w:hAnsi="Times New Roman" w:cs="Times New Roman"/>
          <w:b/>
          <w:bCs/>
          <w:sz w:val="24"/>
          <w:szCs w:val="24"/>
        </w:rPr>
        <w:t xml:space="preserve"> of West Bengal</w:t>
      </w:r>
    </w:p>
    <w:p w14:paraId="30E32BE1" w14:textId="71C09F4B" w:rsidR="00C60F0B" w:rsidRDefault="00C60F0B"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Abstract</w:t>
      </w:r>
    </w:p>
    <w:p w14:paraId="05ABEB53" w14:textId="1B5CCCC6" w:rsidR="00C60F0B" w:rsidRDefault="00C60F0B" w:rsidP="00CF527A">
      <w:pPr>
        <w:widowControl w:val="0"/>
        <w:autoSpaceDE w:val="0"/>
        <w:autoSpaceDN w:val="0"/>
        <w:spacing w:before="120" w:after="120" w:line="360" w:lineRule="auto"/>
        <w:jc w:val="both"/>
        <w:rPr>
          <w:rFonts w:ascii="Times New Roman" w:eastAsia="Times New Roman" w:hAnsi="Times New Roman" w:cs="Times New Roman"/>
          <w:sz w:val="24"/>
          <w:szCs w:val="24"/>
          <w:lang w:val="en-US"/>
        </w:rPr>
      </w:pPr>
      <w:r w:rsidRPr="00C60F0B">
        <w:rPr>
          <w:rFonts w:ascii="Times New Roman" w:eastAsia="Times New Roman" w:hAnsi="Times New Roman" w:cs="Times New Roman"/>
          <w:sz w:val="24"/>
          <w:szCs w:val="24"/>
          <w:lang w:val="en-US"/>
        </w:rPr>
        <w:t>The study aims to highlight the role of Azalea farming in improving the socio-economic conditions of hill farmers and its potential as a sustainable floricultural enterprise.</w:t>
      </w:r>
      <w:r w:rsidRPr="00C60F0B">
        <w:t xml:space="preserve"> </w:t>
      </w:r>
      <w:r w:rsidRPr="00C60F0B">
        <w:rPr>
          <w:rFonts w:ascii="Times New Roman" w:eastAsia="Times New Roman" w:hAnsi="Times New Roman" w:cs="Times New Roman"/>
          <w:sz w:val="24"/>
          <w:szCs w:val="24"/>
          <w:lang w:val="en-US"/>
        </w:rPr>
        <w:t>Azalea cultivation not only generates significant income but also provides substantial employment opportunities, particularly in labor-intensive activities such as pot preparation, sowing, intercultural operations, and marketing.</w:t>
      </w:r>
      <w:r>
        <w:rPr>
          <w:rFonts w:ascii="Times New Roman" w:eastAsia="Times New Roman" w:hAnsi="Times New Roman" w:cs="Times New Roman"/>
          <w:sz w:val="24"/>
          <w:szCs w:val="24"/>
          <w:lang w:val="en-US"/>
        </w:rPr>
        <w:t xml:space="preserve"> </w:t>
      </w:r>
      <w:r w:rsidRPr="00C60F0B">
        <w:rPr>
          <w:rFonts w:ascii="Times New Roman" w:eastAsia="Times New Roman" w:hAnsi="Times New Roman" w:cs="Times New Roman"/>
          <w:sz w:val="24"/>
          <w:szCs w:val="24"/>
          <w:lang w:val="en-US"/>
        </w:rPr>
        <w:t xml:space="preserve">The present study </w:t>
      </w:r>
      <w:r>
        <w:rPr>
          <w:rFonts w:ascii="Times New Roman" w:eastAsia="Times New Roman" w:hAnsi="Times New Roman" w:cs="Times New Roman"/>
          <w:sz w:val="24"/>
          <w:szCs w:val="24"/>
          <w:lang w:val="en-US"/>
        </w:rPr>
        <w:t>was</w:t>
      </w:r>
      <w:r w:rsidRPr="00C60F0B">
        <w:rPr>
          <w:rFonts w:ascii="Times New Roman" w:eastAsia="Times New Roman" w:hAnsi="Times New Roman" w:cs="Times New Roman"/>
          <w:sz w:val="24"/>
          <w:szCs w:val="24"/>
          <w:lang w:val="en-US"/>
        </w:rPr>
        <w:t xml:space="preserve"> carried out in </w:t>
      </w:r>
      <w:proofErr w:type="spellStart"/>
      <w:r w:rsidRPr="00C60F0B">
        <w:rPr>
          <w:rFonts w:ascii="Times New Roman" w:eastAsia="Times New Roman" w:hAnsi="Times New Roman" w:cs="Times New Roman"/>
          <w:sz w:val="24"/>
          <w:szCs w:val="24"/>
          <w:lang w:val="en-US"/>
        </w:rPr>
        <w:t>Kalimpong</w:t>
      </w:r>
      <w:proofErr w:type="spellEnd"/>
      <w:r w:rsidRPr="00C60F0B">
        <w:rPr>
          <w:rFonts w:ascii="Times New Roman" w:eastAsia="Times New Roman" w:hAnsi="Times New Roman" w:cs="Times New Roman"/>
          <w:sz w:val="24"/>
          <w:szCs w:val="24"/>
          <w:lang w:val="en-US"/>
        </w:rPr>
        <w:t xml:space="preserve"> district of West Bengal</w:t>
      </w:r>
      <w:r w:rsidR="00CF527A">
        <w:rPr>
          <w:rFonts w:ascii="Times New Roman" w:eastAsia="Times New Roman" w:hAnsi="Times New Roman" w:cs="Times New Roman"/>
          <w:sz w:val="24"/>
          <w:szCs w:val="24"/>
          <w:lang w:val="en-US"/>
        </w:rPr>
        <w:t xml:space="preserve"> during 2023-2024</w:t>
      </w:r>
      <w:r w:rsidRPr="00C60F0B">
        <w:rPr>
          <w:rFonts w:ascii="Times New Roman" w:eastAsia="Times New Roman" w:hAnsi="Times New Roman" w:cs="Times New Roman"/>
          <w:sz w:val="24"/>
          <w:szCs w:val="24"/>
          <w:lang w:val="en-US"/>
        </w:rPr>
        <w:t>. Systematic and scientific approach are followed to outline the results of the study conducted.</w:t>
      </w:r>
      <w:r w:rsidR="00CF527A" w:rsidRPr="00CF527A">
        <w:t xml:space="preserve"> </w:t>
      </w:r>
      <w:r w:rsidR="00CF527A" w:rsidRPr="00CF527A">
        <w:rPr>
          <w:rFonts w:ascii="Times New Roman" w:eastAsia="Times New Roman" w:hAnsi="Times New Roman" w:cs="Times New Roman"/>
          <w:sz w:val="24"/>
          <w:szCs w:val="24"/>
          <w:lang w:val="en-US"/>
        </w:rPr>
        <w:t xml:space="preserve">In each of the </w:t>
      </w:r>
      <w:proofErr w:type="spellStart"/>
      <w:r w:rsidR="00CF527A" w:rsidRPr="00CF527A">
        <w:rPr>
          <w:rFonts w:ascii="Times New Roman" w:eastAsia="Times New Roman" w:hAnsi="Times New Roman" w:cs="Times New Roman"/>
          <w:sz w:val="24"/>
          <w:szCs w:val="24"/>
          <w:lang w:val="en-US"/>
        </w:rPr>
        <w:t>Kalimpong</w:t>
      </w:r>
      <w:proofErr w:type="spellEnd"/>
      <w:r w:rsidR="00CF527A" w:rsidRPr="00CF527A">
        <w:rPr>
          <w:rFonts w:ascii="Times New Roman" w:eastAsia="Times New Roman" w:hAnsi="Times New Roman" w:cs="Times New Roman"/>
          <w:sz w:val="24"/>
          <w:szCs w:val="24"/>
          <w:lang w:val="en-US"/>
        </w:rPr>
        <w:t xml:space="preserve">-I and </w:t>
      </w:r>
      <w:proofErr w:type="spellStart"/>
      <w:r w:rsidR="00CF527A" w:rsidRPr="00CF527A">
        <w:rPr>
          <w:rFonts w:ascii="Times New Roman" w:eastAsia="Times New Roman" w:hAnsi="Times New Roman" w:cs="Times New Roman"/>
          <w:sz w:val="24"/>
          <w:szCs w:val="24"/>
          <w:lang w:val="en-US"/>
        </w:rPr>
        <w:t>Kalimpong</w:t>
      </w:r>
      <w:proofErr w:type="spellEnd"/>
      <w:r w:rsidR="00CF527A" w:rsidRPr="00CF527A">
        <w:rPr>
          <w:rFonts w:ascii="Times New Roman" w:eastAsia="Times New Roman" w:hAnsi="Times New Roman" w:cs="Times New Roman"/>
          <w:sz w:val="24"/>
          <w:szCs w:val="24"/>
          <w:lang w:val="en-US"/>
        </w:rPr>
        <w:t xml:space="preserve">-II Blocks, a nuclear village along with two adjacent villages are purposively selected to form a cluster of three villages. In each cluster of </w:t>
      </w:r>
      <w:proofErr w:type="spellStart"/>
      <w:r w:rsidR="00CF527A" w:rsidRPr="00CF527A">
        <w:rPr>
          <w:rFonts w:ascii="Times New Roman" w:eastAsia="Times New Roman" w:hAnsi="Times New Roman" w:cs="Times New Roman"/>
          <w:sz w:val="24"/>
          <w:szCs w:val="24"/>
          <w:lang w:val="en-US"/>
        </w:rPr>
        <w:t>Kalimpong</w:t>
      </w:r>
      <w:proofErr w:type="spellEnd"/>
      <w:r w:rsidR="00CF527A" w:rsidRPr="00CF527A">
        <w:rPr>
          <w:rFonts w:ascii="Times New Roman" w:eastAsia="Times New Roman" w:hAnsi="Times New Roman" w:cs="Times New Roman"/>
          <w:sz w:val="24"/>
          <w:szCs w:val="24"/>
          <w:lang w:val="en-US"/>
        </w:rPr>
        <w:t xml:space="preserve">-I and </w:t>
      </w:r>
      <w:proofErr w:type="spellStart"/>
      <w:r w:rsidR="00CF527A" w:rsidRPr="00CF527A">
        <w:rPr>
          <w:rFonts w:ascii="Times New Roman" w:eastAsia="Times New Roman" w:hAnsi="Times New Roman" w:cs="Times New Roman"/>
          <w:sz w:val="24"/>
          <w:szCs w:val="24"/>
          <w:lang w:val="en-US"/>
        </w:rPr>
        <w:t>Kalimpong</w:t>
      </w:r>
      <w:proofErr w:type="spellEnd"/>
      <w:r w:rsidR="00CF527A" w:rsidRPr="00CF527A">
        <w:rPr>
          <w:rFonts w:ascii="Times New Roman" w:eastAsia="Times New Roman" w:hAnsi="Times New Roman" w:cs="Times New Roman"/>
          <w:sz w:val="24"/>
          <w:szCs w:val="24"/>
          <w:lang w:val="en-US"/>
        </w:rPr>
        <w:t>-II Block, complete list of Azalea producers is prepared separately. From each cluster, 25 sample producers are finally selected with the help of Simple Random Sampling without Replacement Method (SRSWOR) for the flower growers.</w:t>
      </w:r>
      <w:r w:rsidR="00CF527A">
        <w:rPr>
          <w:rFonts w:ascii="Times New Roman" w:eastAsia="Times New Roman" w:hAnsi="Times New Roman" w:cs="Times New Roman"/>
          <w:sz w:val="24"/>
          <w:szCs w:val="24"/>
          <w:lang w:val="en-US"/>
        </w:rPr>
        <w:t xml:space="preserve"> </w:t>
      </w:r>
      <w:r w:rsidR="00CF527A" w:rsidRPr="00CF527A">
        <w:rPr>
          <w:rFonts w:ascii="Times New Roman" w:eastAsia="Times New Roman" w:hAnsi="Times New Roman" w:cs="Times New Roman"/>
          <w:sz w:val="24"/>
          <w:szCs w:val="24"/>
          <w:lang w:val="en-US"/>
        </w:rPr>
        <w:t>The study reveals that Azalea farming contributes su</w:t>
      </w:r>
      <w:bookmarkStart w:id="0" w:name="_GoBack"/>
      <w:bookmarkEnd w:id="0"/>
      <w:r w:rsidR="00CF527A" w:rsidRPr="00CF527A">
        <w:rPr>
          <w:rFonts w:ascii="Times New Roman" w:eastAsia="Times New Roman" w:hAnsi="Times New Roman" w:cs="Times New Roman"/>
          <w:sz w:val="24"/>
          <w:szCs w:val="24"/>
          <w:lang w:val="en-US"/>
        </w:rPr>
        <w:t>bstantially to farmers' income across all farm sizes, with smaller farms exhibiting higher returns over variable costs and net income due to optimized resource use and family labor involvement. Additionally, the employment generation aspect highlights the sector's ability to provide labor opportunities, particularly in regions with limited alternative livelihoods.</w:t>
      </w:r>
      <w:r w:rsidR="00CF527A" w:rsidRPr="00CF527A">
        <w:t xml:space="preserve"> </w:t>
      </w:r>
      <w:r w:rsidR="00CF527A" w:rsidRPr="00CF527A">
        <w:rPr>
          <w:rFonts w:ascii="Times New Roman" w:eastAsia="Times New Roman" w:hAnsi="Times New Roman" w:cs="Times New Roman"/>
          <w:sz w:val="24"/>
          <w:szCs w:val="24"/>
          <w:lang w:val="en-US"/>
        </w:rPr>
        <w:t>Encouraging cluster development among Azalea growers, supported by public-private partnerships to build essential infrastructure like cold storage and transport facilities, can minimize post-harvest losses and improve supply chain efficiency. By integrating these policies, Azalea cultivation can be transformed into a sustainable and highly profitable venture, contributing significantly to rural development and economic growth in the hill regions of West Bengal</w:t>
      </w:r>
      <w:r w:rsidR="00CF527A">
        <w:rPr>
          <w:rFonts w:ascii="Times New Roman" w:eastAsia="Times New Roman" w:hAnsi="Times New Roman" w:cs="Times New Roman"/>
          <w:sz w:val="24"/>
          <w:szCs w:val="24"/>
          <w:lang w:val="en-US"/>
        </w:rPr>
        <w:t>, India</w:t>
      </w:r>
      <w:r w:rsidR="00CF527A" w:rsidRPr="00CF527A">
        <w:rPr>
          <w:rFonts w:ascii="Times New Roman" w:eastAsia="Times New Roman" w:hAnsi="Times New Roman" w:cs="Times New Roman"/>
          <w:sz w:val="24"/>
          <w:szCs w:val="24"/>
          <w:lang w:val="en-US"/>
        </w:rPr>
        <w:t>.</w:t>
      </w:r>
    </w:p>
    <w:p w14:paraId="52288D8A" w14:textId="3E73CE81" w:rsidR="00CF527A" w:rsidRPr="00C60F0B" w:rsidRDefault="00CF527A" w:rsidP="00CF527A">
      <w:pPr>
        <w:widowControl w:val="0"/>
        <w:autoSpaceDE w:val="0"/>
        <w:autoSpaceDN w:val="0"/>
        <w:spacing w:before="120" w:after="12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Keywords: </w:t>
      </w:r>
      <w:r w:rsidRPr="00CF527A">
        <w:rPr>
          <w:rFonts w:ascii="Times New Roman" w:eastAsia="Times New Roman" w:hAnsi="Times New Roman" w:cs="Times New Roman"/>
          <w:sz w:val="24"/>
          <w:szCs w:val="24"/>
          <w:lang w:val="en-US"/>
        </w:rPr>
        <w:t>Azalea</w:t>
      </w:r>
      <w:r>
        <w:rPr>
          <w:rFonts w:ascii="Times New Roman" w:eastAsia="Times New Roman" w:hAnsi="Times New Roman" w:cs="Times New Roman"/>
          <w:sz w:val="24"/>
          <w:szCs w:val="24"/>
          <w:lang w:val="en-US"/>
        </w:rPr>
        <w:t xml:space="preserve"> </w:t>
      </w:r>
      <w:r w:rsidRPr="00CF527A">
        <w:rPr>
          <w:rFonts w:ascii="Times New Roman" w:eastAsia="Times New Roman" w:hAnsi="Times New Roman" w:cs="Times New Roman"/>
          <w:sz w:val="24"/>
          <w:szCs w:val="24"/>
          <w:lang w:val="en-US"/>
        </w:rPr>
        <w:t>farming</w:t>
      </w:r>
      <w:r>
        <w:rPr>
          <w:rFonts w:ascii="Times New Roman" w:eastAsia="Times New Roman" w:hAnsi="Times New Roman" w:cs="Times New Roman"/>
          <w:sz w:val="24"/>
          <w:szCs w:val="24"/>
          <w:lang w:val="en-US"/>
        </w:rPr>
        <w:t xml:space="preserve">, </w:t>
      </w:r>
      <w:r w:rsidRPr="00CF527A">
        <w:rPr>
          <w:rFonts w:ascii="Times New Roman" w:eastAsia="Times New Roman" w:hAnsi="Times New Roman" w:cs="Times New Roman"/>
          <w:sz w:val="24"/>
          <w:szCs w:val="24"/>
          <w:lang w:val="en-US"/>
        </w:rPr>
        <w:t>economic growth</w:t>
      </w:r>
      <w:r>
        <w:rPr>
          <w:rFonts w:ascii="Times New Roman" w:eastAsia="Times New Roman" w:hAnsi="Times New Roman" w:cs="Times New Roman"/>
          <w:sz w:val="24"/>
          <w:szCs w:val="24"/>
          <w:lang w:val="en-US"/>
        </w:rPr>
        <w:t xml:space="preserve">, </w:t>
      </w:r>
      <w:proofErr w:type="spellStart"/>
      <w:r w:rsidRPr="00CF527A">
        <w:rPr>
          <w:rFonts w:ascii="Times New Roman" w:eastAsia="Times New Roman" w:hAnsi="Times New Roman" w:cs="Times New Roman"/>
          <w:sz w:val="24"/>
          <w:szCs w:val="24"/>
          <w:lang w:val="en-US"/>
        </w:rPr>
        <w:t>agro</w:t>
      </w:r>
      <w:proofErr w:type="spellEnd"/>
      <w:r w:rsidRPr="00CF527A">
        <w:rPr>
          <w:rFonts w:ascii="Times New Roman" w:eastAsia="Times New Roman" w:hAnsi="Times New Roman" w:cs="Times New Roman"/>
          <w:sz w:val="24"/>
          <w:szCs w:val="24"/>
          <w:lang w:val="en-US"/>
        </w:rPr>
        <w:t>-climatic conditions</w:t>
      </w:r>
      <w:r>
        <w:rPr>
          <w:rFonts w:ascii="Times New Roman" w:eastAsia="Times New Roman" w:hAnsi="Times New Roman" w:cs="Times New Roman"/>
          <w:sz w:val="24"/>
          <w:szCs w:val="24"/>
          <w:lang w:val="en-US"/>
        </w:rPr>
        <w:t xml:space="preserve">, </w:t>
      </w:r>
      <w:r w:rsidRPr="00CF527A">
        <w:rPr>
          <w:rFonts w:ascii="Times New Roman" w:eastAsia="Times New Roman" w:hAnsi="Times New Roman" w:cs="Times New Roman"/>
          <w:sz w:val="24"/>
          <w:szCs w:val="24"/>
          <w:lang w:val="en-US"/>
        </w:rPr>
        <w:t>Employment patterns</w:t>
      </w:r>
    </w:p>
    <w:p w14:paraId="0EC71C72" w14:textId="77777777" w:rsidR="00C60F0B" w:rsidRDefault="00C60F0B"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p>
    <w:p w14:paraId="60D3C7ED" w14:textId="77777777" w:rsidR="00C60F0B" w:rsidRDefault="00C60F0B"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p>
    <w:p w14:paraId="0615AA95" w14:textId="77777777" w:rsidR="00C60F0B" w:rsidRDefault="00C60F0B"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p>
    <w:p w14:paraId="5067A21F" w14:textId="37A9BF1E" w:rsidR="00F257B3" w:rsidRDefault="00F257B3"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Introduction</w:t>
      </w:r>
    </w:p>
    <w:p w14:paraId="7A309921" w14:textId="69814109" w:rsidR="0045653A" w:rsidRPr="0045653A" w:rsidRDefault="0045653A" w:rsidP="0032372E">
      <w:pPr>
        <w:widowControl w:val="0"/>
        <w:autoSpaceDE w:val="0"/>
        <w:autoSpaceDN w:val="0"/>
        <w:spacing w:before="120" w:after="12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ab/>
      </w:r>
      <w:r w:rsidRPr="0045653A">
        <w:rPr>
          <w:rFonts w:ascii="Times New Roman" w:eastAsia="Times New Roman" w:hAnsi="Times New Roman" w:cs="Times New Roman"/>
          <w:bCs/>
          <w:sz w:val="24"/>
          <w:szCs w:val="24"/>
          <w:lang w:val="en-US"/>
        </w:rPr>
        <w:t>Azalea (</w:t>
      </w:r>
      <w:r w:rsidRPr="0032372E">
        <w:rPr>
          <w:rFonts w:ascii="Times New Roman" w:eastAsia="Times New Roman" w:hAnsi="Times New Roman" w:cs="Times New Roman"/>
          <w:bCs/>
          <w:i/>
          <w:iCs/>
          <w:sz w:val="24"/>
          <w:szCs w:val="24"/>
          <w:lang w:val="en-US"/>
        </w:rPr>
        <w:t>Rhododendron indica</w:t>
      </w:r>
      <w:r w:rsidRPr="0045653A">
        <w:rPr>
          <w:rFonts w:ascii="Times New Roman" w:eastAsia="Times New Roman" w:hAnsi="Times New Roman" w:cs="Times New Roman"/>
          <w:bCs/>
          <w:sz w:val="24"/>
          <w:szCs w:val="24"/>
          <w:lang w:val="en-US"/>
        </w:rPr>
        <w:t xml:space="preserve">) is a highly valued ornamental plant known for its </w:t>
      </w:r>
      <w:r w:rsidRPr="0045653A">
        <w:rPr>
          <w:rFonts w:ascii="Times New Roman" w:eastAsia="Times New Roman" w:hAnsi="Times New Roman" w:cs="Times New Roman"/>
          <w:bCs/>
          <w:sz w:val="24"/>
          <w:szCs w:val="24"/>
          <w:lang w:val="en-US"/>
        </w:rPr>
        <w:lastRenderedPageBreak/>
        <w:t>vibrant, long-lasting blooms and adaptability to diverse environments</w:t>
      </w:r>
      <w:r w:rsidR="00153FD2">
        <w:rPr>
          <w:rFonts w:ascii="Times New Roman" w:eastAsia="Times New Roman" w:hAnsi="Times New Roman" w:cs="Times New Roman"/>
          <w:bCs/>
          <w:sz w:val="24"/>
          <w:szCs w:val="24"/>
          <w:lang w:val="en-US"/>
        </w:rPr>
        <w:t xml:space="preserve"> </w:t>
      </w:r>
      <w:r w:rsidR="00777BC3">
        <w:rPr>
          <w:rFonts w:ascii="Times New Roman" w:eastAsia="Times New Roman" w:hAnsi="Times New Roman" w:cs="Times New Roman"/>
          <w:bCs/>
          <w:sz w:val="24"/>
          <w:szCs w:val="24"/>
        </w:rPr>
        <w:t xml:space="preserve">in </w:t>
      </w:r>
      <w:r w:rsidR="00777BC3" w:rsidRPr="00777BC3">
        <w:rPr>
          <w:rFonts w:ascii="Times New Roman" w:eastAsia="Times New Roman" w:hAnsi="Times New Roman" w:cs="Times New Roman"/>
          <w:bCs/>
          <w:sz w:val="24"/>
          <w:szCs w:val="24"/>
        </w:rPr>
        <w:t>temperate zones worldwide</w:t>
      </w:r>
      <w:r w:rsidR="00777BC3" w:rsidRPr="00777BC3">
        <w:rPr>
          <w:rFonts w:ascii="Times New Roman" w:eastAsia="Times New Roman" w:hAnsi="Times New Roman" w:cs="Times New Roman"/>
          <w:bCs/>
          <w:sz w:val="24"/>
          <w:szCs w:val="24"/>
          <w:lang w:val="en-US"/>
        </w:rPr>
        <w:t xml:space="preserve"> </w:t>
      </w:r>
      <w:r w:rsidR="00153FD2">
        <w:rPr>
          <w:rFonts w:ascii="Times New Roman" w:eastAsia="Times New Roman" w:hAnsi="Times New Roman" w:cs="Times New Roman"/>
          <w:bCs/>
          <w:sz w:val="24"/>
          <w:szCs w:val="24"/>
          <w:lang w:val="en-US"/>
        </w:rPr>
        <w:t>(</w:t>
      </w:r>
      <w:r w:rsidR="00153FD2" w:rsidRPr="00153FD2">
        <w:rPr>
          <w:rFonts w:ascii="Times New Roman" w:hAnsi="Times New Roman" w:cs="Times New Roman"/>
          <w:sz w:val="24"/>
          <w:szCs w:val="24"/>
        </w:rPr>
        <w:t>De Riek</w:t>
      </w:r>
      <w:r w:rsidR="00153FD2">
        <w:rPr>
          <w:rFonts w:ascii="Times New Roman" w:hAnsi="Times New Roman" w:cs="Times New Roman"/>
          <w:sz w:val="24"/>
          <w:szCs w:val="24"/>
        </w:rPr>
        <w:t xml:space="preserve"> </w:t>
      </w:r>
      <w:r w:rsidR="00153FD2">
        <w:rPr>
          <w:rFonts w:ascii="Times New Roman" w:hAnsi="Times New Roman" w:cs="Times New Roman"/>
          <w:i/>
          <w:iCs/>
          <w:sz w:val="24"/>
          <w:szCs w:val="24"/>
        </w:rPr>
        <w:t xml:space="preserve">et. al., </w:t>
      </w:r>
      <w:r w:rsidR="00153FD2">
        <w:rPr>
          <w:rFonts w:ascii="Times New Roman" w:hAnsi="Times New Roman" w:cs="Times New Roman"/>
          <w:sz w:val="24"/>
          <w:szCs w:val="24"/>
        </w:rPr>
        <w:t>2018;</w:t>
      </w:r>
      <w:r w:rsidR="00777BC3">
        <w:rPr>
          <w:rFonts w:ascii="Times New Roman" w:hAnsi="Times New Roman" w:cs="Times New Roman"/>
          <w:sz w:val="24"/>
          <w:szCs w:val="24"/>
        </w:rPr>
        <w:t xml:space="preserve"> </w:t>
      </w:r>
      <w:r w:rsidR="00777BC3" w:rsidRPr="00777BC3">
        <w:rPr>
          <w:rFonts w:ascii="Times New Roman" w:hAnsi="Times New Roman" w:cs="Times New Roman"/>
          <w:sz w:val="24"/>
          <w:szCs w:val="24"/>
        </w:rPr>
        <w:t>Kobayashi</w:t>
      </w:r>
      <w:r w:rsidR="00777BC3">
        <w:rPr>
          <w:rFonts w:ascii="Times New Roman" w:hAnsi="Times New Roman" w:cs="Times New Roman"/>
          <w:sz w:val="24"/>
          <w:szCs w:val="24"/>
        </w:rPr>
        <w:t xml:space="preserve"> </w:t>
      </w:r>
      <w:r w:rsidR="00777BC3">
        <w:rPr>
          <w:rFonts w:ascii="Times New Roman" w:hAnsi="Times New Roman" w:cs="Times New Roman"/>
          <w:i/>
          <w:iCs/>
          <w:sz w:val="24"/>
          <w:szCs w:val="24"/>
        </w:rPr>
        <w:t xml:space="preserve">et. al., </w:t>
      </w:r>
      <w:r w:rsidR="00777BC3">
        <w:rPr>
          <w:rFonts w:ascii="Times New Roman" w:hAnsi="Times New Roman" w:cs="Times New Roman"/>
          <w:sz w:val="24"/>
          <w:szCs w:val="24"/>
        </w:rPr>
        <w:t>2021)</w:t>
      </w:r>
      <w:r w:rsidRPr="0045653A">
        <w:rPr>
          <w:rFonts w:ascii="Times New Roman" w:eastAsia="Times New Roman" w:hAnsi="Times New Roman" w:cs="Times New Roman"/>
          <w:bCs/>
          <w:sz w:val="24"/>
          <w:szCs w:val="24"/>
          <w:lang w:val="en-US"/>
        </w:rPr>
        <w:t xml:space="preserve">. In the hill zones of West Bengal, particularly in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 district, Azalea cultivation has gained prominence</w:t>
      </w:r>
      <w:r w:rsidR="00153FD2">
        <w:rPr>
          <w:rFonts w:ascii="Times New Roman" w:eastAsia="Times New Roman" w:hAnsi="Times New Roman" w:cs="Times New Roman"/>
          <w:bCs/>
          <w:sz w:val="24"/>
          <w:szCs w:val="24"/>
          <w:lang w:val="en-US"/>
        </w:rPr>
        <w:t xml:space="preserve"> (</w:t>
      </w:r>
      <w:proofErr w:type="spellStart"/>
      <w:r w:rsidR="00153FD2">
        <w:rPr>
          <w:rFonts w:ascii="Times New Roman" w:eastAsia="Times New Roman" w:hAnsi="Times New Roman" w:cs="Times New Roman"/>
          <w:bCs/>
          <w:sz w:val="24"/>
          <w:szCs w:val="24"/>
          <w:lang w:val="en-US"/>
        </w:rPr>
        <w:t>Kharga</w:t>
      </w:r>
      <w:proofErr w:type="spellEnd"/>
      <w:r w:rsidR="00153FD2">
        <w:rPr>
          <w:rFonts w:ascii="Times New Roman" w:eastAsia="Times New Roman" w:hAnsi="Times New Roman" w:cs="Times New Roman"/>
          <w:bCs/>
          <w:sz w:val="24"/>
          <w:szCs w:val="24"/>
          <w:lang w:val="en-US"/>
        </w:rPr>
        <w:t xml:space="preserve"> and Roy, 2020)</w:t>
      </w:r>
      <w:r w:rsidRPr="0045653A">
        <w:rPr>
          <w:rFonts w:ascii="Times New Roman" w:eastAsia="Times New Roman" w:hAnsi="Times New Roman" w:cs="Times New Roman"/>
          <w:bCs/>
          <w:sz w:val="24"/>
          <w:szCs w:val="24"/>
          <w:lang w:val="en-US"/>
        </w:rPr>
        <w:t xml:space="preserve"> due to its aesthetic appeal and growing demand in domestic and export markets. The plant thrives in the region's favorable </w:t>
      </w:r>
      <w:proofErr w:type="spellStart"/>
      <w:r w:rsidR="00CF527A" w:rsidRPr="00CF527A">
        <w:rPr>
          <w:rFonts w:ascii="Times New Roman" w:eastAsia="Times New Roman" w:hAnsi="Times New Roman" w:cs="Times New Roman"/>
          <w:bCs/>
          <w:sz w:val="24"/>
          <w:szCs w:val="24"/>
          <w:lang w:val="en-US"/>
        </w:rPr>
        <w:t>agro</w:t>
      </w:r>
      <w:proofErr w:type="spellEnd"/>
      <w:r w:rsidR="00CF527A" w:rsidRPr="00CF527A">
        <w:rPr>
          <w:rFonts w:ascii="Times New Roman" w:eastAsia="Times New Roman" w:hAnsi="Times New Roman" w:cs="Times New Roman"/>
          <w:bCs/>
          <w:sz w:val="24"/>
          <w:szCs w:val="24"/>
          <w:lang w:val="en-US"/>
        </w:rPr>
        <w:t>-climatic conditions</w:t>
      </w:r>
      <w:r w:rsidRPr="0045653A">
        <w:rPr>
          <w:rFonts w:ascii="Times New Roman" w:eastAsia="Times New Roman" w:hAnsi="Times New Roman" w:cs="Times New Roman"/>
          <w:bCs/>
          <w:sz w:val="24"/>
          <w:szCs w:val="24"/>
          <w:lang w:val="en-US"/>
        </w:rPr>
        <w:t>, making it a key contributor to the livelihoods of small and marginal farmers.</w:t>
      </w:r>
    </w:p>
    <w:p w14:paraId="3C911E39" w14:textId="57D96343" w:rsidR="0045653A" w:rsidRPr="0045653A" w:rsidRDefault="0045653A" w:rsidP="00777BC3">
      <w:pPr>
        <w:widowControl w:val="0"/>
        <w:autoSpaceDE w:val="0"/>
        <w:autoSpaceDN w:val="0"/>
        <w:spacing w:before="120" w:after="120" w:line="360" w:lineRule="auto"/>
        <w:ind w:firstLine="720"/>
        <w:jc w:val="both"/>
        <w:rPr>
          <w:rFonts w:ascii="Times New Roman" w:eastAsia="Times New Roman" w:hAnsi="Times New Roman" w:cs="Times New Roman"/>
          <w:bCs/>
          <w:sz w:val="24"/>
          <w:szCs w:val="24"/>
          <w:lang w:val="en-US"/>
        </w:rPr>
      </w:pPr>
      <w:r w:rsidRPr="0045653A">
        <w:rPr>
          <w:rFonts w:ascii="Times New Roman" w:eastAsia="Times New Roman" w:hAnsi="Times New Roman" w:cs="Times New Roman"/>
          <w:bCs/>
          <w:sz w:val="24"/>
          <w:szCs w:val="24"/>
          <w:lang w:val="en-US"/>
        </w:rPr>
        <w:t>Azalea cultivation not only generates significant income but also provides substantial employment opportunities, particularly in labor-intensive activities such as pot preparation, sowing, intercultural operations, and marketing</w:t>
      </w:r>
      <w:r w:rsidR="00CF527A">
        <w:rPr>
          <w:rFonts w:ascii="Times New Roman" w:eastAsia="Times New Roman" w:hAnsi="Times New Roman" w:cs="Times New Roman"/>
          <w:bCs/>
          <w:sz w:val="24"/>
          <w:szCs w:val="24"/>
          <w:lang w:val="en-US"/>
        </w:rPr>
        <w:t xml:space="preserve"> </w:t>
      </w:r>
      <w:r w:rsidR="00CF527A" w:rsidRPr="00CF527A">
        <w:rPr>
          <w:rFonts w:ascii="Times New Roman" w:eastAsia="Times New Roman" w:hAnsi="Times New Roman" w:cs="Times New Roman"/>
          <w:bCs/>
          <w:sz w:val="24"/>
          <w:szCs w:val="24"/>
          <w:lang w:val="en-US"/>
        </w:rPr>
        <w:t>(Rahimi et al., 2013</w:t>
      </w:r>
      <w:r w:rsidR="007B3566">
        <w:rPr>
          <w:rFonts w:ascii="Times New Roman" w:eastAsia="Times New Roman" w:hAnsi="Times New Roman" w:cs="Times New Roman"/>
          <w:bCs/>
          <w:sz w:val="24"/>
          <w:szCs w:val="24"/>
          <w:lang w:val="en-US"/>
        </w:rPr>
        <w:t xml:space="preserve">; </w:t>
      </w:r>
      <w:r w:rsidR="007B3566" w:rsidRPr="007B3566">
        <w:rPr>
          <w:rFonts w:ascii="Times New Roman" w:eastAsia="Times New Roman" w:hAnsi="Times New Roman" w:cs="Times New Roman"/>
          <w:bCs/>
          <w:sz w:val="24"/>
          <w:szCs w:val="24"/>
          <w:lang w:val="en-US"/>
        </w:rPr>
        <w:t xml:space="preserve">De </w:t>
      </w:r>
      <w:proofErr w:type="spellStart"/>
      <w:r w:rsidR="007B3566" w:rsidRPr="007B3566">
        <w:rPr>
          <w:rFonts w:ascii="Times New Roman" w:eastAsia="Times New Roman" w:hAnsi="Times New Roman" w:cs="Times New Roman"/>
          <w:bCs/>
          <w:sz w:val="24"/>
          <w:szCs w:val="24"/>
          <w:lang w:val="en-US"/>
        </w:rPr>
        <w:t>Riek</w:t>
      </w:r>
      <w:proofErr w:type="spellEnd"/>
      <w:r w:rsidR="007B3566" w:rsidRPr="007B3566">
        <w:rPr>
          <w:rFonts w:ascii="Times New Roman" w:eastAsia="Times New Roman" w:hAnsi="Times New Roman" w:cs="Times New Roman"/>
          <w:bCs/>
          <w:sz w:val="24"/>
          <w:szCs w:val="24"/>
          <w:lang w:val="en-US"/>
        </w:rPr>
        <w:t xml:space="preserve"> et al., 2018</w:t>
      </w:r>
      <w:r w:rsidR="00CF527A" w:rsidRPr="00CF527A">
        <w:rPr>
          <w:rFonts w:ascii="Times New Roman" w:eastAsia="Times New Roman" w:hAnsi="Times New Roman" w:cs="Times New Roman"/>
          <w:bCs/>
          <w:sz w:val="24"/>
          <w:szCs w:val="24"/>
          <w:lang w:val="en-US"/>
        </w:rPr>
        <w:t>)</w:t>
      </w:r>
      <w:r w:rsidRPr="0045653A">
        <w:rPr>
          <w:rFonts w:ascii="Times New Roman" w:eastAsia="Times New Roman" w:hAnsi="Times New Roman" w:cs="Times New Roman"/>
          <w:bCs/>
          <w:sz w:val="24"/>
          <w:szCs w:val="24"/>
          <w:lang w:val="en-US"/>
        </w:rPr>
        <w:t>. Despite its potential, the sector faces challenges, including high input costs, market fluctuations, and dependency on traditional farming practices. Understanding the economic viability and employment patterns associated with Azalea cultivation is crucial to enhancing its sustainability and profitability</w:t>
      </w:r>
      <w:r w:rsidR="00CF527A">
        <w:rPr>
          <w:rFonts w:ascii="Times New Roman" w:eastAsia="Times New Roman" w:hAnsi="Times New Roman" w:cs="Times New Roman"/>
          <w:bCs/>
          <w:sz w:val="24"/>
          <w:szCs w:val="24"/>
          <w:lang w:val="en-US"/>
        </w:rPr>
        <w:t xml:space="preserve"> </w:t>
      </w:r>
      <w:r w:rsidR="00CF527A" w:rsidRPr="00CF527A">
        <w:rPr>
          <w:rFonts w:ascii="Times New Roman" w:eastAsia="Times New Roman" w:hAnsi="Times New Roman" w:cs="Times New Roman"/>
          <w:bCs/>
          <w:sz w:val="24"/>
          <w:szCs w:val="24"/>
          <w:lang w:val="en-US"/>
        </w:rPr>
        <w:t>(Hao et al., 2024)</w:t>
      </w:r>
      <w:r w:rsidRPr="0045653A">
        <w:rPr>
          <w:rFonts w:ascii="Times New Roman" w:eastAsia="Times New Roman" w:hAnsi="Times New Roman" w:cs="Times New Roman"/>
          <w:bCs/>
          <w:sz w:val="24"/>
          <w:szCs w:val="24"/>
          <w:lang w:val="en-US"/>
        </w:rPr>
        <w:t>.</w:t>
      </w:r>
    </w:p>
    <w:p w14:paraId="3B05FC26" w14:textId="1FA877DD" w:rsidR="00F257B3" w:rsidRDefault="0045653A" w:rsidP="0032372E">
      <w:pPr>
        <w:widowControl w:val="0"/>
        <w:autoSpaceDE w:val="0"/>
        <w:autoSpaceDN w:val="0"/>
        <w:spacing w:before="120" w:after="120" w:line="360" w:lineRule="auto"/>
        <w:ind w:firstLine="720"/>
        <w:jc w:val="both"/>
        <w:rPr>
          <w:rFonts w:ascii="Times New Roman" w:eastAsia="Times New Roman" w:hAnsi="Times New Roman" w:cs="Times New Roman"/>
          <w:b/>
          <w:sz w:val="24"/>
          <w:szCs w:val="24"/>
          <w:lang w:val="en-US"/>
        </w:rPr>
      </w:pPr>
      <w:r w:rsidRPr="0045653A">
        <w:rPr>
          <w:rFonts w:ascii="Times New Roman" w:eastAsia="Times New Roman" w:hAnsi="Times New Roman" w:cs="Times New Roman"/>
          <w:bCs/>
          <w:sz w:val="24"/>
          <w:szCs w:val="24"/>
          <w:lang w:val="en-US"/>
        </w:rPr>
        <w:t xml:space="preserve">This study focuses on analyzing the income and employment dynamics of Azalea production in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-I and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-II blocks of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 district. Key economic indicators such as gross income, net income, and returns to management are evaluated alongside employment patterns, with a focus on family and hired labor contributions. By providing a detailed assessment, the study aims to highlight the role of Azalea farming in improving the socio-economic conditions of hill farmers and its potential as a sustainable floricultural enterprise</w:t>
      </w:r>
      <w:r w:rsidR="00F257B3">
        <w:rPr>
          <w:rFonts w:ascii="Times New Roman" w:eastAsia="Times New Roman" w:hAnsi="Times New Roman" w:cs="Times New Roman"/>
          <w:b/>
          <w:sz w:val="24"/>
          <w:szCs w:val="24"/>
          <w:lang w:val="en-US"/>
        </w:rPr>
        <w:tab/>
      </w:r>
      <w:r w:rsidR="00F07BB3">
        <w:rPr>
          <w:rFonts w:ascii="Times New Roman" w:eastAsia="Times New Roman" w:hAnsi="Times New Roman" w:cs="Times New Roman"/>
          <w:b/>
          <w:sz w:val="24"/>
          <w:szCs w:val="24"/>
          <w:lang w:val="en-US"/>
        </w:rPr>
        <w:t>.</w:t>
      </w:r>
    </w:p>
    <w:p w14:paraId="586C607F" w14:textId="43EF5A4A" w:rsidR="000E0C24" w:rsidRDefault="000E0C24" w:rsidP="000E0C24">
      <w:pPr>
        <w:widowControl w:val="0"/>
        <w:autoSpaceDE w:val="0"/>
        <w:autoSpaceDN w:val="0"/>
        <w:spacing w:before="120" w:after="12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Research Methodology</w:t>
      </w:r>
    </w:p>
    <w:p w14:paraId="7F0C7A12" w14:textId="100F8C9C" w:rsidR="000E0C24" w:rsidRDefault="000E0C24" w:rsidP="00F257B3">
      <w:pPr>
        <w:widowControl w:val="0"/>
        <w:autoSpaceDE w:val="0"/>
        <w:autoSpaceDN w:val="0"/>
        <w:spacing w:before="120" w:after="120" w:line="360" w:lineRule="auto"/>
        <w:ind w:firstLine="720"/>
        <w:jc w:val="both"/>
        <w:rPr>
          <w:rFonts w:ascii="Times New Roman" w:eastAsia="Times New Roman" w:hAnsi="Times New Roman" w:cs="Times New Roman"/>
          <w:bCs/>
          <w:sz w:val="24"/>
          <w:szCs w:val="24"/>
          <w:lang w:val="en-US"/>
        </w:rPr>
      </w:pPr>
      <w:r w:rsidRPr="007955E9">
        <w:rPr>
          <w:rFonts w:ascii="Times New Roman" w:eastAsia="Times New Roman" w:hAnsi="Times New Roman" w:cs="Times New Roman"/>
          <w:bCs/>
          <w:sz w:val="24"/>
          <w:szCs w:val="24"/>
          <w:lang w:val="en-US"/>
        </w:rPr>
        <w:t xml:space="preserve">The present study is carried out in </w:t>
      </w:r>
      <w:proofErr w:type="spellStart"/>
      <w:r w:rsidRPr="007955E9">
        <w:rPr>
          <w:rFonts w:ascii="Times New Roman" w:eastAsia="Times New Roman" w:hAnsi="Times New Roman" w:cs="Times New Roman"/>
          <w:bCs/>
          <w:sz w:val="24"/>
          <w:szCs w:val="24"/>
          <w:lang w:val="en-US"/>
        </w:rPr>
        <w:t>Kalimpong</w:t>
      </w:r>
      <w:proofErr w:type="spellEnd"/>
      <w:r w:rsidRPr="007955E9">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district </w:t>
      </w:r>
      <w:r w:rsidRPr="007955E9">
        <w:rPr>
          <w:rFonts w:ascii="Times New Roman" w:eastAsia="Times New Roman" w:hAnsi="Times New Roman" w:cs="Times New Roman"/>
          <w:bCs/>
          <w:sz w:val="24"/>
          <w:szCs w:val="24"/>
          <w:lang w:val="en-US"/>
        </w:rPr>
        <w:t>of West Bengal. Systematic and scientific approach are followed to outline the results of the study conducted</w:t>
      </w:r>
      <w:r>
        <w:rPr>
          <w:rFonts w:ascii="Times New Roman" w:eastAsia="Times New Roman" w:hAnsi="Times New Roman" w:cs="Times New Roman"/>
          <w:bCs/>
          <w:sz w:val="24"/>
          <w:szCs w:val="24"/>
          <w:lang w:val="en-US"/>
        </w:rPr>
        <w:t xml:space="preserve">. </w:t>
      </w:r>
    </w:p>
    <w:p w14:paraId="63733EC3" w14:textId="77777777" w:rsidR="00777BC3" w:rsidRDefault="00777BC3" w:rsidP="000E0C24">
      <w:pPr>
        <w:widowControl w:val="0"/>
        <w:autoSpaceDE w:val="0"/>
        <w:autoSpaceDN w:val="0"/>
        <w:spacing w:after="120" w:line="372" w:lineRule="auto"/>
        <w:jc w:val="both"/>
        <w:rPr>
          <w:rFonts w:ascii="Times New Roman" w:eastAsia="Times New Roman" w:hAnsi="Times New Roman" w:cs="Times New Roman"/>
          <w:b/>
          <w:bCs/>
          <w:sz w:val="24"/>
          <w:szCs w:val="24"/>
          <w:lang w:val="en-US"/>
        </w:rPr>
      </w:pPr>
    </w:p>
    <w:p w14:paraId="3B2BE687" w14:textId="3AF13D38" w:rsidR="000E0C24" w:rsidRPr="00DB6257" w:rsidRDefault="000E0C24" w:rsidP="000E0C24">
      <w:pPr>
        <w:widowControl w:val="0"/>
        <w:autoSpaceDE w:val="0"/>
        <w:autoSpaceDN w:val="0"/>
        <w:spacing w:after="120" w:line="372" w:lineRule="auto"/>
        <w:jc w:val="both"/>
        <w:rPr>
          <w:rFonts w:ascii="Times New Roman" w:eastAsia="Times New Roman" w:hAnsi="Times New Roman" w:cs="Times New Roman"/>
          <w:b/>
          <w:color w:val="FF0000"/>
          <w:sz w:val="24"/>
          <w:szCs w:val="24"/>
          <w:lang w:val="en-US"/>
        </w:rPr>
      </w:pPr>
      <w:proofErr w:type="spellStart"/>
      <w:r w:rsidRPr="007955E9">
        <w:rPr>
          <w:rFonts w:ascii="Times New Roman" w:eastAsia="Times New Roman" w:hAnsi="Times New Roman" w:cs="Times New Roman"/>
          <w:b/>
          <w:sz w:val="24"/>
          <w:szCs w:val="24"/>
          <w:lang w:val="en-US"/>
        </w:rPr>
        <w:t>Kalimpong</w:t>
      </w:r>
      <w:proofErr w:type="spellEnd"/>
      <w:r w:rsidRPr="007955E9">
        <w:rPr>
          <w:rFonts w:ascii="Times New Roman" w:eastAsia="Times New Roman" w:hAnsi="Times New Roman" w:cs="Times New Roman"/>
          <w:b/>
          <w:sz w:val="24"/>
          <w:szCs w:val="24"/>
          <w:lang w:val="en-US"/>
        </w:rPr>
        <w:t xml:space="preserve"> District:</w:t>
      </w:r>
    </w:p>
    <w:p w14:paraId="1E37A37C" w14:textId="77777777" w:rsidR="000E0C24" w:rsidRPr="00DB6257" w:rsidRDefault="000E0C24" w:rsidP="000E0C24">
      <w:pPr>
        <w:widowControl w:val="0"/>
        <w:autoSpaceDE w:val="0"/>
        <w:autoSpaceDN w:val="0"/>
        <w:spacing w:after="120" w:line="372" w:lineRule="auto"/>
        <w:jc w:val="both"/>
        <w:rPr>
          <w:rFonts w:ascii="Times New Roman" w:eastAsia="Times New Roman" w:hAnsi="Times New Roman" w:cs="Times New Roman"/>
          <w:color w:val="FF0000"/>
          <w:sz w:val="24"/>
          <w:szCs w:val="24"/>
          <w:lang w:val="en-US"/>
        </w:rPr>
      </w:pPr>
      <w:r w:rsidRPr="00DB6257">
        <w:rPr>
          <w:rFonts w:ascii="Times New Roman" w:eastAsia="Times New Roman" w:hAnsi="Times New Roman" w:cs="Times New Roman"/>
          <w:color w:val="FF0000"/>
          <w:sz w:val="24"/>
          <w:szCs w:val="24"/>
          <w:lang w:val="en-US"/>
        </w:rPr>
        <w:tab/>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district lies between 27.05940 North latitude and 88.46950 East longitude of West Bengal, India. It was formed on 14 February 2017, after splitting from the Darjeeling district as the 21st district of West Bengal. It consists of the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Municipality and three community development blocks viz.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I,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II and </w:t>
      </w:r>
      <w:proofErr w:type="spellStart"/>
      <w:r w:rsidRPr="00F07BB3">
        <w:rPr>
          <w:rFonts w:ascii="Times New Roman" w:eastAsia="Times New Roman" w:hAnsi="Times New Roman" w:cs="Times New Roman"/>
          <w:sz w:val="24"/>
          <w:szCs w:val="24"/>
          <w:lang w:val="en-US"/>
        </w:rPr>
        <w:t>Gorubathan</w:t>
      </w:r>
      <w:proofErr w:type="spellEnd"/>
      <w:r w:rsidRPr="00F07BB3">
        <w:rPr>
          <w:rFonts w:ascii="Times New Roman" w:eastAsia="Times New Roman" w:hAnsi="Times New Roman" w:cs="Times New Roman"/>
          <w:sz w:val="24"/>
          <w:szCs w:val="24"/>
          <w:lang w:val="en-US"/>
        </w:rPr>
        <w:t xml:space="preserve">. The district has its headquarters at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Apart from the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municipality that consists of 23 wards, the district contains rural areas of 42 gram panchayats under three community </w:t>
      </w:r>
      <w:r w:rsidRPr="00F07BB3">
        <w:rPr>
          <w:rFonts w:ascii="Times New Roman" w:eastAsia="Times New Roman" w:hAnsi="Times New Roman" w:cs="Times New Roman"/>
          <w:sz w:val="24"/>
          <w:szCs w:val="24"/>
          <w:lang w:val="en-US"/>
        </w:rPr>
        <w:lastRenderedPageBreak/>
        <w:t xml:space="preserve">development blocks viz.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-I,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-II and </w:t>
      </w:r>
      <w:proofErr w:type="spellStart"/>
      <w:proofErr w:type="gramStart"/>
      <w:r w:rsidRPr="00F07BB3">
        <w:rPr>
          <w:rFonts w:ascii="Times New Roman" w:eastAsia="Times New Roman" w:hAnsi="Times New Roman" w:cs="Times New Roman"/>
          <w:sz w:val="24"/>
          <w:szCs w:val="24"/>
          <w:lang w:val="en-US"/>
        </w:rPr>
        <w:t>Gorubathan</w:t>
      </w:r>
      <w:proofErr w:type="spellEnd"/>
      <w:r w:rsidRPr="00F07BB3">
        <w:rPr>
          <w:rFonts w:ascii="Times New Roman" w:eastAsia="Times New Roman" w:hAnsi="Times New Roman" w:cs="Times New Roman"/>
          <w:sz w:val="24"/>
          <w:szCs w:val="24"/>
          <w:lang w:val="en-US"/>
        </w:rPr>
        <w:t>..</w:t>
      </w:r>
      <w:proofErr w:type="gramEnd"/>
      <w:r w:rsidRPr="00F07BB3">
        <w:rPr>
          <w:rFonts w:ascii="Times New Roman" w:eastAsia="Times New Roman" w:hAnsi="Times New Roman" w:cs="Times New Roman"/>
          <w:sz w:val="24"/>
          <w:szCs w:val="24"/>
          <w:lang w:val="en-US"/>
        </w:rPr>
        <w:t xml:space="preserve">The majority of the population today in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district is the Gorkhas, while a significant minority is tribal</w:t>
      </w:r>
      <w:r w:rsidRPr="00DB6257">
        <w:rPr>
          <w:rFonts w:ascii="Times New Roman" w:eastAsia="Times New Roman" w:hAnsi="Times New Roman" w:cs="Times New Roman"/>
          <w:color w:val="FF0000"/>
          <w:sz w:val="24"/>
          <w:szCs w:val="24"/>
          <w:lang w:val="en-US"/>
        </w:rPr>
        <w:t>.</w:t>
      </w:r>
    </w:p>
    <w:p w14:paraId="31511043" w14:textId="77777777" w:rsidR="000E0C24" w:rsidRPr="007955E9" w:rsidRDefault="000E0C24" w:rsidP="000E0C24">
      <w:pPr>
        <w:widowControl w:val="0"/>
        <w:autoSpaceDE w:val="0"/>
        <w:autoSpaceDN w:val="0"/>
        <w:spacing w:after="120" w:line="360" w:lineRule="auto"/>
        <w:jc w:val="both"/>
        <w:rPr>
          <w:rFonts w:ascii="Times New Roman" w:eastAsia="Times New Roman" w:hAnsi="Times New Roman" w:cs="Times New Roman"/>
          <w:b/>
          <w:sz w:val="24"/>
          <w:szCs w:val="24"/>
          <w:lang w:val="en-US"/>
        </w:rPr>
      </w:pPr>
      <w:r w:rsidRPr="007955E9">
        <w:rPr>
          <w:rFonts w:ascii="Times New Roman" w:eastAsia="Times New Roman" w:hAnsi="Times New Roman" w:cs="Times New Roman"/>
          <w:b/>
          <w:sz w:val="24"/>
          <w:szCs w:val="24"/>
          <w:lang w:val="en-US"/>
        </w:rPr>
        <w:t>Source of data and sampling design:</w:t>
      </w:r>
    </w:p>
    <w:p w14:paraId="0DE9B35C" w14:textId="0D340137" w:rsidR="000E0C24" w:rsidRPr="007955E9" w:rsidRDefault="000E0C24" w:rsidP="000E0C24">
      <w:pPr>
        <w:widowControl w:val="0"/>
        <w:autoSpaceDE w:val="0"/>
        <w:autoSpaceDN w:val="0"/>
        <w:spacing w:after="120" w:line="360" w:lineRule="auto"/>
        <w:jc w:val="both"/>
        <w:rPr>
          <w:rFonts w:ascii="Times New Roman" w:eastAsia="Times New Roman" w:hAnsi="Times New Roman" w:cs="Times New Roman"/>
          <w:sz w:val="24"/>
          <w:szCs w:val="24"/>
          <w:lang w:val="en-US"/>
        </w:rPr>
      </w:pPr>
      <w:r w:rsidRPr="007955E9">
        <w:rPr>
          <w:rFonts w:ascii="Times New Roman" w:eastAsia="Times New Roman" w:hAnsi="Times New Roman" w:cs="Times New Roman"/>
          <w:sz w:val="24"/>
          <w:szCs w:val="24"/>
          <w:lang w:val="en-US"/>
        </w:rPr>
        <w:tab/>
        <w:t>The present study is primarily based on micro level farm survey analysis</w:t>
      </w:r>
      <w:r w:rsidR="00F07BB3">
        <w:rPr>
          <w:rFonts w:ascii="Times New Roman" w:eastAsia="Times New Roman" w:hAnsi="Times New Roman" w:cs="Times New Roman"/>
          <w:sz w:val="24"/>
          <w:szCs w:val="24"/>
          <w:lang w:val="en-US"/>
        </w:rPr>
        <w:t xml:space="preserve"> conducted in 2023-24</w:t>
      </w:r>
      <w:r w:rsidRPr="007955E9">
        <w:rPr>
          <w:rFonts w:ascii="Times New Roman" w:eastAsia="Times New Roman" w:hAnsi="Times New Roman" w:cs="Times New Roman"/>
          <w:sz w:val="24"/>
          <w:szCs w:val="24"/>
          <w:lang w:val="en-US"/>
        </w:rPr>
        <w:t xml:space="preserve">. With a view to examine the components, a well-structured and pre-tested interview schedule is utilized for the collection of data from flower growers, wholesalers, commission agents and retailers present in the study </w:t>
      </w:r>
      <w:proofErr w:type="gramStart"/>
      <w:r w:rsidRPr="007955E9">
        <w:rPr>
          <w:rFonts w:ascii="Times New Roman" w:eastAsia="Times New Roman" w:hAnsi="Times New Roman" w:cs="Times New Roman"/>
          <w:sz w:val="24"/>
          <w:szCs w:val="24"/>
          <w:lang w:val="en-US"/>
        </w:rPr>
        <w:t>area.</w:t>
      </w:r>
      <w:r w:rsidR="00F07BB3">
        <w:rPr>
          <w:rFonts w:ascii="Times New Roman" w:eastAsia="Times New Roman" w:hAnsi="Times New Roman" w:cs="Times New Roman"/>
          <w:sz w:val="24"/>
          <w:szCs w:val="24"/>
          <w:lang w:val="en-US"/>
        </w:rPr>
        <w:t>.</w:t>
      </w:r>
      <w:proofErr w:type="gramEnd"/>
      <w:r w:rsidR="00F07BB3">
        <w:rPr>
          <w:rFonts w:ascii="Times New Roman" w:eastAsia="Times New Roman" w:hAnsi="Times New Roman" w:cs="Times New Roman"/>
          <w:sz w:val="24"/>
          <w:szCs w:val="24"/>
          <w:lang w:val="en-US"/>
        </w:rPr>
        <w:t xml:space="preserve"> </w:t>
      </w:r>
      <w:r w:rsidRPr="007955E9">
        <w:rPr>
          <w:rFonts w:ascii="Times New Roman" w:eastAsia="Times New Roman" w:hAnsi="Times New Roman" w:cs="Times New Roman"/>
          <w:sz w:val="24"/>
          <w:szCs w:val="24"/>
          <w:lang w:val="en-US"/>
        </w:rPr>
        <w:t xml:space="preserve"> </w:t>
      </w:r>
    </w:p>
    <w:p w14:paraId="5992874E" w14:textId="01B630FD" w:rsidR="000E0C24" w:rsidRPr="007955E9" w:rsidRDefault="000E0C24" w:rsidP="000E0C24">
      <w:pPr>
        <w:widowControl w:val="0"/>
        <w:autoSpaceDE w:val="0"/>
        <w:autoSpaceDN w:val="0"/>
        <w:spacing w:after="120" w:line="372" w:lineRule="auto"/>
        <w:jc w:val="both"/>
        <w:rPr>
          <w:rFonts w:ascii="Times New Roman" w:eastAsia="Times New Roman" w:hAnsi="Times New Roman" w:cs="Times New Roman"/>
          <w:sz w:val="24"/>
          <w:szCs w:val="24"/>
          <w:lang w:val="en-US"/>
        </w:rPr>
      </w:pPr>
      <w:r w:rsidRPr="007955E9">
        <w:rPr>
          <w:rFonts w:ascii="Times New Roman" w:eastAsia="Times New Roman" w:hAnsi="Times New Roman" w:cs="Times New Roman"/>
          <w:b/>
          <w:color w:val="000000"/>
          <w:sz w:val="24"/>
          <w:szCs w:val="24"/>
          <w:lang w:val="en-US"/>
        </w:rPr>
        <w:t>Selection of District:</w:t>
      </w:r>
    </w:p>
    <w:p w14:paraId="655DAA57" w14:textId="51DB926D" w:rsidR="000E0C24" w:rsidRPr="007955E9" w:rsidRDefault="000E0C24" w:rsidP="000E0C24">
      <w:pPr>
        <w:widowControl w:val="0"/>
        <w:autoSpaceDE w:val="0"/>
        <w:autoSpaceDN w:val="0"/>
        <w:spacing w:after="120" w:line="372" w:lineRule="auto"/>
        <w:ind w:firstLine="720"/>
        <w:jc w:val="both"/>
        <w:rPr>
          <w:rFonts w:ascii="Times New Roman" w:eastAsia="Times New Roman" w:hAnsi="Times New Roman" w:cs="Times New Roman"/>
          <w:b/>
          <w:sz w:val="24"/>
          <w:szCs w:val="24"/>
          <w:lang w:val="en-US"/>
        </w:rPr>
      </w:pPr>
      <w:r w:rsidRPr="007955E9">
        <w:rPr>
          <w:rFonts w:ascii="Times New Roman" w:eastAsia="Times New Roman" w:hAnsi="Times New Roman" w:cs="Times New Roman"/>
          <w:sz w:val="24"/>
          <w:szCs w:val="24"/>
          <w:lang w:val="en-US"/>
        </w:rPr>
        <w:t xml:space="preserve">The present work is undertaken to critically analyze the production and marketing of principal flowers and for selection of samples, a </w:t>
      </w:r>
      <w:r w:rsidRPr="007955E9">
        <w:rPr>
          <w:rFonts w:ascii="Times New Roman" w:eastAsia="Times New Roman" w:hAnsi="Times New Roman" w:cs="Times New Roman"/>
          <w:b/>
          <w:sz w:val="24"/>
          <w:szCs w:val="24"/>
          <w:lang w:val="en-US"/>
        </w:rPr>
        <w:t>Multistage sampling technique</w:t>
      </w:r>
      <w:r w:rsidRPr="007955E9">
        <w:rPr>
          <w:rFonts w:ascii="Times New Roman" w:eastAsia="Times New Roman" w:hAnsi="Times New Roman" w:cs="Times New Roman"/>
          <w:sz w:val="24"/>
          <w:szCs w:val="24"/>
          <w:lang w:val="en-US"/>
        </w:rPr>
        <w:t xml:space="preserve"> is followed.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 district of West Bengal state </w:t>
      </w:r>
      <w:r w:rsidR="00F257B3">
        <w:rPr>
          <w:rFonts w:ascii="Times New Roman" w:eastAsia="Times New Roman" w:hAnsi="Times New Roman" w:cs="Times New Roman"/>
          <w:color w:val="000000"/>
          <w:sz w:val="24"/>
          <w:szCs w:val="24"/>
          <w:lang w:val="en-US"/>
        </w:rPr>
        <w:t>is</w:t>
      </w:r>
      <w:r w:rsidRPr="007955E9">
        <w:rPr>
          <w:rFonts w:ascii="Times New Roman" w:eastAsia="Times New Roman" w:hAnsi="Times New Roman" w:cs="Times New Roman"/>
          <w:color w:val="000000"/>
          <w:sz w:val="24"/>
          <w:szCs w:val="24"/>
          <w:lang w:val="en-US"/>
        </w:rPr>
        <w:t xml:space="preserve"> purposively selected based on availability of flower growers/cultivators. </w:t>
      </w:r>
    </w:p>
    <w:p w14:paraId="555CBC72" w14:textId="6330B18B" w:rsidR="000E0C24" w:rsidRPr="007955E9" w:rsidRDefault="000E0C24" w:rsidP="000E0C24">
      <w:pPr>
        <w:widowControl w:val="0"/>
        <w:autoSpaceDE w:val="0"/>
        <w:autoSpaceDN w:val="0"/>
        <w:adjustRightInd w:val="0"/>
        <w:spacing w:after="120" w:line="372" w:lineRule="auto"/>
        <w:jc w:val="both"/>
        <w:rPr>
          <w:rFonts w:ascii="Times New Roman" w:eastAsia="Times New Roman" w:hAnsi="Times New Roman" w:cs="Times New Roman"/>
          <w:b/>
          <w:sz w:val="24"/>
          <w:szCs w:val="24"/>
          <w:lang w:val="en-US"/>
        </w:rPr>
      </w:pPr>
      <w:r w:rsidRPr="007955E9">
        <w:rPr>
          <w:rFonts w:ascii="Times New Roman" w:eastAsia="Times New Roman" w:hAnsi="Times New Roman" w:cs="Times New Roman"/>
          <w:b/>
          <w:sz w:val="24"/>
          <w:szCs w:val="24"/>
          <w:lang w:val="en-US"/>
        </w:rPr>
        <w:t>Selection of Blocks:</w:t>
      </w:r>
    </w:p>
    <w:p w14:paraId="61B65062" w14:textId="445E6FC9" w:rsidR="000E0C24" w:rsidRPr="007955E9" w:rsidRDefault="000E0C24" w:rsidP="000E0C24">
      <w:pPr>
        <w:widowControl w:val="0"/>
        <w:autoSpaceDE w:val="0"/>
        <w:autoSpaceDN w:val="0"/>
        <w:adjustRightInd w:val="0"/>
        <w:spacing w:after="120" w:line="372" w:lineRule="auto"/>
        <w:ind w:firstLine="720"/>
        <w:jc w:val="both"/>
        <w:rPr>
          <w:rFonts w:ascii="Times New Roman" w:eastAsia="Times New Roman" w:hAnsi="Times New Roman" w:cs="Times New Roman"/>
          <w:color w:val="000000"/>
          <w:sz w:val="24"/>
          <w:szCs w:val="24"/>
          <w:lang w:val="en-US"/>
        </w:rPr>
      </w:pPr>
      <w:r w:rsidRPr="007955E9">
        <w:rPr>
          <w:rFonts w:ascii="Times New Roman" w:eastAsia="Times New Roman" w:hAnsi="Times New Roman" w:cs="Times New Roman"/>
          <w:color w:val="000000"/>
          <w:sz w:val="24"/>
          <w:szCs w:val="24"/>
          <w:lang w:val="en-US"/>
        </w:rPr>
        <w:t xml:space="preserve">Azalea </w:t>
      </w:r>
      <w:r w:rsidR="00F257B3">
        <w:rPr>
          <w:rFonts w:ascii="Times New Roman" w:eastAsia="Times New Roman" w:hAnsi="Times New Roman" w:cs="Times New Roman"/>
          <w:color w:val="000000"/>
          <w:sz w:val="24"/>
          <w:szCs w:val="24"/>
          <w:lang w:val="en-US"/>
        </w:rPr>
        <w:t>is</w:t>
      </w:r>
      <w:r w:rsidRPr="007955E9">
        <w:rPr>
          <w:rFonts w:ascii="Times New Roman" w:eastAsia="Times New Roman" w:hAnsi="Times New Roman" w:cs="Times New Roman"/>
          <w:color w:val="000000"/>
          <w:sz w:val="24"/>
          <w:szCs w:val="24"/>
          <w:lang w:val="en-US"/>
        </w:rPr>
        <w:t xml:space="preserve"> selected from the district of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-I and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-II Blocks are purposively selected. </w:t>
      </w:r>
    </w:p>
    <w:p w14:paraId="2A3699D1" w14:textId="38E6CD13" w:rsidR="000E0C24" w:rsidRPr="007955E9" w:rsidRDefault="000E0C24" w:rsidP="000E0C24">
      <w:pPr>
        <w:widowControl w:val="0"/>
        <w:autoSpaceDE w:val="0"/>
        <w:autoSpaceDN w:val="0"/>
        <w:adjustRightInd w:val="0"/>
        <w:spacing w:after="120" w:line="372" w:lineRule="auto"/>
        <w:jc w:val="both"/>
        <w:rPr>
          <w:rFonts w:ascii="Times New Roman" w:eastAsia="Times New Roman" w:hAnsi="Times New Roman" w:cs="Times New Roman"/>
          <w:b/>
          <w:color w:val="000000"/>
          <w:sz w:val="24"/>
          <w:szCs w:val="24"/>
          <w:lang w:val="en-US"/>
        </w:rPr>
      </w:pPr>
      <w:r w:rsidRPr="007955E9">
        <w:rPr>
          <w:rFonts w:ascii="Times New Roman" w:eastAsia="Times New Roman" w:hAnsi="Times New Roman" w:cs="Times New Roman"/>
          <w:b/>
          <w:color w:val="000000"/>
          <w:sz w:val="24"/>
          <w:szCs w:val="24"/>
          <w:lang w:val="en-US"/>
        </w:rPr>
        <w:t>Selection of Clusters:</w:t>
      </w:r>
    </w:p>
    <w:p w14:paraId="0BB7B514" w14:textId="646B44B2" w:rsidR="000E0C24" w:rsidRPr="007955E9" w:rsidRDefault="00F257B3" w:rsidP="000E0C24">
      <w:pPr>
        <w:widowControl w:val="0"/>
        <w:autoSpaceDE w:val="0"/>
        <w:autoSpaceDN w:val="0"/>
        <w:adjustRightInd w:val="0"/>
        <w:spacing w:after="120" w:line="372"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I</w:t>
      </w:r>
      <w:r w:rsidR="000E0C24" w:rsidRPr="007955E9">
        <w:rPr>
          <w:rFonts w:ascii="Times New Roman" w:eastAsia="Times New Roman" w:hAnsi="Times New Roman" w:cs="Times New Roman"/>
          <w:color w:val="000000"/>
          <w:sz w:val="24"/>
          <w:szCs w:val="24"/>
          <w:lang w:val="en-US"/>
        </w:rPr>
        <w:t xml:space="preserve">n each of the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 xml:space="preserve">-I and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 xml:space="preserve">-II Blocks, a nuclear village along with two adjacent villages are purposively selected to form a cluster of three villages. In each cluster of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 xml:space="preserve">-I and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-II Block, complete list of</w:t>
      </w:r>
      <w:r>
        <w:rPr>
          <w:rFonts w:ascii="Times New Roman" w:eastAsia="Times New Roman" w:hAnsi="Times New Roman" w:cs="Times New Roman"/>
          <w:color w:val="000000"/>
          <w:sz w:val="24"/>
          <w:szCs w:val="24"/>
          <w:lang w:val="en-US"/>
        </w:rPr>
        <w:t xml:space="preserve"> </w:t>
      </w:r>
      <w:r w:rsidR="000E0C24" w:rsidRPr="007955E9">
        <w:rPr>
          <w:rFonts w:ascii="Times New Roman" w:eastAsia="Times New Roman" w:hAnsi="Times New Roman" w:cs="Times New Roman"/>
          <w:color w:val="000000"/>
          <w:sz w:val="24"/>
          <w:szCs w:val="24"/>
          <w:lang w:val="en-US"/>
        </w:rPr>
        <w:t xml:space="preserve">Azalea producers </w:t>
      </w:r>
      <w:r>
        <w:rPr>
          <w:rFonts w:ascii="Times New Roman" w:eastAsia="Times New Roman" w:hAnsi="Times New Roman" w:cs="Times New Roman"/>
          <w:color w:val="000000"/>
          <w:sz w:val="24"/>
          <w:szCs w:val="24"/>
          <w:lang w:val="en-US"/>
        </w:rPr>
        <w:t>is</w:t>
      </w:r>
      <w:r w:rsidR="000E0C24" w:rsidRPr="007955E9">
        <w:rPr>
          <w:rFonts w:ascii="Times New Roman" w:eastAsia="Times New Roman" w:hAnsi="Times New Roman" w:cs="Times New Roman"/>
          <w:color w:val="000000"/>
          <w:sz w:val="24"/>
          <w:szCs w:val="24"/>
          <w:lang w:val="en-US"/>
        </w:rPr>
        <w:t xml:space="preserve"> prepared separately. From each cluster</w:t>
      </w:r>
      <w:r w:rsidR="00F07BB3">
        <w:rPr>
          <w:rFonts w:ascii="Times New Roman" w:eastAsia="Times New Roman" w:hAnsi="Times New Roman" w:cs="Times New Roman"/>
          <w:color w:val="000000"/>
          <w:sz w:val="24"/>
          <w:szCs w:val="24"/>
          <w:lang w:val="en-US"/>
        </w:rPr>
        <w:t>,</w:t>
      </w:r>
      <w:r w:rsidR="000E0C24" w:rsidRPr="007955E9">
        <w:rPr>
          <w:rFonts w:ascii="Times New Roman" w:eastAsia="Times New Roman" w:hAnsi="Times New Roman" w:cs="Times New Roman"/>
          <w:color w:val="000000"/>
          <w:sz w:val="24"/>
          <w:szCs w:val="24"/>
          <w:lang w:val="en-US"/>
        </w:rPr>
        <w:t xml:space="preserve"> 25 sample producers are finally selected with the help of </w:t>
      </w:r>
      <w:r w:rsidR="000E0C24" w:rsidRPr="007955E9">
        <w:rPr>
          <w:rFonts w:ascii="Times New Roman" w:eastAsia="Times New Roman" w:hAnsi="Times New Roman" w:cs="Times New Roman"/>
          <w:b/>
          <w:sz w:val="24"/>
          <w:szCs w:val="24"/>
          <w:lang w:val="en-US"/>
        </w:rPr>
        <w:t xml:space="preserve">Simple Random Sampling without Replacement Method (SRSWOR) </w:t>
      </w:r>
      <w:r w:rsidR="000E0C24" w:rsidRPr="007955E9">
        <w:rPr>
          <w:rFonts w:ascii="Times New Roman" w:eastAsia="Times New Roman" w:hAnsi="Times New Roman" w:cs="Times New Roman"/>
          <w:sz w:val="24"/>
          <w:szCs w:val="24"/>
          <w:lang w:val="en-US"/>
        </w:rPr>
        <w:t>for the flower growers.</w:t>
      </w:r>
    </w:p>
    <w:p w14:paraId="2E683FCC" w14:textId="38C7B4A4" w:rsidR="000E0C24" w:rsidRPr="002867EE" w:rsidRDefault="001A6729" w:rsidP="000E0C24">
      <w:pPr>
        <w:widowControl w:val="0"/>
        <w:autoSpaceDE w:val="0"/>
        <w:autoSpaceDN w:val="0"/>
        <w:spacing w:after="120" w:line="240" w:lineRule="auto"/>
        <w:ind w:left="446" w:hanging="446"/>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TABLE 1. </w:t>
      </w:r>
      <w:r w:rsidR="000E0C24" w:rsidRPr="007955E9">
        <w:rPr>
          <w:rFonts w:ascii="Times New Roman" w:eastAsia="Times New Roman" w:hAnsi="Times New Roman" w:cs="Times New Roman"/>
          <w:b/>
          <w:sz w:val="24"/>
          <w:szCs w:val="24"/>
          <w:lang w:val="en-US"/>
        </w:rPr>
        <w:t>District-wise and Block-wise sample distributions of selected floricultural</w:t>
      </w:r>
      <w:r w:rsidR="000E0C24" w:rsidRPr="002867EE">
        <w:rPr>
          <w:rFonts w:ascii="Times New Roman" w:eastAsia="Times New Roman" w:hAnsi="Times New Roman" w:cs="Times New Roman"/>
          <w:b/>
          <w:sz w:val="24"/>
          <w:szCs w:val="24"/>
          <w:lang w:val="en-US"/>
        </w:rPr>
        <w:t xml:space="preserve"> crops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361"/>
        <w:gridCol w:w="2178"/>
        <w:gridCol w:w="3686"/>
        <w:gridCol w:w="1984"/>
      </w:tblGrid>
      <w:tr w:rsidR="00F257B3" w:rsidRPr="00EC3845" w14:paraId="0CF7D93A" w14:textId="77777777" w:rsidTr="00F257B3">
        <w:trPr>
          <w:trHeight w:val="251"/>
        </w:trPr>
        <w:tc>
          <w:tcPr>
            <w:tcW w:w="1361" w:type="dxa"/>
            <w:vMerge w:val="restart"/>
            <w:vAlign w:val="center"/>
          </w:tcPr>
          <w:p w14:paraId="70644D26" w14:textId="77777777" w:rsidR="00F257B3" w:rsidRPr="00EC3845" w:rsidRDefault="00F257B3" w:rsidP="003F2D02">
            <w:pPr>
              <w:widowControl w:val="0"/>
              <w:autoSpaceDE w:val="0"/>
              <w:autoSpaceDN w:val="0"/>
              <w:spacing w:before="120" w:after="120" w:line="240" w:lineRule="auto"/>
              <w:jc w:val="center"/>
              <w:rPr>
                <w:rFonts w:ascii="Times New Roman" w:eastAsia="Times New Roman" w:hAnsi="Times New Roman" w:cs="Times New Roman"/>
                <w:b/>
                <w:bCs/>
                <w:lang w:val="en-US"/>
              </w:rPr>
            </w:pPr>
            <w:r w:rsidRPr="00EC3845">
              <w:rPr>
                <w:rFonts w:ascii="Times New Roman" w:eastAsia="Times New Roman" w:hAnsi="Times New Roman" w:cs="Times New Roman"/>
                <w:b/>
                <w:bCs/>
                <w:lang w:val="en-US"/>
              </w:rPr>
              <w:t>District</w:t>
            </w:r>
          </w:p>
        </w:tc>
        <w:tc>
          <w:tcPr>
            <w:tcW w:w="2178" w:type="dxa"/>
            <w:vMerge w:val="restart"/>
            <w:vAlign w:val="center"/>
          </w:tcPr>
          <w:p w14:paraId="52F0950D" w14:textId="77777777" w:rsidR="00F257B3" w:rsidRPr="00EC3845" w:rsidRDefault="00F257B3" w:rsidP="003F2D02">
            <w:pPr>
              <w:widowControl w:val="0"/>
              <w:autoSpaceDE w:val="0"/>
              <w:autoSpaceDN w:val="0"/>
              <w:spacing w:before="120" w:after="120" w:line="240" w:lineRule="auto"/>
              <w:jc w:val="center"/>
              <w:rPr>
                <w:rFonts w:ascii="Times New Roman" w:eastAsia="Times New Roman" w:hAnsi="Times New Roman" w:cs="Times New Roman"/>
                <w:b/>
                <w:bCs/>
                <w:lang w:val="en-US"/>
              </w:rPr>
            </w:pPr>
            <w:r w:rsidRPr="00EC3845">
              <w:rPr>
                <w:rFonts w:ascii="Times New Roman" w:eastAsia="Times New Roman" w:hAnsi="Times New Roman" w:cs="Times New Roman"/>
                <w:b/>
                <w:bCs/>
                <w:lang w:val="en-US"/>
              </w:rPr>
              <w:t>Block</w:t>
            </w:r>
          </w:p>
        </w:tc>
        <w:tc>
          <w:tcPr>
            <w:tcW w:w="5670" w:type="dxa"/>
            <w:gridSpan w:val="2"/>
            <w:vAlign w:val="center"/>
          </w:tcPr>
          <w:p w14:paraId="72930370" w14:textId="49240010" w:rsidR="00F257B3" w:rsidRPr="00EC3845" w:rsidRDefault="00F257B3" w:rsidP="003F2D02">
            <w:pPr>
              <w:widowControl w:val="0"/>
              <w:autoSpaceDE w:val="0"/>
              <w:autoSpaceDN w:val="0"/>
              <w:spacing w:before="120" w:after="120" w:line="240" w:lineRule="auto"/>
              <w:jc w:val="center"/>
              <w:rPr>
                <w:rFonts w:ascii="Times New Roman" w:eastAsia="Times New Roman" w:hAnsi="Times New Roman" w:cs="Times New Roman"/>
                <w:b/>
                <w:bCs/>
                <w:lang w:val="en-US"/>
              </w:rPr>
            </w:pPr>
            <w:r w:rsidRPr="00EC3845">
              <w:rPr>
                <w:rFonts w:ascii="Times New Roman" w:eastAsia="Times New Roman" w:hAnsi="Times New Roman" w:cs="Times New Roman"/>
                <w:b/>
                <w:bCs/>
                <w:lang w:val="en-US"/>
              </w:rPr>
              <w:t>Selected floricultural crop</w:t>
            </w:r>
            <w:r>
              <w:rPr>
                <w:rFonts w:ascii="Times New Roman" w:eastAsia="Times New Roman" w:hAnsi="Times New Roman" w:cs="Times New Roman"/>
                <w:b/>
                <w:bCs/>
                <w:lang w:val="en-US"/>
              </w:rPr>
              <w:t xml:space="preserve"> (Azalea)</w:t>
            </w:r>
          </w:p>
        </w:tc>
      </w:tr>
      <w:tr w:rsidR="00F257B3" w:rsidRPr="00EC3845" w14:paraId="3934D28C" w14:textId="77777777" w:rsidTr="00F257B3">
        <w:trPr>
          <w:trHeight w:val="70"/>
        </w:trPr>
        <w:tc>
          <w:tcPr>
            <w:tcW w:w="1361" w:type="dxa"/>
            <w:vMerge/>
            <w:tcBorders>
              <w:bottom w:val="single" w:sz="4" w:space="0" w:color="auto"/>
            </w:tcBorders>
            <w:vAlign w:val="center"/>
          </w:tcPr>
          <w:p w14:paraId="1B552B2A"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2178" w:type="dxa"/>
            <w:vMerge/>
            <w:tcBorders>
              <w:bottom w:val="single" w:sz="4" w:space="0" w:color="auto"/>
            </w:tcBorders>
            <w:vAlign w:val="center"/>
          </w:tcPr>
          <w:p w14:paraId="2D659A5D"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3686" w:type="dxa"/>
            <w:tcBorders>
              <w:bottom w:val="single" w:sz="4" w:space="0" w:color="auto"/>
            </w:tcBorders>
            <w:vAlign w:val="center"/>
          </w:tcPr>
          <w:p w14:paraId="1DFADDA8" w14:textId="6B6171A2"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Clusters selected</w:t>
            </w:r>
          </w:p>
        </w:tc>
        <w:tc>
          <w:tcPr>
            <w:tcW w:w="1984" w:type="dxa"/>
            <w:tcBorders>
              <w:bottom w:val="single" w:sz="4" w:space="0" w:color="auto"/>
            </w:tcBorders>
            <w:vAlign w:val="center"/>
          </w:tcPr>
          <w:p w14:paraId="1E2AF86B" w14:textId="76FA1BED" w:rsidR="00F257B3"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No. of respondents</w:t>
            </w:r>
          </w:p>
        </w:tc>
      </w:tr>
      <w:tr w:rsidR="00F257B3" w:rsidRPr="00EC3845" w14:paraId="5660CAC6" w14:textId="77777777" w:rsidTr="00F257B3">
        <w:trPr>
          <w:trHeight w:val="70"/>
        </w:trPr>
        <w:tc>
          <w:tcPr>
            <w:tcW w:w="1361" w:type="dxa"/>
            <w:vMerge w:val="restart"/>
            <w:tcBorders>
              <w:bottom w:val="nil"/>
              <w:right w:val="single" w:sz="4" w:space="0" w:color="auto"/>
            </w:tcBorders>
            <w:vAlign w:val="center"/>
          </w:tcPr>
          <w:p w14:paraId="3A7E0C7E"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proofErr w:type="spellStart"/>
            <w:r w:rsidRPr="00EC3845">
              <w:rPr>
                <w:rFonts w:ascii="Times New Roman" w:eastAsia="Times New Roman" w:hAnsi="Times New Roman" w:cs="Times New Roman"/>
                <w:b/>
                <w:bCs/>
                <w:lang w:val="en-US"/>
              </w:rPr>
              <w:t>Kalimpong</w:t>
            </w:r>
            <w:proofErr w:type="spellEnd"/>
          </w:p>
        </w:tc>
        <w:tc>
          <w:tcPr>
            <w:tcW w:w="2178" w:type="dxa"/>
            <w:tcBorders>
              <w:left w:val="single" w:sz="4" w:space="0" w:color="auto"/>
              <w:bottom w:val="single" w:sz="4" w:space="0" w:color="auto"/>
              <w:right w:val="single" w:sz="4" w:space="0" w:color="auto"/>
            </w:tcBorders>
            <w:vAlign w:val="center"/>
          </w:tcPr>
          <w:p w14:paraId="10B20A21"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proofErr w:type="spellStart"/>
            <w:r w:rsidRPr="00EC3845">
              <w:rPr>
                <w:rFonts w:ascii="Times New Roman" w:eastAsia="Times New Roman" w:hAnsi="Times New Roman" w:cs="Times New Roman"/>
                <w:b/>
                <w:bCs/>
                <w:lang w:val="en-US"/>
              </w:rPr>
              <w:t>Kalimpong</w:t>
            </w:r>
            <w:proofErr w:type="spellEnd"/>
            <w:r w:rsidRPr="00EC3845">
              <w:rPr>
                <w:rFonts w:ascii="Times New Roman" w:eastAsia="Times New Roman" w:hAnsi="Times New Roman" w:cs="Times New Roman"/>
                <w:b/>
                <w:bCs/>
                <w:lang w:val="en-US"/>
              </w:rPr>
              <w:t>-I</w:t>
            </w:r>
          </w:p>
        </w:tc>
        <w:tc>
          <w:tcPr>
            <w:tcW w:w="3686" w:type="dxa"/>
            <w:tcBorders>
              <w:left w:val="single" w:sz="4" w:space="0" w:color="auto"/>
              <w:bottom w:val="single" w:sz="4" w:space="0" w:color="auto"/>
              <w:right w:val="single" w:sz="4" w:space="0" w:color="auto"/>
            </w:tcBorders>
            <w:vAlign w:val="center"/>
          </w:tcPr>
          <w:p w14:paraId="3A425274" w14:textId="14513EA1"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roofErr w:type="spellStart"/>
            <w:r w:rsidRPr="00EC3845">
              <w:rPr>
                <w:rFonts w:ascii="Times New Roman" w:eastAsia="Times New Roman" w:hAnsi="Times New Roman" w:cs="Times New Roman"/>
                <w:lang w:val="en-US"/>
              </w:rPr>
              <w:t>Pudung</w:t>
            </w:r>
            <w:proofErr w:type="spellEnd"/>
            <w:r w:rsidRPr="00EC384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EC3845">
              <w:rPr>
                <w:rFonts w:ascii="Times New Roman" w:eastAsia="Times New Roman" w:hAnsi="Times New Roman" w:cs="Times New Roman"/>
                <w:lang w:val="en-US"/>
              </w:rPr>
              <w:t>Sherpa Gaon,</w:t>
            </w:r>
            <w:r>
              <w:rPr>
                <w:rFonts w:ascii="Times New Roman" w:eastAsia="Times New Roman" w:hAnsi="Times New Roman" w:cs="Times New Roman"/>
                <w:lang w:val="en-US"/>
              </w:rPr>
              <w:t xml:space="preserve"> </w:t>
            </w:r>
            <w:r w:rsidRPr="00EC3845">
              <w:rPr>
                <w:rFonts w:ascii="Times New Roman" w:eastAsia="Times New Roman" w:hAnsi="Times New Roman" w:cs="Times New Roman"/>
                <w:lang w:val="en-US"/>
              </w:rPr>
              <w:t>Bong Busty</w:t>
            </w:r>
          </w:p>
        </w:tc>
        <w:tc>
          <w:tcPr>
            <w:tcW w:w="1984" w:type="dxa"/>
            <w:tcBorders>
              <w:left w:val="single" w:sz="4" w:space="0" w:color="auto"/>
              <w:bottom w:val="single" w:sz="4" w:space="0" w:color="auto"/>
              <w:right w:val="single" w:sz="4" w:space="0" w:color="auto"/>
            </w:tcBorders>
            <w:vAlign w:val="center"/>
          </w:tcPr>
          <w:p w14:paraId="5C658BF4" w14:textId="740E5CF6"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r w:rsidRPr="00EC3845">
              <w:rPr>
                <w:rFonts w:ascii="Times New Roman" w:eastAsia="Times New Roman" w:hAnsi="Times New Roman" w:cs="Times New Roman"/>
                <w:lang w:val="en-US"/>
              </w:rPr>
              <w:t>25</w:t>
            </w:r>
          </w:p>
        </w:tc>
      </w:tr>
      <w:tr w:rsidR="00F257B3" w:rsidRPr="00EC3845" w14:paraId="308479E1" w14:textId="77777777" w:rsidTr="00F257B3">
        <w:trPr>
          <w:trHeight w:val="80"/>
        </w:trPr>
        <w:tc>
          <w:tcPr>
            <w:tcW w:w="1361" w:type="dxa"/>
            <w:vMerge/>
            <w:tcBorders>
              <w:top w:val="nil"/>
              <w:bottom w:val="nil"/>
              <w:right w:val="single" w:sz="4" w:space="0" w:color="auto"/>
            </w:tcBorders>
            <w:vAlign w:val="center"/>
          </w:tcPr>
          <w:p w14:paraId="5A4FFA20"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2178" w:type="dxa"/>
            <w:tcBorders>
              <w:top w:val="single" w:sz="4" w:space="0" w:color="auto"/>
              <w:left w:val="single" w:sz="4" w:space="0" w:color="auto"/>
              <w:bottom w:val="single" w:sz="4" w:space="0" w:color="auto"/>
              <w:right w:val="single" w:sz="4" w:space="0" w:color="auto"/>
            </w:tcBorders>
            <w:vAlign w:val="center"/>
          </w:tcPr>
          <w:p w14:paraId="493B828E"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proofErr w:type="spellStart"/>
            <w:r w:rsidRPr="00EC3845">
              <w:rPr>
                <w:rFonts w:ascii="Times New Roman" w:eastAsia="Times New Roman" w:hAnsi="Times New Roman" w:cs="Times New Roman"/>
                <w:b/>
                <w:bCs/>
                <w:lang w:val="en-US"/>
              </w:rPr>
              <w:t>Kalimpong</w:t>
            </w:r>
            <w:proofErr w:type="spellEnd"/>
            <w:r w:rsidRPr="00EC3845">
              <w:rPr>
                <w:rFonts w:ascii="Times New Roman" w:eastAsia="Times New Roman" w:hAnsi="Times New Roman" w:cs="Times New Roman"/>
                <w:b/>
                <w:bCs/>
                <w:lang w:val="en-US"/>
              </w:rPr>
              <w:t>-II</w:t>
            </w:r>
          </w:p>
        </w:tc>
        <w:tc>
          <w:tcPr>
            <w:tcW w:w="3686" w:type="dxa"/>
            <w:tcBorders>
              <w:top w:val="single" w:sz="4" w:space="0" w:color="auto"/>
              <w:left w:val="single" w:sz="4" w:space="0" w:color="auto"/>
              <w:bottom w:val="single" w:sz="4" w:space="0" w:color="auto"/>
              <w:right w:val="single" w:sz="4" w:space="0" w:color="auto"/>
            </w:tcBorders>
            <w:vAlign w:val="center"/>
          </w:tcPr>
          <w:p w14:paraId="7E4E3A75" w14:textId="0BDC53D3"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roofErr w:type="spellStart"/>
            <w:r w:rsidRPr="00EC3845">
              <w:rPr>
                <w:rFonts w:ascii="Times New Roman" w:eastAsia="Times New Roman" w:hAnsi="Times New Roman" w:cs="Times New Roman"/>
                <w:lang w:val="en-US"/>
              </w:rPr>
              <w:t>Munsong</w:t>
            </w:r>
            <w:proofErr w:type="spellEnd"/>
            <w:r w:rsidRPr="00EC384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r w:rsidRPr="00EC3845">
              <w:rPr>
                <w:rFonts w:ascii="Times New Roman" w:eastAsia="Times New Roman" w:hAnsi="Times New Roman" w:cs="Times New Roman"/>
                <w:lang w:val="en-US"/>
              </w:rPr>
              <w:t>Burmaik</w:t>
            </w:r>
            <w:proofErr w:type="spellEnd"/>
            <w:r w:rsidRPr="00EC384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r w:rsidRPr="00EC3845">
              <w:rPr>
                <w:rFonts w:ascii="Times New Roman" w:eastAsia="Times New Roman" w:hAnsi="Times New Roman" w:cs="Times New Roman"/>
                <w:lang w:val="en-US"/>
              </w:rPr>
              <w:t>Paiyong</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085C44B" w14:textId="661151F6"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r w:rsidRPr="00EC3845">
              <w:rPr>
                <w:rFonts w:ascii="Times New Roman" w:eastAsia="Times New Roman" w:hAnsi="Times New Roman" w:cs="Times New Roman"/>
                <w:lang w:val="en-US"/>
              </w:rPr>
              <w:t>25</w:t>
            </w:r>
          </w:p>
        </w:tc>
      </w:tr>
      <w:tr w:rsidR="00F257B3" w:rsidRPr="00EC3845" w14:paraId="6CD3B7AD" w14:textId="77777777" w:rsidTr="00F257B3">
        <w:trPr>
          <w:trHeight w:val="80"/>
        </w:trPr>
        <w:tc>
          <w:tcPr>
            <w:tcW w:w="1361" w:type="dxa"/>
            <w:tcBorders>
              <w:top w:val="nil"/>
              <w:bottom w:val="single" w:sz="4" w:space="0" w:color="auto"/>
              <w:right w:val="single" w:sz="4" w:space="0" w:color="auto"/>
            </w:tcBorders>
            <w:vAlign w:val="center"/>
          </w:tcPr>
          <w:p w14:paraId="39E689F7"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2178" w:type="dxa"/>
            <w:tcBorders>
              <w:top w:val="single" w:sz="4" w:space="0" w:color="auto"/>
              <w:left w:val="single" w:sz="4" w:space="0" w:color="auto"/>
              <w:bottom w:val="single" w:sz="4" w:space="0" w:color="auto"/>
              <w:right w:val="single" w:sz="4" w:space="0" w:color="auto"/>
            </w:tcBorders>
            <w:vAlign w:val="center"/>
          </w:tcPr>
          <w:p w14:paraId="5C47AE1B" w14:textId="4633BF50"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Total</w:t>
            </w:r>
          </w:p>
        </w:tc>
        <w:tc>
          <w:tcPr>
            <w:tcW w:w="3686" w:type="dxa"/>
            <w:tcBorders>
              <w:top w:val="single" w:sz="4" w:space="0" w:color="auto"/>
              <w:left w:val="single" w:sz="4" w:space="0" w:color="auto"/>
              <w:bottom w:val="single" w:sz="4" w:space="0" w:color="auto"/>
              <w:right w:val="single" w:sz="4" w:space="0" w:color="auto"/>
            </w:tcBorders>
            <w:vAlign w:val="center"/>
          </w:tcPr>
          <w:p w14:paraId="44EF38CB" w14:textId="6D9EEF12" w:rsidR="00F257B3" w:rsidRPr="0088046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51CE6B24" w14:textId="4182294D"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50</w:t>
            </w:r>
          </w:p>
        </w:tc>
      </w:tr>
    </w:tbl>
    <w:p w14:paraId="742E01E5" w14:textId="77777777" w:rsidR="00880465" w:rsidRDefault="00880465" w:rsidP="000E0C24">
      <w:pPr>
        <w:widowControl w:val="0"/>
        <w:autoSpaceDE w:val="0"/>
        <w:autoSpaceDN w:val="0"/>
        <w:spacing w:after="120" w:line="360" w:lineRule="auto"/>
        <w:jc w:val="both"/>
        <w:outlineLvl w:val="0"/>
        <w:rPr>
          <w:rFonts w:ascii="Times New Roman" w:eastAsia="Times New Roman" w:hAnsi="Times New Roman" w:cs="Times New Roman"/>
          <w:b/>
          <w:bCs/>
          <w:sz w:val="24"/>
          <w:szCs w:val="24"/>
          <w:u w:color="000000"/>
          <w:lang w:val="en-US"/>
        </w:rPr>
      </w:pPr>
    </w:p>
    <w:p w14:paraId="4458D52D" w14:textId="7E9FE93F" w:rsidR="000E0C24" w:rsidRPr="002867EE" w:rsidRDefault="000E0C24" w:rsidP="000E0C24">
      <w:pPr>
        <w:widowControl w:val="0"/>
        <w:autoSpaceDE w:val="0"/>
        <w:autoSpaceDN w:val="0"/>
        <w:spacing w:after="120" w:line="360" w:lineRule="auto"/>
        <w:jc w:val="both"/>
        <w:outlineLvl w:val="0"/>
        <w:rPr>
          <w:rFonts w:ascii="Times New Roman" w:eastAsia="Times New Roman" w:hAnsi="Times New Roman" w:cs="Times New Roman"/>
          <w:b/>
          <w:bCs/>
          <w:sz w:val="24"/>
          <w:szCs w:val="24"/>
          <w:u w:val="single" w:color="000000"/>
          <w:lang w:val="en-US"/>
        </w:rPr>
      </w:pPr>
      <w:r w:rsidRPr="002867EE">
        <w:rPr>
          <w:rFonts w:ascii="Times New Roman" w:eastAsia="Times New Roman" w:hAnsi="Times New Roman" w:cs="Times New Roman"/>
          <w:b/>
          <w:bCs/>
          <w:sz w:val="24"/>
          <w:szCs w:val="24"/>
          <w:u w:color="000000"/>
          <w:lang w:val="en-US"/>
        </w:rPr>
        <w:lastRenderedPageBreak/>
        <w:t>Analytical techniques</w:t>
      </w:r>
    </w:p>
    <w:p w14:paraId="5C075B5D" w14:textId="1EF6FFC8" w:rsidR="000E0C24" w:rsidRPr="000E0C24" w:rsidRDefault="000E0C24" w:rsidP="000E0C24">
      <w:pPr>
        <w:widowControl w:val="0"/>
        <w:autoSpaceDE w:val="0"/>
        <w:autoSpaceDN w:val="0"/>
        <w:spacing w:before="120" w:after="120" w:line="360" w:lineRule="auto"/>
        <w:jc w:val="both"/>
        <w:rPr>
          <w:rFonts w:ascii="Times New Roman" w:eastAsia="Times New Roman" w:hAnsi="Times New Roman" w:cs="Times New Roman"/>
          <w:bCs/>
          <w:sz w:val="24"/>
          <w:szCs w:val="24"/>
          <w:lang w:val="en-US"/>
        </w:rPr>
      </w:pPr>
      <w:r w:rsidRPr="002867EE">
        <w:rPr>
          <w:rFonts w:ascii="Times New Roman" w:eastAsia="Times New Roman" w:hAnsi="Times New Roman" w:cs="Times New Roman"/>
          <w:sz w:val="24"/>
          <w:szCs w:val="24"/>
          <w:lang w:val="en-US"/>
        </w:rPr>
        <w:t>In order to fulfill various objectives, set-out, tabular method of analysis was followed. However, statistical tools are also used as and when required</w:t>
      </w:r>
    </w:p>
    <w:p w14:paraId="6AA91DDF" w14:textId="56C4D6AC" w:rsidR="000E0C24" w:rsidRPr="00CA18C6" w:rsidRDefault="000E0C24" w:rsidP="000E0C24">
      <w:pPr>
        <w:widowControl w:val="0"/>
        <w:autoSpaceDE w:val="0"/>
        <w:autoSpaceDN w:val="0"/>
        <w:spacing w:before="120" w:after="120" w:line="360" w:lineRule="auto"/>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b/>
          <w:sz w:val="24"/>
          <w:szCs w:val="24"/>
          <w:lang w:val="en-US"/>
        </w:rPr>
        <w:t>Income measures:</w:t>
      </w:r>
    </w:p>
    <w:p w14:paraId="74EBD14B" w14:textId="7F037EA9" w:rsidR="000E0C24" w:rsidRPr="00CA18C6" w:rsidRDefault="000E0C24" w:rsidP="000E0C24">
      <w:pPr>
        <w:widowControl w:val="0"/>
        <w:autoSpaceDE w:val="0"/>
        <w:autoSpaceDN w:val="0"/>
        <w:spacing w:before="120" w:after="120" w:line="360" w:lineRule="auto"/>
        <w:ind w:firstLine="7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The following income measures have been calculated and studied during the course of the study (</w:t>
      </w:r>
      <w:r w:rsidR="002B6801">
        <w:rPr>
          <w:rFonts w:ascii="Times New Roman" w:eastAsia="Times New Roman" w:hAnsi="Times New Roman" w:cs="Times New Roman"/>
          <w:bCs/>
          <w:sz w:val="24"/>
          <w:szCs w:val="24"/>
          <w:lang w:val="en-US"/>
        </w:rPr>
        <w:t xml:space="preserve">Raju </w:t>
      </w:r>
      <w:r w:rsidR="002B6801">
        <w:rPr>
          <w:rFonts w:ascii="Times New Roman" w:eastAsia="Times New Roman" w:hAnsi="Times New Roman" w:cs="Times New Roman"/>
          <w:bCs/>
          <w:i/>
          <w:iCs/>
          <w:sz w:val="24"/>
          <w:szCs w:val="24"/>
          <w:lang w:val="en-US"/>
        </w:rPr>
        <w:t xml:space="preserve">et. al., </w:t>
      </w:r>
      <w:r w:rsidR="002B6801" w:rsidRPr="002B6801">
        <w:rPr>
          <w:rFonts w:ascii="Times New Roman" w:eastAsia="Times New Roman" w:hAnsi="Times New Roman" w:cs="Times New Roman"/>
          <w:bCs/>
          <w:sz w:val="24"/>
          <w:szCs w:val="24"/>
          <w:lang w:val="en-US"/>
        </w:rPr>
        <w:t>2003</w:t>
      </w:r>
      <w:r w:rsidRPr="00CA18C6">
        <w:rPr>
          <w:rFonts w:ascii="Times New Roman" w:eastAsia="Times New Roman" w:hAnsi="Times New Roman" w:cs="Times New Roman"/>
          <w:sz w:val="24"/>
          <w:szCs w:val="24"/>
          <w:lang w:val="en-US"/>
        </w:rPr>
        <w:t>):</w:t>
      </w:r>
    </w:p>
    <w:p w14:paraId="15C92FEC" w14:textId="77777777" w:rsidR="000E0C24" w:rsidRPr="00CA18C6" w:rsidRDefault="000E0C24" w:rsidP="000E0C24">
      <w:pPr>
        <w:widowControl w:val="0"/>
        <w:autoSpaceDE w:val="0"/>
        <w:autoSpaceDN w:val="0"/>
        <w:spacing w:before="120" w:after="120" w:line="360" w:lineRule="auto"/>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b/>
          <w:sz w:val="24"/>
          <w:szCs w:val="24"/>
          <w:lang w:val="en-US"/>
        </w:rPr>
        <w:t xml:space="preserve">    (</w:t>
      </w:r>
      <w:proofErr w:type="spellStart"/>
      <w:r w:rsidRPr="00CA18C6">
        <w:rPr>
          <w:rFonts w:ascii="Times New Roman" w:eastAsia="Times New Roman" w:hAnsi="Times New Roman" w:cs="Times New Roman"/>
          <w:b/>
          <w:sz w:val="24"/>
          <w:szCs w:val="24"/>
          <w:lang w:val="en-US"/>
        </w:rPr>
        <w:t>i</w:t>
      </w:r>
      <w:proofErr w:type="spellEnd"/>
      <w:r w:rsidRPr="00CA18C6">
        <w:rPr>
          <w:rFonts w:ascii="Times New Roman" w:eastAsia="Times New Roman" w:hAnsi="Times New Roman" w:cs="Times New Roman"/>
          <w:b/>
          <w:sz w:val="24"/>
          <w:szCs w:val="24"/>
          <w:lang w:val="en-US"/>
        </w:rPr>
        <w:t xml:space="preserve">)   Gross income: </w:t>
      </w:r>
      <w:r w:rsidRPr="00CA18C6">
        <w:rPr>
          <w:rFonts w:ascii="Times New Roman" w:eastAsia="Times New Roman" w:hAnsi="Times New Roman" w:cs="Times New Roman"/>
          <w:sz w:val="24"/>
          <w:szCs w:val="24"/>
          <w:lang w:val="en-US"/>
        </w:rPr>
        <w:t>It is the total value of main product.</w:t>
      </w:r>
    </w:p>
    <w:p w14:paraId="62402602"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GI = (</w:t>
      </w:r>
      <w:proofErr w:type="spellStart"/>
      <w:r w:rsidRPr="00CA18C6">
        <w:rPr>
          <w:rFonts w:ascii="Times New Roman" w:eastAsia="Times New Roman" w:hAnsi="Times New Roman" w:cs="Times New Roman"/>
          <w:sz w:val="24"/>
          <w:szCs w:val="24"/>
          <w:lang w:val="en-US"/>
        </w:rPr>
        <w:t>Q</w:t>
      </w:r>
      <w:r w:rsidRPr="00CA18C6">
        <w:rPr>
          <w:rFonts w:ascii="Times New Roman" w:eastAsia="Times New Roman" w:hAnsi="Times New Roman" w:cs="Times New Roman"/>
          <w:sz w:val="24"/>
          <w:szCs w:val="24"/>
          <w:vertAlign w:val="subscript"/>
          <w:lang w:val="en-US"/>
        </w:rPr>
        <w:t>m</w:t>
      </w:r>
      <w:proofErr w:type="spellEnd"/>
      <w:r w:rsidRPr="00CA18C6">
        <w:rPr>
          <w:rFonts w:ascii="Times New Roman" w:eastAsia="Times New Roman" w:hAnsi="Times New Roman" w:cs="Times New Roman"/>
          <w:sz w:val="24"/>
          <w:szCs w:val="24"/>
          <w:lang w:val="en-US"/>
        </w:rPr>
        <w:t xml:space="preserve"> × P</w:t>
      </w:r>
      <w:r w:rsidRPr="00CA18C6">
        <w:rPr>
          <w:rFonts w:ascii="Times New Roman" w:eastAsia="Times New Roman" w:hAnsi="Times New Roman" w:cs="Times New Roman"/>
          <w:sz w:val="24"/>
          <w:szCs w:val="24"/>
          <w:vertAlign w:val="subscript"/>
          <w:lang w:val="en-US"/>
        </w:rPr>
        <w:t>m</w:t>
      </w:r>
      <w:r w:rsidRPr="00CA18C6">
        <w:rPr>
          <w:rFonts w:ascii="Times New Roman" w:eastAsia="Times New Roman" w:hAnsi="Times New Roman" w:cs="Times New Roman"/>
          <w:sz w:val="24"/>
          <w:szCs w:val="24"/>
          <w:lang w:val="en-US"/>
        </w:rPr>
        <w:t>)</w:t>
      </w:r>
    </w:p>
    <w:p w14:paraId="51FEFA2F"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where,</w:t>
      </w:r>
    </w:p>
    <w:p w14:paraId="3DD0C6A6"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GI = Gross income</w:t>
      </w:r>
    </w:p>
    <w:p w14:paraId="0D61A586"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proofErr w:type="spellStart"/>
      <w:r w:rsidRPr="00CA18C6">
        <w:rPr>
          <w:rFonts w:ascii="Times New Roman" w:eastAsia="Times New Roman" w:hAnsi="Times New Roman" w:cs="Times New Roman"/>
          <w:sz w:val="24"/>
          <w:szCs w:val="24"/>
          <w:lang w:val="en-US"/>
        </w:rPr>
        <w:t>Q</w:t>
      </w:r>
      <w:r w:rsidRPr="00CA18C6">
        <w:rPr>
          <w:rFonts w:ascii="Times New Roman" w:eastAsia="Times New Roman" w:hAnsi="Times New Roman" w:cs="Times New Roman"/>
          <w:sz w:val="24"/>
          <w:szCs w:val="24"/>
          <w:vertAlign w:val="subscript"/>
          <w:lang w:val="en-US"/>
        </w:rPr>
        <w:t>m</w:t>
      </w:r>
      <w:proofErr w:type="spellEnd"/>
      <w:r w:rsidRPr="00CA18C6">
        <w:rPr>
          <w:rFonts w:ascii="Times New Roman" w:eastAsia="Times New Roman" w:hAnsi="Times New Roman" w:cs="Times New Roman"/>
          <w:sz w:val="24"/>
          <w:szCs w:val="24"/>
          <w:lang w:val="en-US"/>
        </w:rPr>
        <w:t xml:space="preserve"> = Quantity of main product</w:t>
      </w:r>
    </w:p>
    <w:p w14:paraId="7617C9A3"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P</w:t>
      </w:r>
      <w:r w:rsidRPr="00CA18C6">
        <w:rPr>
          <w:rFonts w:ascii="Times New Roman" w:eastAsia="Times New Roman" w:hAnsi="Times New Roman" w:cs="Times New Roman"/>
          <w:sz w:val="24"/>
          <w:szCs w:val="24"/>
          <w:vertAlign w:val="subscript"/>
          <w:lang w:val="en-US"/>
        </w:rPr>
        <w:t>m</w:t>
      </w:r>
      <w:r w:rsidRPr="00CA18C6">
        <w:rPr>
          <w:rFonts w:ascii="Times New Roman" w:eastAsia="Times New Roman" w:hAnsi="Times New Roman" w:cs="Times New Roman"/>
          <w:sz w:val="24"/>
          <w:szCs w:val="24"/>
          <w:lang w:val="en-US"/>
        </w:rPr>
        <w:t xml:space="preserve"> = Price of main product</w:t>
      </w:r>
    </w:p>
    <w:p w14:paraId="43827560"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Returns over variable cost (RVC):</w:t>
      </w:r>
    </w:p>
    <w:p w14:paraId="7EDDC5BA"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RVC = Gross income – Cost A</w:t>
      </w:r>
      <w:r w:rsidRPr="00CA18C6">
        <w:rPr>
          <w:rFonts w:ascii="Times New Roman" w:eastAsia="Times New Roman" w:hAnsi="Times New Roman" w:cs="Times New Roman"/>
          <w:sz w:val="24"/>
          <w:szCs w:val="24"/>
          <w:vertAlign w:val="subscript"/>
          <w:lang w:val="en-US"/>
        </w:rPr>
        <w:t>1</w:t>
      </w:r>
    </w:p>
    <w:p w14:paraId="1CF77951"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Farm business income (FBI):</w:t>
      </w:r>
    </w:p>
    <w:p w14:paraId="5CF5DEEF"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FBI = Gross income – Cost A</w:t>
      </w:r>
      <w:r w:rsidRPr="00CA18C6">
        <w:rPr>
          <w:rFonts w:ascii="Times New Roman" w:eastAsia="Times New Roman" w:hAnsi="Times New Roman" w:cs="Times New Roman"/>
          <w:sz w:val="24"/>
          <w:szCs w:val="24"/>
          <w:vertAlign w:val="subscript"/>
          <w:lang w:val="en-US"/>
        </w:rPr>
        <w:t>2</w:t>
      </w:r>
    </w:p>
    <w:p w14:paraId="5F764DBD"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 xml:space="preserve">Family </w:t>
      </w:r>
      <w:proofErr w:type="spellStart"/>
      <w:r w:rsidRPr="00CA18C6">
        <w:rPr>
          <w:rFonts w:ascii="Times New Roman" w:eastAsia="Times New Roman" w:hAnsi="Times New Roman" w:cs="Times New Roman"/>
          <w:b/>
          <w:bCs/>
          <w:sz w:val="24"/>
          <w:szCs w:val="24"/>
          <w:lang w:val="en-US"/>
        </w:rPr>
        <w:t>labour</w:t>
      </w:r>
      <w:proofErr w:type="spellEnd"/>
      <w:r w:rsidRPr="00CA18C6">
        <w:rPr>
          <w:rFonts w:ascii="Times New Roman" w:eastAsia="Times New Roman" w:hAnsi="Times New Roman" w:cs="Times New Roman"/>
          <w:b/>
          <w:bCs/>
          <w:sz w:val="24"/>
          <w:szCs w:val="24"/>
          <w:lang w:val="en-US"/>
        </w:rPr>
        <w:t xml:space="preserve"> income (FLI) or returns to family </w:t>
      </w:r>
      <w:proofErr w:type="spellStart"/>
      <w:r w:rsidRPr="00CA18C6">
        <w:rPr>
          <w:rFonts w:ascii="Times New Roman" w:eastAsia="Times New Roman" w:hAnsi="Times New Roman" w:cs="Times New Roman"/>
          <w:b/>
          <w:bCs/>
          <w:sz w:val="24"/>
          <w:szCs w:val="24"/>
          <w:lang w:val="en-US"/>
        </w:rPr>
        <w:t>labour</w:t>
      </w:r>
      <w:proofErr w:type="spellEnd"/>
      <w:r w:rsidRPr="00CA18C6">
        <w:rPr>
          <w:rFonts w:ascii="Times New Roman" w:eastAsia="Times New Roman" w:hAnsi="Times New Roman" w:cs="Times New Roman"/>
          <w:b/>
          <w:bCs/>
          <w:sz w:val="24"/>
          <w:szCs w:val="24"/>
          <w:lang w:val="en-US"/>
        </w:rPr>
        <w:t>:</w:t>
      </w:r>
    </w:p>
    <w:p w14:paraId="58914079"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FLI = Gross income – Cost B</w:t>
      </w:r>
      <w:r w:rsidRPr="00CA18C6">
        <w:rPr>
          <w:rFonts w:ascii="Times New Roman" w:eastAsia="Times New Roman" w:hAnsi="Times New Roman" w:cs="Times New Roman"/>
          <w:sz w:val="24"/>
          <w:szCs w:val="24"/>
          <w:vertAlign w:val="subscript"/>
          <w:lang w:val="en-US"/>
        </w:rPr>
        <w:t>2</w:t>
      </w:r>
    </w:p>
    <w:p w14:paraId="5763429D"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Net income (NI):</w:t>
      </w:r>
    </w:p>
    <w:p w14:paraId="15FF6704"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NI = Gross income – Cost C</w:t>
      </w:r>
      <w:r w:rsidRPr="00CA18C6">
        <w:rPr>
          <w:rFonts w:ascii="Times New Roman" w:eastAsia="Times New Roman" w:hAnsi="Times New Roman" w:cs="Times New Roman"/>
          <w:sz w:val="24"/>
          <w:szCs w:val="24"/>
          <w:vertAlign w:val="subscript"/>
          <w:lang w:val="en-US"/>
        </w:rPr>
        <w:t>2</w:t>
      </w:r>
    </w:p>
    <w:p w14:paraId="021FC01A"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Returns to management</w:t>
      </w:r>
    </w:p>
    <w:p w14:paraId="1719490A"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RM = Gross income – Cost C</w:t>
      </w:r>
      <w:r w:rsidRPr="00CA18C6">
        <w:rPr>
          <w:rFonts w:ascii="Times New Roman" w:eastAsia="Times New Roman" w:hAnsi="Times New Roman" w:cs="Times New Roman"/>
          <w:sz w:val="24"/>
          <w:szCs w:val="24"/>
          <w:vertAlign w:val="subscript"/>
          <w:lang w:val="en-US"/>
        </w:rPr>
        <w:t>3</w:t>
      </w:r>
    </w:p>
    <w:p w14:paraId="4013C2D3" w14:textId="77777777" w:rsidR="000E0C24" w:rsidRPr="00CA18C6" w:rsidRDefault="000E0C24" w:rsidP="000E0C24">
      <w:pPr>
        <w:widowControl w:val="0"/>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 xml:space="preserve">    (vii) Returns per rupee (RPR)</w:t>
      </w:r>
    </w:p>
    <w:p w14:paraId="5126005A" w14:textId="5380C8EF" w:rsidR="000E0C24" w:rsidRPr="002B6801" w:rsidRDefault="000E0C24" w:rsidP="000E0C24">
      <w:pPr>
        <w:widowControl w:val="0"/>
        <w:autoSpaceDE w:val="0"/>
        <w:autoSpaceDN w:val="0"/>
        <w:spacing w:before="120" w:after="120" w:line="360" w:lineRule="auto"/>
        <w:jc w:val="both"/>
        <w:rPr>
          <w:rFonts w:ascii="Times New Roman" w:eastAsia="Times New Roman" w:hAnsi="Times New Roman" w:cs="Times New Roman"/>
          <w:bCs/>
          <w:i/>
          <w:iCs/>
          <w:sz w:val="24"/>
          <w:szCs w:val="24"/>
          <w:lang w:val="en-US"/>
        </w:rPr>
      </w:pPr>
      <w:r w:rsidRPr="00CA18C6">
        <w:rPr>
          <w:rFonts w:ascii="Times New Roman" w:eastAsia="Times New Roman" w:hAnsi="Times New Roman" w:cs="Times New Roman"/>
          <w:bCs/>
          <w:sz w:val="24"/>
          <w:szCs w:val="24"/>
          <w:lang w:val="en-US"/>
        </w:rPr>
        <w:t xml:space="preserve">    RPR= Gross income/ ha ÷ Cost C</w:t>
      </w:r>
      <w:r w:rsidRPr="00CA18C6">
        <w:rPr>
          <w:rFonts w:ascii="Times New Roman" w:eastAsia="Times New Roman" w:hAnsi="Times New Roman" w:cs="Times New Roman"/>
          <w:bCs/>
          <w:sz w:val="24"/>
          <w:szCs w:val="24"/>
          <w:vertAlign w:val="subscript"/>
          <w:lang w:val="en-US"/>
        </w:rPr>
        <w:t>2</w:t>
      </w:r>
      <w:r w:rsidRPr="00CA18C6">
        <w:rPr>
          <w:rFonts w:ascii="Times New Roman" w:eastAsia="Times New Roman" w:hAnsi="Times New Roman" w:cs="Times New Roman"/>
          <w:bCs/>
          <w:sz w:val="24"/>
          <w:szCs w:val="24"/>
          <w:lang w:val="en-US"/>
        </w:rPr>
        <w:t>/ha</w:t>
      </w:r>
      <w:r w:rsidR="002B6801">
        <w:rPr>
          <w:rFonts w:ascii="Times New Roman" w:eastAsia="Times New Roman" w:hAnsi="Times New Roman" w:cs="Times New Roman"/>
          <w:bCs/>
          <w:sz w:val="24"/>
          <w:szCs w:val="24"/>
          <w:lang w:val="en-US"/>
        </w:rPr>
        <w:t xml:space="preserve"> </w:t>
      </w:r>
    </w:p>
    <w:p w14:paraId="6D53959E"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1F08043B"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6A3C511D"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61F6E91E"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11D7D145"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28A1D44B"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11275FAE"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2268E53A"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6FE6C51F"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45AFE4AA"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56FB1F51"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7B96390F"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2C8CEB58"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0D628394" w14:textId="77777777" w:rsidR="00F07BB3" w:rsidRDefault="00F07BB3" w:rsidP="000E0C24">
      <w:pPr>
        <w:spacing w:after="120" w:line="372" w:lineRule="auto"/>
        <w:jc w:val="both"/>
        <w:rPr>
          <w:rFonts w:ascii="Times New Roman" w:eastAsia="Calibri" w:hAnsi="Times New Roman" w:cs="Times New Roman"/>
          <w:b/>
          <w:bCs/>
          <w:sz w:val="24"/>
          <w:szCs w:val="24"/>
        </w:rPr>
      </w:pPr>
    </w:p>
    <w:p w14:paraId="1ECD2D79" w14:textId="77777777" w:rsidR="00F07BB3" w:rsidRDefault="00F07BB3" w:rsidP="000E0C24">
      <w:pPr>
        <w:spacing w:after="120" w:line="372" w:lineRule="auto"/>
        <w:jc w:val="both"/>
        <w:rPr>
          <w:rFonts w:ascii="Times New Roman" w:eastAsia="Calibri" w:hAnsi="Times New Roman" w:cs="Times New Roman"/>
          <w:b/>
          <w:bCs/>
          <w:sz w:val="24"/>
          <w:szCs w:val="24"/>
        </w:rPr>
      </w:pPr>
    </w:p>
    <w:p w14:paraId="47904F5B" w14:textId="77777777" w:rsidR="00F07BB3" w:rsidRDefault="00F07BB3" w:rsidP="000E0C24">
      <w:pPr>
        <w:spacing w:after="120" w:line="372" w:lineRule="auto"/>
        <w:jc w:val="both"/>
        <w:rPr>
          <w:rFonts w:ascii="Times New Roman" w:eastAsia="Calibri" w:hAnsi="Times New Roman" w:cs="Times New Roman"/>
          <w:b/>
          <w:bCs/>
          <w:sz w:val="24"/>
          <w:szCs w:val="24"/>
        </w:rPr>
      </w:pPr>
    </w:p>
    <w:p w14:paraId="0D08658B" w14:textId="77777777" w:rsidR="00F07BB3" w:rsidRDefault="00F07BB3" w:rsidP="000E0C24">
      <w:pPr>
        <w:spacing w:after="120" w:line="372" w:lineRule="auto"/>
        <w:jc w:val="both"/>
        <w:rPr>
          <w:rFonts w:ascii="Times New Roman" w:eastAsia="Calibri" w:hAnsi="Times New Roman" w:cs="Times New Roman"/>
          <w:b/>
          <w:bCs/>
          <w:sz w:val="24"/>
          <w:szCs w:val="24"/>
        </w:rPr>
      </w:pPr>
    </w:p>
    <w:p w14:paraId="37FA4C7E" w14:textId="77777777" w:rsidR="00F07BB3" w:rsidRDefault="00F07BB3" w:rsidP="000E0C24">
      <w:pPr>
        <w:spacing w:after="120" w:line="372" w:lineRule="auto"/>
        <w:jc w:val="both"/>
        <w:rPr>
          <w:rFonts w:ascii="Times New Roman" w:eastAsia="Calibri" w:hAnsi="Times New Roman" w:cs="Times New Roman"/>
          <w:b/>
          <w:bCs/>
          <w:sz w:val="24"/>
          <w:szCs w:val="24"/>
        </w:rPr>
      </w:pPr>
    </w:p>
    <w:p w14:paraId="1E7363AC" w14:textId="77777777" w:rsidR="00F07BB3" w:rsidRDefault="00F07BB3" w:rsidP="000E0C24">
      <w:pPr>
        <w:spacing w:after="120" w:line="372" w:lineRule="auto"/>
        <w:jc w:val="both"/>
        <w:rPr>
          <w:rFonts w:ascii="Times New Roman" w:eastAsia="Calibri" w:hAnsi="Times New Roman" w:cs="Times New Roman"/>
          <w:b/>
          <w:bCs/>
          <w:sz w:val="24"/>
          <w:szCs w:val="24"/>
        </w:rPr>
      </w:pPr>
    </w:p>
    <w:p w14:paraId="27A872D0" w14:textId="77777777" w:rsidR="00F07BB3" w:rsidRDefault="00F07BB3" w:rsidP="000E0C24">
      <w:pPr>
        <w:spacing w:after="120" w:line="372" w:lineRule="auto"/>
        <w:jc w:val="both"/>
        <w:rPr>
          <w:rFonts w:ascii="Times New Roman" w:eastAsia="Calibri" w:hAnsi="Times New Roman" w:cs="Times New Roman"/>
          <w:b/>
          <w:bCs/>
          <w:sz w:val="24"/>
          <w:szCs w:val="24"/>
        </w:rPr>
      </w:pPr>
    </w:p>
    <w:p w14:paraId="0BF3C5C1" w14:textId="77777777" w:rsidR="00F07BB3" w:rsidRDefault="00F07BB3" w:rsidP="000E0C24">
      <w:pPr>
        <w:spacing w:after="120" w:line="372" w:lineRule="auto"/>
        <w:jc w:val="both"/>
        <w:rPr>
          <w:rFonts w:ascii="Times New Roman" w:eastAsia="Calibri" w:hAnsi="Times New Roman" w:cs="Times New Roman"/>
          <w:b/>
          <w:bCs/>
          <w:sz w:val="24"/>
          <w:szCs w:val="24"/>
        </w:rPr>
      </w:pPr>
    </w:p>
    <w:p w14:paraId="2A0C3F85"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60116EA1" w14:textId="77777777" w:rsidR="00FD3DF9" w:rsidRDefault="00FD3DF9" w:rsidP="000E0C24">
      <w:pPr>
        <w:spacing w:after="120" w:line="372" w:lineRule="auto"/>
        <w:jc w:val="both"/>
        <w:rPr>
          <w:rFonts w:ascii="Times New Roman" w:eastAsia="Calibri" w:hAnsi="Times New Roman" w:cs="Times New Roman"/>
          <w:b/>
          <w:bCs/>
          <w:sz w:val="24"/>
          <w:szCs w:val="24"/>
        </w:rPr>
      </w:pPr>
    </w:p>
    <w:p w14:paraId="44B4E45A" w14:textId="32ED98F3" w:rsidR="000E0C24" w:rsidRDefault="00F257B3" w:rsidP="000E0C24">
      <w:pPr>
        <w:spacing w:after="120" w:line="372"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Results and Discussion</w:t>
      </w:r>
    </w:p>
    <w:p w14:paraId="151A105F" w14:textId="6733AE5C" w:rsidR="000E0C24" w:rsidRPr="004C26E8" w:rsidRDefault="000E0C24" w:rsidP="000E0C24">
      <w:pPr>
        <w:spacing w:after="120" w:line="372" w:lineRule="auto"/>
        <w:jc w:val="both"/>
        <w:rPr>
          <w:rFonts w:ascii="Times New Roman" w:eastAsia="Calibri" w:hAnsi="Times New Roman" w:cs="Times New Roman"/>
          <w:sz w:val="24"/>
          <w:szCs w:val="24"/>
        </w:rPr>
      </w:pPr>
      <w:r w:rsidRPr="004C26E8">
        <w:rPr>
          <w:rFonts w:ascii="Times New Roman" w:eastAsia="Calibri" w:hAnsi="Times New Roman" w:cs="Times New Roman"/>
          <w:b/>
          <w:bCs/>
          <w:sz w:val="24"/>
          <w:szCs w:val="24"/>
        </w:rPr>
        <w:t xml:space="preserve">Analysis of Income and Employment patterns in the Production and Marketing of Principal Floricultural Crops in </w:t>
      </w:r>
      <w:proofErr w:type="spellStart"/>
      <w:r>
        <w:rPr>
          <w:rFonts w:ascii="Times New Roman" w:eastAsia="Calibri" w:hAnsi="Times New Roman" w:cs="Times New Roman"/>
          <w:b/>
          <w:bCs/>
          <w:sz w:val="24"/>
          <w:szCs w:val="24"/>
        </w:rPr>
        <w:t>Kalimpong</w:t>
      </w:r>
      <w:proofErr w:type="spellEnd"/>
      <w:r>
        <w:rPr>
          <w:rFonts w:ascii="Times New Roman" w:eastAsia="Calibri" w:hAnsi="Times New Roman" w:cs="Times New Roman"/>
          <w:b/>
          <w:bCs/>
          <w:sz w:val="24"/>
          <w:szCs w:val="24"/>
        </w:rPr>
        <w:t xml:space="preserve">--I Block of </w:t>
      </w:r>
      <w:proofErr w:type="spellStart"/>
      <w:r>
        <w:rPr>
          <w:rFonts w:ascii="Times New Roman" w:eastAsia="Calibri" w:hAnsi="Times New Roman" w:cs="Times New Roman"/>
          <w:b/>
          <w:bCs/>
          <w:sz w:val="24"/>
          <w:szCs w:val="24"/>
        </w:rPr>
        <w:t>Kalimpong</w:t>
      </w:r>
      <w:proofErr w:type="spellEnd"/>
      <w:r>
        <w:rPr>
          <w:rFonts w:ascii="Times New Roman" w:eastAsia="Calibri" w:hAnsi="Times New Roman" w:cs="Times New Roman"/>
          <w:b/>
          <w:bCs/>
          <w:sz w:val="24"/>
          <w:szCs w:val="24"/>
        </w:rPr>
        <w:t xml:space="preserve"> District</w:t>
      </w:r>
      <w:r w:rsidRPr="004C26E8">
        <w:rPr>
          <w:rFonts w:ascii="Times New Roman" w:eastAsia="Calibri" w:hAnsi="Times New Roman" w:cs="Times New Roman"/>
          <w:b/>
          <w:bCs/>
          <w:sz w:val="24"/>
          <w:szCs w:val="24"/>
        </w:rPr>
        <w:t xml:space="preserve"> of West Bengal</w:t>
      </w:r>
      <w:r w:rsidRPr="004C26E8">
        <w:rPr>
          <w:rFonts w:ascii="Times New Roman" w:eastAsia="Calibri" w:hAnsi="Times New Roman" w:cs="Times New Roman"/>
          <w:sz w:val="24"/>
          <w:szCs w:val="24"/>
        </w:rPr>
        <w:t>.</w:t>
      </w:r>
    </w:p>
    <w:p w14:paraId="0E1D6463" w14:textId="6AFE7378" w:rsidR="00FD3DF9" w:rsidRPr="004C26E8" w:rsidRDefault="000E0C24" w:rsidP="000E0C24">
      <w:pPr>
        <w:spacing w:after="120" w:line="372" w:lineRule="auto"/>
        <w:ind w:firstLine="720"/>
        <w:jc w:val="both"/>
        <w:rPr>
          <w:rFonts w:ascii="Times New Roman" w:hAnsi="Times New Roman" w:cs="Times New Roman"/>
          <w:sz w:val="24"/>
          <w:szCs w:val="24"/>
        </w:rPr>
      </w:pPr>
      <w:r w:rsidRPr="004C26E8">
        <w:rPr>
          <w:rFonts w:ascii="Times New Roman" w:hAnsi="Times New Roman" w:cs="Times New Roman"/>
          <w:sz w:val="24"/>
          <w:szCs w:val="24"/>
        </w:rPr>
        <w:t xml:space="preserve">The Table </w:t>
      </w:r>
      <w:r w:rsidR="00E63884">
        <w:rPr>
          <w:rFonts w:ascii="Times New Roman" w:hAnsi="Times New Roman" w:cs="Times New Roman"/>
          <w:sz w:val="24"/>
          <w:szCs w:val="24"/>
        </w:rPr>
        <w:t>2</w:t>
      </w:r>
      <w:r w:rsidR="00F257B3">
        <w:rPr>
          <w:rFonts w:ascii="Times New Roman" w:hAnsi="Times New Roman" w:cs="Times New Roman"/>
          <w:sz w:val="24"/>
          <w:szCs w:val="24"/>
        </w:rPr>
        <w:t xml:space="preserve"> </w:t>
      </w:r>
      <w:r w:rsidRPr="004C26E8">
        <w:rPr>
          <w:rFonts w:ascii="Times New Roman" w:hAnsi="Times New Roman" w:cs="Times New Roman"/>
          <w:sz w:val="24"/>
          <w:szCs w:val="24"/>
        </w:rPr>
        <w:t xml:space="preserve">shows that the gross income (GI) is highest for marginal farmers at ₹ 1,546,125, while the lowest GI is recorded for semi-medium farmers at ₹ 1,055,450. In terms </w:t>
      </w:r>
      <w:r w:rsidRPr="004C26E8">
        <w:rPr>
          <w:rFonts w:ascii="Times New Roman" w:hAnsi="Times New Roman" w:cs="Times New Roman"/>
          <w:sz w:val="24"/>
          <w:szCs w:val="24"/>
        </w:rPr>
        <w:lastRenderedPageBreak/>
        <w:t>of returns over variable costs (RVC), marginal farmers also have the highest returns of ₹ 777,599, while the semi-medium farmers have the lowest returns of ₹ 614,134. When examining family labour income (FLI), the trend follows a similar pattern, with the marginal farmers generating ₹ 796,109 compared to ₹ 632,634 for semi-medium farms. Net income (NI) ranges from ₹ 816,152 for the marginal farmers to ₹ 644,904 for semi-medium farmers. The returns to management (RM) shows a similar variation, peaking at ₹ 897,767 for the marginal farmers. In terms of returns per rupee (RPR), semi medium farmers achieve the highest returns at 2.57, while the pooled average is 2.17, reflecting more stable but lower returns across all farm sizes​.</w:t>
      </w:r>
    </w:p>
    <w:p w14:paraId="33FE1019" w14:textId="6F0B589F" w:rsidR="000E0C24" w:rsidRPr="004C26E8" w:rsidRDefault="000E0C24" w:rsidP="00F257B3">
      <w:pPr>
        <w:spacing w:after="120" w:line="240" w:lineRule="auto"/>
        <w:ind w:left="993" w:hanging="993"/>
        <w:jc w:val="both"/>
        <w:rPr>
          <w:rFonts w:ascii="Times New Roman" w:hAnsi="Times New Roman" w:cs="Times New Roman"/>
          <w:b/>
          <w:bCs/>
          <w:sz w:val="24"/>
          <w:szCs w:val="24"/>
        </w:rPr>
      </w:pPr>
      <w:r w:rsidRPr="004C26E8">
        <w:rPr>
          <w:rFonts w:ascii="Times New Roman" w:hAnsi="Times New Roman" w:cs="Times New Roman"/>
          <w:b/>
          <w:bCs/>
          <w:sz w:val="24"/>
          <w:szCs w:val="24"/>
        </w:rPr>
        <w:t>Table</w:t>
      </w:r>
      <w:r w:rsidR="00F257B3">
        <w:rPr>
          <w:rFonts w:ascii="Times New Roman" w:hAnsi="Times New Roman" w:cs="Times New Roman"/>
          <w:b/>
          <w:bCs/>
          <w:sz w:val="24"/>
          <w:szCs w:val="24"/>
        </w:rPr>
        <w:t xml:space="preserve"> </w:t>
      </w:r>
      <w:r w:rsidR="000B6F2C">
        <w:rPr>
          <w:rFonts w:ascii="Times New Roman" w:hAnsi="Times New Roman" w:cs="Times New Roman"/>
          <w:b/>
          <w:bCs/>
          <w:sz w:val="24"/>
          <w:szCs w:val="24"/>
        </w:rPr>
        <w:t>2</w:t>
      </w:r>
      <w:r w:rsidR="00F257B3">
        <w:rPr>
          <w:rFonts w:ascii="Times New Roman" w:hAnsi="Times New Roman" w:cs="Times New Roman"/>
          <w:b/>
          <w:bCs/>
          <w:sz w:val="24"/>
          <w:szCs w:val="24"/>
        </w:rPr>
        <w:t>.</w:t>
      </w:r>
      <w:r w:rsidRPr="004C26E8">
        <w:rPr>
          <w:rFonts w:ascii="Times New Roman" w:hAnsi="Times New Roman" w:cs="Times New Roman"/>
          <w:b/>
          <w:bCs/>
          <w:sz w:val="24"/>
          <w:szCs w:val="24"/>
        </w:rPr>
        <w:t xml:space="preserve"> Size Group-wise Income Generation pattern of Azalea flower growers in </w:t>
      </w:r>
      <w:proofErr w:type="spellStart"/>
      <w:r w:rsidRPr="004C26E8">
        <w:rPr>
          <w:rFonts w:ascii="Times New Roman" w:hAnsi="Times New Roman" w:cs="Times New Roman"/>
          <w:b/>
          <w:bCs/>
          <w:sz w:val="24"/>
          <w:szCs w:val="24"/>
        </w:rPr>
        <w:t>Kalimpong</w:t>
      </w:r>
      <w:proofErr w:type="spellEnd"/>
      <w:r w:rsidRPr="004C26E8">
        <w:rPr>
          <w:rFonts w:ascii="Times New Roman" w:hAnsi="Times New Roman" w:cs="Times New Roman"/>
          <w:b/>
          <w:bCs/>
          <w:sz w:val="24"/>
          <w:szCs w:val="24"/>
        </w:rPr>
        <w:t xml:space="preserve">-I Block of </w:t>
      </w:r>
      <w:proofErr w:type="spellStart"/>
      <w:r w:rsidRPr="004C26E8">
        <w:rPr>
          <w:rFonts w:ascii="Times New Roman" w:hAnsi="Times New Roman" w:cs="Times New Roman"/>
          <w:b/>
          <w:bCs/>
          <w:sz w:val="24"/>
          <w:szCs w:val="24"/>
        </w:rPr>
        <w:t>Kalimpong</w:t>
      </w:r>
      <w:proofErr w:type="spellEnd"/>
      <w:r w:rsidRPr="004C26E8">
        <w:rPr>
          <w:rFonts w:ascii="Times New Roman" w:hAnsi="Times New Roman" w:cs="Times New Roman"/>
          <w:b/>
          <w:bCs/>
          <w:sz w:val="24"/>
          <w:szCs w:val="24"/>
        </w:rPr>
        <w:t xml:space="preserve"> District of West Bengal (2022-23)</w:t>
      </w:r>
    </w:p>
    <w:tbl>
      <w:tblPr>
        <w:tblStyle w:val="TableGrid"/>
        <w:tblW w:w="5000" w:type="pct"/>
        <w:tblCellMar>
          <w:left w:w="43" w:type="dxa"/>
          <w:right w:w="43" w:type="dxa"/>
        </w:tblCellMar>
        <w:tblLook w:val="04A0" w:firstRow="1" w:lastRow="0" w:firstColumn="1" w:lastColumn="0" w:noHBand="0" w:noVBand="1"/>
      </w:tblPr>
      <w:tblGrid>
        <w:gridCol w:w="543"/>
        <w:gridCol w:w="3239"/>
        <w:gridCol w:w="1381"/>
        <w:gridCol w:w="1244"/>
        <w:gridCol w:w="1252"/>
        <w:gridCol w:w="1357"/>
      </w:tblGrid>
      <w:tr w:rsidR="000E0C24" w:rsidRPr="004C26E8" w14:paraId="1E0A6941" w14:textId="77777777" w:rsidTr="003F2D02">
        <w:trPr>
          <w:trHeight w:val="362"/>
        </w:trPr>
        <w:tc>
          <w:tcPr>
            <w:tcW w:w="352" w:type="pct"/>
            <w:vMerge w:val="restart"/>
            <w:vAlign w:val="center"/>
            <w:hideMark/>
          </w:tcPr>
          <w:p w14:paraId="34BC674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Sl. No</w:t>
            </w:r>
          </w:p>
        </w:tc>
        <w:tc>
          <w:tcPr>
            <w:tcW w:w="1542" w:type="pct"/>
            <w:vMerge w:val="restart"/>
            <w:vAlign w:val="center"/>
            <w:hideMark/>
          </w:tcPr>
          <w:p w14:paraId="3AD2BA41"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Particulars</w:t>
            </w:r>
          </w:p>
        </w:tc>
        <w:tc>
          <w:tcPr>
            <w:tcW w:w="2303" w:type="pct"/>
            <w:gridSpan w:val="3"/>
            <w:noWrap/>
            <w:vAlign w:val="center"/>
            <w:hideMark/>
          </w:tcPr>
          <w:p w14:paraId="41401094"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Category of farms</w:t>
            </w:r>
          </w:p>
        </w:tc>
        <w:tc>
          <w:tcPr>
            <w:tcW w:w="803" w:type="pct"/>
            <w:noWrap/>
            <w:vAlign w:val="center"/>
            <w:hideMark/>
          </w:tcPr>
          <w:p w14:paraId="51C8C3BF" w14:textId="77777777" w:rsidR="000E0C24" w:rsidRPr="004C26E8" w:rsidRDefault="000E0C24" w:rsidP="003F2D02">
            <w:pPr>
              <w:spacing w:before="120" w:after="120"/>
              <w:jc w:val="center"/>
              <w:rPr>
                <w:rFonts w:ascii="Times New Roman" w:hAnsi="Times New Roman" w:cs="Times New Roman"/>
                <w:b/>
                <w:bCs/>
                <w:szCs w:val="24"/>
              </w:rPr>
            </w:pPr>
          </w:p>
        </w:tc>
      </w:tr>
      <w:tr w:rsidR="000E0C24" w:rsidRPr="004C26E8" w14:paraId="54FE448E" w14:textId="77777777" w:rsidTr="003F2D02">
        <w:trPr>
          <w:trHeight w:val="64"/>
        </w:trPr>
        <w:tc>
          <w:tcPr>
            <w:tcW w:w="352" w:type="pct"/>
            <w:vMerge/>
            <w:vAlign w:val="center"/>
            <w:hideMark/>
          </w:tcPr>
          <w:p w14:paraId="1074A78D" w14:textId="77777777" w:rsidR="000E0C24" w:rsidRPr="004C26E8" w:rsidRDefault="000E0C24" w:rsidP="003F2D02">
            <w:pPr>
              <w:spacing w:before="120" w:after="120"/>
              <w:jc w:val="center"/>
              <w:rPr>
                <w:rFonts w:ascii="Times New Roman" w:hAnsi="Times New Roman" w:cs="Times New Roman"/>
                <w:b/>
                <w:bCs/>
                <w:szCs w:val="24"/>
              </w:rPr>
            </w:pPr>
          </w:p>
        </w:tc>
        <w:tc>
          <w:tcPr>
            <w:tcW w:w="1542" w:type="pct"/>
            <w:vMerge/>
            <w:vAlign w:val="center"/>
            <w:hideMark/>
          </w:tcPr>
          <w:p w14:paraId="664C83E4" w14:textId="77777777" w:rsidR="000E0C24" w:rsidRPr="004C26E8" w:rsidRDefault="000E0C24" w:rsidP="003F2D02">
            <w:pPr>
              <w:spacing w:before="120" w:after="120"/>
              <w:jc w:val="center"/>
              <w:rPr>
                <w:rFonts w:ascii="Times New Roman" w:hAnsi="Times New Roman" w:cs="Times New Roman"/>
                <w:b/>
                <w:bCs/>
                <w:szCs w:val="24"/>
              </w:rPr>
            </w:pPr>
          </w:p>
        </w:tc>
        <w:tc>
          <w:tcPr>
            <w:tcW w:w="817" w:type="pct"/>
            <w:noWrap/>
            <w:vAlign w:val="center"/>
            <w:hideMark/>
          </w:tcPr>
          <w:p w14:paraId="206CC07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Size &lt;1</w:t>
            </w:r>
          </w:p>
        </w:tc>
        <w:tc>
          <w:tcPr>
            <w:tcW w:w="741" w:type="pct"/>
            <w:noWrap/>
            <w:vAlign w:val="center"/>
            <w:hideMark/>
          </w:tcPr>
          <w:p w14:paraId="0720214C"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Size 1-2</w:t>
            </w:r>
          </w:p>
        </w:tc>
        <w:tc>
          <w:tcPr>
            <w:tcW w:w="745" w:type="pct"/>
            <w:noWrap/>
            <w:vAlign w:val="center"/>
            <w:hideMark/>
          </w:tcPr>
          <w:p w14:paraId="76AA1D73"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size 2-4</w:t>
            </w:r>
          </w:p>
        </w:tc>
        <w:tc>
          <w:tcPr>
            <w:tcW w:w="803" w:type="pct"/>
            <w:noWrap/>
            <w:vAlign w:val="center"/>
            <w:hideMark/>
          </w:tcPr>
          <w:p w14:paraId="7738B17F"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Pooled</w:t>
            </w:r>
          </w:p>
        </w:tc>
      </w:tr>
      <w:tr w:rsidR="000E0C24" w:rsidRPr="004C26E8" w14:paraId="370077EC" w14:textId="77777777" w:rsidTr="003F2D02">
        <w:trPr>
          <w:trHeight w:val="64"/>
        </w:trPr>
        <w:tc>
          <w:tcPr>
            <w:tcW w:w="352" w:type="pct"/>
            <w:noWrap/>
            <w:vAlign w:val="center"/>
            <w:hideMark/>
          </w:tcPr>
          <w:p w14:paraId="3998D952"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1</w:t>
            </w:r>
          </w:p>
        </w:tc>
        <w:tc>
          <w:tcPr>
            <w:tcW w:w="1542" w:type="pct"/>
            <w:noWrap/>
            <w:vAlign w:val="center"/>
            <w:hideMark/>
          </w:tcPr>
          <w:p w14:paraId="37D6018C"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Gross income (GI)</w:t>
            </w:r>
          </w:p>
        </w:tc>
        <w:tc>
          <w:tcPr>
            <w:tcW w:w="817" w:type="pct"/>
            <w:noWrap/>
            <w:vAlign w:val="center"/>
            <w:hideMark/>
          </w:tcPr>
          <w:p w14:paraId="28061AC6"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1546125.00</w:t>
            </w:r>
          </w:p>
        </w:tc>
        <w:tc>
          <w:tcPr>
            <w:tcW w:w="741" w:type="pct"/>
            <w:noWrap/>
            <w:vAlign w:val="center"/>
            <w:hideMark/>
          </w:tcPr>
          <w:p w14:paraId="0D3DD947"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1484968.75</w:t>
            </w:r>
          </w:p>
        </w:tc>
        <w:tc>
          <w:tcPr>
            <w:tcW w:w="745" w:type="pct"/>
            <w:noWrap/>
            <w:vAlign w:val="center"/>
            <w:hideMark/>
          </w:tcPr>
          <w:p w14:paraId="18C526E0"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1055450.00</w:t>
            </w:r>
          </w:p>
        </w:tc>
        <w:tc>
          <w:tcPr>
            <w:tcW w:w="803" w:type="pct"/>
            <w:noWrap/>
            <w:vAlign w:val="center"/>
            <w:hideMark/>
          </w:tcPr>
          <w:p w14:paraId="5E712E0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1388189.52</w:t>
            </w:r>
          </w:p>
        </w:tc>
      </w:tr>
      <w:tr w:rsidR="000E0C24" w:rsidRPr="004C26E8" w14:paraId="412C088B" w14:textId="77777777" w:rsidTr="003F2D02">
        <w:trPr>
          <w:trHeight w:val="419"/>
        </w:trPr>
        <w:tc>
          <w:tcPr>
            <w:tcW w:w="352" w:type="pct"/>
            <w:noWrap/>
            <w:vAlign w:val="center"/>
            <w:hideMark/>
          </w:tcPr>
          <w:p w14:paraId="2805725A"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2</w:t>
            </w:r>
          </w:p>
        </w:tc>
        <w:tc>
          <w:tcPr>
            <w:tcW w:w="1542" w:type="pct"/>
            <w:noWrap/>
            <w:vAlign w:val="center"/>
            <w:hideMark/>
          </w:tcPr>
          <w:p w14:paraId="7400A37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Returns over variable cost (RVC)</w:t>
            </w:r>
          </w:p>
        </w:tc>
        <w:tc>
          <w:tcPr>
            <w:tcW w:w="817" w:type="pct"/>
            <w:noWrap/>
            <w:vAlign w:val="center"/>
            <w:hideMark/>
          </w:tcPr>
          <w:p w14:paraId="578BCB9E"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777599.47</w:t>
            </w:r>
          </w:p>
        </w:tc>
        <w:tc>
          <w:tcPr>
            <w:tcW w:w="741" w:type="pct"/>
            <w:noWrap/>
            <w:vAlign w:val="center"/>
            <w:hideMark/>
          </w:tcPr>
          <w:p w14:paraId="290F6004"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756879.73</w:t>
            </w:r>
          </w:p>
        </w:tc>
        <w:tc>
          <w:tcPr>
            <w:tcW w:w="745" w:type="pct"/>
            <w:noWrap/>
            <w:vAlign w:val="center"/>
            <w:hideMark/>
          </w:tcPr>
          <w:p w14:paraId="4DE33758"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614134.71</w:t>
            </w:r>
          </w:p>
        </w:tc>
        <w:tc>
          <w:tcPr>
            <w:tcW w:w="803" w:type="pct"/>
            <w:noWrap/>
            <w:vAlign w:val="center"/>
            <w:hideMark/>
          </w:tcPr>
          <w:p w14:paraId="20CF0629"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712331.52</w:t>
            </w:r>
          </w:p>
        </w:tc>
      </w:tr>
      <w:tr w:rsidR="000E0C24" w:rsidRPr="004C26E8" w14:paraId="2FCA9AF8" w14:textId="77777777" w:rsidTr="003F2D02">
        <w:trPr>
          <w:trHeight w:val="470"/>
        </w:trPr>
        <w:tc>
          <w:tcPr>
            <w:tcW w:w="352" w:type="pct"/>
            <w:noWrap/>
            <w:vAlign w:val="center"/>
            <w:hideMark/>
          </w:tcPr>
          <w:p w14:paraId="5150986F"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3</w:t>
            </w:r>
          </w:p>
        </w:tc>
        <w:tc>
          <w:tcPr>
            <w:tcW w:w="1542" w:type="pct"/>
            <w:noWrap/>
            <w:vAlign w:val="center"/>
            <w:hideMark/>
          </w:tcPr>
          <w:p w14:paraId="1BF4AF4C"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Family labour income (FLI)</w:t>
            </w:r>
          </w:p>
        </w:tc>
        <w:tc>
          <w:tcPr>
            <w:tcW w:w="817" w:type="pct"/>
            <w:noWrap/>
            <w:vAlign w:val="center"/>
            <w:hideMark/>
          </w:tcPr>
          <w:p w14:paraId="14F5A957"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796109.47</w:t>
            </w:r>
          </w:p>
        </w:tc>
        <w:tc>
          <w:tcPr>
            <w:tcW w:w="741" w:type="pct"/>
            <w:noWrap/>
            <w:vAlign w:val="center"/>
            <w:hideMark/>
          </w:tcPr>
          <w:p w14:paraId="2F6E20F5"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775399.73</w:t>
            </w:r>
          </w:p>
        </w:tc>
        <w:tc>
          <w:tcPr>
            <w:tcW w:w="745" w:type="pct"/>
            <w:noWrap/>
            <w:vAlign w:val="center"/>
            <w:hideMark/>
          </w:tcPr>
          <w:p w14:paraId="2EF3333E"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632634.71</w:t>
            </w:r>
          </w:p>
        </w:tc>
        <w:tc>
          <w:tcPr>
            <w:tcW w:w="803" w:type="pct"/>
            <w:noWrap/>
            <w:vAlign w:val="center"/>
            <w:hideMark/>
          </w:tcPr>
          <w:p w14:paraId="43019C01"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730943.52</w:t>
            </w:r>
          </w:p>
        </w:tc>
      </w:tr>
      <w:tr w:rsidR="000E0C24" w:rsidRPr="004C26E8" w14:paraId="4E9EFD5B" w14:textId="77777777" w:rsidTr="003F2D02">
        <w:trPr>
          <w:trHeight w:val="64"/>
        </w:trPr>
        <w:tc>
          <w:tcPr>
            <w:tcW w:w="352" w:type="pct"/>
            <w:noWrap/>
            <w:vAlign w:val="center"/>
            <w:hideMark/>
          </w:tcPr>
          <w:p w14:paraId="0AA7F650"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4</w:t>
            </w:r>
          </w:p>
        </w:tc>
        <w:tc>
          <w:tcPr>
            <w:tcW w:w="1542" w:type="pct"/>
            <w:noWrap/>
            <w:vAlign w:val="center"/>
            <w:hideMark/>
          </w:tcPr>
          <w:p w14:paraId="68A102D9"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Net income (NI)</w:t>
            </w:r>
          </w:p>
        </w:tc>
        <w:tc>
          <w:tcPr>
            <w:tcW w:w="817" w:type="pct"/>
            <w:noWrap/>
            <w:vAlign w:val="center"/>
            <w:hideMark/>
          </w:tcPr>
          <w:p w14:paraId="03F729F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816152.10</w:t>
            </w:r>
          </w:p>
        </w:tc>
        <w:tc>
          <w:tcPr>
            <w:tcW w:w="741" w:type="pct"/>
            <w:noWrap/>
            <w:vAlign w:val="center"/>
            <w:hideMark/>
          </w:tcPr>
          <w:p w14:paraId="3C125248"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793761.23</w:t>
            </w:r>
          </w:p>
        </w:tc>
        <w:tc>
          <w:tcPr>
            <w:tcW w:w="745" w:type="pct"/>
            <w:noWrap/>
            <w:vAlign w:val="center"/>
            <w:hideMark/>
          </w:tcPr>
          <w:p w14:paraId="25EB74AA"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644904.34</w:t>
            </w:r>
          </w:p>
        </w:tc>
        <w:tc>
          <w:tcPr>
            <w:tcW w:w="803" w:type="pct"/>
            <w:noWrap/>
            <w:vAlign w:val="center"/>
            <w:hideMark/>
          </w:tcPr>
          <w:p w14:paraId="54E775C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747570.40</w:t>
            </w:r>
          </w:p>
        </w:tc>
      </w:tr>
      <w:tr w:rsidR="000E0C24" w:rsidRPr="004C26E8" w14:paraId="7301887F" w14:textId="77777777" w:rsidTr="003F2D02">
        <w:trPr>
          <w:trHeight w:val="64"/>
        </w:trPr>
        <w:tc>
          <w:tcPr>
            <w:tcW w:w="352" w:type="pct"/>
            <w:noWrap/>
            <w:vAlign w:val="center"/>
            <w:hideMark/>
          </w:tcPr>
          <w:p w14:paraId="446A7BA0"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5</w:t>
            </w:r>
          </w:p>
        </w:tc>
        <w:tc>
          <w:tcPr>
            <w:tcW w:w="1542" w:type="pct"/>
            <w:noWrap/>
            <w:vAlign w:val="center"/>
            <w:hideMark/>
          </w:tcPr>
          <w:p w14:paraId="441594B9"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Returns to management (RM)</w:t>
            </w:r>
          </w:p>
        </w:tc>
        <w:tc>
          <w:tcPr>
            <w:tcW w:w="817" w:type="pct"/>
            <w:noWrap/>
            <w:vAlign w:val="center"/>
            <w:hideMark/>
          </w:tcPr>
          <w:p w14:paraId="0AF750C1"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897767.31</w:t>
            </w:r>
          </w:p>
        </w:tc>
        <w:tc>
          <w:tcPr>
            <w:tcW w:w="741" w:type="pct"/>
            <w:noWrap/>
            <w:vAlign w:val="center"/>
            <w:hideMark/>
          </w:tcPr>
          <w:p w14:paraId="4CE1C3E5"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873137.36</w:t>
            </w:r>
          </w:p>
        </w:tc>
        <w:tc>
          <w:tcPr>
            <w:tcW w:w="745" w:type="pct"/>
            <w:noWrap/>
            <w:vAlign w:val="center"/>
            <w:hideMark/>
          </w:tcPr>
          <w:p w14:paraId="0C25027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709394.77</w:t>
            </w:r>
          </w:p>
        </w:tc>
        <w:tc>
          <w:tcPr>
            <w:tcW w:w="803" w:type="pct"/>
            <w:noWrap/>
            <w:vAlign w:val="center"/>
            <w:hideMark/>
          </w:tcPr>
          <w:p w14:paraId="02DCFDCE"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822327.44</w:t>
            </w:r>
          </w:p>
        </w:tc>
      </w:tr>
      <w:tr w:rsidR="000E0C24" w:rsidRPr="004C26E8" w14:paraId="6BEC5C9E" w14:textId="77777777" w:rsidTr="003F2D02">
        <w:trPr>
          <w:trHeight w:val="64"/>
        </w:trPr>
        <w:tc>
          <w:tcPr>
            <w:tcW w:w="352" w:type="pct"/>
            <w:noWrap/>
            <w:vAlign w:val="center"/>
            <w:hideMark/>
          </w:tcPr>
          <w:p w14:paraId="1CDE66FA"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6</w:t>
            </w:r>
          </w:p>
        </w:tc>
        <w:tc>
          <w:tcPr>
            <w:tcW w:w="1542" w:type="pct"/>
            <w:noWrap/>
            <w:vAlign w:val="center"/>
            <w:hideMark/>
          </w:tcPr>
          <w:p w14:paraId="1B21528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Returns per rupee (RPR)</w:t>
            </w:r>
          </w:p>
        </w:tc>
        <w:tc>
          <w:tcPr>
            <w:tcW w:w="817" w:type="pct"/>
            <w:noWrap/>
            <w:vAlign w:val="center"/>
            <w:hideMark/>
          </w:tcPr>
          <w:p w14:paraId="6867A004"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2.12</w:t>
            </w:r>
          </w:p>
        </w:tc>
        <w:tc>
          <w:tcPr>
            <w:tcW w:w="741" w:type="pct"/>
            <w:noWrap/>
            <w:vAlign w:val="center"/>
            <w:hideMark/>
          </w:tcPr>
          <w:p w14:paraId="6A72A247"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2.15</w:t>
            </w:r>
          </w:p>
        </w:tc>
        <w:tc>
          <w:tcPr>
            <w:tcW w:w="745" w:type="pct"/>
            <w:noWrap/>
            <w:vAlign w:val="center"/>
            <w:hideMark/>
          </w:tcPr>
          <w:p w14:paraId="4AC85C0D"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2.57</w:t>
            </w:r>
          </w:p>
        </w:tc>
        <w:tc>
          <w:tcPr>
            <w:tcW w:w="803" w:type="pct"/>
            <w:noWrap/>
            <w:vAlign w:val="center"/>
            <w:hideMark/>
          </w:tcPr>
          <w:p w14:paraId="03804BE6"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2.17</w:t>
            </w:r>
          </w:p>
        </w:tc>
      </w:tr>
    </w:tbl>
    <w:p w14:paraId="65A9FDBA" w14:textId="77777777" w:rsidR="000E0C24" w:rsidRDefault="000E0C24" w:rsidP="000E0C24">
      <w:pPr>
        <w:spacing w:after="0" w:line="360" w:lineRule="auto"/>
        <w:jc w:val="both"/>
        <w:rPr>
          <w:rFonts w:ascii="Times New Roman" w:hAnsi="Times New Roman" w:cs="Times New Roman"/>
          <w:sz w:val="24"/>
          <w:szCs w:val="24"/>
        </w:rPr>
      </w:pPr>
    </w:p>
    <w:p w14:paraId="20B3229B" w14:textId="3583BEB5" w:rsidR="00F257B3" w:rsidRDefault="000E0C24" w:rsidP="000E0C24">
      <w:pPr>
        <w:spacing w:after="120" w:line="372" w:lineRule="auto"/>
        <w:ind w:firstLine="720"/>
        <w:jc w:val="both"/>
        <w:rPr>
          <w:rFonts w:ascii="Times New Roman" w:hAnsi="Times New Roman" w:cs="Times New Roman"/>
          <w:sz w:val="24"/>
          <w:szCs w:val="24"/>
        </w:rPr>
      </w:pPr>
      <w:r w:rsidRPr="002D2D0B">
        <w:rPr>
          <w:rFonts w:ascii="Times New Roman" w:hAnsi="Times New Roman" w:cs="Times New Roman"/>
          <w:sz w:val="24"/>
          <w:szCs w:val="24"/>
        </w:rPr>
        <w:t xml:space="preserve">The </w:t>
      </w:r>
      <w:r>
        <w:rPr>
          <w:rFonts w:ascii="Times New Roman" w:hAnsi="Times New Roman" w:cs="Times New Roman"/>
          <w:sz w:val="24"/>
          <w:szCs w:val="24"/>
        </w:rPr>
        <w:t>T</w:t>
      </w:r>
      <w:r w:rsidRPr="002D2D0B">
        <w:rPr>
          <w:rFonts w:ascii="Times New Roman" w:hAnsi="Times New Roman" w:cs="Times New Roman"/>
          <w:sz w:val="24"/>
          <w:szCs w:val="24"/>
        </w:rPr>
        <w:t>able</w:t>
      </w:r>
      <w:r>
        <w:rPr>
          <w:rFonts w:ascii="Times New Roman" w:hAnsi="Times New Roman" w:cs="Times New Roman"/>
          <w:sz w:val="24"/>
          <w:szCs w:val="24"/>
        </w:rPr>
        <w:t xml:space="preserve"> </w:t>
      </w:r>
      <w:r w:rsidR="00E63884">
        <w:rPr>
          <w:rFonts w:ascii="Times New Roman" w:hAnsi="Times New Roman" w:cs="Times New Roman"/>
          <w:sz w:val="24"/>
          <w:szCs w:val="24"/>
        </w:rPr>
        <w:t>3</w:t>
      </w:r>
      <w:r w:rsidR="00F257B3">
        <w:rPr>
          <w:rFonts w:ascii="Times New Roman" w:hAnsi="Times New Roman" w:cs="Times New Roman"/>
          <w:sz w:val="24"/>
          <w:szCs w:val="24"/>
        </w:rPr>
        <w:t xml:space="preserve"> </w:t>
      </w:r>
      <w:r w:rsidRPr="002D2D0B">
        <w:rPr>
          <w:rFonts w:ascii="Times New Roman" w:hAnsi="Times New Roman" w:cs="Times New Roman"/>
          <w:sz w:val="24"/>
          <w:szCs w:val="24"/>
        </w:rPr>
        <w:t>display</w:t>
      </w:r>
      <w:r>
        <w:rPr>
          <w:rFonts w:ascii="Times New Roman" w:hAnsi="Times New Roman" w:cs="Times New Roman"/>
          <w:sz w:val="24"/>
          <w:szCs w:val="24"/>
        </w:rPr>
        <w:t>s</w:t>
      </w:r>
      <w:r w:rsidRPr="002D2D0B">
        <w:rPr>
          <w:rFonts w:ascii="Times New Roman" w:hAnsi="Times New Roman" w:cs="Times New Roman"/>
          <w:sz w:val="24"/>
          <w:szCs w:val="24"/>
        </w:rPr>
        <w:t xml:space="preserve"> the employment generation in terms of family and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for Azalea flower growers in </w:t>
      </w:r>
      <w:proofErr w:type="spellStart"/>
      <w:r w:rsidRPr="002D2D0B">
        <w:rPr>
          <w:rFonts w:ascii="Times New Roman" w:hAnsi="Times New Roman" w:cs="Times New Roman"/>
          <w:sz w:val="24"/>
          <w:szCs w:val="24"/>
        </w:rPr>
        <w:t>Kalimpong</w:t>
      </w:r>
      <w:proofErr w:type="spellEnd"/>
      <w:r w:rsidRPr="002D2D0B">
        <w:rPr>
          <w:rFonts w:ascii="Times New Roman" w:hAnsi="Times New Roman" w:cs="Times New Roman"/>
          <w:sz w:val="24"/>
          <w:szCs w:val="24"/>
        </w:rPr>
        <w:t xml:space="preserve">-I Block. </w:t>
      </w:r>
      <w:r>
        <w:rPr>
          <w:rFonts w:ascii="Times New Roman" w:hAnsi="Times New Roman" w:cs="Times New Roman"/>
          <w:sz w:val="24"/>
          <w:szCs w:val="24"/>
        </w:rPr>
        <w:t>Marginal farmers</w:t>
      </w:r>
      <w:r w:rsidRPr="002D2D0B">
        <w:rPr>
          <w:rFonts w:ascii="Times New Roman" w:hAnsi="Times New Roman" w:cs="Times New Roman"/>
          <w:sz w:val="24"/>
          <w:szCs w:val="24"/>
        </w:rPr>
        <w:t xml:space="preserve"> ha</w:t>
      </w:r>
      <w:r>
        <w:rPr>
          <w:rFonts w:ascii="Times New Roman" w:hAnsi="Times New Roman" w:cs="Times New Roman"/>
          <w:sz w:val="24"/>
          <w:szCs w:val="24"/>
        </w:rPr>
        <w:t>ve</w:t>
      </w:r>
      <w:r w:rsidRPr="002D2D0B">
        <w:rPr>
          <w:rFonts w:ascii="Times New Roman" w:hAnsi="Times New Roman" w:cs="Times New Roman"/>
          <w:sz w:val="24"/>
          <w:szCs w:val="24"/>
        </w:rPr>
        <w:t xml:space="preserve"> a total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contribution of 43.86 man-days and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of 29.26 man-days, resulting in a total </w:t>
      </w:r>
      <w:r>
        <w:rPr>
          <w:rFonts w:ascii="Times New Roman" w:hAnsi="Times New Roman" w:cs="Times New Roman"/>
          <w:sz w:val="24"/>
          <w:szCs w:val="24"/>
        </w:rPr>
        <w:t>labour</w:t>
      </w:r>
      <w:r w:rsidRPr="002D2D0B">
        <w:rPr>
          <w:rFonts w:ascii="Times New Roman" w:hAnsi="Times New Roman" w:cs="Times New Roman"/>
          <w:sz w:val="24"/>
          <w:szCs w:val="24"/>
        </w:rPr>
        <w:t xml:space="preserve"> usage of 73.12 man-days. </w:t>
      </w:r>
      <w:r>
        <w:rPr>
          <w:rFonts w:ascii="Times New Roman" w:hAnsi="Times New Roman" w:cs="Times New Roman"/>
          <w:sz w:val="24"/>
          <w:szCs w:val="24"/>
        </w:rPr>
        <w:t>Small farmers</w:t>
      </w:r>
      <w:r w:rsidRPr="002D2D0B">
        <w:rPr>
          <w:rFonts w:ascii="Times New Roman" w:hAnsi="Times New Roman" w:cs="Times New Roman"/>
          <w:sz w:val="24"/>
          <w:szCs w:val="24"/>
        </w:rPr>
        <w:t xml:space="preserve"> record slightly higher </w:t>
      </w:r>
      <w:r>
        <w:rPr>
          <w:rFonts w:ascii="Times New Roman" w:hAnsi="Times New Roman" w:cs="Times New Roman"/>
          <w:sz w:val="24"/>
          <w:szCs w:val="24"/>
        </w:rPr>
        <w:t>labour</w:t>
      </w:r>
      <w:r w:rsidRPr="002D2D0B">
        <w:rPr>
          <w:rFonts w:ascii="Times New Roman" w:hAnsi="Times New Roman" w:cs="Times New Roman"/>
          <w:sz w:val="24"/>
          <w:szCs w:val="24"/>
        </w:rPr>
        <w:t xml:space="preserve"> utilization, with 44.86 man-days of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and 30.26 man-days of hired </w:t>
      </w:r>
      <w:r>
        <w:rPr>
          <w:rFonts w:ascii="Times New Roman" w:hAnsi="Times New Roman" w:cs="Times New Roman"/>
          <w:sz w:val="24"/>
          <w:szCs w:val="24"/>
        </w:rPr>
        <w:t>labour</w:t>
      </w:r>
      <w:r w:rsidRPr="002D2D0B">
        <w:rPr>
          <w:rFonts w:ascii="Times New Roman" w:hAnsi="Times New Roman" w:cs="Times New Roman"/>
          <w:sz w:val="24"/>
          <w:szCs w:val="24"/>
        </w:rPr>
        <w:t>, amounting to 75.12 man-days in total. Semi-medium farm</w:t>
      </w:r>
      <w:r>
        <w:rPr>
          <w:rFonts w:ascii="Times New Roman" w:hAnsi="Times New Roman" w:cs="Times New Roman"/>
          <w:sz w:val="24"/>
          <w:szCs w:val="24"/>
        </w:rPr>
        <w:t>ers</w:t>
      </w:r>
      <w:r w:rsidRPr="002D2D0B">
        <w:rPr>
          <w:rFonts w:ascii="Times New Roman" w:hAnsi="Times New Roman" w:cs="Times New Roman"/>
          <w:sz w:val="24"/>
          <w:szCs w:val="24"/>
        </w:rPr>
        <w:t xml:space="preserve"> ha</w:t>
      </w:r>
      <w:r>
        <w:rPr>
          <w:rFonts w:ascii="Times New Roman" w:hAnsi="Times New Roman" w:cs="Times New Roman"/>
          <w:sz w:val="24"/>
          <w:szCs w:val="24"/>
        </w:rPr>
        <w:t>ve</w:t>
      </w:r>
      <w:r w:rsidRPr="002D2D0B">
        <w:rPr>
          <w:rFonts w:ascii="Times New Roman" w:hAnsi="Times New Roman" w:cs="Times New Roman"/>
          <w:sz w:val="24"/>
          <w:szCs w:val="24"/>
        </w:rPr>
        <w:t xml:space="preserve"> the highest total </w:t>
      </w:r>
      <w:r>
        <w:rPr>
          <w:rFonts w:ascii="Times New Roman" w:hAnsi="Times New Roman" w:cs="Times New Roman"/>
          <w:sz w:val="24"/>
          <w:szCs w:val="24"/>
        </w:rPr>
        <w:t>labour</w:t>
      </w:r>
      <w:r w:rsidRPr="002D2D0B">
        <w:rPr>
          <w:rFonts w:ascii="Times New Roman" w:hAnsi="Times New Roman" w:cs="Times New Roman"/>
          <w:sz w:val="24"/>
          <w:szCs w:val="24"/>
        </w:rPr>
        <w:t xml:space="preserve"> usage, with 45.86 man-days of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and 31.26 man-days of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making a total of 77.12 man-days. The pooled average for all farm sizes </w:t>
      </w:r>
      <w:r>
        <w:rPr>
          <w:rFonts w:ascii="Times New Roman" w:hAnsi="Times New Roman" w:cs="Times New Roman"/>
          <w:sz w:val="24"/>
          <w:szCs w:val="24"/>
        </w:rPr>
        <w:t>i</w:t>
      </w:r>
      <w:r w:rsidRPr="002D2D0B">
        <w:rPr>
          <w:rFonts w:ascii="Times New Roman" w:hAnsi="Times New Roman" w:cs="Times New Roman"/>
          <w:sz w:val="24"/>
          <w:szCs w:val="24"/>
        </w:rPr>
        <w:t xml:space="preserve">s 46.86 man-days of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32.26 man-days of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and 79.12 man-days of total </w:t>
      </w:r>
      <w:r>
        <w:rPr>
          <w:rFonts w:ascii="Times New Roman" w:hAnsi="Times New Roman" w:cs="Times New Roman"/>
          <w:sz w:val="24"/>
          <w:szCs w:val="24"/>
        </w:rPr>
        <w:t>labour</w:t>
      </w:r>
      <w:r w:rsidRPr="002D2D0B">
        <w:rPr>
          <w:rFonts w:ascii="Times New Roman" w:hAnsi="Times New Roman" w:cs="Times New Roman"/>
          <w:sz w:val="24"/>
          <w:szCs w:val="24"/>
        </w:rPr>
        <w:t>. This indicate</w:t>
      </w:r>
      <w:r>
        <w:rPr>
          <w:rFonts w:ascii="Times New Roman" w:hAnsi="Times New Roman" w:cs="Times New Roman"/>
          <w:sz w:val="24"/>
          <w:szCs w:val="24"/>
        </w:rPr>
        <w:t>s</w:t>
      </w:r>
      <w:r w:rsidRPr="002D2D0B">
        <w:rPr>
          <w:rFonts w:ascii="Times New Roman" w:hAnsi="Times New Roman" w:cs="Times New Roman"/>
          <w:sz w:val="24"/>
          <w:szCs w:val="24"/>
        </w:rPr>
        <w:t xml:space="preserve"> that while smaller farm</w:t>
      </w:r>
      <w:r>
        <w:rPr>
          <w:rFonts w:ascii="Times New Roman" w:hAnsi="Times New Roman" w:cs="Times New Roman"/>
          <w:sz w:val="24"/>
          <w:szCs w:val="24"/>
        </w:rPr>
        <w:t>ers</w:t>
      </w:r>
      <w:r w:rsidRPr="002D2D0B">
        <w:rPr>
          <w:rFonts w:ascii="Times New Roman" w:hAnsi="Times New Roman" w:cs="Times New Roman"/>
          <w:sz w:val="24"/>
          <w:szCs w:val="24"/>
        </w:rPr>
        <w:t xml:space="preserve"> depend more heavily on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larger farms hire more external </w:t>
      </w:r>
      <w:r>
        <w:rPr>
          <w:rFonts w:ascii="Times New Roman" w:hAnsi="Times New Roman" w:cs="Times New Roman"/>
          <w:sz w:val="24"/>
          <w:szCs w:val="24"/>
        </w:rPr>
        <w:t>labour</w:t>
      </w:r>
      <w:r w:rsidRPr="002D2D0B">
        <w:rPr>
          <w:rFonts w:ascii="Times New Roman" w:hAnsi="Times New Roman" w:cs="Times New Roman"/>
          <w:sz w:val="24"/>
          <w:szCs w:val="24"/>
        </w:rPr>
        <w:t xml:space="preserve">, which align with </w:t>
      </w:r>
      <w:r>
        <w:rPr>
          <w:rFonts w:ascii="Times New Roman" w:hAnsi="Times New Roman" w:cs="Times New Roman"/>
          <w:sz w:val="24"/>
          <w:szCs w:val="24"/>
        </w:rPr>
        <w:t xml:space="preserve">the </w:t>
      </w:r>
      <w:r w:rsidRPr="002D2D0B">
        <w:rPr>
          <w:rFonts w:ascii="Times New Roman" w:hAnsi="Times New Roman" w:cs="Times New Roman"/>
          <w:sz w:val="24"/>
          <w:szCs w:val="24"/>
        </w:rPr>
        <w:lastRenderedPageBreak/>
        <w:t>stud</w:t>
      </w:r>
      <w:r>
        <w:rPr>
          <w:rFonts w:ascii="Times New Roman" w:hAnsi="Times New Roman" w:cs="Times New Roman"/>
          <w:sz w:val="24"/>
          <w:szCs w:val="24"/>
        </w:rPr>
        <w:t xml:space="preserve">y conducted by </w:t>
      </w:r>
      <w:r w:rsidRPr="002D2D0B">
        <w:rPr>
          <w:rFonts w:ascii="Times New Roman" w:hAnsi="Times New Roman" w:cs="Times New Roman"/>
          <w:sz w:val="24"/>
          <w:szCs w:val="24"/>
        </w:rPr>
        <w:t>(Patra et al., 2020) showing that larger farms often outsource</w:t>
      </w:r>
      <w:r>
        <w:rPr>
          <w:rFonts w:ascii="Times New Roman" w:hAnsi="Times New Roman" w:cs="Times New Roman"/>
          <w:sz w:val="24"/>
          <w:szCs w:val="24"/>
        </w:rPr>
        <w:t>d</w:t>
      </w:r>
      <w:r w:rsidRPr="002D2D0B">
        <w:rPr>
          <w:rFonts w:ascii="Times New Roman" w:hAnsi="Times New Roman" w:cs="Times New Roman"/>
          <w:sz w:val="24"/>
          <w:szCs w:val="24"/>
        </w:rPr>
        <w:t xml:space="preserve"> </w:t>
      </w:r>
      <w:r>
        <w:rPr>
          <w:rFonts w:ascii="Times New Roman" w:hAnsi="Times New Roman" w:cs="Times New Roman"/>
          <w:sz w:val="24"/>
          <w:szCs w:val="24"/>
        </w:rPr>
        <w:t>labour</w:t>
      </w:r>
      <w:r w:rsidRPr="002D2D0B">
        <w:rPr>
          <w:rFonts w:ascii="Times New Roman" w:hAnsi="Times New Roman" w:cs="Times New Roman"/>
          <w:sz w:val="24"/>
          <w:szCs w:val="24"/>
        </w:rPr>
        <w:t xml:space="preserve"> to meet higher demand during intensive farming periods</w:t>
      </w:r>
      <w:r>
        <w:rPr>
          <w:rFonts w:ascii="Times New Roman" w:hAnsi="Times New Roman" w:cs="Times New Roman"/>
          <w:sz w:val="24"/>
          <w:szCs w:val="24"/>
        </w:rPr>
        <w:t>.</w:t>
      </w:r>
    </w:p>
    <w:p w14:paraId="1AE05956" w14:textId="26EFB29D" w:rsidR="000E0C24" w:rsidRPr="00533338" w:rsidRDefault="000E0C24" w:rsidP="00F257B3">
      <w:pPr>
        <w:spacing w:after="120" w:line="240" w:lineRule="auto"/>
        <w:ind w:left="851" w:hanging="851"/>
        <w:jc w:val="both"/>
        <w:rPr>
          <w:b/>
          <w:bCs/>
        </w:rPr>
      </w:pPr>
      <w:r>
        <w:rPr>
          <w:rFonts w:ascii="Times New Roman" w:hAnsi="Times New Roman" w:cs="Times New Roman"/>
          <w:b/>
          <w:bCs/>
          <w:sz w:val="24"/>
          <w:szCs w:val="24"/>
        </w:rPr>
        <w:t xml:space="preserve">Table </w:t>
      </w:r>
      <w:r w:rsidR="000B6F2C">
        <w:rPr>
          <w:rFonts w:ascii="Times New Roman" w:hAnsi="Times New Roman" w:cs="Times New Roman"/>
          <w:b/>
          <w:bCs/>
          <w:sz w:val="24"/>
          <w:szCs w:val="24"/>
        </w:rPr>
        <w:t>3</w:t>
      </w:r>
      <w:r w:rsidR="00F257B3">
        <w:rPr>
          <w:rFonts w:ascii="Times New Roman" w:hAnsi="Times New Roman" w:cs="Times New Roman"/>
          <w:b/>
          <w:bCs/>
          <w:sz w:val="24"/>
          <w:szCs w:val="24"/>
        </w:rPr>
        <w:t>.</w:t>
      </w:r>
      <w:r>
        <w:rPr>
          <w:rFonts w:ascii="Times New Roman" w:hAnsi="Times New Roman" w:cs="Times New Roman"/>
          <w:b/>
          <w:bCs/>
          <w:sz w:val="24"/>
          <w:szCs w:val="24"/>
        </w:rPr>
        <w:t xml:space="preserve"> </w:t>
      </w:r>
      <w:r w:rsidRPr="00533338">
        <w:rPr>
          <w:rFonts w:ascii="Times New Roman" w:hAnsi="Times New Roman" w:cs="Times New Roman"/>
          <w:b/>
          <w:bCs/>
          <w:sz w:val="24"/>
          <w:szCs w:val="24"/>
        </w:rPr>
        <w:t xml:space="preserve">Size Group-wise employment generation (in </w:t>
      </w:r>
      <w:proofErr w:type="spellStart"/>
      <w:r w:rsidRPr="00533338">
        <w:rPr>
          <w:rFonts w:ascii="Times New Roman" w:hAnsi="Times New Roman" w:cs="Times New Roman"/>
          <w:b/>
          <w:bCs/>
          <w:sz w:val="24"/>
          <w:szCs w:val="24"/>
        </w:rPr>
        <w:t>mandays</w:t>
      </w:r>
      <w:proofErr w:type="spellEnd"/>
      <w:r w:rsidRPr="00533338">
        <w:rPr>
          <w:rFonts w:ascii="Times New Roman" w:hAnsi="Times New Roman" w:cs="Times New Roman"/>
          <w:b/>
          <w:bCs/>
          <w:sz w:val="24"/>
          <w:szCs w:val="24"/>
        </w:rPr>
        <w:t xml:space="preserve">) of Azalea flower growers in </w:t>
      </w:r>
      <w:proofErr w:type="spellStart"/>
      <w:r w:rsidRPr="00533338">
        <w:rPr>
          <w:rFonts w:ascii="Times New Roman" w:hAnsi="Times New Roman" w:cs="Times New Roman"/>
          <w:b/>
          <w:bCs/>
          <w:sz w:val="24"/>
          <w:szCs w:val="24"/>
        </w:rPr>
        <w:t>Kalimpong</w:t>
      </w:r>
      <w:proofErr w:type="spellEnd"/>
      <w:r w:rsidRPr="00533338">
        <w:rPr>
          <w:rFonts w:ascii="Times New Roman" w:hAnsi="Times New Roman" w:cs="Times New Roman"/>
          <w:b/>
          <w:bCs/>
          <w:sz w:val="24"/>
          <w:szCs w:val="24"/>
        </w:rPr>
        <w:t xml:space="preserve">-I Block of </w:t>
      </w:r>
      <w:proofErr w:type="spellStart"/>
      <w:r w:rsidRPr="00533338">
        <w:rPr>
          <w:rFonts w:ascii="Times New Roman" w:hAnsi="Times New Roman" w:cs="Times New Roman"/>
          <w:b/>
          <w:bCs/>
          <w:sz w:val="24"/>
          <w:szCs w:val="24"/>
        </w:rPr>
        <w:t>Kalimpong</w:t>
      </w:r>
      <w:proofErr w:type="spellEnd"/>
      <w:r w:rsidRPr="00533338">
        <w:rPr>
          <w:rFonts w:ascii="Times New Roman" w:hAnsi="Times New Roman" w:cs="Times New Roman"/>
          <w:b/>
          <w:bCs/>
          <w:sz w:val="24"/>
          <w:szCs w:val="24"/>
        </w:rPr>
        <w:t xml:space="preserve"> </w:t>
      </w:r>
      <w:r>
        <w:rPr>
          <w:rFonts w:ascii="Times New Roman" w:hAnsi="Times New Roman" w:cs="Times New Roman"/>
          <w:b/>
          <w:bCs/>
          <w:sz w:val="24"/>
          <w:szCs w:val="24"/>
        </w:rPr>
        <w:t>D</w:t>
      </w:r>
      <w:r w:rsidRPr="00533338">
        <w:rPr>
          <w:rFonts w:ascii="Times New Roman" w:hAnsi="Times New Roman" w:cs="Times New Roman"/>
          <w:b/>
          <w:bCs/>
          <w:sz w:val="24"/>
          <w:szCs w:val="24"/>
        </w:rPr>
        <w:t>istrict of West Bengal (202</w:t>
      </w:r>
      <w:r>
        <w:rPr>
          <w:rFonts w:ascii="Times New Roman" w:hAnsi="Times New Roman" w:cs="Times New Roman"/>
          <w:b/>
          <w:bCs/>
          <w:sz w:val="24"/>
          <w:szCs w:val="24"/>
        </w:rPr>
        <w:t>2</w:t>
      </w:r>
      <w:r w:rsidRPr="00533338">
        <w:rPr>
          <w:rFonts w:ascii="Times New Roman" w:hAnsi="Times New Roman" w:cs="Times New Roman"/>
          <w:b/>
          <w:bCs/>
          <w:sz w:val="24"/>
          <w:szCs w:val="24"/>
        </w:rPr>
        <w:t>-2</w:t>
      </w:r>
      <w:r>
        <w:rPr>
          <w:rFonts w:ascii="Times New Roman" w:hAnsi="Times New Roman" w:cs="Times New Roman"/>
          <w:b/>
          <w:bCs/>
          <w:sz w:val="24"/>
          <w:szCs w:val="24"/>
        </w:rPr>
        <w:t>3</w:t>
      </w:r>
      <w:r w:rsidRPr="00533338">
        <w:rPr>
          <w:rFonts w:ascii="Times New Roman" w:hAnsi="Times New Roman" w:cs="Times New Roman"/>
          <w:b/>
          <w:bCs/>
          <w:sz w:val="24"/>
          <w:szCs w:val="24"/>
        </w:rPr>
        <w:t>)</w:t>
      </w:r>
    </w:p>
    <w:tbl>
      <w:tblPr>
        <w:tblStyle w:val="TableGrid"/>
        <w:tblW w:w="5000" w:type="pct"/>
        <w:tblLayout w:type="fixed"/>
        <w:tblCellMar>
          <w:left w:w="43" w:type="dxa"/>
          <w:right w:w="43" w:type="dxa"/>
        </w:tblCellMar>
        <w:tblLook w:val="04A0" w:firstRow="1" w:lastRow="0" w:firstColumn="1" w:lastColumn="0" w:noHBand="0" w:noVBand="1"/>
      </w:tblPr>
      <w:tblGrid>
        <w:gridCol w:w="2405"/>
        <w:gridCol w:w="2671"/>
        <w:gridCol w:w="2223"/>
        <w:gridCol w:w="1717"/>
      </w:tblGrid>
      <w:tr w:rsidR="000E0C24" w:rsidRPr="005E4579" w14:paraId="0E1845CD" w14:textId="77777777" w:rsidTr="00F257B3">
        <w:trPr>
          <w:trHeight w:val="509"/>
        </w:trPr>
        <w:tc>
          <w:tcPr>
            <w:tcW w:w="1334" w:type="pct"/>
            <w:vMerge w:val="restart"/>
            <w:noWrap/>
            <w:vAlign w:val="center"/>
            <w:hideMark/>
          </w:tcPr>
          <w:p w14:paraId="2BCFEA12"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Size-Group (hectare)</w:t>
            </w:r>
          </w:p>
        </w:tc>
        <w:tc>
          <w:tcPr>
            <w:tcW w:w="1481" w:type="pct"/>
            <w:vMerge w:val="restart"/>
            <w:vAlign w:val="center"/>
            <w:hideMark/>
          </w:tcPr>
          <w:p w14:paraId="6253865C" w14:textId="77777777" w:rsidR="000E0C24" w:rsidRPr="00585BD2" w:rsidRDefault="000E0C24" w:rsidP="003F2D02">
            <w:pPr>
              <w:spacing w:before="120" w:after="120"/>
              <w:jc w:val="center"/>
              <w:rPr>
                <w:rFonts w:ascii="Times New Roman" w:hAnsi="Times New Roman" w:cs="Times New Roman"/>
                <w:b/>
                <w:bCs/>
                <w:sz w:val="24"/>
                <w:szCs w:val="24"/>
              </w:rPr>
            </w:pPr>
            <w:r w:rsidRPr="00585BD2">
              <w:rPr>
                <w:rFonts w:ascii="Times New Roman" w:hAnsi="Times New Roman" w:cs="Times New Roman"/>
                <w:b/>
                <w:bCs/>
                <w:sz w:val="24"/>
                <w:szCs w:val="24"/>
              </w:rPr>
              <w:t>Total Family labour</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mandays</w:t>
            </w:r>
            <w:proofErr w:type="spellEnd"/>
            <w:r>
              <w:rPr>
                <w:rFonts w:ascii="Times New Roman" w:hAnsi="Times New Roman" w:cs="Times New Roman"/>
                <w:b/>
                <w:bCs/>
                <w:sz w:val="24"/>
                <w:szCs w:val="24"/>
              </w:rPr>
              <w:t>)</w:t>
            </w:r>
          </w:p>
        </w:tc>
        <w:tc>
          <w:tcPr>
            <w:tcW w:w="1233" w:type="pct"/>
            <w:vMerge w:val="restart"/>
            <w:vAlign w:val="center"/>
            <w:hideMark/>
          </w:tcPr>
          <w:p w14:paraId="39565EC0" w14:textId="77777777" w:rsidR="000E0C24" w:rsidRPr="00585BD2" w:rsidRDefault="000E0C24" w:rsidP="003F2D02">
            <w:pPr>
              <w:spacing w:before="120" w:after="120"/>
              <w:jc w:val="center"/>
              <w:rPr>
                <w:rFonts w:ascii="Times New Roman" w:hAnsi="Times New Roman" w:cs="Times New Roman"/>
                <w:b/>
                <w:bCs/>
                <w:sz w:val="24"/>
                <w:szCs w:val="24"/>
              </w:rPr>
            </w:pPr>
            <w:r w:rsidRPr="00585BD2">
              <w:rPr>
                <w:rFonts w:ascii="Times New Roman" w:hAnsi="Times New Roman" w:cs="Times New Roman"/>
                <w:b/>
                <w:bCs/>
                <w:sz w:val="24"/>
                <w:szCs w:val="24"/>
              </w:rPr>
              <w:t>Total Hired Labour</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mandays</w:t>
            </w:r>
            <w:proofErr w:type="spellEnd"/>
            <w:r>
              <w:rPr>
                <w:rFonts w:ascii="Times New Roman" w:hAnsi="Times New Roman" w:cs="Times New Roman"/>
                <w:b/>
                <w:bCs/>
                <w:sz w:val="24"/>
                <w:szCs w:val="24"/>
              </w:rPr>
              <w:t>)</w:t>
            </w:r>
          </w:p>
        </w:tc>
        <w:tc>
          <w:tcPr>
            <w:tcW w:w="953" w:type="pct"/>
            <w:vMerge w:val="restart"/>
            <w:noWrap/>
            <w:vAlign w:val="center"/>
            <w:hideMark/>
          </w:tcPr>
          <w:p w14:paraId="417DB1BC" w14:textId="77777777" w:rsidR="000E0C24" w:rsidRPr="00585BD2" w:rsidRDefault="000E0C24" w:rsidP="003F2D02">
            <w:pPr>
              <w:spacing w:before="120" w:after="120"/>
              <w:jc w:val="center"/>
              <w:rPr>
                <w:rFonts w:ascii="Times New Roman" w:hAnsi="Times New Roman" w:cs="Times New Roman"/>
                <w:b/>
                <w:bCs/>
                <w:sz w:val="24"/>
                <w:szCs w:val="24"/>
              </w:rPr>
            </w:pPr>
            <w:r w:rsidRPr="00585BD2">
              <w:rPr>
                <w:rFonts w:ascii="Times New Roman" w:hAnsi="Times New Roman" w:cs="Times New Roman"/>
                <w:b/>
                <w:bCs/>
                <w:sz w:val="24"/>
                <w:szCs w:val="24"/>
              </w:rPr>
              <w:t>Total labour</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mandays</w:t>
            </w:r>
            <w:proofErr w:type="spellEnd"/>
            <w:r>
              <w:rPr>
                <w:rFonts w:ascii="Times New Roman" w:hAnsi="Times New Roman" w:cs="Times New Roman"/>
                <w:b/>
                <w:bCs/>
                <w:sz w:val="24"/>
                <w:szCs w:val="24"/>
              </w:rPr>
              <w:t>)</w:t>
            </w:r>
          </w:p>
        </w:tc>
      </w:tr>
      <w:tr w:rsidR="000E0C24" w:rsidRPr="005E4579" w14:paraId="549E1B22" w14:textId="77777777" w:rsidTr="00F257B3">
        <w:trPr>
          <w:trHeight w:val="516"/>
        </w:trPr>
        <w:tc>
          <w:tcPr>
            <w:tcW w:w="1334" w:type="pct"/>
            <w:vMerge/>
            <w:vAlign w:val="center"/>
            <w:hideMark/>
          </w:tcPr>
          <w:p w14:paraId="543A8E68" w14:textId="77777777" w:rsidR="000E0C24" w:rsidRPr="005E4579" w:rsidRDefault="000E0C24" w:rsidP="003F2D02">
            <w:pPr>
              <w:spacing w:before="120" w:after="120"/>
              <w:jc w:val="center"/>
              <w:rPr>
                <w:rFonts w:ascii="Times New Roman" w:hAnsi="Times New Roman" w:cs="Times New Roman"/>
                <w:b/>
                <w:bCs/>
                <w:sz w:val="24"/>
                <w:szCs w:val="24"/>
              </w:rPr>
            </w:pPr>
          </w:p>
        </w:tc>
        <w:tc>
          <w:tcPr>
            <w:tcW w:w="1481" w:type="pct"/>
            <w:vMerge/>
            <w:vAlign w:val="center"/>
            <w:hideMark/>
          </w:tcPr>
          <w:p w14:paraId="657609D0" w14:textId="77777777" w:rsidR="000E0C24" w:rsidRPr="005E4579" w:rsidRDefault="000E0C24" w:rsidP="003F2D02">
            <w:pPr>
              <w:spacing w:before="120" w:after="120"/>
              <w:jc w:val="center"/>
              <w:rPr>
                <w:rFonts w:ascii="Times New Roman" w:hAnsi="Times New Roman" w:cs="Times New Roman"/>
                <w:sz w:val="24"/>
                <w:szCs w:val="24"/>
              </w:rPr>
            </w:pPr>
          </w:p>
        </w:tc>
        <w:tc>
          <w:tcPr>
            <w:tcW w:w="1233" w:type="pct"/>
            <w:vMerge/>
            <w:vAlign w:val="center"/>
            <w:hideMark/>
          </w:tcPr>
          <w:p w14:paraId="7C636F30" w14:textId="77777777" w:rsidR="000E0C24" w:rsidRPr="005E4579" w:rsidRDefault="000E0C24" w:rsidP="003F2D02">
            <w:pPr>
              <w:spacing w:before="120" w:after="120"/>
              <w:jc w:val="center"/>
              <w:rPr>
                <w:rFonts w:ascii="Times New Roman" w:hAnsi="Times New Roman" w:cs="Times New Roman"/>
                <w:sz w:val="24"/>
                <w:szCs w:val="24"/>
              </w:rPr>
            </w:pPr>
          </w:p>
        </w:tc>
        <w:tc>
          <w:tcPr>
            <w:tcW w:w="953" w:type="pct"/>
            <w:vMerge/>
            <w:vAlign w:val="center"/>
            <w:hideMark/>
          </w:tcPr>
          <w:p w14:paraId="0DAD8398" w14:textId="77777777" w:rsidR="000E0C24" w:rsidRPr="005E4579" w:rsidRDefault="000E0C24" w:rsidP="003F2D02">
            <w:pPr>
              <w:spacing w:before="120" w:after="120"/>
              <w:jc w:val="center"/>
              <w:rPr>
                <w:rFonts w:ascii="Times New Roman" w:hAnsi="Times New Roman" w:cs="Times New Roman"/>
                <w:sz w:val="24"/>
                <w:szCs w:val="24"/>
              </w:rPr>
            </w:pPr>
          </w:p>
        </w:tc>
      </w:tr>
      <w:tr w:rsidR="000E0C24" w:rsidRPr="005E4579" w14:paraId="2407BCC0" w14:textId="77777777" w:rsidTr="00F257B3">
        <w:trPr>
          <w:trHeight w:val="330"/>
        </w:trPr>
        <w:tc>
          <w:tcPr>
            <w:tcW w:w="1334" w:type="pct"/>
            <w:noWrap/>
            <w:vAlign w:val="center"/>
            <w:hideMark/>
          </w:tcPr>
          <w:p w14:paraId="5083DB0A"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&lt;1 (n=20)</w:t>
            </w:r>
          </w:p>
        </w:tc>
        <w:tc>
          <w:tcPr>
            <w:tcW w:w="1481" w:type="pct"/>
            <w:vAlign w:val="center"/>
            <w:hideMark/>
          </w:tcPr>
          <w:p w14:paraId="6D76F9DA"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43.86</w:t>
            </w:r>
          </w:p>
        </w:tc>
        <w:tc>
          <w:tcPr>
            <w:tcW w:w="1233" w:type="pct"/>
            <w:vAlign w:val="center"/>
            <w:hideMark/>
          </w:tcPr>
          <w:p w14:paraId="085C1DA1"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29.26</w:t>
            </w:r>
          </w:p>
        </w:tc>
        <w:tc>
          <w:tcPr>
            <w:tcW w:w="953" w:type="pct"/>
            <w:noWrap/>
            <w:vAlign w:val="center"/>
            <w:hideMark/>
          </w:tcPr>
          <w:p w14:paraId="50E95FA9"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73.12</w:t>
            </w:r>
          </w:p>
        </w:tc>
      </w:tr>
      <w:tr w:rsidR="000E0C24" w:rsidRPr="005E4579" w14:paraId="1D63D1EE" w14:textId="77777777" w:rsidTr="00F257B3">
        <w:trPr>
          <w:trHeight w:val="330"/>
        </w:trPr>
        <w:tc>
          <w:tcPr>
            <w:tcW w:w="1334" w:type="pct"/>
            <w:noWrap/>
            <w:vAlign w:val="center"/>
            <w:hideMark/>
          </w:tcPr>
          <w:p w14:paraId="57E0C9DF"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1 to 2 (n=4)</w:t>
            </w:r>
          </w:p>
        </w:tc>
        <w:tc>
          <w:tcPr>
            <w:tcW w:w="1481" w:type="pct"/>
            <w:vAlign w:val="center"/>
            <w:hideMark/>
          </w:tcPr>
          <w:p w14:paraId="65AD4BB9"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44.86</w:t>
            </w:r>
          </w:p>
        </w:tc>
        <w:tc>
          <w:tcPr>
            <w:tcW w:w="1233" w:type="pct"/>
            <w:vAlign w:val="center"/>
            <w:hideMark/>
          </w:tcPr>
          <w:p w14:paraId="443EDEA2"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30.26</w:t>
            </w:r>
          </w:p>
        </w:tc>
        <w:tc>
          <w:tcPr>
            <w:tcW w:w="953" w:type="pct"/>
            <w:noWrap/>
            <w:vAlign w:val="center"/>
            <w:hideMark/>
          </w:tcPr>
          <w:p w14:paraId="3AEFD24E"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75.12</w:t>
            </w:r>
          </w:p>
        </w:tc>
      </w:tr>
      <w:tr w:rsidR="000E0C24" w:rsidRPr="005E4579" w14:paraId="0A32977A" w14:textId="77777777" w:rsidTr="00F257B3">
        <w:trPr>
          <w:trHeight w:val="330"/>
        </w:trPr>
        <w:tc>
          <w:tcPr>
            <w:tcW w:w="1334" w:type="pct"/>
            <w:noWrap/>
            <w:vAlign w:val="center"/>
            <w:hideMark/>
          </w:tcPr>
          <w:p w14:paraId="197957E7"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2 to 4 (n=1)</w:t>
            </w:r>
          </w:p>
        </w:tc>
        <w:tc>
          <w:tcPr>
            <w:tcW w:w="1481" w:type="pct"/>
            <w:vAlign w:val="center"/>
            <w:hideMark/>
          </w:tcPr>
          <w:p w14:paraId="5F2DF47C"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45.86</w:t>
            </w:r>
          </w:p>
        </w:tc>
        <w:tc>
          <w:tcPr>
            <w:tcW w:w="1233" w:type="pct"/>
            <w:vAlign w:val="center"/>
            <w:hideMark/>
          </w:tcPr>
          <w:p w14:paraId="01092266"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31.26</w:t>
            </w:r>
          </w:p>
        </w:tc>
        <w:tc>
          <w:tcPr>
            <w:tcW w:w="953" w:type="pct"/>
            <w:noWrap/>
            <w:vAlign w:val="center"/>
            <w:hideMark/>
          </w:tcPr>
          <w:p w14:paraId="5679655D"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77.12</w:t>
            </w:r>
          </w:p>
        </w:tc>
      </w:tr>
      <w:tr w:rsidR="000E0C24" w:rsidRPr="005E4579" w14:paraId="30D05191" w14:textId="77777777" w:rsidTr="00F257B3">
        <w:trPr>
          <w:trHeight w:val="330"/>
        </w:trPr>
        <w:tc>
          <w:tcPr>
            <w:tcW w:w="1334" w:type="pct"/>
            <w:noWrap/>
            <w:vAlign w:val="center"/>
            <w:hideMark/>
          </w:tcPr>
          <w:p w14:paraId="51E9D778"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Pooled</w:t>
            </w:r>
          </w:p>
        </w:tc>
        <w:tc>
          <w:tcPr>
            <w:tcW w:w="1481" w:type="pct"/>
            <w:vAlign w:val="center"/>
            <w:hideMark/>
          </w:tcPr>
          <w:p w14:paraId="12FC009F"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46.86</w:t>
            </w:r>
          </w:p>
        </w:tc>
        <w:tc>
          <w:tcPr>
            <w:tcW w:w="1233" w:type="pct"/>
            <w:vAlign w:val="center"/>
            <w:hideMark/>
          </w:tcPr>
          <w:p w14:paraId="68B0880F"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32.26</w:t>
            </w:r>
          </w:p>
        </w:tc>
        <w:tc>
          <w:tcPr>
            <w:tcW w:w="953" w:type="pct"/>
            <w:noWrap/>
            <w:vAlign w:val="center"/>
            <w:hideMark/>
          </w:tcPr>
          <w:p w14:paraId="57609F69"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79.12</w:t>
            </w:r>
          </w:p>
        </w:tc>
      </w:tr>
    </w:tbl>
    <w:p w14:paraId="69784C36" w14:textId="77777777" w:rsidR="000928E1" w:rsidRDefault="000928E1"/>
    <w:p w14:paraId="47A025C8" w14:textId="77777777" w:rsidR="000E0C24" w:rsidRPr="00220633" w:rsidRDefault="000E0C24" w:rsidP="000E0C24">
      <w:pPr>
        <w:spacing w:after="120" w:line="372" w:lineRule="auto"/>
        <w:jc w:val="both"/>
        <w:rPr>
          <w:b/>
          <w:bCs/>
        </w:rPr>
      </w:pPr>
      <w:r w:rsidRPr="00220633">
        <w:rPr>
          <w:rFonts w:ascii="Times New Roman" w:hAnsi="Times New Roman" w:cs="Times New Roman"/>
          <w:b/>
          <w:bCs/>
          <w:sz w:val="24"/>
          <w:szCs w:val="24"/>
        </w:rPr>
        <w:t xml:space="preserve">Size Group-wise </w:t>
      </w:r>
      <w:r>
        <w:rPr>
          <w:rFonts w:ascii="Times New Roman" w:hAnsi="Times New Roman" w:cs="Times New Roman"/>
          <w:b/>
          <w:bCs/>
          <w:sz w:val="24"/>
          <w:szCs w:val="24"/>
        </w:rPr>
        <w:t>I</w:t>
      </w:r>
      <w:r w:rsidRPr="00220633">
        <w:rPr>
          <w:rFonts w:ascii="Times New Roman" w:hAnsi="Times New Roman" w:cs="Times New Roman"/>
          <w:b/>
          <w:bCs/>
          <w:sz w:val="24"/>
          <w:szCs w:val="24"/>
        </w:rPr>
        <w:t xml:space="preserve">ncome </w:t>
      </w:r>
      <w:r>
        <w:rPr>
          <w:rFonts w:ascii="Times New Roman" w:hAnsi="Times New Roman" w:cs="Times New Roman"/>
          <w:b/>
          <w:bCs/>
          <w:sz w:val="24"/>
          <w:szCs w:val="24"/>
        </w:rPr>
        <w:t>G</w:t>
      </w:r>
      <w:r w:rsidRPr="00220633">
        <w:rPr>
          <w:rFonts w:ascii="Times New Roman" w:hAnsi="Times New Roman" w:cs="Times New Roman"/>
          <w:b/>
          <w:bCs/>
          <w:sz w:val="24"/>
          <w:szCs w:val="24"/>
        </w:rPr>
        <w:t xml:space="preserve">eneration </w:t>
      </w:r>
      <w:r>
        <w:rPr>
          <w:rFonts w:ascii="Times New Roman" w:hAnsi="Times New Roman" w:cs="Times New Roman"/>
          <w:b/>
          <w:bCs/>
          <w:sz w:val="24"/>
          <w:szCs w:val="24"/>
        </w:rPr>
        <w:t>P</w:t>
      </w:r>
      <w:r w:rsidRPr="00220633">
        <w:rPr>
          <w:rFonts w:ascii="Times New Roman" w:hAnsi="Times New Roman" w:cs="Times New Roman"/>
          <w:b/>
          <w:bCs/>
          <w:sz w:val="24"/>
          <w:szCs w:val="24"/>
        </w:rPr>
        <w:t xml:space="preserve">attern of Azalea flower growers in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-II Block of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 </w:t>
      </w:r>
      <w:r>
        <w:rPr>
          <w:rFonts w:ascii="Times New Roman" w:hAnsi="Times New Roman" w:cs="Times New Roman"/>
          <w:b/>
          <w:bCs/>
          <w:sz w:val="24"/>
          <w:szCs w:val="24"/>
        </w:rPr>
        <w:t>D</w:t>
      </w:r>
      <w:r w:rsidRPr="00220633">
        <w:rPr>
          <w:rFonts w:ascii="Times New Roman" w:hAnsi="Times New Roman" w:cs="Times New Roman"/>
          <w:b/>
          <w:bCs/>
          <w:sz w:val="24"/>
          <w:szCs w:val="24"/>
        </w:rPr>
        <w:t>istrict of West Bengal (202</w:t>
      </w:r>
      <w:r>
        <w:rPr>
          <w:rFonts w:ascii="Times New Roman" w:hAnsi="Times New Roman" w:cs="Times New Roman"/>
          <w:b/>
          <w:bCs/>
          <w:sz w:val="24"/>
          <w:szCs w:val="24"/>
        </w:rPr>
        <w:t>2</w:t>
      </w:r>
      <w:r w:rsidRPr="00220633">
        <w:rPr>
          <w:rFonts w:ascii="Times New Roman" w:hAnsi="Times New Roman" w:cs="Times New Roman"/>
          <w:b/>
          <w:bCs/>
          <w:sz w:val="24"/>
          <w:szCs w:val="24"/>
        </w:rPr>
        <w:t>-2</w:t>
      </w:r>
      <w:r>
        <w:rPr>
          <w:rFonts w:ascii="Times New Roman" w:hAnsi="Times New Roman" w:cs="Times New Roman"/>
          <w:b/>
          <w:bCs/>
          <w:sz w:val="24"/>
          <w:szCs w:val="24"/>
        </w:rPr>
        <w:t>3</w:t>
      </w:r>
      <w:r w:rsidRPr="00220633">
        <w:rPr>
          <w:rFonts w:ascii="Times New Roman" w:hAnsi="Times New Roman" w:cs="Times New Roman"/>
          <w:b/>
          <w:bCs/>
          <w:sz w:val="24"/>
          <w:szCs w:val="24"/>
        </w:rPr>
        <w:t>)</w:t>
      </w:r>
    </w:p>
    <w:p w14:paraId="65D64A63" w14:textId="6E333FF8" w:rsidR="000E0C24" w:rsidRDefault="000E0C24" w:rsidP="000E0C24">
      <w:pPr>
        <w:spacing w:after="120" w:line="372" w:lineRule="auto"/>
        <w:ind w:firstLine="720"/>
        <w:jc w:val="both"/>
        <w:rPr>
          <w:rFonts w:ascii="Times New Roman" w:hAnsi="Times New Roman" w:cs="Times New Roman"/>
          <w:sz w:val="24"/>
          <w:szCs w:val="24"/>
        </w:rPr>
      </w:pPr>
      <w:r w:rsidRPr="000958FC">
        <w:rPr>
          <w:rFonts w:ascii="Times New Roman" w:hAnsi="Times New Roman" w:cs="Times New Roman"/>
          <w:sz w:val="24"/>
          <w:szCs w:val="24"/>
        </w:rPr>
        <w:t xml:space="preserve">The </w:t>
      </w:r>
      <w:r>
        <w:rPr>
          <w:rFonts w:ascii="Times New Roman" w:hAnsi="Times New Roman" w:cs="Times New Roman"/>
          <w:sz w:val="24"/>
          <w:szCs w:val="24"/>
        </w:rPr>
        <w:t>T</w:t>
      </w:r>
      <w:r w:rsidRPr="000958FC">
        <w:rPr>
          <w:rFonts w:ascii="Times New Roman" w:hAnsi="Times New Roman" w:cs="Times New Roman"/>
          <w:sz w:val="24"/>
          <w:szCs w:val="24"/>
        </w:rPr>
        <w:t xml:space="preserve">able </w:t>
      </w:r>
      <w:r w:rsidR="00E63884">
        <w:rPr>
          <w:rFonts w:ascii="Times New Roman" w:hAnsi="Times New Roman" w:cs="Times New Roman"/>
          <w:sz w:val="24"/>
          <w:szCs w:val="24"/>
        </w:rPr>
        <w:t>4</w:t>
      </w:r>
      <w:r>
        <w:rPr>
          <w:rFonts w:ascii="Times New Roman" w:hAnsi="Times New Roman" w:cs="Times New Roman"/>
          <w:sz w:val="24"/>
          <w:szCs w:val="24"/>
        </w:rPr>
        <w:t xml:space="preserve"> </w:t>
      </w:r>
      <w:r w:rsidRPr="000958FC">
        <w:rPr>
          <w:rFonts w:ascii="Times New Roman" w:hAnsi="Times New Roman" w:cs="Times New Roman"/>
          <w:sz w:val="24"/>
          <w:szCs w:val="24"/>
        </w:rPr>
        <w:t>display</w:t>
      </w:r>
      <w:r>
        <w:rPr>
          <w:rFonts w:ascii="Times New Roman" w:hAnsi="Times New Roman" w:cs="Times New Roman"/>
          <w:sz w:val="24"/>
          <w:szCs w:val="24"/>
        </w:rPr>
        <w:t>s</w:t>
      </w:r>
      <w:r w:rsidRPr="000958FC">
        <w:rPr>
          <w:rFonts w:ascii="Times New Roman" w:hAnsi="Times New Roman" w:cs="Times New Roman"/>
          <w:sz w:val="24"/>
          <w:szCs w:val="24"/>
        </w:rPr>
        <w:t xml:space="preserve"> the income generation patterns for Azalea flower growers in </w:t>
      </w:r>
      <w:proofErr w:type="spellStart"/>
      <w:r w:rsidRPr="000958FC">
        <w:rPr>
          <w:rFonts w:ascii="Times New Roman" w:hAnsi="Times New Roman" w:cs="Times New Roman"/>
          <w:sz w:val="24"/>
          <w:szCs w:val="24"/>
        </w:rPr>
        <w:t>Kalimpong</w:t>
      </w:r>
      <w:proofErr w:type="spellEnd"/>
      <w:r w:rsidRPr="000958FC">
        <w:rPr>
          <w:rFonts w:ascii="Times New Roman" w:hAnsi="Times New Roman" w:cs="Times New Roman"/>
          <w:sz w:val="24"/>
          <w:szCs w:val="24"/>
        </w:rPr>
        <w:t>-II Block, West Bengal, during 202</w:t>
      </w:r>
      <w:r>
        <w:rPr>
          <w:rFonts w:ascii="Times New Roman" w:hAnsi="Times New Roman" w:cs="Times New Roman"/>
          <w:sz w:val="24"/>
          <w:szCs w:val="24"/>
        </w:rPr>
        <w:t>2</w:t>
      </w:r>
      <w:r w:rsidRPr="000958FC">
        <w:rPr>
          <w:rFonts w:ascii="Times New Roman" w:hAnsi="Times New Roman" w:cs="Times New Roman"/>
          <w:sz w:val="24"/>
          <w:szCs w:val="24"/>
        </w:rPr>
        <w:t>-2</w:t>
      </w:r>
      <w:r>
        <w:rPr>
          <w:rFonts w:ascii="Times New Roman" w:hAnsi="Times New Roman" w:cs="Times New Roman"/>
          <w:sz w:val="24"/>
          <w:szCs w:val="24"/>
        </w:rPr>
        <w:t>3</w:t>
      </w:r>
      <w:r w:rsidRPr="000958FC">
        <w:rPr>
          <w:rFonts w:ascii="Times New Roman" w:hAnsi="Times New Roman" w:cs="Times New Roman"/>
          <w:sz w:val="24"/>
          <w:szCs w:val="24"/>
        </w:rPr>
        <w:t xml:space="preserve">, categorized by farm size. For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the gross income (GI) </w:t>
      </w:r>
      <w:r>
        <w:rPr>
          <w:rFonts w:ascii="Times New Roman" w:hAnsi="Times New Roman" w:cs="Times New Roman"/>
          <w:sz w:val="24"/>
          <w:szCs w:val="24"/>
        </w:rPr>
        <w:t>i</w:t>
      </w:r>
      <w:r w:rsidRPr="000958FC">
        <w:rPr>
          <w:rFonts w:ascii="Times New Roman" w:hAnsi="Times New Roman" w:cs="Times New Roman"/>
          <w:sz w:val="24"/>
          <w:szCs w:val="24"/>
        </w:rPr>
        <w:t xml:space="preserve">s ₹1,711,306.86, slightly higher than </w:t>
      </w:r>
      <w:r>
        <w:rPr>
          <w:rFonts w:ascii="Times New Roman" w:hAnsi="Times New Roman" w:cs="Times New Roman"/>
          <w:sz w:val="24"/>
          <w:szCs w:val="24"/>
        </w:rPr>
        <w:t>small</w:t>
      </w:r>
      <w:r w:rsidRPr="000958FC">
        <w:rPr>
          <w:rFonts w:ascii="Times New Roman" w:hAnsi="Times New Roman" w:cs="Times New Roman"/>
          <w:sz w:val="24"/>
          <w:szCs w:val="24"/>
        </w:rPr>
        <w:t xml:space="preserve"> farm</w:t>
      </w:r>
      <w:r>
        <w:rPr>
          <w:rFonts w:ascii="Times New Roman" w:hAnsi="Times New Roman" w:cs="Times New Roman"/>
          <w:sz w:val="24"/>
          <w:szCs w:val="24"/>
        </w:rPr>
        <w:t>ers</w:t>
      </w:r>
      <w:r w:rsidRPr="000958FC">
        <w:rPr>
          <w:rFonts w:ascii="Times New Roman" w:hAnsi="Times New Roman" w:cs="Times New Roman"/>
          <w:sz w:val="24"/>
          <w:szCs w:val="24"/>
        </w:rPr>
        <w:t xml:space="preserve">, </w:t>
      </w:r>
      <w:r>
        <w:rPr>
          <w:rFonts w:ascii="Times New Roman" w:hAnsi="Times New Roman" w:cs="Times New Roman"/>
          <w:sz w:val="24"/>
          <w:szCs w:val="24"/>
        </w:rPr>
        <w:t>reporting</w:t>
      </w:r>
      <w:r w:rsidRPr="000958FC">
        <w:rPr>
          <w:rFonts w:ascii="Times New Roman" w:hAnsi="Times New Roman" w:cs="Times New Roman"/>
          <w:sz w:val="24"/>
          <w:szCs w:val="24"/>
        </w:rPr>
        <w:t xml:space="preserve"> a gross income of ₹1,698,125.00. </w:t>
      </w:r>
      <w:r>
        <w:rPr>
          <w:rFonts w:ascii="Times New Roman" w:hAnsi="Times New Roman" w:cs="Times New Roman"/>
          <w:sz w:val="24"/>
          <w:szCs w:val="24"/>
        </w:rPr>
        <w:t>Semi-medium farmers</w:t>
      </w:r>
      <w:r w:rsidRPr="000958FC">
        <w:rPr>
          <w:rFonts w:ascii="Times New Roman" w:hAnsi="Times New Roman" w:cs="Times New Roman"/>
          <w:sz w:val="24"/>
          <w:szCs w:val="24"/>
        </w:rPr>
        <w:t xml:space="preserve"> show a lower gross income of ₹1,548,214.29, contributing to a pooled average gross income of ₹1,577,615.74 across all farm sizes. The returns over variable cost (RVC), representing income after deducting variable costs, </w:t>
      </w:r>
      <w:r>
        <w:rPr>
          <w:rFonts w:ascii="Times New Roman" w:hAnsi="Times New Roman" w:cs="Times New Roman"/>
          <w:sz w:val="24"/>
          <w:szCs w:val="24"/>
        </w:rPr>
        <w:t>a</w:t>
      </w:r>
      <w:r w:rsidRPr="000958FC">
        <w:rPr>
          <w:rFonts w:ascii="Times New Roman" w:hAnsi="Times New Roman" w:cs="Times New Roman"/>
          <w:sz w:val="24"/>
          <w:szCs w:val="24"/>
        </w:rPr>
        <w:t xml:space="preserve">re highest for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at ₹759,936.19, followed by ₹768,275.53 for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and ₹761,643.33 for </w:t>
      </w:r>
      <w:r>
        <w:rPr>
          <w:rFonts w:ascii="Times New Roman" w:hAnsi="Times New Roman" w:cs="Times New Roman"/>
          <w:sz w:val="24"/>
          <w:szCs w:val="24"/>
        </w:rPr>
        <w:t>semi medium farmers</w:t>
      </w:r>
      <w:r w:rsidRPr="000958FC">
        <w:rPr>
          <w:rFonts w:ascii="Times New Roman" w:hAnsi="Times New Roman" w:cs="Times New Roman"/>
          <w:sz w:val="24"/>
          <w:szCs w:val="24"/>
        </w:rPr>
        <w:t>.</w:t>
      </w:r>
    </w:p>
    <w:p w14:paraId="7296E854" w14:textId="344490FC" w:rsidR="000E0C24" w:rsidRDefault="000E0C24" w:rsidP="00880465">
      <w:pPr>
        <w:spacing w:after="120" w:line="372" w:lineRule="auto"/>
        <w:ind w:firstLine="720"/>
        <w:jc w:val="both"/>
        <w:rPr>
          <w:rFonts w:ascii="Times New Roman" w:hAnsi="Times New Roman" w:cs="Times New Roman"/>
          <w:b/>
          <w:bCs/>
          <w:sz w:val="24"/>
          <w:szCs w:val="24"/>
        </w:rPr>
      </w:pPr>
      <w:r w:rsidRPr="000958FC">
        <w:rPr>
          <w:rFonts w:ascii="Times New Roman" w:hAnsi="Times New Roman" w:cs="Times New Roman"/>
          <w:sz w:val="24"/>
          <w:szCs w:val="24"/>
        </w:rPr>
        <w:t>Family labo</w:t>
      </w:r>
      <w:r>
        <w:rPr>
          <w:rFonts w:ascii="Times New Roman" w:hAnsi="Times New Roman" w:cs="Times New Roman"/>
          <w:sz w:val="24"/>
          <w:szCs w:val="24"/>
        </w:rPr>
        <w:t>u</w:t>
      </w:r>
      <w:r w:rsidRPr="000958FC">
        <w:rPr>
          <w:rFonts w:ascii="Times New Roman" w:hAnsi="Times New Roman" w:cs="Times New Roman"/>
          <w:sz w:val="24"/>
          <w:szCs w:val="24"/>
        </w:rPr>
        <w:t xml:space="preserve">r income (FLI), </w:t>
      </w:r>
      <w:r>
        <w:rPr>
          <w:rFonts w:ascii="Times New Roman" w:hAnsi="Times New Roman" w:cs="Times New Roman"/>
          <w:sz w:val="24"/>
          <w:szCs w:val="24"/>
        </w:rPr>
        <w:t>is</w:t>
      </w:r>
      <w:r w:rsidRPr="000958FC">
        <w:rPr>
          <w:rFonts w:ascii="Times New Roman" w:hAnsi="Times New Roman" w:cs="Times New Roman"/>
          <w:sz w:val="24"/>
          <w:szCs w:val="24"/>
        </w:rPr>
        <w:t xml:space="preserve"> also highest for farms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at ₹778,436.19.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report a slightly higher FLI of ₹786,795.53, while </w:t>
      </w:r>
      <w:r>
        <w:rPr>
          <w:rFonts w:ascii="Times New Roman" w:hAnsi="Times New Roman" w:cs="Times New Roman"/>
          <w:sz w:val="24"/>
          <w:szCs w:val="24"/>
        </w:rPr>
        <w:t>semi-medium farmers</w:t>
      </w:r>
      <w:r w:rsidRPr="000958FC">
        <w:rPr>
          <w:rFonts w:ascii="Times New Roman" w:hAnsi="Times New Roman" w:cs="Times New Roman"/>
          <w:sz w:val="24"/>
          <w:szCs w:val="24"/>
        </w:rPr>
        <w:t xml:space="preserve"> earn ₹780,543.33, resulting in a pooled FLI average of ₹781,916.97. Net income (NI), accounting for all costs and expenses, followed a similar pattern, with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earning ₹838,289.09,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recei</w:t>
      </w:r>
      <w:r>
        <w:rPr>
          <w:rFonts w:ascii="Times New Roman" w:hAnsi="Times New Roman" w:cs="Times New Roman"/>
          <w:sz w:val="24"/>
          <w:szCs w:val="24"/>
        </w:rPr>
        <w:t>ve</w:t>
      </w:r>
      <w:r w:rsidRPr="000958FC">
        <w:rPr>
          <w:rFonts w:ascii="Times New Roman" w:hAnsi="Times New Roman" w:cs="Times New Roman"/>
          <w:sz w:val="24"/>
          <w:szCs w:val="24"/>
        </w:rPr>
        <w:t xml:space="preserve"> ₹841,005.40, and </w:t>
      </w:r>
      <w:r>
        <w:rPr>
          <w:rFonts w:ascii="Times New Roman" w:hAnsi="Times New Roman" w:cs="Times New Roman"/>
          <w:sz w:val="24"/>
          <w:szCs w:val="24"/>
        </w:rPr>
        <w:t>semi medium farmers</w:t>
      </w:r>
      <w:r w:rsidRPr="000958FC">
        <w:rPr>
          <w:rFonts w:ascii="Times New Roman" w:hAnsi="Times New Roman" w:cs="Times New Roman"/>
          <w:sz w:val="24"/>
          <w:szCs w:val="24"/>
        </w:rPr>
        <w:t xml:space="preserve"> recor</w:t>
      </w:r>
      <w:r>
        <w:rPr>
          <w:rFonts w:ascii="Times New Roman" w:hAnsi="Times New Roman" w:cs="Times New Roman"/>
          <w:sz w:val="24"/>
          <w:szCs w:val="24"/>
        </w:rPr>
        <w:t>d</w:t>
      </w:r>
      <w:r w:rsidRPr="000958FC">
        <w:rPr>
          <w:rFonts w:ascii="Times New Roman" w:hAnsi="Times New Roman" w:cs="Times New Roman"/>
          <w:sz w:val="24"/>
          <w:szCs w:val="24"/>
        </w:rPr>
        <w:t xml:space="preserve"> ₹826,876.58, with a pooled NI of ₹835,367.86. Returns to management (RM), which reflect the income after expenses and management costs, </w:t>
      </w:r>
      <w:r>
        <w:rPr>
          <w:rFonts w:ascii="Times New Roman" w:hAnsi="Times New Roman" w:cs="Times New Roman"/>
          <w:sz w:val="24"/>
          <w:szCs w:val="24"/>
        </w:rPr>
        <w:t>i</w:t>
      </w:r>
      <w:r w:rsidRPr="000958FC">
        <w:rPr>
          <w:rFonts w:ascii="Times New Roman" w:hAnsi="Times New Roman" w:cs="Times New Roman"/>
          <w:sz w:val="24"/>
          <w:szCs w:val="24"/>
        </w:rPr>
        <w:t xml:space="preserve">s highest for </w:t>
      </w:r>
      <w:r>
        <w:rPr>
          <w:rFonts w:ascii="Times New Roman" w:hAnsi="Times New Roman" w:cs="Times New Roman"/>
          <w:sz w:val="24"/>
          <w:szCs w:val="24"/>
        </w:rPr>
        <w:t xml:space="preserve">small </w:t>
      </w:r>
      <w:r w:rsidRPr="000958FC">
        <w:rPr>
          <w:rFonts w:ascii="Times New Roman" w:hAnsi="Times New Roman" w:cs="Times New Roman"/>
          <w:sz w:val="24"/>
          <w:szCs w:val="24"/>
        </w:rPr>
        <w:t>farm</w:t>
      </w:r>
      <w:r>
        <w:rPr>
          <w:rFonts w:ascii="Times New Roman" w:hAnsi="Times New Roman" w:cs="Times New Roman"/>
          <w:sz w:val="24"/>
          <w:szCs w:val="24"/>
        </w:rPr>
        <w:t>ers</w:t>
      </w:r>
      <w:r w:rsidRPr="000958FC">
        <w:rPr>
          <w:rFonts w:ascii="Times New Roman" w:hAnsi="Times New Roman" w:cs="Times New Roman"/>
          <w:sz w:val="24"/>
          <w:szCs w:val="24"/>
        </w:rPr>
        <w:t xml:space="preserve"> at ₹925,105.94, followed by marginal farms at ₹922,118.00, and semi-medium farm</w:t>
      </w:r>
      <w:r>
        <w:rPr>
          <w:rFonts w:ascii="Times New Roman" w:hAnsi="Times New Roman" w:cs="Times New Roman"/>
          <w:sz w:val="24"/>
          <w:szCs w:val="24"/>
        </w:rPr>
        <w:t>ers</w:t>
      </w:r>
      <w:r w:rsidRPr="000958FC">
        <w:rPr>
          <w:rFonts w:ascii="Times New Roman" w:hAnsi="Times New Roman" w:cs="Times New Roman"/>
          <w:sz w:val="24"/>
          <w:szCs w:val="24"/>
        </w:rPr>
        <w:t xml:space="preserve"> earn ₹909,564.24. The pooled RM </w:t>
      </w:r>
      <w:r>
        <w:rPr>
          <w:rFonts w:ascii="Times New Roman" w:hAnsi="Times New Roman" w:cs="Times New Roman"/>
          <w:sz w:val="24"/>
          <w:szCs w:val="24"/>
        </w:rPr>
        <w:t>i</w:t>
      </w:r>
      <w:r w:rsidRPr="000958FC">
        <w:rPr>
          <w:rFonts w:ascii="Times New Roman" w:hAnsi="Times New Roman" w:cs="Times New Roman"/>
          <w:sz w:val="24"/>
          <w:szCs w:val="24"/>
        </w:rPr>
        <w:t xml:space="preserve">s ₹918,904.65. In terms of returns per rupee (RPR), which measures income per </w:t>
      </w:r>
      <w:r w:rsidRPr="000958FC">
        <w:rPr>
          <w:rFonts w:ascii="Times New Roman" w:hAnsi="Times New Roman" w:cs="Times New Roman"/>
          <w:sz w:val="24"/>
          <w:szCs w:val="24"/>
        </w:rPr>
        <w:lastRenderedPageBreak/>
        <w:t>rupee</w:t>
      </w:r>
      <w:r>
        <w:rPr>
          <w:rFonts w:ascii="Times New Roman" w:hAnsi="Times New Roman" w:cs="Times New Roman"/>
          <w:sz w:val="24"/>
          <w:szCs w:val="24"/>
        </w:rPr>
        <w:t xml:space="preserve"> </w:t>
      </w:r>
      <w:r w:rsidRPr="000958FC">
        <w:rPr>
          <w:rFonts w:ascii="Times New Roman" w:hAnsi="Times New Roman" w:cs="Times New Roman"/>
          <w:sz w:val="24"/>
          <w:szCs w:val="24"/>
        </w:rPr>
        <w:t>spent, semi-medium farm</w:t>
      </w:r>
      <w:r>
        <w:rPr>
          <w:rFonts w:ascii="Times New Roman" w:hAnsi="Times New Roman" w:cs="Times New Roman"/>
          <w:sz w:val="24"/>
          <w:szCs w:val="24"/>
        </w:rPr>
        <w:t>ers</w:t>
      </w:r>
      <w:r w:rsidRPr="000958FC">
        <w:rPr>
          <w:rFonts w:ascii="Times New Roman" w:hAnsi="Times New Roman" w:cs="Times New Roman"/>
          <w:sz w:val="24"/>
          <w:szCs w:val="24"/>
        </w:rPr>
        <w:t xml:space="preserve"> ha</w:t>
      </w:r>
      <w:r>
        <w:rPr>
          <w:rFonts w:ascii="Times New Roman" w:hAnsi="Times New Roman" w:cs="Times New Roman"/>
          <w:sz w:val="24"/>
          <w:szCs w:val="24"/>
        </w:rPr>
        <w:t>ve</w:t>
      </w:r>
      <w:r w:rsidRPr="000958FC">
        <w:rPr>
          <w:rFonts w:ascii="Times New Roman" w:hAnsi="Times New Roman" w:cs="Times New Roman"/>
          <w:sz w:val="24"/>
          <w:szCs w:val="24"/>
        </w:rPr>
        <w:t xml:space="preserve"> the highest efficiency at 2.15, while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ha</w:t>
      </w:r>
      <w:r>
        <w:rPr>
          <w:rFonts w:ascii="Times New Roman" w:hAnsi="Times New Roman" w:cs="Times New Roman"/>
          <w:sz w:val="24"/>
          <w:szCs w:val="24"/>
        </w:rPr>
        <w:t>ve</w:t>
      </w:r>
      <w:r w:rsidRPr="000958FC">
        <w:rPr>
          <w:rFonts w:ascii="Times New Roman" w:hAnsi="Times New Roman" w:cs="Times New Roman"/>
          <w:sz w:val="24"/>
          <w:szCs w:val="24"/>
        </w:rPr>
        <w:t xml:space="preserve"> 1.98, and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ha</w:t>
      </w:r>
      <w:r>
        <w:rPr>
          <w:rFonts w:ascii="Times New Roman" w:hAnsi="Times New Roman" w:cs="Times New Roman"/>
          <w:sz w:val="24"/>
          <w:szCs w:val="24"/>
        </w:rPr>
        <w:t>ve</w:t>
      </w:r>
      <w:r w:rsidRPr="000958FC">
        <w:rPr>
          <w:rFonts w:ascii="Times New Roman" w:hAnsi="Times New Roman" w:cs="Times New Roman"/>
          <w:sz w:val="24"/>
          <w:szCs w:val="24"/>
        </w:rPr>
        <w:t xml:space="preserve"> 1.96.</w:t>
      </w:r>
    </w:p>
    <w:p w14:paraId="225BC10C" w14:textId="32C3B640" w:rsidR="000E0C24" w:rsidRPr="00220633" w:rsidRDefault="000E0C24" w:rsidP="000E0C24">
      <w:pPr>
        <w:spacing w:after="120" w:line="240" w:lineRule="auto"/>
        <w:ind w:left="1260" w:hanging="1260"/>
        <w:jc w:val="both"/>
        <w:rPr>
          <w:b/>
          <w:bCs/>
        </w:rPr>
      </w:pPr>
      <w:r>
        <w:rPr>
          <w:rFonts w:ascii="Times New Roman" w:hAnsi="Times New Roman" w:cs="Times New Roman"/>
          <w:b/>
          <w:bCs/>
          <w:sz w:val="24"/>
          <w:szCs w:val="24"/>
        </w:rPr>
        <w:t xml:space="preserve">Table </w:t>
      </w:r>
      <w:r w:rsidR="000B6F2C">
        <w:rPr>
          <w:rFonts w:ascii="Times New Roman" w:hAnsi="Times New Roman" w:cs="Times New Roman"/>
          <w:b/>
          <w:bCs/>
          <w:sz w:val="24"/>
          <w:szCs w:val="24"/>
        </w:rPr>
        <w:t>4</w:t>
      </w:r>
      <w:r>
        <w:rPr>
          <w:rFonts w:ascii="Times New Roman" w:hAnsi="Times New Roman" w:cs="Times New Roman"/>
          <w:b/>
          <w:bCs/>
          <w:sz w:val="24"/>
          <w:szCs w:val="24"/>
        </w:rPr>
        <w:t xml:space="preserve">. </w:t>
      </w:r>
      <w:r w:rsidRPr="00220633">
        <w:rPr>
          <w:rFonts w:ascii="Times New Roman" w:hAnsi="Times New Roman" w:cs="Times New Roman"/>
          <w:b/>
          <w:bCs/>
          <w:sz w:val="24"/>
          <w:szCs w:val="24"/>
        </w:rPr>
        <w:t xml:space="preserve">Size Group-wise </w:t>
      </w:r>
      <w:r>
        <w:rPr>
          <w:rFonts w:ascii="Times New Roman" w:hAnsi="Times New Roman" w:cs="Times New Roman"/>
          <w:b/>
          <w:bCs/>
          <w:sz w:val="24"/>
          <w:szCs w:val="24"/>
        </w:rPr>
        <w:t>I</w:t>
      </w:r>
      <w:r w:rsidRPr="00220633">
        <w:rPr>
          <w:rFonts w:ascii="Times New Roman" w:hAnsi="Times New Roman" w:cs="Times New Roman"/>
          <w:b/>
          <w:bCs/>
          <w:sz w:val="24"/>
          <w:szCs w:val="24"/>
        </w:rPr>
        <w:t xml:space="preserve">ncome </w:t>
      </w:r>
      <w:r>
        <w:rPr>
          <w:rFonts w:ascii="Times New Roman" w:hAnsi="Times New Roman" w:cs="Times New Roman"/>
          <w:b/>
          <w:bCs/>
          <w:sz w:val="24"/>
          <w:szCs w:val="24"/>
        </w:rPr>
        <w:t>G</w:t>
      </w:r>
      <w:r w:rsidRPr="00220633">
        <w:rPr>
          <w:rFonts w:ascii="Times New Roman" w:hAnsi="Times New Roman" w:cs="Times New Roman"/>
          <w:b/>
          <w:bCs/>
          <w:sz w:val="24"/>
          <w:szCs w:val="24"/>
        </w:rPr>
        <w:t xml:space="preserve">eneration </w:t>
      </w:r>
      <w:r>
        <w:rPr>
          <w:rFonts w:ascii="Times New Roman" w:hAnsi="Times New Roman" w:cs="Times New Roman"/>
          <w:b/>
          <w:bCs/>
          <w:sz w:val="24"/>
          <w:szCs w:val="24"/>
        </w:rPr>
        <w:t>P</w:t>
      </w:r>
      <w:r w:rsidRPr="00220633">
        <w:rPr>
          <w:rFonts w:ascii="Times New Roman" w:hAnsi="Times New Roman" w:cs="Times New Roman"/>
          <w:b/>
          <w:bCs/>
          <w:sz w:val="24"/>
          <w:szCs w:val="24"/>
        </w:rPr>
        <w:t xml:space="preserve">attern of Azalea </w:t>
      </w:r>
      <w:r>
        <w:rPr>
          <w:rFonts w:ascii="Times New Roman" w:hAnsi="Times New Roman" w:cs="Times New Roman"/>
          <w:b/>
          <w:bCs/>
          <w:sz w:val="24"/>
          <w:szCs w:val="24"/>
        </w:rPr>
        <w:t>G</w:t>
      </w:r>
      <w:r w:rsidRPr="00220633">
        <w:rPr>
          <w:rFonts w:ascii="Times New Roman" w:hAnsi="Times New Roman" w:cs="Times New Roman"/>
          <w:b/>
          <w:bCs/>
          <w:sz w:val="24"/>
          <w:szCs w:val="24"/>
        </w:rPr>
        <w:t xml:space="preserve">rowers in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-II Block of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 </w:t>
      </w:r>
      <w:r>
        <w:rPr>
          <w:rFonts w:ascii="Times New Roman" w:hAnsi="Times New Roman" w:cs="Times New Roman"/>
          <w:b/>
          <w:bCs/>
          <w:sz w:val="24"/>
          <w:szCs w:val="24"/>
        </w:rPr>
        <w:t>D</w:t>
      </w:r>
      <w:r w:rsidRPr="00220633">
        <w:rPr>
          <w:rFonts w:ascii="Times New Roman" w:hAnsi="Times New Roman" w:cs="Times New Roman"/>
          <w:b/>
          <w:bCs/>
          <w:sz w:val="24"/>
          <w:szCs w:val="24"/>
        </w:rPr>
        <w:t>istrict of West Bengal (202</w:t>
      </w:r>
      <w:r>
        <w:rPr>
          <w:rFonts w:ascii="Times New Roman" w:hAnsi="Times New Roman" w:cs="Times New Roman"/>
          <w:b/>
          <w:bCs/>
          <w:sz w:val="24"/>
          <w:szCs w:val="24"/>
        </w:rPr>
        <w:t>2</w:t>
      </w:r>
      <w:r w:rsidRPr="00220633">
        <w:rPr>
          <w:rFonts w:ascii="Times New Roman" w:hAnsi="Times New Roman" w:cs="Times New Roman"/>
          <w:b/>
          <w:bCs/>
          <w:sz w:val="24"/>
          <w:szCs w:val="24"/>
        </w:rPr>
        <w:t>-2</w:t>
      </w:r>
      <w:r>
        <w:rPr>
          <w:rFonts w:ascii="Times New Roman" w:hAnsi="Times New Roman" w:cs="Times New Roman"/>
          <w:b/>
          <w:bCs/>
          <w:sz w:val="24"/>
          <w:szCs w:val="24"/>
        </w:rPr>
        <w:t>3</w:t>
      </w:r>
      <w:r w:rsidRPr="00220633">
        <w:rPr>
          <w:rFonts w:ascii="Times New Roman" w:hAnsi="Times New Roman" w:cs="Times New Roman"/>
          <w:b/>
          <w:bCs/>
          <w:sz w:val="24"/>
          <w:szCs w:val="24"/>
        </w:rPr>
        <w:t>)</w:t>
      </w:r>
    </w:p>
    <w:tbl>
      <w:tblPr>
        <w:tblStyle w:val="TableGrid"/>
        <w:tblW w:w="5000" w:type="pct"/>
        <w:tblCellMar>
          <w:left w:w="43" w:type="dxa"/>
          <w:right w:w="43" w:type="dxa"/>
        </w:tblCellMar>
        <w:tblLook w:val="04A0" w:firstRow="1" w:lastRow="0" w:firstColumn="1" w:lastColumn="0" w:noHBand="0" w:noVBand="1"/>
      </w:tblPr>
      <w:tblGrid>
        <w:gridCol w:w="533"/>
        <w:gridCol w:w="3239"/>
        <w:gridCol w:w="1544"/>
        <w:gridCol w:w="1230"/>
        <w:gridCol w:w="1231"/>
        <w:gridCol w:w="1239"/>
      </w:tblGrid>
      <w:tr w:rsidR="000E0C24" w:rsidRPr="00194BCC" w14:paraId="597054FF" w14:textId="77777777" w:rsidTr="003F2D02">
        <w:trPr>
          <w:trHeight w:val="64"/>
        </w:trPr>
        <w:tc>
          <w:tcPr>
            <w:tcW w:w="348" w:type="pct"/>
            <w:vMerge w:val="restart"/>
            <w:vAlign w:val="center"/>
            <w:hideMark/>
          </w:tcPr>
          <w:p w14:paraId="3509BDCE"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Sl. No</w:t>
            </w:r>
          </w:p>
        </w:tc>
        <w:tc>
          <w:tcPr>
            <w:tcW w:w="1533" w:type="pct"/>
            <w:vMerge w:val="restart"/>
            <w:vAlign w:val="center"/>
            <w:hideMark/>
          </w:tcPr>
          <w:p w14:paraId="51C3568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Particulars</w:t>
            </w:r>
          </w:p>
        </w:tc>
        <w:tc>
          <w:tcPr>
            <w:tcW w:w="3118" w:type="pct"/>
            <w:gridSpan w:val="4"/>
            <w:noWrap/>
            <w:vAlign w:val="center"/>
            <w:hideMark/>
          </w:tcPr>
          <w:p w14:paraId="4DDAAECA"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Category of farms</w:t>
            </w:r>
          </w:p>
        </w:tc>
      </w:tr>
      <w:tr w:rsidR="000E0C24" w:rsidRPr="00194BCC" w14:paraId="36C4BB50" w14:textId="77777777" w:rsidTr="003F2D02">
        <w:trPr>
          <w:trHeight w:val="64"/>
        </w:trPr>
        <w:tc>
          <w:tcPr>
            <w:tcW w:w="348" w:type="pct"/>
            <w:vMerge/>
            <w:vAlign w:val="center"/>
            <w:hideMark/>
          </w:tcPr>
          <w:p w14:paraId="45799DC4" w14:textId="77777777" w:rsidR="000E0C24" w:rsidRPr="00194BCC" w:rsidRDefault="000E0C24" w:rsidP="003F2D02">
            <w:pPr>
              <w:spacing w:before="60" w:after="60"/>
              <w:jc w:val="center"/>
              <w:rPr>
                <w:rFonts w:ascii="Times New Roman" w:hAnsi="Times New Roman" w:cs="Times New Roman"/>
                <w:b/>
                <w:bCs/>
              </w:rPr>
            </w:pPr>
          </w:p>
        </w:tc>
        <w:tc>
          <w:tcPr>
            <w:tcW w:w="1533" w:type="pct"/>
            <w:vMerge/>
            <w:vAlign w:val="center"/>
            <w:hideMark/>
          </w:tcPr>
          <w:p w14:paraId="65A64DF4" w14:textId="77777777" w:rsidR="000E0C24" w:rsidRPr="00194BCC" w:rsidRDefault="000E0C24" w:rsidP="003F2D02">
            <w:pPr>
              <w:spacing w:before="60" w:after="60"/>
              <w:jc w:val="center"/>
              <w:rPr>
                <w:rFonts w:ascii="Times New Roman" w:hAnsi="Times New Roman" w:cs="Times New Roman"/>
                <w:b/>
                <w:bCs/>
              </w:rPr>
            </w:pPr>
          </w:p>
        </w:tc>
        <w:tc>
          <w:tcPr>
            <w:tcW w:w="909" w:type="pct"/>
            <w:noWrap/>
            <w:vAlign w:val="center"/>
            <w:hideMark/>
          </w:tcPr>
          <w:p w14:paraId="38097D1B"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Size &lt;1</w:t>
            </w:r>
          </w:p>
        </w:tc>
        <w:tc>
          <w:tcPr>
            <w:tcW w:w="735" w:type="pct"/>
            <w:noWrap/>
            <w:vAlign w:val="center"/>
            <w:hideMark/>
          </w:tcPr>
          <w:p w14:paraId="5F114B20"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Size 1-2</w:t>
            </w:r>
          </w:p>
        </w:tc>
        <w:tc>
          <w:tcPr>
            <w:tcW w:w="735" w:type="pct"/>
            <w:noWrap/>
            <w:vAlign w:val="center"/>
            <w:hideMark/>
          </w:tcPr>
          <w:p w14:paraId="357BEE0E"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Size 2-4</w:t>
            </w:r>
          </w:p>
        </w:tc>
        <w:tc>
          <w:tcPr>
            <w:tcW w:w="739" w:type="pct"/>
            <w:noWrap/>
            <w:vAlign w:val="center"/>
            <w:hideMark/>
          </w:tcPr>
          <w:p w14:paraId="6E686A59"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Pooled</w:t>
            </w:r>
          </w:p>
        </w:tc>
      </w:tr>
      <w:tr w:rsidR="000E0C24" w:rsidRPr="00194BCC" w14:paraId="4A285B92" w14:textId="77777777" w:rsidTr="003F2D02">
        <w:trPr>
          <w:trHeight w:val="64"/>
        </w:trPr>
        <w:tc>
          <w:tcPr>
            <w:tcW w:w="348" w:type="pct"/>
            <w:noWrap/>
            <w:vAlign w:val="center"/>
            <w:hideMark/>
          </w:tcPr>
          <w:p w14:paraId="3452C3F4"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1</w:t>
            </w:r>
          </w:p>
        </w:tc>
        <w:tc>
          <w:tcPr>
            <w:tcW w:w="1533" w:type="pct"/>
            <w:noWrap/>
            <w:vAlign w:val="center"/>
            <w:hideMark/>
          </w:tcPr>
          <w:p w14:paraId="663443F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Gross income (GI)</w:t>
            </w:r>
          </w:p>
        </w:tc>
        <w:tc>
          <w:tcPr>
            <w:tcW w:w="909" w:type="pct"/>
            <w:noWrap/>
            <w:vAlign w:val="center"/>
            <w:hideMark/>
          </w:tcPr>
          <w:p w14:paraId="7E1FB916"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1711306.86</w:t>
            </w:r>
          </w:p>
        </w:tc>
        <w:tc>
          <w:tcPr>
            <w:tcW w:w="735" w:type="pct"/>
            <w:noWrap/>
            <w:vAlign w:val="center"/>
            <w:hideMark/>
          </w:tcPr>
          <w:p w14:paraId="220C6BD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1698125.00</w:t>
            </w:r>
          </w:p>
        </w:tc>
        <w:tc>
          <w:tcPr>
            <w:tcW w:w="735" w:type="pct"/>
            <w:noWrap/>
            <w:vAlign w:val="center"/>
            <w:hideMark/>
          </w:tcPr>
          <w:p w14:paraId="5191F1D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1548214.29</w:t>
            </w:r>
          </w:p>
        </w:tc>
        <w:tc>
          <w:tcPr>
            <w:tcW w:w="739" w:type="pct"/>
            <w:noWrap/>
            <w:vAlign w:val="center"/>
            <w:hideMark/>
          </w:tcPr>
          <w:p w14:paraId="66F7C40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1577615.74</w:t>
            </w:r>
          </w:p>
        </w:tc>
      </w:tr>
      <w:tr w:rsidR="000E0C24" w:rsidRPr="00194BCC" w14:paraId="49A44C02" w14:textId="77777777" w:rsidTr="003F2D02">
        <w:trPr>
          <w:trHeight w:val="64"/>
        </w:trPr>
        <w:tc>
          <w:tcPr>
            <w:tcW w:w="348" w:type="pct"/>
            <w:noWrap/>
            <w:vAlign w:val="center"/>
            <w:hideMark/>
          </w:tcPr>
          <w:p w14:paraId="094DC2C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2</w:t>
            </w:r>
          </w:p>
        </w:tc>
        <w:tc>
          <w:tcPr>
            <w:tcW w:w="1533" w:type="pct"/>
            <w:noWrap/>
            <w:vAlign w:val="center"/>
            <w:hideMark/>
          </w:tcPr>
          <w:p w14:paraId="07357AB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Returns over variable cost (RVC)</w:t>
            </w:r>
          </w:p>
        </w:tc>
        <w:tc>
          <w:tcPr>
            <w:tcW w:w="909" w:type="pct"/>
            <w:noWrap/>
            <w:vAlign w:val="center"/>
            <w:hideMark/>
          </w:tcPr>
          <w:p w14:paraId="29B0DFE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759936.19</w:t>
            </w:r>
          </w:p>
        </w:tc>
        <w:tc>
          <w:tcPr>
            <w:tcW w:w="735" w:type="pct"/>
            <w:noWrap/>
            <w:vAlign w:val="center"/>
            <w:hideMark/>
          </w:tcPr>
          <w:p w14:paraId="018B31B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768275.53</w:t>
            </w:r>
          </w:p>
        </w:tc>
        <w:tc>
          <w:tcPr>
            <w:tcW w:w="735" w:type="pct"/>
            <w:noWrap/>
            <w:vAlign w:val="center"/>
            <w:hideMark/>
          </w:tcPr>
          <w:p w14:paraId="53FFBA55"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761643.33</w:t>
            </w:r>
          </w:p>
        </w:tc>
        <w:tc>
          <w:tcPr>
            <w:tcW w:w="739" w:type="pct"/>
            <w:noWrap/>
            <w:vAlign w:val="center"/>
            <w:hideMark/>
          </w:tcPr>
          <w:p w14:paraId="149C4233"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763276.56</w:t>
            </w:r>
          </w:p>
        </w:tc>
      </w:tr>
      <w:tr w:rsidR="000E0C24" w:rsidRPr="00194BCC" w14:paraId="4E532CA4" w14:textId="77777777" w:rsidTr="003F2D02">
        <w:trPr>
          <w:trHeight w:val="64"/>
        </w:trPr>
        <w:tc>
          <w:tcPr>
            <w:tcW w:w="348" w:type="pct"/>
            <w:noWrap/>
            <w:vAlign w:val="center"/>
            <w:hideMark/>
          </w:tcPr>
          <w:p w14:paraId="3F04CC62"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3</w:t>
            </w:r>
          </w:p>
        </w:tc>
        <w:tc>
          <w:tcPr>
            <w:tcW w:w="1533" w:type="pct"/>
            <w:noWrap/>
            <w:vAlign w:val="center"/>
            <w:hideMark/>
          </w:tcPr>
          <w:p w14:paraId="36219568"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Family labour income (FLI)</w:t>
            </w:r>
          </w:p>
        </w:tc>
        <w:tc>
          <w:tcPr>
            <w:tcW w:w="909" w:type="pct"/>
            <w:noWrap/>
            <w:vAlign w:val="center"/>
            <w:hideMark/>
          </w:tcPr>
          <w:p w14:paraId="416D8D66"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778436.19</w:t>
            </w:r>
          </w:p>
        </w:tc>
        <w:tc>
          <w:tcPr>
            <w:tcW w:w="735" w:type="pct"/>
            <w:noWrap/>
            <w:vAlign w:val="center"/>
            <w:hideMark/>
          </w:tcPr>
          <w:p w14:paraId="22D65AFF"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786795.53</w:t>
            </w:r>
          </w:p>
        </w:tc>
        <w:tc>
          <w:tcPr>
            <w:tcW w:w="735" w:type="pct"/>
            <w:noWrap/>
            <w:vAlign w:val="center"/>
            <w:hideMark/>
          </w:tcPr>
          <w:p w14:paraId="146DB36B"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780543.33</w:t>
            </w:r>
          </w:p>
        </w:tc>
        <w:tc>
          <w:tcPr>
            <w:tcW w:w="739" w:type="pct"/>
            <w:noWrap/>
            <w:vAlign w:val="center"/>
            <w:hideMark/>
          </w:tcPr>
          <w:p w14:paraId="4F88CDF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781916.97</w:t>
            </w:r>
          </w:p>
        </w:tc>
      </w:tr>
      <w:tr w:rsidR="000E0C24" w:rsidRPr="00194BCC" w14:paraId="0C5C0E90" w14:textId="77777777" w:rsidTr="003F2D02">
        <w:trPr>
          <w:trHeight w:val="64"/>
        </w:trPr>
        <w:tc>
          <w:tcPr>
            <w:tcW w:w="348" w:type="pct"/>
            <w:noWrap/>
            <w:vAlign w:val="center"/>
            <w:hideMark/>
          </w:tcPr>
          <w:p w14:paraId="67E45F3A"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4</w:t>
            </w:r>
          </w:p>
        </w:tc>
        <w:tc>
          <w:tcPr>
            <w:tcW w:w="1533" w:type="pct"/>
            <w:noWrap/>
            <w:vAlign w:val="center"/>
            <w:hideMark/>
          </w:tcPr>
          <w:p w14:paraId="3F261122"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Net income (NI)</w:t>
            </w:r>
          </w:p>
        </w:tc>
        <w:tc>
          <w:tcPr>
            <w:tcW w:w="909" w:type="pct"/>
            <w:noWrap/>
            <w:vAlign w:val="center"/>
            <w:hideMark/>
          </w:tcPr>
          <w:p w14:paraId="326C0FC2"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838289.09</w:t>
            </w:r>
          </w:p>
        </w:tc>
        <w:tc>
          <w:tcPr>
            <w:tcW w:w="735" w:type="pct"/>
            <w:noWrap/>
            <w:vAlign w:val="center"/>
            <w:hideMark/>
          </w:tcPr>
          <w:p w14:paraId="76A5471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841005.40</w:t>
            </w:r>
          </w:p>
        </w:tc>
        <w:tc>
          <w:tcPr>
            <w:tcW w:w="735" w:type="pct"/>
            <w:noWrap/>
            <w:vAlign w:val="center"/>
            <w:hideMark/>
          </w:tcPr>
          <w:p w14:paraId="3DA601DF"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826876.58</w:t>
            </w:r>
          </w:p>
        </w:tc>
        <w:tc>
          <w:tcPr>
            <w:tcW w:w="739" w:type="pct"/>
            <w:noWrap/>
            <w:vAlign w:val="center"/>
            <w:hideMark/>
          </w:tcPr>
          <w:p w14:paraId="24A295DD"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835367.86</w:t>
            </w:r>
          </w:p>
        </w:tc>
      </w:tr>
      <w:tr w:rsidR="000E0C24" w:rsidRPr="00194BCC" w14:paraId="7E29B2A7" w14:textId="77777777" w:rsidTr="003F2D02">
        <w:trPr>
          <w:trHeight w:val="64"/>
        </w:trPr>
        <w:tc>
          <w:tcPr>
            <w:tcW w:w="348" w:type="pct"/>
            <w:noWrap/>
            <w:vAlign w:val="center"/>
            <w:hideMark/>
          </w:tcPr>
          <w:p w14:paraId="42A76488"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5</w:t>
            </w:r>
          </w:p>
        </w:tc>
        <w:tc>
          <w:tcPr>
            <w:tcW w:w="1533" w:type="pct"/>
            <w:noWrap/>
            <w:vAlign w:val="center"/>
            <w:hideMark/>
          </w:tcPr>
          <w:p w14:paraId="2AC8946B"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Returns to management (RM)</w:t>
            </w:r>
          </w:p>
        </w:tc>
        <w:tc>
          <w:tcPr>
            <w:tcW w:w="909" w:type="pct"/>
            <w:noWrap/>
            <w:vAlign w:val="center"/>
            <w:hideMark/>
          </w:tcPr>
          <w:p w14:paraId="6BF28CA2"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922118.00</w:t>
            </w:r>
          </w:p>
        </w:tc>
        <w:tc>
          <w:tcPr>
            <w:tcW w:w="735" w:type="pct"/>
            <w:noWrap/>
            <w:vAlign w:val="center"/>
            <w:hideMark/>
          </w:tcPr>
          <w:p w14:paraId="530A12CB"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925105.94</w:t>
            </w:r>
          </w:p>
        </w:tc>
        <w:tc>
          <w:tcPr>
            <w:tcW w:w="735" w:type="pct"/>
            <w:noWrap/>
            <w:vAlign w:val="center"/>
            <w:hideMark/>
          </w:tcPr>
          <w:p w14:paraId="447FDDF9"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909564.24</w:t>
            </w:r>
          </w:p>
        </w:tc>
        <w:tc>
          <w:tcPr>
            <w:tcW w:w="739" w:type="pct"/>
            <w:noWrap/>
            <w:vAlign w:val="center"/>
            <w:hideMark/>
          </w:tcPr>
          <w:p w14:paraId="78736655"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918904.65</w:t>
            </w:r>
          </w:p>
        </w:tc>
      </w:tr>
      <w:tr w:rsidR="000E0C24" w:rsidRPr="00194BCC" w14:paraId="2E0E1F42" w14:textId="77777777" w:rsidTr="003F2D02">
        <w:trPr>
          <w:trHeight w:val="64"/>
        </w:trPr>
        <w:tc>
          <w:tcPr>
            <w:tcW w:w="348" w:type="pct"/>
            <w:noWrap/>
            <w:vAlign w:val="center"/>
            <w:hideMark/>
          </w:tcPr>
          <w:p w14:paraId="20B7A08A"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6</w:t>
            </w:r>
          </w:p>
        </w:tc>
        <w:tc>
          <w:tcPr>
            <w:tcW w:w="1533" w:type="pct"/>
            <w:noWrap/>
            <w:vAlign w:val="center"/>
            <w:hideMark/>
          </w:tcPr>
          <w:p w14:paraId="3F9688F4"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Returns per rupee (RPR)</w:t>
            </w:r>
          </w:p>
        </w:tc>
        <w:tc>
          <w:tcPr>
            <w:tcW w:w="909" w:type="pct"/>
            <w:noWrap/>
            <w:vAlign w:val="center"/>
            <w:hideMark/>
          </w:tcPr>
          <w:p w14:paraId="0D10C2A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1.96</w:t>
            </w:r>
          </w:p>
        </w:tc>
        <w:tc>
          <w:tcPr>
            <w:tcW w:w="735" w:type="pct"/>
            <w:noWrap/>
            <w:vAlign w:val="center"/>
            <w:hideMark/>
          </w:tcPr>
          <w:p w14:paraId="570905A4"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1.98</w:t>
            </w:r>
          </w:p>
        </w:tc>
        <w:tc>
          <w:tcPr>
            <w:tcW w:w="735" w:type="pct"/>
            <w:noWrap/>
            <w:vAlign w:val="center"/>
            <w:hideMark/>
          </w:tcPr>
          <w:p w14:paraId="102A5785"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2.15</w:t>
            </w:r>
          </w:p>
        </w:tc>
        <w:tc>
          <w:tcPr>
            <w:tcW w:w="739" w:type="pct"/>
            <w:noWrap/>
            <w:vAlign w:val="center"/>
            <w:hideMark/>
          </w:tcPr>
          <w:p w14:paraId="436C553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2.13</w:t>
            </w:r>
          </w:p>
        </w:tc>
      </w:tr>
    </w:tbl>
    <w:p w14:paraId="6ED1FF9D" w14:textId="77777777" w:rsidR="000E0C24" w:rsidRDefault="000E0C24" w:rsidP="000E0C24">
      <w:pPr>
        <w:spacing w:after="0" w:line="360" w:lineRule="auto"/>
        <w:jc w:val="both"/>
        <w:rPr>
          <w:rFonts w:ascii="Times New Roman" w:hAnsi="Times New Roman" w:cs="Times New Roman"/>
          <w:sz w:val="24"/>
          <w:szCs w:val="24"/>
        </w:rPr>
      </w:pPr>
    </w:p>
    <w:p w14:paraId="094825AC" w14:textId="77777777" w:rsidR="000E0C24" w:rsidRPr="009B101B" w:rsidRDefault="000E0C24" w:rsidP="000E0C24">
      <w:pPr>
        <w:spacing w:after="120" w:line="360" w:lineRule="auto"/>
        <w:jc w:val="both"/>
        <w:rPr>
          <w:b/>
          <w:bCs/>
        </w:rPr>
      </w:pPr>
      <w:r w:rsidRPr="009B101B">
        <w:rPr>
          <w:rFonts w:ascii="Times New Roman" w:hAnsi="Times New Roman" w:cs="Times New Roman"/>
          <w:b/>
          <w:bCs/>
          <w:sz w:val="24"/>
          <w:szCs w:val="24"/>
        </w:rPr>
        <w:t xml:space="preserve">Size Group-wise </w:t>
      </w:r>
      <w:r>
        <w:rPr>
          <w:rFonts w:ascii="Times New Roman" w:hAnsi="Times New Roman" w:cs="Times New Roman"/>
          <w:b/>
          <w:bCs/>
          <w:sz w:val="24"/>
          <w:szCs w:val="24"/>
        </w:rPr>
        <w:t>E</w:t>
      </w:r>
      <w:r w:rsidRPr="009B101B">
        <w:rPr>
          <w:rFonts w:ascii="Times New Roman" w:hAnsi="Times New Roman" w:cs="Times New Roman"/>
          <w:b/>
          <w:bCs/>
          <w:sz w:val="24"/>
          <w:szCs w:val="24"/>
        </w:rPr>
        <w:t xml:space="preserve">mployment </w:t>
      </w:r>
      <w:r>
        <w:rPr>
          <w:rFonts w:ascii="Times New Roman" w:hAnsi="Times New Roman" w:cs="Times New Roman"/>
          <w:b/>
          <w:bCs/>
          <w:sz w:val="24"/>
          <w:szCs w:val="24"/>
        </w:rPr>
        <w:t>G</w:t>
      </w:r>
      <w:r w:rsidRPr="009B101B">
        <w:rPr>
          <w:rFonts w:ascii="Times New Roman" w:hAnsi="Times New Roman" w:cs="Times New Roman"/>
          <w:b/>
          <w:bCs/>
          <w:sz w:val="24"/>
          <w:szCs w:val="24"/>
        </w:rPr>
        <w:t xml:space="preserve">eneration (in </w:t>
      </w:r>
      <w:proofErr w:type="spellStart"/>
      <w:r w:rsidRPr="009B101B">
        <w:rPr>
          <w:rFonts w:ascii="Times New Roman" w:hAnsi="Times New Roman" w:cs="Times New Roman"/>
          <w:b/>
          <w:bCs/>
          <w:sz w:val="24"/>
          <w:szCs w:val="24"/>
        </w:rPr>
        <w:t>mandays</w:t>
      </w:r>
      <w:proofErr w:type="spellEnd"/>
      <w:r w:rsidRPr="009B101B">
        <w:rPr>
          <w:rFonts w:ascii="Times New Roman" w:hAnsi="Times New Roman" w:cs="Times New Roman"/>
          <w:b/>
          <w:bCs/>
          <w:sz w:val="24"/>
          <w:szCs w:val="24"/>
        </w:rPr>
        <w:t xml:space="preserve">) of Azalea growers in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-II Block of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 </w:t>
      </w:r>
      <w:r>
        <w:rPr>
          <w:rFonts w:ascii="Times New Roman" w:hAnsi="Times New Roman" w:cs="Times New Roman"/>
          <w:b/>
          <w:bCs/>
          <w:sz w:val="24"/>
          <w:szCs w:val="24"/>
        </w:rPr>
        <w:t>D</w:t>
      </w:r>
      <w:r w:rsidRPr="009B101B">
        <w:rPr>
          <w:rFonts w:ascii="Times New Roman" w:hAnsi="Times New Roman" w:cs="Times New Roman"/>
          <w:b/>
          <w:bCs/>
          <w:sz w:val="24"/>
          <w:szCs w:val="24"/>
        </w:rPr>
        <w:t>istrict of West Bengal (202</w:t>
      </w:r>
      <w:r>
        <w:rPr>
          <w:rFonts w:ascii="Times New Roman" w:hAnsi="Times New Roman" w:cs="Times New Roman"/>
          <w:b/>
          <w:bCs/>
          <w:sz w:val="24"/>
          <w:szCs w:val="24"/>
        </w:rPr>
        <w:t>2</w:t>
      </w:r>
      <w:r w:rsidRPr="009B101B">
        <w:rPr>
          <w:rFonts w:ascii="Times New Roman" w:hAnsi="Times New Roman" w:cs="Times New Roman"/>
          <w:b/>
          <w:bCs/>
          <w:sz w:val="24"/>
          <w:szCs w:val="24"/>
        </w:rPr>
        <w:t>-2</w:t>
      </w:r>
      <w:r>
        <w:rPr>
          <w:rFonts w:ascii="Times New Roman" w:hAnsi="Times New Roman" w:cs="Times New Roman"/>
          <w:b/>
          <w:bCs/>
          <w:sz w:val="24"/>
          <w:szCs w:val="24"/>
        </w:rPr>
        <w:t>3</w:t>
      </w:r>
      <w:r w:rsidRPr="009B101B">
        <w:rPr>
          <w:rFonts w:ascii="Times New Roman" w:hAnsi="Times New Roman" w:cs="Times New Roman"/>
          <w:b/>
          <w:bCs/>
          <w:sz w:val="24"/>
          <w:szCs w:val="24"/>
        </w:rPr>
        <w:t>)</w:t>
      </w:r>
    </w:p>
    <w:p w14:paraId="2FD9DFDF" w14:textId="4B109126" w:rsidR="000E0C24" w:rsidRPr="00220633" w:rsidRDefault="000E0C24" w:rsidP="000E0C24">
      <w:pPr>
        <w:spacing w:after="120" w:line="360" w:lineRule="auto"/>
        <w:ind w:firstLine="720"/>
        <w:jc w:val="both"/>
        <w:rPr>
          <w:rFonts w:ascii="Times New Roman" w:hAnsi="Times New Roman" w:cs="Times New Roman"/>
          <w:sz w:val="24"/>
          <w:szCs w:val="24"/>
        </w:rPr>
      </w:pPr>
      <w:r w:rsidRPr="000D05D1">
        <w:rPr>
          <w:rFonts w:ascii="Times New Roman" w:hAnsi="Times New Roman" w:cs="Times New Roman"/>
          <w:sz w:val="24"/>
          <w:szCs w:val="24"/>
        </w:rPr>
        <w:t xml:space="preserve">The </w:t>
      </w:r>
      <w:r>
        <w:rPr>
          <w:rFonts w:ascii="Times New Roman" w:hAnsi="Times New Roman" w:cs="Times New Roman"/>
          <w:sz w:val="24"/>
          <w:szCs w:val="24"/>
        </w:rPr>
        <w:t>T</w:t>
      </w:r>
      <w:r w:rsidRPr="000D05D1">
        <w:rPr>
          <w:rFonts w:ascii="Times New Roman" w:hAnsi="Times New Roman" w:cs="Times New Roman"/>
          <w:sz w:val="24"/>
          <w:szCs w:val="24"/>
        </w:rPr>
        <w:t>able</w:t>
      </w:r>
      <w:r>
        <w:rPr>
          <w:rFonts w:ascii="Times New Roman" w:hAnsi="Times New Roman" w:cs="Times New Roman"/>
          <w:sz w:val="24"/>
          <w:szCs w:val="24"/>
        </w:rPr>
        <w:t xml:space="preserve"> </w:t>
      </w:r>
      <w:r w:rsidR="00E63884">
        <w:rPr>
          <w:rFonts w:ascii="Times New Roman" w:hAnsi="Times New Roman" w:cs="Times New Roman"/>
          <w:sz w:val="24"/>
          <w:szCs w:val="24"/>
        </w:rPr>
        <w:t>5</w:t>
      </w:r>
      <w:r w:rsidRPr="000D05D1">
        <w:rPr>
          <w:rFonts w:ascii="Times New Roman" w:hAnsi="Times New Roman" w:cs="Times New Roman"/>
          <w:sz w:val="24"/>
          <w:szCs w:val="24"/>
        </w:rPr>
        <w:t xml:space="preserve"> </w:t>
      </w:r>
      <w:r>
        <w:rPr>
          <w:rFonts w:ascii="Times New Roman" w:hAnsi="Times New Roman" w:cs="Times New Roman"/>
          <w:sz w:val="24"/>
          <w:szCs w:val="24"/>
        </w:rPr>
        <w:t xml:space="preserve">reveals </w:t>
      </w:r>
      <w:r w:rsidRPr="000D05D1">
        <w:rPr>
          <w:rFonts w:ascii="Times New Roman" w:hAnsi="Times New Roman" w:cs="Times New Roman"/>
          <w:sz w:val="24"/>
          <w:szCs w:val="24"/>
        </w:rPr>
        <w:t xml:space="preserve">the employment generation in terms of family and hired </w:t>
      </w:r>
      <w:r>
        <w:rPr>
          <w:rFonts w:ascii="Times New Roman" w:hAnsi="Times New Roman" w:cs="Times New Roman"/>
          <w:sz w:val="24"/>
          <w:szCs w:val="24"/>
        </w:rPr>
        <w:t>labour</w:t>
      </w:r>
      <w:r w:rsidRPr="000D05D1">
        <w:rPr>
          <w:rFonts w:ascii="Times New Roman" w:hAnsi="Times New Roman" w:cs="Times New Roman"/>
          <w:sz w:val="24"/>
          <w:szCs w:val="24"/>
        </w:rPr>
        <w:t xml:space="preserve"> for Azalea flower growers in </w:t>
      </w:r>
      <w:proofErr w:type="spellStart"/>
      <w:r w:rsidRPr="000D05D1">
        <w:rPr>
          <w:rFonts w:ascii="Times New Roman" w:hAnsi="Times New Roman" w:cs="Times New Roman"/>
          <w:sz w:val="24"/>
          <w:szCs w:val="24"/>
        </w:rPr>
        <w:t>Kalimpong</w:t>
      </w:r>
      <w:proofErr w:type="spellEnd"/>
      <w:r w:rsidRPr="000D05D1">
        <w:rPr>
          <w:rFonts w:ascii="Times New Roman" w:hAnsi="Times New Roman" w:cs="Times New Roman"/>
          <w:sz w:val="24"/>
          <w:szCs w:val="24"/>
        </w:rPr>
        <w:t>-II Block, West Bengal, during the 2022</w:t>
      </w:r>
      <w:r>
        <w:rPr>
          <w:rFonts w:ascii="Times New Roman" w:hAnsi="Times New Roman" w:cs="Times New Roman"/>
          <w:sz w:val="24"/>
          <w:szCs w:val="24"/>
        </w:rPr>
        <w:t>-23</w:t>
      </w:r>
      <w:r w:rsidRPr="000D05D1">
        <w:rPr>
          <w:rFonts w:ascii="Times New Roman" w:hAnsi="Times New Roman" w:cs="Times New Roman"/>
          <w:sz w:val="24"/>
          <w:szCs w:val="24"/>
        </w:rPr>
        <w:t xml:space="preserve"> season. </w:t>
      </w:r>
      <w:r w:rsidRPr="00220633">
        <w:rPr>
          <w:rFonts w:ascii="Times New Roman" w:hAnsi="Times New Roman" w:cs="Times New Roman"/>
          <w:sz w:val="24"/>
          <w:szCs w:val="24"/>
        </w:rPr>
        <w:t>Marginal farm</w:t>
      </w:r>
      <w:r>
        <w:rPr>
          <w:rFonts w:ascii="Times New Roman" w:hAnsi="Times New Roman" w:cs="Times New Roman"/>
          <w:sz w:val="24"/>
          <w:szCs w:val="24"/>
        </w:rPr>
        <w:t>ers</w:t>
      </w:r>
      <w:r w:rsidRPr="00220633">
        <w:rPr>
          <w:rFonts w:ascii="Times New Roman" w:hAnsi="Times New Roman" w:cs="Times New Roman"/>
          <w:sz w:val="24"/>
          <w:szCs w:val="24"/>
        </w:rPr>
        <w:t xml:space="preserve"> ha</w:t>
      </w:r>
      <w:r>
        <w:rPr>
          <w:rFonts w:ascii="Times New Roman" w:hAnsi="Times New Roman" w:cs="Times New Roman"/>
          <w:sz w:val="24"/>
          <w:szCs w:val="24"/>
        </w:rPr>
        <w:t>ve</w:t>
      </w:r>
      <w:r w:rsidRPr="00220633">
        <w:rPr>
          <w:rFonts w:ascii="Times New Roman" w:hAnsi="Times New Roman" w:cs="Times New Roman"/>
          <w:sz w:val="24"/>
          <w:szCs w:val="24"/>
        </w:rPr>
        <w:t xml:space="preserve"> a total family labour contribution of 60.67 man-days and hired labour of 40.55 man-days, resulting in a total labour usage of 101.22 man-days. Small farm</w:t>
      </w:r>
      <w:r>
        <w:rPr>
          <w:rFonts w:ascii="Times New Roman" w:hAnsi="Times New Roman" w:cs="Times New Roman"/>
          <w:sz w:val="24"/>
          <w:szCs w:val="24"/>
        </w:rPr>
        <w:t>ers</w:t>
      </w:r>
      <w:r w:rsidRPr="00220633">
        <w:rPr>
          <w:rFonts w:ascii="Times New Roman" w:hAnsi="Times New Roman" w:cs="Times New Roman"/>
          <w:sz w:val="24"/>
          <w:szCs w:val="24"/>
        </w:rPr>
        <w:t xml:space="preserve"> record slightly lower family labour utilization with 55.14 man-days and hired labour of 45.69 man-days, amounting to a total of 100.83 man-days. For semi-medium farm</w:t>
      </w:r>
      <w:r>
        <w:rPr>
          <w:rFonts w:ascii="Times New Roman" w:hAnsi="Times New Roman" w:cs="Times New Roman"/>
          <w:sz w:val="24"/>
          <w:szCs w:val="24"/>
        </w:rPr>
        <w:t>ers</w:t>
      </w:r>
      <w:r w:rsidRPr="00220633">
        <w:rPr>
          <w:rFonts w:ascii="Times New Roman" w:hAnsi="Times New Roman" w:cs="Times New Roman"/>
          <w:sz w:val="24"/>
          <w:szCs w:val="24"/>
        </w:rPr>
        <w:t>, hired labour contribute more significantly, with 56.95 man-days compared to 44.04 man-days from family labour, resulting in a total labour usage of 100.99 man-days. The pooled average for all farm sizes show</w:t>
      </w:r>
      <w:r>
        <w:rPr>
          <w:rFonts w:ascii="Times New Roman" w:hAnsi="Times New Roman" w:cs="Times New Roman"/>
          <w:sz w:val="24"/>
          <w:szCs w:val="24"/>
        </w:rPr>
        <w:t>s</w:t>
      </w:r>
      <w:r w:rsidRPr="00220633">
        <w:rPr>
          <w:rFonts w:ascii="Times New Roman" w:hAnsi="Times New Roman" w:cs="Times New Roman"/>
          <w:sz w:val="24"/>
          <w:szCs w:val="24"/>
        </w:rPr>
        <w:t xml:space="preserve"> 52.81 man-days of family labour, 47.23 man-days of hired labour, and a total labour usage of 100.04 man-days. This indicate</w:t>
      </w:r>
      <w:r>
        <w:rPr>
          <w:rFonts w:ascii="Times New Roman" w:hAnsi="Times New Roman" w:cs="Times New Roman"/>
          <w:sz w:val="24"/>
          <w:szCs w:val="24"/>
        </w:rPr>
        <w:t>s</w:t>
      </w:r>
      <w:r w:rsidRPr="00220633">
        <w:rPr>
          <w:rFonts w:ascii="Times New Roman" w:hAnsi="Times New Roman" w:cs="Times New Roman"/>
          <w:sz w:val="24"/>
          <w:szCs w:val="24"/>
        </w:rPr>
        <w:t xml:space="preserve"> that marginal farm</w:t>
      </w:r>
      <w:r>
        <w:rPr>
          <w:rFonts w:ascii="Times New Roman" w:hAnsi="Times New Roman" w:cs="Times New Roman"/>
          <w:sz w:val="24"/>
          <w:szCs w:val="24"/>
        </w:rPr>
        <w:t>ers</w:t>
      </w:r>
      <w:r w:rsidRPr="00220633">
        <w:rPr>
          <w:rFonts w:ascii="Times New Roman" w:hAnsi="Times New Roman" w:cs="Times New Roman"/>
          <w:sz w:val="24"/>
          <w:szCs w:val="24"/>
        </w:rPr>
        <w:t xml:space="preserve"> rel</w:t>
      </w:r>
      <w:r>
        <w:rPr>
          <w:rFonts w:ascii="Times New Roman" w:hAnsi="Times New Roman" w:cs="Times New Roman"/>
          <w:sz w:val="24"/>
          <w:szCs w:val="24"/>
        </w:rPr>
        <w:t>y</w:t>
      </w:r>
      <w:r w:rsidRPr="00220633">
        <w:rPr>
          <w:rFonts w:ascii="Times New Roman" w:hAnsi="Times New Roman" w:cs="Times New Roman"/>
          <w:sz w:val="24"/>
          <w:szCs w:val="24"/>
        </w:rPr>
        <w:t xml:space="preserve"> more on family labour, whereas semi-medium farms depend more on hired labour to meet their cultivation needs.</w:t>
      </w:r>
    </w:p>
    <w:p w14:paraId="546E442E" w14:textId="65DAC701" w:rsidR="000E0C24" w:rsidRPr="009B101B" w:rsidRDefault="000E0C24" w:rsidP="00FD3DF9">
      <w:pPr>
        <w:spacing w:after="120" w:line="240" w:lineRule="auto"/>
        <w:ind w:left="851" w:hanging="851"/>
        <w:jc w:val="both"/>
        <w:rPr>
          <w:b/>
          <w:bCs/>
        </w:rPr>
      </w:pPr>
      <w:r>
        <w:rPr>
          <w:rFonts w:ascii="Times New Roman" w:hAnsi="Times New Roman" w:cs="Times New Roman"/>
          <w:b/>
          <w:bCs/>
          <w:sz w:val="24"/>
          <w:szCs w:val="24"/>
        </w:rPr>
        <w:t xml:space="preserve">Table </w:t>
      </w:r>
      <w:r w:rsidR="000B6F2C">
        <w:rPr>
          <w:rFonts w:ascii="Times New Roman" w:hAnsi="Times New Roman" w:cs="Times New Roman"/>
          <w:b/>
          <w:bCs/>
          <w:sz w:val="24"/>
          <w:szCs w:val="24"/>
        </w:rPr>
        <w:t>5</w:t>
      </w:r>
      <w:r>
        <w:rPr>
          <w:rFonts w:ascii="Times New Roman" w:hAnsi="Times New Roman" w:cs="Times New Roman"/>
          <w:b/>
          <w:bCs/>
          <w:sz w:val="24"/>
          <w:szCs w:val="24"/>
        </w:rPr>
        <w:t xml:space="preserve"> </w:t>
      </w:r>
      <w:r w:rsidRPr="009B101B">
        <w:rPr>
          <w:rFonts w:ascii="Times New Roman" w:hAnsi="Times New Roman" w:cs="Times New Roman"/>
          <w:b/>
          <w:bCs/>
          <w:sz w:val="24"/>
          <w:szCs w:val="24"/>
        </w:rPr>
        <w:t xml:space="preserve">Size Group-wise </w:t>
      </w:r>
      <w:r>
        <w:rPr>
          <w:rFonts w:ascii="Times New Roman" w:hAnsi="Times New Roman" w:cs="Times New Roman"/>
          <w:b/>
          <w:bCs/>
          <w:sz w:val="24"/>
          <w:szCs w:val="24"/>
        </w:rPr>
        <w:t>E</w:t>
      </w:r>
      <w:r w:rsidRPr="009B101B">
        <w:rPr>
          <w:rFonts w:ascii="Times New Roman" w:hAnsi="Times New Roman" w:cs="Times New Roman"/>
          <w:b/>
          <w:bCs/>
          <w:sz w:val="24"/>
          <w:szCs w:val="24"/>
        </w:rPr>
        <w:t xml:space="preserve">mployment </w:t>
      </w:r>
      <w:r>
        <w:rPr>
          <w:rFonts w:ascii="Times New Roman" w:hAnsi="Times New Roman" w:cs="Times New Roman"/>
          <w:b/>
          <w:bCs/>
          <w:sz w:val="24"/>
          <w:szCs w:val="24"/>
        </w:rPr>
        <w:t>G</w:t>
      </w:r>
      <w:r w:rsidRPr="009B101B">
        <w:rPr>
          <w:rFonts w:ascii="Times New Roman" w:hAnsi="Times New Roman" w:cs="Times New Roman"/>
          <w:b/>
          <w:bCs/>
          <w:sz w:val="24"/>
          <w:szCs w:val="24"/>
        </w:rPr>
        <w:t xml:space="preserve">eneration (in </w:t>
      </w:r>
      <w:proofErr w:type="spellStart"/>
      <w:r w:rsidRPr="009B101B">
        <w:rPr>
          <w:rFonts w:ascii="Times New Roman" w:hAnsi="Times New Roman" w:cs="Times New Roman"/>
          <w:b/>
          <w:bCs/>
          <w:sz w:val="24"/>
          <w:szCs w:val="24"/>
        </w:rPr>
        <w:t>mandays</w:t>
      </w:r>
      <w:proofErr w:type="spellEnd"/>
      <w:r w:rsidRPr="009B101B">
        <w:rPr>
          <w:rFonts w:ascii="Times New Roman" w:hAnsi="Times New Roman" w:cs="Times New Roman"/>
          <w:b/>
          <w:bCs/>
          <w:sz w:val="24"/>
          <w:szCs w:val="24"/>
        </w:rPr>
        <w:t xml:space="preserve">) of Azalea growers in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-II Block of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 </w:t>
      </w:r>
      <w:r>
        <w:rPr>
          <w:rFonts w:ascii="Times New Roman" w:hAnsi="Times New Roman" w:cs="Times New Roman"/>
          <w:b/>
          <w:bCs/>
          <w:sz w:val="24"/>
          <w:szCs w:val="24"/>
        </w:rPr>
        <w:t>D</w:t>
      </w:r>
      <w:r w:rsidRPr="009B101B">
        <w:rPr>
          <w:rFonts w:ascii="Times New Roman" w:hAnsi="Times New Roman" w:cs="Times New Roman"/>
          <w:b/>
          <w:bCs/>
          <w:sz w:val="24"/>
          <w:szCs w:val="24"/>
        </w:rPr>
        <w:t>istrict of West Bengal (202</w:t>
      </w:r>
      <w:r>
        <w:rPr>
          <w:rFonts w:ascii="Times New Roman" w:hAnsi="Times New Roman" w:cs="Times New Roman"/>
          <w:b/>
          <w:bCs/>
          <w:sz w:val="24"/>
          <w:szCs w:val="24"/>
        </w:rPr>
        <w:t>2</w:t>
      </w:r>
      <w:r w:rsidRPr="009B101B">
        <w:rPr>
          <w:rFonts w:ascii="Times New Roman" w:hAnsi="Times New Roman" w:cs="Times New Roman"/>
          <w:b/>
          <w:bCs/>
          <w:sz w:val="24"/>
          <w:szCs w:val="24"/>
        </w:rPr>
        <w:t>-2</w:t>
      </w:r>
      <w:r>
        <w:rPr>
          <w:rFonts w:ascii="Times New Roman" w:hAnsi="Times New Roman" w:cs="Times New Roman"/>
          <w:b/>
          <w:bCs/>
          <w:sz w:val="24"/>
          <w:szCs w:val="24"/>
        </w:rPr>
        <w:t>3</w:t>
      </w:r>
      <w:r w:rsidRPr="009B101B">
        <w:rPr>
          <w:rFonts w:ascii="Times New Roman" w:hAnsi="Times New Roman" w:cs="Times New Roman"/>
          <w:b/>
          <w:bCs/>
          <w:sz w:val="24"/>
          <w:szCs w:val="24"/>
        </w:rPr>
        <w:t>)</w:t>
      </w:r>
    </w:p>
    <w:tbl>
      <w:tblPr>
        <w:tblStyle w:val="TableGrid"/>
        <w:tblW w:w="5000" w:type="pct"/>
        <w:tblCellMar>
          <w:left w:w="43" w:type="dxa"/>
          <w:right w:w="43" w:type="dxa"/>
        </w:tblCellMar>
        <w:tblLook w:val="04A0" w:firstRow="1" w:lastRow="0" w:firstColumn="1" w:lastColumn="0" w:noHBand="0" w:noVBand="1"/>
      </w:tblPr>
      <w:tblGrid>
        <w:gridCol w:w="2656"/>
        <w:gridCol w:w="2418"/>
        <w:gridCol w:w="2418"/>
        <w:gridCol w:w="1524"/>
      </w:tblGrid>
      <w:tr w:rsidR="000E0C24" w:rsidRPr="00FD4ED5" w14:paraId="58D1C38F" w14:textId="77777777" w:rsidTr="003F2D02">
        <w:trPr>
          <w:trHeight w:val="396"/>
        </w:trPr>
        <w:tc>
          <w:tcPr>
            <w:tcW w:w="1473" w:type="pct"/>
            <w:vAlign w:val="center"/>
            <w:hideMark/>
          </w:tcPr>
          <w:p w14:paraId="253A6E35" w14:textId="77777777" w:rsidR="000E0C24" w:rsidRPr="00FD4ED5" w:rsidRDefault="000E0C24" w:rsidP="003F2D02">
            <w:pPr>
              <w:spacing w:before="60" w:after="60"/>
              <w:jc w:val="center"/>
              <w:rPr>
                <w:rFonts w:ascii="Times New Roman" w:hAnsi="Times New Roman" w:cs="Times New Roman"/>
                <w:b/>
                <w:bCs/>
                <w:sz w:val="24"/>
                <w:szCs w:val="24"/>
              </w:rPr>
            </w:pPr>
            <w:r w:rsidRPr="00FD4ED5">
              <w:rPr>
                <w:rFonts w:ascii="Times New Roman" w:hAnsi="Times New Roman" w:cs="Times New Roman"/>
                <w:b/>
                <w:bCs/>
                <w:sz w:val="24"/>
                <w:szCs w:val="24"/>
              </w:rPr>
              <w:t>Size-Group (hectare)</w:t>
            </w:r>
          </w:p>
        </w:tc>
        <w:tc>
          <w:tcPr>
            <w:tcW w:w="1341" w:type="pct"/>
            <w:vAlign w:val="center"/>
            <w:hideMark/>
          </w:tcPr>
          <w:p w14:paraId="4DA2A465" w14:textId="77777777" w:rsidR="000E0C24" w:rsidRPr="00FD4ED5" w:rsidRDefault="000E0C24" w:rsidP="003F2D02">
            <w:pPr>
              <w:spacing w:before="60" w:after="60"/>
              <w:jc w:val="center"/>
              <w:rPr>
                <w:rFonts w:ascii="Times New Roman" w:hAnsi="Times New Roman" w:cs="Times New Roman"/>
                <w:b/>
                <w:sz w:val="24"/>
                <w:szCs w:val="24"/>
              </w:rPr>
            </w:pPr>
            <w:r w:rsidRPr="00FD4ED5">
              <w:rPr>
                <w:rFonts w:ascii="Times New Roman" w:hAnsi="Times New Roman" w:cs="Times New Roman"/>
                <w:b/>
                <w:sz w:val="24"/>
                <w:szCs w:val="24"/>
              </w:rPr>
              <w:t>Total Family labour</w:t>
            </w:r>
          </w:p>
        </w:tc>
        <w:tc>
          <w:tcPr>
            <w:tcW w:w="1341" w:type="pct"/>
            <w:vAlign w:val="center"/>
            <w:hideMark/>
          </w:tcPr>
          <w:p w14:paraId="738998EB" w14:textId="77777777" w:rsidR="000E0C24" w:rsidRPr="00FD4ED5" w:rsidRDefault="000E0C24" w:rsidP="003F2D02">
            <w:pPr>
              <w:spacing w:before="60" w:after="60"/>
              <w:jc w:val="center"/>
              <w:rPr>
                <w:rFonts w:ascii="Times New Roman" w:hAnsi="Times New Roman" w:cs="Times New Roman"/>
                <w:b/>
                <w:sz w:val="24"/>
                <w:szCs w:val="24"/>
              </w:rPr>
            </w:pPr>
            <w:r w:rsidRPr="00FD4ED5">
              <w:rPr>
                <w:rFonts w:ascii="Times New Roman" w:hAnsi="Times New Roman" w:cs="Times New Roman"/>
                <w:b/>
                <w:sz w:val="24"/>
                <w:szCs w:val="24"/>
              </w:rPr>
              <w:t>Total Hired Labour</w:t>
            </w:r>
          </w:p>
        </w:tc>
        <w:tc>
          <w:tcPr>
            <w:tcW w:w="845" w:type="pct"/>
            <w:vAlign w:val="center"/>
            <w:hideMark/>
          </w:tcPr>
          <w:p w14:paraId="00BC7499" w14:textId="77777777" w:rsidR="000E0C24" w:rsidRPr="00FD4ED5" w:rsidRDefault="000E0C24" w:rsidP="003F2D02">
            <w:pPr>
              <w:spacing w:before="60" w:after="60"/>
              <w:jc w:val="center"/>
              <w:rPr>
                <w:rFonts w:ascii="Times New Roman" w:hAnsi="Times New Roman" w:cs="Times New Roman"/>
                <w:b/>
                <w:sz w:val="24"/>
                <w:szCs w:val="24"/>
              </w:rPr>
            </w:pPr>
            <w:r w:rsidRPr="00FD4ED5">
              <w:rPr>
                <w:rFonts w:ascii="Times New Roman" w:hAnsi="Times New Roman" w:cs="Times New Roman"/>
                <w:b/>
                <w:sz w:val="24"/>
                <w:szCs w:val="24"/>
              </w:rPr>
              <w:t>Total labour</w:t>
            </w:r>
          </w:p>
        </w:tc>
      </w:tr>
      <w:tr w:rsidR="000E0C24" w:rsidRPr="005E4579" w14:paraId="37899515" w14:textId="77777777" w:rsidTr="003F2D02">
        <w:trPr>
          <w:trHeight w:val="326"/>
        </w:trPr>
        <w:tc>
          <w:tcPr>
            <w:tcW w:w="1473" w:type="pct"/>
            <w:noWrap/>
            <w:vAlign w:val="center"/>
            <w:hideMark/>
          </w:tcPr>
          <w:p w14:paraId="024824B6"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t>&lt;1 (n=20)</w:t>
            </w:r>
          </w:p>
        </w:tc>
        <w:tc>
          <w:tcPr>
            <w:tcW w:w="1341" w:type="pct"/>
            <w:noWrap/>
            <w:vAlign w:val="bottom"/>
            <w:hideMark/>
          </w:tcPr>
          <w:p w14:paraId="24B51E4E"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60.67</w:t>
            </w:r>
          </w:p>
        </w:tc>
        <w:tc>
          <w:tcPr>
            <w:tcW w:w="1341" w:type="pct"/>
            <w:noWrap/>
            <w:vAlign w:val="bottom"/>
            <w:hideMark/>
          </w:tcPr>
          <w:p w14:paraId="5358550D"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40.55</w:t>
            </w:r>
          </w:p>
        </w:tc>
        <w:tc>
          <w:tcPr>
            <w:tcW w:w="845" w:type="pct"/>
            <w:noWrap/>
            <w:vAlign w:val="bottom"/>
            <w:hideMark/>
          </w:tcPr>
          <w:p w14:paraId="7EC3C5D6"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101.22</w:t>
            </w:r>
          </w:p>
        </w:tc>
      </w:tr>
      <w:tr w:rsidR="000E0C24" w:rsidRPr="005E4579" w14:paraId="4948DC17" w14:textId="77777777" w:rsidTr="003F2D02">
        <w:trPr>
          <w:trHeight w:val="326"/>
        </w:trPr>
        <w:tc>
          <w:tcPr>
            <w:tcW w:w="1473" w:type="pct"/>
            <w:noWrap/>
            <w:vAlign w:val="center"/>
            <w:hideMark/>
          </w:tcPr>
          <w:p w14:paraId="342927A9"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t>1 to 2 (n=4)</w:t>
            </w:r>
          </w:p>
        </w:tc>
        <w:tc>
          <w:tcPr>
            <w:tcW w:w="1341" w:type="pct"/>
            <w:noWrap/>
            <w:vAlign w:val="bottom"/>
            <w:hideMark/>
          </w:tcPr>
          <w:p w14:paraId="29E360DA"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55.14</w:t>
            </w:r>
          </w:p>
        </w:tc>
        <w:tc>
          <w:tcPr>
            <w:tcW w:w="1341" w:type="pct"/>
            <w:noWrap/>
            <w:vAlign w:val="bottom"/>
            <w:hideMark/>
          </w:tcPr>
          <w:p w14:paraId="13075899"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45.69</w:t>
            </w:r>
          </w:p>
        </w:tc>
        <w:tc>
          <w:tcPr>
            <w:tcW w:w="845" w:type="pct"/>
            <w:noWrap/>
            <w:vAlign w:val="bottom"/>
            <w:hideMark/>
          </w:tcPr>
          <w:p w14:paraId="1BDEB169"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100.83</w:t>
            </w:r>
          </w:p>
        </w:tc>
      </w:tr>
      <w:tr w:rsidR="000E0C24" w:rsidRPr="005E4579" w14:paraId="7B0F1CFB" w14:textId="77777777" w:rsidTr="003F2D02">
        <w:trPr>
          <w:trHeight w:val="317"/>
        </w:trPr>
        <w:tc>
          <w:tcPr>
            <w:tcW w:w="1473" w:type="pct"/>
            <w:noWrap/>
            <w:vAlign w:val="center"/>
            <w:hideMark/>
          </w:tcPr>
          <w:p w14:paraId="0B303B1F"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t>2 to 4 (n=1)</w:t>
            </w:r>
          </w:p>
        </w:tc>
        <w:tc>
          <w:tcPr>
            <w:tcW w:w="1341" w:type="pct"/>
            <w:noWrap/>
            <w:vAlign w:val="bottom"/>
            <w:hideMark/>
          </w:tcPr>
          <w:p w14:paraId="5458C2CB"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44.04</w:t>
            </w:r>
          </w:p>
        </w:tc>
        <w:tc>
          <w:tcPr>
            <w:tcW w:w="1341" w:type="pct"/>
            <w:noWrap/>
            <w:vAlign w:val="bottom"/>
            <w:hideMark/>
          </w:tcPr>
          <w:p w14:paraId="6C35B7DD"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56.95</w:t>
            </w:r>
          </w:p>
        </w:tc>
        <w:tc>
          <w:tcPr>
            <w:tcW w:w="845" w:type="pct"/>
            <w:noWrap/>
            <w:vAlign w:val="bottom"/>
            <w:hideMark/>
          </w:tcPr>
          <w:p w14:paraId="63DB9C7C"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100.99</w:t>
            </w:r>
          </w:p>
        </w:tc>
      </w:tr>
      <w:tr w:rsidR="000E0C24" w:rsidRPr="005E4579" w14:paraId="3D287EF1" w14:textId="77777777" w:rsidTr="003F2D02">
        <w:trPr>
          <w:trHeight w:val="317"/>
        </w:trPr>
        <w:tc>
          <w:tcPr>
            <w:tcW w:w="1473" w:type="pct"/>
            <w:noWrap/>
            <w:vAlign w:val="center"/>
            <w:hideMark/>
          </w:tcPr>
          <w:p w14:paraId="0DD7C485"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lastRenderedPageBreak/>
              <w:t>Pooled</w:t>
            </w:r>
          </w:p>
        </w:tc>
        <w:tc>
          <w:tcPr>
            <w:tcW w:w="1341" w:type="pct"/>
            <w:noWrap/>
            <w:vAlign w:val="bottom"/>
            <w:hideMark/>
          </w:tcPr>
          <w:p w14:paraId="299AD532"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52.81</w:t>
            </w:r>
          </w:p>
        </w:tc>
        <w:tc>
          <w:tcPr>
            <w:tcW w:w="1341" w:type="pct"/>
            <w:noWrap/>
            <w:vAlign w:val="bottom"/>
            <w:hideMark/>
          </w:tcPr>
          <w:p w14:paraId="33F19F74"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47.23</w:t>
            </w:r>
          </w:p>
        </w:tc>
        <w:tc>
          <w:tcPr>
            <w:tcW w:w="845" w:type="pct"/>
            <w:noWrap/>
            <w:vAlign w:val="bottom"/>
            <w:hideMark/>
          </w:tcPr>
          <w:p w14:paraId="577EF922"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100.04</w:t>
            </w:r>
          </w:p>
        </w:tc>
      </w:tr>
    </w:tbl>
    <w:p w14:paraId="1153A935" w14:textId="7683A777" w:rsidR="00F257B3" w:rsidRDefault="00F257B3"/>
    <w:p w14:paraId="3411286E" w14:textId="1545D1E0" w:rsidR="00F257B3" w:rsidRDefault="00F257B3">
      <w:pPr>
        <w:rPr>
          <w:rFonts w:ascii="Times New Roman" w:hAnsi="Times New Roman" w:cs="Times New Roman"/>
          <w:b/>
          <w:bCs/>
          <w:sz w:val="24"/>
          <w:szCs w:val="24"/>
        </w:rPr>
      </w:pPr>
      <w:r w:rsidRPr="00F257B3">
        <w:rPr>
          <w:rFonts w:ascii="Times New Roman" w:hAnsi="Times New Roman" w:cs="Times New Roman"/>
          <w:b/>
          <w:bCs/>
          <w:sz w:val="24"/>
          <w:szCs w:val="24"/>
        </w:rPr>
        <w:t>Conclusion</w:t>
      </w:r>
    </w:p>
    <w:p w14:paraId="0F3AC14B" w14:textId="77777777" w:rsidR="00F8468A" w:rsidRDefault="0045653A" w:rsidP="00FD3D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45653A">
        <w:rPr>
          <w:rFonts w:ascii="Times New Roman" w:hAnsi="Times New Roman" w:cs="Times New Roman"/>
          <w:sz w:val="24"/>
          <w:szCs w:val="24"/>
        </w:rPr>
        <w:t>Azalea (</w:t>
      </w:r>
      <w:r w:rsidRPr="00FD3DF9">
        <w:rPr>
          <w:rFonts w:ascii="Times New Roman" w:hAnsi="Times New Roman" w:cs="Times New Roman"/>
          <w:i/>
          <w:iCs/>
          <w:sz w:val="24"/>
          <w:szCs w:val="24"/>
        </w:rPr>
        <w:t>Rhododendron indica</w:t>
      </w:r>
      <w:r w:rsidRPr="0045653A">
        <w:rPr>
          <w:rFonts w:ascii="Times New Roman" w:hAnsi="Times New Roman" w:cs="Times New Roman"/>
          <w:sz w:val="24"/>
          <w:szCs w:val="24"/>
        </w:rPr>
        <w:t xml:space="preserve">) cultivation in the hill zones of West Bengal, particularly in </w:t>
      </w:r>
      <w:proofErr w:type="spellStart"/>
      <w:r w:rsidRPr="0045653A">
        <w:rPr>
          <w:rFonts w:ascii="Times New Roman" w:hAnsi="Times New Roman" w:cs="Times New Roman"/>
          <w:sz w:val="24"/>
          <w:szCs w:val="24"/>
        </w:rPr>
        <w:t>Kalimpong</w:t>
      </w:r>
      <w:proofErr w:type="spellEnd"/>
      <w:r w:rsidRPr="0045653A">
        <w:rPr>
          <w:rFonts w:ascii="Times New Roman" w:hAnsi="Times New Roman" w:cs="Times New Roman"/>
          <w:sz w:val="24"/>
          <w:szCs w:val="24"/>
        </w:rPr>
        <w:t xml:space="preserve"> district, demonstrates significant potential as a sustainable and economically viable floricultural enterprise. The study reveals that Azalea farming contributes substantially to farmers' income across all farm sizes, with smaller farms exhibiting higher returns over variable costs and net income due to optimized resource use and family </w:t>
      </w:r>
      <w:proofErr w:type="spellStart"/>
      <w:r w:rsidRPr="0045653A">
        <w:rPr>
          <w:rFonts w:ascii="Times New Roman" w:hAnsi="Times New Roman" w:cs="Times New Roman"/>
          <w:sz w:val="24"/>
          <w:szCs w:val="24"/>
        </w:rPr>
        <w:t>labor</w:t>
      </w:r>
      <w:proofErr w:type="spellEnd"/>
      <w:r w:rsidRPr="0045653A">
        <w:rPr>
          <w:rFonts w:ascii="Times New Roman" w:hAnsi="Times New Roman" w:cs="Times New Roman"/>
          <w:sz w:val="24"/>
          <w:szCs w:val="24"/>
        </w:rPr>
        <w:t xml:space="preserve"> involvement. Additionally, the employment generation aspect highlights the sector's ability to provide </w:t>
      </w:r>
      <w:proofErr w:type="spellStart"/>
      <w:r w:rsidRPr="0045653A">
        <w:rPr>
          <w:rFonts w:ascii="Times New Roman" w:hAnsi="Times New Roman" w:cs="Times New Roman"/>
          <w:sz w:val="24"/>
          <w:szCs w:val="24"/>
        </w:rPr>
        <w:t>labor</w:t>
      </w:r>
      <w:proofErr w:type="spellEnd"/>
      <w:r w:rsidRPr="0045653A">
        <w:rPr>
          <w:rFonts w:ascii="Times New Roman" w:hAnsi="Times New Roman" w:cs="Times New Roman"/>
          <w:sz w:val="24"/>
          <w:szCs w:val="24"/>
        </w:rPr>
        <w:t xml:space="preserve"> opportunities, particularly in regions with limited alternative livelihoods.</w:t>
      </w:r>
      <w:r>
        <w:rPr>
          <w:rFonts w:ascii="Times New Roman" w:hAnsi="Times New Roman" w:cs="Times New Roman"/>
          <w:sz w:val="24"/>
          <w:szCs w:val="24"/>
        </w:rPr>
        <w:t xml:space="preserve"> </w:t>
      </w:r>
      <w:r w:rsidRPr="0045653A">
        <w:rPr>
          <w:rFonts w:ascii="Times New Roman" w:hAnsi="Times New Roman" w:cs="Times New Roman"/>
          <w:sz w:val="24"/>
          <w:szCs w:val="24"/>
        </w:rPr>
        <w:t xml:space="preserve">However, the profitability of Azalea cultivation is influenced by several factors, including input costs, market access, and efficient </w:t>
      </w:r>
      <w:proofErr w:type="spellStart"/>
      <w:r w:rsidRPr="0045653A">
        <w:rPr>
          <w:rFonts w:ascii="Times New Roman" w:hAnsi="Times New Roman" w:cs="Times New Roman"/>
          <w:sz w:val="24"/>
          <w:szCs w:val="24"/>
        </w:rPr>
        <w:t>labor</w:t>
      </w:r>
      <w:proofErr w:type="spellEnd"/>
      <w:r w:rsidRPr="0045653A">
        <w:rPr>
          <w:rFonts w:ascii="Times New Roman" w:hAnsi="Times New Roman" w:cs="Times New Roman"/>
          <w:sz w:val="24"/>
          <w:szCs w:val="24"/>
        </w:rPr>
        <w:t xml:space="preserve"> utilization. </w:t>
      </w:r>
    </w:p>
    <w:p w14:paraId="2B796417" w14:textId="562CEF4B" w:rsidR="00F8468A" w:rsidRDefault="00F8468A" w:rsidP="00D735F9">
      <w:pPr>
        <w:spacing w:line="360" w:lineRule="auto"/>
        <w:ind w:firstLine="720"/>
        <w:jc w:val="both"/>
        <w:rPr>
          <w:rFonts w:ascii="Times New Roman" w:hAnsi="Times New Roman" w:cs="Times New Roman"/>
          <w:sz w:val="24"/>
          <w:szCs w:val="24"/>
        </w:rPr>
      </w:pPr>
      <w:r w:rsidRPr="00F8468A">
        <w:rPr>
          <w:rFonts w:ascii="Times New Roman" w:hAnsi="Times New Roman" w:cs="Times New Roman"/>
          <w:sz w:val="24"/>
          <w:szCs w:val="24"/>
        </w:rPr>
        <w:t>To address these challenges, policies aimed at developing organized markets, establishing cooperative models, and promoting export-oriented strategies are essential to enhance price realization and market reach. Providing subsidies on inputs such as plant protection chemicals and irrigation equipment, along with tailored credit schemes for floriculture, can reduce production costs and enable farmers to invest in advanced practices. Strengthening agricultural extension services and organizing regular training programs can equip farmers with modern cultivation and post-harvest handling techniques, while research and development efforts should focus on introducing high-yielding, disease-resistant varieties and sustainable farming practices.</w:t>
      </w:r>
      <w:r w:rsidR="00D735F9">
        <w:rPr>
          <w:rFonts w:ascii="Times New Roman" w:hAnsi="Times New Roman" w:cs="Times New Roman"/>
          <w:sz w:val="24"/>
          <w:szCs w:val="24"/>
        </w:rPr>
        <w:t xml:space="preserve"> </w:t>
      </w:r>
      <w:r w:rsidRPr="00F8468A">
        <w:rPr>
          <w:rFonts w:ascii="Times New Roman" w:hAnsi="Times New Roman" w:cs="Times New Roman"/>
          <w:sz w:val="24"/>
          <w:szCs w:val="24"/>
        </w:rPr>
        <w:t>Encouraging cluster development among Azalea growers, supported by public-private partnerships to build essential infrastructure like cold storage and transport facilities, can minimize post-harvest losses and improve supply chain efficiency. By integrating these policies, Azalea cultivation can be transformed into a sustainable and highly profitable venture, contributing significantly to rural development and economic growth in the hill regions of West Bengal.</w:t>
      </w:r>
    </w:p>
    <w:p w14:paraId="2EAFCBC0" w14:textId="5E8A35A4" w:rsidR="00D735F9" w:rsidRDefault="00D735F9" w:rsidP="00D735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7C1FA53B" w14:textId="63C7C496" w:rsidR="00153FD2" w:rsidRPr="00CF527A" w:rsidRDefault="00153FD2" w:rsidP="00CF527A">
      <w:pPr>
        <w:pStyle w:val="ListParagraph"/>
        <w:numPr>
          <w:ilvl w:val="0"/>
          <w:numId w:val="3"/>
        </w:numPr>
        <w:spacing w:line="360" w:lineRule="auto"/>
        <w:jc w:val="both"/>
        <w:rPr>
          <w:rFonts w:ascii="Times New Roman" w:hAnsi="Times New Roman" w:cs="Times New Roman"/>
          <w:b/>
          <w:bCs/>
          <w:sz w:val="24"/>
          <w:szCs w:val="24"/>
        </w:rPr>
      </w:pPr>
      <w:r w:rsidRPr="00CF527A">
        <w:rPr>
          <w:rFonts w:ascii="Times New Roman" w:hAnsi="Times New Roman" w:cs="Times New Roman"/>
          <w:sz w:val="24"/>
          <w:szCs w:val="24"/>
        </w:rPr>
        <w:t xml:space="preserve">De Riek, J., De Keyser, E., Calsyn, E., </w:t>
      </w:r>
      <w:proofErr w:type="spellStart"/>
      <w:r w:rsidRPr="00CF527A">
        <w:rPr>
          <w:rFonts w:ascii="Times New Roman" w:hAnsi="Times New Roman" w:cs="Times New Roman"/>
          <w:sz w:val="24"/>
          <w:szCs w:val="24"/>
        </w:rPr>
        <w:t>Eeckhaut</w:t>
      </w:r>
      <w:proofErr w:type="spellEnd"/>
      <w:r w:rsidRPr="00CF527A">
        <w:rPr>
          <w:rFonts w:ascii="Times New Roman" w:hAnsi="Times New Roman" w:cs="Times New Roman"/>
          <w:sz w:val="24"/>
          <w:szCs w:val="24"/>
        </w:rPr>
        <w:t xml:space="preserve">, T., Van </w:t>
      </w:r>
      <w:proofErr w:type="spellStart"/>
      <w:r w:rsidRPr="00CF527A">
        <w:rPr>
          <w:rFonts w:ascii="Times New Roman" w:hAnsi="Times New Roman" w:cs="Times New Roman"/>
          <w:sz w:val="24"/>
          <w:szCs w:val="24"/>
        </w:rPr>
        <w:t>Huylenbroeck</w:t>
      </w:r>
      <w:proofErr w:type="spellEnd"/>
      <w:r w:rsidRPr="00CF527A">
        <w:rPr>
          <w:rFonts w:ascii="Times New Roman" w:hAnsi="Times New Roman" w:cs="Times New Roman"/>
          <w:sz w:val="24"/>
          <w:szCs w:val="24"/>
        </w:rPr>
        <w:t>, J., &amp; Kobayashi, N. (2018). Azalea. </w:t>
      </w:r>
      <w:r w:rsidRPr="00CF527A">
        <w:rPr>
          <w:rFonts w:ascii="Times New Roman" w:hAnsi="Times New Roman" w:cs="Times New Roman"/>
          <w:i/>
          <w:iCs/>
          <w:sz w:val="24"/>
          <w:szCs w:val="24"/>
        </w:rPr>
        <w:t>Ornamental crops</w:t>
      </w:r>
      <w:r w:rsidRPr="00CF527A">
        <w:rPr>
          <w:rFonts w:ascii="Times New Roman" w:hAnsi="Times New Roman" w:cs="Times New Roman"/>
          <w:sz w:val="24"/>
          <w:szCs w:val="24"/>
        </w:rPr>
        <w:t>, 237-271</w:t>
      </w:r>
      <w:r w:rsidRPr="00CF527A">
        <w:rPr>
          <w:rFonts w:ascii="Times New Roman" w:hAnsi="Times New Roman" w:cs="Times New Roman"/>
          <w:b/>
          <w:bCs/>
          <w:sz w:val="24"/>
          <w:szCs w:val="24"/>
        </w:rPr>
        <w:t>.</w:t>
      </w:r>
    </w:p>
    <w:p w14:paraId="494FA581" w14:textId="2D76A7EC" w:rsidR="00777BC3" w:rsidRPr="00CF527A" w:rsidRDefault="00777BC3"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 xml:space="preserve">Kobayashi, N., Nakatsuka, A., Ohta, H., Kurashige, Y., Handa, T., </w:t>
      </w:r>
      <w:proofErr w:type="spellStart"/>
      <w:r w:rsidRPr="00CF527A">
        <w:rPr>
          <w:rFonts w:ascii="Times New Roman" w:hAnsi="Times New Roman" w:cs="Times New Roman"/>
          <w:sz w:val="24"/>
          <w:szCs w:val="24"/>
        </w:rPr>
        <w:t>Scariot</w:t>
      </w:r>
      <w:proofErr w:type="spellEnd"/>
      <w:r w:rsidRPr="00CF527A">
        <w:rPr>
          <w:rFonts w:ascii="Times New Roman" w:hAnsi="Times New Roman" w:cs="Times New Roman"/>
          <w:sz w:val="24"/>
          <w:szCs w:val="24"/>
        </w:rPr>
        <w:t xml:space="preserve">, V., Caser, M., Demasi, S., De Riek, J., De Keyser, E. &amp; Van </w:t>
      </w:r>
      <w:proofErr w:type="spellStart"/>
      <w:r w:rsidRPr="00CF527A">
        <w:rPr>
          <w:rFonts w:ascii="Times New Roman" w:hAnsi="Times New Roman" w:cs="Times New Roman"/>
          <w:sz w:val="24"/>
          <w:szCs w:val="24"/>
        </w:rPr>
        <w:t>Huylenbroeck</w:t>
      </w:r>
      <w:proofErr w:type="spellEnd"/>
      <w:r w:rsidRPr="00CF527A">
        <w:rPr>
          <w:rFonts w:ascii="Times New Roman" w:hAnsi="Times New Roman" w:cs="Times New Roman"/>
          <w:sz w:val="24"/>
          <w:szCs w:val="24"/>
        </w:rPr>
        <w:t xml:space="preserve">, J. (2021). </w:t>
      </w:r>
      <w:r w:rsidRPr="00CF527A">
        <w:rPr>
          <w:rFonts w:ascii="Times New Roman" w:hAnsi="Times New Roman" w:cs="Times New Roman"/>
          <w:sz w:val="24"/>
          <w:szCs w:val="24"/>
        </w:rPr>
        <w:lastRenderedPageBreak/>
        <w:t xml:space="preserve">Contribution of the Rhododendron </w:t>
      </w:r>
      <w:proofErr w:type="spellStart"/>
      <w:r w:rsidRPr="00CF527A">
        <w:rPr>
          <w:rFonts w:ascii="Times New Roman" w:hAnsi="Times New Roman" w:cs="Times New Roman"/>
          <w:sz w:val="24"/>
          <w:szCs w:val="24"/>
        </w:rPr>
        <w:t>ripense</w:t>
      </w:r>
      <w:proofErr w:type="spellEnd"/>
      <w:r w:rsidRPr="00CF527A">
        <w:rPr>
          <w:rFonts w:ascii="Times New Roman" w:hAnsi="Times New Roman" w:cs="Times New Roman"/>
          <w:sz w:val="24"/>
          <w:szCs w:val="24"/>
        </w:rPr>
        <w:t xml:space="preserve"> Makino Chloroplast genome to the development of evergreen azalea cultivars. </w:t>
      </w:r>
      <w:r w:rsidRPr="00CF527A">
        <w:rPr>
          <w:rFonts w:ascii="Times New Roman" w:hAnsi="Times New Roman" w:cs="Times New Roman"/>
          <w:i/>
          <w:iCs/>
          <w:sz w:val="24"/>
          <w:szCs w:val="24"/>
        </w:rPr>
        <w:t>The Horticulture Journal</w:t>
      </w:r>
      <w:r w:rsidRPr="00CF527A">
        <w:rPr>
          <w:rFonts w:ascii="Times New Roman" w:hAnsi="Times New Roman" w:cs="Times New Roman"/>
          <w:sz w:val="24"/>
          <w:szCs w:val="24"/>
        </w:rPr>
        <w:t>, </w:t>
      </w:r>
      <w:r w:rsidRPr="00CF527A">
        <w:rPr>
          <w:rFonts w:ascii="Times New Roman" w:hAnsi="Times New Roman" w:cs="Times New Roman"/>
          <w:i/>
          <w:iCs/>
          <w:sz w:val="24"/>
          <w:szCs w:val="24"/>
        </w:rPr>
        <w:t>90</w:t>
      </w:r>
      <w:r w:rsidRPr="00CF527A">
        <w:rPr>
          <w:rFonts w:ascii="Times New Roman" w:hAnsi="Times New Roman" w:cs="Times New Roman"/>
          <w:sz w:val="24"/>
          <w:szCs w:val="24"/>
        </w:rPr>
        <w:t>(2), 223-231.</w:t>
      </w:r>
    </w:p>
    <w:p w14:paraId="573431C3" w14:textId="49097F6E" w:rsidR="00D735F9" w:rsidRPr="00CF527A" w:rsidRDefault="00D735F9"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Kharga, B. D., &amp; Roy, R. Floriculture enterprise: Blooming the flower of life. </w:t>
      </w:r>
      <w:r w:rsidRPr="00CF527A">
        <w:rPr>
          <w:rFonts w:ascii="Times New Roman" w:hAnsi="Times New Roman" w:cs="Times New Roman"/>
          <w:i/>
          <w:iCs/>
          <w:sz w:val="24"/>
          <w:szCs w:val="24"/>
        </w:rPr>
        <w:t>Indian Horticulture</w:t>
      </w:r>
      <w:r w:rsidRPr="00CF527A">
        <w:rPr>
          <w:rFonts w:ascii="Times New Roman" w:hAnsi="Times New Roman" w:cs="Times New Roman"/>
          <w:sz w:val="24"/>
          <w:szCs w:val="24"/>
        </w:rPr>
        <w:t>, </w:t>
      </w:r>
      <w:r w:rsidRPr="00CF527A">
        <w:rPr>
          <w:rFonts w:ascii="Times New Roman" w:hAnsi="Times New Roman" w:cs="Times New Roman"/>
          <w:i/>
          <w:iCs/>
          <w:sz w:val="24"/>
          <w:szCs w:val="24"/>
        </w:rPr>
        <w:t>67</w:t>
      </w:r>
      <w:r w:rsidRPr="00CF527A">
        <w:rPr>
          <w:rFonts w:ascii="Times New Roman" w:hAnsi="Times New Roman" w:cs="Times New Roman"/>
          <w:sz w:val="24"/>
          <w:szCs w:val="24"/>
        </w:rPr>
        <w:t>(4).</w:t>
      </w:r>
    </w:p>
    <w:p w14:paraId="0E86939D" w14:textId="68E6662D" w:rsidR="002B6801" w:rsidRPr="00CF527A" w:rsidRDefault="002B6801"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Raju, V. T., Raju, V. T., Shankar, V., &amp; Rao, V. S. (2003). </w:t>
      </w:r>
      <w:r w:rsidRPr="00CF527A">
        <w:rPr>
          <w:rFonts w:ascii="Times New Roman" w:hAnsi="Times New Roman" w:cs="Times New Roman"/>
          <w:i/>
          <w:iCs/>
          <w:sz w:val="24"/>
          <w:szCs w:val="24"/>
        </w:rPr>
        <w:t>Economics of farm production and management</w:t>
      </w:r>
      <w:r w:rsidRPr="00CF527A">
        <w:rPr>
          <w:rFonts w:ascii="Times New Roman" w:hAnsi="Times New Roman" w:cs="Times New Roman"/>
          <w:sz w:val="24"/>
          <w:szCs w:val="24"/>
        </w:rPr>
        <w:t xml:space="preserve">. Oxford and IBH Publishing Company </w:t>
      </w:r>
      <w:proofErr w:type="spellStart"/>
      <w:r w:rsidRPr="00CF527A">
        <w:rPr>
          <w:rFonts w:ascii="Times New Roman" w:hAnsi="Times New Roman" w:cs="Times New Roman"/>
          <w:sz w:val="24"/>
          <w:szCs w:val="24"/>
        </w:rPr>
        <w:t>Pvt.</w:t>
      </w:r>
      <w:proofErr w:type="spellEnd"/>
      <w:r w:rsidRPr="00CF527A">
        <w:rPr>
          <w:rFonts w:ascii="Times New Roman" w:hAnsi="Times New Roman" w:cs="Times New Roman"/>
          <w:sz w:val="24"/>
          <w:szCs w:val="24"/>
        </w:rPr>
        <w:t xml:space="preserve"> Limited.</w:t>
      </w:r>
    </w:p>
    <w:p w14:paraId="69EAAD9A" w14:textId="0F068C9D" w:rsidR="00CF527A" w:rsidRPr="00CF527A" w:rsidRDefault="00CF527A"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 xml:space="preserve">Rahimi, S., </w:t>
      </w:r>
      <w:proofErr w:type="spellStart"/>
      <w:r w:rsidRPr="00CF527A">
        <w:rPr>
          <w:rFonts w:ascii="Times New Roman" w:hAnsi="Times New Roman" w:cs="Times New Roman"/>
          <w:sz w:val="24"/>
          <w:szCs w:val="24"/>
        </w:rPr>
        <w:t>Naderi</w:t>
      </w:r>
      <w:proofErr w:type="spellEnd"/>
      <w:r w:rsidRPr="00CF527A">
        <w:rPr>
          <w:rFonts w:ascii="Times New Roman" w:hAnsi="Times New Roman" w:cs="Times New Roman"/>
          <w:sz w:val="24"/>
          <w:szCs w:val="24"/>
        </w:rPr>
        <w:t xml:space="preserve">, R., </w:t>
      </w:r>
      <w:proofErr w:type="spellStart"/>
      <w:r w:rsidRPr="00CF527A">
        <w:rPr>
          <w:rFonts w:ascii="Times New Roman" w:hAnsi="Times New Roman" w:cs="Times New Roman"/>
          <w:sz w:val="24"/>
          <w:szCs w:val="24"/>
        </w:rPr>
        <w:t>Ghaemaghami</w:t>
      </w:r>
      <w:proofErr w:type="spellEnd"/>
      <w:r w:rsidRPr="00CF527A">
        <w:rPr>
          <w:rFonts w:ascii="Times New Roman" w:hAnsi="Times New Roman" w:cs="Times New Roman"/>
          <w:sz w:val="24"/>
          <w:szCs w:val="24"/>
        </w:rPr>
        <w:t xml:space="preserve">, S. A., </w:t>
      </w:r>
      <w:proofErr w:type="spellStart"/>
      <w:r w:rsidRPr="00CF527A">
        <w:rPr>
          <w:rFonts w:ascii="Times New Roman" w:hAnsi="Times New Roman" w:cs="Times New Roman"/>
          <w:sz w:val="24"/>
          <w:szCs w:val="24"/>
        </w:rPr>
        <w:t>Kalatejari</w:t>
      </w:r>
      <w:proofErr w:type="spellEnd"/>
      <w:r w:rsidRPr="00CF527A">
        <w:rPr>
          <w:rFonts w:ascii="Times New Roman" w:hAnsi="Times New Roman" w:cs="Times New Roman"/>
          <w:sz w:val="24"/>
          <w:szCs w:val="24"/>
        </w:rPr>
        <w:t xml:space="preserve">, S., &amp; </w:t>
      </w:r>
      <w:proofErr w:type="spellStart"/>
      <w:r w:rsidRPr="00CF527A">
        <w:rPr>
          <w:rFonts w:ascii="Times New Roman" w:hAnsi="Times New Roman" w:cs="Times New Roman"/>
          <w:sz w:val="24"/>
          <w:szCs w:val="24"/>
        </w:rPr>
        <w:t>Farham</w:t>
      </w:r>
      <w:proofErr w:type="spellEnd"/>
      <w:r w:rsidRPr="00CF527A">
        <w:rPr>
          <w:rFonts w:ascii="Times New Roman" w:hAnsi="Times New Roman" w:cs="Times New Roman"/>
          <w:sz w:val="24"/>
          <w:szCs w:val="24"/>
        </w:rPr>
        <w:t xml:space="preserve">, B. (2013). Study on effects of different Plant Growth Regulators types in shoot regeneration and node formation of </w:t>
      </w:r>
      <w:proofErr w:type="spellStart"/>
      <w:r w:rsidRPr="00CF527A">
        <w:rPr>
          <w:rFonts w:ascii="Times New Roman" w:hAnsi="Times New Roman" w:cs="Times New Roman"/>
          <w:sz w:val="24"/>
          <w:szCs w:val="24"/>
        </w:rPr>
        <w:t>Sutsuki</w:t>
      </w:r>
      <w:proofErr w:type="spellEnd"/>
      <w:r w:rsidRPr="00CF527A">
        <w:rPr>
          <w:rFonts w:ascii="Times New Roman" w:hAnsi="Times New Roman" w:cs="Times New Roman"/>
          <w:sz w:val="24"/>
          <w:szCs w:val="24"/>
        </w:rPr>
        <w:t xml:space="preserve"> Azalea (Rhododendron </w:t>
      </w:r>
      <w:proofErr w:type="spellStart"/>
      <w:r w:rsidRPr="00CF527A">
        <w:rPr>
          <w:rFonts w:ascii="Times New Roman" w:hAnsi="Times New Roman" w:cs="Times New Roman"/>
          <w:sz w:val="24"/>
          <w:szCs w:val="24"/>
        </w:rPr>
        <w:t>indicum</w:t>
      </w:r>
      <w:proofErr w:type="spellEnd"/>
      <w:r w:rsidRPr="00CF527A">
        <w:rPr>
          <w:rFonts w:ascii="Times New Roman" w:hAnsi="Times New Roman" w:cs="Times New Roman"/>
          <w:sz w:val="24"/>
          <w:szCs w:val="24"/>
        </w:rPr>
        <w:t>): a commercially important bonsai. Procedia Engineering, 59, 240-246.</w:t>
      </w:r>
    </w:p>
    <w:p w14:paraId="094D2859" w14:textId="6F27D974" w:rsidR="00CF527A" w:rsidRPr="00CF527A" w:rsidRDefault="00CF527A"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 xml:space="preserve">Hao, Z., Li, Y., Yang, Y., Song, J., Meng, J., &amp; Guan, W. (2024). Studies on Distant Hybridization Compatibility between the Azalea (Rhododendron× </w:t>
      </w:r>
      <w:proofErr w:type="spellStart"/>
      <w:r w:rsidRPr="00CF527A">
        <w:rPr>
          <w:rFonts w:ascii="Times New Roman" w:hAnsi="Times New Roman" w:cs="Times New Roman"/>
          <w:sz w:val="24"/>
          <w:szCs w:val="24"/>
        </w:rPr>
        <w:t>hybridum</w:t>
      </w:r>
      <w:proofErr w:type="spellEnd"/>
      <w:r w:rsidRPr="00CF527A">
        <w:rPr>
          <w:rFonts w:ascii="Times New Roman" w:hAnsi="Times New Roman" w:cs="Times New Roman"/>
          <w:sz w:val="24"/>
          <w:szCs w:val="24"/>
        </w:rPr>
        <w:t xml:space="preserve"> hort.) and the Rhododendron decorum </w:t>
      </w:r>
      <w:proofErr w:type="spellStart"/>
      <w:r w:rsidRPr="00CF527A">
        <w:rPr>
          <w:rFonts w:ascii="Times New Roman" w:hAnsi="Times New Roman" w:cs="Times New Roman"/>
          <w:sz w:val="24"/>
          <w:szCs w:val="24"/>
        </w:rPr>
        <w:t>Franch</w:t>
      </w:r>
      <w:proofErr w:type="spellEnd"/>
      <w:r w:rsidRPr="00CF527A">
        <w:rPr>
          <w:rFonts w:ascii="Times New Roman" w:hAnsi="Times New Roman" w:cs="Times New Roman"/>
          <w:sz w:val="24"/>
          <w:szCs w:val="24"/>
        </w:rPr>
        <w:t xml:space="preserve">. Native to China. </w:t>
      </w:r>
      <w:proofErr w:type="spellStart"/>
      <w:r w:rsidRPr="00CF527A">
        <w:rPr>
          <w:rFonts w:ascii="Times New Roman" w:hAnsi="Times New Roman" w:cs="Times New Roman"/>
          <w:sz w:val="24"/>
          <w:szCs w:val="24"/>
        </w:rPr>
        <w:t>Horticulturae</w:t>
      </w:r>
      <w:proofErr w:type="spellEnd"/>
      <w:r w:rsidRPr="00CF527A">
        <w:rPr>
          <w:rFonts w:ascii="Times New Roman" w:hAnsi="Times New Roman" w:cs="Times New Roman"/>
          <w:sz w:val="24"/>
          <w:szCs w:val="24"/>
        </w:rPr>
        <w:t>, 10(10), 1089.</w:t>
      </w:r>
    </w:p>
    <w:p w14:paraId="66CE1C5E" w14:textId="6C77CD73" w:rsidR="00CF527A" w:rsidRPr="00CF527A" w:rsidRDefault="00CF527A" w:rsidP="00CF527A">
      <w:pPr>
        <w:pStyle w:val="ListParagraph"/>
        <w:numPr>
          <w:ilvl w:val="0"/>
          <w:numId w:val="3"/>
        </w:numPr>
        <w:spacing w:line="360" w:lineRule="auto"/>
        <w:jc w:val="both"/>
        <w:rPr>
          <w:rFonts w:ascii="Times New Roman" w:hAnsi="Times New Roman" w:cs="Times New Roman"/>
          <w:sz w:val="24"/>
          <w:szCs w:val="24"/>
        </w:rPr>
      </w:pPr>
      <w:r w:rsidRPr="00CF527A">
        <w:rPr>
          <w:rFonts w:ascii="Times New Roman" w:hAnsi="Times New Roman" w:cs="Times New Roman"/>
          <w:sz w:val="24"/>
          <w:szCs w:val="24"/>
        </w:rPr>
        <w:t xml:space="preserve">De </w:t>
      </w:r>
      <w:proofErr w:type="spellStart"/>
      <w:r w:rsidRPr="00CF527A">
        <w:rPr>
          <w:rFonts w:ascii="Times New Roman" w:hAnsi="Times New Roman" w:cs="Times New Roman"/>
          <w:sz w:val="24"/>
          <w:szCs w:val="24"/>
        </w:rPr>
        <w:t>Riek</w:t>
      </w:r>
      <w:proofErr w:type="spellEnd"/>
      <w:r w:rsidRPr="00CF527A">
        <w:rPr>
          <w:rFonts w:ascii="Times New Roman" w:hAnsi="Times New Roman" w:cs="Times New Roman"/>
          <w:sz w:val="24"/>
          <w:szCs w:val="24"/>
        </w:rPr>
        <w:t xml:space="preserve">, J., De Keyser, E., </w:t>
      </w:r>
      <w:proofErr w:type="spellStart"/>
      <w:r w:rsidRPr="00CF527A">
        <w:rPr>
          <w:rFonts w:ascii="Times New Roman" w:hAnsi="Times New Roman" w:cs="Times New Roman"/>
          <w:sz w:val="24"/>
          <w:szCs w:val="24"/>
        </w:rPr>
        <w:t>Calsyn</w:t>
      </w:r>
      <w:proofErr w:type="spellEnd"/>
      <w:r w:rsidRPr="00CF527A">
        <w:rPr>
          <w:rFonts w:ascii="Times New Roman" w:hAnsi="Times New Roman" w:cs="Times New Roman"/>
          <w:sz w:val="24"/>
          <w:szCs w:val="24"/>
        </w:rPr>
        <w:t xml:space="preserve">, E., </w:t>
      </w:r>
      <w:proofErr w:type="spellStart"/>
      <w:r w:rsidRPr="00CF527A">
        <w:rPr>
          <w:rFonts w:ascii="Times New Roman" w:hAnsi="Times New Roman" w:cs="Times New Roman"/>
          <w:sz w:val="24"/>
          <w:szCs w:val="24"/>
        </w:rPr>
        <w:t>Eeckhaut</w:t>
      </w:r>
      <w:proofErr w:type="spellEnd"/>
      <w:r w:rsidRPr="00CF527A">
        <w:rPr>
          <w:rFonts w:ascii="Times New Roman" w:hAnsi="Times New Roman" w:cs="Times New Roman"/>
          <w:sz w:val="24"/>
          <w:szCs w:val="24"/>
        </w:rPr>
        <w:t xml:space="preserve">, T., Van </w:t>
      </w:r>
      <w:proofErr w:type="spellStart"/>
      <w:r w:rsidRPr="00CF527A">
        <w:rPr>
          <w:rFonts w:ascii="Times New Roman" w:hAnsi="Times New Roman" w:cs="Times New Roman"/>
          <w:sz w:val="24"/>
          <w:szCs w:val="24"/>
        </w:rPr>
        <w:t>Huylenbroeck</w:t>
      </w:r>
      <w:proofErr w:type="spellEnd"/>
      <w:r w:rsidRPr="00CF527A">
        <w:rPr>
          <w:rFonts w:ascii="Times New Roman" w:hAnsi="Times New Roman" w:cs="Times New Roman"/>
          <w:sz w:val="24"/>
          <w:szCs w:val="24"/>
        </w:rPr>
        <w:t>, J., &amp; Kobayashi, N. (2018). Azalea. Ornamental crops, 237-271.</w:t>
      </w:r>
    </w:p>
    <w:p w14:paraId="0BE41C70" w14:textId="77777777" w:rsidR="0032372E" w:rsidRDefault="0032372E" w:rsidP="00FD3DF9">
      <w:pPr>
        <w:spacing w:line="360" w:lineRule="auto"/>
        <w:ind w:firstLine="720"/>
        <w:jc w:val="both"/>
        <w:rPr>
          <w:rFonts w:ascii="Times New Roman" w:hAnsi="Times New Roman" w:cs="Times New Roman"/>
          <w:sz w:val="24"/>
          <w:szCs w:val="24"/>
        </w:rPr>
      </w:pPr>
    </w:p>
    <w:p w14:paraId="53A67490" w14:textId="77777777" w:rsidR="00F8468A" w:rsidRPr="00F8468A" w:rsidRDefault="00F8468A" w:rsidP="00F8468A">
      <w:pPr>
        <w:ind w:firstLine="720"/>
        <w:rPr>
          <w:rFonts w:ascii="Times New Roman" w:hAnsi="Times New Roman" w:cs="Times New Roman"/>
          <w:sz w:val="24"/>
          <w:szCs w:val="24"/>
        </w:rPr>
      </w:pPr>
    </w:p>
    <w:p w14:paraId="70E52B1B" w14:textId="77777777" w:rsidR="00F8468A" w:rsidRPr="0045653A" w:rsidRDefault="00F8468A" w:rsidP="0045653A">
      <w:pPr>
        <w:rPr>
          <w:rFonts w:ascii="Times New Roman" w:hAnsi="Times New Roman" w:cs="Times New Roman"/>
          <w:sz w:val="24"/>
          <w:szCs w:val="24"/>
        </w:rPr>
      </w:pPr>
    </w:p>
    <w:sectPr w:rsidR="00F8468A" w:rsidRPr="0045653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D26D6" w14:textId="77777777" w:rsidR="00956EFF" w:rsidRDefault="00956EFF" w:rsidP="00352B81">
      <w:pPr>
        <w:spacing w:after="0" w:line="240" w:lineRule="auto"/>
      </w:pPr>
      <w:r>
        <w:separator/>
      </w:r>
    </w:p>
  </w:endnote>
  <w:endnote w:type="continuationSeparator" w:id="0">
    <w:p w14:paraId="2AA78C77" w14:textId="77777777" w:rsidR="00956EFF" w:rsidRDefault="00956EFF" w:rsidP="0035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271A" w14:textId="77777777" w:rsidR="00352B81" w:rsidRDefault="00352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2C109" w14:textId="77777777" w:rsidR="00352B81" w:rsidRDefault="00352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7EA8" w14:textId="77777777" w:rsidR="00352B81" w:rsidRDefault="00352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D4734" w14:textId="77777777" w:rsidR="00956EFF" w:rsidRDefault="00956EFF" w:rsidP="00352B81">
      <w:pPr>
        <w:spacing w:after="0" w:line="240" w:lineRule="auto"/>
      </w:pPr>
      <w:r>
        <w:separator/>
      </w:r>
    </w:p>
  </w:footnote>
  <w:footnote w:type="continuationSeparator" w:id="0">
    <w:p w14:paraId="3F9213EB" w14:textId="77777777" w:rsidR="00956EFF" w:rsidRDefault="00956EFF" w:rsidP="00352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D2C0" w14:textId="38FAAD10" w:rsidR="00352B81" w:rsidRDefault="00352B81">
    <w:pPr>
      <w:pStyle w:val="Header"/>
    </w:pPr>
    <w:r>
      <w:rPr>
        <w:noProof/>
      </w:rPr>
      <w:pict w14:anchorId="0FE40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093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CA02" w14:textId="35C78A75" w:rsidR="00352B81" w:rsidRDefault="00352B81">
    <w:pPr>
      <w:pStyle w:val="Header"/>
    </w:pPr>
    <w:r>
      <w:rPr>
        <w:noProof/>
      </w:rPr>
      <w:pict w14:anchorId="19283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093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1D9AF" w14:textId="39D43413" w:rsidR="00352B81" w:rsidRDefault="00352B81">
    <w:pPr>
      <w:pStyle w:val="Header"/>
    </w:pPr>
    <w:r>
      <w:rPr>
        <w:noProof/>
      </w:rPr>
      <w:pict w14:anchorId="3732F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093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A0A66"/>
    <w:multiLevelType w:val="hybridMultilevel"/>
    <w:tmpl w:val="5CF2078E"/>
    <w:lvl w:ilvl="0" w:tplc="32B6B710">
      <w:start w:val="2"/>
      <w:numFmt w:val="lowerRoman"/>
      <w:lvlText w:val="(%1)"/>
      <w:lvlJc w:val="left"/>
      <w:pPr>
        <w:ind w:left="662" w:hanging="438"/>
      </w:pPr>
      <w:rPr>
        <w:rFonts w:ascii="Palatino Linotype" w:eastAsia="Palatino Linotype" w:hAnsi="Palatino Linotype" w:cs="Palatino Linotype" w:hint="default"/>
        <w:b/>
        <w:bCs/>
        <w:color w:val="231F20"/>
        <w:w w:val="100"/>
        <w:sz w:val="21"/>
        <w:szCs w:val="21"/>
        <w:lang w:val="en-US" w:eastAsia="en-US" w:bidi="ar-SA"/>
      </w:rPr>
    </w:lvl>
    <w:lvl w:ilvl="1" w:tplc="621AE95E">
      <w:numFmt w:val="bullet"/>
      <w:lvlText w:val="•"/>
      <w:lvlJc w:val="left"/>
      <w:pPr>
        <w:ind w:left="1144" w:hanging="438"/>
      </w:pPr>
      <w:rPr>
        <w:rFonts w:hint="default"/>
        <w:lang w:val="en-US" w:eastAsia="en-US" w:bidi="ar-SA"/>
      </w:rPr>
    </w:lvl>
    <w:lvl w:ilvl="2" w:tplc="451CC21A">
      <w:numFmt w:val="bullet"/>
      <w:lvlText w:val="•"/>
      <w:lvlJc w:val="left"/>
      <w:pPr>
        <w:ind w:left="1629" w:hanging="438"/>
      </w:pPr>
      <w:rPr>
        <w:rFonts w:hint="default"/>
        <w:lang w:val="en-US" w:eastAsia="en-US" w:bidi="ar-SA"/>
      </w:rPr>
    </w:lvl>
    <w:lvl w:ilvl="3" w:tplc="09D47B16">
      <w:numFmt w:val="bullet"/>
      <w:lvlText w:val="•"/>
      <w:lvlJc w:val="left"/>
      <w:pPr>
        <w:ind w:left="2114" w:hanging="438"/>
      </w:pPr>
      <w:rPr>
        <w:rFonts w:hint="default"/>
        <w:lang w:val="en-US" w:eastAsia="en-US" w:bidi="ar-SA"/>
      </w:rPr>
    </w:lvl>
    <w:lvl w:ilvl="4" w:tplc="6690196C">
      <w:numFmt w:val="bullet"/>
      <w:lvlText w:val="•"/>
      <w:lvlJc w:val="left"/>
      <w:pPr>
        <w:ind w:left="2599" w:hanging="438"/>
      </w:pPr>
      <w:rPr>
        <w:rFonts w:hint="default"/>
        <w:lang w:val="en-US" w:eastAsia="en-US" w:bidi="ar-SA"/>
      </w:rPr>
    </w:lvl>
    <w:lvl w:ilvl="5" w:tplc="92624164">
      <w:numFmt w:val="bullet"/>
      <w:lvlText w:val="•"/>
      <w:lvlJc w:val="left"/>
      <w:pPr>
        <w:ind w:left="3084" w:hanging="438"/>
      </w:pPr>
      <w:rPr>
        <w:rFonts w:hint="default"/>
        <w:lang w:val="en-US" w:eastAsia="en-US" w:bidi="ar-SA"/>
      </w:rPr>
    </w:lvl>
    <w:lvl w:ilvl="6" w:tplc="0BC62D9E">
      <w:numFmt w:val="bullet"/>
      <w:lvlText w:val="•"/>
      <w:lvlJc w:val="left"/>
      <w:pPr>
        <w:ind w:left="3569" w:hanging="438"/>
      </w:pPr>
      <w:rPr>
        <w:rFonts w:hint="default"/>
        <w:lang w:val="en-US" w:eastAsia="en-US" w:bidi="ar-SA"/>
      </w:rPr>
    </w:lvl>
    <w:lvl w:ilvl="7" w:tplc="7072492A">
      <w:numFmt w:val="bullet"/>
      <w:lvlText w:val="•"/>
      <w:lvlJc w:val="left"/>
      <w:pPr>
        <w:ind w:left="4054" w:hanging="438"/>
      </w:pPr>
      <w:rPr>
        <w:rFonts w:hint="default"/>
        <w:lang w:val="en-US" w:eastAsia="en-US" w:bidi="ar-SA"/>
      </w:rPr>
    </w:lvl>
    <w:lvl w:ilvl="8" w:tplc="476EB52E">
      <w:numFmt w:val="bullet"/>
      <w:lvlText w:val="•"/>
      <w:lvlJc w:val="left"/>
      <w:pPr>
        <w:ind w:left="4539" w:hanging="438"/>
      </w:pPr>
      <w:rPr>
        <w:rFonts w:hint="default"/>
        <w:lang w:val="en-US" w:eastAsia="en-US" w:bidi="ar-SA"/>
      </w:rPr>
    </w:lvl>
  </w:abstractNum>
  <w:abstractNum w:abstractNumId="1" w15:restartNumberingAfterBreak="0">
    <w:nsid w:val="4B117D1F"/>
    <w:multiLevelType w:val="hybridMultilevel"/>
    <w:tmpl w:val="A0684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00A9D"/>
    <w:multiLevelType w:val="multilevel"/>
    <w:tmpl w:val="A0B4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2NDE1NTM2MTSzMDVQ0lEKTi0uzszPAykwrAUAWTp4PSwAAAA="/>
  </w:docVars>
  <w:rsids>
    <w:rsidRoot w:val="001066FF"/>
    <w:rsid w:val="000928E1"/>
    <w:rsid w:val="000B6F2C"/>
    <w:rsid w:val="000D3D0C"/>
    <w:rsid w:val="000D657C"/>
    <w:rsid w:val="000E0C24"/>
    <w:rsid w:val="001066FF"/>
    <w:rsid w:val="00153FD2"/>
    <w:rsid w:val="001A6729"/>
    <w:rsid w:val="002B6801"/>
    <w:rsid w:val="00304BB0"/>
    <w:rsid w:val="0032372E"/>
    <w:rsid w:val="00352B81"/>
    <w:rsid w:val="003775D7"/>
    <w:rsid w:val="0040417A"/>
    <w:rsid w:val="0045653A"/>
    <w:rsid w:val="005001D3"/>
    <w:rsid w:val="00514F56"/>
    <w:rsid w:val="00526798"/>
    <w:rsid w:val="006C3245"/>
    <w:rsid w:val="006E044A"/>
    <w:rsid w:val="00760C26"/>
    <w:rsid w:val="00777BC3"/>
    <w:rsid w:val="007B3566"/>
    <w:rsid w:val="00880465"/>
    <w:rsid w:val="00956EFF"/>
    <w:rsid w:val="00965299"/>
    <w:rsid w:val="00C60F0B"/>
    <w:rsid w:val="00C707DB"/>
    <w:rsid w:val="00C8596E"/>
    <w:rsid w:val="00CF527A"/>
    <w:rsid w:val="00D735F9"/>
    <w:rsid w:val="00DB6257"/>
    <w:rsid w:val="00E63884"/>
    <w:rsid w:val="00EF3E0E"/>
    <w:rsid w:val="00F07BB3"/>
    <w:rsid w:val="00F257B3"/>
    <w:rsid w:val="00F8468A"/>
    <w:rsid w:val="00FD3D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3EE86A"/>
  <w15:chartTrackingRefBased/>
  <w15:docId w15:val="{3F7967C9-1E4A-401B-A2A4-D695389E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C2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C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798"/>
    <w:rPr>
      <w:color w:val="0563C1" w:themeColor="hyperlink"/>
      <w:u w:val="single"/>
    </w:rPr>
  </w:style>
  <w:style w:type="character" w:styleId="UnresolvedMention">
    <w:name w:val="Unresolved Mention"/>
    <w:basedOn w:val="DefaultParagraphFont"/>
    <w:uiPriority w:val="99"/>
    <w:semiHidden/>
    <w:unhideWhenUsed/>
    <w:rsid w:val="00526798"/>
    <w:rPr>
      <w:color w:val="605E5C"/>
      <w:shd w:val="clear" w:color="auto" w:fill="E1DFDD"/>
    </w:rPr>
  </w:style>
  <w:style w:type="paragraph" w:styleId="ListParagraph">
    <w:name w:val="List Paragraph"/>
    <w:basedOn w:val="Normal"/>
    <w:uiPriority w:val="34"/>
    <w:qFormat/>
    <w:rsid w:val="00CF527A"/>
    <w:pPr>
      <w:ind w:left="720"/>
      <w:contextualSpacing/>
    </w:pPr>
  </w:style>
  <w:style w:type="paragraph" w:styleId="Header">
    <w:name w:val="header"/>
    <w:basedOn w:val="Normal"/>
    <w:link w:val="HeaderChar"/>
    <w:uiPriority w:val="99"/>
    <w:unhideWhenUsed/>
    <w:rsid w:val="00352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B81"/>
    <w:rPr>
      <w:kern w:val="0"/>
      <w14:ligatures w14:val="none"/>
    </w:rPr>
  </w:style>
  <w:style w:type="paragraph" w:styleId="Footer">
    <w:name w:val="footer"/>
    <w:basedOn w:val="Normal"/>
    <w:link w:val="FooterChar"/>
    <w:uiPriority w:val="99"/>
    <w:unhideWhenUsed/>
    <w:rsid w:val="00352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B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2866">
      <w:bodyDiv w:val="1"/>
      <w:marLeft w:val="0"/>
      <w:marRight w:val="0"/>
      <w:marTop w:val="0"/>
      <w:marBottom w:val="0"/>
      <w:divBdr>
        <w:top w:val="none" w:sz="0" w:space="0" w:color="auto"/>
        <w:left w:val="none" w:sz="0" w:space="0" w:color="auto"/>
        <w:bottom w:val="none" w:sz="0" w:space="0" w:color="auto"/>
        <w:right w:val="none" w:sz="0" w:space="0" w:color="auto"/>
      </w:divBdr>
    </w:div>
    <w:div w:id="708066538">
      <w:bodyDiv w:val="1"/>
      <w:marLeft w:val="0"/>
      <w:marRight w:val="0"/>
      <w:marTop w:val="0"/>
      <w:marBottom w:val="0"/>
      <w:divBdr>
        <w:top w:val="none" w:sz="0" w:space="0" w:color="auto"/>
        <w:left w:val="none" w:sz="0" w:space="0" w:color="auto"/>
        <w:bottom w:val="none" w:sz="0" w:space="0" w:color="auto"/>
        <w:right w:val="none" w:sz="0" w:space="0" w:color="auto"/>
      </w:divBdr>
    </w:div>
    <w:div w:id="829060845">
      <w:bodyDiv w:val="1"/>
      <w:marLeft w:val="0"/>
      <w:marRight w:val="0"/>
      <w:marTop w:val="0"/>
      <w:marBottom w:val="0"/>
      <w:divBdr>
        <w:top w:val="none" w:sz="0" w:space="0" w:color="auto"/>
        <w:left w:val="none" w:sz="0" w:space="0" w:color="auto"/>
        <w:bottom w:val="none" w:sz="0" w:space="0" w:color="auto"/>
        <w:right w:val="none" w:sz="0" w:space="0" w:color="auto"/>
      </w:divBdr>
    </w:div>
    <w:div w:id="928539842">
      <w:bodyDiv w:val="1"/>
      <w:marLeft w:val="0"/>
      <w:marRight w:val="0"/>
      <w:marTop w:val="0"/>
      <w:marBottom w:val="0"/>
      <w:divBdr>
        <w:top w:val="none" w:sz="0" w:space="0" w:color="auto"/>
        <w:left w:val="none" w:sz="0" w:space="0" w:color="auto"/>
        <w:bottom w:val="none" w:sz="0" w:space="0" w:color="auto"/>
        <w:right w:val="none" w:sz="0" w:space="0" w:color="auto"/>
      </w:divBdr>
    </w:div>
    <w:div w:id="1070612242">
      <w:bodyDiv w:val="1"/>
      <w:marLeft w:val="0"/>
      <w:marRight w:val="0"/>
      <w:marTop w:val="0"/>
      <w:marBottom w:val="0"/>
      <w:divBdr>
        <w:top w:val="none" w:sz="0" w:space="0" w:color="auto"/>
        <w:left w:val="none" w:sz="0" w:space="0" w:color="auto"/>
        <w:bottom w:val="none" w:sz="0" w:space="0" w:color="auto"/>
        <w:right w:val="none" w:sz="0" w:space="0" w:color="auto"/>
      </w:divBdr>
    </w:div>
    <w:div w:id="1260523317">
      <w:bodyDiv w:val="1"/>
      <w:marLeft w:val="0"/>
      <w:marRight w:val="0"/>
      <w:marTop w:val="0"/>
      <w:marBottom w:val="0"/>
      <w:divBdr>
        <w:top w:val="none" w:sz="0" w:space="0" w:color="auto"/>
        <w:left w:val="none" w:sz="0" w:space="0" w:color="auto"/>
        <w:bottom w:val="none" w:sz="0" w:space="0" w:color="auto"/>
        <w:right w:val="none" w:sz="0" w:space="0" w:color="auto"/>
      </w:divBdr>
    </w:div>
    <w:div w:id="1280264126">
      <w:bodyDiv w:val="1"/>
      <w:marLeft w:val="0"/>
      <w:marRight w:val="0"/>
      <w:marTop w:val="0"/>
      <w:marBottom w:val="0"/>
      <w:divBdr>
        <w:top w:val="none" w:sz="0" w:space="0" w:color="auto"/>
        <w:left w:val="none" w:sz="0" w:space="0" w:color="auto"/>
        <w:bottom w:val="none" w:sz="0" w:space="0" w:color="auto"/>
        <w:right w:val="none" w:sz="0" w:space="0" w:color="auto"/>
      </w:divBdr>
    </w:div>
    <w:div w:id="1589461901">
      <w:bodyDiv w:val="1"/>
      <w:marLeft w:val="0"/>
      <w:marRight w:val="0"/>
      <w:marTop w:val="0"/>
      <w:marBottom w:val="0"/>
      <w:divBdr>
        <w:top w:val="none" w:sz="0" w:space="0" w:color="auto"/>
        <w:left w:val="none" w:sz="0" w:space="0" w:color="auto"/>
        <w:bottom w:val="none" w:sz="0" w:space="0" w:color="auto"/>
        <w:right w:val="none" w:sz="0" w:space="0" w:color="auto"/>
      </w:divBdr>
    </w:div>
    <w:div w:id="1783332830">
      <w:bodyDiv w:val="1"/>
      <w:marLeft w:val="0"/>
      <w:marRight w:val="0"/>
      <w:marTop w:val="0"/>
      <w:marBottom w:val="0"/>
      <w:divBdr>
        <w:top w:val="none" w:sz="0" w:space="0" w:color="auto"/>
        <w:left w:val="none" w:sz="0" w:space="0" w:color="auto"/>
        <w:bottom w:val="none" w:sz="0" w:space="0" w:color="auto"/>
        <w:right w:val="none" w:sz="0" w:space="0" w:color="auto"/>
      </w:divBdr>
    </w:div>
    <w:div w:id="20477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Anmol Giri</dc:creator>
  <cp:keywords/>
  <dc:description/>
  <cp:lastModifiedBy>SDI 1084</cp:lastModifiedBy>
  <cp:revision>20</cp:revision>
  <dcterms:created xsi:type="dcterms:W3CDTF">2025-06-01T17:30:00Z</dcterms:created>
  <dcterms:modified xsi:type="dcterms:W3CDTF">2025-06-02T07:24:00Z</dcterms:modified>
</cp:coreProperties>
</file>