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66CE9" w14:textId="31F86E33" w:rsidR="00107067" w:rsidRDefault="00107067" w:rsidP="00107067">
      <w:pPr>
        <w:spacing w:after="0" w:line="240" w:lineRule="auto"/>
        <w:jc w:val="center"/>
        <w:rPr>
          <w:rFonts w:ascii="Times New Roman" w:hAnsi="Times New Roman" w:cs="Times New Roman"/>
          <w:b/>
          <w:sz w:val="24"/>
          <w:szCs w:val="24"/>
        </w:rPr>
      </w:pPr>
      <w:r w:rsidRPr="00E552A1">
        <w:rPr>
          <w:rFonts w:ascii="Times New Roman" w:hAnsi="Times New Roman" w:cs="Times New Roman"/>
          <w:b/>
          <w:sz w:val="24"/>
          <w:szCs w:val="24"/>
        </w:rPr>
        <w:t xml:space="preserve">Awareness and Adoption of UPI Facilities </w:t>
      </w:r>
      <w:r w:rsidR="00CE6130" w:rsidRPr="00E552A1">
        <w:rPr>
          <w:rFonts w:ascii="Times New Roman" w:hAnsi="Times New Roman" w:cs="Times New Roman"/>
          <w:b/>
          <w:sz w:val="24"/>
          <w:szCs w:val="24"/>
        </w:rPr>
        <w:t>among</w:t>
      </w:r>
      <w:r w:rsidRPr="00E552A1">
        <w:rPr>
          <w:rFonts w:ascii="Times New Roman" w:hAnsi="Times New Roman" w:cs="Times New Roman"/>
          <w:b/>
          <w:sz w:val="24"/>
          <w:szCs w:val="24"/>
        </w:rPr>
        <w:t xml:space="preserve"> Working-Class Women in </w:t>
      </w:r>
      <w:r w:rsidR="00CE6130" w:rsidRPr="00E552A1">
        <w:rPr>
          <w:rFonts w:ascii="Times New Roman" w:hAnsi="Times New Roman" w:cs="Times New Roman"/>
          <w:b/>
          <w:sz w:val="24"/>
          <w:szCs w:val="24"/>
        </w:rPr>
        <w:t>An</w:t>
      </w:r>
      <w:r w:rsidRPr="00E552A1">
        <w:rPr>
          <w:rFonts w:ascii="Times New Roman" w:hAnsi="Times New Roman" w:cs="Times New Roman"/>
          <w:b/>
          <w:sz w:val="24"/>
          <w:szCs w:val="24"/>
        </w:rPr>
        <w:t xml:space="preserve"> Academic Institution</w:t>
      </w:r>
    </w:p>
    <w:p w14:paraId="4BF3CC44" w14:textId="77777777" w:rsidR="002C5FC8" w:rsidRPr="00E552A1" w:rsidRDefault="002C5FC8" w:rsidP="00107067">
      <w:pPr>
        <w:spacing w:after="0" w:line="240" w:lineRule="auto"/>
        <w:jc w:val="center"/>
        <w:rPr>
          <w:b/>
        </w:rPr>
      </w:pPr>
    </w:p>
    <w:p w14:paraId="27FCE7AF" w14:textId="77777777" w:rsidR="00107067" w:rsidRDefault="00107067" w:rsidP="00107067">
      <w:pPr>
        <w:spacing w:after="0" w:line="240" w:lineRule="auto"/>
        <w:jc w:val="both"/>
      </w:pPr>
    </w:p>
    <w:p w14:paraId="62FFF5C5" w14:textId="77777777" w:rsidR="002F0C61" w:rsidRDefault="002F0C61" w:rsidP="002F0C61">
      <w:pPr>
        <w:spacing w:before="100" w:beforeAutospacing="1" w:after="100" w:afterAutospacing="1" w:line="240" w:lineRule="auto"/>
        <w:jc w:val="both"/>
        <w:rPr>
          <w:rFonts w:ascii="Times New Roman" w:eastAsia="Times New Roman" w:hAnsi="Times New Roman" w:cs="Times New Roman"/>
          <w:b/>
          <w:bCs/>
          <w:sz w:val="24"/>
          <w:szCs w:val="24"/>
        </w:rPr>
      </w:pPr>
      <w:r w:rsidRPr="00E552A1">
        <w:rPr>
          <w:rFonts w:ascii="Times New Roman" w:eastAsia="Times New Roman" w:hAnsi="Times New Roman" w:cs="Times New Roman"/>
          <w:b/>
          <w:bCs/>
          <w:sz w:val="24"/>
          <w:szCs w:val="24"/>
        </w:rPr>
        <w:t>Abstract</w:t>
      </w:r>
    </w:p>
    <w:p w14:paraId="78570774" w14:textId="77777777" w:rsidR="005E7D83" w:rsidRPr="00E552A1" w:rsidRDefault="005E7D83" w:rsidP="002F0C61">
      <w:pPr>
        <w:spacing w:before="100" w:beforeAutospacing="1" w:after="100" w:afterAutospacing="1" w:line="240" w:lineRule="auto"/>
        <w:jc w:val="both"/>
        <w:rPr>
          <w:rFonts w:ascii="Times New Roman" w:eastAsia="Times New Roman" w:hAnsi="Times New Roman" w:cs="Times New Roman"/>
          <w:sz w:val="24"/>
          <w:szCs w:val="24"/>
        </w:rPr>
      </w:pPr>
    </w:p>
    <w:p w14:paraId="1084614F" w14:textId="77777777" w:rsidR="00931E50" w:rsidRPr="00EE363D" w:rsidRDefault="00931E50" w:rsidP="00931E50">
      <w:pPr>
        <w:spacing w:before="100" w:beforeAutospacing="1" w:after="100" w:afterAutospacing="1" w:line="240" w:lineRule="auto"/>
        <w:jc w:val="both"/>
        <w:rPr>
          <w:rFonts w:ascii="Times New Roman" w:eastAsia="Times New Roman" w:hAnsi="Times New Roman" w:cs="Times New Roman"/>
          <w:sz w:val="24"/>
          <w:szCs w:val="24"/>
        </w:rPr>
      </w:pPr>
      <w:r w:rsidRPr="00EE363D">
        <w:rPr>
          <w:rFonts w:ascii="Times New Roman" w:eastAsia="Times New Roman" w:hAnsi="Times New Roman" w:cs="Times New Roman"/>
          <w:sz w:val="24"/>
          <w:szCs w:val="24"/>
        </w:rPr>
        <w:t>The rapid expansion of digital payment systems in India has significantly transformed the financial landscape, with the Unified Payment Interface (UPI) playing a pivotal role in enabling seamless transactions. However, disparities in awareness and usage persist, particularly among certain demographic groups. This study explores the awareness, usage patterns, and perceptions of UPI services among working-class women at Assam Agricultural University, Jorhat. A random sample of 50 respondents was surveyed using a structured questionnaire, and data were analyzed using descriptive statistics, t-tests, and Garret ranking techniques.</w:t>
      </w:r>
      <w:r>
        <w:rPr>
          <w:rFonts w:ascii="Times New Roman" w:eastAsia="Times New Roman" w:hAnsi="Times New Roman" w:cs="Times New Roman"/>
          <w:sz w:val="24"/>
          <w:szCs w:val="24"/>
        </w:rPr>
        <w:t xml:space="preserve"> </w:t>
      </w:r>
      <w:r w:rsidRPr="00EE363D">
        <w:rPr>
          <w:rFonts w:ascii="Times New Roman" w:eastAsia="Times New Roman" w:hAnsi="Times New Roman" w:cs="Times New Roman"/>
          <w:sz w:val="24"/>
          <w:szCs w:val="24"/>
        </w:rPr>
        <w:t>Findings reveal that although the majority of respondents owned Android smartphones and maintained savings accounts, only 42% had installed banking applications. Awareness of mobile banking services was limited to 56%, and concerns about online security w</w:t>
      </w:r>
      <w:bookmarkStart w:id="0" w:name="_GoBack"/>
      <w:bookmarkEnd w:id="0"/>
      <w:r w:rsidRPr="00EE363D">
        <w:rPr>
          <w:rFonts w:ascii="Times New Roman" w:eastAsia="Times New Roman" w:hAnsi="Times New Roman" w:cs="Times New Roman"/>
          <w:sz w:val="24"/>
          <w:szCs w:val="24"/>
        </w:rPr>
        <w:t>ere common—49% were aware of internet fraud, while 5% had experienced financial losses due to cyber incidents. UPI usage was primarily confined to mobile recharges, DTH payments, grocery shopping, and small transactions, with limited use for larger expenses like utility bills, rent, or investments. Educational level was found to have no significant influence on UPI adoption.</w:t>
      </w:r>
      <w:r>
        <w:rPr>
          <w:rFonts w:ascii="Times New Roman" w:eastAsia="Times New Roman" w:hAnsi="Times New Roman" w:cs="Times New Roman"/>
          <w:sz w:val="24"/>
          <w:szCs w:val="24"/>
        </w:rPr>
        <w:t xml:space="preserve"> </w:t>
      </w:r>
      <w:r w:rsidRPr="00EE363D">
        <w:rPr>
          <w:rFonts w:ascii="Times New Roman" w:eastAsia="Times New Roman" w:hAnsi="Times New Roman" w:cs="Times New Roman"/>
          <w:sz w:val="24"/>
          <w:szCs w:val="24"/>
        </w:rPr>
        <w:t>The study highlights the urgent need for targeted digital literacy programs, simplified user interfaces, and trust-building measures to enhance financial inclusion and empower women in the digital economy.</w:t>
      </w:r>
    </w:p>
    <w:p w14:paraId="4195C5E7" w14:textId="77777777" w:rsidR="00931E50" w:rsidRPr="009B0F72" w:rsidRDefault="00931E50" w:rsidP="00931E50">
      <w:pPr>
        <w:jc w:val="both"/>
        <w:rPr>
          <w:rFonts w:ascii="Times New Roman" w:hAnsi="Times New Roman" w:cs="Times New Roman"/>
          <w:b/>
          <w:sz w:val="24"/>
          <w:szCs w:val="24"/>
        </w:rPr>
      </w:pPr>
      <w:r w:rsidRPr="009B0F72">
        <w:rPr>
          <w:rFonts w:ascii="Times New Roman" w:hAnsi="Times New Roman" w:cs="Times New Roman"/>
          <w:b/>
          <w:sz w:val="24"/>
          <w:szCs w:val="24"/>
        </w:rPr>
        <w:t>Key Words</w:t>
      </w:r>
    </w:p>
    <w:p w14:paraId="29D5FD38" w14:textId="77777777" w:rsidR="00931E50" w:rsidRDefault="00931E50" w:rsidP="00931E50">
      <w:pPr>
        <w:jc w:val="both"/>
        <w:rPr>
          <w:rFonts w:ascii="Times New Roman" w:hAnsi="Times New Roman" w:cs="Times New Roman"/>
          <w:sz w:val="24"/>
          <w:szCs w:val="24"/>
        </w:rPr>
      </w:pPr>
      <w:r>
        <w:rPr>
          <w:rFonts w:ascii="Times New Roman" w:hAnsi="Times New Roman" w:cs="Times New Roman"/>
          <w:sz w:val="24"/>
          <w:szCs w:val="24"/>
        </w:rPr>
        <w:t>Digital Payments, Unified Payment Interface (UPI), Financial Inclusion, Working Women, Digital Literacy, Mobile Banking</w:t>
      </w:r>
    </w:p>
    <w:p w14:paraId="11602011" w14:textId="77777777" w:rsidR="00931E50" w:rsidRPr="00F94228" w:rsidRDefault="00931E50" w:rsidP="00931E50">
      <w:pPr>
        <w:spacing w:line="360" w:lineRule="auto"/>
        <w:jc w:val="both"/>
        <w:rPr>
          <w:rFonts w:ascii="Times New Roman" w:hAnsi="Times New Roman" w:cs="Times New Roman"/>
          <w:b/>
          <w:sz w:val="24"/>
          <w:szCs w:val="24"/>
          <w:lang w:val="en-GB"/>
        </w:rPr>
      </w:pPr>
      <w:r w:rsidRPr="00F94228">
        <w:rPr>
          <w:rFonts w:ascii="Times New Roman" w:hAnsi="Times New Roman" w:cs="Times New Roman"/>
          <w:b/>
          <w:sz w:val="24"/>
          <w:szCs w:val="24"/>
          <w:lang w:val="en-GB"/>
        </w:rPr>
        <w:t>Introduction</w:t>
      </w:r>
    </w:p>
    <w:p w14:paraId="2FBAF409" w14:textId="77777777" w:rsidR="00931E50" w:rsidRPr="00832985" w:rsidRDefault="00931E50" w:rsidP="00931E50">
      <w:pPr>
        <w:spacing w:line="360" w:lineRule="auto"/>
        <w:jc w:val="both"/>
        <w:rPr>
          <w:rFonts w:ascii="Times New Roman" w:hAnsi="Times New Roman" w:cs="Times New Roman"/>
          <w:sz w:val="24"/>
          <w:szCs w:val="24"/>
          <w:lang w:val="en-GB"/>
        </w:rPr>
      </w:pPr>
      <w:r w:rsidRPr="00832985">
        <w:rPr>
          <w:rFonts w:ascii="Times New Roman" w:hAnsi="Times New Roman" w:cs="Times New Roman"/>
          <w:sz w:val="24"/>
          <w:szCs w:val="24"/>
          <w:lang w:val="en-GB"/>
        </w:rPr>
        <w:t>As of March 2022, India's currenc</w:t>
      </w:r>
      <w:r>
        <w:rPr>
          <w:rFonts w:ascii="Times New Roman" w:hAnsi="Times New Roman" w:cs="Times New Roman"/>
          <w:sz w:val="24"/>
          <w:szCs w:val="24"/>
          <w:lang w:val="en-GB"/>
        </w:rPr>
        <w:t xml:space="preserve">y in circulation (CIC) reached Rs. </w:t>
      </w:r>
      <w:r w:rsidRPr="00832985">
        <w:rPr>
          <w:rFonts w:ascii="Times New Roman" w:hAnsi="Times New Roman" w:cs="Times New Roman"/>
          <w:sz w:val="24"/>
          <w:szCs w:val="24"/>
          <w:lang w:val="en-GB"/>
        </w:rPr>
        <w:t xml:space="preserve">31.33 lakh crore, accounting for 13.7% </w:t>
      </w:r>
      <w:r>
        <w:rPr>
          <w:rFonts w:ascii="Times New Roman" w:hAnsi="Times New Roman" w:cs="Times New Roman"/>
          <w:sz w:val="24"/>
          <w:szCs w:val="24"/>
          <w:lang w:val="en-GB"/>
        </w:rPr>
        <w:t xml:space="preserve">of its GDP. This increase from Rs. </w:t>
      </w:r>
      <w:r w:rsidRPr="00832985">
        <w:rPr>
          <w:rFonts w:ascii="Times New Roman" w:hAnsi="Times New Roman" w:cs="Times New Roman"/>
          <w:sz w:val="24"/>
          <w:szCs w:val="24"/>
          <w:lang w:val="en-GB"/>
        </w:rPr>
        <w:t>13 lakh crore in 2014 indicates a substantial rise in cash usage over the years. India's CIC at 13% of GDP reflects a moderate reliance on cash transactions—higher than in some developed countries but lower than in others like Japan. Japan’s higher CIC, despite being a technologically advanced nation, represents a cultural preference for cash.</w:t>
      </w:r>
    </w:p>
    <w:p w14:paraId="3230B82A" w14:textId="77777777" w:rsidR="00931E50" w:rsidRDefault="00931E50" w:rsidP="00931E50">
      <w:pPr>
        <w:spacing w:line="360" w:lineRule="auto"/>
        <w:jc w:val="both"/>
        <w:rPr>
          <w:rFonts w:ascii="Times New Roman" w:hAnsi="Times New Roman" w:cs="Times New Roman"/>
          <w:sz w:val="24"/>
          <w:szCs w:val="24"/>
          <w:lang w:val="en-GB"/>
        </w:rPr>
      </w:pPr>
      <w:r w:rsidRPr="00832985">
        <w:rPr>
          <w:rFonts w:ascii="Times New Roman" w:hAnsi="Times New Roman" w:cs="Times New Roman"/>
          <w:sz w:val="24"/>
          <w:szCs w:val="24"/>
          <w:lang w:val="en-GB"/>
        </w:rPr>
        <w:t xml:space="preserve">Broad Money includes not just currency in circulation but also various types of deposits and liquid assets. As of 2021, India’s Broad Money (M3) stood at approximately 82.1% of its Gross </w:t>
      </w:r>
      <w:r w:rsidRPr="00832985">
        <w:rPr>
          <w:rFonts w:ascii="Times New Roman" w:hAnsi="Times New Roman" w:cs="Times New Roman"/>
          <w:sz w:val="24"/>
          <w:szCs w:val="24"/>
          <w:lang w:val="en-GB"/>
        </w:rPr>
        <w:lastRenderedPageBreak/>
        <w:t xml:space="preserve">Domestic Product (GDP), according to the World Bank. This suggests a moderate level of financial depth, indicating the total amount of money—cash, demand deposits, and other liquid assets—circulating within the economy. For comparison, this figure was around 71% in 2006–07, showing steady growth. </w:t>
      </w:r>
    </w:p>
    <w:p w14:paraId="1215F442" w14:textId="77777777" w:rsidR="00931E50" w:rsidRPr="00144FFC" w:rsidRDefault="00931E50" w:rsidP="00931E50">
      <w:pPr>
        <w:spacing w:line="360" w:lineRule="auto"/>
        <w:jc w:val="both"/>
        <w:rPr>
          <w:rFonts w:ascii="Times New Roman" w:hAnsi="Times New Roman" w:cs="Times New Roman"/>
          <w:sz w:val="24"/>
          <w:szCs w:val="24"/>
          <w:lang w:val="en-GB"/>
        </w:rPr>
      </w:pPr>
      <w:r w:rsidRPr="00832985">
        <w:rPr>
          <w:rFonts w:ascii="Times New Roman" w:hAnsi="Times New Roman" w:cs="Times New Roman"/>
          <w:sz w:val="24"/>
          <w:szCs w:val="24"/>
          <w:lang w:val="en-GB"/>
        </w:rPr>
        <w:t xml:space="preserve">Understanding these monetary indicators helps contextualize India’s financial structure relative to other nations, reflecting variations in economic systems, cultural practices, and levels of financial inclusion. A high </w:t>
      </w:r>
      <w:r w:rsidRPr="00144FFC">
        <w:rPr>
          <w:rFonts w:ascii="Times New Roman" w:hAnsi="Times New Roman" w:cs="Times New Roman"/>
          <w:sz w:val="24"/>
          <w:szCs w:val="24"/>
          <w:lang w:val="en-GB"/>
        </w:rPr>
        <w:t>dependency on cash brings with it several challenges, such as production and storage costs, risks associated with counterfeit currency, and, most importantly, the lack of a digital transaction trail—contributing to tax evasion. These issues are expected to be further magnified as the economy continues to grow (</w:t>
      </w:r>
      <w:proofErr w:type="spellStart"/>
      <w:r w:rsidRPr="00144FFC">
        <w:rPr>
          <w:rFonts w:ascii="Times New Roman" w:hAnsi="Times New Roman" w:cs="Times New Roman"/>
          <w:sz w:val="24"/>
          <w:szCs w:val="24"/>
          <w:lang w:val="en-GB"/>
        </w:rPr>
        <w:t>Gochhwal</w:t>
      </w:r>
      <w:proofErr w:type="spellEnd"/>
      <w:r w:rsidRPr="00144FFC">
        <w:rPr>
          <w:rFonts w:ascii="Times New Roman" w:hAnsi="Times New Roman" w:cs="Times New Roman"/>
          <w:sz w:val="24"/>
          <w:szCs w:val="24"/>
          <w:lang w:val="en-GB"/>
        </w:rPr>
        <w:t>, 2017).</w:t>
      </w:r>
    </w:p>
    <w:p w14:paraId="6F484903" w14:textId="77777777" w:rsidR="00931E50" w:rsidRPr="00144FFC" w:rsidRDefault="00931E50" w:rsidP="00931E50">
      <w:pPr>
        <w:spacing w:line="360" w:lineRule="auto"/>
        <w:jc w:val="both"/>
        <w:rPr>
          <w:rFonts w:ascii="Times New Roman" w:hAnsi="Times New Roman" w:cs="Times New Roman"/>
          <w:sz w:val="24"/>
          <w:szCs w:val="24"/>
          <w:lang w:val="en-GB"/>
        </w:rPr>
      </w:pPr>
      <w:r w:rsidRPr="00144FFC">
        <w:rPr>
          <w:rFonts w:ascii="Times New Roman" w:hAnsi="Times New Roman" w:cs="Times New Roman"/>
          <w:sz w:val="24"/>
          <w:szCs w:val="24"/>
          <w:lang w:val="en-GB"/>
        </w:rPr>
        <w:t>Recent data continue to show India’s reliance on cash, with CIC hovering around 13% of GDP—especially in rural and informal sectors. This is significantly higher than in many developed countries, such as the UK and Canada, where CIC typically ranges between 3–5%, largely due to widespread adoption of digital payment platforms. In contrast, Japan remains an outlier among developed nations, with a CIC close to 18% of GDP due to persistent cultural preferences. While CIC measures only physical currency, Broad Money (M3)—which includes deposits and liquid assets—offers a more comprehensive view of monetary liquidity. For instance, China’s Broad Money exceeds 220% and Brazil (111.5%) of GDP, highlighting its highly monetized and banking-centric economy. In contrast, India’s Broad Money has gradually climbed to 85–90%, indicating improving but still moderate financial inclusion (World Bank, 2023; Reserve Bank of India, 2023).</w:t>
      </w:r>
    </w:p>
    <w:p w14:paraId="4325EB68" w14:textId="77777777" w:rsidR="00931E50" w:rsidRPr="00144FFC" w:rsidRDefault="00931E50" w:rsidP="00931E50">
      <w:pPr>
        <w:spacing w:line="360" w:lineRule="auto"/>
        <w:jc w:val="both"/>
        <w:rPr>
          <w:rFonts w:ascii="Times New Roman" w:hAnsi="Times New Roman" w:cs="Times New Roman"/>
          <w:sz w:val="24"/>
          <w:szCs w:val="24"/>
          <w:lang w:val="en-GB"/>
        </w:rPr>
      </w:pPr>
      <w:r w:rsidRPr="00144FFC">
        <w:rPr>
          <w:rFonts w:ascii="Times New Roman" w:hAnsi="Times New Roman" w:cs="Times New Roman"/>
          <w:sz w:val="24"/>
          <w:szCs w:val="24"/>
          <w:lang w:val="en-GB"/>
        </w:rPr>
        <w:t>To modernize the payment landscape and reduce cash reliance, the Reserve Bank of India (RBI) has introduced several initiatives promoting digital payments. Among the most impactful was the establishment of the National Payments Corporation of India (NPCI), tasked with developing affordable retail digital payment systems. In August 2016, NPCI launched the Unified Payments Interface (UPI)—a mobile-based payment platform that enables real-time bank transfers. UPI takes advantage of India’s high mobile penetration by transforming smart phones into digital wallets for consumers and merchants, thereby advancing the goal of universalizing digital payments.</w:t>
      </w:r>
    </w:p>
    <w:p w14:paraId="20C4BD3D" w14:textId="77777777" w:rsidR="00931E50" w:rsidRDefault="00931E50" w:rsidP="00931E50">
      <w:pPr>
        <w:spacing w:line="360" w:lineRule="auto"/>
        <w:jc w:val="both"/>
        <w:rPr>
          <w:rFonts w:ascii="Times New Roman" w:hAnsi="Times New Roman" w:cs="Times New Roman"/>
          <w:sz w:val="24"/>
          <w:szCs w:val="24"/>
          <w:lang w:val="en-GB"/>
        </w:rPr>
      </w:pPr>
      <w:r w:rsidRPr="00144FFC">
        <w:rPr>
          <w:rFonts w:ascii="Times New Roman" w:hAnsi="Times New Roman" w:cs="Times New Roman"/>
          <w:sz w:val="24"/>
          <w:szCs w:val="24"/>
          <w:lang w:val="en-GB"/>
        </w:rPr>
        <w:lastRenderedPageBreak/>
        <w:t xml:space="preserve">India is rapidly progressing toward digitization, particularly after the announcement of demonetization on 8 November 2016. This policy shift significantly accelerated the adoption of digital payments, offering fintech companies an unprecedented opportunity to expand their market presence. UPI is widely regarded as a convenient and user-friendly method for online transactions, especially among youth and students (Kolte &amp; Humbe, 2019). Multiple factors have contributed to the rise of digital payments: increased smartphone penetration, support from non-banking financial institutions, simplified payment interfaces, the growth of the fintech sector, and government incentives such as tax breaks and digital literacy campaigns. These developments have collectively fostered a favourable environment for digital payment adoption in India (Neema &amp; Neema, 2016). </w:t>
      </w:r>
      <w:r w:rsidRPr="00144FFC">
        <w:rPr>
          <w:rFonts w:ascii="Times New Roman" w:hAnsi="Times New Roman" w:cs="Times New Roman"/>
          <w:sz w:val="24"/>
          <w:szCs w:val="24"/>
        </w:rPr>
        <w:t>The</w:t>
      </w:r>
      <w:r w:rsidRPr="00407169">
        <w:rPr>
          <w:rFonts w:ascii="Times New Roman" w:hAnsi="Times New Roman" w:cs="Times New Roman"/>
          <w:sz w:val="24"/>
          <w:szCs w:val="24"/>
        </w:rPr>
        <w:t xml:space="preserve"> present study seeks to understand</w:t>
      </w:r>
      <w:r>
        <w:t xml:space="preserve"> </w:t>
      </w:r>
      <w:r>
        <w:rPr>
          <w:rFonts w:ascii="Times New Roman" w:hAnsi="Times New Roman" w:cs="Times New Roman"/>
          <w:sz w:val="24"/>
          <w:szCs w:val="24"/>
          <w:lang w:val="en-GB"/>
        </w:rPr>
        <w:t xml:space="preserve">the </w:t>
      </w:r>
    </w:p>
    <w:p w14:paraId="369C9970" w14:textId="77777777" w:rsidR="00931E50" w:rsidRPr="00407169" w:rsidRDefault="00931E50" w:rsidP="00931E50">
      <w:pPr>
        <w:pStyle w:val="ListParagraph"/>
        <w:numPr>
          <w:ilvl w:val="0"/>
          <w:numId w:val="2"/>
        </w:numPr>
        <w:spacing w:line="360" w:lineRule="auto"/>
        <w:jc w:val="both"/>
        <w:rPr>
          <w:rFonts w:ascii="Times New Roman" w:hAnsi="Times New Roman" w:cs="Times New Roman"/>
          <w:sz w:val="24"/>
          <w:szCs w:val="24"/>
        </w:rPr>
      </w:pPr>
      <w:r w:rsidRPr="00407169">
        <w:rPr>
          <w:rFonts w:ascii="Times New Roman" w:hAnsi="Times New Roman" w:cs="Times New Roman"/>
          <w:sz w:val="24"/>
          <w:szCs w:val="24"/>
        </w:rPr>
        <w:t>Level of awareness and actual usage of UPI services among working women belonging to various age and income groups at Assam Agricultural University, Jorhat.</w:t>
      </w:r>
    </w:p>
    <w:p w14:paraId="30B73415" w14:textId="77777777" w:rsidR="00931E50" w:rsidRDefault="00931E50" w:rsidP="00931E50">
      <w:pPr>
        <w:numPr>
          <w:ilvl w:val="0"/>
          <w:numId w:val="2"/>
        </w:numPr>
        <w:jc w:val="both"/>
        <w:rPr>
          <w:rFonts w:ascii="Times New Roman" w:hAnsi="Times New Roman" w:cs="Times New Roman"/>
          <w:sz w:val="24"/>
          <w:szCs w:val="24"/>
        </w:rPr>
      </w:pPr>
      <w:r w:rsidRPr="00407169">
        <w:rPr>
          <w:rFonts w:ascii="Times New Roman" w:hAnsi="Times New Roman" w:cs="Times New Roman"/>
          <w:sz w:val="24"/>
          <w:szCs w:val="24"/>
        </w:rPr>
        <w:t>To examine the challenges and perceptions related to the safety, accessibility, and usability of UPI services among the respondents</w:t>
      </w:r>
    </w:p>
    <w:p w14:paraId="7F55CDA9" w14:textId="77777777" w:rsidR="00107067" w:rsidRPr="00107067" w:rsidRDefault="00107067" w:rsidP="00107067">
      <w:pPr>
        <w:spacing w:before="100" w:beforeAutospacing="1" w:after="100" w:afterAutospacing="1" w:line="240" w:lineRule="auto"/>
        <w:jc w:val="both"/>
        <w:rPr>
          <w:rFonts w:ascii="Times New Roman" w:eastAsia="Times New Roman" w:hAnsi="Times New Roman" w:cs="Times New Roman"/>
          <w:sz w:val="24"/>
          <w:szCs w:val="24"/>
        </w:rPr>
      </w:pPr>
      <w:r w:rsidRPr="00107067">
        <w:rPr>
          <w:rFonts w:ascii="Times New Roman" w:eastAsia="Times New Roman" w:hAnsi="Times New Roman" w:cs="Times New Roman"/>
          <w:b/>
          <w:bCs/>
          <w:sz w:val="24"/>
          <w:szCs w:val="24"/>
        </w:rPr>
        <w:t>3. Methodology</w:t>
      </w:r>
    </w:p>
    <w:p w14:paraId="19BFC9E7" w14:textId="77777777" w:rsidR="00107067" w:rsidRPr="00107067" w:rsidRDefault="00107067" w:rsidP="003C69B9">
      <w:pPr>
        <w:spacing w:before="100" w:beforeAutospacing="1" w:after="100" w:afterAutospacing="1" w:line="360" w:lineRule="auto"/>
        <w:ind w:firstLine="720"/>
        <w:jc w:val="both"/>
        <w:rPr>
          <w:rFonts w:ascii="Times New Roman" w:eastAsia="Times New Roman" w:hAnsi="Times New Roman" w:cs="Times New Roman"/>
          <w:sz w:val="24"/>
          <w:szCs w:val="24"/>
        </w:rPr>
      </w:pPr>
      <w:r w:rsidRPr="00107067">
        <w:rPr>
          <w:rFonts w:ascii="Times New Roman" w:eastAsia="Times New Roman" w:hAnsi="Times New Roman" w:cs="Times New Roman"/>
          <w:sz w:val="24"/>
          <w:szCs w:val="24"/>
        </w:rPr>
        <w:t>The study employed a random sampling method to select 50 working-class women from various departments of Assam Agricultural University, Jorhat. Data were collected through a structured questionnaire comprising sections on demographic information, awareness, usage patterns, and perceptions of UPI services. The collected data were analyzed using descriptive statistics, t-tests, and the Garret ranking method to identify preferences and challenges associated with UPI usage.</w:t>
      </w:r>
    </w:p>
    <w:p w14:paraId="6DB15FFB" w14:textId="77777777" w:rsidR="003B687B" w:rsidRPr="003B687B" w:rsidRDefault="003B687B" w:rsidP="003B687B">
      <w:pPr>
        <w:spacing w:before="100" w:beforeAutospacing="1" w:after="100" w:afterAutospacing="1" w:line="240" w:lineRule="auto"/>
        <w:jc w:val="both"/>
        <w:rPr>
          <w:rFonts w:ascii="Times New Roman" w:eastAsia="Times New Roman" w:hAnsi="Times New Roman" w:cs="Times New Roman"/>
          <w:b/>
          <w:bCs/>
          <w:sz w:val="24"/>
          <w:szCs w:val="24"/>
        </w:rPr>
      </w:pPr>
      <w:r w:rsidRPr="003B687B">
        <w:rPr>
          <w:rFonts w:ascii="Times New Roman" w:eastAsia="Times New Roman" w:hAnsi="Times New Roman" w:cs="Times New Roman"/>
          <w:b/>
          <w:bCs/>
          <w:sz w:val="24"/>
          <w:szCs w:val="24"/>
        </w:rPr>
        <w:t>4. Results</w:t>
      </w:r>
    </w:p>
    <w:p w14:paraId="48BC21CF" w14:textId="77777777" w:rsidR="003B687B" w:rsidRPr="003B687B" w:rsidRDefault="003B687B" w:rsidP="003B687B">
      <w:pPr>
        <w:spacing w:before="100" w:beforeAutospacing="1" w:after="100" w:afterAutospacing="1" w:line="240" w:lineRule="auto"/>
        <w:jc w:val="both"/>
        <w:rPr>
          <w:rFonts w:ascii="Times New Roman" w:eastAsia="Times New Roman" w:hAnsi="Times New Roman" w:cs="Times New Roman"/>
          <w:b/>
          <w:bCs/>
          <w:sz w:val="24"/>
          <w:szCs w:val="24"/>
        </w:rPr>
      </w:pPr>
      <w:r w:rsidRPr="003B687B">
        <w:rPr>
          <w:rFonts w:ascii="Times New Roman" w:eastAsia="Times New Roman" w:hAnsi="Times New Roman" w:cs="Times New Roman"/>
          <w:b/>
          <w:bCs/>
          <w:sz w:val="24"/>
          <w:szCs w:val="24"/>
        </w:rPr>
        <w:t>4.1 Demographic Profile of Respondents</w:t>
      </w:r>
    </w:p>
    <w:p w14:paraId="7469E554" w14:textId="77777777" w:rsidR="003B687B" w:rsidRDefault="003B687B" w:rsidP="00623541">
      <w:pPr>
        <w:spacing w:before="100" w:beforeAutospacing="1" w:after="100" w:afterAutospacing="1" w:line="360" w:lineRule="auto"/>
        <w:ind w:firstLine="720"/>
        <w:jc w:val="both"/>
        <w:rPr>
          <w:rFonts w:ascii="Times New Roman" w:eastAsia="Times New Roman" w:hAnsi="Times New Roman" w:cs="Times New Roman"/>
          <w:bCs/>
          <w:sz w:val="24"/>
          <w:szCs w:val="24"/>
        </w:rPr>
      </w:pPr>
      <w:r w:rsidRPr="003B687B">
        <w:rPr>
          <w:rFonts w:ascii="Times New Roman" w:eastAsia="Times New Roman" w:hAnsi="Times New Roman" w:cs="Times New Roman"/>
          <w:bCs/>
          <w:sz w:val="24"/>
          <w:szCs w:val="24"/>
        </w:rPr>
        <w:t>Age Distribution: The majority of respondents (47%) were aged between 35–45 years, followed by 33</w:t>
      </w:r>
      <w:r w:rsidR="004142D5">
        <w:rPr>
          <w:rFonts w:ascii="Times New Roman" w:eastAsia="Times New Roman" w:hAnsi="Times New Roman" w:cs="Times New Roman"/>
          <w:bCs/>
          <w:sz w:val="24"/>
          <w:szCs w:val="24"/>
        </w:rPr>
        <w:t xml:space="preserve"> per cent </w:t>
      </w:r>
      <w:r w:rsidRPr="003B687B">
        <w:rPr>
          <w:rFonts w:ascii="Times New Roman" w:eastAsia="Times New Roman" w:hAnsi="Times New Roman" w:cs="Times New Roman"/>
          <w:bCs/>
          <w:sz w:val="24"/>
          <w:szCs w:val="24"/>
        </w:rPr>
        <w:t>in the 25–35 age group, and 20</w:t>
      </w:r>
      <w:r w:rsidR="004142D5">
        <w:rPr>
          <w:rFonts w:ascii="Times New Roman" w:eastAsia="Times New Roman" w:hAnsi="Times New Roman" w:cs="Times New Roman"/>
          <w:bCs/>
          <w:sz w:val="24"/>
          <w:szCs w:val="24"/>
        </w:rPr>
        <w:t xml:space="preserve"> per </w:t>
      </w:r>
      <w:r w:rsidR="008F235B">
        <w:rPr>
          <w:rFonts w:ascii="Times New Roman" w:eastAsia="Times New Roman" w:hAnsi="Times New Roman" w:cs="Times New Roman"/>
          <w:bCs/>
          <w:sz w:val="24"/>
          <w:szCs w:val="24"/>
        </w:rPr>
        <w:t xml:space="preserve">cent </w:t>
      </w:r>
      <w:r w:rsidR="008F235B" w:rsidRPr="003B687B">
        <w:rPr>
          <w:rFonts w:ascii="Times New Roman" w:eastAsia="Times New Roman" w:hAnsi="Times New Roman" w:cs="Times New Roman"/>
          <w:bCs/>
          <w:sz w:val="24"/>
          <w:szCs w:val="24"/>
        </w:rPr>
        <w:t>in</w:t>
      </w:r>
      <w:r w:rsidRPr="003B687B">
        <w:rPr>
          <w:rFonts w:ascii="Times New Roman" w:eastAsia="Times New Roman" w:hAnsi="Times New Roman" w:cs="Times New Roman"/>
          <w:bCs/>
          <w:sz w:val="24"/>
          <w:szCs w:val="24"/>
        </w:rPr>
        <w:t xml:space="preserve"> the 45–55 age group</w:t>
      </w:r>
      <w:r w:rsidR="00FC6306">
        <w:rPr>
          <w:rFonts w:ascii="Times New Roman" w:eastAsia="Times New Roman" w:hAnsi="Times New Roman" w:cs="Times New Roman"/>
          <w:bCs/>
          <w:sz w:val="24"/>
          <w:szCs w:val="24"/>
        </w:rPr>
        <w:t xml:space="preserve"> (Fig.1)</w:t>
      </w:r>
      <w:r w:rsidRPr="003B687B">
        <w:rPr>
          <w:rFonts w:ascii="Times New Roman" w:eastAsia="Times New Roman" w:hAnsi="Times New Roman" w:cs="Times New Roman"/>
          <w:bCs/>
          <w:sz w:val="24"/>
          <w:szCs w:val="24"/>
        </w:rPr>
        <w:t>.</w:t>
      </w:r>
      <w:r w:rsidR="00623541">
        <w:rPr>
          <w:rFonts w:ascii="Times New Roman" w:eastAsia="Times New Roman" w:hAnsi="Times New Roman" w:cs="Times New Roman"/>
          <w:bCs/>
          <w:sz w:val="24"/>
          <w:szCs w:val="24"/>
        </w:rPr>
        <w:t xml:space="preserve"> </w:t>
      </w:r>
      <w:r w:rsidRPr="008F235B">
        <w:rPr>
          <w:rFonts w:ascii="Times New Roman" w:eastAsia="Times New Roman" w:hAnsi="Times New Roman" w:cs="Times New Roman"/>
          <w:b/>
          <w:bCs/>
          <w:sz w:val="24"/>
          <w:szCs w:val="24"/>
        </w:rPr>
        <w:t>Educational Qualification:</w:t>
      </w:r>
      <w:r w:rsidRPr="003B687B">
        <w:rPr>
          <w:rFonts w:ascii="Times New Roman" w:eastAsia="Times New Roman" w:hAnsi="Times New Roman" w:cs="Times New Roman"/>
          <w:bCs/>
          <w:sz w:val="24"/>
          <w:szCs w:val="24"/>
        </w:rPr>
        <w:t xml:space="preserve"> About 56.66</w:t>
      </w:r>
      <w:r w:rsidR="004142D5">
        <w:rPr>
          <w:rFonts w:ascii="Times New Roman" w:eastAsia="Times New Roman" w:hAnsi="Times New Roman" w:cs="Times New Roman"/>
          <w:bCs/>
          <w:sz w:val="24"/>
          <w:szCs w:val="24"/>
        </w:rPr>
        <w:t xml:space="preserve"> per cent </w:t>
      </w:r>
      <w:r w:rsidRPr="003B687B">
        <w:rPr>
          <w:rFonts w:ascii="Times New Roman" w:eastAsia="Times New Roman" w:hAnsi="Times New Roman" w:cs="Times New Roman"/>
          <w:bCs/>
          <w:sz w:val="24"/>
          <w:szCs w:val="24"/>
        </w:rPr>
        <w:t>of respondents had education up to high school. Graduates and postgraduates accounted for 13.33</w:t>
      </w:r>
      <w:r w:rsidR="004142D5">
        <w:rPr>
          <w:rFonts w:ascii="Times New Roman" w:eastAsia="Times New Roman" w:hAnsi="Times New Roman" w:cs="Times New Roman"/>
          <w:bCs/>
          <w:sz w:val="24"/>
          <w:szCs w:val="24"/>
        </w:rPr>
        <w:t xml:space="preserve"> per cent </w:t>
      </w:r>
      <w:r w:rsidRPr="003B687B">
        <w:rPr>
          <w:rFonts w:ascii="Times New Roman" w:eastAsia="Times New Roman" w:hAnsi="Times New Roman" w:cs="Times New Roman"/>
          <w:bCs/>
          <w:sz w:val="24"/>
          <w:szCs w:val="24"/>
        </w:rPr>
        <w:t>each, while 6.66</w:t>
      </w:r>
      <w:r w:rsidR="004142D5">
        <w:rPr>
          <w:rFonts w:ascii="Times New Roman" w:eastAsia="Times New Roman" w:hAnsi="Times New Roman" w:cs="Times New Roman"/>
          <w:bCs/>
          <w:sz w:val="24"/>
          <w:szCs w:val="24"/>
        </w:rPr>
        <w:t xml:space="preserve"> per cent </w:t>
      </w:r>
      <w:r w:rsidRPr="003B687B">
        <w:rPr>
          <w:rFonts w:ascii="Times New Roman" w:eastAsia="Times New Roman" w:hAnsi="Times New Roman" w:cs="Times New Roman"/>
          <w:bCs/>
          <w:sz w:val="24"/>
          <w:szCs w:val="24"/>
        </w:rPr>
        <w:t>had completed higher secondary education, and another 6.66</w:t>
      </w:r>
      <w:r w:rsidR="004142D5">
        <w:rPr>
          <w:rFonts w:ascii="Times New Roman" w:eastAsia="Times New Roman" w:hAnsi="Times New Roman" w:cs="Times New Roman"/>
          <w:bCs/>
          <w:sz w:val="24"/>
          <w:szCs w:val="24"/>
        </w:rPr>
        <w:t xml:space="preserve"> per cent</w:t>
      </w:r>
      <w:r w:rsidRPr="003B687B">
        <w:rPr>
          <w:rFonts w:ascii="Times New Roman" w:eastAsia="Times New Roman" w:hAnsi="Times New Roman" w:cs="Times New Roman"/>
          <w:bCs/>
          <w:sz w:val="24"/>
          <w:szCs w:val="24"/>
        </w:rPr>
        <w:t xml:space="preserve"> were uneducated</w:t>
      </w:r>
      <w:r w:rsidR="00FC6306">
        <w:rPr>
          <w:rFonts w:ascii="Times New Roman" w:eastAsia="Times New Roman" w:hAnsi="Times New Roman" w:cs="Times New Roman"/>
          <w:bCs/>
          <w:sz w:val="24"/>
          <w:szCs w:val="24"/>
        </w:rPr>
        <w:t xml:space="preserve"> (Fig 2).</w:t>
      </w:r>
      <w:r w:rsidR="00623541">
        <w:rPr>
          <w:rFonts w:ascii="Times New Roman" w:eastAsia="Times New Roman" w:hAnsi="Times New Roman" w:cs="Times New Roman"/>
          <w:bCs/>
          <w:sz w:val="24"/>
          <w:szCs w:val="24"/>
        </w:rPr>
        <w:t xml:space="preserve"> </w:t>
      </w:r>
    </w:p>
    <w:tbl>
      <w:tblPr>
        <w:tblStyle w:val="TableGrid"/>
        <w:tblW w:w="0" w:type="auto"/>
        <w:tblLook w:val="04A0" w:firstRow="1" w:lastRow="0" w:firstColumn="1" w:lastColumn="0" w:noHBand="0" w:noVBand="1"/>
      </w:tblPr>
      <w:tblGrid>
        <w:gridCol w:w="4866"/>
        <w:gridCol w:w="4710"/>
      </w:tblGrid>
      <w:tr w:rsidR="003C69B9" w14:paraId="1CEA9882" w14:textId="77777777" w:rsidTr="00761073">
        <w:tc>
          <w:tcPr>
            <w:tcW w:w="4866" w:type="dxa"/>
          </w:tcPr>
          <w:p w14:paraId="1D8FAD45" w14:textId="77777777" w:rsidR="003C69B9" w:rsidRDefault="003C69B9" w:rsidP="003C69B9">
            <w:pPr>
              <w:jc w:val="both"/>
              <w:rPr>
                <w:rFonts w:ascii="Times New Roman" w:eastAsia="Times New Roman" w:hAnsi="Times New Roman" w:cs="Times New Roman"/>
                <w:b/>
                <w:bCs/>
                <w:sz w:val="24"/>
                <w:szCs w:val="24"/>
              </w:rPr>
            </w:pPr>
          </w:p>
          <w:p w14:paraId="2BF6FD52" w14:textId="77777777" w:rsidR="003C69B9" w:rsidRDefault="003C69B9" w:rsidP="003C69B9">
            <w:pPr>
              <w:jc w:val="both"/>
              <w:rPr>
                <w:rFonts w:ascii="Times New Roman" w:eastAsia="Times New Roman" w:hAnsi="Times New Roman" w:cs="Times New Roman"/>
                <w:b/>
                <w:bCs/>
                <w:sz w:val="24"/>
                <w:szCs w:val="24"/>
              </w:rPr>
            </w:pPr>
            <w:r w:rsidRPr="003C69B9">
              <w:rPr>
                <w:rFonts w:ascii="Times New Roman" w:eastAsia="Times New Roman" w:hAnsi="Times New Roman" w:cs="Times New Roman"/>
                <w:b/>
                <w:bCs/>
                <w:noProof/>
                <w:sz w:val="24"/>
                <w:szCs w:val="24"/>
                <w:lang w:eastAsia="en-IN"/>
              </w:rPr>
              <w:drawing>
                <wp:inline distT="0" distB="0" distL="0" distR="0" wp14:anchorId="4D7C24B8" wp14:editId="2E9993F1">
                  <wp:extent cx="2933700" cy="1990725"/>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ge.PNG"/>
                          <pic:cNvPicPr/>
                        </pic:nvPicPr>
                        <pic:blipFill>
                          <a:blip r:embed="rId7">
                            <a:extLst>
                              <a:ext uri="{28A0092B-C50C-407E-A947-70E740481C1C}">
                                <a14:useLocalDpi xmlns:a14="http://schemas.microsoft.com/office/drawing/2010/main" val="0"/>
                              </a:ext>
                            </a:extLst>
                          </a:blip>
                          <a:stretch>
                            <a:fillRect/>
                          </a:stretch>
                        </pic:blipFill>
                        <pic:spPr>
                          <a:xfrm>
                            <a:off x="0" y="0"/>
                            <a:ext cx="2948555" cy="2000805"/>
                          </a:xfrm>
                          <a:prstGeom prst="rect">
                            <a:avLst/>
                          </a:prstGeom>
                        </pic:spPr>
                      </pic:pic>
                    </a:graphicData>
                  </a:graphic>
                </wp:inline>
              </w:drawing>
            </w:r>
          </w:p>
          <w:p w14:paraId="3D60F0AE" w14:textId="77777777" w:rsidR="003C69B9" w:rsidRDefault="003C69B9" w:rsidP="003C69B9">
            <w:pPr>
              <w:jc w:val="both"/>
              <w:rPr>
                <w:rFonts w:ascii="Times New Roman" w:eastAsia="Times New Roman" w:hAnsi="Times New Roman" w:cs="Times New Roman"/>
                <w:b/>
                <w:bCs/>
                <w:sz w:val="24"/>
                <w:szCs w:val="24"/>
              </w:rPr>
            </w:pPr>
          </w:p>
        </w:tc>
        <w:tc>
          <w:tcPr>
            <w:tcW w:w="4710" w:type="dxa"/>
          </w:tcPr>
          <w:p w14:paraId="4AFE1E66" w14:textId="77777777" w:rsidR="003C69B9" w:rsidRDefault="003C69B9" w:rsidP="003C69B9">
            <w:pPr>
              <w:jc w:val="both"/>
              <w:rPr>
                <w:rFonts w:ascii="Times New Roman" w:eastAsia="Times New Roman" w:hAnsi="Times New Roman" w:cs="Times New Roman"/>
                <w:b/>
                <w:bCs/>
                <w:sz w:val="24"/>
                <w:szCs w:val="24"/>
              </w:rPr>
            </w:pPr>
          </w:p>
          <w:p w14:paraId="11E10B12" w14:textId="77777777" w:rsidR="003C69B9" w:rsidRDefault="003C69B9" w:rsidP="003C69B9">
            <w:pPr>
              <w:jc w:val="both"/>
              <w:rPr>
                <w:rFonts w:ascii="Times New Roman" w:eastAsia="Times New Roman" w:hAnsi="Times New Roman" w:cs="Times New Roman"/>
                <w:b/>
                <w:bCs/>
                <w:sz w:val="24"/>
                <w:szCs w:val="24"/>
              </w:rPr>
            </w:pPr>
            <w:r w:rsidRPr="003C69B9">
              <w:rPr>
                <w:rFonts w:ascii="Times New Roman" w:eastAsia="Times New Roman" w:hAnsi="Times New Roman" w:cs="Times New Roman"/>
                <w:b/>
                <w:bCs/>
                <w:noProof/>
                <w:sz w:val="24"/>
                <w:szCs w:val="24"/>
                <w:lang w:eastAsia="en-IN"/>
              </w:rPr>
              <w:drawing>
                <wp:inline distT="0" distB="0" distL="0" distR="0" wp14:anchorId="54CD4A02" wp14:editId="629D172D">
                  <wp:extent cx="2723939" cy="2047875"/>
                  <wp:effectExtent l="19050" t="0" r="211"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ducation.PNG"/>
                          <pic:cNvPicPr/>
                        </pic:nvPicPr>
                        <pic:blipFill>
                          <a:blip r:embed="rId8">
                            <a:extLst>
                              <a:ext uri="{28A0092B-C50C-407E-A947-70E740481C1C}">
                                <a14:useLocalDpi xmlns:a14="http://schemas.microsoft.com/office/drawing/2010/main" val="0"/>
                              </a:ext>
                            </a:extLst>
                          </a:blip>
                          <a:stretch>
                            <a:fillRect/>
                          </a:stretch>
                        </pic:blipFill>
                        <pic:spPr>
                          <a:xfrm>
                            <a:off x="0" y="0"/>
                            <a:ext cx="2728389" cy="2051221"/>
                          </a:xfrm>
                          <a:prstGeom prst="rect">
                            <a:avLst/>
                          </a:prstGeom>
                        </pic:spPr>
                      </pic:pic>
                    </a:graphicData>
                  </a:graphic>
                </wp:inline>
              </w:drawing>
            </w:r>
          </w:p>
          <w:p w14:paraId="0172671E" w14:textId="77777777" w:rsidR="003C69B9" w:rsidRDefault="003C69B9" w:rsidP="003C69B9">
            <w:pPr>
              <w:jc w:val="both"/>
              <w:rPr>
                <w:rFonts w:ascii="Times New Roman" w:eastAsia="Times New Roman" w:hAnsi="Times New Roman" w:cs="Times New Roman"/>
                <w:b/>
                <w:bCs/>
                <w:sz w:val="24"/>
                <w:szCs w:val="24"/>
              </w:rPr>
            </w:pPr>
          </w:p>
        </w:tc>
      </w:tr>
      <w:tr w:rsidR="003C69B9" w14:paraId="6D93A93D" w14:textId="77777777" w:rsidTr="00761073">
        <w:tc>
          <w:tcPr>
            <w:tcW w:w="4866" w:type="dxa"/>
          </w:tcPr>
          <w:p w14:paraId="6EE965F4" w14:textId="77777777" w:rsidR="003C69B9" w:rsidRPr="00513B3D" w:rsidRDefault="003C69B9" w:rsidP="006335A9">
            <w:pPr>
              <w:jc w:val="center"/>
              <w:rPr>
                <w:rFonts w:ascii="Times New Roman" w:hAnsi="Times New Roman" w:cs="Times New Roman"/>
                <w:sz w:val="24"/>
                <w:szCs w:val="24"/>
              </w:rPr>
            </w:pPr>
            <w:r w:rsidRPr="00513B3D">
              <w:rPr>
                <w:rFonts w:ascii="Times New Roman" w:hAnsi="Times New Roman" w:cs="Times New Roman"/>
                <w:sz w:val="24"/>
                <w:szCs w:val="24"/>
              </w:rPr>
              <w:t>Figure 1. The age group of the respondents</w:t>
            </w:r>
          </w:p>
          <w:p w14:paraId="0AF925DC" w14:textId="77777777" w:rsidR="003C69B9" w:rsidRDefault="003C69B9" w:rsidP="003C69B9">
            <w:pPr>
              <w:jc w:val="both"/>
              <w:rPr>
                <w:rFonts w:ascii="Times New Roman" w:eastAsia="Times New Roman" w:hAnsi="Times New Roman" w:cs="Times New Roman"/>
                <w:b/>
                <w:bCs/>
                <w:sz w:val="24"/>
                <w:szCs w:val="24"/>
              </w:rPr>
            </w:pPr>
          </w:p>
        </w:tc>
        <w:tc>
          <w:tcPr>
            <w:tcW w:w="4710" w:type="dxa"/>
          </w:tcPr>
          <w:p w14:paraId="132E2D7C" w14:textId="77777777" w:rsidR="003C69B9" w:rsidRDefault="003C69B9" w:rsidP="006335A9">
            <w:pPr>
              <w:jc w:val="center"/>
              <w:rPr>
                <w:rFonts w:ascii="Times New Roman" w:eastAsia="Times New Roman" w:hAnsi="Times New Roman" w:cs="Times New Roman"/>
                <w:b/>
                <w:bCs/>
                <w:sz w:val="24"/>
                <w:szCs w:val="24"/>
              </w:rPr>
            </w:pPr>
            <w:r w:rsidRPr="00513B3D">
              <w:rPr>
                <w:rFonts w:ascii="Times New Roman" w:hAnsi="Times New Roman" w:cs="Times New Roman"/>
                <w:sz w:val="24"/>
                <w:szCs w:val="24"/>
              </w:rPr>
              <w:t>Figure 2. The educational level of the respondents</w:t>
            </w:r>
          </w:p>
        </w:tc>
      </w:tr>
      <w:tr w:rsidR="003C69B9" w14:paraId="189527FF" w14:textId="77777777" w:rsidTr="00761073">
        <w:trPr>
          <w:trHeight w:val="2731"/>
        </w:trPr>
        <w:tc>
          <w:tcPr>
            <w:tcW w:w="4866" w:type="dxa"/>
          </w:tcPr>
          <w:p w14:paraId="54D07608" w14:textId="77777777" w:rsidR="003C69B9" w:rsidRDefault="003C69B9" w:rsidP="003B687B">
            <w:pPr>
              <w:spacing w:before="100" w:beforeAutospacing="1" w:after="100" w:afterAutospacing="1"/>
              <w:jc w:val="both"/>
              <w:rPr>
                <w:rFonts w:ascii="Times New Roman" w:eastAsia="Times New Roman" w:hAnsi="Times New Roman" w:cs="Times New Roman"/>
                <w:b/>
                <w:bCs/>
                <w:sz w:val="24"/>
                <w:szCs w:val="24"/>
              </w:rPr>
            </w:pPr>
            <w:r w:rsidRPr="003C69B9">
              <w:rPr>
                <w:rFonts w:ascii="Times New Roman" w:eastAsia="Times New Roman" w:hAnsi="Times New Roman" w:cs="Times New Roman"/>
                <w:b/>
                <w:bCs/>
                <w:noProof/>
                <w:sz w:val="24"/>
                <w:szCs w:val="24"/>
                <w:lang w:eastAsia="en-IN"/>
              </w:rPr>
              <w:drawing>
                <wp:inline distT="0" distB="0" distL="0" distR="0" wp14:anchorId="3F8EFB21" wp14:editId="6B44FC66">
                  <wp:extent cx="2686050" cy="1592690"/>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cupation.PNG"/>
                          <pic:cNvPicPr/>
                        </pic:nvPicPr>
                        <pic:blipFill>
                          <a:blip r:embed="rId9">
                            <a:extLst>
                              <a:ext uri="{28A0092B-C50C-407E-A947-70E740481C1C}">
                                <a14:useLocalDpi xmlns:a14="http://schemas.microsoft.com/office/drawing/2010/main" val="0"/>
                              </a:ext>
                            </a:extLst>
                          </a:blip>
                          <a:stretch>
                            <a:fillRect/>
                          </a:stretch>
                        </pic:blipFill>
                        <pic:spPr>
                          <a:xfrm>
                            <a:off x="0" y="0"/>
                            <a:ext cx="2687359" cy="1593466"/>
                          </a:xfrm>
                          <a:prstGeom prst="rect">
                            <a:avLst/>
                          </a:prstGeom>
                        </pic:spPr>
                      </pic:pic>
                    </a:graphicData>
                  </a:graphic>
                </wp:inline>
              </w:drawing>
            </w:r>
          </w:p>
        </w:tc>
        <w:tc>
          <w:tcPr>
            <w:tcW w:w="4710" w:type="dxa"/>
          </w:tcPr>
          <w:p w14:paraId="5C4CE7E6" w14:textId="77777777" w:rsidR="003C69B9" w:rsidRDefault="003C69B9" w:rsidP="00761073">
            <w:pPr>
              <w:spacing w:before="100" w:beforeAutospacing="1"/>
              <w:jc w:val="both"/>
              <w:rPr>
                <w:rFonts w:ascii="Times New Roman" w:eastAsia="Times New Roman" w:hAnsi="Times New Roman" w:cs="Times New Roman"/>
                <w:b/>
                <w:bCs/>
                <w:sz w:val="24"/>
                <w:szCs w:val="24"/>
              </w:rPr>
            </w:pPr>
            <w:r w:rsidRPr="003C69B9">
              <w:rPr>
                <w:rFonts w:ascii="Times New Roman" w:eastAsia="Times New Roman" w:hAnsi="Times New Roman" w:cs="Times New Roman"/>
                <w:b/>
                <w:bCs/>
                <w:noProof/>
                <w:sz w:val="24"/>
                <w:szCs w:val="24"/>
                <w:lang w:eastAsia="en-IN"/>
              </w:rPr>
              <w:drawing>
                <wp:inline distT="0" distB="0" distL="0" distR="0" wp14:anchorId="5093C5F9" wp14:editId="501EB11B">
                  <wp:extent cx="2612992" cy="1559433"/>
                  <wp:effectExtent l="1905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come.PNG"/>
                          <pic:cNvPicPr/>
                        </pic:nvPicPr>
                        <pic:blipFill>
                          <a:blip r:embed="rId10">
                            <a:extLst>
                              <a:ext uri="{28A0092B-C50C-407E-A947-70E740481C1C}">
                                <a14:useLocalDpi xmlns:a14="http://schemas.microsoft.com/office/drawing/2010/main" val="0"/>
                              </a:ext>
                            </a:extLst>
                          </a:blip>
                          <a:stretch>
                            <a:fillRect/>
                          </a:stretch>
                        </pic:blipFill>
                        <pic:spPr>
                          <a:xfrm>
                            <a:off x="0" y="0"/>
                            <a:ext cx="2616726" cy="1561661"/>
                          </a:xfrm>
                          <a:prstGeom prst="rect">
                            <a:avLst/>
                          </a:prstGeom>
                        </pic:spPr>
                      </pic:pic>
                    </a:graphicData>
                  </a:graphic>
                </wp:inline>
              </w:drawing>
            </w:r>
          </w:p>
          <w:p w14:paraId="0D6937FA" w14:textId="77777777" w:rsidR="003C69B9" w:rsidRDefault="003C69B9" w:rsidP="00761073">
            <w:pPr>
              <w:jc w:val="both"/>
              <w:rPr>
                <w:rFonts w:ascii="Times New Roman" w:eastAsia="Times New Roman" w:hAnsi="Times New Roman" w:cs="Times New Roman"/>
                <w:b/>
                <w:bCs/>
                <w:sz w:val="24"/>
                <w:szCs w:val="24"/>
              </w:rPr>
            </w:pPr>
          </w:p>
        </w:tc>
      </w:tr>
      <w:tr w:rsidR="003C69B9" w14:paraId="1A999D63" w14:textId="77777777" w:rsidTr="00761073">
        <w:tc>
          <w:tcPr>
            <w:tcW w:w="4866" w:type="dxa"/>
          </w:tcPr>
          <w:p w14:paraId="2D2C21A1" w14:textId="77777777" w:rsidR="003C69B9" w:rsidRDefault="003C69B9" w:rsidP="006335A9">
            <w:pPr>
              <w:jc w:val="center"/>
              <w:rPr>
                <w:rFonts w:ascii="Times New Roman" w:eastAsia="Times New Roman" w:hAnsi="Times New Roman" w:cs="Times New Roman"/>
                <w:b/>
                <w:bCs/>
                <w:sz w:val="24"/>
                <w:szCs w:val="24"/>
              </w:rPr>
            </w:pPr>
            <w:r w:rsidRPr="00513B3D">
              <w:rPr>
                <w:rFonts w:ascii="Times New Roman" w:hAnsi="Times New Roman" w:cs="Times New Roman"/>
                <w:sz w:val="24"/>
                <w:szCs w:val="24"/>
              </w:rPr>
              <w:t>Figure 3. Occupation of the respondents</w:t>
            </w:r>
          </w:p>
        </w:tc>
        <w:tc>
          <w:tcPr>
            <w:tcW w:w="4710" w:type="dxa"/>
          </w:tcPr>
          <w:p w14:paraId="1112D59D" w14:textId="77777777" w:rsidR="003C69B9" w:rsidRDefault="003C69B9" w:rsidP="003C69B9">
            <w:pPr>
              <w:jc w:val="both"/>
              <w:rPr>
                <w:rFonts w:ascii="Times New Roman" w:eastAsia="Times New Roman" w:hAnsi="Times New Roman" w:cs="Times New Roman"/>
                <w:b/>
                <w:bCs/>
                <w:sz w:val="24"/>
                <w:szCs w:val="24"/>
              </w:rPr>
            </w:pPr>
            <w:r w:rsidRPr="00513B3D">
              <w:rPr>
                <w:rFonts w:ascii="Times New Roman" w:hAnsi="Times New Roman" w:cs="Times New Roman"/>
                <w:sz w:val="24"/>
                <w:szCs w:val="24"/>
              </w:rPr>
              <w:t>Figure 4. Monthly Income of the respondents</w:t>
            </w:r>
          </w:p>
        </w:tc>
      </w:tr>
      <w:tr w:rsidR="00761073" w14:paraId="3589E36E" w14:textId="77777777" w:rsidTr="0035640C">
        <w:trPr>
          <w:trHeight w:val="3100"/>
        </w:trPr>
        <w:tc>
          <w:tcPr>
            <w:tcW w:w="9576" w:type="dxa"/>
            <w:gridSpan w:val="2"/>
          </w:tcPr>
          <w:p w14:paraId="12379F08" w14:textId="77777777" w:rsidR="00761073" w:rsidRDefault="00761073" w:rsidP="00761073">
            <w:pPr>
              <w:spacing w:before="100" w:beforeAutospacing="1" w:after="100" w:afterAutospacing="1"/>
              <w:jc w:val="center"/>
              <w:rPr>
                <w:rFonts w:ascii="Times New Roman" w:eastAsia="Times New Roman" w:hAnsi="Times New Roman" w:cs="Times New Roman"/>
                <w:b/>
                <w:bCs/>
                <w:sz w:val="24"/>
                <w:szCs w:val="24"/>
              </w:rPr>
            </w:pPr>
          </w:p>
          <w:p w14:paraId="7ADCB4FE" w14:textId="77777777" w:rsidR="00761073" w:rsidRDefault="00761073" w:rsidP="003B687B">
            <w:pPr>
              <w:spacing w:before="100" w:beforeAutospacing="1" w:after="100" w:afterAutospacing="1"/>
              <w:jc w:val="both"/>
              <w:rPr>
                <w:rFonts w:ascii="Times New Roman" w:eastAsia="Times New Roman" w:hAnsi="Times New Roman" w:cs="Times New Roman"/>
                <w:b/>
                <w:bCs/>
                <w:sz w:val="24"/>
                <w:szCs w:val="24"/>
              </w:rPr>
            </w:pPr>
          </w:p>
          <w:p w14:paraId="0018723B" w14:textId="77777777" w:rsidR="00761073" w:rsidRDefault="00761073" w:rsidP="003B687B">
            <w:pPr>
              <w:spacing w:before="100" w:beforeAutospacing="1" w:after="100" w:afterAutospacing="1"/>
              <w:jc w:val="both"/>
              <w:rPr>
                <w:rFonts w:ascii="Times New Roman" w:eastAsia="Times New Roman" w:hAnsi="Times New Roman" w:cs="Times New Roman"/>
                <w:b/>
                <w:bCs/>
                <w:sz w:val="24"/>
                <w:szCs w:val="24"/>
              </w:rPr>
            </w:pPr>
          </w:p>
          <w:p w14:paraId="44E301F2" w14:textId="77777777" w:rsidR="00761073" w:rsidRDefault="00761073" w:rsidP="003B687B">
            <w:pPr>
              <w:spacing w:before="100" w:beforeAutospacing="1" w:after="100" w:afterAutospacing="1"/>
              <w:jc w:val="both"/>
              <w:rPr>
                <w:rFonts w:ascii="Times New Roman" w:eastAsia="Times New Roman" w:hAnsi="Times New Roman" w:cs="Times New Roman"/>
                <w:b/>
                <w:bCs/>
                <w:sz w:val="24"/>
                <w:szCs w:val="24"/>
              </w:rPr>
            </w:pPr>
          </w:p>
          <w:p w14:paraId="53CE89D0" w14:textId="77777777" w:rsidR="00761073" w:rsidRDefault="00761073" w:rsidP="00761073">
            <w:pPr>
              <w:spacing w:before="100" w:beforeAutospacing="1" w:after="100" w:afterAutospacing="1"/>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en-IN"/>
              </w:rPr>
              <w:drawing>
                <wp:anchor distT="0" distB="0" distL="114300" distR="114300" simplePos="0" relativeHeight="251658240" behindDoc="1" locked="0" layoutInCell="1" allowOverlap="1" wp14:anchorId="447D35DF" wp14:editId="1288766B">
                  <wp:simplePos x="0" y="0"/>
                  <wp:positionH relativeFrom="column">
                    <wp:posOffset>1619250</wp:posOffset>
                  </wp:positionH>
                  <wp:positionV relativeFrom="paragraph">
                    <wp:posOffset>-1149985</wp:posOffset>
                  </wp:positionV>
                  <wp:extent cx="2720975" cy="1495425"/>
                  <wp:effectExtent l="19050" t="0" r="3175" b="0"/>
                  <wp:wrapTight wrapText="bothSides">
                    <wp:wrapPolygon edited="0">
                      <wp:start x="-151" y="0"/>
                      <wp:lineTo x="-151" y="21462"/>
                      <wp:lineTo x="21625" y="21462"/>
                      <wp:lineTo x="21625" y="0"/>
                      <wp:lineTo x="-151" y="0"/>
                    </wp:wrapPolygon>
                  </wp:wrapTight>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mily.PNG"/>
                          <pic:cNvPicPr/>
                        </pic:nvPicPr>
                        <pic:blipFill>
                          <a:blip r:embed="rId11">
                            <a:extLst>
                              <a:ext uri="{28A0092B-C50C-407E-A947-70E740481C1C}">
                                <a14:useLocalDpi xmlns:a14="http://schemas.microsoft.com/office/drawing/2010/main" val="0"/>
                              </a:ext>
                            </a:extLst>
                          </a:blip>
                          <a:stretch>
                            <a:fillRect/>
                          </a:stretch>
                        </pic:blipFill>
                        <pic:spPr>
                          <a:xfrm>
                            <a:off x="0" y="0"/>
                            <a:ext cx="2720975" cy="1495425"/>
                          </a:xfrm>
                          <a:prstGeom prst="rect">
                            <a:avLst/>
                          </a:prstGeom>
                        </pic:spPr>
                      </pic:pic>
                    </a:graphicData>
                  </a:graphic>
                </wp:anchor>
              </w:drawing>
            </w:r>
          </w:p>
        </w:tc>
      </w:tr>
      <w:tr w:rsidR="00761073" w14:paraId="7F29AA39" w14:textId="77777777" w:rsidTr="0035640C">
        <w:trPr>
          <w:trHeight w:val="422"/>
        </w:trPr>
        <w:tc>
          <w:tcPr>
            <w:tcW w:w="9576" w:type="dxa"/>
            <w:gridSpan w:val="2"/>
          </w:tcPr>
          <w:p w14:paraId="05E6B7E6" w14:textId="77777777" w:rsidR="00761073" w:rsidRDefault="00761073" w:rsidP="00761073">
            <w:pPr>
              <w:jc w:val="center"/>
              <w:rPr>
                <w:rFonts w:ascii="Times New Roman" w:eastAsia="Times New Roman" w:hAnsi="Times New Roman" w:cs="Times New Roman"/>
                <w:b/>
                <w:bCs/>
                <w:sz w:val="24"/>
                <w:szCs w:val="24"/>
              </w:rPr>
            </w:pPr>
            <w:r w:rsidRPr="00513B3D">
              <w:rPr>
                <w:rFonts w:ascii="Times New Roman" w:hAnsi="Times New Roman" w:cs="Times New Roman"/>
                <w:sz w:val="24"/>
                <w:szCs w:val="24"/>
              </w:rPr>
              <w:t>Figure 5. The family type of the respondents</w:t>
            </w:r>
          </w:p>
        </w:tc>
      </w:tr>
    </w:tbl>
    <w:p w14:paraId="7C744B55" w14:textId="77777777" w:rsidR="0035640C" w:rsidRDefault="0035640C" w:rsidP="0035640C">
      <w:pPr>
        <w:spacing w:after="100" w:afterAutospacing="1"/>
        <w:jc w:val="both"/>
        <w:rPr>
          <w:rFonts w:ascii="Times New Roman" w:eastAsia="Times New Roman" w:hAnsi="Times New Roman" w:cs="Times New Roman"/>
          <w:b/>
          <w:bCs/>
          <w:sz w:val="24"/>
          <w:szCs w:val="24"/>
        </w:rPr>
      </w:pPr>
    </w:p>
    <w:p w14:paraId="147AFB2F" w14:textId="77777777" w:rsidR="00401910" w:rsidRDefault="00401910" w:rsidP="0035640C">
      <w:pPr>
        <w:spacing w:after="100" w:afterAutospacing="1"/>
        <w:jc w:val="both"/>
        <w:rPr>
          <w:rFonts w:ascii="Times New Roman" w:eastAsia="Times New Roman" w:hAnsi="Times New Roman" w:cs="Times New Roman"/>
          <w:b/>
          <w:bCs/>
          <w:sz w:val="24"/>
          <w:szCs w:val="24"/>
        </w:rPr>
      </w:pPr>
      <w:r w:rsidRPr="008F235B">
        <w:rPr>
          <w:rFonts w:ascii="Times New Roman" w:eastAsia="Times New Roman" w:hAnsi="Times New Roman" w:cs="Times New Roman"/>
          <w:b/>
          <w:bCs/>
          <w:sz w:val="24"/>
          <w:szCs w:val="24"/>
        </w:rPr>
        <w:t>Occupation:</w:t>
      </w:r>
      <w:r w:rsidRPr="003B687B">
        <w:rPr>
          <w:rFonts w:ascii="Times New Roman" w:eastAsia="Times New Roman" w:hAnsi="Times New Roman" w:cs="Times New Roman"/>
          <w:bCs/>
          <w:sz w:val="24"/>
          <w:szCs w:val="24"/>
        </w:rPr>
        <w:t xml:space="preserve"> Respondents were engaged in various roles</w:t>
      </w:r>
      <w:r>
        <w:rPr>
          <w:rFonts w:ascii="Times New Roman" w:eastAsia="Times New Roman" w:hAnsi="Times New Roman" w:cs="Times New Roman"/>
          <w:bCs/>
          <w:sz w:val="24"/>
          <w:szCs w:val="24"/>
        </w:rPr>
        <w:t xml:space="preserve"> – </w:t>
      </w:r>
      <w:r w:rsidRPr="003B687B">
        <w:rPr>
          <w:rFonts w:ascii="Times New Roman" w:eastAsia="Times New Roman" w:hAnsi="Times New Roman" w:cs="Times New Roman"/>
          <w:bCs/>
          <w:sz w:val="24"/>
          <w:szCs w:val="24"/>
        </w:rPr>
        <w:t>40</w:t>
      </w:r>
      <w:r>
        <w:rPr>
          <w:rFonts w:ascii="Times New Roman" w:eastAsia="Times New Roman" w:hAnsi="Times New Roman" w:cs="Times New Roman"/>
          <w:bCs/>
          <w:sz w:val="24"/>
          <w:szCs w:val="24"/>
        </w:rPr>
        <w:t xml:space="preserve"> per cent </w:t>
      </w:r>
      <w:r w:rsidRPr="003B687B">
        <w:rPr>
          <w:rFonts w:ascii="Times New Roman" w:eastAsia="Times New Roman" w:hAnsi="Times New Roman" w:cs="Times New Roman"/>
          <w:bCs/>
          <w:sz w:val="24"/>
          <w:szCs w:val="24"/>
        </w:rPr>
        <w:t>as general workers, 23.33</w:t>
      </w:r>
      <w:r w:rsidRPr="004142D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per cent</w:t>
      </w:r>
      <w:r w:rsidRPr="003B687B">
        <w:rPr>
          <w:rFonts w:ascii="Times New Roman" w:eastAsia="Times New Roman" w:hAnsi="Times New Roman" w:cs="Times New Roman"/>
          <w:bCs/>
          <w:sz w:val="24"/>
          <w:szCs w:val="24"/>
        </w:rPr>
        <w:t xml:space="preserve"> in security services, 20</w:t>
      </w:r>
      <w:r w:rsidRPr="004142D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per cent</w:t>
      </w:r>
      <w:r w:rsidRPr="003B687B">
        <w:rPr>
          <w:rFonts w:ascii="Times New Roman" w:eastAsia="Times New Roman" w:hAnsi="Times New Roman" w:cs="Times New Roman"/>
          <w:bCs/>
          <w:sz w:val="24"/>
          <w:szCs w:val="24"/>
        </w:rPr>
        <w:t xml:space="preserve"> as mess workers, and 16.66</w:t>
      </w:r>
      <w:r w:rsidRPr="004142D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per cent</w:t>
      </w:r>
      <w:r w:rsidRPr="003B687B">
        <w:rPr>
          <w:rFonts w:ascii="Times New Roman" w:eastAsia="Times New Roman" w:hAnsi="Times New Roman" w:cs="Times New Roman"/>
          <w:bCs/>
          <w:sz w:val="24"/>
          <w:szCs w:val="24"/>
        </w:rPr>
        <w:t xml:space="preserve"> as clerical staff</w:t>
      </w:r>
      <w:r>
        <w:rPr>
          <w:rFonts w:ascii="Times New Roman" w:eastAsia="Times New Roman" w:hAnsi="Times New Roman" w:cs="Times New Roman"/>
          <w:bCs/>
          <w:sz w:val="24"/>
          <w:szCs w:val="24"/>
        </w:rPr>
        <w:t xml:space="preserve"> (Fig 3)</w:t>
      </w:r>
      <w:r w:rsidRPr="003B687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Regarding monthly income of the respondents showed that a</w:t>
      </w:r>
      <w:r w:rsidRPr="003B687B">
        <w:rPr>
          <w:rFonts w:ascii="Times New Roman" w:eastAsia="Times New Roman" w:hAnsi="Times New Roman" w:cs="Times New Roman"/>
          <w:bCs/>
          <w:sz w:val="24"/>
          <w:szCs w:val="24"/>
        </w:rPr>
        <w:t xml:space="preserve"> significant portion (63.33%) earned between ₹10,000–₹25,000 monthly, 33.33</w:t>
      </w:r>
      <w:r w:rsidRPr="004142D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per cent</w:t>
      </w:r>
      <w:r w:rsidRPr="003B687B">
        <w:rPr>
          <w:rFonts w:ascii="Times New Roman" w:eastAsia="Times New Roman" w:hAnsi="Times New Roman" w:cs="Times New Roman"/>
          <w:bCs/>
          <w:sz w:val="24"/>
          <w:szCs w:val="24"/>
        </w:rPr>
        <w:t xml:space="preserve"> earned ₹25,000–₹50,000, and 3.33</w:t>
      </w:r>
      <w:r w:rsidRPr="004142D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per </w:t>
      </w:r>
      <w:r>
        <w:rPr>
          <w:rFonts w:ascii="Times New Roman" w:eastAsia="Times New Roman" w:hAnsi="Times New Roman" w:cs="Times New Roman"/>
          <w:bCs/>
          <w:sz w:val="24"/>
          <w:szCs w:val="24"/>
        </w:rPr>
        <w:lastRenderedPageBreak/>
        <w:t>cent</w:t>
      </w:r>
      <w:r w:rsidRPr="003B687B">
        <w:rPr>
          <w:rFonts w:ascii="Times New Roman" w:eastAsia="Times New Roman" w:hAnsi="Times New Roman" w:cs="Times New Roman"/>
          <w:bCs/>
          <w:sz w:val="24"/>
          <w:szCs w:val="24"/>
        </w:rPr>
        <w:t xml:space="preserve"> earned above ₹50,000</w:t>
      </w:r>
      <w:r>
        <w:rPr>
          <w:rFonts w:ascii="Times New Roman" w:eastAsia="Times New Roman" w:hAnsi="Times New Roman" w:cs="Times New Roman"/>
          <w:bCs/>
          <w:sz w:val="24"/>
          <w:szCs w:val="24"/>
        </w:rPr>
        <w:t xml:space="preserve"> (Fig 4)</w:t>
      </w:r>
      <w:r w:rsidRPr="003B687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3B687B">
        <w:rPr>
          <w:rFonts w:ascii="Times New Roman" w:eastAsia="Times New Roman" w:hAnsi="Times New Roman" w:cs="Times New Roman"/>
          <w:bCs/>
          <w:sz w:val="24"/>
          <w:szCs w:val="24"/>
        </w:rPr>
        <w:t>Family Type: The majority (70%) belonged to nuclear families, whi</w:t>
      </w:r>
      <w:r>
        <w:rPr>
          <w:rFonts w:ascii="Times New Roman" w:eastAsia="Times New Roman" w:hAnsi="Times New Roman" w:cs="Times New Roman"/>
          <w:bCs/>
          <w:sz w:val="24"/>
          <w:szCs w:val="24"/>
        </w:rPr>
        <w:t>le 30</w:t>
      </w:r>
      <w:r w:rsidRPr="004142D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per cent were from joint families (Fig 5).</w:t>
      </w:r>
    </w:p>
    <w:p w14:paraId="4D0304ED" w14:textId="77777777" w:rsidR="003B687B" w:rsidRPr="003B687B" w:rsidRDefault="003B687B" w:rsidP="0035640C">
      <w:pPr>
        <w:spacing w:after="100" w:afterAutospacing="1"/>
        <w:jc w:val="both"/>
        <w:rPr>
          <w:rFonts w:ascii="Times New Roman" w:eastAsia="Times New Roman" w:hAnsi="Times New Roman" w:cs="Times New Roman"/>
          <w:b/>
          <w:bCs/>
          <w:sz w:val="24"/>
          <w:szCs w:val="24"/>
        </w:rPr>
      </w:pPr>
      <w:r w:rsidRPr="003B687B">
        <w:rPr>
          <w:rFonts w:ascii="Times New Roman" w:eastAsia="Times New Roman" w:hAnsi="Times New Roman" w:cs="Times New Roman"/>
          <w:b/>
          <w:bCs/>
          <w:sz w:val="24"/>
          <w:szCs w:val="24"/>
        </w:rPr>
        <w:t>4.2 Awareness and Usage of UPI</w:t>
      </w:r>
    </w:p>
    <w:p w14:paraId="07E0E38C" w14:textId="77777777" w:rsidR="003B687B" w:rsidRPr="003B687B" w:rsidRDefault="00FC6306" w:rsidP="00623541">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Analysis of data in Table 1</w:t>
      </w:r>
      <w:r w:rsidRPr="00FC630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revealed that, 90</w:t>
      </w:r>
      <w:r w:rsidR="004142D5" w:rsidRPr="004142D5">
        <w:rPr>
          <w:rFonts w:ascii="Times New Roman" w:eastAsia="Times New Roman" w:hAnsi="Times New Roman" w:cs="Times New Roman"/>
          <w:bCs/>
          <w:sz w:val="24"/>
          <w:szCs w:val="24"/>
        </w:rPr>
        <w:t xml:space="preserve"> </w:t>
      </w:r>
      <w:r w:rsidR="004142D5">
        <w:rPr>
          <w:rFonts w:ascii="Times New Roman" w:eastAsia="Times New Roman" w:hAnsi="Times New Roman" w:cs="Times New Roman"/>
          <w:bCs/>
          <w:sz w:val="24"/>
          <w:szCs w:val="24"/>
        </w:rPr>
        <w:t>per cent</w:t>
      </w:r>
      <w:r w:rsidR="003B687B" w:rsidRPr="003B687B">
        <w:rPr>
          <w:rFonts w:ascii="Times New Roman" w:eastAsia="Times New Roman" w:hAnsi="Times New Roman" w:cs="Times New Roman"/>
          <w:bCs/>
          <w:sz w:val="24"/>
          <w:szCs w:val="24"/>
        </w:rPr>
        <w:t xml:space="preserve"> of respondents owned Android smart</w:t>
      </w:r>
      <w:r>
        <w:rPr>
          <w:rFonts w:ascii="Times New Roman" w:eastAsia="Times New Roman" w:hAnsi="Times New Roman" w:cs="Times New Roman"/>
          <w:bCs/>
          <w:sz w:val="24"/>
          <w:szCs w:val="24"/>
        </w:rPr>
        <w:t xml:space="preserve"> </w:t>
      </w:r>
      <w:r w:rsidR="003B687B" w:rsidRPr="003B687B">
        <w:rPr>
          <w:rFonts w:ascii="Times New Roman" w:eastAsia="Times New Roman" w:hAnsi="Times New Roman" w:cs="Times New Roman"/>
          <w:bCs/>
          <w:sz w:val="24"/>
          <w:szCs w:val="24"/>
        </w:rPr>
        <w:t>phones.</w:t>
      </w:r>
      <w:r w:rsidR="00623541">
        <w:rPr>
          <w:rFonts w:ascii="Times New Roman" w:eastAsia="Times New Roman" w:hAnsi="Times New Roman" w:cs="Times New Roman"/>
          <w:bCs/>
          <w:sz w:val="24"/>
          <w:szCs w:val="24"/>
        </w:rPr>
        <w:t xml:space="preserve"> </w:t>
      </w:r>
      <w:r w:rsidR="003B687B" w:rsidRPr="003B687B">
        <w:rPr>
          <w:rFonts w:ascii="Times New Roman" w:eastAsia="Times New Roman" w:hAnsi="Times New Roman" w:cs="Times New Roman"/>
          <w:bCs/>
          <w:sz w:val="24"/>
          <w:szCs w:val="24"/>
        </w:rPr>
        <w:t>Only 42</w:t>
      </w:r>
      <w:r w:rsidR="004142D5" w:rsidRPr="004142D5">
        <w:rPr>
          <w:rFonts w:ascii="Times New Roman" w:eastAsia="Times New Roman" w:hAnsi="Times New Roman" w:cs="Times New Roman"/>
          <w:bCs/>
          <w:sz w:val="24"/>
          <w:szCs w:val="24"/>
        </w:rPr>
        <w:t xml:space="preserve"> </w:t>
      </w:r>
      <w:r w:rsidR="004142D5">
        <w:rPr>
          <w:rFonts w:ascii="Times New Roman" w:eastAsia="Times New Roman" w:hAnsi="Times New Roman" w:cs="Times New Roman"/>
          <w:bCs/>
          <w:sz w:val="24"/>
          <w:szCs w:val="24"/>
        </w:rPr>
        <w:t>per cent</w:t>
      </w:r>
      <w:r w:rsidR="003B687B" w:rsidRPr="003B687B">
        <w:rPr>
          <w:rFonts w:ascii="Times New Roman" w:eastAsia="Times New Roman" w:hAnsi="Times New Roman" w:cs="Times New Roman"/>
          <w:bCs/>
          <w:sz w:val="24"/>
          <w:szCs w:val="24"/>
        </w:rPr>
        <w:t xml:space="preserve"> had installed banking applications.</w:t>
      </w:r>
      <w:r w:rsidR="0015334D">
        <w:rPr>
          <w:rFonts w:ascii="Times New Roman" w:eastAsia="Times New Roman" w:hAnsi="Times New Roman" w:cs="Times New Roman"/>
          <w:bCs/>
          <w:sz w:val="24"/>
          <w:szCs w:val="24"/>
        </w:rPr>
        <w:t xml:space="preserve"> </w:t>
      </w:r>
      <w:r w:rsidR="004142D5">
        <w:rPr>
          <w:rFonts w:ascii="Times New Roman" w:eastAsia="Times New Roman" w:hAnsi="Times New Roman" w:cs="Times New Roman"/>
          <w:bCs/>
          <w:sz w:val="24"/>
          <w:szCs w:val="24"/>
        </w:rPr>
        <w:t>A</w:t>
      </w:r>
      <w:r w:rsidR="00B65744">
        <w:rPr>
          <w:rFonts w:ascii="Times New Roman" w:eastAsia="Times New Roman" w:hAnsi="Times New Roman" w:cs="Times New Roman"/>
          <w:bCs/>
          <w:sz w:val="24"/>
          <w:szCs w:val="24"/>
        </w:rPr>
        <w:t>bout</w:t>
      </w:r>
      <w:r w:rsidR="004142D5">
        <w:rPr>
          <w:rFonts w:ascii="Times New Roman" w:eastAsia="Times New Roman" w:hAnsi="Times New Roman" w:cs="Times New Roman"/>
          <w:bCs/>
          <w:sz w:val="24"/>
          <w:szCs w:val="24"/>
        </w:rPr>
        <w:t xml:space="preserve"> </w:t>
      </w:r>
      <w:r w:rsidR="003B687B" w:rsidRPr="003B687B">
        <w:rPr>
          <w:rFonts w:ascii="Times New Roman" w:eastAsia="Times New Roman" w:hAnsi="Times New Roman" w:cs="Times New Roman"/>
          <w:bCs/>
          <w:sz w:val="24"/>
          <w:szCs w:val="24"/>
        </w:rPr>
        <w:t>56</w:t>
      </w:r>
      <w:r w:rsidR="004142D5" w:rsidRPr="004142D5">
        <w:rPr>
          <w:rFonts w:ascii="Times New Roman" w:eastAsia="Times New Roman" w:hAnsi="Times New Roman" w:cs="Times New Roman"/>
          <w:bCs/>
          <w:sz w:val="24"/>
          <w:szCs w:val="24"/>
        </w:rPr>
        <w:t xml:space="preserve"> </w:t>
      </w:r>
      <w:r w:rsidR="004142D5">
        <w:rPr>
          <w:rFonts w:ascii="Times New Roman" w:eastAsia="Times New Roman" w:hAnsi="Times New Roman" w:cs="Times New Roman"/>
          <w:bCs/>
          <w:sz w:val="24"/>
          <w:szCs w:val="24"/>
        </w:rPr>
        <w:t>per cent</w:t>
      </w:r>
      <w:r w:rsidR="003B687B" w:rsidRPr="003B687B">
        <w:rPr>
          <w:rFonts w:ascii="Times New Roman" w:eastAsia="Times New Roman" w:hAnsi="Times New Roman" w:cs="Times New Roman"/>
          <w:bCs/>
          <w:sz w:val="24"/>
          <w:szCs w:val="24"/>
        </w:rPr>
        <w:t xml:space="preserve"> were aware of mobile banking services.</w:t>
      </w:r>
      <w:r w:rsidR="00623541">
        <w:rPr>
          <w:rFonts w:ascii="Times New Roman" w:eastAsia="Times New Roman" w:hAnsi="Times New Roman" w:cs="Times New Roman"/>
          <w:bCs/>
          <w:sz w:val="24"/>
          <w:szCs w:val="24"/>
        </w:rPr>
        <w:t xml:space="preserve"> </w:t>
      </w:r>
      <w:r w:rsidR="004142D5">
        <w:rPr>
          <w:rFonts w:ascii="Times New Roman" w:eastAsia="Times New Roman" w:hAnsi="Times New Roman" w:cs="Times New Roman"/>
          <w:bCs/>
          <w:sz w:val="24"/>
          <w:szCs w:val="24"/>
        </w:rPr>
        <w:t xml:space="preserve">Almost half of the </w:t>
      </w:r>
      <w:r w:rsidR="00B65744">
        <w:rPr>
          <w:rFonts w:ascii="Times New Roman" w:eastAsia="Times New Roman" w:hAnsi="Times New Roman" w:cs="Times New Roman"/>
          <w:bCs/>
          <w:sz w:val="24"/>
          <w:szCs w:val="24"/>
        </w:rPr>
        <w:t>respondent’s</w:t>
      </w:r>
      <w:r w:rsidR="004142D5">
        <w:rPr>
          <w:rFonts w:ascii="Times New Roman" w:eastAsia="Times New Roman" w:hAnsi="Times New Roman" w:cs="Times New Roman"/>
          <w:bCs/>
          <w:sz w:val="24"/>
          <w:szCs w:val="24"/>
        </w:rPr>
        <w:t xml:space="preserve"> </w:t>
      </w:r>
      <w:proofErr w:type="spellStart"/>
      <w:r w:rsidR="004142D5">
        <w:rPr>
          <w:rFonts w:ascii="Times New Roman" w:eastAsia="Times New Roman" w:hAnsi="Times New Roman" w:cs="Times New Roman"/>
          <w:bCs/>
          <w:sz w:val="24"/>
          <w:szCs w:val="24"/>
        </w:rPr>
        <w:t>i.e</w:t>
      </w:r>
      <w:proofErr w:type="spellEnd"/>
      <w:r w:rsidR="004142D5">
        <w:rPr>
          <w:rFonts w:ascii="Times New Roman" w:eastAsia="Times New Roman" w:hAnsi="Times New Roman" w:cs="Times New Roman"/>
          <w:bCs/>
          <w:sz w:val="24"/>
          <w:szCs w:val="24"/>
        </w:rPr>
        <w:t xml:space="preserve"> </w:t>
      </w:r>
      <w:r w:rsidR="003B687B" w:rsidRPr="003B687B">
        <w:rPr>
          <w:rFonts w:ascii="Times New Roman" w:eastAsia="Times New Roman" w:hAnsi="Times New Roman" w:cs="Times New Roman"/>
          <w:bCs/>
          <w:sz w:val="24"/>
          <w:szCs w:val="24"/>
        </w:rPr>
        <w:t>49</w:t>
      </w:r>
      <w:r w:rsidR="004142D5" w:rsidRPr="004142D5">
        <w:rPr>
          <w:rFonts w:ascii="Times New Roman" w:eastAsia="Times New Roman" w:hAnsi="Times New Roman" w:cs="Times New Roman"/>
          <w:bCs/>
          <w:sz w:val="24"/>
          <w:szCs w:val="24"/>
        </w:rPr>
        <w:t xml:space="preserve"> </w:t>
      </w:r>
      <w:r w:rsidR="004142D5">
        <w:rPr>
          <w:rFonts w:ascii="Times New Roman" w:eastAsia="Times New Roman" w:hAnsi="Times New Roman" w:cs="Times New Roman"/>
          <w:bCs/>
          <w:sz w:val="24"/>
          <w:szCs w:val="24"/>
        </w:rPr>
        <w:t>per cent</w:t>
      </w:r>
      <w:r w:rsidR="003B687B" w:rsidRPr="003B687B">
        <w:rPr>
          <w:rFonts w:ascii="Times New Roman" w:eastAsia="Times New Roman" w:hAnsi="Times New Roman" w:cs="Times New Roman"/>
          <w:bCs/>
          <w:sz w:val="24"/>
          <w:szCs w:val="24"/>
        </w:rPr>
        <w:t xml:space="preserve"> of respondent</w:t>
      </w:r>
      <w:r w:rsidR="004142D5">
        <w:rPr>
          <w:rFonts w:ascii="Times New Roman" w:eastAsia="Times New Roman" w:hAnsi="Times New Roman" w:cs="Times New Roman"/>
          <w:bCs/>
          <w:sz w:val="24"/>
          <w:szCs w:val="24"/>
        </w:rPr>
        <w:t xml:space="preserve">s </w:t>
      </w:r>
      <w:r w:rsidR="008F235B">
        <w:rPr>
          <w:rFonts w:ascii="Times New Roman" w:eastAsia="Times New Roman" w:hAnsi="Times New Roman" w:cs="Times New Roman"/>
          <w:bCs/>
          <w:sz w:val="24"/>
          <w:szCs w:val="24"/>
        </w:rPr>
        <w:t>was</w:t>
      </w:r>
      <w:r w:rsidR="004142D5">
        <w:rPr>
          <w:rFonts w:ascii="Times New Roman" w:eastAsia="Times New Roman" w:hAnsi="Times New Roman" w:cs="Times New Roman"/>
          <w:bCs/>
          <w:sz w:val="24"/>
          <w:szCs w:val="24"/>
        </w:rPr>
        <w:t xml:space="preserve"> aware of internet frauds and a very meager per cent (5</w:t>
      </w:r>
      <w:r w:rsidR="003B687B" w:rsidRPr="003B687B">
        <w:rPr>
          <w:rFonts w:ascii="Times New Roman" w:eastAsia="Times New Roman" w:hAnsi="Times New Roman" w:cs="Times New Roman"/>
          <w:bCs/>
          <w:sz w:val="24"/>
          <w:szCs w:val="24"/>
        </w:rPr>
        <w:t>%</w:t>
      </w:r>
      <w:r w:rsidR="004142D5">
        <w:rPr>
          <w:rFonts w:ascii="Times New Roman" w:eastAsia="Times New Roman" w:hAnsi="Times New Roman" w:cs="Times New Roman"/>
          <w:bCs/>
          <w:sz w:val="24"/>
          <w:szCs w:val="24"/>
        </w:rPr>
        <w:t>)</w:t>
      </w:r>
      <w:r w:rsidR="003B687B" w:rsidRPr="003B687B">
        <w:rPr>
          <w:rFonts w:ascii="Times New Roman" w:eastAsia="Times New Roman" w:hAnsi="Times New Roman" w:cs="Times New Roman"/>
          <w:bCs/>
          <w:sz w:val="24"/>
          <w:szCs w:val="24"/>
        </w:rPr>
        <w:t xml:space="preserve"> had experienced financial losses due to cyber incidents.</w:t>
      </w:r>
      <w:r w:rsidR="0015334D">
        <w:rPr>
          <w:rFonts w:ascii="Times New Roman" w:eastAsia="Times New Roman" w:hAnsi="Times New Roman" w:cs="Times New Roman"/>
          <w:bCs/>
          <w:sz w:val="24"/>
          <w:szCs w:val="24"/>
        </w:rPr>
        <w:t xml:space="preserve"> </w:t>
      </w:r>
      <w:r w:rsidR="003B687B" w:rsidRPr="003B687B">
        <w:rPr>
          <w:rFonts w:ascii="Times New Roman" w:eastAsia="Times New Roman" w:hAnsi="Times New Roman" w:cs="Times New Roman"/>
          <w:bCs/>
          <w:sz w:val="24"/>
          <w:szCs w:val="24"/>
        </w:rPr>
        <w:t>UPI usage was primarily for mobile recharges, DTH payments, grocery shopping, and small transactions.</w:t>
      </w:r>
      <w:r w:rsidR="00623541">
        <w:rPr>
          <w:rFonts w:ascii="Times New Roman" w:eastAsia="Times New Roman" w:hAnsi="Times New Roman" w:cs="Times New Roman"/>
          <w:bCs/>
          <w:sz w:val="24"/>
          <w:szCs w:val="24"/>
        </w:rPr>
        <w:t xml:space="preserve"> </w:t>
      </w:r>
      <w:r w:rsidR="003B687B" w:rsidRPr="003B687B">
        <w:rPr>
          <w:rFonts w:ascii="Times New Roman" w:eastAsia="Times New Roman" w:hAnsi="Times New Roman" w:cs="Times New Roman"/>
          <w:bCs/>
          <w:sz w:val="24"/>
          <w:szCs w:val="24"/>
        </w:rPr>
        <w:t>Usage for large expenses like rent, utility bills, and investments was minimal.</w:t>
      </w:r>
    </w:p>
    <w:p w14:paraId="59863777" w14:textId="77777777" w:rsidR="00FC0185" w:rsidRPr="00623541" w:rsidRDefault="00FC0185" w:rsidP="00FC0185">
      <w:pPr>
        <w:spacing w:after="0"/>
        <w:jc w:val="both"/>
        <w:rPr>
          <w:rFonts w:ascii="Times New Roman" w:hAnsi="Times New Roman" w:cs="Times New Roman"/>
          <w:sz w:val="24"/>
          <w:szCs w:val="24"/>
        </w:rPr>
      </w:pPr>
      <w:r w:rsidRPr="00623541">
        <w:rPr>
          <w:rFonts w:ascii="Times New Roman" w:hAnsi="Times New Roman" w:cs="Times New Roman"/>
          <w:sz w:val="24"/>
          <w:szCs w:val="24"/>
        </w:rPr>
        <w:t>Table 1. Knowledge of respondents on UPI payment facility</w:t>
      </w:r>
    </w:p>
    <w:tbl>
      <w:tblPr>
        <w:tblStyle w:val="TableGrid"/>
        <w:tblW w:w="0" w:type="auto"/>
        <w:tblLook w:val="04A0" w:firstRow="1" w:lastRow="0" w:firstColumn="1" w:lastColumn="0" w:noHBand="0" w:noVBand="1"/>
      </w:tblPr>
      <w:tblGrid>
        <w:gridCol w:w="4786"/>
        <w:gridCol w:w="2126"/>
        <w:gridCol w:w="2330"/>
      </w:tblGrid>
      <w:tr w:rsidR="00FC0185" w14:paraId="691CACB8" w14:textId="77777777" w:rsidTr="00C96CC1">
        <w:tc>
          <w:tcPr>
            <w:tcW w:w="4786" w:type="dxa"/>
          </w:tcPr>
          <w:p w14:paraId="0D0AC69F" w14:textId="77777777" w:rsidR="00FC0185" w:rsidRDefault="00FC0185" w:rsidP="00C96CC1">
            <w:pPr>
              <w:jc w:val="both"/>
              <w:rPr>
                <w:rFonts w:ascii="Times New Roman" w:hAnsi="Times New Roman" w:cs="Times New Roman"/>
                <w:sz w:val="24"/>
                <w:szCs w:val="24"/>
              </w:rPr>
            </w:pPr>
            <w:r>
              <w:rPr>
                <w:rFonts w:ascii="Times New Roman" w:hAnsi="Times New Roman" w:cs="Times New Roman"/>
                <w:sz w:val="24"/>
                <w:szCs w:val="24"/>
              </w:rPr>
              <w:t>Statement</w:t>
            </w:r>
          </w:p>
          <w:p w14:paraId="717274EF" w14:textId="77777777" w:rsidR="00FC0185" w:rsidRDefault="00FC0185" w:rsidP="00C96CC1">
            <w:pPr>
              <w:jc w:val="both"/>
              <w:rPr>
                <w:rFonts w:ascii="Times New Roman" w:hAnsi="Times New Roman" w:cs="Times New Roman"/>
                <w:sz w:val="24"/>
                <w:szCs w:val="24"/>
              </w:rPr>
            </w:pPr>
          </w:p>
        </w:tc>
        <w:tc>
          <w:tcPr>
            <w:tcW w:w="2126" w:type="dxa"/>
          </w:tcPr>
          <w:p w14:paraId="4EFCF759"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Yes</w:t>
            </w:r>
          </w:p>
        </w:tc>
        <w:tc>
          <w:tcPr>
            <w:tcW w:w="2330" w:type="dxa"/>
          </w:tcPr>
          <w:p w14:paraId="59A9FB5B"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No</w:t>
            </w:r>
          </w:p>
        </w:tc>
      </w:tr>
      <w:tr w:rsidR="00FC0185" w14:paraId="1BACF368" w14:textId="77777777" w:rsidTr="00C96CC1">
        <w:tc>
          <w:tcPr>
            <w:tcW w:w="4786" w:type="dxa"/>
          </w:tcPr>
          <w:p w14:paraId="0C1B06CF" w14:textId="77777777" w:rsidR="00FC0185" w:rsidRDefault="00FC0185" w:rsidP="00C96CC1">
            <w:pPr>
              <w:jc w:val="both"/>
              <w:rPr>
                <w:rFonts w:ascii="Times New Roman" w:hAnsi="Times New Roman" w:cs="Times New Roman"/>
                <w:sz w:val="24"/>
                <w:szCs w:val="24"/>
              </w:rPr>
            </w:pPr>
            <w:r w:rsidRPr="008D7CF8">
              <w:rPr>
                <w:rFonts w:ascii="Times New Roman" w:hAnsi="Times New Roman" w:cs="Times New Roman"/>
                <w:sz w:val="24"/>
                <w:szCs w:val="24"/>
              </w:rPr>
              <w:t xml:space="preserve">Do you have </w:t>
            </w:r>
            <w:r>
              <w:rPr>
                <w:rFonts w:ascii="Times New Roman" w:hAnsi="Times New Roman" w:cs="Times New Roman"/>
                <w:sz w:val="24"/>
                <w:szCs w:val="24"/>
              </w:rPr>
              <w:t>an Android</w:t>
            </w:r>
            <w:r w:rsidRPr="008D7CF8">
              <w:rPr>
                <w:rFonts w:ascii="Times New Roman" w:hAnsi="Times New Roman" w:cs="Times New Roman"/>
                <w:sz w:val="24"/>
                <w:szCs w:val="24"/>
              </w:rPr>
              <w:t xml:space="preserve"> phone</w:t>
            </w:r>
          </w:p>
        </w:tc>
        <w:tc>
          <w:tcPr>
            <w:tcW w:w="2126" w:type="dxa"/>
          </w:tcPr>
          <w:p w14:paraId="03E0DF43"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45</w:t>
            </w:r>
          </w:p>
          <w:p w14:paraId="64E1B952"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(90.00)</w:t>
            </w:r>
          </w:p>
        </w:tc>
        <w:tc>
          <w:tcPr>
            <w:tcW w:w="2330" w:type="dxa"/>
          </w:tcPr>
          <w:p w14:paraId="428F7088"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5</w:t>
            </w:r>
          </w:p>
          <w:p w14:paraId="13DCE0E8"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(10.00)</w:t>
            </w:r>
          </w:p>
        </w:tc>
      </w:tr>
      <w:tr w:rsidR="00FC0185" w14:paraId="67B4B32F" w14:textId="77777777" w:rsidTr="00C96CC1">
        <w:tc>
          <w:tcPr>
            <w:tcW w:w="4786" w:type="dxa"/>
          </w:tcPr>
          <w:p w14:paraId="5502AF6D" w14:textId="77777777" w:rsidR="00FC0185" w:rsidRDefault="00FC0185" w:rsidP="00C96CC1">
            <w:pPr>
              <w:jc w:val="both"/>
              <w:rPr>
                <w:rFonts w:ascii="Times New Roman" w:hAnsi="Times New Roman" w:cs="Times New Roman"/>
                <w:sz w:val="24"/>
                <w:szCs w:val="24"/>
              </w:rPr>
            </w:pPr>
            <w:r w:rsidRPr="00FB0583">
              <w:rPr>
                <w:rFonts w:ascii="Times New Roman" w:hAnsi="Times New Roman" w:cs="Times New Roman"/>
                <w:sz w:val="24"/>
                <w:szCs w:val="24"/>
              </w:rPr>
              <w:t xml:space="preserve">Do you know how to use </w:t>
            </w:r>
            <w:r>
              <w:rPr>
                <w:rFonts w:ascii="Times New Roman" w:hAnsi="Times New Roman" w:cs="Times New Roman"/>
                <w:sz w:val="24"/>
                <w:szCs w:val="24"/>
              </w:rPr>
              <w:t xml:space="preserve">an </w:t>
            </w:r>
            <w:r w:rsidRPr="00FB0583">
              <w:rPr>
                <w:rFonts w:ascii="Times New Roman" w:hAnsi="Times New Roman" w:cs="Times New Roman"/>
                <w:sz w:val="24"/>
                <w:szCs w:val="24"/>
              </w:rPr>
              <w:t>android phone</w:t>
            </w:r>
          </w:p>
        </w:tc>
        <w:tc>
          <w:tcPr>
            <w:tcW w:w="2126" w:type="dxa"/>
          </w:tcPr>
          <w:p w14:paraId="6310CFD9"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41</w:t>
            </w:r>
          </w:p>
          <w:p w14:paraId="17029D36"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(82.00)</w:t>
            </w:r>
          </w:p>
        </w:tc>
        <w:tc>
          <w:tcPr>
            <w:tcW w:w="2330" w:type="dxa"/>
          </w:tcPr>
          <w:p w14:paraId="5A55F13D"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9</w:t>
            </w:r>
          </w:p>
          <w:p w14:paraId="2E149C16"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(18.00)</w:t>
            </w:r>
          </w:p>
        </w:tc>
      </w:tr>
      <w:tr w:rsidR="00FC0185" w14:paraId="527A96DF" w14:textId="77777777" w:rsidTr="00C96CC1">
        <w:tc>
          <w:tcPr>
            <w:tcW w:w="4786" w:type="dxa"/>
          </w:tcPr>
          <w:p w14:paraId="1A4AFEF3" w14:textId="77777777" w:rsidR="00FC0185" w:rsidRDefault="00FC0185" w:rsidP="00C96CC1">
            <w:pPr>
              <w:jc w:val="both"/>
              <w:rPr>
                <w:rFonts w:ascii="Times New Roman" w:hAnsi="Times New Roman" w:cs="Times New Roman"/>
                <w:sz w:val="24"/>
                <w:szCs w:val="24"/>
              </w:rPr>
            </w:pPr>
            <w:r>
              <w:rPr>
                <w:rFonts w:ascii="Times New Roman" w:hAnsi="Times New Roman" w:cs="Times New Roman"/>
                <w:sz w:val="24"/>
                <w:szCs w:val="24"/>
              </w:rPr>
              <w:t>Is any banking app installed</w:t>
            </w:r>
          </w:p>
        </w:tc>
        <w:tc>
          <w:tcPr>
            <w:tcW w:w="2126" w:type="dxa"/>
          </w:tcPr>
          <w:p w14:paraId="4A2360D5"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21</w:t>
            </w:r>
          </w:p>
          <w:p w14:paraId="4A4699D4"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(42.00)</w:t>
            </w:r>
          </w:p>
        </w:tc>
        <w:tc>
          <w:tcPr>
            <w:tcW w:w="2330" w:type="dxa"/>
          </w:tcPr>
          <w:p w14:paraId="11883AAD"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29</w:t>
            </w:r>
          </w:p>
          <w:p w14:paraId="323FBE77"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(58.00)</w:t>
            </w:r>
          </w:p>
        </w:tc>
      </w:tr>
      <w:tr w:rsidR="00FC0185" w14:paraId="159CD8C3" w14:textId="77777777" w:rsidTr="00C96CC1">
        <w:tc>
          <w:tcPr>
            <w:tcW w:w="4786" w:type="dxa"/>
          </w:tcPr>
          <w:p w14:paraId="43FAD954" w14:textId="77777777" w:rsidR="00FC0185" w:rsidRDefault="00FC0185" w:rsidP="00C96CC1">
            <w:pPr>
              <w:jc w:val="both"/>
              <w:rPr>
                <w:rFonts w:ascii="Times New Roman" w:hAnsi="Times New Roman" w:cs="Times New Roman"/>
                <w:sz w:val="24"/>
                <w:szCs w:val="24"/>
              </w:rPr>
            </w:pPr>
            <w:r>
              <w:rPr>
                <w:rFonts w:ascii="Times New Roman" w:hAnsi="Times New Roman" w:cs="Times New Roman"/>
                <w:sz w:val="24"/>
                <w:szCs w:val="24"/>
              </w:rPr>
              <w:t>Are you aware of mobile banking services</w:t>
            </w:r>
          </w:p>
        </w:tc>
        <w:tc>
          <w:tcPr>
            <w:tcW w:w="2126" w:type="dxa"/>
          </w:tcPr>
          <w:p w14:paraId="09705013"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28</w:t>
            </w:r>
          </w:p>
          <w:p w14:paraId="34BC933D"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(56.00)</w:t>
            </w:r>
          </w:p>
        </w:tc>
        <w:tc>
          <w:tcPr>
            <w:tcW w:w="2330" w:type="dxa"/>
          </w:tcPr>
          <w:p w14:paraId="416956B0"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22</w:t>
            </w:r>
          </w:p>
          <w:p w14:paraId="012F7B61"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(44.00)</w:t>
            </w:r>
          </w:p>
        </w:tc>
      </w:tr>
      <w:tr w:rsidR="00FC0185" w14:paraId="2609B107" w14:textId="77777777" w:rsidTr="00C96CC1">
        <w:tc>
          <w:tcPr>
            <w:tcW w:w="4786" w:type="dxa"/>
          </w:tcPr>
          <w:p w14:paraId="3D345DE0" w14:textId="77777777" w:rsidR="00FC0185" w:rsidRDefault="00FC0185" w:rsidP="00C96CC1">
            <w:pPr>
              <w:jc w:val="both"/>
              <w:rPr>
                <w:rFonts w:ascii="Times New Roman" w:hAnsi="Times New Roman" w:cs="Times New Roman"/>
                <w:sz w:val="24"/>
                <w:szCs w:val="24"/>
              </w:rPr>
            </w:pPr>
            <w:r>
              <w:rPr>
                <w:rFonts w:ascii="Times New Roman" w:hAnsi="Times New Roman" w:cs="Times New Roman"/>
                <w:sz w:val="24"/>
                <w:szCs w:val="24"/>
              </w:rPr>
              <w:t>Do you think mobile banking is safe</w:t>
            </w:r>
          </w:p>
        </w:tc>
        <w:tc>
          <w:tcPr>
            <w:tcW w:w="2126" w:type="dxa"/>
          </w:tcPr>
          <w:p w14:paraId="1D021FB9"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24</w:t>
            </w:r>
          </w:p>
          <w:p w14:paraId="7587C6FC"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(48.00)</w:t>
            </w:r>
          </w:p>
        </w:tc>
        <w:tc>
          <w:tcPr>
            <w:tcW w:w="2330" w:type="dxa"/>
          </w:tcPr>
          <w:p w14:paraId="74E99606"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26</w:t>
            </w:r>
          </w:p>
          <w:p w14:paraId="402D5459"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(52.00)</w:t>
            </w:r>
          </w:p>
        </w:tc>
      </w:tr>
      <w:tr w:rsidR="00FC0185" w14:paraId="3E9DDA0E" w14:textId="77777777" w:rsidTr="00C96CC1">
        <w:tc>
          <w:tcPr>
            <w:tcW w:w="4786" w:type="dxa"/>
          </w:tcPr>
          <w:p w14:paraId="5CD91316" w14:textId="77777777" w:rsidR="00FC0185" w:rsidRDefault="00FC0185" w:rsidP="00C96CC1">
            <w:pPr>
              <w:jc w:val="both"/>
              <w:rPr>
                <w:rFonts w:ascii="Times New Roman" w:hAnsi="Times New Roman" w:cs="Times New Roman"/>
                <w:sz w:val="24"/>
                <w:szCs w:val="24"/>
              </w:rPr>
            </w:pPr>
            <w:r>
              <w:rPr>
                <w:rFonts w:ascii="Times New Roman" w:hAnsi="Times New Roman" w:cs="Times New Roman"/>
                <w:sz w:val="24"/>
                <w:szCs w:val="24"/>
              </w:rPr>
              <w:t>Do you think mobile banking benefits you</w:t>
            </w:r>
          </w:p>
        </w:tc>
        <w:tc>
          <w:tcPr>
            <w:tcW w:w="2126" w:type="dxa"/>
          </w:tcPr>
          <w:p w14:paraId="0EBE2004"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26</w:t>
            </w:r>
          </w:p>
          <w:p w14:paraId="2EDEF7F2"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(52.00)</w:t>
            </w:r>
          </w:p>
        </w:tc>
        <w:tc>
          <w:tcPr>
            <w:tcW w:w="2330" w:type="dxa"/>
          </w:tcPr>
          <w:p w14:paraId="3ADAC51F"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24</w:t>
            </w:r>
          </w:p>
          <w:p w14:paraId="75C917AA" w14:textId="77777777" w:rsidR="00FC0185" w:rsidRDefault="00FC0185" w:rsidP="00C96CC1">
            <w:pPr>
              <w:jc w:val="center"/>
              <w:rPr>
                <w:rFonts w:ascii="Times New Roman" w:hAnsi="Times New Roman" w:cs="Times New Roman"/>
                <w:sz w:val="24"/>
                <w:szCs w:val="24"/>
              </w:rPr>
            </w:pPr>
            <w:r>
              <w:rPr>
                <w:rFonts w:ascii="Times New Roman" w:hAnsi="Times New Roman" w:cs="Times New Roman"/>
                <w:sz w:val="24"/>
                <w:szCs w:val="24"/>
              </w:rPr>
              <w:t>(48.00)</w:t>
            </w:r>
          </w:p>
        </w:tc>
      </w:tr>
    </w:tbl>
    <w:p w14:paraId="48C32A52" w14:textId="77777777" w:rsidR="00FC0185" w:rsidRDefault="00FC0185" w:rsidP="00FC0185">
      <w:pPr>
        <w:jc w:val="both"/>
        <w:rPr>
          <w:rFonts w:ascii="Times New Roman" w:hAnsi="Times New Roman" w:cs="Times New Roman"/>
          <w:sz w:val="24"/>
          <w:szCs w:val="24"/>
        </w:rPr>
      </w:pPr>
    </w:p>
    <w:p w14:paraId="023B6076" w14:textId="77777777" w:rsidR="003B687B" w:rsidRPr="003B687B" w:rsidRDefault="003B687B" w:rsidP="0015334D">
      <w:pPr>
        <w:spacing w:after="0" w:line="360" w:lineRule="auto"/>
        <w:jc w:val="both"/>
        <w:rPr>
          <w:rFonts w:ascii="Times New Roman" w:eastAsia="Times New Roman" w:hAnsi="Times New Roman" w:cs="Times New Roman"/>
          <w:b/>
          <w:bCs/>
          <w:sz w:val="24"/>
          <w:szCs w:val="24"/>
        </w:rPr>
      </w:pPr>
      <w:r w:rsidRPr="003B687B">
        <w:rPr>
          <w:rFonts w:ascii="Times New Roman" w:eastAsia="Times New Roman" w:hAnsi="Times New Roman" w:cs="Times New Roman"/>
          <w:b/>
          <w:bCs/>
          <w:sz w:val="24"/>
          <w:szCs w:val="24"/>
        </w:rPr>
        <w:t>4.3 Statistical Analysis</w:t>
      </w:r>
    </w:p>
    <w:p w14:paraId="3AF04C16" w14:textId="77777777" w:rsidR="003B687B" w:rsidRDefault="003B687B" w:rsidP="003C69B9">
      <w:pPr>
        <w:spacing w:after="0" w:line="360" w:lineRule="auto"/>
        <w:ind w:firstLine="720"/>
        <w:jc w:val="both"/>
        <w:rPr>
          <w:rFonts w:ascii="Times New Roman" w:eastAsia="Times New Roman" w:hAnsi="Times New Roman" w:cs="Times New Roman"/>
          <w:bCs/>
          <w:sz w:val="24"/>
          <w:szCs w:val="24"/>
        </w:rPr>
      </w:pPr>
      <w:r w:rsidRPr="003B687B">
        <w:rPr>
          <w:rFonts w:ascii="Times New Roman" w:eastAsia="Times New Roman" w:hAnsi="Times New Roman" w:cs="Times New Roman"/>
          <w:bCs/>
          <w:sz w:val="24"/>
          <w:szCs w:val="24"/>
        </w:rPr>
        <w:t>Educational Level and UPI Usage: The t-test showed no significant difference in UPI usage between respondents with lower education levels and those with higher qualifications</w:t>
      </w:r>
      <w:r w:rsidR="00793D5B">
        <w:rPr>
          <w:rFonts w:ascii="Times New Roman" w:eastAsia="Times New Roman" w:hAnsi="Times New Roman" w:cs="Times New Roman"/>
          <w:bCs/>
          <w:sz w:val="24"/>
          <w:szCs w:val="24"/>
        </w:rPr>
        <w:t xml:space="preserve"> (Table 2)</w:t>
      </w:r>
      <w:r w:rsidRPr="003B687B">
        <w:rPr>
          <w:rFonts w:ascii="Times New Roman" w:eastAsia="Times New Roman" w:hAnsi="Times New Roman" w:cs="Times New Roman"/>
          <w:bCs/>
          <w:sz w:val="24"/>
          <w:szCs w:val="24"/>
        </w:rPr>
        <w:t>.</w:t>
      </w:r>
      <w:r w:rsidR="00421056">
        <w:rPr>
          <w:rFonts w:ascii="Times New Roman" w:eastAsia="Times New Roman" w:hAnsi="Times New Roman" w:cs="Times New Roman"/>
          <w:bCs/>
          <w:sz w:val="24"/>
          <w:szCs w:val="24"/>
        </w:rPr>
        <w:t xml:space="preserve"> </w:t>
      </w:r>
      <w:r w:rsidRPr="003B687B">
        <w:rPr>
          <w:rFonts w:ascii="Times New Roman" w:eastAsia="Times New Roman" w:hAnsi="Times New Roman" w:cs="Times New Roman"/>
          <w:bCs/>
          <w:sz w:val="24"/>
          <w:szCs w:val="24"/>
        </w:rPr>
        <w:t>Preference for UPI Usage</w:t>
      </w:r>
      <w:r w:rsidR="00793D5B">
        <w:rPr>
          <w:rFonts w:ascii="Times New Roman" w:eastAsia="Times New Roman" w:hAnsi="Times New Roman" w:cs="Times New Roman"/>
          <w:bCs/>
          <w:sz w:val="24"/>
          <w:szCs w:val="24"/>
        </w:rPr>
        <w:t xml:space="preserve"> (Table 3)</w:t>
      </w:r>
      <w:r w:rsidRPr="003B687B">
        <w:rPr>
          <w:rFonts w:ascii="Times New Roman" w:eastAsia="Times New Roman" w:hAnsi="Times New Roman" w:cs="Times New Roman"/>
          <w:bCs/>
          <w:sz w:val="24"/>
          <w:szCs w:val="24"/>
        </w:rPr>
        <w:t>: Garret ranking revealed mobile recharge as the top use, followed by DTH payments, grocery shopping, general shopping, vegetable purchases, rent payments, electricity bills, and loan repayments.</w:t>
      </w:r>
    </w:p>
    <w:p w14:paraId="2FA3AAD5" w14:textId="77777777" w:rsidR="00FC0185" w:rsidRPr="00623541" w:rsidRDefault="00FC0185" w:rsidP="00FC0185">
      <w:pPr>
        <w:spacing w:after="0"/>
        <w:jc w:val="both"/>
        <w:rPr>
          <w:rFonts w:ascii="Times New Roman" w:hAnsi="Times New Roman" w:cs="Times New Roman"/>
          <w:sz w:val="24"/>
          <w:szCs w:val="24"/>
        </w:rPr>
      </w:pPr>
      <w:r w:rsidRPr="00623541">
        <w:rPr>
          <w:rFonts w:ascii="Times New Roman" w:hAnsi="Times New Roman" w:cs="Times New Roman"/>
          <w:sz w:val="24"/>
          <w:szCs w:val="24"/>
        </w:rPr>
        <w:t>Table 2. t-test value for usage of UPI payment facility</w:t>
      </w:r>
    </w:p>
    <w:tbl>
      <w:tblPr>
        <w:tblStyle w:val="TableGrid"/>
        <w:tblW w:w="0" w:type="auto"/>
        <w:tblLook w:val="04A0" w:firstRow="1" w:lastRow="0" w:firstColumn="1" w:lastColumn="0" w:noHBand="0" w:noVBand="1"/>
      </w:tblPr>
      <w:tblGrid>
        <w:gridCol w:w="2802"/>
        <w:gridCol w:w="2126"/>
        <w:gridCol w:w="2003"/>
        <w:gridCol w:w="2311"/>
      </w:tblGrid>
      <w:tr w:rsidR="00FC0185" w:rsidRPr="006F7517" w14:paraId="2E54DD34" w14:textId="77777777" w:rsidTr="00C96CC1">
        <w:tc>
          <w:tcPr>
            <w:tcW w:w="2802" w:type="dxa"/>
          </w:tcPr>
          <w:p w14:paraId="34DD78C2" w14:textId="77777777" w:rsidR="00FC0185" w:rsidRPr="006F7517" w:rsidRDefault="00FC0185" w:rsidP="00C96CC1">
            <w:pPr>
              <w:jc w:val="center"/>
              <w:rPr>
                <w:rFonts w:ascii="Times New Roman" w:hAnsi="Times New Roman" w:cs="Times New Roman"/>
                <w:b/>
                <w:sz w:val="24"/>
                <w:szCs w:val="24"/>
              </w:rPr>
            </w:pPr>
            <w:r w:rsidRPr="006F7517">
              <w:rPr>
                <w:rFonts w:ascii="Times New Roman" w:hAnsi="Times New Roman"/>
                <w:b/>
                <w:bCs/>
                <w:sz w:val="24"/>
                <w:szCs w:val="24"/>
              </w:rPr>
              <w:t>Details</w:t>
            </w:r>
          </w:p>
        </w:tc>
        <w:tc>
          <w:tcPr>
            <w:tcW w:w="2126" w:type="dxa"/>
          </w:tcPr>
          <w:p w14:paraId="2F6E79FA" w14:textId="77777777" w:rsidR="00FC0185" w:rsidRPr="006F7517" w:rsidRDefault="00FC0185" w:rsidP="00C96CC1">
            <w:pPr>
              <w:spacing w:before="40" w:after="40"/>
              <w:jc w:val="center"/>
              <w:rPr>
                <w:rFonts w:ascii="Times New Roman" w:hAnsi="Times New Roman"/>
                <w:b/>
                <w:bCs/>
                <w:sz w:val="24"/>
                <w:szCs w:val="24"/>
              </w:rPr>
            </w:pPr>
            <w:r w:rsidRPr="006F7517">
              <w:rPr>
                <w:rFonts w:ascii="Times New Roman" w:hAnsi="Times New Roman"/>
                <w:b/>
                <w:bCs/>
                <w:sz w:val="24"/>
                <w:szCs w:val="24"/>
              </w:rPr>
              <w:t>Mean</w:t>
            </w:r>
          </w:p>
        </w:tc>
        <w:tc>
          <w:tcPr>
            <w:tcW w:w="2003" w:type="dxa"/>
          </w:tcPr>
          <w:p w14:paraId="3C4A3AF2" w14:textId="77777777" w:rsidR="00FC0185" w:rsidRPr="006F7517" w:rsidRDefault="00FC0185" w:rsidP="00C96CC1">
            <w:pPr>
              <w:spacing w:before="40" w:after="40"/>
              <w:jc w:val="center"/>
              <w:rPr>
                <w:rFonts w:ascii="Times New Roman" w:hAnsi="Times New Roman"/>
                <w:b/>
                <w:bCs/>
                <w:sz w:val="24"/>
                <w:szCs w:val="24"/>
              </w:rPr>
            </w:pPr>
            <w:r w:rsidRPr="006F7517">
              <w:rPr>
                <w:rFonts w:ascii="Times New Roman" w:hAnsi="Times New Roman"/>
                <w:b/>
                <w:bCs/>
                <w:sz w:val="24"/>
                <w:szCs w:val="24"/>
              </w:rPr>
              <w:t>S.D</w:t>
            </w:r>
          </w:p>
        </w:tc>
        <w:tc>
          <w:tcPr>
            <w:tcW w:w="2311" w:type="dxa"/>
          </w:tcPr>
          <w:p w14:paraId="06C42890" w14:textId="77777777" w:rsidR="00FC0185" w:rsidRPr="006F7517" w:rsidRDefault="00FC0185" w:rsidP="00C96CC1">
            <w:pPr>
              <w:jc w:val="center"/>
              <w:rPr>
                <w:rFonts w:ascii="Times New Roman" w:hAnsi="Times New Roman" w:cs="Times New Roman"/>
                <w:b/>
                <w:sz w:val="24"/>
                <w:szCs w:val="24"/>
              </w:rPr>
            </w:pPr>
            <w:r w:rsidRPr="006F7517">
              <w:rPr>
                <w:rFonts w:ascii="Times New Roman" w:hAnsi="Times New Roman" w:cs="Times New Roman"/>
                <w:b/>
                <w:sz w:val="24"/>
                <w:szCs w:val="24"/>
              </w:rPr>
              <w:t>t-value</w:t>
            </w:r>
          </w:p>
        </w:tc>
      </w:tr>
      <w:tr w:rsidR="00FC0185" w:rsidRPr="006F7517" w14:paraId="0D807ECA" w14:textId="77777777" w:rsidTr="00C96CC1">
        <w:tc>
          <w:tcPr>
            <w:tcW w:w="2802" w:type="dxa"/>
          </w:tcPr>
          <w:p w14:paraId="08B6D2E9" w14:textId="77777777" w:rsidR="00FC0185" w:rsidRPr="006F7517" w:rsidRDefault="00FC0185" w:rsidP="00C96CC1">
            <w:pPr>
              <w:jc w:val="center"/>
              <w:rPr>
                <w:rFonts w:ascii="Times New Roman" w:hAnsi="Times New Roman"/>
                <w:bCs/>
                <w:sz w:val="24"/>
                <w:szCs w:val="24"/>
              </w:rPr>
            </w:pPr>
          </w:p>
          <w:p w14:paraId="68C5DEE7" w14:textId="77777777" w:rsidR="00FC0185" w:rsidRPr="006F7517" w:rsidRDefault="00FC0185" w:rsidP="00C96CC1">
            <w:pPr>
              <w:jc w:val="center"/>
              <w:rPr>
                <w:rFonts w:ascii="Times New Roman" w:hAnsi="Times New Roman" w:cs="Times New Roman"/>
                <w:sz w:val="24"/>
                <w:szCs w:val="24"/>
              </w:rPr>
            </w:pPr>
            <w:r>
              <w:rPr>
                <w:rFonts w:ascii="Times New Roman" w:hAnsi="Times New Roman"/>
                <w:bCs/>
                <w:sz w:val="24"/>
                <w:szCs w:val="24"/>
              </w:rPr>
              <w:t>Low/No Education</w:t>
            </w:r>
          </w:p>
        </w:tc>
        <w:tc>
          <w:tcPr>
            <w:tcW w:w="2126" w:type="dxa"/>
          </w:tcPr>
          <w:p w14:paraId="0A052ED8" w14:textId="77777777" w:rsidR="00FC0185" w:rsidRPr="006F7517" w:rsidRDefault="00FC0185" w:rsidP="00C96CC1">
            <w:pPr>
              <w:jc w:val="center"/>
              <w:rPr>
                <w:rFonts w:ascii="Times New Roman" w:hAnsi="Times New Roman" w:cs="Times New Roman"/>
                <w:sz w:val="24"/>
                <w:szCs w:val="24"/>
              </w:rPr>
            </w:pPr>
          </w:p>
          <w:p w14:paraId="03E2CFAB"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9.80</w:t>
            </w:r>
          </w:p>
        </w:tc>
        <w:tc>
          <w:tcPr>
            <w:tcW w:w="2003" w:type="dxa"/>
          </w:tcPr>
          <w:p w14:paraId="2F457344" w14:textId="77777777" w:rsidR="00FC0185" w:rsidRPr="006F7517" w:rsidRDefault="00FC0185" w:rsidP="00C96CC1">
            <w:pPr>
              <w:jc w:val="center"/>
              <w:rPr>
                <w:rFonts w:ascii="Times New Roman" w:hAnsi="Times New Roman" w:cs="Times New Roman"/>
                <w:sz w:val="24"/>
                <w:szCs w:val="24"/>
              </w:rPr>
            </w:pPr>
          </w:p>
          <w:p w14:paraId="1663CE9F"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3.302</w:t>
            </w:r>
          </w:p>
        </w:tc>
        <w:tc>
          <w:tcPr>
            <w:tcW w:w="2311" w:type="dxa"/>
            <w:vMerge w:val="restart"/>
          </w:tcPr>
          <w:p w14:paraId="0DFA7837" w14:textId="77777777" w:rsidR="00FC0185" w:rsidRPr="006F7517" w:rsidRDefault="00FC0185" w:rsidP="00C96CC1">
            <w:pPr>
              <w:jc w:val="center"/>
              <w:rPr>
                <w:rFonts w:ascii="Times New Roman" w:hAnsi="Times New Roman" w:cs="Times New Roman"/>
                <w:sz w:val="24"/>
                <w:szCs w:val="24"/>
              </w:rPr>
            </w:pPr>
          </w:p>
          <w:p w14:paraId="5CE29046" w14:textId="77777777" w:rsidR="00FC0185" w:rsidRDefault="00FC0185" w:rsidP="00C96CC1">
            <w:pPr>
              <w:spacing w:before="40" w:after="40"/>
              <w:jc w:val="center"/>
              <w:rPr>
                <w:rFonts w:ascii="Times New Roman" w:hAnsi="Times New Roman"/>
                <w:sz w:val="24"/>
                <w:szCs w:val="24"/>
              </w:rPr>
            </w:pPr>
          </w:p>
          <w:p w14:paraId="7AC5B367" w14:textId="77777777" w:rsidR="00FC0185" w:rsidRPr="006F7517" w:rsidRDefault="00FC0185" w:rsidP="00FC0185">
            <w:pPr>
              <w:spacing w:before="40" w:after="40"/>
              <w:jc w:val="center"/>
              <w:rPr>
                <w:rFonts w:ascii="Times New Roman" w:hAnsi="Times New Roman" w:cs="Times New Roman"/>
                <w:sz w:val="24"/>
                <w:szCs w:val="24"/>
              </w:rPr>
            </w:pPr>
            <w:r w:rsidRPr="006F7517">
              <w:rPr>
                <w:rFonts w:ascii="Times New Roman" w:hAnsi="Times New Roman"/>
                <w:sz w:val="24"/>
                <w:szCs w:val="24"/>
              </w:rPr>
              <w:t>0.166</w:t>
            </w:r>
            <w:r w:rsidRPr="006F7517">
              <w:rPr>
                <w:rFonts w:ascii="Times New Roman" w:hAnsi="Times New Roman"/>
                <w:sz w:val="24"/>
                <w:szCs w:val="24"/>
                <w:vertAlign w:val="superscript"/>
              </w:rPr>
              <w:t>N.S</w:t>
            </w:r>
          </w:p>
        </w:tc>
      </w:tr>
      <w:tr w:rsidR="00FC0185" w:rsidRPr="006F7517" w14:paraId="2DC05E63" w14:textId="77777777" w:rsidTr="00C96CC1">
        <w:tc>
          <w:tcPr>
            <w:tcW w:w="2802" w:type="dxa"/>
          </w:tcPr>
          <w:p w14:paraId="158CD557" w14:textId="77777777" w:rsidR="00FC0185" w:rsidRPr="006F7517" w:rsidRDefault="00FC0185" w:rsidP="00C96CC1">
            <w:pPr>
              <w:jc w:val="center"/>
              <w:rPr>
                <w:rFonts w:ascii="Times New Roman" w:hAnsi="Times New Roman"/>
                <w:bCs/>
                <w:sz w:val="24"/>
                <w:szCs w:val="24"/>
              </w:rPr>
            </w:pPr>
          </w:p>
          <w:p w14:paraId="56E128CB" w14:textId="77777777" w:rsidR="00FC0185" w:rsidRPr="006F7517" w:rsidRDefault="00FC0185" w:rsidP="00C96CC1">
            <w:pPr>
              <w:jc w:val="center"/>
              <w:rPr>
                <w:rFonts w:ascii="Times New Roman" w:hAnsi="Times New Roman" w:cs="Times New Roman"/>
                <w:sz w:val="24"/>
                <w:szCs w:val="24"/>
              </w:rPr>
            </w:pPr>
            <w:r>
              <w:rPr>
                <w:rFonts w:ascii="Times New Roman" w:hAnsi="Times New Roman"/>
                <w:bCs/>
                <w:sz w:val="24"/>
                <w:szCs w:val="24"/>
              </w:rPr>
              <w:t>Higher Education</w:t>
            </w:r>
          </w:p>
        </w:tc>
        <w:tc>
          <w:tcPr>
            <w:tcW w:w="2126" w:type="dxa"/>
          </w:tcPr>
          <w:p w14:paraId="16E6EACF" w14:textId="77777777" w:rsidR="00FC0185" w:rsidRPr="006F7517" w:rsidRDefault="00FC0185" w:rsidP="00C96CC1">
            <w:pPr>
              <w:jc w:val="center"/>
              <w:rPr>
                <w:rFonts w:ascii="Times New Roman" w:hAnsi="Times New Roman" w:cs="Times New Roman"/>
                <w:sz w:val="24"/>
                <w:szCs w:val="24"/>
              </w:rPr>
            </w:pPr>
          </w:p>
          <w:p w14:paraId="33CAD2BA"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9.60</w:t>
            </w:r>
          </w:p>
        </w:tc>
        <w:tc>
          <w:tcPr>
            <w:tcW w:w="2003" w:type="dxa"/>
          </w:tcPr>
          <w:p w14:paraId="07030702" w14:textId="77777777" w:rsidR="00FC0185" w:rsidRPr="006F7517" w:rsidRDefault="00FC0185" w:rsidP="00C96CC1">
            <w:pPr>
              <w:jc w:val="center"/>
              <w:rPr>
                <w:rFonts w:ascii="Times New Roman" w:hAnsi="Times New Roman" w:cs="Times New Roman"/>
                <w:sz w:val="24"/>
                <w:szCs w:val="24"/>
              </w:rPr>
            </w:pPr>
          </w:p>
          <w:p w14:paraId="1A309E9D"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2.633</w:t>
            </w:r>
          </w:p>
        </w:tc>
        <w:tc>
          <w:tcPr>
            <w:tcW w:w="2311" w:type="dxa"/>
            <w:vMerge/>
          </w:tcPr>
          <w:p w14:paraId="56419A11" w14:textId="77777777" w:rsidR="00FC0185" w:rsidRPr="006F7517" w:rsidRDefault="00FC0185" w:rsidP="00C96CC1">
            <w:pPr>
              <w:jc w:val="center"/>
              <w:rPr>
                <w:rFonts w:ascii="Times New Roman" w:hAnsi="Times New Roman" w:cs="Times New Roman"/>
                <w:sz w:val="24"/>
                <w:szCs w:val="24"/>
              </w:rPr>
            </w:pPr>
          </w:p>
        </w:tc>
      </w:tr>
    </w:tbl>
    <w:p w14:paraId="47F1B822" w14:textId="77777777" w:rsidR="00FC0185" w:rsidRDefault="00FC0185" w:rsidP="00FC0185">
      <w:pPr>
        <w:jc w:val="both"/>
        <w:rPr>
          <w:rFonts w:ascii="Times New Roman" w:hAnsi="Times New Roman" w:cs="Times New Roman"/>
          <w:sz w:val="24"/>
          <w:szCs w:val="24"/>
        </w:rPr>
      </w:pPr>
    </w:p>
    <w:p w14:paraId="1F31C4B9" w14:textId="77777777" w:rsidR="00FC0185" w:rsidRPr="00623541" w:rsidRDefault="00FC0185" w:rsidP="00FC0185">
      <w:pPr>
        <w:spacing w:after="0"/>
        <w:jc w:val="both"/>
        <w:rPr>
          <w:rFonts w:ascii="Times New Roman" w:hAnsi="Times New Roman" w:cs="Times New Roman"/>
          <w:sz w:val="24"/>
          <w:szCs w:val="24"/>
        </w:rPr>
      </w:pPr>
      <w:r w:rsidRPr="00623541">
        <w:rPr>
          <w:rFonts w:ascii="Times New Roman" w:hAnsi="Times New Roman" w:cs="Times New Roman"/>
          <w:sz w:val="24"/>
          <w:szCs w:val="24"/>
        </w:rPr>
        <w:t xml:space="preserve">Table. 3 Preference of UPI for different payment purposes </w:t>
      </w:r>
    </w:p>
    <w:tbl>
      <w:tblPr>
        <w:tblStyle w:val="TableGrid"/>
        <w:tblW w:w="4867" w:type="pct"/>
        <w:tblLook w:val="04A0" w:firstRow="1" w:lastRow="0" w:firstColumn="1" w:lastColumn="0" w:noHBand="0" w:noVBand="1"/>
      </w:tblPr>
      <w:tblGrid>
        <w:gridCol w:w="3191"/>
        <w:gridCol w:w="3192"/>
        <w:gridCol w:w="2938"/>
      </w:tblGrid>
      <w:tr w:rsidR="00FC0185" w14:paraId="0817EC12" w14:textId="77777777" w:rsidTr="00C96CC1">
        <w:tc>
          <w:tcPr>
            <w:tcW w:w="1712" w:type="pct"/>
          </w:tcPr>
          <w:p w14:paraId="5354B4EA" w14:textId="77777777" w:rsidR="00FC0185" w:rsidRPr="006F7517" w:rsidRDefault="00FC0185" w:rsidP="00FC0185">
            <w:pPr>
              <w:jc w:val="center"/>
              <w:rPr>
                <w:rFonts w:ascii="Times New Roman" w:hAnsi="Times New Roman" w:cs="Times New Roman"/>
                <w:b/>
                <w:sz w:val="24"/>
                <w:szCs w:val="24"/>
              </w:rPr>
            </w:pPr>
            <w:r w:rsidRPr="006F7517">
              <w:rPr>
                <w:rFonts w:ascii="Times New Roman" w:hAnsi="Times New Roman" w:cs="Times New Roman"/>
                <w:b/>
                <w:sz w:val="24"/>
                <w:szCs w:val="24"/>
              </w:rPr>
              <w:t>Payment type</w:t>
            </w:r>
          </w:p>
          <w:p w14:paraId="73AD4853" w14:textId="77777777" w:rsidR="00FC0185" w:rsidRPr="006F7517" w:rsidRDefault="00FC0185" w:rsidP="00C96CC1">
            <w:pPr>
              <w:jc w:val="center"/>
              <w:rPr>
                <w:rFonts w:ascii="Times New Roman" w:hAnsi="Times New Roman" w:cs="Times New Roman"/>
                <w:b/>
                <w:sz w:val="24"/>
                <w:szCs w:val="24"/>
              </w:rPr>
            </w:pPr>
          </w:p>
        </w:tc>
        <w:tc>
          <w:tcPr>
            <w:tcW w:w="1712" w:type="pct"/>
          </w:tcPr>
          <w:p w14:paraId="59BC97C1" w14:textId="77777777" w:rsidR="00FC0185" w:rsidRPr="006F7517" w:rsidRDefault="00FC0185" w:rsidP="00C96CC1">
            <w:pPr>
              <w:jc w:val="center"/>
              <w:rPr>
                <w:rFonts w:ascii="Times New Roman" w:hAnsi="Times New Roman" w:cs="Times New Roman"/>
                <w:b/>
                <w:sz w:val="24"/>
                <w:szCs w:val="24"/>
              </w:rPr>
            </w:pPr>
            <w:r w:rsidRPr="006F7517">
              <w:rPr>
                <w:rFonts w:ascii="Times New Roman" w:hAnsi="Times New Roman" w:cs="Times New Roman"/>
                <w:b/>
                <w:sz w:val="24"/>
                <w:szCs w:val="24"/>
              </w:rPr>
              <w:t>Mean</w:t>
            </w:r>
          </w:p>
        </w:tc>
        <w:tc>
          <w:tcPr>
            <w:tcW w:w="1576" w:type="pct"/>
          </w:tcPr>
          <w:p w14:paraId="3316ADD7" w14:textId="77777777" w:rsidR="00FC0185" w:rsidRPr="006F7517" w:rsidRDefault="00FC0185" w:rsidP="00C96CC1">
            <w:pPr>
              <w:jc w:val="center"/>
              <w:rPr>
                <w:rFonts w:ascii="Times New Roman" w:hAnsi="Times New Roman" w:cs="Times New Roman"/>
                <w:b/>
                <w:sz w:val="24"/>
                <w:szCs w:val="24"/>
              </w:rPr>
            </w:pPr>
            <w:r w:rsidRPr="006F7517">
              <w:rPr>
                <w:rFonts w:ascii="Times New Roman" w:hAnsi="Times New Roman" w:cs="Times New Roman"/>
                <w:b/>
                <w:sz w:val="24"/>
                <w:szCs w:val="24"/>
              </w:rPr>
              <w:t>Rank</w:t>
            </w:r>
          </w:p>
        </w:tc>
      </w:tr>
      <w:tr w:rsidR="00FC0185" w14:paraId="460F1ACE" w14:textId="77777777" w:rsidTr="008F235B">
        <w:trPr>
          <w:trHeight w:val="386"/>
        </w:trPr>
        <w:tc>
          <w:tcPr>
            <w:tcW w:w="1712" w:type="pct"/>
          </w:tcPr>
          <w:p w14:paraId="18C835A6" w14:textId="77777777" w:rsidR="00FC0185" w:rsidRPr="006F7517" w:rsidRDefault="00FC0185" w:rsidP="00C96CC1">
            <w:pPr>
              <w:pStyle w:val="ListParagraph"/>
              <w:ind w:left="0"/>
              <w:jc w:val="center"/>
              <w:rPr>
                <w:rFonts w:ascii="Times New Roman" w:hAnsi="Times New Roman" w:cs="Times New Roman"/>
                <w:sz w:val="24"/>
                <w:szCs w:val="24"/>
              </w:rPr>
            </w:pPr>
            <w:r w:rsidRPr="006F7517">
              <w:rPr>
                <w:rFonts w:ascii="Times New Roman" w:hAnsi="Times New Roman" w:cs="Times New Roman"/>
                <w:sz w:val="24"/>
                <w:szCs w:val="24"/>
              </w:rPr>
              <w:t>DTH</w:t>
            </w:r>
          </w:p>
        </w:tc>
        <w:tc>
          <w:tcPr>
            <w:tcW w:w="1712" w:type="pct"/>
          </w:tcPr>
          <w:p w14:paraId="53BEE33E" w14:textId="77777777" w:rsidR="00FC0185" w:rsidRPr="006F7517" w:rsidRDefault="00FC0185" w:rsidP="008F235B">
            <w:pPr>
              <w:jc w:val="center"/>
              <w:rPr>
                <w:rFonts w:ascii="Times New Roman" w:hAnsi="Times New Roman" w:cs="Times New Roman"/>
                <w:sz w:val="24"/>
                <w:szCs w:val="24"/>
              </w:rPr>
            </w:pPr>
            <w:r w:rsidRPr="006F7517">
              <w:rPr>
                <w:rFonts w:ascii="Times New Roman" w:hAnsi="Times New Roman" w:cs="Times New Roman"/>
                <w:color w:val="000000"/>
                <w:sz w:val="24"/>
                <w:szCs w:val="24"/>
              </w:rPr>
              <w:t>66.13793</w:t>
            </w:r>
          </w:p>
        </w:tc>
        <w:tc>
          <w:tcPr>
            <w:tcW w:w="1576" w:type="pct"/>
          </w:tcPr>
          <w:p w14:paraId="5D20955E"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2</w:t>
            </w:r>
          </w:p>
        </w:tc>
      </w:tr>
      <w:tr w:rsidR="00FC0185" w14:paraId="1CE52D98" w14:textId="77777777" w:rsidTr="00C96CC1">
        <w:tc>
          <w:tcPr>
            <w:tcW w:w="1712" w:type="pct"/>
          </w:tcPr>
          <w:p w14:paraId="4C841AA4" w14:textId="77777777" w:rsidR="00FC0185" w:rsidRPr="006F7517" w:rsidRDefault="00FC0185" w:rsidP="00C96CC1">
            <w:pPr>
              <w:pStyle w:val="ListParagraph"/>
              <w:ind w:left="0"/>
              <w:jc w:val="center"/>
              <w:rPr>
                <w:rFonts w:ascii="Times New Roman" w:hAnsi="Times New Roman" w:cs="Times New Roman"/>
                <w:sz w:val="24"/>
                <w:szCs w:val="24"/>
              </w:rPr>
            </w:pPr>
            <w:r w:rsidRPr="006F7517">
              <w:rPr>
                <w:rFonts w:ascii="Times New Roman" w:hAnsi="Times New Roman" w:cs="Times New Roman"/>
                <w:sz w:val="24"/>
                <w:szCs w:val="24"/>
              </w:rPr>
              <w:t xml:space="preserve">Mobile </w:t>
            </w:r>
            <w:r>
              <w:rPr>
                <w:rFonts w:ascii="Times New Roman" w:hAnsi="Times New Roman" w:cs="Times New Roman"/>
                <w:sz w:val="24"/>
                <w:szCs w:val="24"/>
              </w:rPr>
              <w:t>Recharge</w:t>
            </w:r>
          </w:p>
        </w:tc>
        <w:tc>
          <w:tcPr>
            <w:tcW w:w="1712" w:type="pct"/>
          </w:tcPr>
          <w:p w14:paraId="02FEDC33"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68.4139</w:t>
            </w:r>
          </w:p>
        </w:tc>
        <w:tc>
          <w:tcPr>
            <w:tcW w:w="1576" w:type="pct"/>
          </w:tcPr>
          <w:p w14:paraId="0652431C"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1</w:t>
            </w:r>
          </w:p>
        </w:tc>
      </w:tr>
      <w:tr w:rsidR="00FC0185" w14:paraId="683BF483" w14:textId="77777777" w:rsidTr="00C96CC1">
        <w:tc>
          <w:tcPr>
            <w:tcW w:w="1712" w:type="pct"/>
          </w:tcPr>
          <w:p w14:paraId="1F12CEF8" w14:textId="77777777" w:rsidR="00FC0185" w:rsidRPr="006F7517" w:rsidRDefault="00FC0185" w:rsidP="00C96CC1">
            <w:pPr>
              <w:pStyle w:val="ListParagraph"/>
              <w:ind w:left="0"/>
              <w:jc w:val="center"/>
              <w:rPr>
                <w:rFonts w:ascii="Times New Roman" w:hAnsi="Times New Roman" w:cs="Times New Roman"/>
                <w:sz w:val="24"/>
                <w:szCs w:val="24"/>
              </w:rPr>
            </w:pPr>
            <w:r w:rsidRPr="006F7517">
              <w:rPr>
                <w:rFonts w:ascii="Times New Roman" w:hAnsi="Times New Roman" w:cs="Times New Roman"/>
                <w:sz w:val="24"/>
                <w:szCs w:val="24"/>
              </w:rPr>
              <w:t>Grocery payment</w:t>
            </w:r>
          </w:p>
        </w:tc>
        <w:tc>
          <w:tcPr>
            <w:tcW w:w="1712" w:type="pct"/>
          </w:tcPr>
          <w:p w14:paraId="2F9AB183"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65.31034</w:t>
            </w:r>
          </w:p>
        </w:tc>
        <w:tc>
          <w:tcPr>
            <w:tcW w:w="1576" w:type="pct"/>
          </w:tcPr>
          <w:p w14:paraId="5C98AD44"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3</w:t>
            </w:r>
          </w:p>
        </w:tc>
      </w:tr>
      <w:tr w:rsidR="00FC0185" w14:paraId="2C4E6528" w14:textId="77777777" w:rsidTr="00C96CC1">
        <w:tc>
          <w:tcPr>
            <w:tcW w:w="1712" w:type="pct"/>
          </w:tcPr>
          <w:p w14:paraId="5F202FD6" w14:textId="77777777" w:rsidR="00FC0185" w:rsidRPr="006F7517" w:rsidRDefault="00FC0185" w:rsidP="00C96CC1">
            <w:pPr>
              <w:pStyle w:val="ListParagraph"/>
              <w:ind w:left="0"/>
              <w:jc w:val="center"/>
              <w:rPr>
                <w:rFonts w:ascii="Times New Roman" w:hAnsi="Times New Roman" w:cs="Times New Roman"/>
                <w:sz w:val="24"/>
                <w:szCs w:val="24"/>
              </w:rPr>
            </w:pPr>
            <w:r w:rsidRPr="006F7517">
              <w:rPr>
                <w:rFonts w:ascii="Times New Roman" w:hAnsi="Times New Roman" w:cs="Times New Roman"/>
                <w:sz w:val="24"/>
                <w:szCs w:val="24"/>
              </w:rPr>
              <w:t>Vegetable payment</w:t>
            </w:r>
          </w:p>
        </w:tc>
        <w:tc>
          <w:tcPr>
            <w:tcW w:w="1712" w:type="pct"/>
          </w:tcPr>
          <w:p w14:paraId="70D8144F"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63.55172</w:t>
            </w:r>
          </w:p>
        </w:tc>
        <w:tc>
          <w:tcPr>
            <w:tcW w:w="1576" w:type="pct"/>
          </w:tcPr>
          <w:p w14:paraId="2C90064C"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5</w:t>
            </w:r>
          </w:p>
        </w:tc>
      </w:tr>
      <w:tr w:rsidR="00FC0185" w14:paraId="1CAEA197" w14:textId="77777777" w:rsidTr="00C96CC1">
        <w:tc>
          <w:tcPr>
            <w:tcW w:w="1712" w:type="pct"/>
          </w:tcPr>
          <w:p w14:paraId="568B7750" w14:textId="77777777" w:rsidR="00FC0185" w:rsidRPr="006F7517" w:rsidRDefault="00FC0185" w:rsidP="00C96CC1">
            <w:pPr>
              <w:pStyle w:val="ListParagraph"/>
              <w:ind w:left="0"/>
              <w:jc w:val="center"/>
              <w:rPr>
                <w:rFonts w:ascii="Times New Roman" w:hAnsi="Times New Roman" w:cs="Times New Roman"/>
                <w:sz w:val="24"/>
                <w:szCs w:val="24"/>
              </w:rPr>
            </w:pPr>
            <w:r w:rsidRPr="006F7517">
              <w:rPr>
                <w:rFonts w:ascii="Times New Roman" w:hAnsi="Times New Roman" w:cs="Times New Roman"/>
                <w:sz w:val="24"/>
                <w:szCs w:val="24"/>
              </w:rPr>
              <w:t>Electric bill</w:t>
            </w:r>
          </w:p>
        </w:tc>
        <w:tc>
          <w:tcPr>
            <w:tcW w:w="1712" w:type="pct"/>
          </w:tcPr>
          <w:p w14:paraId="3F6D125A"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61.58621</w:t>
            </w:r>
          </w:p>
        </w:tc>
        <w:tc>
          <w:tcPr>
            <w:tcW w:w="1576" w:type="pct"/>
          </w:tcPr>
          <w:p w14:paraId="5665DBD0"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7</w:t>
            </w:r>
          </w:p>
        </w:tc>
      </w:tr>
      <w:tr w:rsidR="00FC0185" w14:paraId="3F87D89A" w14:textId="77777777" w:rsidTr="00C96CC1">
        <w:tc>
          <w:tcPr>
            <w:tcW w:w="1712" w:type="pct"/>
          </w:tcPr>
          <w:p w14:paraId="7279EE53" w14:textId="77777777" w:rsidR="00FC0185" w:rsidRPr="006F7517" w:rsidRDefault="00FC0185" w:rsidP="00C96CC1">
            <w:pPr>
              <w:pStyle w:val="ListParagraph"/>
              <w:ind w:left="0"/>
              <w:jc w:val="center"/>
              <w:rPr>
                <w:rFonts w:ascii="Times New Roman" w:hAnsi="Times New Roman" w:cs="Times New Roman"/>
                <w:sz w:val="24"/>
                <w:szCs w:val="24"/>
              </w:rPr>
            </w:pPr>
            <w:r w:rsidRPr="006F7517">
              <w:rPr>
                <w:rFonts w:ascii="Times New Roman" w:hAnsi="Times New Roman" w:cs="Times New Roman"/>
                <w:sz w:val="24"/>
                <w:szCs w:val="24"/>
              </w:rPr>
              <w:t>Shopping</w:t>
            </w:r>
          </w:p>
        </w:tc>
        <w:tc>
          <w:tcPr>
            <w:tcW w:w="1712" w:type="pct"/>
          </w:tcPr>
          <w:p w14:paraId="4AB8E980"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63.75862</w:t>
            </w:r>
          </w:p>
        </w:tc>
        <w:tc>
          <w:tcPr>
            <w:tcW w:w="1576" w:type="pct"/>
          </w:tcPr>
          <w:p w14:paraId="32E2BD60"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4</w:t>
            </w:r>
          </w:p>
        </w:tc>
      </w:tr>
      <w:tr w:rsidR="00FC0185" w14:paraId="5E204086" w14:textId="77777777" w:rsidTr="00C96CC1">
        <w:tc>
          <w:tcPr>
            <w:tcW w:w="1712" w:type="pct"/>
          </w:tcPr>
          <w:p w14:paraId="598D65C8" w14:textId="77777777" w:rsidR="00FC0185" w:rsidRPr="006F7517" w:rsidRDefault="00FC0185" w:rsidP="00C96CC1">
            <w:pPr>
              <w:pStyle w:val="ListParagraph"/>
              <w:ind w:left="0"/>
              <w:jc w:val="center"/>
              <w:rPr>
                <w:rFonts w:ascii="Times New Roman" w:hAnsi="Times New Roman" w:cs="Times New Roman"/>
                <w:sz w:val="24"/>
                <w:szCs w:val="24"/>
              </w:rPr>
            </w:pPr>
            <w:r w:rsidRPr="006F7517">
              <w:rPr>
                <w:rFonts w:ascii="Times New Roman" w:hAnsi="Times New Roman" w:cs="Times New Roman"/>
                <w:sz w:val="24"/>
                <w:szCs w:val="24"/>
              </w:rPr>
              <w:t>Loan</w:t>
            </w:r>
          </w:p>
        </w:tc>
        <w:tc>
          <w:tcPr>
            <w:tcW w:w="1712" w:type="pct"/>
          </w:tcPr>
          <w:p w14:paraId="2086A1B2"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60.55172</w:t>
            </w:r>
          </w:p>
        </w:tc>
        <w:tc>
          <w:tcPr>
            <w:tcW w:w="1576" w:type="pct"/>
          </w:tcPr>
          <w:p w14:paraId="67F5DCB0"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8</w:t>
            </w:r>
          </w:p>
        </w:tc>
      </w:tr>
      <w:tr w:rsidR="00FC0185" w14:paraId="6A728DE4" w14:textId="77777777" w:rsidTr="00C96CC1">
        <w:tc>
          <w:tcPr>
            <w:tcW w:w="1712" w:type="pct"/>
          </w:tcPr>
          <w:p w14:paraId="165846CC" w14:textId="77777777" w:rsidR="00FC0185" w:rsidRPr="006F7517" w:rsidRDefault="00FC0185" w:rsidP="00C96CC1">
            <w:pPr>
              <w:pStyle w:val="ListParagraph"/>
              <w:ind w:left="0"/>
              <w:jc w:val="center"/>
              <w:rPr>
                <w:rFonts w:ascii="Times New Roman" w:hAnsi="Times New Roman" w:cs="Times New Roman"/>
                <w:sz w:val="24"/>
                <w:szCs w:val="24"/>
              </w:rPr>
            </w:pPr>
            <w:r w:rsidRPr="006F7517">
              <w:rPr>
                <w:rFonts w:ascii="Times New Roman" w:hAnsi="Times New Roman" w:cs="Times New Roman"/>
                <w:sz w:val="24"/>
                <w:szCs w:val="24"/>
              </w:rPr>
              <w:t>House rent</w:t>
            </w:r>
          </w:p>
        </w:tc>
        <w:tc>
          <w:tcPr>
            <w:tcW w:w="1712" w:type="pct"/>
          </w:tcPr>
          <w:p w14:paraId="53A0CC16"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62</w:t>
            </w:r>
          </w:p>
        </w:tc>
        <w:tc>
          <w:tcPr>
            <w:tcW w:w="1576" w:type="pct"/>
          </w:tcPr>
          <w:p w14:paraId="5AC248E0" w14:textId="77777777" w:rsidR="00FC0185" w:rsidRPr="006F7517" w:rsidRDefault="00FC0185" w:rsidP="00C96CC1">
            <w:pPr>
              <w:jc w:val="center"/>
              <w:rPr>
                <w:rFonts w:ascii="Times New Roman" w:hAnsi="Times New Roman" w:cs="Times New Roman"/>
                <w:sz w:val="24"/>
                <w:szCs w:val="24"/>
              </w:rPr>
            </w:pPr>
            <w:r w:rsidRPr="006F7517">
              <w:rPr>
                <w:rFonts w:ascii="Times New Roman" w:hAnsi="Times New Roman" w:cs="Times New Roman"/>
                <w:sz w:val="24"/>
                <w:szCs w:val="24"/>
              </w:rPr>
              <w:t>6</w:t>
            </w:r>
          </w:p>
        </w:tc>
      </w:tr>
    </w:tbl>
    <w:p w14:paraId="47BA5FD6" w14:textId="77777777" w:rsidR="00FC0185" w:rsidRDefault="00FC0185" w:rsidP="00FC0185">
      <w:pPr>
        <w:jc w:val="both"/>
        <w:rPr>
          <w:rFonts w:ascii="Times New Roman" w:hAnsi="Times New Roman" w:cs="Times New Roman"/>
          <w:sz w:val="24"/>
          <w:szCs w:val="24"/>
        </w:rPr>
      </w:pPr>
    </w:p>
    <w:p w14:paraId="53FB5FD2" w14:textId="77777777" w:rsidR="003B687B" w:rsidRPr="003B687B" w:rsidRDefault="003B687B" w:rsidP="003B687B">
      <w:pPr>
        <w:spacing w:after="0" w:line="360" w:lineRule="auto"/>
        <w:jc w:val="both"/>
        <w:rPr>
          <w:rFonts w:ascii="Times New Roman" w:eastAsia="Times New Roman" w:hAnsi="Times New Roman" w:cs="Times New Roman"/>
          <w:b/>
          <w:bCs/>
          <w:sz w:val="24"/>
          <w:szCs w:val="24"/>
        </w:rPr>
      </w:pPr>
      <w:r w:rsidRPr="003B687B">
        <w:rPr>
          <w:rFonts w:ascii="Times New Roman" w:eastAsia="Times New Roman" w:hAnsi="Times New Roman" w:cs="Times New Roman"/>
          <w:b/>
          <w:bCs/>
          <w:sz w:val="24"/>
          <w:szCs w:val="24"/>
        </w:rPr>
        <w:t>5. Discussion</w:t>
      </w:r>
    </w:p>
    <w:p w14:paraId="6D97D547" w14:textId="77777777" w:rsidR="003B687B" w:rsidRPr="003B687B" w:rsidRDefault="003B687B" w:rsidP="003C69B9">
      <w:pPr>
        <w:spacing w:after="0" w:line="360" w:lineRule="auto"/>
        <w:ind w:firstLine="720"/>
        <w:jc w:val="both"/>
        <w:rPr>
          <w:rFonts w:ascii="Times New Roman" w:eastAsia="Times New Roman" w:hAnsi="Times New Roman" w:cs="Times New Roman"/>
          <w:bCs/>
          <w:sz w:val="24"/>
          <w:szCs w:val="24"/>
        </w:rPr>
      </w:pPr>
      <w:r w:rsidRPr="003B687B">
        <w:rPr>
          <w:rFonts w:ascii="Times New Roman" w:eastAsia="Times New Roman" w:hAnsi="Times New Roman" w:cs="Times New Roman"/>
          <w:bCs/>
          <w:sz w:val="24"/>
          <w:szCs w:val="24"/>
        </w:rPr>
        <w:t>The demographic data suggest that the study sample comprised primarily middle-aged individuals from nuclear families, with a moderate level of education and income. These characteristics likely influenced their comfort with digital payment systems like UPI.</w:t>
      </w:r>
    </w:p>
    <w:p w14:paraId="74DDE466" w14:textId="77777777" w:rsidR="003B687B" w:rsidRPr="003B687B" w:rsidRDefault="003B687B" w:rsidP="003C69B9">
      <w:pPr>
        <w:spacing w:before="100" w:beforeAutospacing="1" w:after="100" w:afterAutospacing="1" w:line="360" w:lineRule="auto"/>
        <w:ind w:firstLine="720"/>
        <w:jc w:val="both"/>
        <w:rPr>
          <w:rFonts w:ascii="Times New Roman" w:eastAsia="Times New Roman" w:hAnsi="Times New Roman" w:cs="Times New Roman"/>
          <w:bCs/>
          <w:sz w:val="24"/>
          <w:szCs w:val="24"/>
        </w:rPr>
      </w:pPr>
      <w:r w:rsidRPr="003B687B">
        <w:rPr>
          <w:rFonts w:ascii="Times New Roman" w:eastAsia="Times New Roman" w:hAnsi="Times New Roman" w:cs="Times New Roman"/>
          <w:bCs/>
          <w:sz w:val="24"/>
          <w:szCs w:val="24"/>
        </w:rPr>
        <w:t>The high rate of smartphone ownership (90%) indicates strong potential for digital banking. However, the comparatively low usage of banking apps (42%) and moderate awareness of mobile banking (56%) reflect a gap between technological access and digital financial adoption. This suggests the need for more targeted digital literacy initiatives, especially focusing on financial technologies.</w:t>
      </w:r>
      <w:r w:rsidR="00421056">
        <w:rPr>
          <w:rFonts w:ascii="Times New Roman" w:eastAsia="Times New Roman" w:hAnsi="Times New Roman" w:cs="Times New Roman"/>
          <w:bCs/>
          <w:sz w:val="24"/>
          <w:szCs w:val="24"/>
        </w:rPr>
        <w:t xml:space="preserve"> </w:t>
      </w:r>
      <w:r w:rsidRPr="003B687B">
        <w:rPr>
          <w:rFonts w:ascii="Times New Roman" w:eastAsia="Times New Roman" w:hAnsi="Times New Roman" w:cs="Times New Roman"/>
          <w:bCs/>
          <w:sz w:val="24"/>
          <w:szCs w:val="24"/>
        </w:rPr>
        <w:t>Security concerns are significant barriers to adoption. With 49</w:t>
      </w:r>
      <w:r w:rsidR="006335A9" w:rsidRPr="006335A9">
        <w:rPr>
          <w:rFonts w:ascii="Times New Roman" w:eastAsia="Times New Roman" w:hAnsi="Times New Roman" w:cs="Times New Roman"/>
          <w:bCs/>
          <w:sz w:val="24"/>
          <w:szCs w:val="24"/>
        </w:rPr>
        <w:t xml:space="preserve"> </w:t>
      </w:r>
      <w:r w:rsidR="006335A9">
        <w:rPr>
          <w:rFonts w:ascii="Times New Roman" w:eastAsia="Times New Roman" w:hAnsi="Times New Roman" w:cs="Times New Roman"/>
          <w:bCs/>
          <w:sz w:val="24"/>
          <w:szCs w:val="24"/>
        </w:rPr>
        <w:t>per cent</w:t>
      </w:r>
      <w:r w:rsidRPr="003B687B">
        <w:rPr>
          <w:rFonts w:ascii="Times New Roman" w:eastAsia="Times New Roman" w:hAnsi="Times New Roman" w:cs="Times New Roman"/>
          <w:bCs/>
          <w:sz w:val="24"/>
          <w:szCs w:val="24"/>
        </w:rPr>
        <w:t xml:space="preserve"> aware of cyber threats and 5</w:t>
      </w:r>
      <w:r w:rsidR="006335A9" w:rsidRPr="006335A9">
        <w:rPr>
          <w:rFonts w:ascii="Times New Roman" w:eastAsia="Times New Roman" w:hAnsi="Times New Roman" w:cs="Times New Roman"/>
          <w:bCs/>
          <w:sz w:val="24"/>
          <w:szCs w:val="24"/>
        </w:rPr>
        <w:t xml:space="preserve"> </w:t>
      </w:r>
      <w:r w:rsidR="006335A9">
        <w:rPr>
          <w:rFonts w:ascii="Times New Roman" w:eastAsia="Times New Roman" w:hAnsi="Times New Roman" w:cs="Times New Roman"/>
          <w:bCs/>
          <w:sz w:val="24"/>
          <w:szCs w:val="24"/>
        </w:rPr>
        <w:t>per cent</w:t>
      </w:r>
      <w:r w:rsidRPr="003B687B">
        <w:rPr>
          <w:rFonts w:ascii="Times New Roman" w:eastAsia="Times New Roman" w:hAnsi="Times New Roman" w:cs="Times New Roman"/>
          <w:bCs/>
          <w:sz w:val="24"/>
          <w:szCs w:val="24"/>
        </w:rPr>
        <w:t xml:space="preserve"> having experienced financial fraud, apprehensions about online transactions may be discouraging wider UPI use. Trust-building measures and consumer protection mechanisms must be emphasized to improve uptake.</w:t>
      </w:r>
      <w:r w:rsidR="00421056">
        <w:rPr>
          <w:rFonts w:ascii="Times New Roman" w:eastAsia="Times New Roman" w:hAnsi="Times New Roman" w:cs="Times New Roman"/>
          <w:bCs/>
          <w:sz w:val="24"/>
          <w:szCs w:val="24"/>
        </w:rPr>
        <w:t xml:space="preserve"> </w:t>
      </w:r>
      <w:r w:rsidRPr="003B687B">
        <w:rPr>
          <w:rFonts w:ascii="Times New Roman" w:eastAsia="Times New Roman" w:hAnsi="Times New Roman" w:cs="Times New Roman"/>
          <w:bCs/>
          <w:sz w:val="24"/>
          <w:szCs w:val="24"/>
        </w:rPr>
        <w:t>The statistical analysis confirms that education level does not significantly impact UPI usage—implying that even individuals with minimal formal education can adopt digital payments if they are properly guided. The Garret ranking emphasizes the use of UPI for low-risk, everyday expenses like recharges and groceries, while more sensitive or high-value payments such as rent and loans are less commonly transacted digitally.</w:t>
      </w:r>
      <w:r w:rsidR="00421056">
        <w:rPr>
          <w:rFonts w:ascii="Times New Roman" w:eastAsia="Times New Roman" w:hAnsi="Times New Roman" w:cs="Times New Roman"/>
          <w:bCs/>
          <w:sz w:val="24"/>
          <w:szCs w:val="24"/>
        </w:rPr>
        <w:t xml:space="preserve"> </w:t>
      </w:r>
      <w:r w:rsidRPr="003B687B">
        <w:rPr>
          <w:rFonts w:ascii="Times New Roman" w:eastAsia="Times New Roman" w:hAnsi="Times New Roman" w:cs="Times New Roman"/>
          <w:bCs/>
          <w:sz w:val="24"/>
          <w:szCs w:val="24"/>
        </w:rPr>
        <w:t xml:space="preserve">This reflects both </w:t>
      </w:r>
      <w:r w:rsidR="006335A9" w:rsidRPr="003B687B">
        <w:rPr>
          <w:rFonts w:ascii="Times New Roman" w:eastAsia="Times New Roman" w:hAnsi="Times New Roman" w:cs="Times New Roman"/>
          <w:bCs/>
          <w:sz w:val="24"/>
          <w:szCs w:val="24"/>
        </w:rPr>
        <w:t>behavio</w:t>
      </w:r>
      <w:r w:rsidR="006335A9">
        <w:rPr>
          <w:rFonts w:ascii="Times New Roman" w:eastAsia="Times New Roman" w:hAnsi="Times New Roman" w:cs="Times New Roman"/>
          <w:bCs/>
          <w:sz w:val="24"/>
          <w:szCs w:val="24"/>
        </w:rPr>
        <w:t>r</w:t>
      </w:r>
      <w:r w:rsidR="006335A9" w:rsidRPr="003B687B">
        <w:rPr>
          <w:rFonts w:ascii="Times New Roman" w:eastAsia="Times New Roman" w:hAnsi="Times New Roman" w:cs="Times New Roman"/>
          <w:bCs/>
          <w:sz w:val="24"/>
          <w:szCs w:val="24"/>
        </w:rPr>
        <w:t>al</w:t>
      </w:r>
      <w:r w:rsidRPr="003B687B">
        <w:rPr>
          <w:rFonts w:ascii="Times New Roman" w:eastAsia="Times New Roman" w:hAnsi="Times New Roman" w:cs="Times New Roman"/>
          <w:bCs/>
          <w:sz w:val="24"/>
          <w:szCs w:val="24"/>
        </w:rPr>
        <w:t xml:space="preserve"> caution and limited confidence in digital </w:t>
      </w:r>
      <w:r w:rsidRPr="003B687B">
        <w:rPr>
          <w:rFonts w:ascii="Times New Roman" w:eastAsia="Times New Roman" w:hAnsi="Times New Roman" w:cs="Times New Roman"/>
          <w:bCs/>
          <w:sz w:val="24"/>
          <w:szCs w:val="24"/>
        </w:rPr>
        <w:lastRenderedPageBreak/>
        <w:t>financial tools for high-stakes transactions. Addressing these trust deficits and improving user experience can help expand the functional scope of UPI usage.</w:t>
      </w:r>
    </w:p>
    <w:p w14:paraId="7F901490" w14:textId="77777777" w:rsidR="00107067" w:rsidRPr="00107067" w:rsidRDefault="00107067" w:rsidP="00107067">
      <w:pPr>
        <w:spacing w:before="100" w:beforeAutospacing="1" w:after="100" w:afterAutospacing="1" w:line="240" w:lineRule="auto"/>
        <w:jc w:val="both"/>
        <w:rPr>
          <w:rFonts w:ascii="Times New Roman" w:eastAsia="Times New Roman" w:hAnsi="Times New Roman" w:cs="Times New Roman"/>
          <w:sz w:val="24"/>
          <w:szCs w:val="24"/>
        </w:rPr>
      </w:pPr>
      <w:r w:rsidRPr="00107067">
        <w:rPr>
          <w:rFonts w:ascii="Times New Roman" w:eastAsia="Times New Roman" w:hAnsi="Times New Roman" w:cs="Times New Roman"/>
          <w:b/>
          <w:bCs/>
          <w:sz w:val="24"/>
          <w:szCs w:val="24"/>
        </w:rPr>
        <w:t>5. Conclusion</w:t>
      </w:r>
    </w:p>
    <w:p w14:paraId="5571CDB9" w14:textId="77777777" w:rsidR="00931E50" w:rsidRDefault="00931E50" w:rsidP="00931E50">
      <w:pPr>
        <w:jc w:val="both"/>
        <w:rPr>
          <w:rFonts w:ascii="Times New Roman" w:hAnsi="Times New Roman" w:cs="Times New Roman"/>
          <w:sz w:val="24"/>
          <w:szCs w:val="24"/>
        </w:rPr>
      </w:pPr>
      <w:r>
        <w:rPr>
          <w:rFonts w:ascii="Times New Roman" w:hAnsi="Times New Roman" w:cs="Times New Roman"/>
          <w:b/>
          <w:sz w:val="24"/>
        </w:rPr>
        <w:tab/>
      </w:r>
      <w:r w:rsidRPr="00EE363D">
        <w:rPr>
          <w:rFonts w:ascii="Times New Roman" w:hAnsi="Times New Roman" w:cs="Times New Roman"/>
          <w:sz w:val="24"/>
          <w:szCs w:val="24"/>
        </w:rPr>
        <w:t>Digitalization has transformed financial transactions by offering convenience, speed, and transparency. This study highlights that while UPI usage is growing, particularly for minor and retail payments, working-class women still face barriers due to limited awareness, safety concerns, and low confidence in digital platforms.</w:t>
      </w:r>
      <w:r>
        <w:rPr>
          <w:rFonts w:ascii="Times New Roman" w:hAnsi="Times New Roman" w:cs="Times New Roman"/>
          <w:sz w:val="24"/>
          <w:szCs w:val="24"/>
        </w:rPr>
        <w:t xml:space="preserve"> A study by </w:t>
      </w:r>
      <w:r w:rsidRPr="0025635A">
        <w:rPr>
          <w:rFonts w:ascii="Times New Roman" w:hAnsi="Times New Roman" w:cs="Times New Roman"/>
          <w:sz w:val="24"/>
          <w:szCs w:val="24"/>
        </w:rPr>
        <w:t>Chaudhuri, (2023), affirms that despite infrastructural readiness (bank accounts and mobile phones), psychological and social barriers continue to hinder UPI adoption among women</w:t>
      </w:r>
    </w:p>
    <w:p w14:paraId="09EE2454" w14:textId="77777777" w:rsidR="00931E50" w:rsidRPr="00EE363D" w:rsidRDefault="00931E50" w:rsidP="00931E50">
      <w:pPr>
        <w:jc w:val="both"/>
        <w:rPr>
          <w:rFonts w:ascii="Times New Roman" w:hAnsi="Times New Roman" w:cs="Times New Roman"/>
          <w:sz w:val="24"/>
          <w:szCs w:val="24"/>
        </w:rPr>
      </w:pPr>
      <w:r w:rsidRPr="00EE363D">
        <w:rPr>
          <w:rFonts w:ascii="Times New Roman" w:hAnsi="Times New Roman" w:cs="Times New Roman"/>
          <w:sz w:val="24"/>
          <w:szCs w:val="24"/>
        </w:rPr>
        <w:t>Although most respondents possess b</w:t>
      </w:r>
      <w:r>
        <w:rPr>
          <w:rFonts w:ascii="Times New Roman" w:hAnsi="Times New Roman" w:cs="Times New Roman"/>
          <w:sz w:val="24"/>
          <w:szCs w:val="24"/>
        </w:rPr>
        <w:t xml:space="preserve">ank accounts and mobile phones, </w:t>
      </w:r>
      <w:r w:rsidRPr="00EE363D">
        <w:rPr>
          <w:rFonts w:ascii="Times New Roman" w:hAnsi="Times New Roman" w:cs="Times New Roman"/>
          <w:sz w:val="24"/>
          <w:szCs w:val="24"/>
        </w:rPr>
        <w:t>a significant proportion remains hesitant to engage fully with UPI due to fear of fraud and lack of support in financial decision-making.</w:t>
      </w:r>
      <w:r>
        <w:rPr>
          <w:rFonts w:ascii="Times New Roman" w:hAnsi="Times New Roman" w:cs="Times New Roman"/>
          <w:sz w:val="24"/>
          <w:szCs w:val="24"/>
        </w:rPr>
        <w:t xml:space="preserve"> Thus, t</w:t>
      </w:r>
      <w:r w:rsidRPr="0036143F">
        <w:rPr>
          <w:rFonts w:ascii="Times New Roman" w:hAnsi="Times New Roman" w:cs="Times New Roman"/>
          <w:sz w:val="24"/>
          <w:szCs w:val="24"/>
        </w:rPr>
        <w:t>he study draws attention to the "last-mile" gap in digital literacy and security awareness, especially among marginalized groups, aligning with concerns raised by the World Bank (2022) about unequal digital access.</w:t>
      </w:r>
    </w:p>
    <w:p w14:paraId="0FF45022" w14:textId="77777777" w:rsidR="00931E50" w:rsidRDefault="00931E50" w:rsidP="00931E50">
      <w:pPr>
        <w:jc w:val="both"/>
        <w:rPr>
          <w:rFonts w:ascii="Times New Roman" w:hAnsi="Times New Roman" w:cs="Times New Roman"/>
          <w:sz w:val="24"/>
          <w:szCs w:val="24"/>
        </w:rPr>
      </w:pPr>
      <w:r w:rsidRPr="00EE363D">
        <w:rPr>
          <w:rFonts w:ascii="Times New Roman" w:hAnsi="Times New Roman" w:cs="Times New Roman"/>
          <w:sz w:val="24"/>
          <w:szCs w:val="24"/>
        </w:rPr>
        <w:t>The study concludes that trust, awareness, and user education are key</w:t>
      </w:r>
      <w:r>
        <w:rPr>
          <w:rFonts w:ascii="Times New Roman" w:hAnsi="Times New Roman" w:cs="Times New Roman"/>
          <w:sz w:val="24"/>
          <w:szCs w:val="24"/>
        </w:rPr>
        <w:t>s</w:t>
      </w:r>
      <w:r w:rsidRPr="00EE363D">
        <w:rPr>
          <w:rFonts w:ascii="Times New Roman" w:hAnsi="Times New Roman" w:cs="Times New Roman"/>
          <w:sz w:val="24"/>
          <w:szCs w:val="24"/>
        </w:rPr>
        <w:t xml:space="preserve"> to increasing UPI adoption among women. Strengthening cyber</w:t>
      </w:r>
      <w:r>
        <w:rPr>
          <w:rFonts w:ascii="Times New Roman" w:hAnsi="Times New Roman" w:cs="Times New Roman"/>
          <w:sz w:val="24"/>
          <w:szCs w:val="24"/>
        </w:rPr>
        <w:t xml:space="preserve"> </w:t>
      </w:r>
      <w:r w:rsidRPr="00EE363D">
        <w:rPr>
          <w:rFonts w:ascii="Times New Roman" w:hAnsi="Times New Roman" w:cs="Times New Roman"/>
          <w:sz w:val="24"/>
          <w:szCs w:val="24"/>
        </w:rPr>
        <w:t>security, improving user experience, and launching targeted training programs can empower women to make informed digital transactions.</w:t>
      </w:r>
      <w:r>
        <w:rPr>
          <w:rFonts w:ascii="Times New Roman" w:hAnsi="Times New Roman" w:cs="Times New Roman"/>
          <w:sz w:val="24"/>
          <w:szCs w:val="24"/>
        </w:rPr>
        <w:t xml:space="preserve"> In a study, </w:t>
      </w:r>
      <w:r w:rsidRPr="0036143F">
        <w:rPr>
          <w:rFonts w:ascii="Times New Roman" w:hAnsi="Times New Roman" w:cs="Times New Roman"/>
          <w:sz w:val="24"/>
          <w:szCs w:val="24"/>
        </w:rPr>
        <w:t>Bansal &amp; Ghosh (2022)</w:t>
      </w:r>
      <w:r>
        <w:rPr>
          <w:rFonts w:ascii="Times New Roman" w:hAnsi="Times New Roman" w:cs="Times New Roman"/>
          <w:sz w:val="24"/>
          <w:szCs w:val="24"/>
        </w:rPr>
        <w:t xml:space="preserve"> asserted </w:t>
      </w:r>
      <w:r w:rsidRPr="0036143F">
        <w:rPr>
          <w:rFonts w:ascii="Times New Roman" w:hAnsi="Times New Roman" w:cs="Times New Roman"/>
          <w:sz w:val="24"/>
          <w:szCs w:val="24"/>
        </w:rPr>
        <w:t>that digital financial inclusion is not merely about access but about capability and trust echoing observations regarding women’s confidence and safety concerns.</w:t>
      </w:r>
    </w:p>
    <w:p w14:paraId="6DEAD6DC" w14:textId="215D8D4D" w:rsidR="00C95875" w:rsidRPr="007244C6" w:rsidRDefault="00931E50" w:rsidP="00931E50">
      <w:pPr>
        <w:jc w:val="both"/>
        <w:rPr>
          <w:rFonts w:ascii="Times New Roman" w:hAnsi="Times New Roman" w:cs="Times New Roman"/>
          <w:sz w:val="24"/>
          <w:szCs w:val="24"/>
        </w:rPr>
      </w:pPr>
      <w:r w:rsidRPr="00EE363D">
        <w:rPr>
          <w:rFonts w:ascii="Times New Roman" w:hAnsi="Times New Roman" w:cs="Times New Roman"/>
          <w:sz w:val="24"/>
          <w:szCs w:val="24"/>
        </w:rPr>
        <w:t xml:space="preserve"> Moreover, enhancing financial inclusion through digital literacy not only benefits individual users but also contributes to broader economic development. To ensure that no group is left behind in India’s digital transformation, dedicated outreach and support for working-class women are vital.</w:t>
      </w:r>
    </w:p>
    <w:p w14:paraId="2BB65988" w14:textId="77777777" w:rsidR="00107067" w:rsidRPr="007B14AA" w:rsidRDefault="00107067" w:rsidP="00107067">
      <w:pPr>
        <w:spacing w:before="100" w:beforeAutospacing="1" w:after="100" w:afterAutospacing="1" w:line="240" w:lineRule="auto"/>
        <w:jc w:val="both"/>
        <w:rPr>
          <w:rFonts w:ascii="Times New Roman" w:eastAsia="Times New Roman" w:hAnsi="Times New Roman" w:cs="Times New Roman"/>
          <w:sz w:val="24"/>
          <w:szCs w:val="24"/>
        </w:rPr>
      </w:pPr>
      <w:r w:rsidRPr="00E552A1">
        <w:rPr>
          <w:rFonts w:ascii="Times New Roman" w:eastAsia="Times New Roman" w:hAnsi="Times New Roman" w:cs="Times New Roman"/>
          <w:b/>
          <w:bCs/>
          <w:sz w:val="24"/>
          <w:szCs w:val="24"/>
        </w:rPr>
        <w:t>References</w:t>
      </w:r>
    </w:p>
    <w:p w14:paraId="0D958C0D" w14:textId="77777777" w:rsidR="00CB766C" w:rsidRDefault="00CB766C" w:rsidP="00F403F5">
      <w:pPr>
        <w:pStyle w:val="ListParagraph"/>
        <w:numPr>
          <w:ilvl w:val="0"/>
          <w:numId w:val="9"/>
        </w:numPr>
        <w:jc w:val="both"/>
        <w:rPr>
          <w:rFonts w:ascii="Times New Roman" w:hAnsi="Times New Roman" w:cs="Times New Roman"/>
          <w:sz w:val="24"/>
          <w:szCs w:val="24"/>
        </w:rPr>
      </w:pPr>
      <w:r w:rsidRPr="00CB766C">
        <w:rPr>
          <w:rFonts w:ascii="Times New Roman" w:hAnsi="Times New Roman" w:cs="Times New Roman"/>
          <w:sz w:val="24"/>
          <w:szCs w:val="24"/>
        </w:rPr>
        <w:t>Chaudhuri, A., 2023. Trust and technology: Factors influencing digital payment adoption among Indian women. Economic and Political Weekly, 58(4), pp.36–42.</w:t>
      </w:r>
    </w:p>
    <w:p w14:paraId="3D2A99CD" w14:textId="77777777" w:rsidR="00CB766C" w:rsidRPr="00CB766C" w:rsidRDefault="00CB766C" w:rsidP="00F403F5">
      <w:pPr>
        <w:pStyle w:val="ListParagraph"/>
        <w:numPr>
          <w:ilvl w:val="0"/>
          <w:numId w:val="9"/>
        </w:numPr>
        <w:jc w:val="both"/>
        <w:rPr>
          <w:rFonts w:ascii="Times New Roman" w:hAnsi="Times New Roman" w:cs="Times New Roman"/>
          <w:sz w:val="24"/>
          <w:szCs w:val="24"/>
        </w:rPr>
      </w:pPr>
      <w:r w:rsidRPr="00CB766C">
        <w:rPr>
          <w:rFonts w:ascii="Times New Roman" w:hAnsi="Times New Roman" w:cs="Times New Roman"/>
          <w:sz w:val="24"/>
          <w:szCs w:val="24"/>
        </w:rPr>
        <w:t>Bansal, S. and Ghosh, S., 2022. Understanding digital finance usage among rural women in India: Barriers and enablers. Journal of Financial Inclusion, 9(2), pp.112–126.</w:t>
      </w:r>
    </w:p>
    <w:p w14:paraId="265B2777" w14:textId="77777777" w:rsidR="007B14AA" w:rsidRPr="007B14AA" w:rsidRDefault="007B14AA" w:rsidP="00F403F5">
      <w:pPr>
        <w:pStyle w:val="ListParagraph"/>
        <w:numPr>
          <w:ilvl w:val="0"/>
          <w:numId w:val="9"/>
        </w:numPr>
        <w:jc w:val="both"/>
        <w:rPr>
          <w:rFonts w:ascii="Times New Roman" w:hAnsi="Times New Roman" w:cs="Times New Roman"/>
          <w:sz w:val="24"/>
          <w:szCs w:val="24"/>
        </w:rPr>
      </w:pPr>
      <w:proofErr w:type="spellStart"/>
      <w:r w:rsidRPr="007B14AA">
        <w:rPr>
          <w:rFonts w:ascii="Times New Roman" w:hAnsi="Times New Roman" w:cs="Times New Roman"/>
          <w:sz w:val="24"/>
          <w:szCs w:val="24"/>
        </w:rPr>
        <w:t>Gochhwal</w:t>
      </w:r>
      <w:proofErr w:type="spellEnd"/>
      <w:r w:rsidRPr="007B14AA">
        <w:rPr>
          <w:rFonts w:ascii="Times New Roman" w:hAnsi="Times New Roman" w:cs="Times New Roman"/>
          <w:sz w:val="24"/>
          <w:szCs w:val="24"/>
        </w:rPr>
        <w:t>, R. (2017). Unified payment interface—An advancement in payment systems. American Journal of Industrial and Business Management, 7(10), 1174–1191. https://doi.org/10.4236/ajibm.2017.710083</w:t>
      </w:r>
    </w:p>
    <w:p w14:paraId="1205B97B" w14:textId="77777777" w:rsidR="007B14AA" w:rsidRPr="007B14AA" w:rsidRDefault="007B14AA" w:rsidP="00F403F5">
      <w:pPr>
        <w:pStyle w:val="ListParagraph"/>
        <w:numPr>
          <w:ilvl w:val="0"/>
          <w:numId w:val="9"/>
        </w:numPr>
        <w:jc w:val="both"/>
        <w:rPr>
          <w:rFonts w:ascii="Times New Roman" w:hAnsi="Times New Roman" w:cs="Times New Roman"/>
          <w:sz w:val="24"/>
          <w:szCs w:val="24"/>
        </w:rPr>
      </w:pPr>
      <w:r w:rsidRPr="007B14AA">
        <w:rPr>
          <w:rFonts w:ascii="Times New Roman" w:hAnsi="Times New Roman" w:cs="Times New Roman"/>
          <w:sz w:val="24"/>
          <w:szCs w:val="24"/>
        </w:rPr>
        <w:t>Kapri, A., &amp; Karna, N. (2023). Unified Payment Interface: A way towards a cashless journey. E-Commerce for Future &amp; Trends, 10(1), 35–39.</w:t>
      </w:r>
    </w:p>
    <w:p w14:paraId="00A94E79" w14:textId="77777777" w:rsidR="007B14AA" w:rsidRDefault="007B14AA" w:rsidP="00F403F5">
      <w:pPr>
        <w:pStyle w:val="ListParagraph"/>
        <w:numPr>
          <w:ilvl w:val="0"/>
          <w:numId w:val="9"/>
        </w:numPr>
        <w:jc w:val="both"/>
        <w:rPr>
          <w:rFonts w:ascii="Times New Roman" w:hAnsi="Times New Roman" w:cs="Times New Roman"/>
          <w:sz w:val="24"/>
          <w:szCs w:val="24"/>
        </w:rPr>
      </w:pPr>
      <w:r w:rsidRPr="007B14AA">
        <w:rPr>
          <w:rFonts w:ascii="Times New Roman" w:hAnsi="Times New Roman" w:cs="Times New Roman"/>
          <w:sz w:val="24"/>
          <w:szCs w:val="24"/>
        </w:rPr>
        <w:lastRenderedPageBreak/>
        <w:t>Khan, S., &amp; Jain, S. (2018). A study on the usage of e-payments for sustainable growth of online business. IOSR Journal of Business and Management (IOSR-JBM), 20(5), 74–81.</w:t>
      </w:r>
    </w:p>
    <w:p w14:paraId="7A342091" w14:textId="77777777" w:rsidR="00CB766C" w:rsidRPr="00CB766C" w:rsidRDefault="00CB766C" w:rsidP="00F403F5">
      <w:pPr>
        <w:pStyle w:val="ListParagraph"/>
        <w:numPr>
          <w:ilvl w:val="0"/>
          <w:numId w:val="9"/>
        </w:numPr>
        <w:spacing w:line="360" w:lineRule="auto"/>
        <w:jc w:val="both"/>
        <w:rPr>
          <w:rFonts w:ascii="Times New Roman" w:hAnsi="Times New Roman" w:cs="Times New Roman"/>
          <w:sz w:val="24"/>
          <w:szCs w:val="24"/>
          <w:lang w:val="en-GB"/>
        </w:rPr>
      </w:pPr>
      <w:r w:rsidRPr="00CB766C">
        <w:rPr>
          <w:rFonts w:ascii="Times New Roman" w:hAnsi="Times New Roman" w:cs="Times New Roman"/>
          <w:sz w:val="24"/>
          <w:szCs w:val="24"/>
          <w:lang w:val="en-GB"/>
        </w:rPr>
        <w:t>Kolte, A., &amp; Humbe, A. V. (2019). Digital payment and customer perception: A study of college students. International Journal of Trend in Scientific Research and Development, 3(3), 325–329.</w:t>
      </w:r>
    </w:p>
    <w:p w14:paraId="3CD245C0" w14:textId="77777777" w:rsidR="007B14AA" w:rsidRPr="007B14AA" w:rsidRDefault="007B14AA" w:rsidP="00F403F5">
      <w:pPr>
        <w:pStyle w:val="ListParagraph"/>
        <w:numPr>
          <w:ilvl w:val="0"/>
          <w:numId w:val="9"/>
        </w:numPr>
        <w:jc w:val="both"/>
        <w:rPr>
          <w:rFonts w:ascii="Times New Roman" w:hAnsi="Times New Roman" w:cs="Times New Roman"/>
          <w:sz w:val="24"/>
          <w:szCs w:val="24"/>
        </w:rPr>
      </w:pPr>
      <w:r w:rsidRPr="007B14AA">
        <w:rPr>
          <w:rFonts w:ascii="Times New Roman" w:hAnsi="Times New Roman" w:cs="Times New Roman"/>
          <w:sz w:val="24"/>
          <w:szCs w:val="24"/>
        </w:rPr>
        <w:t>Kumar, P. A. (2022). A study on customer satisfaction of using UPI apps &amp; transactions &amp; payments (BBA Project). Sathyabama Institute of Science and Technology, Chennai.</w:t>
      </w:r>
    </w:p>
    <w:p w14:paraId="69CAAB7E" w14:textId="77777777" w:rsidR="007B14AA" w:rsidRPr="007B14AA" w:rsidRDefault="007B14AA" w:rsidP="00F403F5">
      <w:pPr>
        <w:pStyle w:val="ListParagraph"/>
        <w:numPr>
          <w:ilvl w:val="0"/>
          <w:numId w:val="9"/>
        </w:numPr>
        <w:jc w:val="both"/>
        <w:rPr>
          <w:rFonts w:ascii="Times New Roman" w:hAnsi="Times New Roman" w:cs="Times New Roman"/>
          <w:sz w:val="24"/>
          <w:szCs w:val="24"/>
        </w:rPr>
      </w:pPr>
      <w:r w:rsidRPr="007B14AA">
        <w:rPr>
          <w:rFonts w:ascii="Times New Roman" w:hAnsi="Times New Roman" w:cs="Times New Roman"/>
          <w:sz w:val="24"/>
          <w:szCs w:val="24"/>
        </w:rPr>
        <w:t>Mahesh, A., &amp; Bhat, G. (2021). Digital payment service in India—A case study of Unified Payment Interface. International Journal of Case Studies in Business, IT, and Education, 5(1), 256–265. https://doi.org/10.47992/IJCSBE.2581.6942.0113</w:t>
      </w:r>
    </w:p>
    <w:p w14:paraId="1F21EB53" w14:textId="77777777" w:rsidR="007B14AA" w:rsidRPr="007B14AA" w:rsidRDefault="007B14AA" w:rsidP="00F403F5">
      <w:pPr>
        <w:pStyle w:val="ListParagraph"/>
        <w:numPr>
          <w:ilvl w:val="0"/>
          <w:numId w:val="9"/>
        </w:numPr>
        <w:jc w:val="both"/>
        <w:rPr>
          <w:rFonts w:ascii="Times New Roman" w:hAnsi="Times New Roman" w:cs="Times New Roman"/>
          <w:sz w:val="24"/>
          <w:szCs w:val="24"/>
        </w:rPr>
      </w:pPr>
      <w:r w:rsidRPr="007B14AA">
        <w:rPr>
          <w:rFonts w:ascii="Times New Roman" w:hAnsi="Times New Roman" w:cs="Times New Roman"/>
          <w:sz w:val="24"/>
          <w:szCs w:val="24"/>
        </w:rPr>
        <w:t>Neema, K., &amp; Neema, A. (2016). UPI (Unified Payment Interface)–A new technique of digital payment: An explorative study. International Journal of Current Research in Multidisciplinary, 3(10), 1–10.</w:t>
      </w:r>
    </w:p>
    <w:p w14:paraId="734D8DDD" w14:textId="77777777" w:rsidR="007B14AA" w:rsidRPr="007B14AA" w:rsidRDefault="007B14AA" w:rsidP="00F403F5">
      <w:pPr>
        <w:pStyle w:val="ListParagraph"/>
        <w:numPr>
          <w:ilvl w:val="0"/>
          <w:numId w:val="9"/>
        </w:numPr>
        <w:jc w:val="both"/>
        <w:rPr>
          <w:rFonts w:ascii="Times New Roman" w:hAnsi="Times New Roman" w:cs="Times New Roman"/>
          <w:sz w:val="24"/>
          <w:szCs w:val="24"/>
        </w:rPr>
      </w:pPr>
      <w:r w:rsidRPr="007B14AA">
        <w:rPr>
          <w:rFonts w:ascii="Times New Roman" w:hAnsi="Times New Roman" w:cs="Times New Roman"/>
          <w:sz w:val="24"/>
          <w:szCs w:val="24"/>
        </w:rPr>
        <w:t>Narayanan, J. (2021). A study on growth of UPI apps in India after COVID outbreak. International Journal of Emerging Technologies and Innovative Research, 8(9), c333–c338.</w:t>
      </w:r>
    </w:p>
    <w:p w14:paraId="014858C4" w14:textId="77777777" w:rsidR="007B14AA" w:rsidRDefault="007B14AA" w:rsidP="00F403F5">
      <w:pPr>
        <w:pStyle w:val="ListParagraph"/>
        <w:numPr>
          <w:ilvl w:val="0"/>
          <w:numId w:val="9"/>
        </w:numPr>
        <w:jc w:val="both"/>
        <w:rPr>
          <w:rFonts w:ascii="Times New Roman" w:hAnsi="Times New Roman" w:cs="Times New Roman"/>
          <w:sz w:val="24"/>
          <w:szCs w:val="24"/>
        </w:rPr>
      </w:pPr>
      <w:r w:rsidRPr="007B14AA">
        <w:rPr>
          <w:rFonts w:ascii="Times New Roman" w:hAnsi="Times New Roman" w:cs="Times New Roman"/>
          <w:sz w:val="24"/>
          <w:szCs w:val="24"/>
        </w:rPr>
        <w:t xml:space="preserve">Reserve Bank of India. (2023). Handbook of Statistics on the Indian Economy 2022–23. Retrieved from </w:t>
      </w:r>
      <w:hyperlink r:id="rId12" w:history="1">
        <w:r w:rsidR="00CB766C" w:rsidRPr="002814B6">
          <w:rPr>
            <w:rStyle w:val="Hyperlink"/>
            <w:rFonts w:ascii="Times New Roman" w:hAnsi="Times New Roman" w:cs="Times New Roman"/>
            <w:sz w:val="24"/>
            <w:szCs w:val="24"/>
          </w:rPr>
          <w:t>https://www.rbi.org.in</w:t>
        </w:r>
      </w:hyperlink>
    </w:p>
    <w:p w14:paraId="4F8205E2" w14:textId="77777777" w:rsidR="00CB766C" w:rsidRPr="00CB766C" w:rsidRDefault="00CB766C" w:rsidP="00F403F5">
      <w:pPr>
        <w:pStyle w:val="ListParagraph"/>
        <w:numPr>
          <w:ilvl w:val="0"/>
          <w:numId w:val="9"/>
        </w:numPr>
        <w:jc w:val="both"/>
        <w:rPr>
          <w:rFonts w:ascii="Times New Roman" w:hAnsi="Times New Roman" w:cs="Times New Roman"/>
          <w:sz w:val="24"/>
          <w:szCs w:val="24"/>
        </w:rPr>
      </w:pPr>
      <w:r w:rsidRPr="00CB766C">
        <w:rPr>
          <w:rFonts w:ascii="Times New Roman" w:hAnsi="Times New Roman" w:cs="Times New Roman"/>
          <w:sz w:val="24"/>
          <w:szCs w:val="24"/>
        </w:rPr>
        <w:t>World Bank, 2022. The Global Findex Database 2021: Financial Inclusion, Digital Payments, and Resilience in the Age of COVID-19. Washington, DC: World Bank. Available at: https://globalfindex.worldbank.org/ [Accessed 22 May 2025].</w:t>
      </w:r>
    </w:p>
    <w:p w14:paraId="4A288F29" w14:textId="77777777" w:rsidR="00107067" w:rsidRPr="007B14AA" w:rsidRDefault="007B14AA" w:rsidP="00F403F5">
      <w:pPr>
        <w:pStyle w:val="ListParagraph"/>
        <w:numPr>
          <w:ilvl w:val="0"/>
          <w:numId w:val="9"/>
        </w:numPr>
        <w:jc w:val="both"/>
        <w:rPr>
          <w:rFonts w:ascii="Times New Roman" w:hAnsi="Times New Roman" w:cs="Times New Roman"/>
          <w:sz w:val="24"/>
          <w:szCs w:val="24"/>
        </w:rPr>
      </w:pPr>
      <w:r w:rsidRPr="007B14AA">
        <w:rPr>
          <w:rFonts w:ascii="Times New Roman" w:hAnsi="Times New Roman" w:cs="Times New Roman"/>
          <w:sz w:val="24"/>
          <w:szCs w:val="24"/>
        </w:rPr>
        <w:t>World Bank. (2023). Broad money (% of GDP). Retrieved from https://data.worldbank.org/indicator/FM.LBL.BMNY.GD.ZS</w:t>
      </w:r>
    </w:p>
    <w:p w14:paraId="1108F7F5" w14:textId="16A010EC" w:rsidR="00D93FDD" w:rsidRDefault="006D3020">
      <w:r>
        <w:t>Appendix</w:t>
      </w:r>
    </w:p>
    <w:p w14:paraId="201D203D" w14:textId="77777777" w:rsidR="00931E50" w:rsidRDefault="00931E50"/>
    <w:p w14:paraId="186A7A69" w14:textId="77777777" w:rsidR="00931E50" w:rsidRPr="00315F1F" w:rsidRDefault="00315F1F">
      <w:pPr>
        <w:rPr>
          <w:rFonts w:ascii="Times New Roman" w:hAnsi="Times New Roman" w:cs="Times New Roman"/>
          <w:b/>
          <w:sz w:val="24"/>
          <w:szCs w:val="24"/>
        </w:rPr>
      </w:pPr>
      <w:r w:rsidRPr="00315F1F">
        <w:rPr>
          <w:rFonts w:ascii="Times New Roman" w:hAnsi="Times New Roman" w:cs="Times New Roman"/>
          <w:b/>
          <w:sz w:val="24"/>
          <w:szCs w:val="24"/>
        </w:rPr>
        <w:t>Structured Questionnaire</w:t>
      </w:r>
    </w:p>
    <w:p w14:paraId="47E6D51A" w14:textId="77777777" w:rsidR="00931E50" w:rsidRPr="00332EFA" w:rsidRDefault="00931E50" w:rsidP="00332EFA">
      <w:pPr>
        <w:spacing w:after="0" w:line="240" w:lineRule="auto"/>
        <w:ind w:left="720" w:hanging="360"/>
        <w:rPr>
          <w:rFonts w:ascii="Times New Roman" w:hAnsi="Times New Roman" w:cs="Times New Roman"/>
          <w:sz w:val="24"/>
          <w:szCs w:val="24"/>
          <w:u w:val="single"/>
        </w:rPr>
      </w:pPr>
      <w:r w:rsidRPr="00332EFA">
        <w:rPr>
          <w:rFonts w:ascii="Times New Roman" w:hAnsi="Times New Roman" w:cs="Times New Roman"/>
          <w:sz w:val="24"/>
          <w:szCs w:val="24"/>
          <w:u w:val="single"/>
        </w:rPr>
        <w:t>Background details:-</w:t>
      </w:r>
    </w:p>
    <w:p w14:paraId="7D8A20CE" w14:textId="77777777" w:rsidR="00931E50" w:rsidRPr="00332EFA" w:rsidRDefault="00931E50" w:rsidP="00332EFA">
      <w:pPr>
        <w:spacing w:after="0" w:line="240" w:lineRule="auto"/>
        <w:ind w:left="720" w:hanging="360"/>
        <w:rPr>
          <w:rFonts w:ascii="Times New Roman" w:hAnsi="Times New Roman" w:cs="Times New Roman"/>
          <w:sz w:val="24"/>
          <w:szCs w:val="24"/>
        </w:rPr>
      </w:pPr>
      <w:r w:rsidRPr="00332EFA">
        <w:rPr>
          <w:rFonts w:ascii="Times New Roman" w:hAnsi="Times New Roman" w:cs="Times New Roman"/>
          <w:sz w:val="24"/>
          <w:szCs w:val="24"/>
        </w:rPr>
        <w:t xml:space="preserve">Name: </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Age:</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p>
    <w:p w14:paraId="37198149" w14:textId="77777777" w:rsidR="00931E50" w:rsidRPr="00332EFA" w:rsidRDefault="00931E50" w:rsidP="00332EFA">
      <w:pPr>
        <w:spacing w:after="0" w:line="240" w:lineRule="auto"/>
        <w:ind w:left="720" w:hanging="360"/>
        <w:rPr>
          <w:rFonts w:ascii="Times New Roman" w:hAnsi="Times New Roman" w:cs="Times New Roman"/>
          <w:sz w:val="24"/>
          <w:szCs w:val="24"/>
        </w:rPr>
      </w:pPr>
      <w:r w:rsidRPr="00332EFA">
        <w:rPr>
          <w:rFonts w:ascii="Times New Roman" w:hAnsi="Times New Roman" w:cs="Times New Roman"/>
          <w:sz w:val="24"/>
          <w:szCs w:val="24"/>
        </w:rPr>
        <w:t>Sex:</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Education:</w:t>
      </w:r>
      <w:r w:rsidRPr="00332EFA">
        <w:rPr>
          <w:rFonts w:ascii="Times New Roman" w:hAnsi="Times New Roman" w:cs="Times New Roman"/>
          <w:sz w:val="24"/>
          <w:szCs w:val="24"/>
        </w:rPr>
        <w:tab/>
      </w:r>
      <w:r w:rsidRPr="00332EFA">
        <w:rPr>
          <w:rFonts w:ascii="Times New Roman" w:hAnsi="Times New Roman" w:cs="Times New Roman"/>
          <w:sz w:val="24"/>
          <w:szCs w:val="24"/>
        </w:rPr>
        <w:tab/>
      </w:r>
    </w:p>
    <w:p w14:paraId="6881B07F" w14:textId="77777777" w:rsidR="00931E50" w:rsidRPr="00332EFA" w:rsidRDefault="00931E50" w:rsidP="00332EFA">
      <w:pPr>
        <w:spacing w:after="0" w:line="240" w:lineRule="auto"/>
        <w:ind w:left="720" w:hanging="360"/>
        <w:rPr>
          <w:rFonts w:ascii="Times New Roman" w:hAnsi="Times New Roman" w:cs="Times New Roman"/>
          <w:sz w:val="24"/>
          <w:szCs w:val="24"/>
        </w:rPr>
      </w:pPr>
      <w:r w:rsidRPr="00332EFA">
        <w:rPr>
          <w:rFonts w:ascii="Times New Roman" w:hAnsi="Times New Roman" w:cs="Times New Roman"/>
          <w:sz w:val="24"/>
          <w:szCs w:val="24"/>
        </w:rPr>
        <w:t>Occupation:</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Family type:</w:t>
      </w:r>
    </w:p>
    <w:p w14:paraId="525CF651" w14:textId="77777777" w:rsidR="00931E50" w:rsidRPr="00332EFA" w:rsidRDefault="00931E50" w:rsidP="00332EFA">
      <w:pPr>
        <w:spacing w:after="0" w:line="240" w:lineRule="auto"/>
        <w:ind w:left="720" w:hanging="360"/>
        <w:rPr>
          <w:rFonts w:ascii="Times New Roman" w:hAnsi="Times New Roman" w:cs="Times New Roman"/>
          <w:sz w:val="24"/>
          <w:szCs w:val="24"/>
        </w:rPr>
      </w:pPr>
      <w:proofErr w:type="spellStart"/>
      <w:r w:rsidRPr="00332EFA">
        <w:rPr>
          <w:rFonts w:ascii="Times New Roman" w:hAnsi="Times New Roman" w:cs="Times New Roman"/>
          <w:sz w:val="24"/>
          <w:szCs w:val="24"/>
        </w:rPr>
        <w:t>No.of</w:t>
      </w:r>
      <w:proofErr w:type="spellEnd"/>
      <w:r w:rsidRPr="00332EFA">
        <w:rPr>
          <w:rFonts w:ascii="Times New Roman" w:hAnsi="Times New Roman" w:cs="Times New Roman"/>
          <w:sz w:val="24"/>
          <w:szCs w:val="24"/>
        </w:rPr>
        <w:t xml:space="preserve"> members:</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Income:</w:t>
      </w:r>
    </w:p>
    <w:p w14:paraId="536256C5" w14:textId="77777777" w:rsidR="00931E50" w:rsidRPr="00332EFA" w:rsidRDefault="00931E50" w:rsidP="00332EFA">
      <w:pPr>
        <w:spacing w:after="0" w:line="240" w:lineRule="auto"/>
        <w:ind w:left="720" w:hanging="360"/>
        <w:rPr>
          <w:rFonts w:ascii="Times New Roman" w:hAnsi="Times New Roman" w:cs="Times New Roman"/>
          <w:sz w:val="24"/>
          <w:szCs w:val="24"/>
        </w:rPr>
      </w:pPr>
    </w:p>
    <w:p w14:paraId="7EA79922" w14:textId="77777777" w:rsidR="00931E50" w:rsidRPr="00401910" w:rsidRDefault="00401910" w:rsidP="00332EFA">
      <w:pPr>
        <w:spacing w:after="0" w:line="240" w:lineRule="auto"/>
        <w:ind w:left="720" w:hanging="360"/>
        <w:rPr>
          <w:rFonts w:ascii="Times New Roman" w:hAnsi="Times New Roman" w:cs="Times New Roman"/>
          <w:b/>
          <w:sz w:val="24"/>
          <w:szCs w:val="24"/>
        </w:rPr>
      </w:pPr>
      <w:r w:rsidRPr="00401910">
        <w:rPr>
          <w:rFonts w:ascii="Times New Roman" w:hAnsi="Times New Roman" w:cs="Times New Roman"/>
          <w:b/>
          <w:sz w:val="24"/>
          <w:szCs w:val="24"/>
        </w:rPr>
        <w:t>PART</w:t>
      </w:r>
      <w:r>
        <w:rPr>
          <w:rFonts w:ascii="Times New Roman" w:hAnsi="Times New Roman" w:cs="Times New Roman"/>
          <w:b/>
          <w:sz w:val="24"/>
          <w:szCs w:val="24"/>
        </w:rPr>
        <w:t xml:space="preserve"> </w:t>
      </w:r>
      <w:r w:rsidRPr="00401910">
        <w:rPr>
          <w:rFonts w:ascii="Times New Roman" w:hAnsi="Times New Roman" w:cs="Times New Roman"/>
          <w:b/>
          <w:sz w:val="24"/>
          <w:szCs w:val="24"/>
        </w:rPr>
        <w:t>-</w:t>
      </w:r>
      <w:r>
        <w:rPr>
          <w:rFonts w:ascii="Times New Roman" w:hAnsi="Times New Roman" w:cs="Times New Roman"/>
          <w:b/>
          <w:sz w:val="24"/>
          <w:szCs w:val="24"/>
        </w:rPr>
        <w:t xml:space="preserve"> Ι</w:t>
      </w:r>
      <w:r w:rsidR="00931E50" w:rsidRPr="00401910">
        <w:rPr>
          <w:rFonts w:ascii="Times New Roman" w:hAnsi="Times New Roman" w:cs="Times New Roman"/>
          <w:b/>
          <w:sz w:val="24"/>
          <w:szCs w:val="24"/>
        </w:rPr>
        <w:t xml:space="preserve"> </w:t>
      </w:r>
    </w:p>
    <w:p w14:paraId="7EAA97D2" w14:textId="77777777" w:rsidR="00931E50" w:rsidRPr="00332EFA" w:rsidRDefault="00931E50" w:rsidP="00332EFA">
      <w:pPr>
        <w:pStyle w:val="ListParagraph"/>
        <w:numPr>
          <w:ilvl w:val="0"/>
          <w:numId w:val="18"/>
        </w:numPr>
        <w:spacing w:after="0" w:line="240" w:lineRule="auto"/>
        <w:ind w:left="709" w:hanging="425"/>
        <w:rPr>
          <w:rFonts w:ascii="Times New Roman" w:hAnsi="Times New Roman" w:cs="Times New Roman"/>
          <w:sz w:val="24"/>
          <w:szCs w:val="24"/>
        </w:rPr>
      </w:pPr>
      <w:r w:rsidRPr="00332EFA">
        <w:rPr>
          <w:rFonts w:ascii="Times New Roman" w:hAnsi="Times New Roman" w:cs="Times New Roman"/>
          <w:sz w:val="24"/>
          <w:szCs w:val="24"/>
        </w:rPr>
        <w:t>Do you have android phone</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p>
    <w:p w14:paraId="718F57D6" w14:textId="77777777" w:rsidR="00931E50" w:rsidRPr="00332EFA" w:rsidRDefault="00931E50" w:rsidP="00332EFA">
      <w:pPr>
        <w:pStyle w:val="ListParagraph"/>
        <w:spacing w:after="0" w:line="240" w:lineRule="auto"/>
        <w:rPr>
          <w:rFonts w:ascii="Times New Roman" w:hAnsi="Times New Roman" w:cs="Times New Roman"/>
          <w:sz w:val="24"/>
          <w:szCs w:val="24"/>
        </w:rPr>
      </w:pPr>
      <w:proofErr w:type="gramStart"/>
      <w:r w:rsidRPr="00332EFA">
        <w:rPr>
          <w:rFonts w:ascii="Times New Roman" w:hAnsi="Times New Roman" w:cs="Times New Roman"/>
          <w:sz w:val="24"/>
          <w:szCs w:val="24"/>
        </w:rPr>
        <w:t>a)Yes</w:t>
      </w:r>
      <w:proofErr w:type="gramEnd"/>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23299305" w14:textId="77777777" w:rsidR="00931E50" w:rsidRPr="00332EFA" w:rsidRDefault="00931E50" w:rsidP="00332EFA">
      <w:pPr>
        <w:pStyle w:val="ListParagraph"/>
        <w:numPr>
          <w:ilvl w:val="0"/>
          <w:numId w:val="18"/>
        </w:numPr>
        <w:spacing w:after="0" w:line="240" w:lineRule="auto"/>
        <w:ind w:left="709" w:hanging="425"/>
        <w:rPr>
          <w:rFonts w:ascii="Times New Roman" w:hAnsi="Times New Roman" w:cs="Times New Roman"/>
          <w:sz w:val="24"/>
          <w:szCs w:val="24"/>
        </w:rPr>
      </w:pPr>
      <w:r w:rsidRPr="00332EFA">
        <w:rPr>
          <w:rFonts w:ascii="Times New Roman" w:hAnsi="Times New Roman" w:cs="Times New Roman"/>
          <w:sz w:val="24"/>
          <w:szCs w:val="24"/>
        </w:rPr>
        <w:t>Do you know how to use android phone</w:t>
      </w:r>
      <w:r w:rsidRPr="00332EFA">
        <w:rPr>
          <w:rFonts w:ascii="Times New Roman" w:hAnsi="Times New Roman" w:cs="Times New Roman"/>
          <w:sz w:val="24"/>
          <w:szCs w:val="24"/>
        </w:rPr>
        <w:tab/>
      </w:r>
    </w:p>
    <w:p w14:paraId="0CF9FE69" w14:textId="77777777" w:rsidR="00931E50" w:rsidRPr="00332EFA" w:rsidRDefault="00931E50" w:rsidP="00332EFA">
      <w:pPr>
        <w:spacing w:after="0" w:line="240" w:lineRule="auto"/>
        <w:ind w:firstLine="709"/>
        <w:rPr>
          <w:rFonts w:ascii="Times New Roman" w:hAnsi="Times New Roman" w:cs="Times New Roman"/>
          <w:sz w:val="24"/>
          <w:szCs w:val="24"/>
        </w:rPr>
      </w:pPr>
      <w:proofErr w:type="gramStart"/>
      <w:r w:rsidRPr="00332EFA">
        <w:rPr>
          <w:rFonts w:ascii="Times New Roman" w:hAnsi="Times New Roman" w:cs="Times New Roman"/>
          <w:sz w:val="24"/>
          <w:szCs w:val="24"/>
        </w:rPr>
        <w:t>a)Yes</w:t>
      </w:r>
      <w:proofErr w:type="gramEnd"/>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6DA1C295" w14:textId="77777777" w:rsidR="00931E50" w:rsidRPr="00332EFA" w:rsidRDefault="00931E50" w:rsidP="00332EFA">
      <w:pPr>
        <w:pStyle w:val="ListParagraph"/>
        <w:numPr>
          <w:ilvl w:val="0"/>
          <w:numId w:val="18"/>
        </w:numPr>
        <w:spacing w:after="0" w:line="240" w:lineRule="auto"/>
        <w:ind w:left="709" w:hanging="425"/>
        <w:rPr>
          <w:rFonts w:ascii="Times New Roman" w:hAnsi="Times New Roman" w:cs="Times New Roman"/>
          <w:sz w:val="24"/>
          <w:szCs w:val="24"/>
        </w:rPr>
      </w:pPr>
      <w:r w:rsidRPr="00332EFA">
        <w:rPr>
          <w:rFonts w:ascii="Times New Roman" w:hAnsi="Times New Roman" w:cs="Times New Roman"/>
          <w:sz w:val="24"/>
          <w:szCs w:val="24"/>
        </w:rPr>
        <w:t>Is any banking app installed</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p>
    <w:p w14:paraId="71B2B00F" w14:textId="77777777" w:rsidR="00931E50" w:rsidRPr="00332EFA" w:rsidRDefault="00931E50" w:rsidP="00332EFA">
      <w:pPr>
        <w:spacing w:after="0" w:line="240" w:lineRule="auto"/>
        <w:ind w:firstLine="709"/>
        <w:rPr>
          <w:rFonts w:ascii="Times New Roman" w:hAnsi="Times New Roman" w:cs="Times New Roman"/>
          <w:sz w:val="24"/>
          <w:szCs w:val="24"/>
        </w:rPr>
      </w:pPr>
      <w:proofErr w:type="gramStart"/>
      <w:r w:rsidRPr="00332EFA">
        <w:rPr>
          <w:rFonts w:ascii="Times New Roman" w:hAnsi="Times New Roman" w:cs="Times New Roman"/>
          <w:sz w:val="24"/>
          <w:szCs w:val="24"/>
        </w:rPr>
        <w:t>a)Yes</w:t>
      </w:r>
      <w:proofErr w:type="gramEnd"/>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6F1918DF" w14:textId="77777777" w:rsidR="00931E50" w:rsidRPr="00332EFA" w:rsidRDefault="00931E50" w:rsidP="00332EFA">
      <w:pPr>
        <w:pStyle w:val="ListParagraph"/>
        <w:numPr>
          <w:ilvl w:val="0"/>
          <w:numId w:val="18"/>
        </w:numPr>
        <w:spacing w:after="0" w:line="240" w:lineRule="auto"/>
        <w:ind w:left="709"/>
        <w:rPr>
          <w:rFonts w:ascii="Times New Roman" w:hAnsi="Times New Roman" w:cs="Times New Roman"/>
          <w:sz w:val="24"/>
          <w:szCs w:val="24"/>
        </w:rPr>
      </w:pPr>
      <w:r w:rsidRPr="00332EFA">
        <w:rPr>
          <w:rFonts w:ascii="Times New Roman" w:hAnsi="Times New Roman" w:cs="Times New Roman"/>
          <w:sz w:val="24"/>
          <w:szCs w:val="24"/>
        </w:rPr>
        <w:lastRenderedPageBreak/>
        <w:t>Are you aware of mobile banking services</w:t>
      </w:r>
      <w:r w:rsidRPr="00332EFA">
        <w:rPr>
          <w:rFonts w:ascii="Times New Roman" w:hAnsi="Times New Roman" w:cs="Times New Roman"/>
          <w:sz w:val="24"/>
          <w:szCs w:val="24"/>
        </w:rPr>
        <w:tab/>
      </w:r>
      <w:r w:rsidRPr="00332EFA">
        <w:rPr>
          <w:rFonts w:ascii="Times New Roman" w:hAnsi="Times New Roman" w:cs="Times New Roman"/>
          <w:sz w:val="24"/>
          <w:szCs w:val="24"/>
        </w:rPr>
        <w:tab/>
      </w:r>
    </w:p>
    <w:p w14:paraId="30DC12BB" w14:textId="77777777" w:rsidR="00931E50" w:rsidRPr="00332EFA" w:rsidRDefault="00931E50" w:rsidP="00332EFA">
      <w:pPr>
        <w:spacing w:after="0" w:line="240" w:lineRule="auto"/>
        <w:ind w:firstLine="709"/>
        <w:rPr>
          <w:rFonts w:ascii="Times New Roman" w:hAnsi="Times New Roman" w:cs="Times New Roman"/>
          <w:sz w:val="24"/>
          <w:szCs w:val="24"/>
        </w:rPr>
      </w:pPr>
      <w:proofErr w:type="gramStart"/>
      <w:r w:rsidRPr="00332EFA">
        <w:rPr>
          <w:rFonts w:ascii="Times New Roman" w:hAnsi="Times New Roman" w:cs="Times New Roman"/>
          <w:sz w:val="24"/>
          <w:szCs w:val="24"/>
        </w:rPr>
        <w:t>a)Yes</w:t>
      </w:r>
      <w:proofErr w:type="gramEnd"/>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05C7632F" w14:textId="77777777" w:rsidR="00931E50" w:rsidRPr="00332EFA" w:rsidRDefault="00931E50" w:rsidP="00332EFA">
      <w:pPr>
        <w:pStyle w:val="ListParagraph"/>
        <w:numPr>
          <w:ilvl w:val="0"/>
          <w:numId w:val="18"/>
        </w:numPr>
        <w:spacing w:after="0" w:line="240" w:lineRule="auto"/>
        <w:ind w:left="709"/>
        <w:rPr>
          <w:rFonts w:ascii="Times New Roman" w:hAnsi="Times New Roman" w:cs="Times New Roman"/>
          <w:sz w:val="24"/>
          <w:szCs w:val="24"/>
        </w:rPr>
      </w:pPr>
      <w:r w:rsidRPr="00332EFA">
        <w:rPr>
          <w:rFonts w:ascii="Times New Roman" w:hAnsi="Times New Roman" w:cs="Times New Roman"/>
          <w:sz w:val="24"/>
          <w:szCs w:val="24"/>
        </w:rPr>
        <w:t>Do you think mobile banking is safe</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r>
    </w:p>
    <w:p w14:paraId="4D34ADFB" w14:textId="77777777" w:rsidR="00931E50" w:rsidRPr="00332EFA" w:rsidRDefault="00931E50" w:rsidP="00332EFA">
      <w:pPr>
        <w:spacing w:after="0" w:line="240" w:lineRule="auto"/>
        <w:ind w:firstLine="709"/>
        <w:rPr>
          <w:rFonts w:ascii="Times New Roman" w:hAnsi="Times New Roman" w:cs="Times New Roman"/>
          <w:sz w:val="24"/>
          <w:szCs w:val="24"/>
        </w:rPr>
      </w:pPr>
      <w:proofErr w:type="gramStart"/>
      <w:r w:rsidRPr="00332EFA">
        <w:rPr>
          <w:rFonts w:ascii="Times New Roman" w:hAnsi="Times New Roman" w:cs="Times New Roman"/>
          <w:sz w:val="24"/>
          <w:szCs w:val="24"/>
        </w:rPr>
        <w:t>a)Yes</w:t>
      </w:r>
      <w:proofErr w:type="gramEnd"/>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790360F4" w14:textId="77777777" w:rsidR="00931E50" w:rsidRPr="00332EFA" w:rsidRDefault="00931E50" w:rsidP="00332EFA">
      <w:pPr>
        <w:pStyle w:val="ListParagraph"/>
        <w:numPr>
          <w:ilvl w:val="0"/>
          <w:numId w:val="18"/>
        </w:numPr>
        <w:spacing w:after="0" w:line="240" w:lineRule="auto"/>
        <w:ind w:left="709"/>
        <w:rPr>
          <w:rFonts w:ascii="Times New Roman" w:hAnsi="Times New Roman" w:cs="Times New Roman"/>
          <w:sz w:val="24"/>
          <w:szCs w:val="24"/>
        </w:rPr>
      </w:pPr>
      <w:r w:rsidRPr="00332EFA">
        <w:rPr>
          <w:rFonts w:ascii="Times New Roman" w:hAnsi="Times New Roman" w:cs="Times New Roman"/>
          <w:sz w:val="24"/>
          <w:szCs w:val="24"/>
        </w:rPr>
        <w:tab/>
        <w:t>Do you think mobile banking benefits you</w:t>
      </w:r>
      <w:r w:rsidRPr="00332EFA">
        <w:rPr>
          <w:rFonts w:ascii="Times New Roman" w:hAnsi="Times New Roman" w:cs="Times New Roman"/>
          <w:sz w:val="24"/>
          <w:szCs w:val="24"/>
        </w:rPr>
        <w:tab/>
      </w:r>
      <w:r w:rsidRPr="00332EFA">
        <w:rPr>
          <w:rFonts w:ascii="Times New Roman" w:hAnsi="Times New Roman" w:cs="Times New Roman"/>
          <w:sz w:val="24"/>
          <w:szCs w:val="24"/>
        </w:rPr>
        <w:tab/>
      </w:r>
    </w:p>
    <w:p w14:paraId="11AB6AA1" w14:textId="77777777" w:rsidR="00931E50" w:rsidRPr="00332EFA" w:rsidRDefault="00931E50" w:rsidP="00332EFA">
      <w:pPr>
        <w:spacing w:after="0" w:line="240" w:lineRule="auto"/>
        <w:ind w:firstLine="709"/>
        <w:rPr>
          <w:rFonts w:ascii="Times New Roman" w:hAnsi="Times New Roman" w:cs="Times New Roman"/>
          <w:sz w:val="24"/>
          <w:szCs w:val="24"/>
        </w:rPr>
      </w:pPr>
      <w:proofErr w:type="gramStart"/>
      <w:r w:rsidRPr="00332EFA">
        <w:rPr>
          <w:rFonts w:ascii="Times New Roman" w:hAnsi="Times New Roman" w:cs="Times New Roman"/>
          <w:sz w:val="24"/>
          <w:szCs w:val="24"/>
        </w:rPr>
        <w:t>a)Yes</w:t>
      </w:r>
      <w:proofErr w:type="gramEnd"/>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78264ADF" w14:textId="77777777" w:rsidR="00931E50" w:rsidRPr="00332EFA" w:rsidRDefault="00931E50" w:rsidP="00332EFA">
      <w:pPr>
        <w:pStyle w:val="ListParagraph"/>
        <w:spacing w:after="0" w:line="240" w:lineRule="auto"/>
        <w:ind w:left="709"/>
        <w:rPr>
          <w:rFonts w:ascii="Times New Roman" w:hAnsi="Times New Roman" w:cs="Times New Roman"/>
          <w:sz w:val="24"/>
          <w:szCs w:val="24"/>
        </w:rPr>
      </w:pPr>
    </w:p>
    <w:p w14:paraId="7013498A" w14:textId="77777777" w:rsidR="00931E50" w:rsidRPr="00401910" w:rsidRDefault="00401910" w:rsidP="00332EFA">
      <w:pPr>
        <w:spacing w:after="0" w:line="240" w:lineRule="auto"/>
        <w:rPr>
          <w:rFonts w:ascii="Times New Roman" w:hAnsi="Times New Roman" w:cs="Times New Roman"/>
          <w:b/>
          <w:sz w:val="24"/>
          <w:szCs w:val="24"/>
        </w:rPr>
      </w:pPr>
      <w:r w:rsidRPr="00401910">
        <w:rPr>
          <w:rFonts w:ascii="Times New Roman" w:hAnsi="Times New Roman" w:cs="Times New Roman"/>
          <w:b/>
          <w:sz w:val="24"/>
          <w:szCs w:val="24"/>
        </w:rPr>
        <w:t xml:space="preserve">PART - </w:t>
      </w:r>
      <w:r w:rsidR="00931E50" w:rsidRPr="00401910">
        <w:rPr>
          <w:rFonts w:ascii="Times New Roman" w:hAnsi="Times New Roman" w:cs="Times New Roman"/>
          <w:b/>
          <w:sz w:val="24"/>
          <w:szCs w:val="24"/>
        </w:rPr>
        <w:t>ΙΙ.</w:t>
      </w:r>
    </w:p>
    <w:p w14:paraId="2EF92F24" w14:textId="77777777" w:rsidR="00931E50" w:rsidRPr="00332EFA" w:rsidRDefault="00931E50" w:rsidP="00401910">
      <w:pPr>
        <w:pStyle w:val="ListParagraph"/>
        <w:numPr>
          <w:ilvl w:val="0"/>
          <w:numId w:val="10"/>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Are you familiar with UPI payment?</w:t>
      </w:r>
    </w:p>
    <w:p w14:paraId="2892433C"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0E2A0F65" w14:textId="77777777" w:rsidR="00931E50" w:rsidRPr="00332EFA" w:rsidRDefault="00931E50" w:rsidP="00401910">
      <w:pPr>
        <w:pStyle w:val="ListParagraph"/>
        <w:numPr>
          <w:ilvl w:val="0"/>
          <w:numId w:val="11"/>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Yes</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7E9D4AD0"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734C0572" w14:textId="77777777" w:rsidR="00931E50" w:rsidRPr="00332EFA" w:rsidRDefault="00931E50" w:rsidP="00401910">
      <w:pPr>
        <w:pStyle w:val="ListParagraph"/>
        <w:numPr>
          <w:ilvl w:val="0"/>
          <w:numId w:val="10"/>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Do you know about UPI online transaction?</w:t>
      </w:r>
    </w:p>
    <w:p w14:paraId="4679D83B"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4B6925FA" w14:textId="77777777" w:rsidR="00931E50" w:rsidRPr="00332EFA" w:rsidRDefault="00931E50" w:rsidP="00401910">
      <w:pPr>
        <w:pStyle w:val="ListParagraph"/>
        <w:numPr>
          <w:ilvl w:val="0"/>
          <w:numId w:val="12"/>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Yes</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1BE2B9CB"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63FE6FA5" w14:textId="77777777" w:rsidR="00931E50" w:rsidRPr="00332EFA" w:rsidRDefault="00931E50" w:rsidP="00401910">
      <w:pPr>
        <w:pStyle w:val="ListParagraph"/>
        <w:numPr>
          <w:ilvl w:val="0"/>
          <w:numId w:val="10"/>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Have you transferred money using UPI payment facility?</w:t>
      </w:r>
    </w:p>
    <w:p w14:paraId="330DF10C"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38E5269C" w14:textId="77777777" w:rsidR="00931E50" w:rsidRPr="00332EFA" w:rsidRDefault="00931E50" w:rsidP="00401910">
      <w:pPr>
        <w:pStyle w:val="ListParagraph"/>
        <w:numPr>
          <w:ilvl w:val="0"/>
          <w:numId w:val="13"/>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Yes</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4A0712ED"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0C6DE94A" w14:textId="77777777" w:rsidR="00931E50" w:rsidRPr="00332EFA" w:rsidRDefault="00931E50" w:rsidP="00401910">
      <w:pPr>
        <w:pStyle w:val="ListParagraph"/>
        <w:numPr>
          <w:ilvl w:val="0"/>
          <w:numId w:val="10"/>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Which type of UPI payment have you used?</w:t>
      </w:r>
    </w:p>
    <w:p w14:paraId="6F9B7187"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395F4A58" w14:textId="77777777" w:rsidR="00931E50" w:rsidRPr="00332EFA" w:rsidRDefault="00931E50" w:rsidP="00401910">
      <w:pPr>
        <w:pStyle w:val="ListParagraph"/>
        <w:numPr>
          <w:ilvl w:val="0"/>
          <w:numId w:val="14"/>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Yes</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17B3E704"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6BB23E25" w14:textId="77777777" w:rsidR="00931E50" w:rsidRPr="00332EFA" w:rsidRDefault="00931E50" w:rsidP="00401910">
      <w:pPr>
        <w:pStyle w:val="ListParagraph"/>
        <w:numPr>
          <w:ilvl w:val="0"/>
          <w:numId w:val="10"/>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 xml:space="preserve">UPI payment facility is very reliable </w:t>
      </w:r>
    </w:p>
    <w:p w14:paraId="30070C66"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197381BE" w14:textId="77777777" w:rsidR="00931E50" w:rsidRPr="00332EFA" w:rsidRDefault="00931E50" w:rsidP="00401910">
      <w:pPr>
        <w:pStyle w:val="ListParagraph"/>
        <w:numPr>
          <w:ilvl w:val="0"/>
          <w:numId w:val="15"/>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Yes</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7F4523F2"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1A80F786" w14:textId="77777777" w:rsidR="00931E50" w:rsidRPr="00332EFA" w:rsidRDefault="00931E50" w:rsidP="00401910">
      <w:pPr>
        <w:pStyle w:val="ListParagraph"/>
        <w:numPr>
          <w:ilvl w:val="0"/>
          <w:numId w:val="10"/>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Do you know how to check your balance through UPI?</w:t>
      </w:r>
    </w:p>
    <w:p w14:paraId="60A485DA"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22AFE28D" w14:textId="77777777" w:rsidR="00931E50" w:rsidRPr="00332EFA" w:rsidRDefault="00931E50" w:rsidP="00401910">
      <w:pPr>
        <w:pStyle w:val="ListParagraph"/>
        <w:numPr>
          <w:ilvl w:val="0"/>
          <w:numId w:val="16"/>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Yes</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5092F358"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308E52AF" w14:textId="77777777" w:rsidR="00931E50" w:rsidRPr="00332EFA" w:rsidRDefault="00931E50" w:rsidP="00401910">
      <w:pPr>
        <w:pStyle w:val="ListParagraph"/>
        <w:numPr>
          <w:ilvl w:val="0"/>
          <w:numId w:val="10"/>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Do you think, UPI is useful to everyone?</w:t>
      </w:r>
    </w:p>
    <w:p w14:paraId="5F06C3A3" w14:textId="77777777" w:rsidR="00931E50" w:rsidRPr="00332EFA" w:rsidRDefault="00931E50" w:rsidP="00401910">
      <w:pPr>
        <w:pStyle w:val="ListParagraph"/>
        <w:spacing w:after="0" w:line="240" w:lineRule="atLeast"/>
        <w:rPr>
          <w:rFonts w:ascii="Times New Roman" w:hAnsi="Times New Roman" w:cs="Times New Roman"/>
          <w:sz w:val="24"/>
          <w:szCs w:val="24"/>
        </w:rPr>
      </w:pPr>
    </w:p>
    <w:p w14:paraId="218C29AC" w14:textId="77777777" w:rsidR="00931E50" w:rsidRPr="00332EFA" w:rsidRDefault="00931E50" w:rsidP="00401910">
      <w:pPr>
        <w:pStyle w:val="ListParagraph"/>
        <w:numPr>
          <w:ilvl w:val="0"/>
          <w:numId w:val="17"/>
        </w:numPr>
        <w:spacing w:after="0" w:line="240" w:lineRule="atLeast"/>
        <w:rPr>
          <w:rFonts w:ascii="Times New Roman" w:hAnsi="Times New Roman" w:cs="Times New Roman"/>
          <w:sz w:val="24"/>
          <w:szCs w:val="24"/>
        </w:rPr>
      </w:pPr>
      <w:r w:rsidRPr="00332EFA">
        <w:rPr>
          <w:rFonts w:ascii="Times New Roman" w:hAnsi="Times New Roman" w:cs="Times New Roman"/>
          <w:sz w:val="24"/>
          <w:szCs w:val="24"/>
        </w:rPr>
        <w:t>Yes</w:t>
      </w:r>
      <w:r w:rsidRPr="00332EFA">
        <w:rPr>
          <w:rFonts w:ascii="Times New Roman" w:hAnsi="Times New Roman" w:cs="Times New Roman"/>
          <w:sz w:val="24"/>
          <w:szCs w:val="24"/>
        </w:rPr>
        <w:tab/>
      </w:r>
      <w:r w:rsidRPr="00332EFA">
        <w:rPr>
          <w:rFonts w:ascii="Times New Roman" w:hAnsi="Times New Roman" w:cs="Times New Roman"/>
          <w:sz w:val="24"/>
          <w:szCs w:val="24"/>
        </w:rPr>
        <w:tab/>
      </w:r>
      <w:r w:rsidRPr="00332EFA">
        <w:rPr>
          <w:rFonts w:ascii="Times New Roman" w:hAnsi="Times New Roman" w:cs="Times New Roman"/>
          <w:sz w:val="24"/>
          <w:szCs w:val="24"/>
        </w:rPr>
        <w:tab/>
        <w:t>b)  No</w:t>
      </w:r>
    </w:p>
    <w:p w14:paraId="19275CB7" w14:textId="77777777" w:rsidR="00931E50" w:rsidRPr="00332EFA" w:rsidRDefault="00931E50" w:rsidP="00332EFA">
      <w:pPr>
        <w:pStyle w:val="ListParagraph"/>
        <w:spacing w:after="0"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263"/>
        <w:gridCol w:w="1418"/>
        <w:gridCol w:w="1417"/>
        <w:gridCol w:w="1276"/>
        <w:gridCol w:w="1276"/>
        <w:gridCol w:w="1366"/>
      </w:tblGrid>
      <w:tr w:rsidR="00931E50" w:rsidRPr="00332EFA" w14:paraId="13E907C9" w14:textId="77777777" w:rsidTr="00A34669">
        <w:trPr>
          <w:jc w:val="center"/>
        </w:trPr>
        <w:tc>
          <w:tcPr>
            <w:tcW w:w="2263" w:type="dxa"/>
          </w:tcPr>
          <w:p w14:paraId="161C98EC"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Payment type</w:t>
            </w:r>
          </w:p>
        </w:tc>
        <w:tc>
          <w:tcPr>
            <w:tcW w:w="1418" w:type="dxa"/>
          </w:tcPr>
          <w:p w14:paraId="6223514D"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Strongly agree</w:t>
            </w:r>
          </w:p>
        </w:tc>
        <w:tc>
          <w:tcPr>
            <w:tcW w:w="1417" w:type="dxa"/>
          </w:tcPr>
          <w:p w14:paraId="7FF2E051"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Agree</w:t>
            </w:r>
          </w:p>
        </w:tc>
        <w:tc>
          <w:tcPr>
            <w:tcW w:w="1276" w:type="dxa"/>
          </w:tcPr>
          <w:p w14:paraId="23949277"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Neutral</w:t>
            </w:r>
          </w:p>
        </w:tc>
        <w:tc>
          <w:tcPr>
            <w:tcW w:w="1276" w:type="dxa"/>
          </w:tcPr>
          <w:p w14:paraId="15C3AFA2"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Disagree</w:t>
            </w:r>
          </w:p>
        </w:tc>
        <w:tc>
          <w:tcPr>
            <w:tcW w:w="1366" w:type="dxa"/>
          </w:tcPr>
          <w:p w14:paraId="0F358982"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Strongly disagree</w:t>
            </w:r>
          </w:p>
        </w:tc>
      </w:tr>
      <w:tr w:rsidR="00931E50" w:rsidRPr="00332EFA" w14:paraId="506C7D18" w14:textId="77777777" w:rsidTr="00A34669">
        <w:trPr>
          <w:jc w:val="center"/>
        </w:trPr>
        <w:tc>
          <w:tcPr>
            <w:tcW w:w="2263" w:type="dxa"/>
          </w:tcPr>
          <w:p w14:paraId="6DDC6F67"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DTH</w:t>
            </w:r>
          </w:p>
        </w:tc>
        <w:tc>
          <w:tcPr>
            <w:tcW w:w="1418" w:type="dxa"/>
          </w:tcPr>
          <w:p w14:paraId="3CAAA3E6" w14:textId="77777777" w:rsidR="00931E50" w:rsidRPr="00332EFA" w:rsidRDefault="00931E50" w:rsidP="00332EFA">
            <w:pPr>
              <w:pStyle w:val="ListParagraph"/>
              <w:ind w:left="0"/>
              <w:rPr>
                <w:rFonts w:ascii="Times New Roman" w:hAnsi="Times New Roman" w:cs="Times New Roman"/>
                <w:sz w:val="24"/>
                <w:szCs w:val="24"/>
              </w:rPr>
            </w:pPr>
          </w:p>
          <w:p w14:paraId="795E9487" w14:textId="77777777" w:rsidR="00931E50" w:rsidRPr="00332EFA" w:rsidRDefault="00931E50" w:rsidP="00332EFA">
            <w:pPr>
              <w:pStyle w:val="ListParagraph"/>
              <w:ind w:left="0"/>
              <w:rPr>
                <w:rFonts w:ascii="Times New Roman" w:hAnsi="Times New Roman" w:cs="Times New Roman"/>
                <w:sz w:val="24"/>
                <w:szCs w:val="24"/>
              </w:rPr>
            </w:pPr>
          </w:p>
        </w:tc>
        <w:tc>
          <w:tcPr>
            <w:tcW w:w="1417" w:type="dxa"/>
          </w:tcPr>
          <w:p w14:paraId="3C75076A"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70AA3776"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4D1E8E6C" w14:textId="77777777" w:rsidR="00931E50" w:rsidRPr="00332EFA" w:rsidRDefault="00931E50" w:rsidP="00332EFA">
            <w:pPr>
              <w:pStyle w:val="ListParagraph"/>
              <w:ind w:left="0"/>
              <w:rPr>
                <w:rFonts w:ascii="Times New Roman" w:hAnsi="Times New Roman" w:cs="Times New Roman"/>
                <w:sz w:val="24"/>
                <w:szCs w:val="24"/>
              </w:rPr>
            </w:pPr>
          </w:p>
        </w:tc>
        <w:tc>
          <w:tcPr>
            <w:tcW w:w="1366" w:type="dxa"/>
          </w:tcPr>
          <w:p w14:paraId="284A9615" w14:textId="77777777" w:rsidR="00931E50" w:rsidRPr="00332EFA" w:rsidRDefault="00931E50" w:rsidP="00332EFA">
            <w:pPr>
              <w:pStyle w:val="ListParagraph"/>
              <w:ind w:left="0"/>
              <w:rPr>
                <w:rFonts w:ascii="Times New Roman" w:hAnsi="Times New Roman" w:cs="Times New Roman"/>
                <w:sz w:val="24"/>
                <w:szCs w:val="24"/>
              </w:rPr>
            </w:pPr>
          </w:p>
        </w:tc>
      </w:tr>
      <w:tr w:rsidR="00931E50" w:rsidRPr="00332EFA" w14:paraId="2750D9CC" w14:textId="77777777" w:rsidTr="00A34669">
        <w:trPr>
          <w:jc w:val="center"/>
        </w:trPr>
        <w:tc>
          <w:tcPr>
            <w:tcW w:w="2263" w:type="dxa"/>
          </w:tcPr>
          <w:p w14:paraId="6D07D6E9"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Mobile recharge</w:t>
            </w:r>
          </w:p>
        </w:tc>
        <w:tc>
          <w:tcPr>
            <w:tcW w:w="1418" w:type="dxa"/>
          </w:tcPr>
          <w:p w14:paraId="60CC96A3" w14:textId="77777777" w:rsidR="00931E50" w:rsidRPr="00332EFA" w:rsidRDefault="00931E50" w:rsidP="00332EFA">
            <w:pPr>
              <w:pStyle w:val="ListParagraph"/>
              <w:ind w:left="0"/>
              <w:rPr>
                <w:rFonts w:ascii="Times New Roman" w:hAnsi="Times New Roman" w:cs="Times New Roman"/>
                <w:sz w:val="24"/>
                <w:szCs w:val="24"/>
              </w:rPr>
            </w:pPr>
          </w:p>
          <w:p w14:paraId="23BBDDEF" w14:textId="77777777" w:rsidR="00931E50" w:rsidRPr="00332EFA" w:rsidRDefault="00931E50" w:rsidP="00332EFA">
            <w:pPr>
              <w:pStyle w:val="ListParagraph"/>
              <w:ind w:left="0"/>
              <w:rPr>
                <w:rFonts w:ascii="Times New Roman" w:hAnsi="Times New Roman" w:cs="Times New Roman"/>
                <w:sz w:val="24"/>
                <w:szCs w:val="24"/>
              </w:rPr>
            </w:pPr>
          </w:p>
        </w:tc>
        <w:tc>
          <w:tcPr>
            <w:tcW w:w="1417" w:type="dxa"/>
          </w:tcPr>
          <w:p w14:paraId="793DD0D2"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5380EE91"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144D0845" w14:textId="77777777" w:rsidR="00931E50" w:rsidRPr="00332EFA" w:rsidRDefault="00931E50" w:rsidP="00332EFA">
            <w:pPr>
              <w:pStyle w:val="ListParagraph"/>
              <w:ind w:left="0"/>
              <w:rPr>
                <w:rFonts w:ascii="Times New Roman" w:hAnsi="Times New Roman" w:cs="Times New Roman"/>
                <w:sz w:val="24"/>
                <w:szCs w:val="24"/>
              </w:rPr>
            </w:pPr>
          </w:p>
        </w:tc>
        <w:tc>
          <w:tcPr>
            <w:tcW w:w="1366" w:type="dxa"/>
          </w:tcPr>
          <w:p w14:paraId="6A42FF81" w14:textId="77777777" w:rsidR="00931E50" w:rsidRPr="00332EFA" w:rsidRDefault="00931E50" w:rsidP="00332EFA">
            <w:pPr>
              <w:pStyle w:val="ListParagraph"/>
              <w:ind w:left="0"/>
              <w:rPr>
                <w:rFonts w:ascii="Times New Roman" w:hAnsi="Times New Roman" w:cs="Times New Roman"/>
                <w:sz w:val="24"/>
                <w:szCs w:val="24"/>
              </w:rPr>
            </w:pPr>
          </w:p>
        </w:tc>
      </w:tr>
      <w:tr w:rsidR="00931E50" w:rsidRPr="00332EFA" w14:paraId="30204CBA" w14:textId="77777777" w:rsidTr="00A34669">
        <w:trPr>
          <w:jc w:val="center"/>
        </w:trPr>
        <w:tc>
          <w:tcPr>
            <w:tcW w:w="2263" w:type="dxa"/>
          </w:tcPr>
          <w:p w14:paraId="63C02A18"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Grocery payment</w:t>
            </w:r>
          </w:p>
        </w:tc>
        <w:tc>
          <w:tcPr>
            <w:tcW w:w="1418" w:type="dxa"/>
          </w:tcPr>
          <w:p w14:paraId="5E1BC364" w14:textId="77777777" w:rsidR="00931E50" w:rsidRPr="00332EFA" w:rsidRDefault="00931E50" w:rsidP="00332EFA">
            <w:pPr>
              <w:pStyle w:val="ListParagraph"/>
              <w:ind w:left="0"/>
              <w:rPr>
                <w:rFonts w:ascii="Times New Roman" w:hAnsi="Times New Roman" w:cs="Times New Roman"/>
                <w:sz w:val="24"/>
                <w:szCs w:val="24"/>
              </w:rPr>
            </w:pPr>
          </w:p>
          <w:p w14:paraId="6A23CA03" w14:textId="77777777" w:rsidR="00931E50" w:rsidRPr="00332EFA" w:rsidRDefault="00931E50" w:rsidP="00332EFA">
            <w:pPr>
              <w:pStyle w:val="ListParagraph"/>
              <w:ind w:left="0"/>
              <w:rPr>
                <w:rFonts w:ascii="Times New Roman" w:hAnsi="Times New Roman" w:cs="Times New Roman"/>
                <w:sz w:val="24"/>
                <w:szCs w:val="24"/>
              </w:rPr>
            </w:pPr>
          </w:p>
        </w:tc>
        <w:tc>
          <w:tcPr>
            <w:tcW w:w="1417" w:type="dxa"/>
          </w:tcPr>
          <w:p w14:paraId="7A09CA80"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64AA828A"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7C5ED3A7" w14:textId="77777777" w:rsidR="00931E50" w:rsidRPr="00332EFA" w:rsidRDefault="00931E50" w:rsidP="00332EFA">
            <w:pPr>
              <w:pStyle w:val="ListParagraph"/>
              <w:ind w:left="0"/>
              <w:rPr>
                <w:rFonts w:ascii="Times New Roman" w:hAnsi="Times New Roman" w:cs="Times New Roman"/>
                <w:sz w:val="24"/>
                <w:szCs w:val="24"/>
              </w:rPr>
            </w:pPr>
          </w:p>
        </w:tc>
        <w:tc>
          <w:tcPr>
            <w:tcW w:w="1366" w:type="dxa"/>
          </w:tcPr>
          <w:p w14:paraId="5CEAA09B" w14:textId="77777777" w:rsidR="00931E50" w:rsidRPr="00332EFA" w:rsidRDefault="00931E50" w:rsidP="00332EFA">
            <w:pPr>
              <w:pStyle w:val="ListParagraph"/>
              <w:ind w:left="0"/>
              <w:rPr>
                <w:rFonts w:ascii="Times New Roman" w:hAnsi="Times New Roman" w:cs="Times New Roman"/>
                <w:sz w:val="24"/>
                <w:szCs w:val="24"/>
              </w:rPr>
            </w:pPr>
          </w:p>
        </w:tc>
      </w:tr>
      <w:tr w:rsidR="00931E50" w:rsidRPr="00332EFA" w14:paraId="53DA1DF4" w14:textId="77777777" w:rsidTr="00A34669">
        <w:trPr>
          <w:jc w:val="center"/>
        </w:trPr>
        <w:tc>
          <w:tcPr>
            <w:tcW w:w="2263" w:type="dxa"/>
          </w:tcPr>
          <w:p w14:paraId="622C3D0E"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Vegetable payment</w:t>
            </w:r>
          </w:p>
        </w:tc>
        <w:tc>
          <w:tcPr>
            <w:tcW w:w="1418" w:type="dxa"/>
          </w:tcPr>
          <w:p w14:paraId="562F38D9" w14:textId="77777777" w:rsidR="00931E50" w:rsidRPr="00332EFA" w:rsidRDefault="00931E50" w:rsidP="00332EFA">
            <w:pPr>
              <w:pStyle w:val="ListParagraph"/>
              <w:ind w:left="0"/>
              <w:rPr>
                <w:rFonts w:ascii="Times New Roman" w:hAnsi="Times New Roman" w:cs="Times New Roman"/>
                <w:sz w:val="24"/>
                <w:szCs w:val="24"/>
              </w:rPr>
            </w:pPr>
          </w:p>
          <w:p w14:paraId="6CA4B2D9" w14:textId="77777777" w:rsidR="00931E50" w:rsidRPr="00332EFA" w:rsidRDefault="00931E50" w:rsidP="00332EFA">
            <w:pPr>
              <w:pStyle w:val="ListParagraph"/>
              <w:ind w:left="0"/>
              <w:rPr>
                <w:rFonts w:ascii="Times New Roman" w:hAnsi="Times New Roman" w:cs="Times New Roman"/>
                <w:sz w:val="24"/>
                <w:szCs w:val="24"/>
              </w:rPr>
            </w:pPr>
          </w:p>
        </w:tc>
        <w:tc>
          <w:tcPr>
            <w:tcW w:w="1417" w:type="dxa"/>
          </w:tcPr>
          <w:p w14:paraId="056E1CC1"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6C51DD92"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1BAE127E" w14:textId="77777777" w:rsidR="00931E50" w:rsidRPr="00332EFA" w:rsidRDefault="00931E50" w:rsidP="00332EFA">
            <w:pPr>
              <w:pStyle w:val="ListParagraph"/>
              <w:ind w:left="0"/>
              <w:rPr>
                <w:rFonts w:ascii="Times New Roman" w:hAnsi="Times New Roman" w:cs="Times New Roman"/>
                <w:sz w:val="24"/>
                <w:szCs w:val="24"/>
              </w:rPr>
            </w:pPr>
          </w:p>
        </w:tc>
        <w:tc>
          <w:tcPr>
            <w:tcW w:w="1366" w:type="dxa"/>
          </w:tcPr>
          <w:p w14:paraId="00082758" w14:textId="77777777" w:rsidR="00931E50" w:rsidRPr="00332EFA" w:rsidRDefault="00931E50" w:rsidP="00332EFA">
            <w:pPr>
              <w:pStyle w:val="ListParagraph"/>
              <w:ind w:left="0"/>
              <w:rPr>
                <w:rFonts w:ascii="Times New Roman" w:hAnsi="Times New Roman" w:cs="Times New Roman"/>
                <w:sz w:val="24"/>
                <w:szCs w:val="24"/>
              </w:rPr>
            </w:pPr>
          </w:p>
        </w:tc>
      </w:tr>
      <w:tr w:rsidR="00931E50" w:rsidRPr="00332EFA" w14:paraId="3EAAFC32" w14:textId="77777777" w:rsidTr="00A34669">
        <w:trPr>
          <w:jc w:val="center"/>
        </w:trPr>
        <w:tc>
          <w:tcPr>
            <w:tcW w:w="2263" w:type="dxa"/>
          </w:tcPr>
          <w:p w14:paraId="71BC0250"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lastRenderedPageBreak/>
              <w:t>Electric bill</w:t>
            </w:r>
          </w:p>
        </w:tc>
        <w:tc>
          <w:tcPr>
            <w:tcW w:w="1418" w:type="dxa"/>
          </w:tcPr>
          <w:p w14:paraId="54B1BB63" w14:textId="77777777" w:rsidR="00931E50" w:rsidRPr="00332EFA" w:rsidRDefault="00931E50" w:rsidP="00332EFA">
            <w:pPr>
              <w:pStyle w:val="ListParagraph"/>
              <w:ind w:left="0"/>
              <w:rPr>
                <w:rFonts w:ascii="Times New Roman" w:hAnsi="Times New Roman" w:cs="Times New Roman"/>
                <w:sz w:val="24"/>
                <w:szCs w:val="24"/>
              </w:rPr>
            </w:pPr>
          </w:p>
          <w:p w14:paraId="416E966A" w14:textId="77777777" w:rsidR="00931E50" w:rsidRPr="00332EFA" w:rsidRDefault="00931E50" w:rsidP="00332EFA">
            <w:pPr>
              <w:pStyle w:val="ListParagraph"/>
              <w:ind w:left="0"/>
              <w:rPr>
                <w:rFonts w:ascii="Times New Roman" w:hAnsi="Times New Roman" w:cs="Times New Roman"/>
                <w:sz w:val="24"/>
                <w:szCs w:val="24"/>
              </w:rPr>
            </w:pPr>
          </w:p>
        </w:tc>
        <w:tc>
          <w:tcPr>
            <w:tcW w:w="1417" w:type="dxa"/>
          </w:tcPr>
          <w:p w14:paraId="4A8D24FE"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23D0FEDD"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23CE2EEA" w14:textId="77777777" w:rsidR="00931E50" w:rsidRPr="00332EFA" w:rsidRDefault="00931E50" w:rsidP="00332EFA">
            <w:pPr>
              <w:pStyle w:val="ListParagraph"/>
              <w:ind w:left="0"/>
              <w:rPr>
                <w:rFonts w:ascii="Times New Roman" w:hAnsi="Times New Roman" w:cs="Times New Roman"/>
                <w:sz w:val="24"/>
                <w:szCs w:val="24"/>
              </w:rPr>
            </w:pPr>
          </w:p>
        </w:tc>
        <w:tc>
          <w:tcPr>
            <w:tcW w:w="1366" w:type="dxa"/>
          </w:tcPr>
          <w:p w14:paraId="37EA9D8D" w14:textId="77777777" w:rsidR="00931E50" w:rsidRPr="00332EFA" w:rsidRDefault="00931E50" w:rsidP="00332EFA">
            <w:pPr>
              <w:pStyle w:val="ListParagraph"/>
              <w:ind w:left="0"/>
              <w:rPr>
                <w:rFonts w:ascii="Times New Roman" w:hAnsi="Times New Roman" w:cs="Times New Roman"/>
                <w:sz w:val="24"/>
                <w:szCs w:val="24"/>
              </w:rPr>
            </w:pPr>
          </w:p>
        </w:tc>
      </w:tr>
      <w:tr w:rsidR="00931E50" w:rsidRPr="00332EFA" w14:paraId="7E7B91B6" w14:textId="77777777" w:rsidTr="00A34669">
        <w:trPr>
          <w:jc w:val="center"/>
        </w:trPr>
        <w:tc>
          <w:tcPr>
            <w:tcW w:w="2263" w:type="dxa"/>
          </w:tcPr>
          <w:p w14:paraId="4099D910"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Shopping</w:t>
            </w:r>
          </w:p>
        </w:tc>
        <w:tc>
          <w:tcPr>
            <w:tcW w:w="1418" w:type="dxa"/>
          </w:tcPr>
          <w:p w14:paraId="69291EEA" w14:textId="77777777" w:rsidR="00931E50" w:rsidRPr="00332EFA" w:rsidRDefault="00931E50" w:rsidP="00332EFA">
            <w:pPr>
              <w:pStyle w:val="ListParagraph"/>
              <w:ind w:left="0"/>
              <w:rPr>
                <w:rFonts w:ascii="Times New Roman" w:hAnsi="Times New Roman" w:cs="Times New Roman"/>
                <w:sz w:val="24"/>
                <w:szCs w:val="24"/>
              </w:rPr>
            </w:pPr>
          </w:p>
          <w:p w14:paraId="6993EA9F" w14:textId="77777777" w:rsidR="00931E50" w:rsidRPr="00332EFA" w:rsidRDefault="00931E50" w:rsidP="00332EFA">
            <w:pPr>
              <w:pStyle w:val="ListParagraph"/>
              <w:ind w:left="0"/>
              <w:rPr>
                <w:rFonts w:ascii="Times New Roman" w:hAnsi="Times New Roman" w:cs="Times New Roman"/>
                <w:sz w:val="24"/>
                <w:szCs w:val="24"/>
              </w:rPr>
            </w:pPr>
          </w:p>
        </w:tc>
        <w:tc>
          <w:tcPr>
            <w:tcW w:w="1417" w:type="dxa"/>
          </w:tcPr>
          <w:p w14:paraId="6A9CBA03"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199906A5"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1EA09D98" w14:textId="77777777" w:rsidR="00931E50" w:rsidRPr="00332EFA" w:rsidRDefault="00931E50" w:rsidP="00332EFA">
            <w:pPr>
              <w:pStyle w:val="ListParagraph"/>
              <w:ind w:left="0"/>
              <w:rPr>
                <w:rFonts w:ascii="Times New Roman" w:hAnsi="Times New Roman" w:cs="Times New Roman"/>
                <w:sz w:val="24"/>
                <w:szCs w:val="24"/>
              </w:rPr>
            </w:pPr>
          </w:p>
        </w:tc>
        <w:tc>
          <w:tcPr>
            <w:tcW w:w="1366" w:type="dxa"/>
          </w:tcPr>
          <w:p w14:paraId="12CA85CC" w14:textId="77777777" w:rsidR="00931E50" w:rsidRPr="00332EFA" w:rsidRDefault="00931E50" w:rsidP="00332EFA">
            <w:pPr>
              <w:pStyle w:val="ListParagraph"/>
              <w:ind w:left="0"/>
              <w:rPr>
                <w:rFonts w:ascii="Times New Roman" w:hAnsi="Times New Roman" w:cs="Times New Roman"/>
                <w:sz w:val="24"/>
                <w:szCs w:val="24"/>
              </w:rPr>
            </w:pPr>
          </w:p>
        </w:tc>
      </w:tr>
      <w:tr w:rsidR="00931E50" w:rsidRPr="00332EFA" w14:paraId="1077700F" w14:textId="77777777" w:rsidTr="00A34669">
        <w:trPr>
          <w:jc w:val="center"/>
        </w:trPr>
        <w:tc>
          <w:tcPr>
            <w:tcW w:w="2263" w:type="dxa"/>
          </w:tcPr>
          <w:p w14:paraId="6591F291"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Loan</w:t>
            </w:r>
          </w:p>
        </w:tc>
        <w:tc>
          <w:tcPr>
            <w:tcW w:w="1418" w:type="dxa"/>
          </w:tcPr>
          <w:p w14:paraId="2B13A3D5" w14:textId="77777777" w:rsidR="00931E50" w:rsidRPr="00332EFA" w:rsidRDefault="00931E50" w:rsidP="00332EFA">
            <w:pPr>
              <w:pStyle w:val="ListParagraph"/>
              <w:ind w:left="0"/>
              <w:rPr>
                <w:rFonts w:ascii="Times New Roman" w:hAnsi="Times New Roman" w:cs="Times New Roman"/>
                <w:sz w:val="24"/>
                <w:szCs w:val="24"/>
              </w:rPr>
            </w:pPr>
          </w:p>
          <w:p w14:paraId="2B80DF39" w14:textId="77777777" w:rsidR="00931E50" w:rsidRPr="00332EFA" w:rsidRDefault="00931E50" w:rsidP="00332EFA">
            <w:pPr>
              <w:pStyle w:val="ListParagraph"/>
              <w:ind w:left="0"/>
              <w:rPr>
                <w:rFonts w:ascii="Times New Roman" w:hAnsi="Times New Roman" w:cs="Times New Roman"/>
                <w:sz w:val="24"/>
                <w:szCs w:val="24"/>
              </w:rPr>
            </w:pPr>
          </w:p>
        </w:tc>
        <w:tc>
          <w:tcPr>
            <w:tcW w:w="1417" w:type="dxa"/>
          </w:tcPr>
          <w:p w14:paraId="0A005411"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49A5D928"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7A88AA38" w14:textId="77777777" w:rsidR="00931E50" w:rsidRPr="00332EFA" w:rsidRDefault="00931E50" w:rsidP="00332EFA">
            <w:pPr>
              <w:pStyle w:val="ListParagraph"/>
              <w:ind w:left="0"/>
              <w:rPr>
                <w:rFonts w:ascii="Times New Roman" w:hAnsi="Times New Roman" w:cs="Times New Roman"/>
                <w:sz w:val="24"/>
                <w:szCs w:val="24"/>
              </w:rPr>
            </w:pPr>
          </w:p>
        </w:tc>
        <w:tc>
          <w:tcPr>
            <w:tcW w:w="1366" w:type="dxa"/>
          </w:tcPr>
          <w:p w14:paraId="67F72C9D" w14:textId="77777777" w:rsidR="00931E50" w:rsidRPr="00332EFA" w:rsidRDefault="00931E50" w:rsidP="00332EFA">
            <w:pPr>
              <w:pStyle w:val="ListParagraph"/>
              <w:ind w:left="0"/>
              <w:rPr>
                <w:rFonts w:ascii="Times New Roman" w:hAnsi="Times New Roman" w:cs="Times New Roman"/>
                <w:sz w:val="24"/>
                <w:szCs w:val="24"/>
              </w:rPr>
            </w:pPr>
          </w:p>
        </w:tc>
      </w:tr>
      <w:tr w:rsidR="00931E50" w:rsidRPr="00332EFA" w14:paraId="463EF98B" w14:textId="77777777" w:rsidTr="00A34669">
        <w:trPr>
          <w:jc w:val="center"/>
        </w:trPr>
        <w:tc>
          <w:tcPr>
            <w:tcW w:w="2263" w:type="dxa"/>
          </w:tcPr>
          <w:p w14:paraId="5112ADF0" w14:textId="77777777" w:rsidR="00931E50" w:rsidRPr="00332EFA" w:rsidRDefault="00931E50" w:rsidP="00332EFA">
            <w:pPr>
              <w:pStyle w:val="ListParagraph"/>
              <w:ind w:left="0"/>
              <w:jc w:val="center"/>
              <w:rPr>
                <w:rFonts w:ascii="Times New Roman" w:hAnsi="Times New Roman" w:cs="Times New Roman"/>
                <w:sz w:val="24"/>
                <w:szCs w:val="24"/>
              </w:rPr>
            </w:pPr>
            <w:r w:rsidRPr="00332EFA">
              <w:rPr>
                <w:rFonts w:ascii="Times New Roman" w:hAnsi="Times New Roman" w:cs="Times New Roman"/>
                <w:sz w:val="24"/>
                <w:szCs w:val="24"/>
              </w:rPr>
              <w:t>House rent</w:t>
            </w:r>
          </w:p>
        </w:tc>
        <w:tc>
          <w:tcPr>
            <w:tcW w:w="1418" w:type="dxa"/>
          </w:tcPr>
          <w:p w14:paraId="54A7BCC2" w14:textId="77777777" w:rsidR="00931E50" w:rsidRPr="00332EFA" w:rsidRDefault="00931E50" w:rsidP="00332EFA">
            <w:pPr>
              <w:pStyle w:val="ListParagraph"/>
              <w:ind w:left="0"/>
              <w:rPr>
                <w:rFonts w:ascii="Times New Roman" w:hAnsi="Times New Roman" w:cs="Times New Roman"/>
                <w:sz w:val="24"/>
                <w:szCs w:val="24"/>
              </w:rPr>
            </w:pPr>
          </w:p>
          <w:p w14:paraId="42013FE2" w14:textId="77777777" w:rsidR="00931E50" w:rsidRPr="00332EFA" w:rsidRDefault="00931E50" w:rsidP="00332EFA">
            <w:pPr>
              <w:pStyle w:val="ListParagraph"/>
              <w:ind w:left="0"/>
              <w:rPr>
                <w:rFonts w:ascii="Times New Roman" w:hAnsi="Times New Roman" w:cs="Times New Roman"/>
                <w:sz w:val="24"/>
                <w:szCs w:val="24"/>
              </w:rPr>
            </w:pPr>
          </w:p>
        </w:tc>
        <w:tc>
          <w:tcPr>
            <w:tcW w:w="1417" w:type="dxa"/>
          </w:tcPr>
          <w:p w14:paraId="44FCA009"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2A94586E" w14:textId="77777777" w:rsidR="00931E50" w:rsidRPr="00332EFA" w:rsidRDefault="00931E50" w:rsidP="00332EFA">
            <w:pPr>
              <w:pStyle w:val="ListParagraph"/>
              <w:ind w:left="0"/>
              <w:rPr>
                <w:rFonts w:ascii="Times New Roman" w:hAnsi="Times New Roman" w:cs="Times New Roman"/>
                <w:sz w:val="24"/>
                <w:szCs w:val="24"/>
              </w:rPr>
            </w:pPr>
          </w:p>
        </w:tc>
        <w:tc>
          <w:tcPr>
            <w:tcW w:w="1276" w:type="dxa"/>
          </w:tcPr>
          <w:p w14:paraId="181141AA" w14:textId="77777777" w:rsidR="00931E50" w:rsidRPr="00332EFA" w:rsidRDefault="00931E50" w:rsidP="00332EFA">
            <w:pPr>
              <w:pStyle w:val="ListParagraph"/>
              <w:ind w:left="0"/>
              <w:rPr>
                <w:rFonts w:ascii="Times New Roman" w:hAnsi="Times New Roman" w:cs="Times New Roman"/>
                <w:sz w:val="24"/>
                <w:szCs w:val="24"/>
              </w:rPr>
            </w:pPr>
          </w:p>
        </w:tc>
        <w:tc>
          <w:tcPr>
            <w:tcW w:w="1366" w:type="dxa"/>
          </w:tcPr>
          <w:p w14:paraId="6910D818" w14:textId="77777777" w:rsidR="00931E50" w:rsidRPr="00332EFA" w:rsidRDefault="00931E50" w:rsidP="00332EFA">
            <w:pPr>
              <w:pStyle w:val="ListParagraph"/>
              <w:ind w:left="0"/>
              <w:rPr>
                <w:rFonts w:ascii="Times New Roman" w:hAnsi="Times New Roman" w:cs="Times New Roman"/>
                <w:sz w:val="24"/>
                <w:szCs w:val="24"/>
              </w:rPr>
            </w:pPr>
          </w:p>
        </w:tc>
      </w:tr>
    </w:tbl>
    <w:p w14:paraId="78F827C1" w14:textId="77777777" w:rsidR="00931E50" w:rsidRPr="00FB0583" w:rsidRDefault="00931E50" w:rsidP="00332EFA">
      <w:pPr>
        <w:spacing w:after="0"/>
        <w:rPr>
          <w:rFonts w:ascii="Times New Roman" w:hAnsi="Times New Roman" w:cs="Times New Roman"/>
          <w:sz w:val="24"/>
          <w:szCs w:val="24"/>
        </w:rPr>
      </w:pPr>
    </w:p>
    <w:p w14:paraId="631A0448" w14:textId="77777777" w:rsidR="00931E50" w:rsidRDefault="00931E50" w:rsidP="00931E50">
      <w:pPr>
        <w:pStyle w:val="ListParagraph"/>
        <w:spacing w:line="600" w:lineRule="auto"/>
        <w:rPr>
          <w:rFonts w:ascii="Times New Roman" w:hAnsi="Times New Roman" w:cs="Times New Roman"/>
          <w:sz w:val="24"/>
          <w:szCs w:val="24"/>
        </w:rPr>
      </w:pPr>
    </w:p>
    <w:p w14:paraId="78233105" w14:textId="77777777" w:rsidR="00931E50" w:rsidRDefault="00931E50" w:rsidP="00931E50">
      <w:pPr>
        <w:pStyle w:val="ListParagraph"/>
        <w:spacing w:line="600" w:lineRule="auto"/>
        <w:rPr>
          <w:rFonts w:ascii="Times New Roman" w:hAnsi="Times New Roman" w:cs="Times New Roman"/>
          <w:sz w:val="24"/>
          <w:szCs w:val="24"/>
        </w:rPr>
      </w:pPr>
    </w:p>
    <w:p w14:paraId="791C781C" w14:textId="77777777" w:rsidR="00931E50" w:rsidRPr="00837A6F" w:rsidRDefault="00931E50" w:rsidP="00931E50">
      <w:pPr>
        <w:pStyle w:val="ListParagraph"/>
        <w:spacing w:line="360" w:lineRule="auto"/>
        <w:rPr>
          <w:rFonts w:ascii="Times New Roman" w:hAnsi="Times New Roman" w:cs="Times New Roman"/>
          <w:sz w:val="24"/>
          <w:szCs w:val="24"/>
        </w:rPr>
      </w:pPr>
    </w:p>
    <w:p w14:paraId="5438CE92" w14:textId="77777777" w:rsidR="00D93FDD" w:rsidRDefault="00D93FDD"/>
    <w:p w14:paraId="22598F62" w14:textId="77777777" w:rsidR="00D93FDD" w:rsidRDefault="00D93FDD"/>
    <w:p w14:paraId="60DE5BFF" w14:textId="77777777" w:rsidR="00D93FDD" w:rsidRDefault="00D93FDD" w:rsidP="00D93FDD">
      <w:pPr>
        <w:jc w:val="both"/>
        <w:rPr>
          <w:rFonts w:ascii="Times New Roman" w:hAnsi="Times New Roman" w:cs="Times New Roman"/>
          <w:sz w:val="24"/>
          <w:szCs w:val="24"/>
        </w:rPr>
      </w:pPr>
    </w:p>
    <w:sectPr w:rsidR="00D93FDD" w:rsidSect="0029457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71D61" w14:textId="77777777" w:rsidR="003A27CC" w:rsidRDefault="003A27CC" w:rsidP="0040010F">
      <w:pPr>
        <w:spacing w:after="0" w:line="240" w:lineRule="auto"/>
      </w:pPr>
      <w:r>
        <w:separator/>
      </w:r>
    </w:p>
  </w:endnote>
  <w:endnote w:type="continuationSeparator" w:id="0">
    <w:p w14:paraId="7B1C2EBE" w14:textId="77777777" w:rsidR="003A27CC" w:rsidRDefault="003A27CC" w:rsidP="00400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268D5" w14:textId="77777777" w:rsidR="0040010F" w:rsidRDefault="00400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C5241" w14:textId="77777777" w:rsidR="0040010F" w:rsidRDefault="00400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69986" w14:textId="77777777" w:rsidR="0040010F" w:rsidRDefault="00400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7B7D2" w14:textId="77777777" w:rsidR="003A27CC" w:rsidRDefault="003A27CC" w:rsidP="0040010F">
      <w:pPr>
        <w:spacing w:after="0" w:line="240" w:lineRule="auto"/>
      </w:pPr>
      <w:r>
        <w:separator/>
      </w:r>
    </w:p>
  </w:footnote>
  <w:footnote w:type="continuationSeparator" w:id="0">
    <w:p w14:paraId="3F9CEDCE" w14:textId="77777777" w:rsidR="003A27CC" w:rsidRDefault="003A27CC" w:rsidP="00400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A0289" w14:textId="69F719E0" w:rsidR="0040010F" w:rsidRDefault="0040010F">
    <w:pPr>
      <w:pStyle w:val="Header"/>
    </w:pPr>
    <w:r>
      <w:rPr>
        <w:noProof/>
      </w:rPr>
      <w:pict w14:anchorId="5E4DC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403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4BDEE" w14:textId="044C5F3C" w:rsidR="0040010F" w:rsidRDefault="0040010F">
    <w:pPr>
      <w:pStyle w:val="Header"/>
    </w:pPr>
    <w:r>
      <w:rPr>
        <w:noProof/>
      </w:rPr>
      <w:pict w14:anchorId="58D52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403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C20FB" w14:textId="16643055" w:rsidR="0040010F" w:rsidRDefault="0040010F">
    <w:pPr>
      <w:pStyle w:val="Header"/>
    </w:pPr>
    <w:r>
      <w:rPr>
        <w:noProof/>
      </w:rPr>
      <w:pict w14:anchorId="7285E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403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731D"/>
    <w:multiLevelType w:val="multilevel"/>
    <w:tmpl w:val="E66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92D96"/>
    <w:multiLevelType w:val="multilevel"/>
    <w:tmpl w:val="0A244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670CD"/>
    <w:multiLevelType w:val="multilevel"/>
    <w:tmpl w:val="8B384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E593B"/>
    <w:multiLevelType w:val="hybridMultilevel"/>
    <w:tmpl w:val="49DC111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0F11D20"/>
    <w:multiLevelType w:val="hybridMultilevel"/>
    <w:tmpl w:val="7D98CA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942E50"/>
    <w:multiLevelType w:val="hybridMultilevel"/>
    <w:tmpl w:val="49DC111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0157243"/>
    <w:multiLevelType w:val="hybridMultilevel"/>
    <w:tmpl w:val="49DC111A"/>
    <w:lvl w:ilvl="0" w:tplc="95ECFB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191718B"/>
    <w:multiLevelType w:val="hybridMultilevel"/>
    <w:tmpl w:val="85D6E150"/>
    <w:lvl w:ilvl="0" w:tplc="0409000F">
      <w:start w:val="1"/>
      <w:numFmt w:val="decimal"/>
      <w:lvlText w:val="%1."/>
      <w:lvlJc w:val="left"/>
      <w:pPr>
        <w:ind w:left="720" w:hanging="360"/>
      </w:pPr>
      <w:rPr>
        <w:rFonts w:hint="default"/>
        <w:b/>
        <w:bCs/>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E3E76"/>
    <w:multiLevelType w:val="hybridMultilevel"/>
    <w:tmpl w:val="80C0A9D8"/>
    <w:lvl w:ilvl="0" w:tplc="637E77A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35D559F8"/>
    <w:multiLevelType w:val="hybridMultilevel"/>
    <w:tmpl w:val="94A856CA"/>
    <w:lvl w:ilvl="0" w:tplc="F2180F98">
      <w:start w:val="1"/>
      <w:numFmt w:val="upperLetter"/>
      <w:lvlText w:val="%1."/>
      <w:lvlJc w:val="left"/>
      <w:pPr>
        <w:ind w:left="720" w:hanging="360"/>
      </w:pPr>
      <w:rPr>
        <w:rFonts w:hint="default"/>
        <w:b/>
        <w:bCs/>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F2D63"/>
    <w:multiLevelType w:val="hybridMultilevel"/>
    <w:tmpl w:val="49DC111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E09305C"/>
    <w:multiLevelType w:val="hybridMultilevel"/>
    <w:tmpl w:val="49DC111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0760A10"/>
    <w:multiLevelType w:val="multilevel"/>
    <w:tmpl w:val="9762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904A0A"/>
    <w:multiLevelType w:val="hybridMultilevel"/>
    <w:tmpl w:val="49DC111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2B16C20"/>
    <w:multiLevelType w:val="multilevel"/>
    <w:tmpl w:val="C922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2439FB"/>
    <w:multiLevelType w:val="multilevel"/>
    <w:tmpl w:val="3F200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E0056A"/>
    <w:multiLevelType w:val="hybridMultilevel"/>
    <w:tmpl w:val="BAF265C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6E4F25EF"/>
    <w:multiLevelType w:val="multilevel"/>
    <w:tmpl w:val="D430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072889"/>
    <w:multiLevelType w:val="hybridMultilevel"/>
    <w:tmpl w:val="76F64F4A"/>
    <w:lvl w:ilvl="0" w:tplc="1D84DB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14"/>
  </w:num>
  <w:num w:numId="4">
    <w:abstractNumId w:val="0"/>
  </w:num>
  <w:num w:numId="5">
    <w:abstractNumId w:val="15"/>
  </w:num>
  <w:num w:numId="6">
    <w:abstractNumId w:val="1"/>
  </w:num>
  <w:num w:numId="7">
    <w:abstractNumId w:val="9"/>
  </w:num>
  <w:num w:numId="8">
    <w:abstractNumId w:val="18"/>
  </w:num>
  <w:num w:numId="9">
    <w:abstractNumId w:val="7"/>
  </w:num>
  <w:num w:numId="10">
    <w:abstractNumId w:val="4"/>
  </w:num>
  <w:num w:numId="11">
    <w:abstractNumId w:val="6"/>
  </w:num>
  <w:num w:numId="12">
    <w:abstractNumId w:val="8"/>
  </w:num>
  <w:num w:numId="13">
    <w:abstractNumId w:val="10"/>
  </w:num>
  <w:num w:numId="14">
    <w:abstractNumId w:val="5"/>
  </w:num>
  <w:num w:numId="15">
    <w:abstractNumId w:val="13"/>
  </w:num>
  <w:num w:numId="16">
    <w:abstractNumId w:val="3"/>
  </w:num>
  <w:num w:numId="17">
    <w:abstractNumId w:val="11"/>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7067"/>
    <w:rsid w:val="00087FE7"/>
    <w:rsid w:val="00107067"/>
    <w:rsid w:val="0015334D"/>
    <w:rsid w:val="00172B81"/>
    <w:rsid w:val="00226A5A"/>
    <w:rsid w:val="00267CFB"/>
    <w:rsid w:val="00294572"/>
    <w:rsid w:val="0029784B"/>
    <w:rsid w:val="002B44FC"/>
    <w:rsid w:val="002C2367"/>
    <w:rsid w:val="002C40BA"/>
    <w:rsid w:val="002C5FC8"/>
    <w:rsid w:val="002F0C61"/>
    <w:rsid w:val="00313C37"/>
    <w:rsid w:val="00315F1F"/>
    <w:rsid w:val="00332EFA"/>
    <w:rsid w:val="0035640C"/>
    <w:rsid w:val="00362F04"/>
    <w:rsid w:val="003A27CC"/>
    <w:rsid w:val="003B687B"/>
    <w:rsid w:val="003C69B9"/>
    <w:rsid w:val="003C6CF5"/>
    <w:rsid w:val="0040010F"/>
    <w:rsid w:val="00401910"/>
    <w:rsid w:val="004142D5"/>
    <w:rsid w:val="00421056"/>
    <w:rsid w:val="004A0B7F"/>
    <w:rsid w:val="004C79BC"/>
    <w:rsid w:val="00513B3D"/>
    <w:rsid w:val="0054547E"/>
    <w:rsid w:val="005E13F0"/>
    <w:rsid w:val="005E7D83"/>
    <w:rsid w:val="00623541"/>
    <w:rsid w:val="006335A9"/>
    <w:rsid w:val="006D3020"/>
    <w:rsid w:val="006F536F"/>
    <w:rsid w:val="00724667"/>
    <w:rsid w:val="00761073"/>
    <w:rsid w:val="00793D5B"/>
    <w:rsid w:val="007A6849"/>
    <w:rsid w:val="007B14AA"/>
    <w:rsid w:val="008759C3"/>
    <w:rsid w:val="008A54ED"/>
    <w:rsid w:val="008F235B"/>
    <w:rsid w:val="00931E50"/>
    <w:rsid w:val="00995FA6"/>
    <w:rsid w:val="009A5605"/>
    <w:rsid w:val="00B249B8"/>
    <w:rsid w:val="00B65744"/>
    <w:rsid w:val="00BF373C"/>
    <w:rsid w:val="00C95875"/>
    <w:rsid w:val="00CB73D9"/>
    <w:rsid w:val="00CB766C"/>
    <w:rsid w:val="00CE6130"/>
    <w:rsid w:val="00D4796F"/>
    <w:rsid w:val="00D52C04"/>
    <w:rsid w:val="00D93FDD"/>
    <w:rsid w:val="00DC1E03"/>
    <w:rsid w:val="00E342EC"/>
    <w:rsid w:val="00E95CAC"/>
    <w:rsid w:val="00EC37AE"/>
    <w:rsid w:val="00ED3D30"/>
    <w:rsid w:val="00F06E61"/>
    <w:rsid w:val="00F403F5"/>
    <w:rsid w:val="00F62857"/>
    <w:rsid w:val="00FC0185"/>
    <w:rsid w:val="00FC6306"/>
    <w:rsid w:val="00FD1278"/>
    <w:rsid w:val="00FD7A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AF9F17"/>
  <w15:docId w15:val="{C0A95057-B2B0-422B-AF14-4902CEF4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572"/>
  </w:style>
  <w:style w:type="paragraph" w:styleId="Heading3">
    <w:name w:val="heading 3"/>
    <w:basedOn w:val="Normal"/>
    <w:link w:val="Heading3Char"/>
    <w:uiPriority w:val="9"/>
    <w:qFormat/>
    <w:rsid w:val="007B14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067"/>
    <w:pPr>
      <w:ind w:left="720"/>
      <w:contextualSpacing/>
    </w:pPr>
  </w:style>
  <w:style w:type="table" w:styleId="TableGrid">
    <w:name w:val="Table Grid"/>
    <w:basedOn w:val="TableNormal"/>
    <w:uiPriority w:val="39"/>
    <w:rsid w:val="00D93FDD"/>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3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FDD"/>
    <w:rPr>
      <w:rFonts w:ascii="Tahoma" w:hAnsi="Tahoma" w:cs="Tahoma"/>
      <w:sz w:val="16"/>
      <w:szCs w:val="16"/>
    </w:rPr>
  </w:style>
  <w:style w:type="character" w:styleId="Hyperlink">
    <w:name w:val="Hyperlink"/>
    <w:basedOn w:val="DefaultParagraphFont"/>
    <w:uiPriority w:val="99"/>
    <w:unhideWhenUsed/>
    <w:rsid w:val="00172B81"/>
    <w:rPr>
      <w:color w:val="0000FF" w:themeColor="hyperlink"/>
      <w:u w:val="single"/>
    </w:rPr>
  </w:style>
  <w:style w:type="character" w:customStyle="1" w:styleId="Heading3Char">
    <w:name w:val="Heading 3 Char"/>
    <w:basedOn w:val="DefaultParagraphFont"/>
    <w:link w:val="Heading3"/>
    <w:uiPriority w:val="9"/>
    <w:rsid w:val="007B14AA"/>
    <w:rPr>
      <w:rFonts w:ascii="Times New Roman" w:eastAsia="Times New Roman" w:hAnsi="Times New Roman" w:cs="Times New Roman"/>
      <w:b/>
      <w:bCs/>
      <w:sz w:val="27"/>
      <w:szCs w:val="27"/>
    </w:rPr>
  </w:style>
  <w:style w:type="character" w:styleId="Strong">
    <w:name w:val="Strong"/>
    <w:basedOn w:val="DefaultParagraphFont"/>
    <w:uiPriority w:val="22"/>
    <w:qFormat/>
    <w:rsid w:val="007B14AA"/>
    <w:rPr>
      <w:b/>
      <w:bCs/>
    </w:rPr>
  </w:style>
  <w:style w:type="character" w:styleId="Emphasis">
    <w:name w:val="Emphasis"/>
    <w:basedOn w:val="DefaultParagraphFont"/>
    <w:uiPriority w:val="20"/>
    <w:qFormat/>
    <w:rsid w:val="007B14AA"/>
    <w:rPr>
      <w:i/>
      <w:iCs/>
    </w:rPr>
  </w:style>
  <w:style w:type="character" w:styleId="UnresolvedMention">
    <w:name w:val="Unresolved Mention"/>
    <w:basedOn w:val="DefaultParagraphFont"/>
    <w:uiPriority w:val="99"/>
    <w:semiHidden/>
    <w:unhideWhenUsed/>
    <w:rsid w:val="008759C3"/>
    <w:rPr>
      <w:color w:val="605E5C"/>
      <w:shd w:val="clear" w:color="auto" w:fill="E1DFDD"/>
    </w:rPr>
  </w:style>
  <w:style w:type="paragraph" w:styleId="Header">
    <w:name w:val="header"/>
    <w:basedOn w:val="Normal"/>
    <w:link w:val="HeaderChar"/>
    <w:uiPriority w:val="99"/>
    <w:unhideWhenUsed/>
    <w:rsid w:val="00400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10F"/>
  </w:style>
  <w:style w:type="paragraph" w:styleId="Footer">
    <w:name w:val="footer"/>
    <w:basedOn w:val="Normal"/>
    <w:link w:val="FooterChar"/>
    <w:uiPriority w:val="99"/>
    <w:unhideWhenUsed/>
    <w:rsid w:val="00400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14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bi.org.i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10</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50</cp:revision>
  <dcterms:created xsi:type="dcterms:W3CDTF">2025-05-11T17:43:00Z</dcterms:created>
  <dcterms:modified xsi:type="dcterms:W3CDTF">2025-05-29T07:39:00Z</dcterms:modified>
</cp:coreProperties>
</file>