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2319" w:rsidRPr="00BA53A3" w:rsidRDefault="0051231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512319" w:rsidRPr="00BA53A3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512319" w:rsidRPr="00BA53A3" w:rsidRDefault="00512319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512319" w:rsidRPr="00BA53A3">
        <w:trPr>
          <w:trHeight w:val="290"/>
        </w:trPr>
        <w:tc>
          <w:tcPr>
            <w:tcW w:w="5167" w:type="dxa"/>
          </w:tcPr>
          <w:p w:rsidR="00512319" w:rsidRPr="00BA53A3" w:rsidRDefault="00012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A53A3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2319" w:rsidRPr="00BA53A3" w:rsidRDefault="00012A98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BA53A3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Scientific Research and Reports</w:t>
              </w:r>
            </w:hyperlink>
            <w:r w:rsidRPr="00BA53A3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512319" w:rsidRPr="00BA53A3">
        <w:trPr>
          <w:trHeight w:val="290"/>
        </w:trPr>
        <w:tc>
          <w:tcPr>
            <w:tcW w:w="5167" w:type="dxa"/>
          </w:tcPr>
          <w:p w:rsidR="00512319" w:rsidRPr="00BA53A3" w:rsidRDefault="00012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A53A3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2319" w:rsidRPr="00BA53A3" w:rsidRDefault="00012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A53A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Ms_JSRR_138518</w:t>
            </w:r>
          </w:p>
        </w:tc>
      </w:tr>
      <w:tr w:rsidR="00512319" w:rsidRPr="00BA53A3">
        <w:trPr>
          <w:trHeight w:val="650"/>
        </w:trPr>
        <w:tc>
          <w:tcPr>
            <w:tcW w:w="5167" w:type="dxa"/>
          </w:tcPr>
          <w:p w:rsidR="00512319" w:rsidRPr="00BA53A3" w:rsidRDefault="00012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A53A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2319" w:rsidRPr="00BA53A3" w:rsidRDefault="00012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A53A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“Dryland Despair to Hope: Constraints and Suggestions Expressed by Groundnut Growers in Central Dry-Zone of Karnataka”</w:t>
            </w:r>
          </w:p>
        </w:tc>
      </w:tr>
      <w:tr w:rsidR="00512319" w:rsidRPr="00BA53A3">
        <w:trPr>
          <w:trHeight w:val="332"/>
        </w:trPr>
        <w:tc>
          <w:tcPr>
            <w:tcW w:w="5167" w:type="dxa"/>
          </w:tcPr>
          <w:p w:rsidR="00512319" w:rsidRPr="00BA53A3" w:rsidRDefault="00012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A53A3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2319" w:rsidRPr="00BA53A3" w:rsidRDefault="00012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A53A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512319" w:rsidRPr="00BA53A3" w:rsidRDefault="0051231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:rsidR="00512319" w:rsidRPr="00BA53A3" w:rsidRDefault="0051231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:rsidR="00512319" w:rsidRPr="00BA53A3" w:rsidRDefault="0051231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6f0pmvggpp93" w:colFirst="0" w:colLast="0"/>
      <w:bookmarkEnd w:id="0"/>
    </w:p>
    <w:p w:rsidR="00512319" w:rsidRPr="00BA53A3" w:rsidRDefault="00512319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512319" w:rsidRPr="00BA53A3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512319" w:rsidRPr="00BA53A3" w:rsidRDefault="00012A9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BA53A3">
              <w:rPr>
                <w:rFonts w:ascii="Arial" w:eastAsia="Times New Roman" w:hAnsi="Arial" w:cs="Arial"/>
                <w:highlight w:val="yellow"/>
              </w:rPr>
              <w:t>PART  1:</w:t>
            </w:r>
            <w:r w:rsidRPr="00BA53A3">
              <w:rPr>
                <w:rFonts w:ascii="Arial" w:eastAsia="Times New Roman" w:hAnsi="Arial" w:cs="Arial"/>
              </w:rPr>
              <w:t xml:space="preserve"> Comments</w:t>
            </w:r>
          </w:p>
          <w:p w:rsidR="00512319" w:rsidRPr="00BA53A3" w:rsidRDefault="005123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2319" w:rsidRPr="00BA53A3">
        <w:tc>
          <w:tcPr>
            <w:tcW w:w="5351" w:type="dxa"/>
          </w:tcPr>
          <w:p w:rsidR="00512319" w:rsidRPr="00BA53A3" w:rsidRDefault="0051231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512319" w:rsidRPr="00BA53A3" w:rsidRDefault="00012A9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BA53A3">
              <w:rPr>
                <w:rFonts w:ascii="Arial" w:eastAsia="Times New Roman" w:hAnsi="Arial" w:cs="Arial"/>
              </w:rPr>
              <w:t>Reviewer’s comment</w:t>
            </w:r>
          </w:p>
          <w:p w:rsidR="00512319" w:rsidRPr="00BA53A3" w:rsidRDefault="00012A98">
            <w:pPr>
              <w:rPr>
                <w:rFonts w:ascii="Arial" w:hAnsi="Arial" w:cs="Arial"/>
                <w:sz w:val="20"/>
                <w:szCs w:val="20"/>
              </w:rPr>
            </w:pPr>
            <w:r w:rsidRPr="00BA53A3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512319" w:rsidRPr="00BA53A3" w:rsidRDefault="005123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512319" w:rsidRPr="00BA53A3" w:rsidRDefault="00012A98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BA53A3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BA53A3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512319" w:rsidRPr="00BA53A3" w:rsidRDefault="0051231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512319" w:rsidRPr="00BA53A3">
        <w:trPr>
          <w:trHeight w:val="1264"/>
        </w:trPr>
        <w:tc>
          <w:tcPr>
            <w:tcW w:w="5351" w:type="dxa"/>
          </w:tcPr>
          <w:p w:rsidR="00512319" w:rsidRPr="00BA53A3" w:rsidRDefault="00012A9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A53A3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512319" w:rsidRPr="00BA53A3" w:rsidRDefault="0051231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512319" w:rsidRPr="00BA53A3" w:rsidRDefault="00012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3A3">
              <w:rPr>
                <w:rFonts w:ascii="Arial" w:hAnsi="Arial" w:cs="Arial"/>
                <w:color w:val="000000"/>
                <w:sz w:val="20"/>
                <w:szCs w:val="20"/>
              </w:rPr>
              <w:t xml:space="preserve">The manuscript titled </w:t>
            </w:r>
            <w:r w:rsidRPr="00BA53A3">
              <w:rPr>
                <w:rFonts w:ascii="Arial" w:hAnsi="Arial" w:cs="Arial"/>
                <w:i/>
                <w:color w:val="000000"/>
                <w:sz w:val="20"/>
                <w:szCs w:val="20"/>
              </w:rPr>
              <w:t>“Dryland Despair to Hope: Constraints and Suggestions Expressed by Groun</w:t>
            </w:r>
            <w:r w:rsidRPr="00BA53A3">
              <w:rPr>
                <w:rFonts w:ascii="Arial" w:hAnsi="Arial" w:cs="Arial"/>
                <w:i/>
                <w:color w:val="000000"/>
                <w:sz w:val="20"/>
                <w:szCs w:val="20"/>
              </w:rPr>
              <w:t>dnut Growers in Central Dry-Zone of Karnataka”</w:t>
            </w:r>
            <w:r w:rsidRPr="00BA53A3">
              <w:rPr>
                <w:rFonts w:ascii="Arial" w:hAnsi="Arial" w:cs="Arial"/>
                <w:color w:val="000000"/>
                <w:sz w:val="20"/>
                <w:szCs w:val="20"/>
              </w:rPr>
              <w:t xml:space="preserve"> holds significant value for the scientific and agricultural extension community. It sheds light on the numerous challenges encountered by groundnut farmers in a climatically vulnerable region, offering empiric</w:t>
            </w:r>
            <w:r w:rsidRPr="00BA53A3">
              <w:rPr>
                <w:rFonts w:ascii="Arial" w:hAnsi="Arial" w:cs="Arial"/>
                <w:color w:val="000000"/>
                <w:sz w:val="20"/>
                <w:szCs w:val="20"/>
              </w:rPr>
              <w:t>al insights into production, marketing, technical, and financial constraints. By differentiating between small and large farm growers, the study provides a comprehensive overview about the ground nut growers that can inform targeted policy interventions an</w:t>
            </w:r>
            <w:r w:rsidRPr="00BA53A3">
              <w:rPr>
                <w:rFonts w:ascii="Arial" w:hAnsi="Arial" w:cs="Arial"/>
                <w:color w:val="000000"/>
                <w:sz w:val="20"/>
                <w:szCs w:val="20"/>
              </w:rPr>
              <w:t>d support services. Its findings contribute to the broader discourse on sustainable oilseed cultivation in dryland agriculture, offering actionable recommendations for enhancing productivity, resilience, and farmer welfare.</w:t>
            </w:r>
          </w:p>
        </w:tc>
        <w:tc>
          <w:tcPr>
            <w:tcW w:w="6442" w:type="dxa"/>
          </w:tcPr>
          <w:p w:rsidR="00512319" w:rsidRPr="00BA53A3" w:rsidRDefault="00012A9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A53A3">
              <w:rPr>
                <w:rFonts w:ascii="Arial" w:eastAsia="Times New Roman" w:hAnsi="Arial" w:cs="Arial"/>
                <w:b w:val="0"/>
              </w:rPr>
              <w:t xml:space="preserve">The manuscript titled </w:t>
            </w:r>
            <w:r w:rsidRPr="00BA53A3">
              <w:rPr>
                <w:rFonts w:ascii="Arial" w:eastAsia="Times New Roman" w:hAnsi="Arial" w:cs="Arial"/>
                <w:b w:val="0"/>
                <w:i/>
              </w:rPr>
              <w:t>“Dryland D</w:t>
            </w:r>
            <w:r w:rsidRPr="00BA53A3">
              <w:rPr>
                <w:rFonts w:ascii="Arial" w:eastAsia="Times New Roman" w:hAnsi="Arial" w:cs="Arial"/>
                <w:b w:val="0"/>
                <w:i/>
              </w:rPr>
              <w:t>espair to Hope: Constraints and Suggestions Expressed by Groundnut Growers in Central Dry-Zone of Karnataka”</w:t>
            </w:r>
            <w:r w:rsidRPr="00BA53A3">
              <w:rPr>
                <w:rFonts w:ascii="Arial" w:eastAsia="Times New Roman" w:hAnsi="Arial" w:cs="Arial"/>
                <w:b w:val="0"/>
              </w:rPr>
              <w:t xml:space="preserve"> holds significant value for the scientific and agricultural extension community. It sheds light on the numerous challenges encountered by groundnut</w:t>
            </w:r>
            <w:r w:rsidRPr="00BA53A3">
              <w:rPr>
                <w:rFonts w:ascii="Arial" w:eastAsia="Times New Roman" w:hAnsi="Arial" w:cs="Arial"/>
                <w:b w:val="0"/>
              </w:rPr>
              <w:t xml:space="preserve"> farmers in a climatically vulnerable region, offering empirical insights into production, marketing, technical, and financial constraints.</w:t>
            </w:r>
          </w:p>
        </w:tc>
      </w:tr>
      <w:tr w:rsidR="00512319" w:rsidRPr="00BA53A3">
        <w:trPr>
          <w:trHeight w:val="1262"/>
        </w:trPr>
        <w:tc>
          <w:tcPr>
            <w:tcW w:w="5351" w:type="dxa"/>
          </w:tcPr>
          <w:p w:rsidR="00512319" w:rsidRPr="00BA53A3" w:rsidRDefault="00012A9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A53A3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512319" w:rsidRPr="00BA53A3" w:rsidRDefault="00012A9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A53A3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512319" w:rsidRPr="00BA53A3" w:rsidRDefault="00512319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512319" w:rsidRPr="00BA53A3" w:rsidRDefault="00012A9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A53A3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512319" w:rsidRPr="00BA53A3" w:rsidRDefault="00012A9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A53A3">
              <w:rPr>
                <w:rFonts w:ascii="Arial" w:hAnsi="Arial" w:cs="Arial"/>
                <w:b w:val="0"/>
              </w:rPr>
              <w:t>yes</w:t>
            </w:r>
          </w:p>
        </w:tc>
      </w:tr>
      <w:tr w:rsidR="00512319" w:rsidRPr="00BA53A3">
        <w:trPr>
          <w:trHeight w:val="1262"/>
        </w:trPr>
        <w:tc>
          <w:tcPr>
            <w:tcW w:w="5351" w:type="dxa"/>
          </w:tcPr>
          <w:p w:rsidR="00512319" w:rsidRPr="00BA53A3" w:rsidRDefault="00012A98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BA53A3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512319" w:rsidRPr="00BA53A3" w:rsidRDefault="00512319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512319" w:rsidRPr="00BA53A3" w:rsidRDefault="00012A9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A53A3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512319" w:rsidRPr="00BA53A3" w:rsidRDefault="00012A9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A53A3">
              <w:rPr>
                <w:rFonts w:ascii="Arial" w:hAnsi="Arial" w:cs="Arial"/>
                <w:b w:val="0"/>
              </w:rPr>
              <w:t>yes</w:t>
            </w:r>
          </w:p>
        </w:tc>
      </w:tr>
      <w:tr w:rsidR="00512319" w:rsidRPr="00BA53A3">
        <w:trPr>
          <w:trHeight w:val="704"/>
        </w:trPr>
        <w:tc>
          <w:tcPr>
            <w:tcW w:w="5351" w:type="dxa"/>
          </w:tcPr>
          <w:p w:rsidR="00512319" w:rsidRPr="00BA53A3" w:rsidRDefault="00012A98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BA53A3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512319" w:rsidRPr="00BA53A3" w:rsidRDefault="00012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3A3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512319" w:rsidRPr="00BA53A3" w:rsidRDefault="00012A9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A53A3">
              <w:rPr>
                <w:rFonts w:ascii="Arial" w:hAnsi="Arial" w:cs="Arial"/>
                <w:b w:val="0"/>
              </w:rPr>
              <w:t>Yes, it’s correct</w:t>
            </w:r>
          </w:p>
        </w:tc>
      </w:tr>
      <w:tr w:rsidR="00512319" w:rsidRPr="00BA53A3">
        <w:trPr>
          <w:trHeight w:val="703"/>
        </w:trPr>
        <w:tc>
          <w:tcPr>
            <w:tcW w:w="5351" w:type="dxa"/>
          </w:tcPr>
          <w:p w:rsidR="00512319" w:rsidRPr="00BA53A3" w:rsidRDefault="00012A9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A53A3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512319" w:rsidRPr="00BA53A3" w:rsidRDefault="00012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3A3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512319" w:rsidRPr="00BA53A3" w:rsidRDefault="00012A98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  <w:r w:rsidRPr="00BA53A3">
              <w:rPr>
                <w:rFonts w:ascii="Arial" w:hAnsi="Arial" w:cs="Arial"/>
                <w:b w:val="0"/>
              </w:rPr>
              <w:t xml:space="preserve">I added 2 more references </w:t>
            </w:r>
          </w:p>
          <w:p w:rsidR="00512319" w:rsidRPr="00BA53A3" w:rsidRDefault="00012A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3A3">
              <w:rPr>
                <w:rFonts w:ascii="Arial" w:hAnsi="Arial" w:cs="Arial"/>
                <w:sz w:val="20"/>
                <w:szCs w:val="20"/>
              </w:rPr>
              <w:t>Giri</w:t>
            </w:r>
            <w:proofErr w:type="spellEnd"/>
            <w:r w:rsidRPr="00BA53A3">
              <w:rPr>
                <w:rFonts w:ascii="Arial" w:hAnsi="Arial" w:cs="Arial"/>
                <w:sz w:val="20"/>
                <w:szCs w:val="20"/>
              </w:rPr>
              <w:t>, P. P., Mohanty, B. K., Acharya, S., &amp; Kumar, B. (2024). Identifying Constraints Perceiv</w:t>
            </w:r>
            <w:r w:rsidRPr="00BA53A3">
              <w:rPr>
                <w:rFonts w:ascii="Arial" w:hAnsi="Arial" w:cs="Arial"/>
                <w:sz w:val="20"/>
                <w:szCs w:val="20"/>
              </w:rPr>
              <w:t xml:space="preserve">ed by Farmers Practicing Groundnut Cultivation in Odisha, India. Journal of Experimental Agriculture International, 46(12), 739–748. </w:t>
            </w:r>
            <w:hyperlink r:id="rId7">
              <w:r w:rsidRPr="00BA53A3">
                <w:rPr>
                  <w:rFonts w:ascii="Arial" w:hAnsi="Arial" w:cs="Arial"/>
                  <w:color w:val="0563C1"/>
                  <w:sz w:val="20"/>
                  <w:szCs w:val="20"/>
                  <w:u w:val="single"/>
                </w:rPr>
                <w:t>https://doi.org/10.9734/jeai/2024/v46i123183</w:t>
              </w:r>
            </w:hyperlink>
            <w:r w:rsidRPr="00BA53A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12319" w:rsidRPr="00BA53A3" w:rsidRDefault="00512319">
            <w:pPr>
              <w:rPr>
                <w:rFonts w:ascii="Arial" w:hAnsi="Arial" w:cs="Arial"/>
                <w:sz w:val="20"/>
                <w:szCs w:val="20"/>
              </w:rPr>
            </w:pPr>
          </w:p>
          <w:p w:rsidR="00512319" w:rsidRPr="00BA53A3" w:rsidRDefault="00512319">
            <w:pPr>
              <w:rPr>
                <w:rFonts w:ascii="Arial" w:hAnsi="Arial" w:cs="Arial"/>
                <w:sz w:val="20"/>
                <w:szCs w:val="20"/>
              </w:rPr>
            </w:pPr>
          </w:p>
          <w:p w:rsidR="00512319" w:rsidRPr="00BA53A3" w:rsidRDefault="00012A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3A3">
              <w:rPr>
                <w:rFonts w:ascii="Arial" w:hAnsi="Arial" w:cs="Arial"/>
                <w:sz w:val="20"/>
                <w:szCs w:val="20"/>
              </w:rPr>
              <w:t>Zalavadiya</w:t>
            </w:r>
            <w:proofErr w:type="spellEnd"/>
            <w:r w:rsidRPr="00BA53A3">
              <w:rPr>
                <w:rFonts w:ascii="Arial" w:hAnsi="Arial" w:cs="Arial"/>
                <w:sz w:val="20"/>
                <w:szCs w:val="20"/>
              </w:rPr>
              <w:t>,</w:t>
            </w:r>
            <w:r w:rsidRPr="00BA53A3">
              <w:rPr>
                <w:rFonts w:ascii="Arial" w:hAnsi="Arial" w:cs="Arial"/>
                <w:sz w:val="20"/>
                <w:szCs w:val="20"/>
              </w:rPr>
              <w:t xml:space="preserve"> D., Mishra, S., </w:t>
            </w:r>
            <w:proofErr w:type="spellStart"/>
            <w:r w:rsidRPr="00BA53A3">
              <w:rPr>
                <w:rFonts w:ascii="Arial" w:hAnsi="Arial" w:cs="Arial"/>
                <w:sz w:val="20"/>
                <w:szCs w:val="20"/>
              </w:rPr>
              <w:t>Gondaliya</w:t>
            </w:r>
            <w:proofErr w:type="spellEnd"/>
            <w:r w:rsidRPr="00BA53A3">
              <w:rPr>
                <w:rFonts w:ascii="Arial" w:hAnsi="Arial" w:cs="Arial"/>
                <w:sz w:val="20"/>
                <w:szCs w:val="20"/>
              </w:rPr>
              <w:t xml:space="preserve">, S., </w:t>
            </w:r>
            <w:proofErr w:type="spellStart"/>
            <w:r w:rsidRPr="00BA53A3">
              <w:rPr>
                <w:rFonts w:ascii="Arial" w:hAnsi="Arial" w:cs="Arial"/>
                <w:sz w:val="20"/>
                <w:szCs w:val="20"/>
              </w:rPr>
              <w:t>Bhatiya</w:t>
            </w:r>
            <w:proofErr w:type="spellEnd"/>
            <w:r w:rsidRPr="00BA53A3">
              <w:rPr>
                <w:rFonts w:ascii="Arial" w:hAnsi="Arial" w:cs="Arial"/>
                <w:sz w:val="20"/>
                <w:szCs w:val="20"/>
              </w:rPr>
              <w:t xml:space="preserve">, M., </w:t>
            </w:r>
            <w:proofErr w:type="spellStart"/>
            <w:r w:rsidRPr="00BA53A3">
              <w:rPr>
                <w:rFonts w:ascii="Arial" w:hAnsi="Arial" w:cs="Arial"/>
                <w:sz w:val="20"/>
                <w:szCs w:val="20"/>
              </w:rPr>
              <w:t>Vaghasiya</w:t>
            </w:r>
            <w:proofErr w:type="spellEnd"/>
            <w:r w:rsidRPr="00BA53A3">
              <w:rPr>
                <w:rFonts w:ascii="Arial" w:hAnsi="Arial" w:cs="Arial"/>
                <w:sz w:val="20"/>
                <w:szCs w:val="20"/>
              </w:rPr>
              <w:t xml:space="preserve">, V., &amp; Venkat, N. (2022). Problem Identification of Groundnut Cultivation in </w:t>
            </w:r>
            <w:proofErr w:type="spellStart"/>
            <w:r w:rsidRPr="00BA53A3">
              <w:rPr>
                <w:rFonts w:ascii="Arial" w:hAnsi="Arial" w:cs="Arial"/>
                <w:sz w:val="20"/>
                <w:szCs w:val="20"/>
              </w:rPr>
              <w:t>Bhadthar</w:t>
            </w:r>
            <w:proofErr w:type="spellEnd"/>
            <w:r w:rsidRPr="00BA53A3">
              <w:rPr>
                <w:rFonts w:ascii="Arial" w:hAnsi="Arial" w:cs="Arial"/>
                <w:sz w:val="20"/>
                <w:szCs w:val="20"/>
              </w:rPr>
              <w:t xml:space="preserve"> Market of </w:t>
            </w:r>
            <w:proofErr w:type="spellStart"/>
            <w:r w:rsidRPr="00BA53A3">
              <w:rPr>
                <w:rFonts w:ascii="Arial" w:hAnsi="Arial" w:cs="Arial"/>
                <w:sz w:val="20"/>
                <w:szCs w:val="20"/>
              </w:rPr>
              <w:t>Devbhoomi</w:t>
            </w:r>
            <w:proofErr w:type="spellEnd"/>
            <w:r w:rsidRPr="00BA53A3">
              <w:rPr>
                <w:rFonts w:ascii="Arial" w:hAnsi="Arial" w:cs="Arial"/>
                <w:sz w:val="20"/>
                <w:szCs w:val="20"/>
              </w:rPr>
              <w:t xml:space="preserve"> Dwarka District, India. Asian Journal of Agricultural Extension, Economics &amp; Sociology, 40(12),</w:t>
            </w:r>
            <w:r w:rsidRPr="00BA53A3">
              <w:rPr>
                <w:rFonts w:ascii="Arial" w:hAnsi="Arial" w:cs="Arial"/>
                <w:sz w:val="20"/>
                <w:szCs w:val="20"/>
              </w:rPr>
              <w:t xml:space="preserve"> 430–435. </w:t>
            </w:r>
            <w:hyperlink r:id="rId8">
              <w:r w:rsidRPr="00BA53A3">
                <w:rPr>
                  <w:rFonts w:ascii="Arial" w:hAnsi="Arial" w:cs="Arial"/>
                  <w:color w:val="0563C1"/>
                  <w:sz w:val="20"/>
                  <w:szCs w:val="20"/>
                  <w:u w:val="single"/>
                </w:rPr>
                <w:t>https://doi.org/10.9734/ajaees/2022/v40i121813</w:t>
              </w:r>
            </w:hyperlink>
            <w:r w:rsidRPr="00BA53A3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512319" w:rsidRPr="00BA53A3" w:rsidRDefault="00512319">
            <w:pPr>
              <w:rPr>
                <w:rFonts w:ascii="Arial" w:hAnsi="Arial" w:cs="Arial"/>
                <w:sz w:val="20"/>
                <w:szCs w:val="20"/>
              </w:rPr>
            </w:pPr>
          </w:p>
          <w:p w:rsidR="00512319" w:rsidRPr="00BA53A3" w:rsidRDefault="00012A98">
            <w:pPr>
              <w:spacing w:before="240" w:line="360" w:lineRule="auto"/>
              <w:ind w:left="785" w:hanging="78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53A3">
              <w:rPr>
                <w:rFonts w:ascii="Arial" w:hAnsi="Arial" w:cs="Arial"/>
                <w:sz w:val="20"/>
                <w:szCs w:val="20"/>
              </w:rPr>
              <w:lastRenderedPageBreak/>
              <w:t xml:space="preserve">MUTTU, N. M., 2023, Study on forward linkage activities of groundnut growers in </w:t>
            </w:r>
            <w:proofErr w:type="spellStart"/>
            <w:r w:rsidRPr="00BA53A3">
              <w:rPr>
                <w:rFonts w:ascii="Arial" w:hAnsi="Arial" w:cs="Arial"/>
                <w:sz w:val="20"/>
                <w:szCs w:val="20"/>
              </w:rPr>
              <w:t>Chitradurga</w:t>
            </w:r>
            <w:proofErr w:type="spellEnd"/>
            <w:r w:rsidRPr="00BA53A3">
              <w:rPr>
                <w:rFonts w:ascii="Arial" w:hAnsi="Arial" w:cs="Arial"/>
                <w:sz w:val="20"/>
                <w:szCs w:val="20"/>
              </w:rPr>
              <w:t xml:space="preserve"> district of Karnataka. </w:t>
            </w:r>
            <w:r w:rsidRPr="00BA53A3">
              <w:rPr>
                <w:rFonts w:ascii="Arial" w:hAnsi="Arial" w:cs="Arial"/>
                <w:i/>
                <w:sz w:val="20"/>
                <w:szCs w:val="20"/>
              </w:rPr>
              <w:t>M. Sc. Thesis</w:t>
            </w:r>
            <w:r w:rsidRPr="00BA53A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A53A3">
              <w:rPr>
                <w:rFonts w:ascii="Arial" w:hAnsi="Arial" w:cs="Arial"/>
                <w:i/>
                <w:sz w:val="20"/>
                <w:szCs w:val="20"/>
              </w:rPr>
              <w:t>Unpub</w:t>
            </w:r>
            <w:proofErr w:type="spellEnd"/>
            <w:r w:rsidRPr="00BA53A3">
              <w:rPr>
                <w:rFonts w:ascii="Arial" w:hAnsi="Arial" w:cs="Arial"/>
                <w:i/>
                <w:sz w:val="20"/>
                <w:szCs w:val="20"/>
              </w:rPr>
              <w:t xml:space="preserve">.), </w:t>
            </w:r>
            <w:proofErr w:type="spellStart"/>
            <w:r w:rsidRPr="00BA53A3">
              <w:rPr>
                <w:rFonts w:ascii="Arial" w:hAnsi="Arial" w:cs="Arial"/>
                <w:sz w:val="20"/>
                <w:szCs w:val="20"/>
              </w:rPr>
              <w:t>Keladi</w:t>
            </w:r>
            <w:proofErr w:type="spellEnd"/>
            <w:r w:rsidRPr="00BA53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3A3">
              <w:rPr>
                <w:rFonts w:ascii="Arial" w:hAnsi="Arial" w:cs="Arial"/>
                <w:sz w:val="20"/>
                <w:szCs w:val="20"/>
              </w:rPr>
              <w:t>Shivappa</w:t>
            </w:r>
            <w:proofErr w:type="spellEnd"/>
            <w:r w:rsidRPr="00BA53A3">
              <w:rPr>
                <w:rFonts w:ascii="Arial" w:hAnsi="Arial" w:cs="Arial"/>
                <w:sz w:val="20"/>
                <w:szCs w:val="20"/>
              </w:rPr>
              <w:t xml:space="preserve"> Nayaka Univ. Agric. and </w:t>
            </w:r>
            <w:proofErr w:type="spellStart"/>
            <w:r w:rsidRPr="00BA53A3">
              <w:rPr>
                <w:rFonts w:ascii="Arial" w:hAnsi="Arial" w:cs="Arial"/>
                <w:sz w:val="20"/>
                <w:szCs w:val="20"/>
              </w:rPr>
              <w:t>Horti</w:t>
            </w:r>
            <w:proofErr w:type="spellEnd"/>
            <w:r w:rsidRPr="00BA53A3">
              <w:rPr>
                <w:rFonts w:ascii="Arial" w:hAnsi="Arial" w:cs="Arial"/>
                <w:sz w:val="20"/>
                <w:szCs w:val="20"/>
              </w:rPr>
              <w:t>. Sci., Shivamogga.</w:t>
            </w:r>
          </w:p>
          <w:p w:rsidR="00512319" w:rsidRPr="00BA53A3" w:rsidRDefault="00012A98">
            <w:pPr>
              <w:spacing w:before="240" w:line="360" w:lineRule="auto"/>
              <w:ind w:left="785" w:hanging="78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53A3">
              <w:rPr>
                <w:rFonts w:ascii="Arial" w:hAnsi="Arial" w:cs="Arial"/>
                <w:sz w:val="20"/>
                <w:szCs w:val="20"/>
              </w:rPr>
              <w:t xml:space="preserve">MALAVIKA, D. AND BARANWAL, V. K., 2023, Self-sufficient India in edible oil: Achievements and way forward. </w:t>
            </w:r>
            <w:r w:rsidRPr="00BA53A3">
              <w:rPr>
                <w:rFonts w:ascii="Arial" w:hAnsi="Arial" w:cs="Arial"/>
                <w:i/>
                <w:sz w:val="20"/>
                <w:szCs w:val="20"/>
              </w:rPr>
              <w:t xml:space="preserve">Res. Edu. and Tech. Policy Forum., </w:t>
            </w:r>
            <w:r w:rsidRPr="00BA53A3">
              <w:rPr>
                <w:rFonts w:ascii="Arial" w:hAnsi="Arial" w:cs="Arial"/>
                <w:b/>
                <w:sz w:val="20"/>
                <w:szCs w:val="20"/>
              </w:rPr>
              <w:t xml:space="preserve">23 </w:t>
            </w:r>
            <w:r w:rsidRPr="00BA53A3">
              <w:rPr>
                <w:rFonts w:ascii="Arial" w:hAnsi="Arial" w:cs="Arial"/>
                <w:sz w:val="20"/>
                <w:szCs w:val="20"/>
              </w:rPr>
              <w:t>(2): 1-16.</w:t>
            </w:r>
          </w:p>
          <w:p w:rsidR="00512319" w:rsidRPr="00BA53A3" w:rsidRDefault="00512319">
            <w:pPr>
              <w:spacing w:before="240" w:line="360" w:lineRule="auto"/>
              <w:ind w:left="785" w:hanging="78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12319" w:rsidRPr="00BA53A3" w:rsidRDefault="00512319">
            <w:pPr>
              <w:rPr>
                <w:rFonts w:ascii="Arial" w:hAnsi="Arial" w:cs="Arial"/>
                <w:sz w:val="20"/>
                <w:szCs w:val="20"/>
              </w:rPr>
            </w:pPr>
          </w:p>
          <w:p w:rsidR="00512319" w:rsidRPr="00BA53A3" w:rsidRDefault="005123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2319" w:rsidRPr="00BA53A3">
        <w:trPr>
          <w:trHeight w:val="386"/>
        </w:trPr>
        <w:tc>
          <w:tcPr>
            <w:tcW w:w="5351" w:type="dxa"/>
          </w:tcPr>
          <w:p w:rsidR="00512319" w:rsidRPr="00BA53A3" w:rsidRDefault="00012A98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BA53A3">
              <w:rPr>
                <w:rFonts w:ascii="Arial" w:eastAsia="Times New Roman" w:hAnsi="Arial" w:cs="Arial"/>
              </w:rPr>
              <w:lastRenderedPageBreak/>
              <w:t>Is the language/English quality of the article suitable for scholarly communications?</w:t>
            </w:r>
          </w:p>
          <w:p w:rsidR="00512319" w:rsidRPr="00BA53A3" w:rsidRDefault="005123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512319" w:rsidRPr="00BA53A3" w:rsidRDefault="00012A98">
            <w:pPr>
              <w:rPr>
                <w:rFonts w:ascii="Arial" w:hAnsi="Arial" w:cs="Arial"/>
                <w:sz w:val="20"/>
                <w:szCs w:val="20"/>
              </w:rPr>
            </w:pPr>
            <w:r w:rsidRPr="00BA53A3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512319" w:rsidRPr="00BA53A3" w:rsidRDefault="005123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2319" w:rsidRPr="00BA53A3">
        <w:trPr>
          <w:trHeight w:val="1178"/>
        </w:trPr>
        <w:tc>
          <w:tcPr>
            <w:tcW w:w="5351" w:type="dxa"/>
          </w:tcPr>
          <w:p w:rsidR="00512319" w:rsidRPr="00BA53A3" w:rsidRDefault="00012A9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A53A3">
              <w:rPr>
                <w:rFonts w:ascii="Arial" w:eastAsia="Times New Roman" w:hAnsi="Arial" w:cs="Arial"/>
                <w:u w:val="single"/>
              </w:rPr>
              <w:t>Optional/General</w:t>
            </w:r>
            <w:r w:rsidRPr="00BA53A3">
              <w:rPr>
                <w:rFonts w:ascii="Arial" w:eastAsia="Times New Roman" w:hAnsi="Arial" w:cs="Arial"/>
              </w:rPr>
              <w:t xml:space="preserve"> </w:t>
            </w:r>
            <w:r w:rsidRPr="00BA53A3">
              <w:rPr>
                <w:rFonts w:ascii="Arial" w:eastAsia="Times New Roman" w:hAnsi="Arial" w:cs="Arial"/>
                <w:b w:val="0"/>
              </w:rPr>
              <w:t>comments</w:t>
            </w:r>
          </w:p>
          <w:p w:rsidR="00512319" w:rsidRPr="00BA53A3" w:rsidRDefault="0051231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512319" w:rsidRPr="00BA53A3" w:rsidRDefault="00012A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3A3">
              <w:rPr>
                <w:rFonts w:ascii="Arial" w:hAnsi="Arial" w:cs="Arial"/>
                <w:b/>
                <w:color w:val="000000"/>
                <w:sz w:val="20"/>
                <w:szCs w:val="20"/>
              </w:rPr>
              <w:t>Replace big farm as large farm</w:t>
            </w:r>
          </w:p>
        </w:tc>
        <w:tc>
          <w:tcPr>
            <w:tcW w:w="6442" w:type="dxa"/>
          </w:tcPr>
          <w:p w:rsidR="00512319" w:rsidRPr="00BA53A3" w:rsidRDefault="00012A98">
            <w:pPr>
              <w:rPr>
                <w:rFonts w:ascii="Arial" w:hAnsi="Arial" w:cs="Arial"/>
                <w:sz w:val="20"/>
                <w:szCs w:val="20"/>
              </w:rPr>
            </w:pPr>
            <w:r w:rsidRPr="00BA53A3">
              <w:rPr>
                <w:rFonts w:ascii="Arial" w:hAnsi="Arial" w:cs="Arial"/>
                <w:sz w:val="20"/>
                <w:szCs w:val="20"/>
              </w:rPr>
              <w:t xml:space="preserve">Big farm growers </w:t>
            </w:r>
            <w:proofErr w:type="gramStart"/>
            <w:r w:rsidRPr="00BA53A3">
              <w:rPr>
                <w:rFonts w:ascii="Arial" w:hAnsi="Arial" w:cs="Arial"/>
                <w:sz w:val="20"/>
                <w:szCs w:val="20"/>
              </w:rPr>
              <w:t>is</w:t>
            </w:r>
            <w:proofErr w:type="gramEnd"/>
            <w:r w:rsidRPr="00BA53A3">
              <w:rPr>
                <w:rFonts w:ascii="Arial" w:hAnsi="Arial" w:cs="Arial"/>
                <w:sz w:val="20"/>
                <w:szCs w:val="20"/>
              </w:rPr>
              <w:t xml:space="preserve"> well suitable</w:t>
            </w:r>
          </w:p>
        </w:tc>
      </w:tr>
    </w:tbl>
    <w:p w:rsidR="00512319" w:rsidRPr="00BA53A3" w:rsidRDefault="0051231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512319" w:rsidRPr="00BA53A3" w:rsidRDefault="00512319">
      <w:pPr>
        <w:spacing w:after="160" w:line="256" w:lineRule="auto"/>
        <w:rPr>
          <w:rFonts w:ascii="Arial" w:eastAsia="Calibri" w:hAnsi="Arial" w:cs="Arial"/>
          <w:sz w:val="20"/>
          <w:szCs w:val="20"/>
        </w:rPr>
      </w:pPr>
      <w:bookmarkStart w:id="1" w:name="_2o46bxyzpkgd" w:colFirst="0" w:colLast="0"/>
      <w:bookmarkStart w:id="2" w:name="_GoBack"/>
      <w:bookmarkEnd w:id="1"/>
      <w:bookmarkEnd w:id="2"/>
    </w:p>
    <w:tbl>
      <w:tblPr>
        <w:tblStyle w:val="a2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512319" w:rsidRPr="00BA53A3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2319" w:rsidRPr="00BA53A3" w:rsidRDefault="00012A98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BA53A3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BA53A3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512319" w:rsidRPr="00BA53A3" w:rsidRDefault="00512319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512319" w:rsidRPr="00BA53A3"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2319" w:rsidRPr="00BA53A3" w:rsidRDefault="0051231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319" w:rsidRPr="00BA53A3" w:rsidRDefault="00012A98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BA53A3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</w:tcPr>
          <w:p w:rsidR="00512319" w:rsidRPr="00BA53A3" w:rsidRDefault="00012A98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BA53A3">
              <w:rPr>
                <w:rFonts w:ascii="Arial" w:eastAsia="Arial" w:hAnsi="Arial" w:cs="Arial"/>
                <w:b/>
                <w:sz w:val="20"/>
                <w:szCs w:val="20"/>
              </w:rPr>
              <w:t>Author’s comment</w:t>
            </w:r>
            <w:r w:rsidRPr="00BA53A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BA53A3">
              <w:rPr>
                <w:rFonts w:ascii="Arial" w:eastAsia="Arial" w:hAnsi="Arial" w:cs="Arial"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512319" w:rsidRPr="00BA53A3">
        <w:trPr>
          <w:trHeight w:val="890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2319" w:rsidRPr="00BA53A3" w:rsidRDefault="00012A98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BA53A3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512319" w:rsidRPr="00BA53A3" w:rsidRDefault="0051231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2319" w:rsidRPr="00BA53A3" w:rsidRDefault="00012A98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BA53A3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BA53A3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BA53A3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512319" w:rsidRPr="00BA53A3" w:rsidRDefault="00512319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512319" w:rsidRPr="00BA53A3" w:rsidRDefault="0051231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vAlign w:val="center"/>
          </w:tcPr>
          <w:p w:rsidR="00512319" w:rsidRPr="00BA53A3" w:rsidRDefault="00512319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512319" w:rsidRPr="00BA53A3" w:rsidRDefault="00512319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512319" w:rsidRPr="00BA53A3" w:rsidRDefault="0051231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512319" w:rsidRPr="00BA53A3" w:rsidRDefault="00512319">
      <w:pPr>
        <w:rPr>
          <w:rFonts w:ascii="Arial" w:hAnsi="Arial" w:cs="Arial"/>
          <w:sz w:val="20"/>
          <w:szCs w:val="20"/>
        </w:rPr>
      </w:pPr>
    </w:p>
    <w:p w:rsidR="00512319" w:rsidRPr="00BA53A3" w:rsidRDefault="00512319">
      <w:pPr>
        <w:rPr>
          <w:rFonts w:ascii="Arial" w:hAnsi="Arial" w:cs="Arial"/>
          <w:sz w:val="20"/>
          <w:szCs w:val="20"/>
        </w:rPr>
      </w:pPr>
    </w:p>
    <w:p w:rsidR="00512319" w:rsidRPr="00BA53A3" w:rsidRDefault="00512319">
      <w:pPr>
        <w:spacing w:after="160" w:line="256" w:lineRule="auto"/>
        <w:rPr>
          <w:rFonts w:ascii="Arial" w:eastAsia="Calibri" w:hAnsi="Arial" w:cs="Arial"/>
          <w:sz w:val="20"/>
          <w:szCs w:val="20"/>
        </w:rPr>
      </w:pPr>
    </w:p>
    <w:p w:rsidR="00512319" w:rsidRPr="00BA53A3" w:rsidRDefault="00512319">
      <w:pPr>
        <w:spacing w:after="160" w:line="256" w:lineRule="auto"/>
        <w:rPr>
          <w:rFonts w:ascii="Arial" w:eastAsia="Calibri" w:hAnsi="Arial" w:cs="Arial"/>
          <w:sz w:val="20"/>
          <w:szCs w:val="20"/>
        </w:rPr>
      </w:pPr>
    </w:p>
    <w:sectPr w:rsidR="00512319" w:rsidRPr="00BA53A3">
      <w:headerReference w:type="default" r:id="rId9"/>
      <w:footerReference w:type="default" r:id="rId10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A98" w:rsidRDefault="00012A98">
      <w:r>
        <w:separator/>
      </w:r>
    </w:p>
  </w:endnote>
  <w:endnote w:type="continuationSeparator" w:id="0">
    <w:p w:rsidR="00012A98" w:rsidRDefault="00012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319" w:rsidRDefault="00012A98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A98" w:rsidRDefault="00012A98">
      <w:r>
        <w:separator/>
      </w:r>
    </w:p>
  </w:footnote>
  <w:footnote w:type="continuationSeparator" w:id="0">
    <w:p w:rsidR="00012A98" w:rsidRDefault="00012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319" w:rsidRDefault="00512319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512319" w:rsidRDefault="00012A98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319"/>
    <w:rsid w:val="00012A98"/>
    <w:rsid w:val="00512319"/>
    <w:rsid w:val="00BA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B726E"/>
  <w15:docId w15:val="{B08F189B-F2D6-4195-945F-C2C0CD905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9734/ajaees/2022/v40i12181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oi.org/10.9734/jeai/2024/v46i123183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srr.com/index.php/JSRR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617</Words>
  <Characters>3518</Characters>
  <Application>Microsoft Office Word</Application>
  <DocSecurity>0</DocSecurity>
  <Lines>29</Lines>
  <Paragraphs>8</Paragraphs>
  <ScaleCrop>false</ScaleCrop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2025-06-21T12:40:00Z</dcterms:created>
  <dcterms:modified xsi:type="dcterms:W3CDTF">2025-06-21T12:41:00Z</dcterms:modified>
</cp:coreProperties>
</file>