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97E" w:rsidRPr="00E37DD1" w:rsidRDefault="00EB597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bookmarkStart w:id="0" w:name="_GoBack"/>
    </w:p>
    <w:tbl>
      <w:tblPr>
        <w:tblStyle w:val="a0"/>
        <w:tblW w:w="13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8792"/>
      </w:tblGrid>
      <w:tr w:rsidR="00EB597E" w:rsidRPr="00E37DD1">
        <w:trPr>
          <w:trHeight w:val="290"/>
        </w:trPr>
        <w:tc>
          <w:tcPr>
            <w:tcW w:w="13959" w:type="dxa"/>
            <w:gridSpan w:val="2"/>
            <w:tcBorders>
              <w:top w:val="nil"/>
              <w:left w:val="nil"/>
              <w:right w:val="nil"/>
            </w:tcBorders>
          </w:tcPr>
          <w:p w:rsidR="00EB597E" w:rsidRPr="00E37DD1" w:rsidRDefault="00EB597E">
            <w:pPr>
              <w:pStyle w:val="Heading2"/>
              <w:ind w:left="0" w:hanging="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EB597E" w:rsidRPr="00E37DD1">
        <w:trPr>
          <w:trHeight w:val="290"/>
        </w:trPr>
        <w:tc>
          <w:tcPr>
            <w:tcW w:w="5167" w:type="dxa"/>
          </w:tcPr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8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97E" w:rsidRPr="00E37DD1" w:rsidRDefault="004B00C8">
            <w:pPr>
              <w:ind w:left="0" w:hanging="2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8">
              <w:r w:rsidRPr="00E37DD1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Current Journal of Applied Science and Technology</w:t>
              </w:r>
            </w:hyperlink>
          </w:p>
        </w:tc>
      </w:tr>
      <w:tr w:rsidR="00EB597E" w:rsidRPr="00E37DD1">
        <w:trPr>
          <w:trHeight w:val="290"/>
        </w:trPr>
        <w:tc>
          <w:tcPr>
            <w:tcW w:w="5167" w:type="dxa"/>
          </w:tcPr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8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Ms_CJAST_138671</w:t>
            </w:r>
          </w:p>
        </w:tc>
      </w:tr>
      <w:tr w:rsidR="00EB597E" w:rsidRPr="00E37DD1">
        <w:trPr>
          <w:trHeight w:val="650"/>
        </w:trPr>
        <w:tc>
          <w:tcPr>
            <w:tcW w:w="5167" w:type="dxa"/>
          </w:tcPr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8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Multi AI Agent Frameworks: Challenges, Architectures, and Applications</w:t>
            </w:r>
          </w:p>
        </w:tc>
      </w:tr>
      <w:tr w:rsidR="00EB597E" w:rsidRPr="00E37DD1">
        <w:trPr>
          <w:trHeight w:val="332"/>
        </w:trPr>
        <w:tc>
          <w:tcPr>
            <w:tcW w:w="5167" w:type="dxa"/>
          </w:tcPr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87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97E" w:rsidRPr="00E37DD1" w:rsidRDefault="00EB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EB597E" w:rsidRPr="00E37DD1" w:rsidRDefault="00EB59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1" w:name="_heading=h.xkf6ss87l45o" w:colFirst="0" w:colLast="0"/>
      <w:bookmarkEnd w:id="1"/>
    </w:p>
    <w:p w:rsidR="00EB597E" w:rsidRPr="00E37DD1" w:rsidRDefault="00EB597E">
      <w:pPr>
        <w:ind w:left="0" w:hanging="2"/>
        <w:rPr>
          <w:rFonts w:ascii="Arial" w:hAnsi="Arial" w:cs="Arial"/>
          <w:sz w:val="20"/>
          <w:szCs w:val="20"/>
        </w:rPr>
      </w:pPr>
    </w:p>
    <w:tbl>
      <w:tblPr>
        <w:tblStyle w:val="a1"/>
        <w:tblW w:w="1497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55"/>
        <w:gridCol w:w="5730"/>
        <w:gridCol w:w="5085"/>
      </w:tblGrid>
      <w:tr w:rsidR="00EB597E" w:rsidRPr="00E37DD1">
        <w:tc>
          <w:tcPr>
            <w:tcW w:w="14970" w:type="dxa"/>
            <w:gridSpan w:val="3"/>
            <w:tcBorders>
              <w:top w:val="nil"/>
              <w:left w:val="nil"/>
              <w:right w:val="nil"/>
            </w:tcBorders>
          </w:tcPr>
          <w:p w:rsidR="00EB597E" w:rsidRPr="00E37DD1" w:rsidRDefault="004B00C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E37DD1">
              <w:rPr>
                <w:rFonts w:ascii="Arial" w:eastAsia="Times New Roman" w:hAnsi="Arial" w:cs="Arial"/>
                <w:highlight w:val="yellow"/>
              </w:rPr>
              <w:t xml:space="preserve">PART  </w:t>
            </w:r>
            <w:proofErr w:type="gramStart"/>
            <w:r w:rsidRPr="00E37DD1">
              <w:rPr>
                <w:rFonts w:ascii="Arial" w:eastAsia="Times New Roman" w:hAnsi="Arial" w:cs="Arial"/>
                <w:highlight w:val="yellow"/>
              </w:rPr>
              <w:t>1:</w:t>
            </w:r>
            <w:proofErr w:type="gramEnd"/>
            <w:r w:rsidRPr="00E37DD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37DD1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:rsidR="00EB597E" w:rsidRPr="00E37DD1" w:rsidRDefault="00EB59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97E" w:rsidRPr="00E37DD1">
        <w:tc>
          <w:tcPr>
            <w:tcW w:w="4155" w:type="dxa"/>
          </w:tcPr>
          <w:p w:rsidR="00EB597E" w:rsidRPr="00E37DD1" w:rsidRDefault="00EB597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5730" w:type="dxa"/>
          </w:tcPr>
          <w:p w:rsidR="00EB597E" w:rsidRPr="00E37DD1" w:rsidRDefault="004B00C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E37DD1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E37DD1">
              <w:rPr>
                <w:rFonts w:ascii="Arial" w:eastAsia="Times New Roman" w:hAnsi="Arial" w:cs="Arial"/>
              </w:rPr>
              <w:t xml:space="preserve"> comment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B597E" w:rsidRPr="00E37DD1" w:rsidRDefault="00EB59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5" w:type="dxa"/>
          </w:tcPr>
          <w:p w:rsidR="00EB597E" w:rsidRPr="00E37DD1" w:rsidRDefault="004B00C8">
            <w:pPr>
              <w:spacing w:after="160" w:line="254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E37DD1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EB597E" w:rsidRPr="00E37DD1" w:rsidRDefault="00EB597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B597E" w:rsidRPr="00E37DD1">
        <w:trPr>
          <w:trHeight w:val="1264"/>
        </w:trPr>
        <w:tc>
          <w:tcPr>
            <w:tcW w:w="4155" w:type="dxa"/>
          </w:tcPr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EB597E" w:rsidRPr="00E37DD1" w:rsidRDefault="00EB59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0" w:type="dxa"/>
          </w:tcPr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This manuscript makes a timely and substantive contribution by synthesizing the rapidly expanding literature on AI multi-agent frameworks and mapping their concrete impact on high-stakes domains such as finance. It provides one of the first side-by-side te</w:t>
            </w: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chnical comparisons of leading toolchains (e.g., 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LangChain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CrewAI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OpenAI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 Swarm), helping researchers identify trade-offs in scalability, collaboration, and 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explainability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 that are not yet well documented in peer-reviewed sources. By coupling that survey </w:t>
            </w: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with a rigorous discussion of data-quality pitfalls, regulatory pressures, and quantitative evaluation metrics, the work outlines a clear research agenda for developing accountable, benchmarkable, and industry-ready multi-agent systems. As such, it offers </w:t>
            </w: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both a state-of-the-art snapshot and a roadmap that will guide future theoretical and applied investigations across AI, finance, and governance communities.</w:t>
            </w:r>
          </w:p>
        </w:tc>
        <w:tc>
          <w:tcPr>
            <w:tcW w:w="5085" w:type="dxa"/>
          </w:tcPr>
          <w:p w:rsidR="00EB597E" w:rsidRPr="00E37DD1" w:rsidRDefault="00EB597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B597E" w:rsidRPr="00E37DD1">
        <w:trPr>
          <w:trHeight w:val="1262"/>
        </w:trPr>
        <w:tc>
          <w:tcPr>
            <w:tcW w:w="4155" w:type="dxa"/>
          </w:tcPr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EB597E" w:rsidRPr="00E37DD1" w:rsidRDefault="00EB597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5730" w:type="dxa"/>
          </w:tcPr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b/>
                <w:sz w:val="20"/>
                <w:szCs w:val="20"/>
              </w:rPr>
              <w:t>The current t</w:t>
            </w:r>
            <w:r w:rsidRPr="00E37DD1">
              <w:rPr>
                <w:rFonts w:ascii="Arial" w:hAnsi="Arial" w:cs="Arial"/>
                <w:b/>
                <w:sz w:val="20"/>
                <w:szCs w:val="20"/>
              </w:rPr>
              <w:t xml:space="preserve">itle, “Multi AI Agent Frameworks: Challenges, Architectures, and Applications,” </w:t>
            </w:r>
            <w:r w:rsidRPr="00E37DD1">
              <w:rPr>
                <w:rFonts w:ascii="Arial" w:hAnsi="Arial" w:cs="Arial"/>
                <w:sz w:val="20"/>
                <w:szCs w:val="20"/>
              </w:rPr>
              <w:t>captures the broad scope of the survey but has two minor drawbacks:</w:t>
            </w:r>
          </w:p>
          <w:p w:rsidR="00EB597E" w:rsidRPr="00E37DD1" w:rsidRDefault="004B00C8">
            <w:pPr>
              <w:numPr>
                <w:ilvl w:val="0"/>
                <w:numId w:val="1"/>
              </w:num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>Ambiguity in phrasing – “Multi AI Agent” reads awkwardly and could be misinterpreted; most readers expect the term “multi-agent AI” or “AI multi-agent.”</w:t>
            </w:r>
          </w:p>
          <w:p w:rsidR="00EB597E" w:rsidRPr="00E37DD1" w:rsidRDefault="004B00C8">
            <w:pPr>
              <w:numPr>
                <w:ilvl w:val="0"/>
                <w:numId w:val="1"/>
              </w:num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 xml:space="preserve">Missing domain signal – Because the manuscript devotes substantial space to financial-sector use cases </w:t>
            </w:r>
            <w:r w:rsidRPr="00E37DD1">
              <w:rPr>
                <w:rFonts w:ascii="Arial" w:hAnsi="Arial" w:cs="Arial"/>
                <w:sz w:val="20"/>
                <w:szCs w:val="20"/>
              </w:rPr>
              <w:t xml:space="preserve">and risk considerations, reflecting that focus in the title would quickly tell readers why the paper matters and help position it within finance-oriented AI research. </w:t>
            </w:r>
          </w:p>
          <w:p w:rsidR="00EB597E" w:rsidRPr="00E37DD1" w:rsidRDefault="00EB59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>Suggested alternatives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>“AI Multi-Agent Frameworks: Architectures, Challenges, and Finan</w:t>
            </w:r>
            <w:r w:rsidRPr="00E37DD1">
              <w:rPr>
                <w:rFonts w:ascii="Arial" w:hAnsi="Arial" w:cs="Arial"/>
                <w:sz w:val="20"/>
                <w:szCs w:val="20"/>
              </w:rPr>
              <w:t>cial Applications” – minimal change, improves wording, and signals the finance emphasis.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>“Architectures and Challenges of AI Multi-Agent Frameworks for Financial Services” – foregrounds the domain explicitly.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 xml:space="preserve">“From </w:t>
            </w:r>
            <w:proofErr w:type="spellStart"/>
            <w:r w:rsidRPr="00E37DD1">
              <w:rPr>
                <w:rFonts w:ascii="Arial" w:hAnsi="Arial" w:cs="Arial"/>
                <w:sz w:val="20"/>
                <w:szCs w:val="20"/>
              </w:rPr>
              <w:t>LangChain</w:t>
            </w:r>
            <w:proofErr w:type="spellEnd"/>
            <w:r w:rsidRPr="00E37DD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37DD1">
              <w:rPr>
                <w:rFonts w:ascii="Arial" w:hAnsi="Arial" w:cs="Arial"/>
                <w:sz w:val="20"/>
                <w:szCs w:val="20"/>
              </w:rPr>
              <w:t>CrewAI</w:t>
            </w:r>
            <w:proofErr w:type="spellEnd"/>
            <w:r w:rsidRPr="00E37DD1">
              <w:rPr>
                <w:rFonts w:ascii="Arial" w:hAnsi="Arial" w:cs="Arial"/>
                <w:sz w:val="20"/>
                <w:szCs w:val="20"/>
              </w:rPr>
              <w:t>: A Comparative Review</w:t>
            </w:r>
            <w:r w:rsidRPr="00E37DD1">
              <w:rPr>
                <w:rFonts w:ascii="Arial" w:hAnsi="Arial" w:cs="Arial"/>
                <w:sz w:val="20"/>
                <w:szCs w:val="20"/>
              </w:rPr>
              <w:t xml:space="preserve"> of AI Multi-Agent Frameworks in Finance” – highlights the comparative nature and the key frameworks studied.</w:t>
            </w:r>
          </w:p>
        </w:tc>
        <w:tc>
          <w:tcPr>
            <w:tcW w:w="5085" w:type="dxa"/>
          </w:tcPr>
          <w:p w:rsidR="00EB597E" w:rsidRPr="00E37DD1" w:rsidRDefault="004B00C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  <w:highlight w:val="yellow"/>
              </w:rPr>
            </w:pPr>
            <w:proofErr w:type="spellStart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Changed</w:t>
            </w:r>
            <w:proofErr w:type="spellEnd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 xml:space="preserve"> the </w:t>
            </w:r>
            <w:proofErr w:type="spellStart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terms</w:t>
            </w:r>
            <w:proofErr w:type="spellEnd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 xml:space="preserve"> to AI Multi-</w:t>
            </w:r>
            <w:proofErr w:type="gramStart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agents:</w:t>
            </w:r>
            <w:proofErr w:type="gramEnd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 xml:space="preserve"> AI Multi-Agent </w:t>
            </w:r>
            <w:proofErr w:type="spellStart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Frameworks</w:t>
            </w:r>
            <w:proofErr w:type="spellEnd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: Architectures, Challenges, and Financial Applications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7DD1">
              <w:rPr>
                <w:rFonts w:ascii="Arial" w:hAnsi="Arial" w:cs="Arial"/>
                <w:sz w:val="20"/>
                <w:szCs w:val="20"/>
                <w:highlight w:val="yellow"/>
              </w:rPr>
              <w:t>Added Finance sector in the</w:t>
            </w:r>
            <w:r w:rsidRPr="00E37DD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title and abstract and introduction.</w:t>
            </w:r>
          </w:p>
          <w:p w:rsidR="00EB597E" w:rsidRPr="00E37DD1" w:rsidRDefault="00EB59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97E" w:rsidRPr="00E37DD1">
        <w:trPr>
          <w:trHeight w:val="5354"/>
        </w:trPr>
        <w:tc>
          <w:tcPr>
            <w:tcW w:w="4155" w:type="dxa"/>
          </w:tcPr>
          <w:p w:rsidR="00EB597E" w:rsidRPr="00E37DD1" w:rsidRDefault="004B00C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E37DD1">
              <w:rPr>
                <w:rFonts w:ascii="Arial" w:eastAsia="Times New Roman" w:hAnsi="Arial" w:cs="Arial"/>
              </w:rPr>
              <w:lastRenderedPageBreak/>
              <w:t xml:space="preserve">Is the abstract of the article </w:t>
            </w:r>
            <w:proofErr w:type="spellStart"/>
            <w:proofErr w:type="gramStart"/>
            <w:r w:rsidRPr="00E37DD1">
              <w:rPr>
                <w:rFonts w:ascii="Arial" w:eastAsia="Times New Roman" w:hAnsi="Arial" w:cs="Arial"/>
              </w:rPr>
              <w:t>comprehensive</w:t>
            </w:r>
            <w:proofErr w:type="spellEnd"/>
            <w:r w:rsidRPr="00E37DD1">
              <w:rPr>
                <w:rFonts w:ascii="Arial" w:eastAsia="Times New Roman" w:hAnsi="Arial" w:cs="Arial"/>
              </w:rPr>
              <w:t>?</w:t>
            </w:r>
            <w:proofErr w:type="gramEnd"/>
            <w:r w:rsidRPr="00E37DD1">
              <w:rPr>
                <w:rFonts w:ascii="Arial" w:eastAsia="Times New Roman" w:hAnsi="Arial" w:cs="Arial"/>
              </w:rPr>
              <w:t xml:space="preserve"> Do </w:t>
            </w:r>
            <w:proofErr w:type="spellStart"/>
            <w:r w:rsidRPr="00E37DD1">
              <w:rPr>
                <w:rFonts w:ascii="Arial" w:eastAsia="Times New Roman" w:hAnsi="Arial" w:cs="Arial"/>
              </w:rPr>
              <w:t>you</w:t>
            </w:r>
            <w:proofErr w:type="spellEnd"/>
            <w:r w:rsidRPr="00E37DD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37DD1">
              <w:rPr>
                <w:rFonts w:ascii="Arial" w:eastAsia="Times New Roman" w:hAnsi="Arial" w:cs="Arial"/>
              </w:rPr>
              <w:t>suggest</w:t>
            </w:r>
            <w:proofErr w:type="spellEnd"/>
            <w:r w:rsidRPr="00E37DD1">
              <w:rPr>
                <w:rFonts w:ascii="Arial" w:eastAsia="Times New Roman" w:hAnsi="Arial" w:cs="Arial"/>
              </w:rPr>
              <w:t xml:space="preserve"> the addition (or </w:t>
            </w:r>
            <w:proofErr w:type="spellStart"/>
            <w:r w:rsidRPr="00E37DD1">
              <w:rPr>
                <w:rFonts w:ascii="Arial" w:eastAsia="Times New Roman" w:hAnsi="Arial" w:cs="Arial"/>
              </w:rPr>
              <w:t>deletion</w:t>
            </w:r>
            <w:proofErr w:type="spellEnd"/>
            <w:r w:rsidRPr="00E37DD1">
              <w:rPr>
                <w:rFonts w:ascii="Arial" w:eastAsia="Times New Roman" w:hAnsi="Arial" w:cs="Arial"/>
              </w:rPr>
              <w:t xml:space="preserve">) of </w:t>
            </w:r>
            <w:proofErr w:type="spellStart"/>
            <w:r w:rsidRPr="00E37DD1">
              <w:rPr>
                <w:rFonts w:ascii="Arial" w:eastAsia="Times New Roman" w:hAnsi="Arial" w:cs="Arial"/>
              </w:rPr>
              <w:t>some</w:t>
            </w:r>
            <w:proofErr w:type="spellEnd"/>
            <w:r w:rsidRPr="00E37DD1">
              <w:rPr>
                <w:rFonts w:ascii="Arial" w:eastAsia="Times New Roman" w:hAnsi="Arial" w:cs="Arial"/>
              </w:rPr>
              <w:t xml:space="preserve"> points in </w:t>
            </w:r>
            <w:proofErr w:type="spellStart"/>
            <w:r w:rsidRPr="00E37DD1">
              <w:rPr>
                <w:rFonts w:ascii="Arial" w:eastAsia="Times New Roman" w:hAnsi="Arial" w:cs="Arial"/>
              </w:rPr>
              <w:t>this</w:t>
            </w:r>
            <w:proofErr w:type="spellEnd"/>
            <w:r w:rsidRPr="00E37DD1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E37DD1">
              <w:rPr>
                <w:rFonts w:ascii="Arial" w:eastAsia="Times New Roman" w:hAnsi="Arial" w:cs="Arial"/>
              </w:rPr>
              <w:t>section?</w:t>
            </w:r>
            <w:proofErr w:type="gramEnd"/>
            <w:r w:rsidRPr="00E37DD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37DD1">
              <w:rPr>
                <w:rFonts w:ascii="Arial" w:eastAsia="Times New Roman" w:hAnsi="Arial" w:cs="Arial"/>
              </w:rPr>
              <w:t>Please</w:t>
            </w:r>
            <w:proofErr w:type="spellEnd"/>
            <w:r w:rsidRPr="00E37DD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37DD1">
              <w:rPr>
                <w:rFonts w:ascii="Arial" w:eastAsia="Times New Roman" w:hAnsi="Arial" w:cs="Arial"/>
              </w:rPr>
              <w:t>write</w:t>
            </w:r>
            <w:proofErr w:type="spellEnd"/>
            <w:r w:rsidRPr="00E37DD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37DD1">
              <w:rPr>
                <w:rFonts w:ascii="Arial" w:eastAsia="Times New Roman" w:hAnsi="Arial" w:cs="Arial"/>
              </w:rPr>
              <w:t>your</w:t>
            </w:r>
            <w:proofErr w:type="spellEnd"/>
            <w:r w:rsidRPr="00E37DD1">
              <w:rPr>
                <w:rFonts w:ascii="Arial" w:eastAsia="Times New Roman" w:hAnsi="Arial" w:cs="Arial"/>
              </w:rPr>
              <w:t xml:space="preserve"> suggestions </w:t>
            </w:r>
            <w:proofErr w:type="spellStart"/>
            <w:r w:rsidRPr="00E37DD1">
              <w:rPr>
                <w:rFonts w:ascii="Arial" w:eastAsia="Times New Roman" w:hAnsi="Arial" w:cs="Arial"/>
              </w:rPr>
              <w:t>here</w:t>
            </w:r>
            <w:proofErr w:type="spellEnd"/>
            <w:r w:rsidRPr="00E37DD1">
              <w:rPr>
                <w:rFonts w:ascii="Arial" w:eastAsia="Times New Roman" w:hAnsi="Arial" w:cs="Arial"/>
              </w:rPr>
              <w:t>.</w:t>
            </w:r>
          </w:p>
          <w:p w:rsidR="00EB597E" w:rsidRPr="00E37DD1" w:rsidRDefault="00EB597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5730" w:type="dxa"/>
          </w:tcPr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>The abstract is thorough and structured: it states the problem (the rapid rise of AI multi-agent frameworks), names the most prominent toolkits (</w:t>
            </w:r>
            <w:proofErr w:type="spellStart"/>
            <w:r w:rsidRPr="00E37DD1">
              <w:rPr>
                <w:rFonts w:ascii="Arial" w:hAnsi="Arial" w:cs="Arial"/>
                <w:sz w:val="20"/>
                <w:szCs w:val="20"/>
              </w:rPr>
              <w:t>LangChain</w:t>
            </w:r>
            <w:proofErr w:type="spellEnd"/>
            <w:r w:rsidRPr="00E37DD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37DD1">
              <w:rPr>
                <w:rFonts w:ascii="Arial" w:hAnsi="Arial" w:cs="Arial"/>
                <w:sz w:val="20"/>
                <w:szCs w:val="20"/>
              </w:rPr>
              <w:t>CrewAI</w:t>
            </w:r>
            <w:proofErr w:type="spellEnd"/>
            <w:r w:rsidRPr="00E37DD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37DD1">
              <w:rPr>
                <w:rFonts w:ascii="Arial" w:hAnsi="Arial" w:cs="Arial"/>
                <w:sz w:val="20"/>
                <w:szCs w:val="20"/>
              </w:rPr>
              <w:t>OpenAI</w:t>
            </w:r>
            <w:proofErr w:type="spellEnd"/>
            <w:r w:rsidRPr="00E37DD1">
              <w:rPr>
                <w:rFonts w:ascii="Arial" w:hAnsi="Arial" w:cs="Arial"/>
                <w:sz w:val="20"/>
                <w:szCs w:val="20"/>
              </w:rPr>
              <w:t xml:space="preserve"> Swarm), highlights their emerging role in finance, lists significant challenges (data</w:t>
            </w:r>
            <w:r w:rsidRPr="00E37DD1">
              <w:rPr>
                <w:rFonts w:ascii="Arial" w:hAnsi="Arial" w:cs="Arial"/>
                <w:sz w:val="20"/>
                <w:szCs w:val="20"/>
              </w:rPr>
              <w:t xml:space="preserve"> quality, </w:t>
            </w:r>
            <w:proofErr w:type="spellStart"/>
            <w:r w:rsidRPr="00E37DD1">
              <w:rPr>
                <w:rFonts w:ascii="Arial" w:hAnsi="Arial" w:cs="Arial"/>
                <w:sz w:val="20"/>
                <w:szCs w:val="20"/>
              </w:rPr>
              <w:t>explainability</w:t>
            </w:r>
            <w:proofErr w:type="spellEnd"/>
            <w:r w:rsidRPr="00E37DD1">
              <w:rPr>
                <w:rFonts w:ascii="Arial" w:hAnsi="Arial" w:cs="Arial"/>
                <w:sz w:val="20"/>
                <w:szCs w:val="20"/>
              </w:rPr>
              <w:t>, regulation, ethics), and points to governance and future</w:t>
            </w:r>
            <w:r w:rsidRPr="00E37DD1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E37DD1">
              <w:rPr>
                <w:rFonts w:ascii="Arial" w:hAnsi="Arial" w:cs="Arial"/>
                <w:sz w:val="20"/>
                <w:szCs w:val="20"/>
              </w:rPr>
              <w:t>research needs. This gives readers a solid, high-level view of both the technology landscape and the practical obstacles ahead.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>Suggested refinements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>1. The body explains th</w:t>
            </w:r>
            <w:r w:rsidRPr="00E37DD1">
              <w:rPr>
                <w:rFonts w:ascii="Arial" w:hAnsi="Arial" w:cs="Arial"/>
                <w:sz w:val="20"/>
                <w:szCs w:val="20"/>
              </w:rPr>
              <w:t>at authors combined a structured literature review, comparative feature analysis, and industry case studies, but the abstract only says “This paper presents a comprehensive review.” Adding a short clause such as “drawing on a systematic literature review o</w:t>
            </w:r>
            <w:r w:rsidRPr="00E37DD1">
              <w:rPr>
                <w:rFonts w:ascii="Arial" w:hAnsi="Arial" w:cs="Arial"/>
                <w:sz w:val="20"/>
                <w:szCs w:val="20"/>
              </w:rPr>
              <w:t xml:space="preserve">f 30+ works published in 2023-2025 and three real-world case studies” would signal methodological </w:t>
            </w:r>
            <w:proofErr w:type="spellStart"/>
            <w:r w:rsidRPr="00E37DD1">
              <w:rPr>
                <w:rFonts w:ascii="Arial" w:hAnsi="Arial" w:cs="Arial"/>
                <w:sz w:val="20"/>
                <w:szCs w:val="20"/>
              </w:rPr>
              <w:t>rigour</w:t>
            </w:r>
            <w:proofErr w:type="spellEnd"/>
            <w:r w:rsidRPr="00E37DD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>2. Readers benefit from at least one concrete takeaway. For example, “</w:t>
            </w:r>
            <w:proofErr w:type="spellStart"/>
            <w:r w:rsidRPr="00E37DD1">
              <w:rPr>
                <w:rFonts w:ascii="Arial" w:hAnsi="Arial" w:cs="Arial"/>
                <w:sz w:val="20"/>
                <w:szCs w:val="20"/>
              </w:rPr>
              <w:t>CrewAI</w:t>
            </w:r>
            <w:proofErr w:type="spellEnd"/>
            <w:r w:rsidRPr="00E37DD1">
              <w:rPr>
                <w:rFonts w:ascii="Arial" w:hAnsi="Arial" w:cs="Arial"/>
                <w:sz w:val="20"/>
                <w:szCs w:val="20"/>
              </w:rPr>
              <w:t xml:space="preserve"> showed the highest collaboration efficiency (synergy factor = 0.83) while</w:t>
            </w:r>
            <w:r w:rsidRPr="00E37D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7DD1">
              <w:rPr>
                <w:rFonts w:ascii="Arial" w:hAnsi="Arial" w:cs="Arial"/>
                <w:sz w:val="20"/>
                <w:szCs w:val="20"/>
              </w:rPr>
              <w:t>LangChain</w:t>
            </w:r>
            <w:proofErr w:type="spellEnd"/>
            <w:r w:rsidRPr="00E37DD1">
              <w:rPr>
                <w:rFonts w:ascii="Arial" w:hAnsi="Arial" w:cs="Arial"/>
                <w:sz w:val="20"/>
                <w:szCs w:val="20"/>
              </w:rPr>
              <w:t xml:space="preserve"> excelled in tooling flexibility,” or a sentence quantifying the surge in publications (e.g., “24 of 26 core studies appeared in 2024”). One crisp quantitative result will stand out.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>3. No quantitative results summary. The body introduces precisi</w:t>
            </w:r>
            <w:r w:rsidRPr="00E37DD1">
              <w:rPr>
                <w:rFonts w:ascii="Arial" w:hAnsi="Arial" w:cs="Arial"/>
                <w:sz w:val="20"/>
                <w:szCs w:val="20"/>
              </w:rPr>
              <w:t>on/recall metrics and a synergy factor; including a brief numeric glimpse (e.g., “synergy factor improved collaborative reward by 18 %”) would underscore originality. Insert a short clause summarizing any key quantitative finding, if available.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 xml:space="preserve">4. Finance </w:t>
            </w:r>
            <w:r w:rsidRPr="00E37DD1">
              <w:rPr>
                <w:rFonts w:ascii="Arial" w:hAnsi="Arial" w:cs="Arial"/>
                <w:sz w:val="20"/>
                <w:szCs w:val="20"/>
              </w:rPr>
              <w:t xml:space="preserve">focus is implicit. Readers outside finance might assume a generic survey and overlook the manuscript; a single phrase clarifying the dominant use case will set correct expectations. Modify “…across diverse sectors, with finance emerging as one of the most </w:t>
            </w:r>
            <w:r w:rsidRPr="00E37DD1">
              <w:rPr>
                <w:rFonts w:ascii="Arial" w:hAnsi="Arial" w:cs="Arial"/>
                <w:sz w:val="20"/>
                <w:szCs w:val="20"/>
              </w:rPr>
              <w:t>impacted domains” to “…with a primary focus on high-impact financial applications.”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>5. Redundant phrasing (“transformative potential… fundamentally altering”). Removes repetition and tightens prose. Combine the two phrases or delete one.</w:t>
            </w:r>
          </w:p>
        </w:tc>
        <w:tc>
          <w:tcPr>
            <w:tcW w:w="5085" w:type="dxa"/>
          </w:tcPr>
          <w:p w:rsidR="00EB597E" w:rsidRPr="00E37DD1" w:rsidRDefault="004B00C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  <w:highlight w:val="yellow"/>
              </w:rPr>
            </w:pPr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 xml:space="preserve">Added major </w:t>
            </w:r>
            <w:proofErr w:type="spellStart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takeaw</w:t>
            </w:r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ay</w:t>
            </w:r>
            <w:proofErr w:type="spellEnd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 xml:space="preserve"> as </w:t>
            </w:r>
            <w:proofErr w:type="spellStart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suggested</w:t>
            </w:r>
            <w:proofErr w:type="spellEnd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 xml:space="preserve"> by the </w:t>
            </w:r>
            <w:proofErr w:type="spellStart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reviewer</w:t>
            </w:r>
            <w:proofErr w:type="spellEnd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.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7DD1">
              <w:rPr>
                <w:rFonts w:ascii="Arial" w:hAnsi="Arial" w:cs="Arial"/>
                <w:sz w:val="20"/>
                <w:szCs w:val="20"/>
                <w:highlight w:val="yellow"/>
              </w:rPr>
              <w:t>Added quantitative findings.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7DD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Added finance focus on the title abstract intro and conclusion. </w:t>
            </w:r>
          </w:p>
        </w:tc>
      </w:tr>
      <w:tr w:rsidR="00EB597E" w:rsidRPr="00E37DD1">
        <w:trPr>
          <w:trHeight w:val="704"/>
        </w:trPr>
        <w:tc>
          <w:tcPr>
            <w:tcW w:w="4155" w:type="dxa"/>
          </w:tcPr>
          <w:p w:rsidR="00EB597E" w:rsidRPr="00E37DD1" w:rsidRDefault="004B00C8">
            <w:pPr>
              <w:pStyle w:val="Heading2"/>
              <w:ind w:left="0" w:hanging="2"/>
              <w:jc w:val="left"/>
              <w:rPr>
                <w:rFonts w:ascii="Arial" w:hAnsi="Arial" w:cs="Arial"/>
                <w:b w:val="0"/>
                <w:u w:val="single"/>
              </w:rPr>
            </w:pPr>
            <w:r w:rsidRPr="00E37DD1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E37DD1">
              <w:rPr>
                <w:rFonts w:ascii="Arial" w:eastAsia="Times New Roman" w:hAnsi="Arial" w:cs="Arial"/>
              </w:rPr>
              <w:t>manuscript</w:t>
            </w:r>
            <w:proofErr w:type="spellEnd"/>
            <w:r w:rsidRPr="00E37DD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37DD1">
              <w:rPr>
                <w:rFonts w:ascii="Arial" w:eastAsia="Times New Roman" w:hAnsi="Arial" w:cs="Arial"/>
              </w:rPr>
              <w:t>scientifically</w:t>
            </w:r>
            <w:proofErr w:type="spellEnd"/>
            <w:r w:rsidRPr="00E37DD1">
              <w:rPr>
                <w:rFonts w:ascii="Arial" w:eastAsia="Times New Roman" w:hAnsi="Arial" w:cs="Arial"/>
              </w:rPr>
              <w:t xml:space="preserve">, </w:t>
            </w:r>
            <w:proofErr w:type="gramStart"/>
            <w:r w:rsidRPr="00E37DD1">
              <w:rPr>
                <w:rFonts w:ascii="Arial" w:eastAsia="Times New Roman" w:hAnsi="Arial" w:cs="Arial"/>
              </w:rPr>
              <w:t>correct?</w:t>
            </w:r>
            <w:proofErr w:type="gramEnd"/>
            <w:r w:rsidRPr="00E37DD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37DD1">
              <w:rPr>
                <w:rFonts w:ascii="Arial" w:eastAsia="Times New Roman" w:hAnsi="Arial" w:cs="Arial"/>
              </w:rPr>
              <w:t>Please</w:t>
            </w:r>
            <w:proofErr w:type="spellEnd"/>
            <w:r w:rsidRPr="00E37DD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37DD1">
              <w:rPr>
                <w:rFonts w:ascii="Arial" w:eastAsia="Times New Roman" w:hAnsi="Arial" w:cs="Arial"/>
              </w:rPr>
              <w:t>write</w:t>
            </w:r>
            <w:proofErr w:type="spellEnd"/>
            <w:r w:rsidRPr="00E37DD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37DD1">
              <w:rPr>
                <w:rFonts w:ascii="Arial" w:eastAsia="Times New Roman" w:hAnsi="Arial" w:cs="Arial"/>
              </w:rPr>
              <w:t>here</w:t>
            </w:r>
            <w:proofErr w:type="spellEnd"/>
            <w:r w:rsidRPr="00E37DD1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730" w:type="dxa"/>
          </w:tcPr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The manuscript is mostly scientifically sound in its high-level survey of AI multi-agent frameworks, but several internal inconsistencies and gaps prevent it from being considered fully correct in its present form. The core descriptive sections accurately </w:t>
            </w: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reflect the current state of 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LangChain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CrewAI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OpenAI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 Swarm, and other toolchains, and the literature synthesis is up-to-date. However, a number of methodological and factual issues require attention before publication.</w:t>
            </w:r>
          </w:p>
          <w:p w:rsidR="00EB597E" w:rsidRPr="00E37DD1" w:rsidRDefault="004B00C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Comparative analysis of frameworks. No quantitative benchmarks or runtime measurements are supplied; yet the abstract and Section 6.9 claim performance conclusions (“scalability bottlenecks”, “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CrewAI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 superior”), which remain unsubstantiated.</w:t>
            </w:r>
          </w:p>
          <w:p w:rsidR="00EB597E" w:rsidRPr="00E37DD1" w:rsidRDefault="004B00C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Quantitative m</w:t>
            </w: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etrics (Section 7). Equation numbering conflict—Algorithm 1 cites “equation (1)” but equation (7.1) defines precision/recall, not weight gradients. In addition, the synergy-factor formula is not validated on data or accompanied by error analysis, so its sc</w:t>
            </w: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ientific merit is unclear.</w:t>
            </w:r>
          </w:p>
          <w:p w:rsidR="00EB597E" w:rsidRPr="00E37DD1" w:rsidRDefault="004B00C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Domain focus (finance). No empirical case study or dataset is 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analysed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; all claims of improved risk management or fraud detection remain speculative.</w:t>
            </w:r>
          </w:p>
          <w:p w:rsidR="00EB597E" w:rsidRPr="00E37DD1" w:rsidRDefault="004B00C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Duplicate or dangling cross-references – “Table ??” placeholders and duplicate </w:t>
            </w: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sub-sections (6.4 and 6/8– there are two “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AutoGen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” descriptions) signal incomplete editing and hamper scientific clarity.</w:t>
            </w:r>
          </w:p>
          <w:p w:rsidR="00EB597E" w:rsidRPr="00E37DD1" w:rsidRDefault="004B00C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Algorithm 2 presents a weighted-vote ensemble but omits latency handling and assumes synchronous agent responses, which contradicts ea</w:t>
            </w: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rlier claims about real-time trading constraints.</w:t>
            </w:r>
          </w:p>
          <w:p w:rsidR="00EB597E" w:rsidRPr="00E37DD1" w:rsidRDefault="004B00C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The gradient term in Algorithm 1 mixes F1-score deltas with synergy-factor deltas without 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normalisation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, yet the text later claims convergence properties; proof sketches or simulation results are missing.</w:t>
            </w:r>
          </w:p>
          <w:p w:rsidR="00EB597E" w:rsidRPr="00E37DD1" w:rsidRDefault="004B00C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everal citations ([4], [11], [26]) are repeated with slight wording changes.</w:t>
            </w:r>
          </w:p>
        </w:tc>
        <w:tc>
          <w:tcPr>
            <w:tcW w:w="5085" w:type="dxa"/>
          </w:tcPr>
          <w:p w:rsidR="00EB597E" w:rsidRPr="00E37DD1" w:rsidRDefault="004B00C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  <w:highlight w:val="yellow"/>
              </w:rPr>
            </w:pPr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 xml:space="preserve">Added </w:t>
            </w:r>
            <w:proofErr w:type="spellStart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lines</w:t>
            </w:r>
            <w:proofErr w:type="spellEnd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 xml:space="preserve"> on : “</w:t>
            </w:r>
            <w:proofErr w:type="spellStart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scalability</w:t>
            </w:r>
            <w:proofErr w:type="spellEnd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 xml:space="preserve"> </w:t>
            </w:r>
            <w:proofErr w:type="spellStart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bottlenecks</w:t>
            </w:r>
            <w:proofErr w:type="spellEnd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”, “</w:t>
            </w:r>
            <w:proofErr w:type="spellStart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CrewAI</w:t>
            </w:r>
            <w:proofErr w:type="spellEnd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 xml:space="preserve"> </w:t>
            </w:r>
            <w:proofErr w:type="spellStart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superior</w:t>
            </w:r>
            <w:proofErr w:type="spellEnd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”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7DD1">
              <w:rPr>
                <w:rFonts w:ascii="Arial" w:hAnsi="Arial" w:cs="Arial"/>
                <w:sz w:val="20"/>
                <w:szCs w:val="20"/>
                <w:highlight w:val="yellow"/>
              </w:rPr>
              <w:t>Fixed the equation citations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7DD1">
              <w:rPr>
                <w:rFonts w:ascii="Arial" w:hAnsi="Arial" w:cs="Arial"/>
                <w:sz w:val="20"/>
                <w:szCs w:val="20"/>
                <w:highlight w:val="yellow"/>
              </w:rPr>
              <w:t>Fixed table numbering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7DD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Fixed </w:t>
            </w:r>
            <w:proofErr w:type="spellStart"/>
            <w:r w:rsidRPr="00E37DD1">
              <w:rPr>
                <w:rFonts w:ascii="Arial" w:hAnsi="Arial" w:cs="Arial"/>
                <w:sz w:val="20"/>
                <w:szCs w:val="20"/>
                <w:highlight w:val="yellow"/>
              </w:rPr>
              <w:t>algo</w:t>
            </w:r>
            <w:proofErr w:type="spellEnd"/>
            <w:r w:rsidRPr="00E37DD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2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7DD1">
              <w:rPr>
                <w:rFonts w:ascii="Arial" w:hAnsi="Arial" w:cs="Arial"/>
                <w:sz w:val="20"/>
                <w:szCs w:val="20"/>
                <w:highlight w:val="yellow"/>
              </w:rPr>
              <w:t>Fixed Gradient term in Algorithm 1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7DD1">
              <w:rPr>
                <w:rFonts w:ascii="Arial" w:hAnsi="Arial" w:cs="Arial"/>
                <w:sz w:val="20"/>
                <w:szCs w:val="20"/>
                <w:highlight w:val="yellow"/>
              </w:rPr>
              <w:t>Removed repeating of 4,11,26</w:t>
            </w:r>
          </w:p>
          <w:p w:rsidR="00EB597E" w:rsidRPr="00E37DD1" w:rsidRDefault="00EB597E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B597E" w:rsidRPr="00E37DD1">
        <w:trPr>
          <w:trHeight w:val="703"/>
        </w:trPr>
        <w:tc>
          <w:tcPr>
            <w:tcW w:w="4155" w:type="dxa"/>
          </w:tcPr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730" w:type="dxa"/>
          </w:tcPr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The reference list is certainly recent, but it is not yet sufficient: it over-relies on grey </w:t>
            </w: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literature and lacks foundational MAS and finance research as well as key regulatory documents. Broadening and de-duplicating the bibliography will strengthen the manuscript’s scholarly credibility.</w:t>
            </w:r>
          </w:p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In my opinion, it would be advisable to:</w:t>
            </w:r>
          </w:p>
          <w:p w:rsidR="00EB597E" w:rsidRPr="00E37DD1" w:rsidRDefault="004B00C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1"/>
              </w:tabs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Add 8–10 foundational sources (peer-reviewed articles or monographs) on multi-agent systems (MAS) theory, agent-based finance models, and MARL benchmarks to balance the existing grey literature.</w:t>
            </w:r>
          </w:p>
          <w:p w:rsidR="00EB597E" w:rsidRPr="00E37DD1" w:rsidRDefault="004B00C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1"/>
              </w:tabs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Reference key regulatory documents (e.g., the EU AI Act, U.S.</w:t>
            </w: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 OCC directives, Basel standards) in sections discussing compliance.</w:t>
            </w:r>
          </w:p>
          <w:p w:rsidR="00EB597E" w:rsidRPr="00E37DD1" w:rsidRDefault="004B00C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1"/>
              </w:tabs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Optimize the reference list:</w:t>
            </w:r>
          </w:p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1"/>
              </w:tabs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Remove duplicates and reduce web/blog citations—retain only those describing proprietary frameworks unavailable in academic sources.</w:t>
            </w:r>
          </w:p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1"/>
              </w:tabs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Verify the status of 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arXiv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 preprints—if a paper has since been published in a conference (e.g., KDD 2024), cite the archival version instead.</w:t>
            </w:r>
          </w:p>
          <w:p w:rsidR="00EB597E" w:rsidRPr="00E37DD1" w:rsidRDefault="00EB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85" w:type="dxa"/>
          </w:tcPr>
          <w:p w:rsidR="00EB597E" w:rsidRPr="00E37DD1" w:rsidRDefault="004B00C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  <w:highlight w:val="yellow"/>
              </w:rPr>
            </w:pPr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lastRenderedPageBreak/>
              <w:t xml:space="preserve">Added </w:t>
            </w:r>
            <w:proofErr w:type="spellStart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regulatory</w:t>
            </w:r>
            <w:proofErr w:type="spellEnd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 xml:space="preserve"> </w:t>
            </w:r>
            <w:proofErr w:type="spellStart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references</w:t>
            </w:r>
            <w:proofErr w:type="spellEnd"/>
            <w:r w:rsidRPr="00E37DD1">
              <w:rPr>
                <w:rFonts w:ascii="Arial" w:eastAsia="Times New Roman" w:hAnsi="Arial" w:cs="Arial"/>
                <w:b w:val="0"/>
                <w:highlight w:val="yellow"/>
              </w:rPr>
              <w:t>.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7DD1">
              <w:rPr>
                <w:rFonts w:ascii="Arial" w:hAnsi="Arial" w:cs="Arial"/>
                <w:sz w:val="20"/>
                <w:szCs w:val="20"/>
                <w:highlight w:val="yellow"/>
              </w:rPr>
              <w:t>Removed duplicate citations</w:t>
            </w:r>
          </w:p>
          <w:p w:rsidR="00EB597E" w:rsidRPr="00E37DD1" w:rsidRDefault="00EB597E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B597E" w:rsidRPr="00E37DD1">
        <w:trPr>
          <w:trHeight w:val="386"/>
        </w:trPr>
        <w:tc>
          <w:tcPr>
            <w:tcW w:w="4155" w:type="dxa"/>
          </w:tcPr>
          <w:p w:rsidR="00EB597E" w:rsidRPr="00E37DD1" w:rsidRDefault="004B00C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E37DD1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E37DD1">
              <w:rPr>
                <w:rFonts w:ascii="Arial" w:eastAsia="Times New Roman" w:hAnsi="Arial" w:cs="Arial"/>
              </w:rPr>
              <w:t>language</w:t>
            </w:r>
            <w:proofErr w:type="spellEnd"/>
            <w:r w:rsidRPr="00E37DD1">
              <w:rPr>
                <w:rFonts w:ascii="Arial" w:eastAsia="Times New Roman" w:hAnsi="Arial" w:cs="Arial"/>
              </w:rPr>
              <w:t xml:space="preserve">/English </w:t>
            </w:r>
            <w:proofErr w:type="spellStart"/>
            <w:r w:rsidRPr="00E37DD1">
              <w:rPr>
                <w:rFonts w:ascii="Arial" w:eastAsia="Times New Roman" w:hAnsi="Arial" w:cs="Arial"/>
              </w:rPr>
              <w:t>quality</w:t>
            </w:r>
            <w:proofErr w:type="spellEnd"/>
            <w:r w:rsidRPr="00E37DD1">
              <w:rPr>
                <w:rFonts w:ascii="Arial" w:eastAsia="Times New Roman" w:hAnsi="Arial" w:cs="Arial"/>
              </w:rPr>
              <w:t xml:space="preserve"> of the article </w:t>
            </w:r>
            <w:proofErr w:type="spellStart"/>
            <w:r w:rsidRPr="00E37DD1">
              <w:rPr>
                <w:rFonts w:ascii="Arial" w:eastAsia="Times New Roman" w:hAnsi="Arial" w:cs="Arial"/>
              </w:rPr>
              <w:t>suitable</w:t>
            </w:r>
            <w:proofErr w:type="spellEnd"/>
            <w:r w:rsidRPr="00E37DD1">
              <w:rPr>
                <w:rFonts w:ascii="Arial" w:eastAsia="Times New Roman" w:hAnsi="Arial" w:cs="Arial"/>
              </w:rPr>
              <w:t xml:space="preserve"> for </w:t>
            </w:r>
            <w:proofErr w:type="spellStart"/>
            <w:r w:rsidRPr="00E37DD1">
              <w:rPr>
                <w:rFonts w:ascii="Arial" w:eastAsia="Times New Roman" w:hAnsi="Arial" w:cs="Arial"/>
              </w:rPr>
              <w:t>scholarly</w:t>
            </w:r>
            <w:proofErr w:type="spellEnd"/>
            <w:r w:rsidRPr="00E37DD1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E37DD1">
              <w:rPr>
                <w:rFonts w:ascii="Arial" w:eastAsia="Times New Roman" w:hAnsi="Arial" w:cs="Arial"/>
              </w:rPr>
              <w:t>communications?</w:t>
            </w:r>
            <w:proofErr w:type="gramEnd"/>
          </w:p>
          <w:p w:rsidR="00EB597E" w:rsidRPr="00E37DD1" w:rsidRDefault="00EB59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0" w:type="dxa"/>
          </w:tcPr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>The manuscript’s English is generally understandable and mostly follows an academic register, but it still needs a careful copy-edit before it can be considered fully su</w:t>
            </w:r>
            <w:r w:rsidRPr="00E37DD1">
              <w:rPr>
                <w:rFonts w:ascii="Arial" w:hAnsi="Arial" w:cs="Arial"/>
                <w:sz w:val="20"/>
                <w:szCs w:val="20"/>
              </w:rPr>
              <w:t>itable for scholarly communication. Occasional grammatical slips, stylistic redundancies, and layout artefacts (e.g., duplicated sub-sections, dangling “Table ??” references) break the flow and may distract reviewers or readers.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>Frequent language issues:</w:t>
            </w:r>
          </w:p>
          <w:p w:rsidR="00EB597E" w:rsidRPr="00E37DD1" w:rsidRDefault="004B00C8">
            <w:pPr>
              <w:numPr>
                <w:ilvl w:val="0"/>
                <w:numId w:val="4"/>
              </w:num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>R</w:t>
            </w:r>
            <w:r w:rsidRPr="00E37DD1">
              <w:rPr>
                <w:rFonts w:ascii="Arial" w:hAnsi="Arial" w:cs="Arial"/>
                <w:sz w:val="20"/>
                <w:szCs w:val="20"/>
              </w:rPr>
              <w:t xml:space="preserve">edundancy. Example: </w:t>
            </w:r>
            <w:r w:rsidRPr="00E37DD1">
              <w:rPr>
                <w:rFonts w:ascii="Arial" w:hAnsi="Arial" w:cs="Arial"/>
                <w:b/>
                <w:sz w:val="20"/>
                <w:szCs w:val="20"/>
              </w:rPr>
              <w:t>“AI agents are revolutionizing industries … fundamentally altering how financial institutions operate and manage market dynamics</w:t>
            </w:r>
            <w:r w:rsidRPr="00E37DD1">
              <w:rPr>
                <w:rFonts w:ascii="Arial" w:hAnsi="Arial" w:cs="Arial"/>
                <w:sz w:val="20"/>
                <w:szCs w:val="20"/>
              </w:rPr>
              <w:t>.” Repetition lengthens the abstract and main text without adding content.</w:t>
            </w:r>
          </w:p>
          <w:p w:rsidR="00EB597E" w:rsidRPr="00E37DD1" w:rsidRDefault="004B00C8">
            <w:pPr>
              <w:numPr>
                <w:ilvl w:val="0"/>
                <w:numId w:val="4"/>
              </w:num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>Awkward phrasing/word order. Exam</w:t>
            </w:r>
            <w:r w:rsidRPr="00E37DD1">
              <w:rPr>
                <w:rFonts w:ascii="Arial" w:hAnsi="Arial" w:cs="Arial"/>
                <w:sz w:val="20"/>
                <w:szCs w:val="20"/>
              </w:rPr>
              <w:t xml:space="preserve">ple: </w:t>
            </w:r>
            <w:r w:rsidRPr="00E37DD1">
              <w:rPr>
                <w:rFonts w:ascii="Arial" w:hAnsi="Arial" w:cs="Arial"/>
                <w:b/>
                <w:sz w:val="20"/>
                <w:szCs w:val="20"/>
              </w:rPr>
              <w:t xml:space="preserve">“Multi AI Agent Frameworks” (title) or “lack of model </w:t>
            </w:r>
            <w:proofErr w:type="spellStart"/>
            <w:r w:rsidRPr="00E37DD1">
              <w:rPr>
                <w:rFonts w:ascii="Arial" w:hAnsi="Arial" w:cs="Arial"/>
                <w:b/>
                <w:sz w:val="20"/>
                <w:szCs w:val="20"/>
              </w:rPr>
              <w:t>explainability</w:t>
            </w:r>
            <w:proofErr w:type="spellEnd"/>
            <w:r w:rsidRPr="00E37DD1">
              <w:rPr>
                <w:rFonts w:ascii="Arial" w:hAnsi="Arial" w:cs="Arial"/>
                <w:b/>
                <w:sz w:val="20"/>
                <w:szCs w:val="20"/>
              </w:rPr>
              <w:t xml:space="preserve"> … introduces critical challenges”.</w:t>
            </w:r>
            <w:r w:rsidRPr="00E37DD1">
              <w:rPr>
                <w:rFonts w:ascii="Arial" w:hAnsi="Arial" w:cs="Arial"/>
                <w:sz w:val="20"/>
                <w:szCs w:val="20"/>
              </w:rPr>
              <w:t xml:space="preserve"> Non-idiomatic phrases signal rushed drafting; “multi-agent AI frameworks” is clearer.</w:t>
            </w:r>
          </w:p>
          <w:p w:rsidR="00EB597E" w:rsidRPr="00E37DD1" w:rsidRDefault="004B00C8">
            <w:pPr>
              <w:numPr>
                <w:ilvl w:val="0"/>
                <w:numId w:val="4"/>
              </w:num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>Grammar/agreement. Example:</w:t>
            </w:r>
            <w:r w:rsidRPr="00E37D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7DD1">
              <w:rPr>
                <w:rFonts w:ascii="Arial" w:hAnsi="Arial" w:cs="Arial"/>
                <w:b/>
                <w:sz w:val="20"/>
                <w:szCs w:val="20"/>
              </w:rPr>
              <w:t xml:space="preserve">“These frameworks leverage Large </w:t>
            </w:r>
            <w:r w:rsidRPr="00E37DD1">
              <w:rPr>
                <w:rFonts w:ascii="Arial" w:hAnsi="Arial" w:cs="Arial"/>
                <w:b/>
                <w:sz w:val="20"/>
                <w:szCs w:val="20"/>
              </w:rPr>
              <w:t>Language Models (LLMs) and distributed AI systems to optimizes operations”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tag w:val="goog_rdk_0"/>
                <w:id w:val="-1976922129"/>
              </w:sdtPr>
              <w:sdtEndPr/>
              <w:sdtContent>
                <w:r w:rsidRPr="00E37DD1">
                  <w:rPr>
                    <w:rFonts w:ascii="Arial" w:eastAsia="Cardo" w:hAnsi="Arial" w:cs="Arial"/>
                    <w:sz w:val="20"/>
                    <w:szCs w:val="20"/>
                  </w:rPr>
                  <w:t xml:space="preserve"> → </w:t>
                </w:r>
              </w:sdtContent>
            </w:sdt>
            <w:r w:rsidRPr="00E37DD1">
              <w:rPr>
                <w:rFonts w:ascii="Arial" w:hAnsi="Arial" w:cs="Arial"/>
                <w:i/>
                <w:sz w:val="20"/>
                <w:szCs w:val="20"/>
              </w:rPr>
              <w:t xml:space="preserve">optimize. </w:t>
            </w:r>
            <w:r w:rsidRPr="00E37DD1">
              <w:rPr>
                <w:rFonts w:ascii="Arial" w:hAnsi="Arial" w:cs="Arial"/>
                <w:sz w:val="20"/>
                <w:szCs w:val="20"/>
              </w:rPr>
              <w:t>Subject–verb agreement errors undermine polish.</w:t>
            </w:r>
          </w:p>
          <w:p w:rsidR="00EB597E" w:rsidRPr="00E37DD1" w:rsidRDefault="004B00C8">
            <w:pPr>
              <w:numPr>
                <w:ilvl w:val="0"/>
                <w:numId w:val="4"/>
              </w:num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>Inconsistent tense. Example: Switching between past and present (“</w:t>
            </w:r>
            <w:r w:rsidRPr="00E37DD1">
              <w:rPr>
                <w:rFonts w:ascii="Arial" w:hAnsi="Arial" w:cs="Arial"/>
                <w:b/>
                <w:sz w:val="20"/>
                <w:szCs w:val="20"/>
              </w:rPr>
              <w:t>This paper presented … It aims to contribute …</w:t>
            </w:r>
            <w:r w:rsidRPr="00E37DD1">
              <w:rPr>
                <w:rFonts w:ascii="Arial" w:hAnsi="Arial" w:cs="Arial"/>
                <w:sz w:val="20"/>
                <w:szCs w:val="20"/>
              </w:rPr>
              <w:t>”). Con</w:t>
            </w:r>
            <w:r w:rsidRPr="00E37DD1">
              <w:rPr>
                <w:rFonts w:ascii="Arial" w:hAnsi="Arial" w:cs="Arial"/>
                <w:sz w:val="20"/>
                <w:szCs w:val="20"/>
              </w:rPr>
              <w:t>sistent present tense is standard for literature surveys.</w:t>
            </w:r>
          </w:p>
          <w:p w:rsidR="00EB597E" w:rsidRPr="00E37DD1" w:rsidRDefault="004B00C8">
            <w:pPr>
              <w:numPr>
                <w:ilvl w:val="0"/>
                <w:numId w:val="4"/>
              </w:num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E37DD1">
              <w:rPr>
                <w:rFonts w:ascii="Arial" w:hAnsi="Arial" w:cs="Arial"/>
                <w:sz w:val="20"/>
                <w:szCs w:val="20"/>
              </w:rPr>
              <w:t>Informal or marketing tone. Example:</w:t>
            </w:r>
            <w:r w:rsidRPr="00E37D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7DD1">
              <w:rPr>
                <w:rFonts w:ascii="Arial" w:hAnsi="Arial" w:cs="Arial"/>
                <w:sz w:val="20"/>
                <w:szCs w:val="20"/>
              </w:rPr>
              <w:t>“</w:t>
            </w:r>
            <w:r w:rsidRPr="00E37DD1">
              <w:rPr>
                <w:rFonts w:ascii="Arial" w:hAnsi="Arial" w:cs="Arial"/>
                <w:b/>
                <w:sz w:val="20"/>
                <w:szCs w:val="20"/>
              </w:rPr>
              <w:t>AI agents have emerged as a transformative technology</w:t>
            </w:r>
            <w:r w:rsidRPr="00E37DD1">
              <w:rPr>
                <w:rFonts w:ascii="Arial" w:hAnsi="Arial" w:cs="Arial"/>
                <w:sz w:val="20"/>
                <w:szCs w:val="20"/>
              </w:rPr>
              <w:t>”. A more neutral phrasing (“AI agents constitute a rapidly maturing technology…”) is preferred in scholarl</w:t>
            </w:r>
            <w:r w:rsidRPr="00E37DD1">
              <w:rPr>
                <w:rFonts w:ascii="Arial" w:hAnsi="Arial" w:cs="Arial"/>
                <w:sz w:val="20"/>
                <w:szCs w:val="20"/>
              </w:rPr>
              <w:t>y prose.</w:t>
            </w:r>
          </w:p>
        </w:tc>
        <w:tc>
          <w:tcPr>
            <w:tcW w:w="5085" w:type="dxa"/>
          </w:tcPr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7DD1">
              <w:rPr>
                <w:rFonts w:ascii="Arial" w:hAnsi="Arial" w:cs="Arial"/>
                <w:sz w:val="20"/>
                <w:szCs w:val="20"/>
                <w:highlight w:val="yellow"/>
              </w:rPr>
              <w:t>Fixed the tables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7DD1">
              <w:rPr>
                <w:rFonts w:ascii="Arial" w:hAnsi="Arial" w:cs="Arial"/>
                <w:sz w:val="20"/>
                <w:szCs w:val="20"/>
                <w:highlight w:val="yellow"/>
              </w:rPr>
              <w:t>Fixed redundant lines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7DD1">
              <w:rPr>
                <w:rFonts w:ascii="Arial" w:hAnsi="Arial" w:cs="Arial"/>
                <w:sz w:val="20"/>
                <w:szCs w:val="20"/>
                <w:highlight w:val="yellow"/>
              </w:rPr>
              <w:t>Removed “these” to explicitly to frameworks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7DD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Make everything present tense. </w:t>
            </w:r>
          </w:p>
          <w:p w:rsidR="00EB597E" w:rsidRPr="00E37DD1" w:rsidRDefault="004B00C8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7DD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Removed marketing tone. </w:t>
            </w:r>
          </w:p>
        </w:tc>
      </w:tr>
      <w:tr w:rsidR="00EB597E" w:rsidRPr="00E37DD1">
        <w:trPr>
          <w:trHeight w:val="1178"/>
        </w:trPr>
        <w:tc>
          <w:tcPr>
            <w:tcW w:w="4155" w:type="dxa"/>
          </w:tcPr>
          <w:p w:rsidR="00EB597E" w:rsidRPr="00E37DD1" w:rsidRDefault="004B00C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E37DD1">
              <w:rPr>
                <w:rFonts w:ascii="Arial" w:eastAsia="Times New Roman" w:hAnsi="Arial" w:cs="Arial"/>
                <w:u w:val="single"/>
              </w:rPr>
              <w:t>Optional</w:t>
            </w:r>
            <w:proofErr w:type="spellEnd"/>
            <w:r w:rsidRPr="00E37DD1">
              <w:rPr>
                <w:rFonts w:ascii="Arial" w:eastAsia="Times New Roman" w:hAnsi="Arial" w:cs="Arial"/>
                <w:u w:val="single"/>
              </w:rPr>
              <w:t>/General</w:t>
            </w:r>
            <w:r w:rsidRPr="00E37DD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37DD1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EB597E" w:rsidRPr="00E37DD1" w:rsidRDefault="00EB597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5730" w:type="dxa"/>
          </w:tcPr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tag w:val="goog_rdk_1"/>
                <w:id w:val="-608121345"/>
              </w:sdtPr>
              <w:sdtEndPr/>
              <w:sdtContent>
                <w:r w:rsidRPr="00E37DD1">
                  <w:rPr>
                    <w:rFonts w:ascii="Arial" w:eastAsia="Cardo" w:hAnsi="Arial" w:cs="Arial"/>
                    <w:color w:val="000000"/>
                    <w:sz w:val="20"/>
                    <w:szCs w:val="20"/>
                  </w:rPr>
                  <w:t>The paper is well structured at a high level (Introduction → Literature Review → Framework Comparison → Quantitative Evaluation → Challenges → Conclusion), which makes it easy to navigate. However, internal sign-posting sometimes breaks down: two “</w:t>
                </w:r>
                <w:proofErr w:type="spellStart"/>
                <w:r w:rsidRPr="00E37DD1">
                  <w:rPr>
                    <w:rFonts w:ascii="Arial" w:eastAsia="Cardo" w:hAnsi="Arial" w:cs="Arial"/>
                    <w:color w:val="000000"/>
                    <w:sz w:val="20"/>
                    <w:szCs w:val="20"/>
                  </w:rPr>
                  <w:t>AutoGen</w:t>
                </w:r>
                <w:proofErr w:type="spellEnd"/>
                <w:r w:rsidRPr="00E37DD1">
                  <w:rPr>
                    <w:rFonts w:ascii="Arial" w:eastAsia="Cardo" w:hAnsi="Arial" w:cs="Arial"/>
                    <w:color w:val="000000"/>
                    <w:sz w:val="20"/>
                    <w:szCs w:val="20"/>
                  </w:rPr>
                  <w:t>”</w:t>
                </w:r>
                <w:r w:rsidRPr="00E37DD1">
                  <w:rPr>
                    <w:rFonts w:ascii="Arial" w:eastAsia="Cardo" w:hAnsi="Arial" w:cs="Arial"/>
                    <w:color w:val="000000"/>
                    <w:sz w:val="20"/>
                    <w:szCs w:val="20"/>
                  </w:rPr>
                  <w:t xml:space="preserve"> subsections appear in Section 6, and several cross-references still read “Table ??” or “</w:t>
                </w:r>
                <w:proofErr w:type="gramStart"/>
                <w:r w:rsidRPr="00E37DD1">
                  <w:rPr>
                    <w:rFonts w:ascii="Arial" w:eastAsia="Cardo" w:hAnsi="Arial" w:cs="Arial"/>
                    <w:color w:val="000000"/>
                    <w:sz w:val="20"/>
                    <w:szCs w:val="20"/>
                  </w:rPr>
                  <w:t>Figure ?</w:t>
                </w:r>
                <w:proofErr w:type="gramEnd"/>
                <w:r w:rsidRPr="00E37DD1">
                  <w:rPr>
                    <w:rFonts w:ascii="Arial" w:eastAsia="Cardo" w:hAnsi="Arial" w:cs="Arial"/>
                    <w:color w:val="000000"/>
                    <w:sz w:val="20"/>
                    <w:szCs w:val="20"/>
                  </w:rPr>
                  <w:t>?.” Cleaning these artefacts and unifying subsection numbering will greatly improve coherence</w:t>
                </w:r>
              </w:sdtContent>
            </w:sdt>
            <w:r w:rsidRPr="00E37DD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The author covers a remarkably broad toolset (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LangChain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CrewA</w:t>
            </w: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OpenAI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 Swarm, Semantic Kernel, 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FinRobot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FinCon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LlamaIndex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). Yet the discussion remains almost entirely qualitative. Adding even a small empirical benchmark—latency, peak memory, or throughput on a shared task—would ground the feature comparison tables</w:t>
            </w: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 in measurable evidence and strengthen claims about “scalability bottlenecks” and “collaboration efficiency.”</w:t>
            </w:r>
          </w:p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The reference list is impressively current, yet it contains duplicate entries ([4] and [26] are the same report) and a heavy concentration of one </w:t>
            </w: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author’s SSRN preprints.</w:t>
            </w:r>
          </w:p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The conclusion does a nice job enumerating open challenges, but it would be useful to acknowledge two further items: (</w:t>
            </w:r>
            <w:proofErr w:type="spellStart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) adversarial robustness of LLM-driven agents in finance, and (ii) energy costs of running multi-agent ensembles</w:t>
            </w: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 xml:space="preserve"> at scale. Briefly signaling these gaps will help frame follow-on studies.</w:t>
            </w:r>
          </w:p>
          <w:p w:rsidR="00EB597E" w:rsidRPr="00E37DD1" w:rsidRDefault="00EB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The study involves no human or animal subjects, uses only secondary literature, and already contains a standard Competing Interests disclaimer asserting that the authors have no re</w:t>
            </w: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levant financial or personal conflicts.</w:t>
            </w:r>
          </w:p>
          <w:p w:rsidR="00EB597E" w:rsidRPr="00E37DD1" w:rsidRDefault="00EB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The manuscript already includes a standard “Competing Interests” disclaimer stating that the authors have no known financial or non-financial interests that could have influenced the work.</w:t>
            </w:r>
          </w:p>
          <w:p w:rsidR="00EB597E" w:rsidRPr="00E37DD1" w:rsidRDefault="00EB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B597E" w:rsidRPr="00E37DD1" w:rsidRDefault="004B0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DD1">
              <w:rPr>
                <w:rFonts w:ascii="Arial" w:hAnsi="Arial" w:cs="Arial"/>
                <w:color w:val="000000"/>
                <w:sz w:val="20"/>
                <w:szCs w:val="20"/>
              </w:rPr>
              <w:t>Conclusion –The manuscript, therefore, meets academic integrity requirements</w:t>
            </w:r>
          </w:p>
        </w:tc>
        <w:tc>
          <w:tcPr>
            <w:tcW w:w="5085" w:type="dxa"/>
          </w:tcPr>
          <w:p w:rsidR="00EB597E" w:rsidRPr="00E37DD1" w:rsidRDefault="00EB59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B597E" w:rsidRPr="00E37DD1" w:rsidRDefault="00EB59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EB597E" w:rsidRPr="00E37DD1" w:rsidRDefault="00EB59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EB597E" w:rsidRPr="00E37DD1" w:rsidRDefault="00EB59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EB597E" w:rsidRPr="00E37DD1" w:rsidRDefault="00EB59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EB597E" w:rsidRPr="00E37DD1" w:rsidRDefault="00EB59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EB597E" w:rsidRPr="00E37DD1" w:rsidRDefault="00EB59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EB597E" w:rsidRPr="00E37DD1" w:rsidRDefault="00EB59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EB597E" w:rsidRPr="00E37DD1" w:rsidRDefault="00EB59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EB597E" w:rsidRPr="00E37DD1" w:rsidRDefault="00EB59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EB597E" w:rsidRPr="00E37DD1" w:rsidRDefault="00EB59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EB597E" w:rsidRPr="00E37DD1" w:rsidRDefault="00EB59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heading=h.kgmn09lyo5yr" w:colFirst="0" w:colLast="0"/>
      <w:bookmarkEnd w:id="2"/>
    </w:p>
    <w:tbl>
      <w:tblPr>
        <w:tblStyle w:val="a2"/>
        <w:tblW w:w="1410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25"/>
        <w:gridCol w:w="2970"/>
        <w:gridCol w:w="4305"/>
      </w:tblGrid>
      <w:tr w:rsidR="00EB597E" w:rsidRPr="00E37DD1">
        <w:tc>
          <w:tcPr>
            <w:tcW w:w="141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97E" w:rsidRPr="00E37DD1" w:rsidRDefault="004B00C8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E37DD1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E37DD1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EB597E" w:rsidRPr="00E37DD1" w:rsidRDefault="00EB597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EB597E" w:rsidRPr="00E37DD1"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97E" w:rsidRPr="00E37DD1" w:rsidRDefault="00EB597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97E" w:rsidRPr="00E37DD1" w:rsidRDefault="004B00C8">
            <w:pPr>
              <w:keepNext/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E37DD1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97E" w:rsidRPr="00E37DD1" w:rsidRDefault="004B00C8">
            <w:pPr>
              <w:keepNext/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E37DD1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E37DD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37DD1">
              <w:rPr>
                <w:rFonts w:ascii="Arial" w:eastAsia="Arial" w:hAnsi="Arial" w:cs="Arial"/>
                <w:i/>
                <w:sz w:val="20"/>
                <w:szCs w:val="20"/>
              </w:rPr>
              <w:t xml:space="preserve">(if agreed with reviewer, correct the manuscript and highlight that part in </w:t>
            </w:r>
            <w:r w:rsidRPr="00E37DD1">
              <w:rPr>
                <w:rFonts w:ascii="Arial" w:eastAsia="Arial" w:hAnsi="Arial" w:cs="Arial"/>
                <w:i/>
                <w:sz w:val="20"/>
                <w:szCs w:val="20"/>
              </w:rPr>
              <w:lastRenderedPageBreak/>
              <w:t>the manuscript. It is mandatory that authors should write his/her feedback here)</w:t>
            </w:r>
          </w:p>
        </w:tc>
      </w:tr>
      <w:tr w:rsidR="00EB597E" w:rsidRPr="00E37DD1">
        <w:trPr>
          <w:trHeight w:val="890"/>
        </w:trPr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97E" w:rsidRPr="00E37DD1" w:rsidRDefault="004B00C8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E37DD1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 xml:space="preserve">Are there ethical issues in this manuscript? </w:t>
            </w:r>
          </w:p>
          <w:p w:rsidR="00EB597E" w:rsidRPr="00E37DD1" w:rsidRDefault="00EB597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97E" w:rsidRPr="00E37DD1" w:rsidRDefault="004B00C8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E37DD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E37DD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E37DD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</w:t>
            </w:r>
            <w:r w:rsidRPr="00E37DD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s here in details)</w:t>
            </w:r>
          </w:p>
          <w:p w:rsidR="00EB597E" w:rsidRPr="00E37DD1" w:rsidRDefault="00EB597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EB597E" w:rsidRPr="00E37DD1" w:rsidRDefault="00EB597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97E" w:rsidRPr="00E37DD1" w:rsidRDefault="00EB597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EB597E" w:rsidRPr="00E37DD1" w:rsidRDefault="00EB597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EB597E" w:rsidRPr="00E37DD1" w:rsidRDefault="00EB597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EB597E" w:rsidRPr="00E37DD1" w:rsidRDefault="00EB597E">
      <w:pPr>
        <w:ind w:left="0" w:hanging="2"/>
        <w:rPr>
          <w:rFonts w:ascii="Arial" w:hAnsi="Arial" w:cs="Arial"/>
          <w:sz w:val="20"/>
          <w:szCs w:val="20"/>
        </w:rPr>
      </w:pPr>
    </w:p>
    <w:p w:rsidR="00EB597E" w:rsidRPr="00E37DD1" w:rsidRDefault="00EB597E">
      <w:pPr>
        <w:ind w:left="0" w:hanging="2"/>
        <w:rPr>
          <w:rFonts w:ascii="Arial" w:hAnsi="Arial" w:cs="Arial"/>
          <w:sz w:val="20"/>
          <w:szCs w:val="20"/>
        </w:rPr>
      </w:pPr>
    </w:p>
    <w:bookmarkEnd w:id="0"/>
    <w:p w:rsidR="00EB597E" w:rsidRPr="00E37DD1" w:rsidRDefault="00EB59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EB597E" w:rsidRPr="00E37DD1">
      <w:headerReference w:type="default" r:id="rId9"/>
      <w:footerReference w:type="default" r:id="rId10"/>
      <w:pgSz w:w="16839" w:h="2381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0C8" w:rsidRDefault="004B00C8">
      <w:pPr>
        <w:spacing w:line="240" w:lineRule="auto"/>
        <w:ind w:left="0" w:hanging="2"/>
      </w:pPr>
      <w:r>
        <w:separator/>
      </w:r>
    </w:p>
  </w:endnote>
  <w:endnote w:type="continuationSeparator" w:id="0">
    <w:p w:rsidR="004B00C8" w:rsidRDefault="004B00C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rdo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97E" w:rsidRDefault="004B00C8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0C8" w:rsidRDefault="004B00C8">
      <w:pPr>
        <w:spacing w:line="240" w:lineRule="auto"/>
        <w:ind w:left="0" w:hanging="2"/>
      </w:pPr>
      <w:r>
        <w:separator/>
      </w:r>
    </w:p>
  </w:footnote>
  <w:footnote w:type="continuationSeparator" w:id="0">
    <w:p w:rsidR="004B00C8" w:rsidRDefault="004B00C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97E" w:rsidRDefault="00EB597E">
    <w:pPr>
      <w:spacing w:after="280"/>
      <w:ind w:left="0" w:hanging="2"/>
      <w:jc w:val="center"/>
      <w:rPr>
        <w:rFonts w:ascii="Arial" w:eastAsia="Arial" w:hAnsi="Arial" w:cs="Arial"/>
        <w:color w:val="003399"/>
        <w:u w:val="single"/>
      </w:rPr>
    </w:pPr>
  </w:p>
  <w:p w:rsidR="00EB597E" w:rsidRDefault="004B00C8">
    <w:pPr>
      <w:spacing w:before="280"/>
      <w:ind w:left="0" w:hanging="2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278F9"/>
    <w:multiLevelType w:val="multilevel"/>
    <w:tmpl w:val="75F238C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2A972DDD"/>
    <w:multiLevelType w:val="multilevel"/>
    <w:tmpl w:val="647EAF9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40D30D7A"/>
    <w:multiLevelType w:val="multilevel"/>
    <w:tmpl w:val="4D4232C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3" w15:restartNumberingAfterBreak="0">
    <w:nsid w:val="6B975217"/>
    <w:multiLevelType w:val="multilevel"/>
    <w:tmpl w:val="043A72A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97E"/>
    <w:rsid w:val="004B00C8"/>
    <w:rsid w:val="00E37DD1"/>
    <w:rsid w:val="00EB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3D9B8F-163C-4464-B98E-B34B822B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Незакрита згадка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Heading1Char">
    <w:name w:val="Heading 1 Char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cjast.com/index.php/CJAS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wCq1F5GVwakApbCBdrk2OJVawg==">CgMxLjAaEgoBMBINCgsIB0IHEgVDYXJkbxojCgExEh4KHAgHQhgKD1RpbWVzIE5ldyBSb21hbhIFQ2FyZG8yDmgueGtmNnNzODdsNDVvMg5oLmtnbW4wOWx5bzV5cjgAciExTFItNFlVMzdiNXVnWWNkVE1za3pFREtNYU03djNWdWw=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1850</Words>
  <Characters>10550</Characters>
  <Application>Microsoft Office Word</Application>
  <DocSecurity>0</DocSecurity>
  <Lines>87</Lines>
  <Paragraphs>24</Paragraphs>
  <ScaleCrop>false</ScaleCrop>
  <Company/>
  <LinksUpToDate>false</LinksUpToDate>
  <CharactersWithSpaces>12376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</cp:revision>
  <dcterms:created xsi:type="dcterms:W3CDTF">2011-08-01T09:21:00Z</dcterms:created>
  <dcterms:modified xsi:type="dcterms:W3CDTF">2025-06-19T09:17:00Z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6441fceb-f085-4b80-990b-6020cb96f046</vt:lpwstr>
  </property>
</Properties>
</file>