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14EF3" w:rsidTr="00710DB5">
        <w:trPr>
          <w:trHeight w:val="119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914EF3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ar-SA"/>
              </w:rPr>
            </w:pPr>
          </w:p>
        </w:tc>
      </w:tr>
      <w:tr w:rsidR="0000007A" w:rsidRPr="00914EF3" w:rsidTr="002643B3">
        <w:trPr>
          <w:trHeight w:val="290"/>
        </w:trPr>
        <w:tc>
          <w:tcPr>
            <w:tcW w:w="1234" w:type="pct"/>
          </w:tcPr>
          <w:p w:rsidR="0000007A" w:rsidRPr="00914EF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</w:pPr>
            <w:r w:rsidRPr="00914EF3"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  <w:t>Journal Name:</w:t>
            </w:r>
          </w:p>
        </w:tc>
        <w:bookmarkStart w:id="0" w:name="_Hlk201328657"/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914EF3" w:rsidRDefault="00A61B9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914EF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fldChar w:fldCharType="begin"/>
            </w:r>
            <w:r w:rsidRPr="00914EF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instrText>HYPERLINK "https://journalarjom.com/index.php/ARJOM"</w:instrText>
            </w:r>
            <w:r w:rsidRPr="00914EF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fldChar w:fldCharType="separate"/>
            </w:r>
            <w:r w:rsidR="008B336F" w:rsidRPr="00914EF3">
              <w:rPr>
                <w:rStyle w:val="Hyperlink"/>
                <w:rFonts w:ascii="Arial" w:hAnsi="Arial" w:cs="Arial"/>
                <w:b/>
                <w:bCs/>
                <w:sz w:val="20"/>
                <w:szCs w:val="20"/>
              </w:rPr>
              <w:t>Asian Research Journal of Mathematics</w:t>
            </w:r>
            <w:r w:rsidRPr="00914EF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fldChar w:fldCharType="end"/>
            </w:r>
            <w:r w:rsidR="008B336F" w:rsidRPr="00914EF3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  <w:bookmarkEnd w:id="0"/>
          </w:p>
        </w:tc>
      </w:tr>
      <w:tr w:rsidR="0000007A" w:rsidRPr="00914EF3" w:rsidTr="002643B3">
        <w:trPr>
          <w:trHeight w:val="290"/>
        </w:trPr>
        <w:tc>
          <w:tcPr>
            <w:tcW w:w="1234" w:type="pct"/>
          </w:tcPr>
          <w:p w:rsidR="0000007A" w:rsidRPr="00914EF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</w:pPr>
            <w:r w:rsidRPr="00914EF3"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914EF3" w:rsidRDefault="001923B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Ms_ARJOM_138707</w:t>
            </w:r>
          </w:p>
        </w:tc>
      </w:tr>
      <w:tr w:rsidR="0000007A" w:rsidRPr="00914EF3" w:rsidTr="002643B3">
        <w:trPr>
          <w:trHeight w:val="650"/>
        </w:trPr>
        <w:tc>
          <w:tcPr>
            <w:tcW w:w="1234" w:type="pct"/>
          </w:tcPr>
          <w:p w:rsidR="0000007A" w:rsidRPr="00914EF3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</w:pPr>
            <w:r w:rsidRPr="00914EF3"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914EF3" w:rsidRDefault="001923B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bookmarkStart w:id="1" w:name="_Hlk201328640"/>
            <w:r w:rsidRPr="00914EF3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 Domination Polynomials - A new approach</w:t>
            </w:r>
            <w:bookmarkEnd w:id="1"/>
          </w:p>
        </w:tc>
      </w:tr>
      <w:tr w:rsidR="00CF0BBB" w:rsidRPr="00914EF3" w:rsidTr="002643B3">
        <w:trPr>
          <w:trHeight w:val="332"/>
        </w:trPr>
        <w:tc>
          <w:tcPr>
            <w:tcW w:w="1234" w:type="pct"/>
          </w:tcPr>
          <w:p w:rsidR="00CF0BBB" w:rsidRPr="00914EF3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</w:pPr>
            <w:r w:rsidRPr="00914EF3">
              <w:rPr>
                <w:rFonts w:ascii="Arial" w:hAnsi="Arial" w:cs="Arial"/>
                <w:bCs/>
                <w:sz w:val="20"/>
                <w:szCs w:val="20"/>
                <w:lang w:val="en-GB" w:bidi="ar-SA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914EF3" w:rsidRDefault="007B7941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Original </w:t>
            </w:r>
            <w:r w:rsidR="003A7320" w:rsidRPr="00914EF3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Article</w:t>
            </w:r>
          </w:p>
        </w:tc>
      </w:tr>
    </w:tbl>
    <w:p w:rsidR="00D7043B" w:rsidRPr="00914EF3" w:rsidRDefault="00D7043B" w:rsidP="00D7043B">
      <w:pPr>
        <w:rPr>
          <w:rFonts w:ascii="Arial" w:hAnsi="Arial" w:cs="Arial"/>
          <w:sz w:val="20"/>
          <w:szCs w:val="20"/>
        </w:rPr>
      </w:pPr>
      <w:bookmarkStart w:id="2" w:name="_Hlk171324449"/>
      <w:bookmarkStart w:id="3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</w:tblGrid>
      <w:tr w:rsidR="00D7043B" w:rsidRPr="00914EF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D7043B" w:rsidRPr="00914EF3" w:rsidRDefault="00D7043B">
            <w:pPr>
              <w:pStyle w:val="Heading2"/>
              <w:jc w:val="left"/>
              <w:rPr>
                <w:rFonts w:ascii="Arial" w:hAnsi="Arial" w:cs="Arial"/>
                <w:lang w:val="en-GB" w:bidi="ar-SA"/>
              </w:rPr>
            </w:pPr>
            <w:r w:rsidRPr="00914EF3">
              <w:rPr>
                <w:rFonts w:ascii="Arial" w:hAnsi="Arial" w:cs="Arial"/>
                <w:highlight w:val="yellow"/>
                <w:lang w:val="en-GB" w:bidi="ar-SA"/>
              </w:rPr>
              <w:t>PART  1:</w:t>
            </w:r>
            <w:r w:rsidRPr="00914EF3">
              <w:rPr>
                <w:rFonts w:ascii="Arial" w:hAnsi="Arial" w:cs="Arial"/>
                <w:lang w:val="en-GB" w:bidi="ar-SA"/>
              </w:rPr>
              <w:t xml:space="preserve"> Comments</w:t>
            </w:r>
          </w:p>
          <w:p w:rsidR="00D7043B" w:rsidRPr="00914EF3" w:rsidRDefault="00D7043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7043B" w:rsidRPr="00914EF3">
        <w:tc>
          <w:tcPr>
            <w:tcW w:w="1265" w:type="pct"/>
            <w:noWrap/>
          </w:tcPr>
          <w:p w:rsidR="00D7043B" w:rsidRPr="00914EF3" w:rsidRDefault="00D7043B">
            <w:pPr>
              <w:pStyle w:val="Heading2"/>
              <w:jc w:val="left"/>
              <w:rPr>
                <w:rFonts w:ascii="Arial" w:hAnsi="Arial" w:cs="Arial"/>
                <w:lang w:val="en-GB" w:bidi="ar-SA"/>
              </w:rPr>
            </w:pPr>
          </w:p>
        </w:tc>
        <w:tc>
          <w:tcPr>
            <w:tcW w:w="2212" w:type="pct"/>
          </w:tcPr>
          <w:p w:rsidR="00D7043B" w:rsidRPr="00914EF3" w:rsidRDefault="00D7043B">
            <w:pPr>
              <w:pStyle w:val="Heading2"/>
              <w:jc w:val="left"/>
              <w:rPr>
                <w:rFonts w:ascii="Arial" w:hAnsi="Arial" w:cs="Arial"/>
                <w:lang w:val="en-GB" w:bidi="ar-SA"/>
              </w:rPr>
            </w:pPr>
            <w:r w:rsidRPr="00914EF3">
              <w:rPr>
                <w:rFonts w:ascii="Arial" w:hAnsi="Arial" w:cs="Arial"/>
                <w:lang w:val="en-GB" w:bidi="ar-SA"/>
              </w:rPr>
              <w:t>Reviewer’s comment</w:t>
            </w:r>
          </w:p>
          <w:p w:rsidR="00016F0E" w:rsidRPr="00914EF3" w:rsidRDefault="00016F0E" w:rsidP="00016F0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016F0E" w:rsidRPr="00914EF3" w:rsidRDefault="00016F0E" w:rsidP="00016F0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6B6592" w:rsidRPr="00914EF3" w:rsidRDefault="006B6592" w:rsidP="006B6592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14EF3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14EF3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D7043B" w:rsidRPr="00914EF3" w:rsidRDefault="00D7043B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</w:p>
        </w:tc>
      </w:tr>
      <w:tr w:rsidR="00D7043B" w:rsidRPr="00914EF3">
        <w:trPr>
          <w:trHeight w:val="1264"/>
        </w:trPr>
        <w:tc>
          <w:tcPr>
            <w:tcW w:w="1265" w:type="pct"/>
            <w:noWrap/>
          </w:tcPr>
          <w:p w:rsidR="00D7043B" w:rsidRPr="00914EF3" w:rsidRDefault="00D7043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:rsidR="00D7043B" w:rsidRPr="00914EF3" w:rsidRDefault="00D7043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:rsidR="00667552" w:rsidRPr="00914EF3" w:rsidRDefault="00667552" w:rsidP="006675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author briefly discussed </w:t>
            </w:r>
            <w:r w:rsidRPr="00914EF3">
              <w:rPr>
                <w:rFonts w:ascii="Arial" w:hAnsi="Arial" w:cs="Arial"/>
                <w:b/>
                <w:bCs/>
                <w:sz w:val="20"/>
                <w:szCs w:val="20"/>
              </w:rPr>
              <w:t>Total Domination Polynomials</w:t>
            </w:r>
          </w:p>
          <w:p w:rsidR="00667552" w:rsidRPr="00914EF3" w:rsidRDefault="00667552" w:rsidP="006675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Many theorems are used in the main result</w:t>
            </w:r>
          </w:p>
          <w:p w:rsidR="00667552" w:rsidRPr="00914EF3" w:rsidRDefault="00667552" w:rsidP="006675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Proof of the main results are very clear and correct</w:t>
            </w:r>
          </w:p>
          <w:p w:rsidR="00D7043B" w:rsidRPr="00914EF3" w:rsidRDefault="00667552" w:rsidP="006675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They have investigate</w:t>
            </w:r>
            <w:r w:rsidRPr="00914E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the relation between total domination sets </w:t>
            </w:r>
            <w:proofErr w:type="gramStart"/>
            <w:r w:rsidRPr="00914EF3">
              <w:rPr>
                <w:rFonts w:ascii="Arial" w:hAnsi="Arial" w:cs="Arial"/>
                <w:b/>
                <w:bCs/>
                <w:sz w:val="20"/>
                <w:szCs w:val="20"/>
              </w:rPr>
              <w:t>and  vertex</w:t>
            </w:r>
            <w:proofErr w:type="gramEnd"/>
            <w:r w:rsidRPr="00914E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covering sets is used to determine the total domination polynomial of </w:t>
            </w:r>
            <w:r w:rsidR="00C2744D" w:rsidRPr="00914EF3">
              <w:rPr>
                <w:rFonts w:ascii="Arial" w:hAnsi="Arial" w:cs="Arial"/>
                <w:b/>
                <w:bCs/>
                <w:sz w:val="20"/>
                <w:szCs w:val="20"/>
              </w:rPr>
              <w:t>different</w:t>
            </w:r>
            <w:r w:rsidRPr="00914EF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classes of graphs</w:t>
            </w:r>
          </w:p>
        </w:tc>
        <w:tc>
          <w:tcPr>
            <w:tcW w:w="1523" w:type="pct"/>
          </w:tcPr>
          <w:p w:rsidR="00D7043B" w:rsidRPr="00914EF3" w:rsidRDefault="007B7941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The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approach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in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this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paper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provides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a straight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forward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and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structured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framework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linking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vertex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covers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to total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dominating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sets,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enabling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a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novel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algebraic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representation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of the total domination polynomial. This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methodology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is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applied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to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particular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graph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families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,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where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the total domination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polynomials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are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expressed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using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vertex cover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polynomials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. Beyond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simplifying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the computation for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these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graph classes,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this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strategy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also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reveals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more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profound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relationships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between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domination and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covering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 xml:space="preserve"> concepts in Graph </w:t>
            </w:r>
            <w:proofErr w:type="spellStart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theory</w:t>
            </w:r>
            <w:proofErr w:type="spellEnd"/>
            <w:r w:rsidRPr="00914EF3">
              <w:rPr>
                <w:rFonts w:ascii="Arial" w:hAnsi="Arial" w:cs="Arial"/>
                <w:b w:val="0"/>
                <w:bCs w:val="0"/>
                <w:lang w:bidi="ar-SA"/>
              </w:rPr>
              <w:t>.</w:t>
            </w:r>
          </w:p>
        </w:tc>
      </w:tr>
      <w:tr w:rsidR="003A7320" w:rsidRPr="00914EF3" w:rsidTr="00667552">
        <w:trPr>
          <w:trHeight w:val="458"/>
        </w:trPr>
        <w:tc>
          <w:tcPr>
            <w:tcW w:w="1265" w:type="pct"/>
            <w:noWrap/>
          </w:tcPr>
          <w:p w:rsidR="003A7320" w:rsidRPr="00914EF3" w:rsidRDefault="003A732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3A7320" w:rsidRPr="00914EF3" w:rsidRDefault="003A732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3A7320" w:rsidRPr="00914EF3" w:rsidRDefault="003A7320">
            <w:pPr>
              <w:pStyle w:val="Heading2"/>
              <w:jc w:val="left"/>
              <w:rPr>
                <w:rFonts w:ascii="Arial" w:hAnsi="Arial" w:cs="Arial"/>
                <w:u w:val="single"/>
                <w:lang w:val="en-GB" w:bidi="ar-SA"/>
              </w:rPr>
            </w:pPr>
          </w:p>
        </w:tc>
        <w:tc>
          <w:tcPr>
            <w:tcW w:w="2212" w:type="pct"/>
          </w:tcPr>
          <w:p w:rsidR="003A7320" w:rsidRPr="00914EF3" w:rsidRDefault="003A7320" w:rsidP="00C2744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:rsidR="003A7320" w:rsidRPr="00914EF3" w:rsidRDefault="007B7941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  <w:proofErr w:type="gramStart"/>
            <w:r w:rsidRPr="00914EF3">
              <w:rPr>
                <w:rFonts w:ascii="Arial" w:hAnsi="Arial" w:cs="Arial"/>
                <w:b w:val="0"/>
                <w:lang w:val="en-GB" w:bidi="ar-SA"/>
              </w:rPr>
              <w:t>Certainly</w:t>
            </w:r>
            <w:proofErr w:type="gramEnd"/>
            <w:r w:rsidRPr="00914EF3">
              <w:rPr>
                <w:rFonts w:ascii="Arial" w:hAnsi="Arial" w:cs="Arial"/>
                <w:b w:val="0"/>
                <w:lang w:val="en-GB" w:bidi="ar-SA"/>
              </w:rPr>
              <w:t xml:space="preserve"> The title is changed as On a New Approach to Total Domination Polynomials</w:t>
            </w:r>
          </w:p>
        </w:tc>
      </w:tr>
      <w:tr w:rsidR="007B7941" w:rsidRPr="00914EF3" w:rsidTr="00667552">
        <w:trPr>
          <w:trHeight w:val="305"/>
        </w:trPr>
        <w:tc>
          <w:tcPr>
            <w:tcW w:w="1265" w:type="pct"/>
            <w:noWrap/>
          </w:tcPr>
          <w:p w:rsidR="007B7941" w:rsidRPr="00914EF3" w:rsidRDefault="007B7941">
            <w:pPr>
              <w:pStyle w:val="Heading2"/>
              <w:ind w:left="360"/>
              <w:jc w:val="left"/>
              <w:rPr>
                <w:rFonts w:ascii="Arial" w:hAnsi="Arial" w:cs="Arial"/>
                <w:lang w:val="en-GB" w:bidi="ar-SA"/>
              </w:rPr>
            </w:pPr>
            <w:r w:rsidRPr="00914EF3">
              <w:rPr>
                <w:rFonts w:ascii="Arial" w:hAnsi="Arial" w:cs="Arial"/>
                <w:lang w:val="en-GB" w:bidi="ar-SA"/>
              </w:rPr>
              <w:t>Is the abstract of the article comprehensive? Do you suggest the addition (or deletion) of some points in this section? Please write your suggestions here.</w:t>
            </w:r>
          </w:p>
          <w:p w:rsidR="007B7941" w:rsidRPr="00914EF3" w:rsidRDefault="007B7941">
            <w:pPr>
              <w:pStyle w:val="Heading2"/>
              <w:jc w:val="left"/>
              <w:rPr>
                <w:rFonts w:ascii="Arial" w:hAnsi="Arial" w:cs="Arial"/>
                <w:u w:val="single"/>
                <w:lang w:val="en-GB" w:bidi="ar-SA"/>
              </w:rPr>
            </w:pPr>
          </w:p>
        </w:tc>
        <w:tc>
          <w:tcPr>
            <w:tcW w:w="2212" w:type="pct"/>
          </w:tcPr>
          <w:p w:rsidR="007B7941" w:rsidRPr="00914EF3" w:rsidRDefault="007B7941" w:rsidP="00C2744D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it is</w:t>
            </w:r>
            <w:proofErr w:type="gramEnd"/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 comprehensive abstract</w:t>
            </w:r>
          </w:p>
        </w:tc>
        <w:tc>
          <w:tcPr>
            <w:tcW w:w="1523" w:type="pct"/>
          </w:tcPr>
          <w:p w:rsidR="007B7941" w:rsidRPr="00914EF3" w:rsidRDefault="007B7941" w:rsidP="0047327B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  <w:r w:rsidRPr="00914EF3">
              <w:rPr>
                <w:rFonts w:ascii="Arial" w:hAnsi="Arial" w:cs="Arial"/>
                <w:b w:val="0"/>
                <w:lang w:val="en-GB" w:bidi="ar-SA"/>
              </w:rPr>
              <w:t>The abstract is modified.</w:t>
            </w:r>
          </w:p>
        </w:tc>
      </w:tr>
      <w:tr w:rsidR="007B7941" w:rsidRPr="00914EF3">
        <w:trPr>
          <w:trHeight w:val="704"/>
        </w:trPr>
        <w:tc>
          <w:tcPr>
            <w:tcW w:w="1265" w:type="pct"/>
            <w:noWrap/>
          </w:tcPr>
          <w:p w:rsidR="007B7941" w:rsidRPr="00914EF3" w:rsidRDefault="007B794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bidi="ar-SA"/>
              </w:rPr>
            </w:pPr>
            <w:r w:rsidRPr="00914EF3">
              <w:rPr>
                <w:rFonts w:ascii="Arial" w:hAnsi="Arial" w:cs="Arial"/>
                <w:lang w:val="en-GB" w:bidi="ar-SA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:rsidR="007B7941" w:rsidRPr="00914EF3" w:rsidRDefault="007B7941" w:rsidP="006675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proofErr w:type="gramStart"/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 it is</w:t>
            </w:r>
            <w:proofErr w:type="gramEnd"/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appropriate</w:t>
            </w:r>
          </w:p>
        </w:tc>
        <w:tc>
          <w:tcPr>
            <w:tcW w:w="1523" w:type="pct"/>
          </w:tcPr>
          <w:p w:rsidR="007B7941" w:rsidRPr="00914EF3" w:rsidRDefault="007B7941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  <w:r w:rsidRPr="00914EF3">
              <w:rPr>
                <w:rFonts w:ascii="Arial" w:hAnsi="Arial" w:cs="Arial"/>
                <w:b w:val="0"/>
                <w:lang w:val="en-GB" w:bidi="ar-SA"/>
              </w:rPr>
              <w:t>Yes. The manuscript is scientifically correct</w:t>
            </w:r>
          </w:p>
        </w:tc>
      </w:tr>
      <w:tr w:rsidR="007B7941" w:rsidRPr="00914EF3">
        <w:trPr>
          <w:trHeight w:val="703"/>
        </w:trPr>
        <w:tc>
          <w:tcPr>
            <w:tcW w:w="1265" w:type="pct"/>
            <w:noWrap/>
          </w:tcPr>
          <w:p w:rsidR="007B7941" w:rsidRPr="00914EF3" w:rsidRDefault="007B794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:rsidR="007B7941" w:rsidRPr="00914EF3" w:rsidRDefault="007B7941" w:rsidP="0066755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Sufficient references also cited all the reference</w:t>
            </w:r>
          </w:p>
        </w:tc>
        <w:tc>
          <w:tcPr>
            <w:tcW w:w="1523" w:type="pct"/>
          </w:tcPr>
          <w:p w:rsidR="007B7941" w:rsidRPr="00914EF3" w:rsidRDefault="007B7941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  <w:r w:rsidRPr="00914EF3">
              <w:rPr>
                <w:rFonts w:ascii="Arial" w:hAnsi="Arial" w:cs="Arial"/>
                <w:b w:val="0"/>
                <w:lang w:val="en-GB" w:bidi="ar-SA"/>
              </w:rPr>
              <w:t>Reference list is modified.</w:t>
            </w:r>
          </w:p>
        </w:tc>
      </w:tr>
      <w:tr w:rsidR="007B7941" w:rsidRPr="00914EF3" w:rsidTr="00667552">
        <w:trPr>
          <w:trHeight w:val="746"/>
        </w:trPr>
        <w:tc>
          <w:tcPr>
            <w:tcW w:w="1265" w:type="pct"/>
            <w:noWrap/>
          </w:tcPr>
          <w:p w:rsidR="007B7941" w:rsidRPr="00914EF3" w:rsidRDefault="007B7941" w:rsidP="00667552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bidi="ar-SA"/>
              </w:rPr>
            </w:pPr>
            <w:r w:rsidRPr="00914EF3">
              <w:rPr>
                <w:rFonts w:ascii="Arial" w:hAnsi="Arial" w:cs="Arial"/>
                <w:bCs w:val="0"/>
                <w:lang w:val="en-GB" w:bidi="ar-SA"/>
              </w:rPr>
              <w:t>Is the language/English quality of the article suitable for scholarly communications?</w:t>
            </w:r>
          </w:p>
        </w:tc>
        <w:tc>
          <w:tcPr>
            <w:tcW w:w="2212" w:type="pct"/>
          </w:tcPr>
          <w:p w:rsidR="007B7941" w:rsidRPr="00914EF3" w:rsidRDefault="007B7941" w:rsidP="0066755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Good communications</w:t>
            </w:r>
          </w:p>
        </w:tc>
        <w:tc>
          <w:tcPr>
            <w:tcW w:w="1523" w:type="pct"/>
          </w:tcPr>
          <w:p w:rsidR="007B7941" w:rsidRPr="00914EF3" w:rsidRDefault="007B79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sz w:val="20"/>
                <w:szCs w:val="20"/>
                <w:lang w:val="en-GB"/>
              </w:rPr>
              <w:t>Yes absolutely</w:t>
            </w:r>
          </w:p>
        </w:tc>
      </w:tr>
      <w:tr w:rsidR="007B7941" w:rsidRPr="00914EF3">
        <w:trPr>
          <w:trHeight w:val="1178"/>
        </w:trPr>
        <w:tc>
          <w:tcPr>
            <w:tcW w:w="1265" w:type="pct"/>
            <w:noWrap/>
          </w:tcPr>
          <w:p w:rsidR="007B7941" w:rsidRPr="00914EF3" w:rsidRDefault="007B794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bidi="ar-SA"/>
              </w:rPr>
            </w:pPr>
            <w:r w:rsidRPr="00914EF3">
              <w:rPr>
                <w:rFonts w:ascii="Arial" w:hAnsi="Arial" w:cs="Arial"/>
                <w:bCs w:val="0"/>
                <w:u w:val="single"/>
                <w:lang w:val="en-GB" w:bidi="ar-SA"/>
              </w:rPr>
              <w:t>Optional/General</w:t>
            </w:r>
            <w:r w:rsidRPr="00914EF3">
              <w:rPr>
                <w:rFonts w:ascii="Arial" w:hAnsi="Arial" w:cs="Arial"/>
                <w:bCs w:val="0"/>
                <w:lang w:val="en-GB" w:bidi="ar-SA"/>
              </w:rPr>
              <w:t xml:space="preserve"> </w:t>
            </w:r>
            <w:r w:rsidRPr="00914EF3">
              <w:rPr>
                <w:rFonts w:ascii="Arial" w:hAnsi="Arial" w:cs="Arial"/>
                <w:b w:val="0"/>
                <w:bCs w:val="0"/>
                <w:lang w:val="en-GB" w:bidi="ar-SA"/>
              </w:rPr>
              <w:t>comments</w:t>
            </w:r>
          </w:p>
          <w:p w:rsidR="007B7941" w:rsidRPr="00914EF3" w:rsidRDefault="007B7941">
            <w:pPr>
              <w:pStyle w:val="Heading2"/>
              <w:jc w:val="left"/>
              <w:rPr>
                <w:rFonts w:ascii="Arial" w:hAnsi="Arial" w:cs="Arial"/>
                <w:b w:val="0"/>
                <w:lang w:val="en-GB" w:bidi="ar-SA"/>
              </w:rPr>
            </w:pPr>
          </w:p>
        </w:tc>
        <w:tc>
          <w:tcPr>
            <w:tcW w:w="2212" w:type="pct"/>
          </w:tcPr>
          <w:p w:rsidR="007B7941" w:rsidRPr="00914EF3" w:rsidRDefault="007B7941" w:rsidP="0066755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Hence, I recommend this paper for publication</w:t>
            </w:r>
          </w:p>
          <w:p w:rsidR="007B7941" w:rsidRPr="00914EF3" w:rsidRDefault="007B7941" w:rsidP="00667552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:rsidR="007B7941" w:rsidRPr="00914EF3" w:rsidRDefault="007B7941" w:rsidP="007B7941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sz w:val="20"/>
                <w:szCs w:val="20"/>
                <w:lang w:val="en-GB"/>
              </w:rPr>
              <w:t>Just before the section Main Results I added a section named Preliminaries. In which the first definition in Section Main Results is included. Otherwise it will be difficult to understand the paper</w:t>
            </w:r>
          </w:p>
          <w:p w:rsidR="007B7941" w:rsidRPr="00914EF3" w:rsidRDefault="007B7941" w:rsidP="007B7941">
            <w:pPr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14EF3">
              <w:rPr>
                <w:rFonts w:ascii="Arial" w:hAnsi="Arial" w:cs="Arial"/>
                <w:sz w:val="20"/>
                <w:szCs w:val="20"/>
                <w:lang w:val="en-GB"/>
              </w:rPr>
              <w:t xml:space="preserve">Type of the article is Original Research Article.    </w:t>
            </w:r>
          </w:p>
        </w:tc>
      </w:tr>
    </w:tbl>
    <w:p w:rsidR="00D7043B" w:rsidRPr="00914EF3" w:rsidRDefault="00D7043B" w:rsidP="00D7043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0E79D1" w:rsidRPr="00914EF3" w:rsidTr="000E79D1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9D1" w:rsidRPr="00914EF3" w:rsidRDefault="000E79D1" w:rsidP="000E79D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4" w:name="_Hlk156057883"/>
            <w:bookmarkStart w:id="5" w:name="_Hlk156057704"/>
            <w:r w:rsidRPr="00914EF3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14EF3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0E79D1" w:rsidRPr="00914EF3" w:rsidRDefault="000E79D1" w:rsidP="000E79D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E79D1" w:rsidRPr="00914EF3" w:rsidTr="000E79D1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9D1" w:rsidRPr="00914EF3" w:rsidRDefault="000E79D1" w:rsidP="000E79D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79D1" w:rsidRPr="00914EF3" w:rsidRDefault="000E79D1" w:rsidP="000E79D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79D1" w:rsidRPr="00914EF3" w:rsidRDefault="000E79D1" w:rsidP="000E79D1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14EF3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14EF3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14EF3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0E79D1" w:rsidRPr="00914EF3" w:rsidTr="000E79D1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9D1" w:rsidRPr="00914EF3" w:rsidRDefault="000E79D1" w:rsidP="000E79D1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14EF3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0E79D1" w:rsidRPr="00914EF3" w:rsidRDefault="000E79D1" w:rsidP="000E79D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79D1" w:rsidRPr="00914EF3" w:rsidRDefault="000E79D1" w:rsidP="000E79D1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14EF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14EF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14EF3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:rsidR="000E79D1" w:rsidRPr="00914EF3" w:rsidRDefault="000E79D1" w:rsidP="000E79D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E79D1" w:rsidRPr="00914EF3" w:rsidRDefault="000E79D1" w:rsidP="000E79D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79D1" w:rsidRPr="00914EF3" w:rsidRDefault="000E79D1" w:rsidP="000E79D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0E79D1" w:rsidRPr="00914EF3" w:rsidRDefault="007B7941" w:rsidP="000E79D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914EF3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Nil</w:t>
            </w:r>
          </w:p>
          <w:p w:rsidR="000E79D1" w:rsidRPr="00914EF3" w:rsidRDefault="000E79D1" w:rsidP="000E79D1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:rsidR="000E79D1" w:rsidRPr="00914EF3" w:rsidRDefault="000E79D1" w:rsidP="00914EF3">
      <w:pPr>
        <w:rPr>
          <w:rFonts w:ascii="Arial" w:hAnsi="Arial" w:cs="Arial"/>
          <w:sz w:val="20"/>
          <w:szCs w:val="20"/>
        </w:rPr>
      </w:pPr>
      <w:bookmarkStart w:id="6" w:name="_GoBack"/>
      <w:bookmarkEnd w:id="2"/>
      <w:bookmarkEnd w:id="3"/>
      <w:bookmarkEnd w:id="4"/>
      <w:bookmarkEnd w:id="5"/>
      <w:bookmarkEnd w:id="6"/>
    </w:p>
    <w:sectPr w:rsidR="000E79D1" w:rsidRPr="00914EF3" w:rsidSect="003D2478">
      <w:headerReference w:type="default" r:id="rId8"/>
      <w:footerReference w:type="default" r:id="rId9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C04" w:rsidRPr="0000007A" w:rsidRDefault="00915C04" w:rsidP="0099583E">
      <w:r>
        <w:separator/>
      </w:r>
    </w:p>
  </w:endnote>
  <w:endnote w:type="continuationSeparator" w:id="0">
    <w:p w:rsidR="00915C04" w:rsidRPr="0000007A" w:rsidRDefault="00915C0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D82C5E" w:rsidRPr="00D82C5E">
      <w:rPr>
        <w:sz w:val="16"/>
      </w:rPr>
      <w:t xml:space="preserve">Version: </w:t>
    </w:r>
    <w:r w:rsidR="00222702">
      <w:rPr>
        <w:sz w:val="16"/>
      </w:rPr>
      <w:t>3</w:t>
    </w:r>
    <w:r w:rsidR="00D82C5E" w:rsidRPr="00D82C5E">
      <w:rPr>
        <w:sz w:val="16"/>
      </w:rPr>
      <w:t xml:space="preserve"> (0</w:t>
    </w:r>
    <w:r w:rsidR="00222702">
      <w:rPr>
        <w:sz w:val="16"/>
      </w:rPr>
      <w:t>7</w:t>
    </w:r>
    <w:r w:rsidR="00D82C5E" w:rsidRPr="00D82C5E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C04" w:rsidRPr="0000007A" w:rsidRDefault="00915C04" w:rsidP="0099583E">
      <w:r>
        <w:separator/>
      </w:r>
    </w:p>
  </w:footnote>
  <w:footnote w:type="continuationSeparator" w:id="0">
    <w:p w:rsidR="00915C04" w:rsidRPr="0000007A" w:rsidRDefault="00915C0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22702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11768"/>
    <w:multiLevelType w:val="hybridMultilevel"/>
    <w:tmpl w:val="4BF09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15BA7"/>
    <w:rsid w:val="00016F0E"/>
    <w:rsid w:val="00021981"/>
    <w:rsid w:val="000234E1"/>
    <w:rsid w:val="0002598E"/>
    <w:rsid w:val="00037D52"/>
    <w:rsid w:val="000450FC"/>
    <w:rsid w:val="000526C9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E79D1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05C1"/>
    <w:rsid w:val="0017480A"/>
    <w:rsid w:val="001766DF"/>
    <w:rsid w:val="00184644"/>
    <w:rsid w:val="0018753A"/>
    <w:rsid w:val="001923BC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2702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00ACB"/>
    <w:rsid w:val="00312559"/>
    <w:rsid w:val="003204B8"/>
    <w:rsid w:val="0033692F"/>
    <w:rsid w:val="00346223"/>
    <w:rsid w:val="003A04E7"/>
    <w:rsid w:val="003A4991"/>
    <w:rsid w:val="003A6E1A"/>
    <w:rsid w:val="003A7320"/>
    <w:rsid w:val="003B17AD"/>
    <w:rsid w:val="003B2172"/>
    <w:rsid w:val="003D2478"/>
    <w:rsid w:val="003E746A"/>
    <w:rsid w:val="0042465A"/>
    <w:rsid w:val="00432489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503AB6"/>
    <w:rsid w:val="005047C5"/>
    <w:rsid w:val="00505971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97FE9"/>
    <w:rsid w:val="005A5BE0"/>
    <w:rsid w:val="005B12E0"/>
    <w:rsid w:val="005C25A0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67552"/>
    <w:rsid w:val="0067046C"/>
    <w:rsid w:val="00676845"/>
    <w:rsid w:val="00680547"/>
    <w:rsid w:val="0068446F"/>
    <w:rsid w:val="0069428E"/>
    <w:rsid w:val="00696CAD"/>
    <w:rsid w:val="006A5E0B"/>
    <w:rsid w:val="006B6592"/>
    <w:rsid w:val="006C3797"/>
    <w:rsid w:val="006E7D6E"/>
    <w:rsid w:val="006F6F2F"/>
    <w:rsid w:val="00701186"/>
    <w:rsid w:val="00707BE1"/>
    <w:rsid w:val="00710DB5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B7941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336F"/>
    <w:rsid w:val="008C2778"/>
    <w:rsid w:val="008C2F62"/>
    <w:rsid w:val="008D020E"/>
    <w:rsid w:val="008D1117"/>
    <w:rsid w:val="008D15A4"/>
    <w:rsid w:val="008F36E4"/>
    <w:rsid w:val="00914EF3"/>
    <w:rsid w:val="00915C04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3FFA"/>
    <w:rsid w:val="009E6A30"/>
    <w:rsid w:val="009E79E5"/>
    <w:rsid w:val="009F07D4"/>
    <w:rsid w:val="009F29EB"/>
    <w:rsid w:val="00A001A0"/>
    <w:rsid w:val="00A11924"/>
    <w:rsid w:val="00A12C83"/>
    <w:rsid w:val="00A17DCA"/>
    <w:rsid w:val="00A31AAC"/>
    <w:rsid w:val="00A32905"/>
    <w:rsid w:val="00A36C95"/>
    <w:rsid w:val="00A37DE3"/>
    <w:rsid w:val="00A519D1"/>
    <w:rsid w:val="00A61B9E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45EC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4D0E"/>
    <w:rsid w:val="00B858FF"/>
    <w:rsid w:val="00BA1AB3"/>
    <w:rsid w:val="00BA6421"/>
    <w:rsid w:val="00BB179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0C2"/>
    <w:rsid w:val="00C22886"/>
    <w:rsid w:val="00C25C8F"/>
    <w:rsid w:val="00C263C6"/>
    <w:rsid w:val="00C2744D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4FF8"/>
    <w:rsid w:val="00D40416"/>
    <w:rsid w:val="00D45CF7"/>
    <w:rsid w:val="00D4782A"/>
    <w:rsid w:val="00D7043B"/>
    <w:rsid w:val="00D7603E"/>
    <w:rsid w:val="00D82C5E"/>
    <w:rsid w:val="00D8579C"/>
    <w:rsid w:val="00D90124"/>
    <w:rsid w:val="00D9392F"/>
    <w:rsid w:val="00DA41F5"/>
    <w:rsid w:val="00DB5B54"/>
    <w:rsid w:val="00DB7E1B"/>
    <w:rsid w:val="00DC1D81"/>
    <w:rsid w:val="00DD69BF"/>
    <w:rsid w:val="00DF2524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32C2"/>
    <w:rsid w:val="00EC6894"/>
    <w:rsid w:val="00ED6B12"/>
    <w:rsid w:val="00EE0D3E"/>
    <w:rsid w:val="00EE3B99"/>
    <w:rsid w:val="00EF326D"/>
    <w:rsid w:val="00EF53FE"/>
    <w:rsid w:val="00F179E0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2AC"/>
    <w:rsid w:val="00FC6387"/>
    <w:rsid w:val="00FC6802"/>
    <w:rsid w:val="00FD5037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BB79D5C-ED2C-4A71-88BE-D64BC0CBD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Arial Unicode MS"/>
      <w:b/>
      <w:bCs/>
      <w:sz w:val="20"/>
      <w:szCs w:val="20"/>
      <w:lang w:val="fr-FR" w:bidi="ml-IN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  <w:lang w:bidi="ml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Arial Unicode MS"/>
      <w:lang w:val="fr-FR" w:bidi="ml-IN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rFonts w:cs="Arial Unicode MS"/>
      <w:lang w:bidi="ml-IN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rFonts w:cs="Arial Unicode MS"/>
      <w:lang w:bidi="ml-IN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61B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50943-4C15-479B-925A-103FE3156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Links>
    <vt:vector size="12" baseType="variant">
      <vt:variant>
        <vt:i4>458758</vt:i4>
      </vt:variant>
      <vt:variant>
        <vt:i4>3</vt:i4>
      </vt:variant>
      <vt:variant>
        <vt:i4>0</vt:i4>
      </vt:variant>
      <vt:variant>
        <vt:i4>5</vt:i4>
      </vt:variant>
      <vt:variant>
        <vt:lpwstr>https://doi.org/10.9734/BJMCS/2016/27588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https://journalarjom.com/index.php/ARJOM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3</cp:revision>
  <dcterms:created xsi:type="dcterms:W3CDTF">2025-06-24T10:07:00Z</dcterms:created>
  <dcterms:modified xsi:type="dcterms:W3CDTF">2025-06-25T09:27:00Z</dcterms:modified>
</cp:coreProperties>
</file>