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B9C" w:rsidRPr="00ED76E0" w:rsidRDefault="00702B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702B9C" w:rsidRPr="00ED76E0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702B9C" w:rsidRPr="00ED76E0" w:rsidRDefault="00702B9C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702B9C" w:rsidRPr="00ED76E0">
        <w:trPr>
          <w:trHeight w:val="290"/>
        </w:trPr>
        <w:tc>
          <w:tcPr>
            <w:tcW w:w="5167" w:type="dxa"/>
          </w:tcPr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B9C" w:rsidRPr="00ED76E0" w:rsidRDefault="004E46EA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>
              <w:r w:rsidRPr="00ED76E0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Pr="00ED76E0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702B9C" w:rsidRPr="00ED76E0">
        <w:trPr>
          <w:trHeight w:val="290"/>
        </w:trPr>
        <w:tc>
          <w:tcPr>
            <w:tcW w:w="5167" w:type="dxa"/>
          </w:tcPr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Ms_AJESS_137805</w:t>
            </w:r>
          </w:p>
        </w:tc>
      </w:tr>
      <w:tr w:rsidR="00702B9C" w:rsidRPr="00ED76E0">
        <w:trPr>
          <w:trHeight w:val="650"/>
        </w:trPr>
        <w:tc>
          <w:tcPr>
            <w:tcW w:w="5167" w:type="dxa"/>
          </w:tcPr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ROLE OF METACOGNITIVE AWARENESS IN ENHANCING PERSISTENCE IN SOLVING MATHEMATICAL PROBLEMS AMONG MATH MAJORS</w:t>
            </w:r>
          </w:p>
        </w:tc>
      </w:tr>
      <w:tr w:rsidR="00702B9C" w:rsidRPr="00ED76E0">
        <w:trPr>
          <w:trHeight w:val="332"/>
        </w:trPr>
        <w:tc>
          <w:tcPr>
            <w:tcW w:w="5167" w:type="dxa"/>
          </w:tcPr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2E74B5"/>
                <w:sz w:val="20"/>
                <w:szCs w:val="20"/>
              </w:rPr>
            </w:pPr>
            <w:r w:rsidRPr="00ED76E0">
              <w:rPr>
                <w:rFonts w:ascii="Arial" w:eastAsia="Arial" w:hAnsi="Arial" w:cs="Arial"/>
                <w:b/>
                <w:color w:val="2E74B5"/>
                <w:sz w:val="20"/>
                <w:szCs w:val="20"/>
              </w:rPr>
              <w:t>Research Article</w:t>
            </w:r>
          </w:p>
        </w:tc>
      </w:tr>
    </w:tbl>
    <w:p w:rsidR="00702B9C" w:rsidRPr="00ED76E0" w:rsidRDefault="00702B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heading=h.gr5yq9c77no1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501"/>
        <w:gridCol w:w="6298"/>
      </w:tblGrid>
      <w:tr w:rsidR="00702B9C" w:rsidRPr="00ED76E0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702B9C" w:rsidRPr="00ED76E0" w:rsidRDefault="004E46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ED76E0">
              <w:rPr>
                <w:rFonts w:ascii="Arial" w:hAnsi="Arial" w:cs="Arial"/>
              </w:rPr>
              <w:br w:type="page"/>
            </w:r>
            <w:r w:rsidRPr="00ED76E0">
              <w:rPr>
                <w:rFonts w:ascii="Arial" w:eastAsia="Times New Roman" w:hAnsi="Arial" w:cs="Arial"/>
                <w:highlight w:val="yellow"/>
              </w:rPr>
              <w:t>PART  1:</w:t>
            </w:r>
            <w:r w:rsidRPr="00ED76E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702B9C" w:rsidRPr="00ED76E0" w:rsidRDefault="00702B9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2B9C" w:rsidRPr="00ED76E0">
        <w:tc>
          <w:tcPr>
            <w:tcW w:w="5351" w:type="dxa"/>
          </w:tcPr>
          <w:p w:rsidR="00702B9C" w:rsidRPr="00ED76E0" w:rsidRDefault="00702B9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501" w:type="dxa"/>
          </w:tcPr>
          <w:p w:rsidR="00702B9C" w:rsidRPr="00ED76E0" w:rsidRDefault="004E46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ED76E0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comment</w:t>
            </w:r>
          </w:p>
          <w:p w:rsidR="00702B9C" w:rsidRPr="00ED76E0" w:rsidRDefault="004E46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702B9C" w:rsidRPr="00ED76E0" w:rsidRDefault="00702B9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8" w:type="dxa"/>
          </w:tcPr>
          <w:p w:rsidR="00702B9C" w:rsidRPr="00ED76E0" w:rsidRDefault="004E46EA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ED76E0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702B9C" w:rsidRPr="00ED76E0" w:rsidRDefault="00702B9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02B9C" w:rsidRPr="00ED76E0">
        <w:trPr>
          <w:trHeight w:val="1264"/>
        </w:trPr>
        <w:tc>
          <w:tcPr>
            <w:tcW w:w="5351" w:type="dxa"/>
          </w:tcPr>
          <w:p w:rsidR="00702B9C" w:rsidRPr="00ED76E0" w:rsidRDefault="004E46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702B9C" w:rsidRPr="00ED76E0" w:rsidRDefault="00702B9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1" w:type="dxa"/>
          </w:tcPr>
          <w:p w:rsidR="00702B9C" w:rsidRPr="00ED76E0" w:rsidRDefault="004E46EA">
            <w:pPr>
              <w:tabs>
                <w:tab w:val="left" w:pos="1845"/>
              </w:tabs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76E0">
              <w:rPr>
                <w:rFonts w:ascii="Arial" w:hAnsi="Arial" w:cs="Arial"/>
                <w:sz w:val="20"/>
                <w:szCs w:val="20"/>
              </w:rPr>
              <w:t>This study addresses a critical research gap by examining the relationship between metacogniti</w:t>
            </w:r>
            <w:r w:rsidRPr="00ED76E0">
              <w:rPr>
                <w:rFonts w:ascii="Arial" w:hAnsi="Arial" w:cs="Arial"/>
                <w:sz w:val="20"/>
                <w:szCs w:val="20"/>
              </w:rPr>
              <w:t xml:space="preserve">ve awareness and persistence in mathematical problem-solving among </w:t>
            </w:r>
            <w:proofErr w:type="spellStart"/>
            <w:r w:rsidRPr="00ED76E0">
              <w:rPr>
                <w:rFonts w:ascii="Arial" w:hAnsi="Arial" w:cs="Arial"/>
                <w:sz w:val="20"/>
                <w:szCs w:val="20"/>
              </w:rPr>
              <w:t>BSEd</w:t>
            </w:r>
            <w:proofErr w:type="spellEnd"/>
            <w:r w:rsidRPr="00ED76E0">
              <w:rPr>
                <w:rFonts w:ascii="Arial" w:hAnsi="Arial" w:cs="Arial"/>
                <w:sz w:val="20"/>
                <w:szCs w:val="20"/>
              </w:rPr>
              <w:t xml:space="preserve"> Mathematics majors in the Philippines—an underrepresented demographic and geographical context. Its robust findings demonstrate that metacognitive awareness accounts for a significant </w:t>
            </w:r>
            <w:r w:rsidRPr="00ED76E0">
              <w:rPr>
                <w:rFonts w:ascii="Arial" w:hAnsi="Arial" w:cs="Arial"/>
                <w:sz w:val="20"/>
                <w:szCs w:val="20"/>
              </w:rPr>
              <w:t>27.9% of the variance in persistence, providing compelling quantitative evidence of its impact. These results establish an empirical foundation for designing mathematics curricula that enhance students’ resilience in tackling complex mathematical challenge</w:t>
            </w:r>
            <w:r w:rsidRPr="00ED76E0">
              <w:rPr>
                <w:rFonts w:ascii="Arial" w:hAnsi="Arial" w:cs="Arial"/>
                <w:sz w:val="20"/>
                <w:szCs w:val="20"/>
              </w:rPr>
              <w:t>s through targeted metacognitive strategy training.</w:t>
            </w:r>
          </w:p>
        </w:tc>
        <w:tc>
          <w:tcPr>
            <w:tcW w:w="6298" w:type="dxa"/>
          </w:tcPr>
          <w:p w:rsidR="00702B9C" w:rsidRPr="00ED76E0" w:rsidRDefault="004E46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702B9C" w:rsidRPr="00ED76E0">
        <w:trPr>
          <w:trHeight w:val="1262"/>
        </w:trPr>
        <w:tc>
          <w:tcPr>
            <w:tcW w:w="5351" w:type="dxa"/>
          </w:tcPr>
          <w:p w:rsidR="00702B9C" w:rsidRPr="00ED76E0" w:rsidRDefault="004E46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702B9C" w:rsidRPr="00ED76E0" w:rsidRDefault="004E46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702B9C" w:rsidRPr="00ED76E0" w:rsidRDefault="00702B9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501" w:type="dxa"/>
          </w:tcPr>
          <w:p w:rsidR="00702B9C" w:rsidRPr="00ED76E0" w:rsidRDefault="004E46EA">
            <w:pPr>
              <w:ind w:left="0" w:hanging="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76E0">
              <w:rPr>
                <w:rFonts w:ascii="Arial" w:hAnsi="Arial" w:cs="Arial"/>
                <w:sz w:val="20"/>
                <w:szCs w:val="20"/>
              </w:rPr>
              <w:t>The original title is acceptable, but the optimal version balances specificity and brevity:  "Metacognitive A</w:t>
            </w:r>
            <w:r w:rsidRPr="00ED76E0">
              <w:rPr>
                <w:rFonts w:ascii="Arial" w:hAnsi="Arial" w:cs="Arial"/>
                <w:sz w:val="20"/>
                <w:szCs w:val="20"/>
              </w:rPr>
              <w:t>wareness and Persistence in Mathematical Problem-Solving: A Study of Philippine Mathematics Majors"</w:t>
            </w:r>
          </w:p>
        </w:tc>
        <w:tc>
          <w:tcPr>
            <w:tcW w:w="6298" w:type="dxa"/>
          </w:tcPr>
          <w:p w:rsidR="00702B9C" w:rsidRPr="00ED76E0" w:rsidRDefault="004E46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, but do I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really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need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to change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? Or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it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okay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to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retain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title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study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?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Since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my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research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location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only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in one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specific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school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whi</w:t>
            </w:r>
            <w:r w:rsidRPr="00ED76E0">
              <w:rPr>
                <w:rFonts w:ascii="Arial" w:eastAsia="Times New Roman" w:hAnsi="Arial" w:cs="Arial"/>
                <w:b w:val="0"/>
              </w:rPr>
              <w:t>ch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the Davao Central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College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? </w:t>
            </w:r>
          </w:p>
        </w:tc>
      </w:tr>
      <w:tr w:rsidR="00702B9C" w:rsidRPr="00ED76E0">
        <w:trPr>
          <w:trHeight w:val="1262"/>
        </w:trPr>
        <w:tc>
          <w:tcPr>
            <w:tcW w:w="5351" w:type="dxa"/>
          </w:tcPr>
          <w:p w:rsidR="00702B9C" w:rsidRPr="00ED76E0" w:rsidRDefault="004E46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ED76E0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r w:rsidRPr="00ED76E0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? Do </w:t>
            </w:r>
            <w:proofErr w:type="spellStart"/>
            <w:r w:rsidRPr="00ED76E0">
              <w:rPr>
                <w:rFonts w:ascii="Arial" w:eastAsia="Times New Roman" w:hAnsi="Arial" w:cs="Arial"/>
              </w:rPr>
              <w:t>you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</w:rPr>
              <w:t>suggest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ED76E0">
              <w:rPr>
                <w:rFonts w:ascii="Arial" w:eastAsia="Times New Roman" w:hAnsi="Arial" w:cs="Arial"/>
              </w:rPr>
              <w:t>deletion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ED76E0">
              <w:rPr>
                <w:rFonts w:ascii="Arial" w:eastAsia="Times New Roman" w:hAnsi="Arial" w:cs="Arial"/>
              </w:rPr>
              <w:t>some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ED76E0">
              <w:rPr>
                <w:rFonts w:ascii="Arial" w:eastAsia="Times New Roman" w:hAnsi="Arial" w:cs="Arial"/>
              </w:rPr>
              <w:t>this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section? </w:t>
            </w:r>
            <w:proofErr w:type="spellStart"/>
            <w:r w:rsidRPr="00ED76E0">
              <w:rPr>
                <w:rFonts w:ascii="Arial" w:eastAsia="Times New Roman" w:hAnsi="Arial" w:cs="Arial"/>
              </w:rPr>
              <w:t>Please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</w:rPr>
              <w:t>write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</w:rPr>
              <w:t>your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ED76E0">
              <w:rPr>
                <w:rFonts w:ascii="Arial" w:eastAsia="Times New Roman" w:hAnsi="Arial" w:cs="Arial"/>
              </w:rPr>
              <w:t>here</w:t>
            </w:r>
            <w:proofErr w:type="spellEnd"/>
            <w:r w:rsidRPr="00ED76E0">
              <w:rPr>
                <w:rFonts w:ascii="Arial" w:eastAsia="Times New Roman" w:hAnsi="Arial" w:cs="Arial"/>
              </w:rPr>
              <w:t>.</w:t>
            </w:r>
          </w:p>
          <w:p w:rsidR="00702B9C" w:rsidRPr="00ED76E0" w:rsidRDefault="00702B9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501" w:type="dxa"/>
          </w:tcPr>
          <w:p w:rsidR="00702B9C" w:rsidRPr="00ED76E0" w:rsidRDefault="004E46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sz w:val="20"/>
                <w:szCs w:val="20"/>
              </w:rPr>
              <w:t xml:space="preserve">Please notify that: </w:t>
            </w:r>
            <w:r w:rsidRPr="00ED76E0">
              <w:rPr>
                <w:rFonts w:ascii="Arial" w:hAnsi="Arial" w:cs="Arial"/>
                <w:sz w:val="20"/>
                <w:szCs w:val="20"/>
              </w:rPr>
              <w:t xml:space="preserve">This study investigated how metacognitive awareness contributes to the persistence of </w:t>
            </w:r>
            <w:r w:rsidRPr="00ED76E0">
              <w:rPr>
                <w:rFonts w:ascii="Arial" w:hAnsi="Arial" w:cs="Arial"/>
                <w:b/>
                <w:sz w:val="20"/>
                <w:szCs w:val="20"/>
              </w:rPr>
              <w:t>Philippine</w:t>
            </w:r>
            <w:r w:rsidRPr="00ED76E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D76E0">
              <w:rPr>
                <w:rFonts w:ascii="Arial" w:hAnsi="Arial" w:cs="Arial"/>
                <w:sz w:val="20"/>
                <w:szCs w:val="20"/>
              </w:rPr>
              <w:t>BSEd</w:t>
            </w:r>
            <w:proofErr w:type="spellEnd"/>
            <w:r w:rsidRPr="00ED76E0">
              <w:rPr>
                <w:rFonts w:ascii="Arial" w:hAnsi="Arial" w:cs="Arial"/>
                <w:sz w:val="20"/>
                <w:szCs w:val="20"/>
              </w:rPr>
              <w:t xml:space="preserve"> Mathematics majors in solving mathematical problems. Using a descriptive-correlational design, data were gathered from 100 math majors using the Metacogni</w:t>
            </w:r>
            <w:r w:rsidRPr="00ED76E0">
              <w:rPr>
                <w:rFonts w:ascii="Arial" w:hAnsi="Arial" w:cs="Arial"/>
                <w:sz w:val="20"/>
                <w:szCs w:val="20"/>
              </w:rPr>
              <w:t xml:space="preserve">tive Awareness Inventory (MAI) and the Persistence in Mathematical Problem-Solving Scale. Results revealed very high metacognitive awareness (M=4.31) and high persistence (M=4.06), </w:t>
            </w:r>
            <w:r w:rsidRPr="00ED76E0">
              <w:rPr>
                <w:rFonts w:ascii="Arial" w:hAnsi="Arial" w:cs="Arial"/>
                <w:b/>
                <w:sz w:val="20"/>
                <w:szCs w:val="20"/>
              </w:rPr>
              <w:t>peaking during examinations (M=4.29) but lowest in take-home assignments (M</w:t>
            </w:r>
            <w:r w:rsidRPr="00ED76E0">
              <w:rPr>
                <w:rFonts w:ascii="Arial" w:hAnsi="Arial" w:cs="Arial"/>
                <w:b/>
                <w:sz w:val="20"/>
                <w:szCs w:val="20"/>
              </w:rPr>
              <w:t>=3.88)</w:t>
            </w:r>
            <w:r w:rsidRPr="00ED76E0">
              <w:rPr>
                <w:rFonts w:ascii="Arial" w:hAnsi="Arial" w:cs="Arial"/>
                <w:sz w:val="20"/>
                <w:szCs w:val="20"/>
              </w:rPr>
              <w:t xml:space="preserve">. Pearson correlation showed a significant positive relationship (*r* = .528, *p* &lt; .001), and regression analysis indicated metacognitive awareness explained 27.90% of the variance in persistence, </w:t>
            </w:r>
            <w:r w:rsidRPr="00ED76E0">
              <w:rPr>
                <w:rFonts w:ascii="Arial" w:hAnsi="Arial" w:cs="Arial"/>
                <w:b/>
                <w:sz w:val="20"/>
                <w:szCs w:val="20"/>
              </w:rPr>
              <w:t>suggesting additional factors influence persistence</w:t>
            </w:r>
            <w:r w:rsidRPr="00ED76E0">
              <w:rPr>
                <w:rFonts w:ascii="Arial" w:hAnsi="Arial" w:cs="Arial"/>
                <w:sz w:val="20"/>
                <w:szCs w:val="20"/>
              </w:rPr>
              <w:t>.</w:t>
            </w:r>
            <w:r w:rsidRPr="00ED76E0">
              <w:rPr>
                <w:rFonts w:ascii="Arial" w:hAnsi="Arial" w:cs="Arial"/>
                <w:sz w:val="20"/>
                <w:szCs w:val="20"/>
              </w:rPr>
              <w:t xml:space="preserve"> The study concludes that students who plan, monitor, and regulate their thinking persist more effectively through challenges. It recommends </w:t>
            </w:r>
            <w:r w:rsidRPr="00ED76E0">
              <w:rPr>
                <w:rFonts w:ascii="Arial" w:hAnsi="Arial" w:cs="Arial"/>
                <w:b/>
                <w:sz w:val="20"/>
                <w:szCs w:val="20"/>
              </w:rPr>
              <w:t>integrating metacognitive strategy instruction into mathematics curricula</w:t>
            </w:r>
            <w:r w:rsidRPr="00ED76E0">
              <w:rPr>
                <w:rFonts w:ascii="Arial" w:hAnsi="Arial" w:cs="Arial"/>
                <w:sz w:val="20"/>
                <w:szCs w:val="20"/>
              </w:rPr>
              <w:t xml:space="preserve"> to strengthen effort and resilience.</w:t>
            </w:r>
            <w:r w:rsidRPr="00ED76E0">
              <w:rPr>
                <w:rFonts w:ascii="Arial" w:hAnsi="Arial" w:cs="Arial"/>
                <w:sz w:val="20"/>
                <w:szCs w:val="20"/>
              </w:rPr>
              <w:br/>
            </w:r>
            <w:r w:rsidRPr="00ED76E0">
              <w:rPr>
                <w:rFonts w:ascii="Arial" w:hAnsi="Arial" w:cs="Arial"/>
                <w:b/>
                <w:sz w:val="20"/>
                <w:szCs w:val="20"/>
              </w:rPr>
              <w:t>Keyw</w:t>
            </w:r>
            <w:r w:rsidRPr="00ED76E0">
              <w:rPr>
                <w:rFonts w:ascii="Arial" w:hAnsi="Arial" w:cs="Arial"/>
                <w:b/>
                <w:sz w:val="20"/>
                <w:szCs w:val="20"/>
              </w:rPr>
              <w:t>ords</w:t>
            </w:r>
            <w:r w:rsidRPr="00ED76E0">
              <w:rPr>
                <w:rFonts w:ascii="Arial" w:hAnsi="Arial" w:cs="Arial"/>
                <w:sz w:val="20"/>
                <w:szCs w:val="20"/>
              </w:rPr>
              <w:t>: metacognitive awareness, persistence, mathematical problem-solving, knowledge about cognition, regulation of cognition</w:t>
            </w:r>
          </w:p>
        </w:tc>
        <w:tc>
          <w:tcPr>
            <w:tcW w:w="6298" w:type="dxa"/>
          </w:tcPr>
          <w:p w:rsidR="00702B9C" w:rsidRPr="00ED76E0" w:rsidRDefault="004E46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so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much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. This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highly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702B9C" w:rsidRPr="00ED76E0">
        <w:trPr>
          <w:trHeight w:val="704"/>
        </w:trPr>
        <w:tc>
          <w:tcPr>
            <w:tcW w:w="5351" w:type="dxa"/>
          </w:tcPr>
          <w:p w:rsidR="00702B9C" w:rsidRPr="00ED76E0" w:rsidRDefault="004E46EA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ED76E0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ED76E0">
              <w:rPr>
                <w:rFonts w:ascii="Arial" w:eastAsia="Times New Roman" w:hAnsi="Arial" w:cs="Arial"/>
              </w:rPr>
              <w:t>manuscript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, correct? </w:t>
            </w:r>
            <w:proofErr w:type="spellStart"/>
            <w:r w:rsidRPr="00ED76E0">
              <w:rPr>
                <w:rFonts w:ascii="Arial" w:eastAsia="Times New Roman" w:hAnsi="Arial" w:cs="Arial"/>
              </w:rPr>
              <w:t>Please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</w:rPr>
              <w:t>write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</w:rPr>
              <w:t>here</w:t>
            </w:r>
            <w:proofErr w:type="spellEnd"/>
            <w:r w:rsidRPr="00ED76E0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501" w:type="dxa"/>
          </w:tcPr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hAnsi="Arial" w:cs="Arial"/>
                <w:color w:val="000000"/>
                <w:sz w:val="20"/>
                <w:szCs w:val="20"/>
              </w:rPr>
              <w:t>Yes, the manuscript is fund</w:t>
            </w:r>
            <w:r w:rsidRPr="00ED76E0">
              <w:rPr>
                <w:rFonts w:ascii="Arial" w:hAnsi="Arial" w:cs="Arial"/>
                <w:color w:val="000000"/>
                <w:sz w:val="20"/>
                <w:szCs w:val="20"/>
              </w:rPr>
              <w:t>amentally scientifically sound</w:t>
            </w:r>
          </w:p>
        </w:tc>
        <w:tc>
          <w:tcPr>
            <w:tcW w:w="6298" w:type="dxa"/>
          </w:tcPr>
          <w:p w:rsidR="00702B9C" w:rsidRPr="00ED76E0" w:rsidRDefault="004E46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. </w:t>
            </w:r>
          </w:p>
        </w:tc>
      </w:tr>
      <w:tr w:rsidR="00702B9C" w:rsidRPr="00ED76E0">
        <w:trPr>
          <w:trHeight w:val="703"/>
        </w:trPr>
        <w:tc>
          <w:tcPr>
            <w:tcW w:w="5351" w:type="dxa"/>
          </w:tcPr>
          <w:p w:rsidR="00702B9C" w:rsidRPr="00ED76E0" w:rsidRDefault="004E46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501" w:type="dxa"/>
          </w:tcPr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color w:val="000000"/>
                <w:sz w:val="20"/>
                <w:szCs w:val="20"/>
              </w:rPr>
              <w:t>The references are generally sufficient and recent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0"/>
                <w:id w:val="-1695912683"/>
              </w:sdtPr>
              <w:sdtEndPr/>
              <w:sdtContent>
                <w:r w:rsidRPr="00ED76E0">
                  <w:rPr>
                    <w:rFonts w:ascii="Arial" w:eastAsia="Gungsuh" w:hAnsi="Arial" w:cs="Arial"/>
                    <w:color w:val="000000"/>
                    <w:sz w:val="20"/>
                    <w:szCs w:val="20"/>
                  </w:rPr>
                  <w:t xml:space="preserve"> (15/21 sources ≤5 years old), including key 2023-2025 studies. However, adding 2-3 foundational/theoretical works would strengthen context:</w:t>
                </w:r>
              </w:sdtContent>
            </w:sdt>
          </w:p>
          <w:p w:rsidR="00702B9C" w:rsidRPr="00ED76E0" w:rsidRDefault="004E46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color w:val="000000"/>
                <w:sz w:val="20"/>
                <w:szCs w:val="20"/>
              </w:rPr>
              <w:t>Dweck (2006)</w:t>
            </w:r>
            <w:r w:rsidRPr="00ED76E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D76E0">
              <w:rPr>
                <w:rFonts w:ascii="Arial" w:hAnsi="Arial" w:cs="Arial"/>
                <w:i/>
                <w:color w:val="000000"/>
                <w:sz w:val="20"/>
                <w:szCs w:val="20"/>
              </w:rPr>
              <w:t>Mindset</w:t>
            </w:r>
            <w:r w:rsidRPr="00ED76E0">
              <w:rPr>
                <w:rFonts w:ascii="Arial" w:hAnsi="Arial" w:cs="Arial"/>
                <w:color w:val="000000"/>
                <w:sz w:val="20"/>
                <w:szCs w:val="20"/>
              </w:rPr>
              <w:t xml:space="preserve"> for persistence theory.</w:t>
            </w:r>
          </w:p>
          <w:p w:rsidR="00702B9C" w:rsidRPr="00ED76E0" w:rsidRDefault="004E46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ED76E0">
              <w:rPr>
                <w:rFonts w:ascii="Arial" w:hAnsi="Arial" w:cs="Arial"/>
                <w:b/>
                <w:color w:val="000000"/>
                <w:sz w:val="20"/>
                <w:szCs w:val="20"/>
              </w:rPr>
              <w:t>Pintrich</w:t>
            </w:r>
            <w:proofErr w:type="spellEnd"/>
            <w:r w:rsidRPr="00ED76E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(2002)</w:t>
            </w:r>
            <w:r w:rsidRPr="00ED76E0">
              <w:rPr>
                <w:rFonts w:ascii="Arial" w:hAnsi="Arial" w:cs="Arial"/>
                <w:color w:val="000000"/>
                <w:sz w:val="20"/>
                <w:szCs w:val="20"/>
              </w:rPr>
              <w:t xml:space="preserve"> on metacognition-motivation links.</w:t>
            </w:r>
          </w:p>
          <w:p w:rsidR="00702B9C" w:rsidRPr="00ED76E0" w:rsidRDefault="004E46E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color w:val="000000"/>
                <w:sz w:val="20"/>
                <w:szCs w:val="20"/>
              </w:rPr>
              <w:t>Schoenfeld (2016)</w:t>
            </w:r>
            <w:r w:rsidRPr="00ED76E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D76E0">
              <w:rPr>
                <w:rFonts w:ascii="Arial" w:hAnsi="Arial" w:cs="Arial"/>
                <w:i/>
                <w:color w:val="000000"/>
                <w:sz w:val="20"/>
                <w:szCs w:val="20"/>
              </w:rPr>
              <w:t>Mathematical Practices</w:t>
            </w:r>
            <w:r w:rsidRPr="00ED76E0">
              <w:rPr>
                <w:rFonts w:ascii="Arial" w:hAnsi="Arial" w:cs="Arial"/>
                <w:color w:val="000000"/>
                <w:sz w:val="20"/>
                <w:szCs w:val="20"/>
              </w:rPr>
              <w:t xml:space="preserve"> for problem-solving frameworks.</w:t>
            </w:r>
          </w:p>
          <w:p w:rsidR="00702B9C" w:rsidRPr="00ED76E0" w:rsidRDefault="00702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98" w:type="dxa"/>
          </w:tcPr>
          <w:p w:rsidR="00702B9C" w:rsidRPr="00ED76E0" w:rsidRDefault="004E46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ED76E0">
              <w:rPr>
                <w:rFonts w:ascii="Arial" w:eastAsia="Times New Roman" w:hAnsi="Arial" w:cs="Arial"/>
                <w:b w:val="0"/>
              </w:rPr>
              <w:t xml:space="preserve">This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.  I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will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add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on the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theoretical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framework</w:t>
            </w:r>
            <w:proofErr w:type="spellEnd"/>
            <w:r w:rsidRPr="00ED76E0">
              <w:rPr>
                <w:rFonts w:ascii="Arial" w:eastAsia="Times New Roman" w:hAnsi="Arial" w:cs="Arial"/>
                <w:b w:val="0"/>
              </w:rPr>
              <w:t xml:space="preserve">. </w:t>
            </w:r>
          </w:p>
        </w:tc>
      </w:tr>
      <w:tr w:rsidR="00702B9C" w:rsidRPr="00ED76E0">
        <w:trPr>
          <w:trHeight w:val="386"/>
        </w:trPr>
        <w:tc>
          <w:tcPr>
            <w:tcW w:w="5351" w:type="dxa"/>
          </w:tcPr>
          <w:p w:rsidR="00702B9C" w:rsidRPr="00ED76E0" w:rsidRDefault="004E46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ED76E0">
              <w:rPr>
                <w:rFonts w:ascii="Arial" w:eastAsia="Times New Roman" w:hAnsi="Arial" w:cs="Arial"/>
              </w:rPr>
              <w:lastRenderedPageBreak/>
              <w:t xml:space="preserve">Is the </w:t>
            </w:r>
            <w:proofErr w:type="spellStart"/>
            <w:r w:rsidRPr="00ED76E0">
              <w:rPr>
                <w:rFonts w:ascii="Arial" w:eastAsia="Times New Roman" w:hAnsi="Arial" w:cs="Arial"/>
              </w:rPr>
              <w:t>language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ED76E0">
              <w:rPr>
                <w:rFonts w:ascii="Arial" w:eastAsia="Times New Roman" w:hAnsi="Arial" w:cs="Arial"/>
              </w:rPr>
              <w:t>quality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ED76E0">
              <w:rPr>
                <w:rFonts w:ascii="Arial" w:eastAsia="Times New Roman" w:hAnsi="Arial" w:cs="Arial"/>
              </w:rPr>
              <w:t>suitable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ED76E0">
              <w:rPr>
                <w:rFonts w:ascii="Arial" w:eastAsia="Times New Roman" w:hAnsi="Arial" w:cs="Arial"/>
              </w:rPr>
              <w:t>scholarly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communications?</w:t>
            </w:r>
          </w:p>
          <w:p w:rsidR="00702B9C" w:rsidRPr="00ED76E0" w:rsidRDefault="00702B9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1" w:type="dxa"/>
          </w:tcPr>
          <w:p w:rsidR="00702B9C" w:rsidRPr="00ED76E0" w:rsidRDefault="004E46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ED76E0">
              <w:rPr>
                <w:rFonts w:ascii="Arial" w:hAnsi="Arial" w:cs="Arial"/>
                <w:sz w:val="20"/>
                <w:szCs w:val="20"/>
              </w:rPr>
              <w:t>Yes, the manuscript's language meets scholarly standards</w:t>
            </w:r>
          </w:p>
        </w:tc>
        <w:tc>
          <w:tcPr>
            <w:tcW w:w="6298" w:type="dxa"/>
          </w:tcPr>
          <w:p w:rsidR="00702B9C" w:rsidRPr="00ED76E0" w:rsidRDefault="004E46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ED76E0">
              <w:rPr>
                <w:rFonts w:ascii="Arial" w:hAnsi="Arial" w:cs="Arial"/>
                <w:sz w:val="20"/>
                <w:szCs w:val="20"/>
              </w:rPr>
              <w:t xml:space="preserve">Thank you. </w:t>
            </w:r>
          </w:p>
        </w:tc>
      </w:tr>
      <w:tr w:rsidR="00702B9C" w:rsidRPr="00ED76E0">
        <w:trPr>
          <w:trHeight w:val="1178"/>
        </w:trPr>
        <w:tc>
          <w:tcPr>
            <w:tcW w:w="5351" w:type="dxa"/>
          </w:tcPr>
          <w:p w:rsidR="00702B9C" w:rsidRPr="00ED76E0" w:rsidRDefault="004E46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ED76E0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ED76E0">
              <w:rPr>
                <w:rFonts w:ascii="Arial" w:eastAsia="Times New Roman" w:hAnsi="Arial" w:cs="Arial"/>
                <w:u w:val="single"/>
              </w:rPr>
              <w:t>/General</w:t>
            </w:r>
            <w:r w:rsidRPr="00ED76E0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ED76E0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702B9C" w:rsidRPr="00ED76E0" w:rsidRDefault="00702B9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501" w:type="dxa"/>
          </w:tcPr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color w:val="000000"/>
                <w:sz w:val="20"/>
                <w:szCs w:val="20"/>
              </w:rPr>
              <w:t>This manuscript presents a well-structured investigation with strong methodological rigor and contextual relevance, aligning with our policy of publishing technically sound research. We recommend provisional acceptance pending minor revisions:</w:t>
            </w:r>
          </w:p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80"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color w:val="000000"/>
                <w:sz w:val="20"/>
                <w:szCs w:val="20"/>
              </w:rPr>
              <w:t>1. Abstract:</w:t>
            </w:r>
            <w:r w:rsidRPr="00ED76E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Add geographical specificity (Philippine context) and key sub-finding (lower persistence in take-home assignments).</w:t>
            </w:r>
          </w:p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color w:val="000000"/>
                <w:sz w:val="20"/>
                <w:szCs w:val="20"/>
              </w:rPr>
              <w:t>2. References: Incorporate 2-3 foundational works (e.g., Dweck, 2006; Schoenfeld, 2016) to strengthen theoretical grounding.</w:t>
            </w:r>
          </w:p>
        </w:tc>
        <w:tc>
          <w:tcPr>
            <w:tcW w:w="6298" w:type="dxa"/>
          </w:tcPr>
          <w:p w:rsidR="00702B9C" w:rsidRPr="00ED76E0" w:rsidRDefault="004E46E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ED76E0">
              <w:rPr>
                <w:rFonts w:ascii="Arial" w:hAnsi="Arial" w:cs="Arial"/>
                <w:sz w:val="20"/>
                <w:szCs w:val="20"/>
              </w:rPr>
              <w:t>This is noted.</w:t>
            </w:r>
            <w:r w:rsidRPr="00ED76E0">
              <w:rPr>
                <w:rFonts w:ascii="Arial" w:hAnsi="Arial" w:cs="Arial"/>
                <w:sz w:val="20"/>
                <w:szCs w:val="20"/>
              </w:rPr>
              <w:t xml:space="preserve"> Thank you</w:t>
            </w:r>
          </w:p>
        </w:tc>
      </w:tr>
    </w:tbl>
    <w:p w:rsidR="00702B9C" w:rsidRPr="00ED76E0" w:rsidRDefault="00702B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702B9C" w:rsidRPr="00ED76E0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D76E0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ED76E0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702B9C" w:rsidRPr="00ED76E0" w:rsidRDefault="00702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702B9C" w:rsidRPr="00ED76E0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B9C" w:rsidRPr="00ED76E0" w:rsidRDefault="00702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2B9C" w:rsidRPr="00ED76E0" w:rsidRDefault="004E46E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ED76E0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ED76E0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702B9C" w:rsidRPr="00ED76E0" w:rsidRDefault="004E46EA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ED76E0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702B9C" w:rsidRPr="00ED76E0" w:rsidRDefault="00702B9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702B9C" w:rsidRPr="00ED76E0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76E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702B9C" w:rsidRPr="00ED76E0" w:rsidRDefault="00702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2B9C" w:rsidRPr="00ED76E0" w:rsidRDefault="004E4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D76E0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(If yes, Kindly please write down the ethical issues here in detail)</w:t>
            </w:r>
          </w:p>
        </w:tc>
        <w:tc>
          <w:tcPr>
            <w:tcW w:w="5677" w:type="dxa"/>
            <w:vAlign w:val="center"/>
          </w:tcPr>
          <w:p w:rsidR="00702B9C" w:rsidRPr="00ED76E0" w:rsidRDefault="00702B9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702B9C" w:rsidRPr="00ED76E0" w:rsidRDefault="00702B9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702B9C" w:rsidRPr="00ED76E0" w:rsidRDefault="00702B9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702B9C" w:rsidRPr="00ED76E0" w:rsidRDefault="00702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02B9C" w:rsidRPr="00ED76E0" w:rsidRDefault="00702B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1" w:name="_GoBack"/>
      <w:bookmarkEnd w:id="1"/>
    </w:p>
    <w:sectPr w:rsidR="00702B9C" w:rsidRPr="00ED76E0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6EA" w:rsidRDefault="004E46EA">
      <w:pPr>
        <w:spacing w:line="240" w:lineRule="auto"/>
        <w:ind w:left="0" w:hanging="2"/>
      </w:pPr>
      <w:r>
        <w:separator/>
      </w:r>
    </w:p>
  </w:endnote>
  <w:endnote w:type="continuationSeparator" w:id="0">
    <w:p w:rsidR="004E46EA" w:rsidRDefault="004E46E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B9C" w:rsidRDefault="004E46E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6EA" w:rsidRDefault="004E46EA">
      <w:pPr>
        <w:spacing w:line="240" w:lineRule="auto"/>
        <w:ind w:left="0" w:hanging="2"/>
      </w:pPr>
      <w:r>
        <w:separator/>
      </w:r>
    </w:p>
  </w:footnote>
  <w:footnote w:type="continuationSeparator" w:id="0">
    <w:p w:rsidR="004E46EA" w:rsidRDefault="004E46E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B9C" w:rsidRDefault="00702B9C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702B9C" w:rsidRDefault="004E46EA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9F58F7"/>
    <w:multiLevelType w:val="multilevel"/>
    <w:tmpl w:val="A08C946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B9C"/>
    <w:rsid w:val="004E46EA"/>
    <w:rsid w:val="00702B9C"/>
    <w:rsid w:val="00ED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D5940C-DD78-4BA4-A943-4D5115A66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Pj7VKzmSA5EAy2FORbKrk6L/6A==">CgMxLjAaJQoBMBIgCh4IB0IaCg9UaW1lcyBOZXcgUm9tYW4SB0d1bmdzdWgyDmguZ3I1eXE5Yzc3bm8xOAByITFDRFhvOUJEVzc5a1QyMWotNk1VcmpqNUVhM1VHLTZiSQ==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2025-06-04T08:19:00Z</dcterms:modified>
</cp:coreProperties>
</file>