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F31D0" w14:paraId="546F088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BB9DD63" w14:textId="77777777" w:rsidR="00602F7D" w:rsidRPr="002F31D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F31D0" w14:paraId="0B633C19" w14:textId="77777777" w:rsidTr="002643B3">
        <w:trPr>
          <w:trHeight w:val="290"/>
        </w:trPr>
        <w:tc>
          <w:tcPr>
            <w:tcW w:w="1234" w:type="pct"/>
          </w:tcPr>
          <w:p w14:paraId="42A76D6D" w14:textId="77777777" w:rsidR="0000007A" w:rsidRPr="002F31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B987" w14:textId="77777777" w:rsidR="0000007A" w:rsidRPr="002F31D0" w:rsidRDefault="0026368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C191B" w:rsidRPr="002F31D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Medicine and Health</w:t>
              </w:r>
            </w:hyperlink>
            <w:r w:rsidR="009C191B" w:rsidRPr="002F31D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F31D0" w14:paraId="3F4297C8" w14:textId="77777777" w:rsidTr="002643B3">
        <w:trPr>
          <w:trHeight w:val="290"/>
        </w:trPr>
        <w:tc>
          <w:tcPr>
            <w:tcW w:w="1234" w:type="pct"/>
          </w:tcPr>
          <w:p w14:paraId="79054C91" w14:textId="77777777" w:rsidR="0000007A" w:rsidRPr="002F31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74D70" w14:textId="77777777" w:rsidR="0000007A" w:rsidRPr="002F31D0" w:rsidRDefault="00A52EA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Ms_AJCRMH_137904</w:t>
            </w:r>
          </w:p>
        </w:tc>
      </w:tr>
      <w:tr w:rsidR="0000007A" w:rsidRPr="002F31D0" w14:paraId="7B59132C" w14:textId="77777777" w:rsidTr="002643B3">
        <w:trPr>
          <w:trHeight w:val="650"/>
        </w:trPr>
        <w:tc>
          <w:tcPr>
            <w:tcW w:w="1234" w:type="pct"/>
          </w:tcPr>
          <w:p w14:paraId="78C5A22E" w14:textId="77777777" w:rsidR="0000007A" w:rsidRPr="002F31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BA656" w14:textId="77777777" w:rsidR="0000007A" w:rsidRPr="002F31D0" w:rsidRDefault="005F505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sz w:val="20"/>
                <w:szCs w:val="20"/>
                <w:lang w:val="en-GB"/>
              </w:rPr>
              <w:t>FOURNIER’S GANGRENE: A CASE REPORT</w:t>
            </w:r>
          </w:p>
        </w:tc>
      </w:tr>
      <w:tr w:rsidR="00CF0BBB" w:rsidRPr="002F31D0" w14:paraId="5213B0E9" w14:textId="77777777" w:rsidTr="002643B3">
        <w:trPr>
          <w:trHeight w:val="332"/>
        </w:trPr>
        <w:tc>
          <w:tcPr>
            <w:tcW w:w="1234" w:type="pct"/>
          </w:tcPr>
          <w:p w14:paraId="23416856" w14:textId="77777777" w:rsidR="00CF0BBB" w:rsidRPr="002F31D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6D8E" w14:textId="77777777" w:rsidR="00CF0BBB" w:rsidRPr="002F31D0" w:rsidRDefault="006B135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4EE266CC" w14:textId="77777777" w:rsidR="00DA55CE" w:rsidRPr="002F31D0" w:rsidRDefault="00DA55CE" w:rsidP="00DA55C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A55CE" w:rsidRPr="002F31D0" w14:paraId="1E8DFAA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E8E7946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31D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F31D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ACF521E" w14:textId="77777777" w:rsidR="00DA55CE" w:rsidRPr="002F31D0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2F31D0" w14:paraId="7E0EF80C" w14:textId="77777777">
        <w:tc>
          <w:tcPr>
            <w:tcW w:w="1265" w:type="pct"/>
            <w:noWrap/>
          </w:tcPr>
          <w:p w14:paraId="47D5A385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9EF10C3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31D0">
              <w:rPr>
                <w:rFonts w:ascii="Arial" w:hAnsi="Arial" w:cs="Arial"/>
                <w:lang w:val="en-GB"/>
              </w:rPr>
              <w:t>Reviewer’s comment</w:t>
            </w:r>
          </w:p>
          <w:p w14:paraId="1362F4D1" w14:textId="77777777" w:rsidR="004703D4" w:rsidRPr="002F31D0" w:rsidRDefault="004703D4" w:rsidP="004703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6569F96" w14:textId="77777777" w:rsidR="004703D4" w:rsidRPr="002F31D0" w:rsidRDefault="004703D4" w:rsidP="004703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4351708" w14:textId="77777777" w:rsidR="00E37766" w:rsidRPr="002F31D0" w:rsidRDefault="00E37766" w:rsidP="00E37766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F31D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F31D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C16A12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DA55CE" w:rsidRPr="002F31D0" w14:paraId="3FBF9EB0" w14:textId="77777777">
        <w:trPr>
          <w:trHeight w:val="1264"/>
        </w:trPr>
        <w:tc>
          <w:tcPr>
            <w:tcW w:w="1265" w:type="pct"/>
            <w:noWrap/>
          </w:tcPr>
          <w:p w14:paraId="1F4ED774" w14:textId="77777777" w:rsidR="00DA55CE" w:rsidRPr="002F31D0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EAC309E" w14:textId="77777777" w:rsidR="00DA55CE" w:rsidRPr="002F31D0" w:rsidRDefault="00DA55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ED1EF13" w14:textId="77777777" w:rsidR="00DA55CE" w:rsidRPr="002F31D0" w:rsidRDefault="002F1D1A" w:rsidP="005A706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Fournier’s gangrene is one of the serious </w:t>
            </w:r>
            <w:proofErr w:type="gramStart"/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condition</w:t>
            </w:r>
            <w:proofErr w:type="gramEnd"/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which requires immediate attention. </w:t>
            </w:r>
            <w:r w:rsidR="005A7066"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Revisiting </w:t>
            </w: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</w:t>
            </w:r>
            <w:r w:rsidR="00D734BC"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articles related to it is very essential for keeping us updated about the new treatment regimens.</w:t>
            </w: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734BC"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also provide a multi-disciplinary approach towards diagnosing and treating the condition.</w:t>
            </w:r>
          </w:p>
        </w:tc>
        <w:tc>
          <w:tcPr>
            <w:tcW w:w="1523" w:type="pct"/>
          </w:tcPr>
          <w:p w14:paraId="76CD5EED" w14:textId="42BCDB0C" w:rsidR="00DA55CE" w:rsidRPr="002F31D0" w:rsidRDefault="00636D14" w:rsidP="00636D14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F31D0">
              <w:rPr>
                <w:rFonts w:ascii="Arial" w:hAnsi="Arial" w:cs="Arial"/>
                <w:b w:val="0"/>
                <w:lang w:val="en-GB"/>
              </w:rPr>
              <w:t xml:space="preserve">Done and improvised </w:t>
            </w:r>
          </w:p>
        </w:tc>
      </w:tr>
      <w:tr w:rsidR="00DA55CE" w:rsidRPr="002F31D0" w14:paraId="7059E1E6" w14:textId="77777777">
        <w:trPr>
          <w:trHeight w:val="1262"/>
        </w:trPr>
        <w:tc>
          <w:tcPr>
            <w:tcW w:w="1265" w:type="pct"/>
            <w:noWrap/>
          </w:tcPr>
          <w:p w14:paraId="353791B1" w14:textId="77777777" w:rsidR="00DA55CE" w:rsidRPr="002F31D0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FDCFF48" w14:textId="77777777" w:rsidR="00DA55CE" w:rsidRPr="002F31D0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C3A27AD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E10EC5D" w14:textId="77777777" w:rsidR="00DA55CE" w:rsidRPr="002F31D0" w:rsidRDefault="00D734B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48A7CB" w14:textId="3CAA31BC" w:rsidR="00DA55CE" w:rsidRPr="002F31D0" w:rsidRDefault="00636D14" w:rsidP="00636D14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F31D0">
              <w:rPr>
                <w:rFonts w:ascii="Arial" w:hAnsi="Arial" w:cs="Arial"/>
                <w:b w:val="0"/>
                <w:lang w:val="en-GB"/>
              </w:rPr>
              <w:t>Improvised</w:t>
            </w:r>
          </w:p>
        </w:tc>
      </w:tr>
      <w:tr w:rsidR="00DA55CE" w:rsidRPr="002F31D0" w14:paraId="1AF69E36" w14:textId="77777777">
        <w:trPr>
          <w:trHeight w:val="1262"/>
        </w:trPr>
        <w:tc>
          <w:tcPr>
            <w:tcW w:w="1265" w:type="pct"/>
            <w:noWrap/>
          </w:tcPr>
          <w:p w14:paraId="433C1583" w14:textId="77777777" w:rsidR="00DA55CE" w:rsidRPr="002F31D0" w:rsidRDefault="00DA55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F31D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3121E13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918B6CA" w14:textId="77777777" w:rsidR="00DA55CE" w:rsidRPr="002F31D0" w:rsidRDefault="004915DB" w:rsidP="004915D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sz w:val="20"/>
                <w:szCs w:val="20"/>
                <w:lang w:eastAsia="en-IN"/>
              </w:rPr>
              <w:t>The most important elements in lowering mortality and enhancing patient outcomes continue to be prompt diagnosis and vigorous therapy. – Deletion/ Rephrase</w:t>
            </w:r>
          </w:p>
        </w:tc>
        <w:tc>
          <w:tcPr>
            <w:tcW w:w="1523" w:type="pct"/>
          </w:tcPr>
          <w:p w14:paraId="64292ED5" w14:textId="6BF14B45" w:rsidR="00DA55CE" w:rsidRPr="002F31D0" w:rsidRDefault="00636D14" w:rsidP="00636D14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F31D0">
              <w:rPr>
                <w:rFonts w:ascii="Arial" w:hAnsi="Arial" w:cs="Arial"/>
                <w:b w:val="0"/>
                <w:lang w:val="en-GB"/>
              </w:rPr>
              <w:t xml:space="preserve">Deleted </w:t>
            </w:r>
          </w:p>
        </w:tc>
      </w:tr>
      <w:tr w:rsidR="00DA55CE" w:rsidRPr="002F31D0" w14:paraId="298B67BE" w14:textId="77777777">
        <w:trPr>
          <w:trHeight w:val="704"/>
        </w:trPr>
        <w:tc>
          <w:tcPr>
            <w:tcW w:w="1265" w:type="pct"/>
            <w:noWrap/>
          </w:tcPr>
          <w:p w14:paraId="022048A0" w14:textId="77777777" w:rsidR="00DA55CE" w:rsidRPr="002F31D0" w:rsidRDefault="00DA55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F31D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B8ECEC9" w14:textId="77777777" w:rsidR="00DA55CE" w:rsidRPr="002F31D0" w:rsidRDefault="004915DB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AF4FBD" w14:textId="286F7958" w:rsidR="00DA55CE" w:rsidRPr="002F31D0" w:rsidRDefault="00636D14" w:rsidP="00636D14">
            <w:pPr>
              <w:pStyle w:val="Heading2"/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F31D0">
              <w:rPr>
                <w:rFonts w:ascii="Arial" w:hAnsi="Arial" w:cs="Arial"/>
                <w:b w:val="0"/>
                <w:lang w:val="en-GB"/>
              </w:rPr>
              <w:t>Yes</w:t>
            </w:r>
          </w:p>
          <w:p w14:paraId="209FB264" w14:textId="40B77FD1" w:rsidR="00636D14" w:rsidRPr="002F31D0" w:rsidRDefault="00636D14" w:rsidP="00636D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2F31D0" w14:paraId="5DD6FC82" w14:textId="77777777">
        <w:trPr>
          <w:trHeight w:val="703"/>
        </w:trPr>
        <w:tc>
          <w:tcPr>
            <w:tcW w:w="1265" w:type="pct"/>
            <w:noWrap/>
          </w:tcPr>
          <w:p w14:paraId="6417AD74" w14:textId="77777777" w:rsidR="00DA55CE" w:rsidRPr="002F31D0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B661547" w14:textId="77777777" w:rsidR="00DA55CE" w:rsidRPr="002F31D0" w:rsidRDefault="004915D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523" w:type="pct"/>
          </w:tcPr>
          <w:p w14:paraId="33084C72" w14:textId="77777777" w:rsidR="00DA55CE" w:rsidRPr="002F31D0" w:rsidRDefault="00636D1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31D0">
              <w:rPr>
                <w:rFonts w:ascii="Arial" w:hAnsi="Arial" w:cs="Arial"/>
                <w:b w:val="0"/>
                <w:lang w:val="en-GB"/>
              </w:rPr>
              <w:t>Added few references as per the comments.</w:t>
            </w:r>
          </w:p>
          <w:p w14:paraId="606983FC" w14:textId="77777777" w:rsidR="00636D14" w:rsidRPr="002F31D0" w:rsidRDefault="00636D14" w:rsidP="00636D14">
            <w:pPr>
              <w:pStyle w:val="NormalWeb"/>
              <w:numPr>
                <w:ilvl w:val="0"/>
                <w:numId w:val="13"/>
              </w:numPr>
              <w:spacing w:before="0" w:beforeAutospacing="0"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Laor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E., Palmer, L. S.,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Tolia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B. M., Reid, R. E., &amp; Winter, H. I. (1995). Outcome prediction in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Npatients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with Fournier's gangrene.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Journal of urology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154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89-92.</w:t>
            </w:r>
          </w:p>
          <w:p w14:paraId="183ED6CA" w14:textId="77777777" w:rsidR="00636D14" w:rsidRPr="002F31D0" w:rsidRDefault="00636D14" w:rsidP="00636D14">
            <w:pPr>
              <w:pStyle w:val="NormalWeb"/>
              <w:numPr>
                <w:ilvl w:val="0"/>
                <w:numId w:val="13"/>
              </w:numPr>
              <w:spacing w:before="0" w:beforeAutospacing="0"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Auerbach, J., Bornstein, K.,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Ramzy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M., Cabrera, J.,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Montrief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T., &amp; Long, B. (2020). Fournier gangrene in the emergency department: diagnostic dilemmas, treatments and current perspectives.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Open access emergency medicine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353-364.</w:t>
            </w:r>
          </w:p>
          <w:p w14:paraId="3DC2AFD1" w14:textId="5B8A8381" w:rsidR="00636D14" w:rsidRPr="002F31D0" w:rsidRDefault="00636D14" w:rsidP="00636D14">
            <w:pPr>
              <w:pStyle w:val="NormalWeb"/>
              <w:numPr>
                <w:ilvl w:val="0"/>
                <w:numId w:val="13"/>
              </w:numPr>
              <w:spacing w:before="0" w:beforeAutospacing="0"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Doluoğlu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Ö. G.,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Karagöz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M. A.,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Kılınç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M. F.,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Karakan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T.,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Yücetürk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C. N.,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Sarıcı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H., ... &amp; </w:t>
            </w:r>
            <w:proofErr w:type="spellStart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Eroğlu</w:t>
            </w:r>
            <w:proofErr w:type="spellEnd"/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M. (2016). Overview of different scoring systems in Fournier’s gangrene and assessment of prognostic factors.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Turkish journal of urology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42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190.</w:t>
            </w:r>
          </w:p>
          <w:p w14:paraId="6BE3E0AD" w14:textId="38C2ED23" w:rsidR="0025200D" w:rsidRPr="002F31D0" w:rsidRDefault="0025200D" w:rsidP="00636D14">
            <w:pPr>
              <w:pStyle w:val="NormalWeb"/>
              <w:numPr>
                <w:ilvl w:val="0"/>
                <w:numId w:val="13"/>
              </w:numPr>
              <w:spacing w:before="0" w:beforeAutospacing="0"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Eke, N. (2000). Fournier's gangrene: a review of 1726 cases.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British journal of Surgery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2F31D0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87</w:t>
            </w:r>
            <w:r w:rsidRPr="002F31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718-728.</w:t>
            </w:r>
          </w:p>
          <w:p w14:paraId="164B3257" w14:textId="4E5B1B9B" w:rsidR="00636D14" w:rsidRPr="002F31D0" w:rsidRDefault="00636D14" w:rsidP="00636D14">
            <w:pPr>
              <w:pStyle w:val="NormalWeb"/>
              <w:spacing w:before="0" w:beforeAutospacing="0" w:after="240"/>
              <w:ind w:left="78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55CE" w:rsidRPr="002F31D0" w14:paraId="56880EB0" w14:textId="77777777">
        <w:trPr>
          <w:trHeight w:val="386"/>
        </w:trPr>
        <w:tc>
          <w:tcPr>
            <w:tcW w:w="1265" w:type="pct"/>
            <w:noWrap/>
          </w:tcPr>
          <w:p w14:paraId="1BA1FD51" w14:textId="77777777" w:rsidR="00DA55CE" w:rsidRPr="002F31D0" w:rsidRDefault="00DA55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F31D0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307FCA18" w14:textId="77777777" w:rsidR="00DA55CE" w:rsidRPr="002F31D0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178C101" w14:textId="77777777" w:rsidR="00DA55CE" w:rsidRPr="002F31D0" w:rsidRDefault="004915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E77B54D" w14:textId="535ED609" w:rsidR="00DA55CE" w:rsidRPr="002F31D0" w:rsidRDefault="0025200D" w:rsidP="0025200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14:paraId="00910561" w14:textId="3F21CB0E" w:rsidR="0025200D" w:rsidRPr="002F31D0" w:rsidRDefault="0025200D" w:rsidP="0025200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2F31D0" w14:paraId="5292603B" w14:textId="77777777">
        <w:trPr>
          <w:trHeight w:val="1178"/>
        </w:trPr>
        <w:tc>
          <w:tcPr>
            <w:tcW w:w="1265" w:type="pct"/>
            <w:noWrap/>
          </w:tcPr>
          <w:p w14:paraId="3CA85579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F31D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F31D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F31D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0E3D89A" w14:textId="77777777" w:rsidR="00DA55CE" w:rsidRPr="002F31D0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FF95706" w14:textId="77777777" w:rsidR="00DA55CE" w:rsidRPr="002F31D0" w:rsidRDefault="00DA55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EB4E8A" w14:textId="5653B292" w:rsidR="00DA55CE" w:rsidRPr="002F31D0" w:rsidRDefault="0025200D" w:rsidP="0025200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31D0">
              <w:rPr>
                <w:rFonts w:ascii="Arial" w:hAnsi="Arial" w:cs="Arial"/>
                <w:sz w:val="20"/>
                <w:szCs w:val="20"/>
                <w:lang w:val="en-GB"/>
              </w:rPr>
              <w:t>Nil</w:t>
            </w:r>
          </w:p>
          <w:p w14:paraId="7B8C5B2A" w14:textId="44DABF57" w:rsidR="0025200D" w:rsidRPr="002F31D0" w:rsidRDefault="0025200D" w:rsidP="0025200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2C95F9" w14:textId="77777777" w:rsidR="00DA55CE" w:rsidRPr="002F31D0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06826227" w14:textId="77777777" w:rsidR="00DA55CE" w:rsidRPr="002F31D0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D13E4" w:rsidRPr="002F31D0" w14:paraId="4F1BA1ED" w14:textId="77777777" w:rsidTr="003D13E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C2CD6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2F31D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31D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50F033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D13E4" w:rsidRPr="002F31D0" w14:paraId="578CB40E" w14:textId="77777777" w:rsidTr="003D13E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F349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530D4" w14:textId="77777777" w:rsidR="003D13E4" w:rsidRPr="002F31D0" w:rsidRDefault="003D13E4" w:rsidP="003D13E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11D9" w14:textId="77777777" w:rsidR="003D13E4" w:rsidRPr="002F31D0" w:rsidRDefault="003D13E4" w:rsidP="003D13E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31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31D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31D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D13E4" w:rsidRPr="002F31D0" w14:paraId="6DD82BE7" w14:textId="77777777" w:rsidTr="003D13E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47173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31D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5E125FE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333F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31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31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31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669FE03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4271D0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FF4C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92CC11" w14:textId="71B7ACA7" w:rsidR="003D13E4" w:rsidRPr="002F31D0" w:rsidRDefault="0025200D" w:rsidP="0025200D">
            <w:pPr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F31D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41AB90A0" w14:textId="77777777" w:rsidR="003D13E4" w:rsidRPr="002F31D0" w:rsidRDefault="003D13E4" w:rsidP="003D13E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9193EB2" w14:textId="77777777" w:rsidR="003D13E4" w:rsidRPr="002F31D0" w:rsidRDefault="003D13E4" w:rsidP="003D13E4">
      <w:pPr>
        <w:rPr>
          <w:rFonts w:ascii="Arial" w:hAnsi="Arial" w:cs="Arial"/>
          <w:sz w:val="20"/>
          <w:szCs w:val="20"/>
        </w:rPr>
      </w:pPr>
    </w:p>
    <w:bookmarkEnd w:id="4"/>
    <w:p w14:paraId="7886FD37" w14:textId="77777777" w:rsidR="003D13E4" w:rsidRPr="002F31D0" w:rsidRDefault="003D13E4" w:rsidP="003D13E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DAD1CEA" w14:textId="77777777" w:rsidR="00DA55CE" w:rsidRPr="002F31D0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A55CE" w:rsidRPr="002F31D0" w:rsidSect="00C817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44998" w14:textId="77777777" w:rsidR="00263689" w:rsidRPr="0000007A" w:rsidRDefault="00263689" w:rsidP="0099583E">
      <w:r>
        <w:separator/>
      </w:r>
    </w:p>
  </w:endnote>
  <w:endnote w:type="continuationSeparator" w:id="0">
    <w:p w14:paraId="3F4D29BA" w14:textId="77777777" w:rsidR="00263689" w:rsidRPr="0000007A" w:rsidRDefault="0026368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A54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16AD6" w:rsidRPr="00316AD6">
      <w:rPr>
        <w:sz w:val="16"/>
      </w:rPr>
      <w:t xml:space="preserve">Version: </w:t>
    </w:r>
    <w:r w:rsidR="007B57D1">
      <w:rPr>
        <w:sz w:val="16"/>
      </w:rPr>
      <w:t>3</w:t>
    </w:r>
    <w:r w:rsidR="00316AD6" w:rsidRPr="00316AD6">
      <w:rPr>
        <w:sz w:val="16"/>
      </w:rPr>
      <w:t xml:space="preserve"> (0</w:t>
    </w:r>
    <w:r w:rsidR="007B57D1">
      <w:rPr>
        <w:sz w:val="16"/>
      </w:rPr>
      <w:t>7</w:t>
    </w:r>
    <w:r w:rsidR="00316AD6" w:rsidRPr="00316AD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4A5AA" w14:textId="77777777" w:rsidR="00263689" w:rsidRPr="0000007A" w:rsidRDefault="00263689" w:rsidP="0099583E">
      <w:r>
        <w:separator/>
      </w:r>
    </w:p>
  </w:footnote>
  <w:footnote w:type="continuationSeparator" w:id="0">
    <w:p w14:paraId="17AD29B0" w14:textId="77777777" w:rsidR="00263689" w:rsidRPr="0000007A" w:rsidRDefault="0026368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D24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54AF24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B57D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75E58"/>
    <w:multiLevelType w:val="hybridMultilevel"/>
    <w:tmpl w:val="3C38C4B0"/>
    <w:lvl w:ilvl="0" w:tplc="4009000F">
      <w:start w:val="1"/>
      <w:numFmt w:val="decimal"/>
      <w:lvlText w:val="%1."/>
      <w:lvlJc w:val="left"/>
      <w:pPr>
        <w:ind w:left="785" w:hanging="360"/>
      </w:p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0FC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200D"/>
    <w:rsid w:val="0025366D"/>
    <w:rsid w:val="00254DFC"/>
    <w:rsid w:val="00254F80"/>
    <w:rsid w:val="00262634"/>
    <w:rsid w:val="00263689"/>
    <w:rsid w:val="002643B3"/>
    <w:rsid w:val="002741EB"/>
    <w:rsid w:val="00275984"/>
    <w:rsid w:val="00280EC9"/>
    <w:rsid w:val="00291D08"/>
    <w:rsid w:val="00293482"/>
    <w:rsid w:val="002941C8"/>
    <w:rsid w:val="002B3194"/>
    <w:rsid w:val="002B5352"/>
    <w:rsid w:val="002C43DF"/>
    <w:rsid w:val="002D7EA9"/>
    <w:rsid w:val="002E1211"/>
    <w:rsid w:val="002E2339"/>
    <w:rsid w:val="002E6D86"/>
    <w:rsid w:val="002F1D1A"/>
    <w:rsid w:val="002F31D0"/>
    <w:rsid w:val="002F6935"/>
    <w:rsid w:val="00312559"/>
    <w:rsid w:val="00316AD6"/>
    <w:rsid w:val="003204B8"/>
    <w:rsid w:val="0033692F"/>
    <w:rsid w:val="00346223"/>
    <w:rsid w:val="00390105"/>
    <w:rsid w:val="003A04E7"/>
    <w:rsid w:val="003A4991"/>
    <w:rsid w:val="003A6E1A"/>
    <w:rsid w:val="003B2172"/>
    <w:rsid w:val="003D13E4"/>
    <w:rsid w:val="003E2EA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EA2"/>
    <w:rsid w:val="00462996"/>
    <w:rsid w:val="004674B4"/>
    <w:rsid w:val="004703D4"/>
    <w:rsid w:val="004915DB"/>
    <w:rsid w:val="004B4CAD"/>
    <w:rsid w:val="004B4FDC"/>
    <w:rsid w:val="004C3DF1"/>
    <w:rsid w:val="004D2E36"/>
    <w:rsid w:val="004F4AB0"/>
    <w:rsid w:val="00503AB6"/>
    <w:rsid w:val="005047C5"/>
    <w:rsid w:val="00510920"/>
    <w:rsid w:val="00521812"/>
    <w:rsid w:val="00523D2C"/>
    <w:rsid w:val="00531C82"/>
    <w:rsid w:val="005339A8"/>
    <w:rsid w:val="00533FC1"/>
    <w:rsid w:val="00534E48"/>
    <w:rsid w:val="0054564B"/>
    <w:rsid w:val="00545A13"/>
    <w:rsid w:val="00546343"/>
    <w:rsid w:val="005573D9"/>
    <w:rsid w:val="00557CD3"/>
    <w:rsid w:val="00560D3C"/>
    <w:rsid w:val="00567DE0"/>
    <w:rsid w:val="005735A5"/>
    <w:rsid w:val="005A5BE0"/>
    <w:rsid w:val="005A7066"/>
    <w:rsid w:val="005B12E0"/>
    <w:rsid w:val="005C25A0"/>
    <w:rsid w:val="005D230D"/>
    <w:rsid w:val="005D6648"/>
    <w:rsid w:val="005F5058"/>
    <w:rsid w:val="00602F7D"/>
    <w:rsid w:val="006032F4"/>
    <w:rsid w:val="00605952"/>
    <w:rsid w:val="00620677"/>
    <w:rsid w:val="00624032"/>
    <w:rsid w:val="00636D14"/>
    <w:rsid w:val="00645A56"/>
    <w:rsid w:val="006532DF"/>
    <w:rsid w:val="0065579D"/>
    <w:rsid w:val="00663792"/>
    <w:rsid w:val="006668BE"/>
    <w:rsid w:val="0067046C"/>
    <w:rsid w:val="00676845"/>
    <w:rsid w:val="00680547"/>
    <w:rsid w:val="0068446F"/>
    <w:rsid w:val="0068743B"/>
    <w:rsid w:val="0069428E"/>
    <w:rsid w:val="00696CAD"/>
    <w:rsid w:val="006A5E0B"/>
    <w:rsid w:val="006B1355"/>
    <w:rsid w:val="006C3233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7EBF"/>
    <w:rsid w:val="007A16D7"/>
    <w:rsid w:val="007B1099"/>
    <w:rsid w:val="007B57D1"/>
    <w:rsid w:val="007B6E18"/>
    <w:rsid w:val="007C32B9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191B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2EA8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3856"/>
    <w:rsid w:val="00B356AF"/>
    <w:rsid w:val="00B61730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3B33"/>
    <w:rsid w:val="00C25C8F"/>
    <w:rsid w:val="00C263C6"/>
    <w:rsid w:val="00C635B6"/>
    <w:rsid w:val="00C653D3"/>
    <w:rsid w:val="00C70DFC"/>
    <w:rsid w:val="00C81775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34BC"/>
    <w:rsid w:val="00D7603E"/>
    <w:rsid w:val="00D8579C"/>
    <w:rsid w:val="00D90124"/>
    <w:rsid w:val="00D9392F"/>
    <w:rsid w:val="00DA41F5"/>
    <w:rsid w:val="00DA55CE"/>
    <w:rsid w:val="00DA64F2"/>
    <w:rsid w:val="00DB5B54"/>
    <w:rsid w:val="00DB7E1B"/>
    <w:rsid w:val="00DC1D81"/>
    <w:rsid w:val="00E3776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5A36"/>
    <w:rsid w:val="00ED6B12"/>
    <w:rsid w:val="00EE0D3E"/>
    <w:rsid w:val="00EE0E53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208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60774"/>
  <w15:chartTrackingRefBased/>
  <w15:docId w15:val="{0A58EF7C-7858-9847-9476-C16D6D28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B33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mh.com/index.php/AJCRM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C47D0-CA48-4546-96B8-2812FCBE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Links>
    <vt:vector size="6" baseType="variant"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https://journalajcrmh.com/index.php/AJCRMH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2025-06-12T01:38:00Z</dcterms:created>
  <dcterms:modified xsi:type="dcterms:W3CDTF">2025-06-12T07:48:00Z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caf6c2f4-8deb-4115-b03f-a42ee1649905</vt:lpwstr>
  </property>
</Properties>
</file>