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857B" w14:textId="77777777" w:rsidR="00584105" w:rsidRPr="00555B5D" w:rsidRDefault="00584105" w:rsidP="00584105">
      <w:pPr>
        <w:jc w:val="center"/>
        <w:rPr>
          <w:rFonts w:ascii="Times New Roman" w:hAnsi="Times New Roman" w:cs="Times New Roman"/>
          <w:b/>
          <w:bCs/>
          <w:sz w:val="24"/>
          <w:szCs w:val="24"/>
          <w:lang w:val="en-US"/>
        </w:rPr>
      </w:pPr>
      <w:bookmarkStart w:id="0" w:name="_Hlk198395758"/>
      <w:bookmarkStart w:id="1" w:name="_Hlk173931482"/>
      <w:r>
        <w:rPr>
          <w:rFonts w:ascii="Times New Roman" w:hAnsi="Times New Roman" w:cs="Times New Roman"/>
          <w:b/>
          <w:bCs/>
          <w:sz w:val="24"/>
          <w:szCs w:val="24"/>
          <w:lang w:val="en-US"/>
        </w:rPr>
        <w:t>I</w:t>
      </w:r>
      <w:r w:rsidRPr="00555B5D">
        <w:rPr>
          <w:rFonts w:ascii="Times New Roman" w:hAnsi="Times New Roman" w:cs="Times New Roman"/>
          <w:b/>
          <w:bCs/>
          <w:sz w:val="24"/>
          <w:szCs w:val="24"/>
          <w:lang w:val="en-US"/>
        </w:rPr>
        <w:t>MPACT OF CAPITAL MARKET FUNDAMENTALS ON THE PERFORMANCE OF AGRICULTURE SECTOR IN NIGERIA</w:t>
      </w:r>
      <w:bookmarkEnd w:id="0"/>
    </w:p>
    <w:p w14:paraId="41909926" w14:textId="77777777" w:rsidR="00584105" w:rsidRPr="00686471" w:rsidRDefault="00584105" w:rsidP="00584105">
      <w:pPr>
        <w:jc w:val="both"/>
        <w:rPr>
          <w:rFonts w:ascii="Times New Roman" w:hAnsi="Times New Roman" w:cs="Times New Roman"/>
          <w:b/>
          <w:bCs/>
          <w:sz w:val="24"/>
          <w:szCs w:val="24"/>
          <w:lang w:val="en-US"/>
        </w:rPr>
      </w:pPr>
    </w:p>
    <w:p w14:paraId="1BDEBEC9" w14:textId="77777777" w:rsidR="00584105" w:rsidRPr="00686471" w:rsidRDefault="00584105" w:rsidP="00584105">
      <w:pPr>
        <w:spacing w:after="0" w:line="360" w:lineRule="auto"/>
        <w:jc w:val="center"/>
        <w:rPr>
          <w:rFonts w:ascii="Times New Roman" w:hAnsi="Times New Roman" w:cs="Times New Roman"/>
          <w:b/>
          <w:sz w:val="24"/>
          <w:szCs w:val="24"/>
        </w:rPr>
      </w:pPr>
    </w:p>
    <w:p w14:paraId="22B85642" w14:textId="77777777" w:rsidR="00584105" w:rsidRPr="00066826" w:rsidRDefault="00584105" w:rsidP="00584105">
      <w:pPr>
        <w:spacing w:after="0" w:line="360" w:lineRule="auto"/>
        <w:jc w:val="center"/>
        <w:rPr>
          <w:rFonts w:ascii="Times New Roman" w:hAnsi="Times New Roman" w:cs="Times New Roman"/>
          <w:b/>
          <w:sz w:val="24"/>
          <w:szCs w:val="24"/>
        </w:rPr>
      </w:pPr>
    </w:p>
    <w:p w14:paraId="14D1D4DB" w14:textId="77777777" w:rsidR="00584105" w:rsidRPr="00686471" w:rsidRDefault="00584105" w:rsidP="00584105">
      <w:pPr>
        <w:spacing w:after="0"/>
        <w:rPr>
          <w:rFonts w:ascii="Times New Roman" w:hAnsi="Times New Roman" w:cs="Times New Roman"/>
          <w:b/>
          <w:sz w:val="24"/>
          <w:szCs w:val="24"/>
        </w:rPr>
      </w:pPr>
    </w:p>
    <w:p w14:paraId="50DF95D9" w14:textId="77777777" w:rsidR="00584105" w:rsidRPr="00686471" w:rsidRDefault="00584105" w:rsidP="00584105">
      <w:pPr>
        <w:spacing w:after="0"/>
        <w:jc w:val="center"/>
        <w:rPr>
          <w:rFonts w:ascii="Times New Roman" w:hAnsi="Times New Roman" w:cs="Times New Roman"/>
          <w:b/>
          <w:sz w:val="24"/>
          <w:szCs w:val="24"/>
        </w:rPr>
      </w:pPr>
    </w:p>
    <w:bookmarkEnd w:id="1"/>
    <w:p w14:paraId="2E5FFF36" w14:textId="77777777" w:rsidR="004E2A8A" w:rsidRPr="00555B5D" w:rsidRDefault="004E2A8A" w:rsidP="004E2A8A">
      <w:pPr>
        <w:jc w:val="center"/>
        <w:rPr>
          <w:rFonts w:ascii="Times New Roman" w:hAnsi="Times New Roman" w:cs="Times New Roman"/>
          <w:b/>
          <w:bCs/>
          <w:sz w:val="24"/>
          <w:szCs w:val="24"/>
        </w:rPr>
      </w:pPr>
      <w:r w:rsidRPr="00555B5D">
        <w:rPr>
          <w:rFonts w:ascii="Times New Roman" w:hAnsi="Times New Roman" w:cs="Times New Roman"/>
          <w:b/>
          <w:bCs/>
          <w:sz w:val="24"/>
          <w:szCs w:val="24"/>
        </w:rPr>
        <w:t>Abstract</w:t>
      </w:r>
    </w:p>
    <w:p w14:paraId="33CE7E6E" w14:textId="77777777" w:rsidR="00C45E74" w:rsidRPr="00555B5D" w:rsidRDefault="00C45E74" w:rsidP="005140B8">
      <w:pPr>
        <w:pStyle w:val="Default"/>
        <w:pBdr>
          <w:bottom w:val="single" w:sz="4" w:space="1" w:color="auto"/>
        </w:pBdr>
        <w:jc w:val="both"/>
        <w:rPr>
          <w:i/>
          <w:iCs/>
        </w:rPr>
      </w:pPr>
      <w:r w:rsidRPr="00555B5D">
        <w:rPr>
          <w:i/>
          <w:iCs/>
        </w:rPr>
        <w:t xml:space="preserve">This study examined the impact of capital market fundamentals on the performance of the agricultural sector in Nigeria from 1986 to 2024. The study employed an ex-post facto research design using annual time series data sourced from the Central Bank of Nigeria (CBN) and the Securities and Exchange Commission (SEC). After conducting unit root and cointegration tests to confirm the long-run relationship among variables, the Fully Modified Ordinary Least Squares (FMOLS) technique was used for estimation. The results revealed that </w:t>
      </w:r>
      <w:r w:rsidR="006D60BC" w:rsidRPr="00555B5D">
        <w:rPr>
          <w:i/>
          <w:iCs/>
          <w:lang w:val="en-GB"/>
        </w:rPr>
        <w:t>All Share Index</w:t>
      </w:r>
      <w:r w:rsidRPr="00555B5D">
        <w:rPr>
          <w:i/>
          <w:iCs/>
        </w:rPr>
        <w:t xml:space="preserve"> had a positive and statistically significant impact on agricultural sector growth, indicating that overall stock market performance contributed to creating an investment-friendly environment that supported agricultural activities. Conversely, </w:t>
      </w:r>
      <w:r w:rsidR="006D60BC" w:rsidRPr="00555B5D">
        <w:rPr>
          <w:i/>
          <w:iCs/>
        </w:rPr>
        <w:t>equi</w:t>
      </w:r>
      <w:r w:rsidR="006D60BC">
        <w:rPr>
          <w:i/>
          <w:iCs/>
        </w:rPr>
        <w:t xml:space="preserve">ties </w:t>
      </w:r>
      <w:r w:rsidRPr="00555B5D">
        <w:rPr>
          <w:i/>
          <w:iCs/>
        </w:rPr>
        <w:t xml:space="preserve">showed a negative but significant </w:t>
      </w:r>
      <w:r w:rsidR="004E2A8A" w:rsidRPr="00555B5D">
        <w:rPr>
          <w:i/>
          <w:iCs/>
        </w:rPr>
        <w:t>impact</w:t>
      </w:r>
      <w:r w:rsidRPr="00555B5D">
        <w:rPr>
          <w:i/>
          <w:iCs/>
        </w:rPr>
        <w:t>, s</w:t>
      </w:r>
      <w:r w:rsidR="004E2A8A" w:rsidRPr="00555B5D">
        <w:rPr>
          <w:i/>
          <w:iCs/>
        </w:rPr>
        <w:t>howing</w:t>
      </w:r>
      <w:r w:rsidRPr="00555B5D">
        <w:rPr>
          <w:i/>
          <w:iCs/>
        </w:rPr>
        <w:t xml:space="preserve"> that equity financing has not been effectively </w:t>
      </w:r>
      <w:r w:rsidR="004E2A8A" w:rsidRPr="00555B5D">
        <w:rPr>
          <w:i/>
          <w:iCs/>
        </w:rPr>
        <w:t>channelled</w:t>
      </w:r>
      <w:r w:rsidRPr="00555B5D">
        <w:rPr>
          <w:i/>
          <w:iCs/>
        </w:rPr>
        <w:t xml:space="preserve"> toward agriculture. In contrast, corporate bonds had a positive and significant impact, highlighting the importance of long-term financing mechanisms for capital-intensive agricultural investments.</w:t>
      </w:r>
      <w:r w:rsidR="004E2A8A" w:rsidRPr="00555B5D">
        <w:rPr>
          <w:i/>
          <w:iCs/>
        </w:rPr>
        <w:t xml:space="preserve"> </w:t>
      </w:r>
      <w:r w:rsidRPr="00555B5D">
        <w:rPr>
          <w:i/>
          <w:iCs/>
        </w:rPr>
        <w:t xml:space="preserve">Based on these findings, the study recommended that the Securities and Exchange Commission (SEC) and the Nigerian Exchange Group (NGX) strengthen efforts to promote agricultural firm listings and improve market access. The Federal Ministry of Agriculture and Food Security was encouraged to work with regulatory agencies to design tailored equity incentives for agribusinesses. Furthermore, the Debt Management Office (DMO) and the Central Bank of Nigeria (CBN) were urged to facilitate the issuance of agriculture-focused bonds and provide credit enhancements to attract institutional investors such as pension funds and insurance companies. </w:t>
      </w:r>
    </w:p>
    <w:p w14:paraId="13D51B34" w14:textId="77777777" w:rsidR="00C45E74" w:rsidRPr="00555B5D" w:rsidRDefault="00C45E74" w:rsidP="004E2A8A">
      <w:pPr>
        <w:pStyle w:val="Default"/>
        <w:jc w:val="both"/>
        <w:rPr>
          <w:b/>
          <w:bCs/>
          <w:i/>
          <w:iCs/>
        </w:rPr>
      </w:pPr>
      <w:r w:rsidRPr="00555B5D">
        <w:rPr>
          <w:b/>
          <w:bCs/>
          <w:i/>
          <w:iCs/>
        </w:rPr>
        <w:t xml:space="preserve">Keywords: </w:t>
      </w:r>
      <w:r w:rsidRPr="00555B5D">
        <w:rPr>
          <w:i/>
          <w:iCs/>
          <w:lang w:val="en-GB"/>
        </w:rPr>
        <w:t>Capital Market Fundamentals, Agricultural Sector Growth, All Share Index, Corporate Bonds, Equities</w:t>
      </w:r>
    </w:p>
    <w:p w14:paraId="71815A2D" w14:textId="77777777" w:rsidR="00C45E74" w:rsidRPr="00555B5D" w:rsidRDefault="00C45E74" w:rsidP="004E2A8A">
      <w:pPr>
        <w:pStyle w:val="Default"/>
        <w:jc w:val="both"/>
        <w:rPr>
          <w:b/>
          <w:bCs/>
          <w:i/>
          <w:iCs/>
        </w:rPr>
      </w:pPr>
      <w:r w:rsidRPr="00555B5D">
        <w:rPr>
          <w:b/>
          <w:bCs/>
          <w:i/>
          <w:iCs/>
        </w:rPr>
        <w:t xml:space="preserve">JEL Codes: </w:t>
      </w:r>
      <w:r w:rsidR="004E2A8A" w:rsidRPr="00555B5D">
        <w:rPr>
          <w:i/>
          <w:iCs/>
        </w:rPr>
        <w:t>G10, Q14, O13, G23, E44</w:t>
      </w:r>
    </w:p>
    <w:p w14:paraId="516299C4" w14:textId="77777777" w:rsidR="00BE2DD7" w:rsidRDefault="00BE2DD7" w:rsidP="004E2A8A">
      <w:pPr>
        <w:spacing w:before="240"/>
        <w:jc w:val="both"/>
        <w:rPr>
          <w:rFonts w:ascii="Times New Roman" w:hAnsi="Times New Roman" w:cs="Times New Roman"/>
          <w:b/>
          <w:bCs/>
          <w:sz w:val="24"/>
          <w:szCs w:val="24"/>
          <w:lang w:val="en-US"/>
        </w:rPr>
      </w:pPr>
    </w:p>
    <w:p w14:paraId="4EB1C7AC" w14:textId="77777777" w:rsidR="00712F19" w:rsidRPr="00555B5D" w:rsidRDefault="00DC4AA6" w:rsidP="004E2A8A">
      <w:pPr>
        <w:spacing w:before="240"/>
        <w:jc w:val="both"/>
        <w:rPr>
          <w:rFonts w:ascii="Times New Roman" w:hAnsi="Times New Roman" w:cs="Times New Roman"/>
          <w:b/>
          <w:bCs/>
          <w:sz w:val="24"/>
          <w:szCs w:val="24"/>
          <w:lang w:val="en-US"/>
        </w:rPr>
      </w:pPr>
      <w:r w:rsidRPr="00555B5D">
        <w:rPr>
          <w:rFonts w:ascii="Times New Roman" w:hAnsi="Times New Roman" w:cs="Times New Roman"/>
          <w:b/>
          <w:bCs/>
          <w:sz w:val="24"/>
          <w:szCs w:val="24"/>
          <w:lang w:val="en-US"/>
        </w:rPr>
        <w:t>I.</w:t>
      </w:r>
      <w:r w:rsidRPr="00555B5D">
        <w:rPr>
          <w:rFonts w:ascii="Times New Roman" w:hAnsi="Times New Roman" w:cs="Times New Roman"/>
          <w:b/>
          <w:bCs/>
          <w:sz w:val="24"/>
          <w:szCs w:val="24"/>
          <w:lang w:val="en-US"/>
        </w:rPr>
        <w:tab/>
      </w:r>
      <w:r w:rsidR="0080266D" w:rsidRPr="00555B5D">
        <w:rPr>
          <w:rFonts w:ascii="Times New Roman" w:hAnsi="Times New Roman" w:cs="Times New Roman"/>
          <w:b/>
          <w:bCs/>
          <w:sz w:val="24"/>
          <w:szCs w:val="24"/>
          <w:lang w:val="en-US"/>
        </w:rPr>
        <w:t>Introduction</w:t>
      </w:r>
    </w:p>
    <w:p w14:paraId="1545F8AA"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Capital markets serve as </w:t>
      </w:r>
      <w:r w:rsidR="00F07EF6">
        <w:rPr>
          <w:rFonts w:ascii="Times New Roman" w:hAnsi="Times New Roman" w:cs="Times New Roman"/>
          <w:sz w:val="24"/>
          <w:szCs w:val="24"/>
        </w:rPr>
        <w:t>essential</w:t>
      </w:r>
      <w:r w:rsidRPr="00555B5D">
        <w:rPr>
          <w:rFonts w:ascii="Times New Roman" w:hAnsi="Times New Roman" w:cs="Times New Roman"/>
          <w:sz w:val="24"/>
          <w:szCs w:val="24"/>
        </w:rPr>
        <w:t xml:space="preserve"> financial in</w:t>
      </w:r>
      <w:r w:rsidR="00F07EF6">
        <w:rPr>
          <w:rFonts w:ascii="Times New Roman" w:hAnsi="Times New Roman" w:cs="Times New Roman"/>
          <w:sz w:val="24"/>
          <w:szCs w:val="24"/>
        </w:rPr>
        <w:t>stitution</w:t>
      </w:r>
      <w:r w:rsidRPr="00555B5D">
        <w:rPr>
          <w:rFonts w:ascii="Times New Roman" w:hAnsi="Times New Roman" w:cs="Times New Roman"/>
          <w:sz w:val="24"/>
          <w:szCs w:val="24"/>
        </w:rPr>
        <w:t xml:space="preserve"> that facilitate the allocation of resources across various sectors of an economy. These markets, characterized by the trading of financial instruments such as equities and bonds, play a pivotal role in economic development by </w:t>
      </w:r>
      <w:r w:rsidR="004E2A8A" w:rsidRPr="00555B5D">
        <w:rPr>
          <w:rFonts w:ascii="Times New Roman" w:hAnsi="Times New Roman" w:cs="Times New Roman"/>
          <w:sz w:val="24"/>
          <w:szCs w:val="24"/>
        </w:rPr>
        <w:t>channelling</w:t>
      </w:r>
      <w:r w:rsidRPr="00555B5D">
        <w:rPr>
          <w:rFonts w:ascii="Times New Roman" w:hAnsi="Times New Roman" w:cs="Times New Roman"/>
          <w:sz w:val="24"/>
          <w:szCs w:val="24"/>
        </w:rPr>
        <w:t xml:space="preserve"> funds from surplus units to deficit units. Globally, capital markets have evolved significantly and these markets serve as platforms where long-term securities such as equities and bonds are issued and traded, providing critical financing avenues for both public and private enterprises. Among the core indicators that reflect the health and performance of capital markets are the </w:t>
      </w:r>
      <w:r w:rsidR="00D45B60"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which tracks the performance of listed companies on a stock </w:t>
      </w:r>
      <w:r w:rsidRPr="00555B5D">
        <w:rPr>
          <w:rFonts w:ascii="Times New Roman" w:hAnsi="Times New Roman" w:cs="Times New Roman"/>
          <w:sz w:val="24"/>
          <w:szCs w:val="24"/>
        </w:rPr>
        <w:lastRenderedPageBreak/>
        <w:t>exchange; equities, which represent ownership stakes in companies and serve as vehicles for raising capital; and corporate bonds, which are debt instruments issued by companies to finance expansion and operations</w:t>
      </w:r>
      <w:r w:rsidR="000E3AD1" w:rsidRPr="00555B5D">
        <w:rPr>
          <w:rFonts w:ascii="Times New Roman" w:hAnsi="Times New Roman" w:cs="Times New Roman"/>
          <w:sz w:val="24"/>
          <w:szCs w:val="24"/>
        </w:rPr>
        <w:t xml:space="preserve"> (</w:t>
      </w:r>
      <w:proofErr w:type="spellStart"/>
      <w:r w:rsidR="000E3AD1" w:rsidRPr="00555B5D">
        <w:rPr>
          <w:rFonts w:ascii="Times New Roman" w:hAnsi="Times New Roman" w:cs="Times New Roman"/>
          <w:sz w:val="24"/>
          <w:szCs w:val="24"/>
        </w:rPr>
        <w:t>Okidim</w:t>
      </w:r>
      <w:proofErr w:type="spellEnd"/>
      <w:r w:rsidR="000E3AD1" w:rsidRPr="00555B5D">
        <w:rPr>
          <w:rFonts w:ascii="Times New Roman" w:hAnsi="Times New Roman" w:cs="Times New Roman"/>
          <w:sz w:val="24"/>
          <w:szCs w:val="24"/>
        </w:rPr>
        <w:t xml:space="preserve"> </w:t>
      </w:r>
      <w:r w:rsidR="000E3AD1" w:rsidRPr="00F07EF6">
        <w:rPr>
          <w:rFonts w:ascii="Times New Roman" w:hAnsi="Times New Roman" w:cs="Times New Roman"/>
          <w:i/>
          <w:iCs/>
          <w:sz w:val="24"/>
          <w:szCs w:val="24"/>
        </w:rPr>
        <w:t>et al.,</w:t>
      </w:r>
      <w:r w:rsidR="000E3AD1" w:rsidRPr="00555B5D">
        <w:rPr>
          <w:rFonts w:ascii="Times New Roman" w:hAnsi="Times New Roman" w:cs="Times New Roman"/>
          <w:sz w:val="24"/>
          <w:szCs w:val="24"/>
        </w:rPr>
        <w:t xml:space="preserve"> 2023).</w:t>
      </w:r>
    </w:p>
    <w:p w14:paraId="386149CE"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Across the global economic </w:t>
      </w:r>
      <w:r w:rsidR="00555B5D" w:rsidRPr="00555B5D">
        <w:rPr>
          <w:rFonts w:ascii="Times New Roman" w:hAnsi="Times New Roman" w:cs="Times New Roman"/>
          <w:sz w:val="24"/>
          <w:szCs w:val="24"/>
        </w:rPr>
        <w:t>s</w:t>
      </w:r>
      <w:r w:rsidR="000A6361">
        <w:rPr>
          <w:rFonts w:ascii="Times New Roman" w:hAnsi="Times New Roman" w:cs="Times New Roman"/>
          <w:sz w:val="24"/>
          <w:szCs w:val="24"/>
        </w:rPr>
        <w:t>cope</w:t>
      </w:r>
      <w:r w:rsidRPr="00555B5D">
        <w:rPr>
          <w:rFonts w:ascii="Times New Roman" w:hAnsi="Times New Roman" w:cs="Times New Roman"/>
          <w:sz w:val="24"/>
          <w:szCs w:val="24"/>
        </w:rPr>
        <w:t>, capital markets have been central to supporting agriculture through increased access to investment and funding for technological adoption, infrastructure development, and value chain integration. For instance, in developed economies such as the United States, a well-integrated capital market system has facilitated the modernization of agriculture, enabling productivity increases through capital-intensive inputs and innovation (World Bank, 2022). In emerging economies, the growing sophistication of capital markets is similarly enhancing access to finance for agribusinesses and rural enterprises, although at varying levels of efficiency and reach.</w:t>
      </w:r>
    </w:p>
    <w:p w14:paraId="07593895"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In Africa, capital markets have shown varied development patterns, with some markets displaying significant growth while others remain underdeveloped. The region's capital markets face unique challenges, including limited market depth, low liquidity, and inadequate regulatory frameworks. Despite these challenges, there has been notable progress in recent years. According to the African Securities Exchanges Association (ASEA, 2022), the combined market capitalization of African stock exchanges increased from $1.5 trillion in 2020 to approximately $1.8 trillion by the end of 2021, representing a growth rate of 20%. This growth, albeit from a lower base compared to developed markets, indicates the increasing relevance of capital markets in financing African economies.</w:t>
      </w:r>
    </w:p>
    <w:p w14:paraId="04DC7051" w14:textId="77777777" w:rsidR="0080266D" w:rsidRPr="00555B5D" w:rsidRDefault="000E3AD1" w:rsidP="0080266D">
      <w:pPr>
        <w:jc w:val="both"/>
        <w:rPr>
          <w:rFonts w:ascii="Times New Roman" w:hAnsi="Times New Roman" w:cs="Times New Roman"/>
          <w:sz w:val="24"/>
          <w:szCs w:val="24"/>
        </w:rPr>
      </w:pPr>
      <w:r w:rsidRPr="00555B5D">
        <w:rPr>
          <w:rFonts w:ascii="Times New Roman" w:hAnsi="Times New Roman" w:cs="Times New Roman"/>
          <w:sz w:val="24"/>
          <w:szCs w:val="24"/>
        </w:rPr>
        <w:t>Nigeria’s capital market</w:t>
      </w:r>
      <w:r w:rsidR="00920E31">
        <w:rPr>
          <w:rFonts w:ascii="Times New Roman" w:hAnsi="Times New Roman" w:cs="Times New Roman"/>
          <w:sz w:val="24"/>
          <w:szCs w:val="24"/>
        </w:rPr>
        <w:t xml:space="preserve"> </w:t>
      </w:r>
      <w:r w:rsidRPr="00555B5D">
        <w:rPr>
          <w:rFonts w:ascii="Times New Roman" w:hAnsi="Times New Roman" w:cs="Times New Roman"/>
          <w:sz w:val="24"/>
          <w:szCs w:val="24"/>
        </w:rPr>
        <w:t xml:space="preserve">has evolved significantly since the establishment of the Lagos Stock Exchange in 1961, later restructured as the Nigerian Stock Exchange (now NGX Group). Key reforms began with the Nigerian Enterprises Promotion Acts of the 1970s, followed by the Structural Adjustment Programme (SAP) in 1986, which liberalized the financial sector. The establishment of the Securities and Exchange Commission (SEC) in 1979, and its strengthening through the Investment and Securities Act (ISA) of 1999, further deepened regulatory oversight. More recently, policies have focused on enhancing transparency, investor protection, market diversification, and financial inclusion to drive sectoral financing, including agriculture (Bello &amp; Aremu, 2023). </w:t>
      </w:r>
      <w:r w:rsidR="0080266D" w:rsidRPr="00555B5D">
        <w:rPr>
          <w:rFonts w:ascii="Times New Roman" w:hAnsi="Times New Roman" w:cs="Times New Roman"/>
          <w:sz w:val="24"/>
          <w:szCs w:val="24"/>
        </w:rPr>
        <w:t xml:space="preserve">The market has evolved from humble beginnings to become one of Africa's largest capital markets. </w:t>
      </w:r>
      <w:r w:rsidR="00226946">
        <w:rPr>
          <w:rFonts w:ascii="Times New Roman" w:hAnsi="Times New Roman" w:cs="Times New Roman"/>
          <w:sz w:val="24"/>
          <w:szCs w:val="24"/>
        </w:rPr>
        <w:t xml:space="preserve">Available </w:t>
      </w:r>
      <w:r w:rsidR="00226946" w:rsidRPr="00555B5D">
        <w:rPr>
          <w:rFonts w:ascii="Times New Roman" w:hAnsi="Times New Roman" w:cs="Times New Roman"/>
          <w:sz w:val="24"/>
          <w:szCs w:val="24"/>
        </w:rPr>
        <w:t>data</w:t>
      </w:r>
      <w:r w:rsidR="00226946">
        <w:rPr>
          <w:rFonts w:ascii="Times New Roman" w:hAnsi="Times New Roman" w:cs="Times New Roman"/>
          <w:sz w:val="24"/>
          <w:szCs w:val="24"/>
        </w:rPr>
        <w:t xml:space="preserve"> from CBN (2023) and SEC (2024)</w:t>
      </w:r>
      <w:r w:rsidR="0080266D" w:rsidRPr="00555B5D">
        <w:rPr>
          <w:rFonts w:ascii="Times New Roman" w:hAnsi="Times New Roman" w:cs="Times New Roman"/>
          <w:sz w:val="24"/>
          <w:szCs w:val="24"/>
        </w:rPr>
        <w:t xml:space="preserve"> reveals </w:t>
      </w:r>
      <w:r w:rsidR="00555B5D" w:rsidRPr="00555B5D">
        <w:rPr>
          <w:rFonts w:ascii="Times New Roman" w:hAnsi="Times New Roman" w:cs="Times New Roman"/>
          <w:sz w:val="24"/>
          <w:szCs w:val="24"/>
        </w:rPr>
        <w:t>stimulating</w:t>
      </w:r>
      <w:r w:rsidR="0080266D" w:rsidRPr="00555B5D">
        <w:rPr>
          <w:rFonts w:ascii="Times New Roman" w:hAnsi="Times New Roman" w:cs="Times New Roman"/>
          <w:sz w:val="24"/>
          <w:szCs w:val="24"/>
        </w:rPr>
        <w:t xml:space="preserve"> patterns in the performance of key capital market indicators. The All Share Index (ASI) has shown remarkable growth over the decades, from a modest 163.80 points in 1986 to an impressive 97,912.90 points in 2024, representing a compound annual growth rate of approximately 20%. This exponential growth reflects increased investor confidence and market expansion over time. Similarly, the value of equities traded on the Nigerian Stock Exchange has grown substantially from ₦7.09 billion in 1986 to ₦54,684.90 billion in 2024, demonstrating the increasing depth and liquidity of the market. Corporate bonds have also witnessed phenomenal growth, from a mere ₦0.40 billion in 1986 to ₦2,756.30 billion in 2024, indicating growing investor appetite for debt instruments and increased corporate utilization of the bond market for capital raising.</w:t>
      </w:r>
    </w:p>
    <w:p w14:paraId="17CD9225"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The Nigerian capital market has not been without volatility, however. Notable fluctuations occurred during global financial crises, such as the 2008-2009 period when the ASI plummeted </w:t>
      </w:r>
      <w:r w:rsidRPr="00555B5D">
        <w:rPr>
          <w:rFonts w:ascii="Times New Roman" w:hAnsi="Times New Roman" w:cs="Times New Roman"/>
          <w:sz w:val="24"/>
          <w:szCs w:val="24"/>
        </w:rPr>
        <w:lastRenderedPageBreak/>
        <w:t>from 57,990.20 points in 2007 to 20,827.17 points in 2009, representing a decline of approximately 64%. This demonstrates the vulnerability of the Nigerian capital market to global economic shocks. Additionally, the market experienced significant growth between 2020 and 2024, with the ASI rising from 40,270.72 to 97,912.90 points, representing a growth of approximately 143%. This recent bullish trend can be attributed to various factors, including improved regulatory frameworks, increased foreign portfolio investments, and greater domestic participation in the market (SEC Nigeria, 202</w:t>
      </w:r>
      <w:r w:rsidR="00226946">
        <w:rPr>
          <w:rFonts w:ascii="Times New Roman" w:hAnsi="Times New Roman" w:cs="Times New Roman"/>
          <w:sz w:val="24"/>
          <w:szCs w:val="24"/>
        </w:rPr>
        <w:t>4</w:t>
      </w:r>
      <w:r w:rsidRPr="00555B5D">
        <w:rPr>
          <w:rFonts w:ascii="Times New Roman" w:hAnsi="Times New Roman" w:cs="Times New Roman"/>
          <w:sz w:val="24"/>
          <w:szCs w:val="24"/>
        </w:rPr>
        <w:t>).</w:t>
      </w:r>
    </w:p>
    <w:p w14:paraId="446C4A31"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The agricultural sector remains a </w:t>
      </w:r>
      <w:r w:rsidR="00F07EF6" w:rsidRPr="00555B5D">
        <w:rPr>
          <w:rFonts w:ascii="Times New Roman" w:hAnsi="Times New Roman" w:cs="Times New Roman"/>
          <w:sz w:val="24"/>
          <w:szCs w:val="24"/>
        </w:rPr>
        <w:t>foundation</w:t>
      </w:r>
      <w:r w:rsidRPr="00555B5D">
        <w:rPr>
          <w:rFonts w:ascii="Times New Roman" w:hAnsi="Times New Roman" w:cs="Times New Roman"/>
          <w:sz w:val="24"/>
          <w:szCs w:val="24"/>
        </w:rPr>
        <w:t xml:space="preserve"> of the global economy, particularly in developing nations. According to the Food and Agriculture Organization (FAO, 2022), agriculture contributes approximately 4% to global GDP but employs nearly 27% of the world's workforce, highlighting its socio-economic significance beyond mere economic output statistics. The sector faces numerous challenges globally, including climate change, resource constraints, and market inefficiencies. Despite these challenges, technological innovations and increased investment in agriculture have led to productivity improvements in many regions</w:t>
      </w:r>
      <w:r w:rsidR="00A21591">
        <w:rPr>
          <w:rFonts w:ascii="Times New Roman" w:hAnsi="Times New Roman" w:cs="Times New Roman"/>
          <w:sz w:val="24"/>
          <w:szCs w:val="24"/>
        </w:rPr>
        <w:t xml:space="preserve"> (</w:t>
      </w:r>
      <w:proofErr w:type="spellStart"/>
      <w:r w:rsidR="00A21591" w:rsidRPr="00A21591">
        <w:rPr>
          <w:rFonts w:ascii="Times New Roman" w:hAnsi="Times New Roman"/>
          <w:sz w:val="24"/>
          <w:szCs w:val="24"/>
        </w:rPr>
        <w:t>Osiobe</w:t>
      </w:r>
      <w:proofErr w:type="spellEnd"/>
      <w:r w:rsidR="00A21591" w:rsidRPr="00A21591">
        <w:rPr>
          <w:rFonts w:ascii="Times New Roman" w:hAnsi="Times New Roman"/>
          <w:sz w:val="24"/>
          <w:szCs w:val="24"/>
        </w:rPr>
        <w:t xml:space="preserve"> &amp; </w:t>
      </w:r>
      <w:proofErr w:type="spellStart"/>
      <w:r w:rsidR="00A21591" w:rsidRPr="00A21591">
        <w:rPr>
          <w:rFonts w:ascii="Times New Roman" w:hAnsi="Times New Roman"/>
          <w:sz w:val="24"/>
          <w:szCs w:val="24"/>
        </w:rPr>
        <w:t>Oseghe</w:t>
      </w:r>
      <w:proofErr w:type="spellEnd"/>
      <w:r w:rsidR="00A21591">
        <w:rPr>
          <w:rFonts w:ascii="Times New Roman" w:hAnsi="Times New Roman"/>
          <w:sz w:val="24"/>
          <w:szCs w:val="24"/>
        </w:rPr>
        <w:t xml:space="preserve">, </w:t>
      </w:r>
      <w:r w:rsidR="00A21591" w:rsidRPr="00A21591">
        <w:rPr>
          <w:rFonts w:ascii="Times New Roman" w:hAnsi="Times New Roman"/>
          <w:sz w:val="24"/>
          <w:szCs w:val="24"/>
        </w:rPr>
        <w:t>2020)</w:t>
      </w:r>
      <w:r w:rsidRPr="00555B5D">
        <w:rPr>
          <w:rFonts w:ascii="Times New Roman" w:hAnsi="Times New Roman" w:cs="Times New Roman"/>
          <w:sz w:val="24"/>
          <w:szCs w:val="24"/>
        </w:rPr>
        <w:t xml:space="preserve">. Global agricultural productivity has increased by approximately 1.63% annually over the past decade, though this falls short of the 1.73% growth rate needed to sustainably meet the food, feed, </w:t>
      </w:r>
      <w:r w:rsidR="000E3AD1" w:rsidRPr="00555B5D">
        <w:rPr>
          <w:rFonts w:ascii="Times New Roman" w:hAnsi="Times New Roman" w:cs="Times New Roman"/>
          <w:sz w:val="24"/>
          <w:szCs w:val="24"/>
        </w:rPr>
        <w:t>fibre</w:t>
      </w:r>
      <w:r w:rsidRPr="00555B5D">
        <w:rPr>
          <w:rFonts w:ascii="Times New Roman" w:hAnsi="Times New Roman" w:cs="Times New Roman"/>
          <w:sz w:val="24"/>
          <w:szCs w:val="24"/>
        </w:rPr>
        <w:t>, and bioenergy needs of 2050 (Global Agricultural Productivity Report, 2022).</w:t>
      </w:r>
    </w:p>
    <w:p w14:paraId="09670ED9"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In Nigeria, agriculture has historically been the backbone of the economy, predating the discovery of oil. The data reveals patterns in the contribution of agriculture to Nigeria's GDP over the period 1986 to 2024. In 1986, agriculture contributed 18.2% to GDP, which increased to a peak of 37.348% in 2002, representing the highest contribution during the period under review. This peak coincided with various agricultural policies and reforms </w:t>
      </w:r>
      <w:r w:rsidR="004D4045" w:rsidRPr="00555B5D">
        <w:rPr>
          <w:rFonts w:ascii="Times New Roman" w:hAnsi="Times New Roman" w:cs="Times New Roman"/>
          <w:sz w:val="24"/>
          <w:szCs w:val="24"/>
        </w:rPr>
        <w:t xml:space="preserve">such as The National Agricultural Land Development Authority (NALDA) was established in 1992 </w:t>
      </w:r>
      <w:r w:rsidR="00AC15E5" w:rsidRPr="00555B5D">
        <w:rPr>
          <w:rFonts w:ascii="Times New Roman" w:hAnsi="Times New Roman" w:cs="Times New Roman"/>
          <w:sz w:val="24"/>
          <w:szCs w:val="24"/>
        </w:rPr>
        <w:t xml:space="preserve">and the Agricultural Development Projects (ADPs) </w:t>
      </w:r>
      <w:r w:rsidR="004D4045" w:rsidRPr="00555B5D">
        <w:rPr>
          <w:rFonts w:ascii="Times New Roman" w:hAnsi="Times New Roman" w:cs="Times New Roman"/>
          <w:sz w:val="24"/>
          <w:szCs w:val="24"/>
        </w:rPr>
        <w:t xml:space="preserve">to optimize land use and improve agricultural productivity through supporting smallholder farmers with inputs, technology, and extension services </w:t>
      </w:r>
      <w:r w:rsidRPr="00555B5D">
        <w:rPr>
          <w:rFonts w:ascii="Times New Roman" w:hAnsi="Times New Roman" w:cs="Times New Roman"/>
          <w:sz w:val="24"/>
          <w:szCs w:val="24"/>
        </w:rPr>
        <w:t>implemented during that period</w:t>
      </w:r>
      <w:r w:rsidR="000E3AD1" w:rsidRPr="00555B5D">
        <w:rPr>
          <w:rFonts w:ascii="Times New Roman" w:hAnsi="Times New Roman" w:cs="Times New Roman"/>
          <w:sz w:val="24"/>
          <w:szCs w:val="24"/>
        </w:rPr>
        <w:t xml:space="preserve"> (Olanrewaju et al., 2022)</w:t>
      </w:r>
      <w:r w:rsidRPr="00555B5D">
        <w:rPr>
          <w:rFonts w:ascii="Times New Roman" w:hAnsi="Times New Roman" w:cs="Times New Roman"/>
          <w:sz w:val="24"/>
          <w:szCs w:val="24"/>
        </w:rPr>
        <w:t xml:space="preserve">. Subsequently, there was a gradual decline, with agricultural contribution hovering around 20-25% in recent years, with the latest figure standing at 26.8% in 2024. This pattern reflects structural changes in the Nigerian economy, with increased diversification and the growing importance of other sectors such as services and manufacturing. Nevertheless, agriculture remains a significant contributor to Nigeria's GDP and employs approximately 35% of the </w:t>
      </w:r>
      <w:r w:rsidR="000E3AD1" w:rsidRPr="00555B5D">
        <w:rPr>
          <w:rFonts w:ascii="Times New Roman" w:hAnsi="Times New Roman" w:cs="Times New Roman"/>
          <w:sz w:val="24"/>
          <w:szCs w:val="24"/>
        </w:rPr>
        <w:t>labour</w:t>
      </w:r>
      <w:r w:rsidRPr="00555B5D">
        <w:rPr>
          <w:rFonts w:ascii="Times New Roman" w:hAnsi="Times New Roman" w:cs="Times New Roman"/>
          <w:sz w:val="24"/>
          <w:szCs w:val="24"/>
        </w:rPr>
        <w:t xml:space="preserve"> force (National Bureau of Statistics, 2023).</w:t>
      </w:r>
    </w:p>
    <w:p w14:paraId="51B15487"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The performance of Nigeria's agricultural sector has been influenced by various factors, including government policies, climate conditions, technological adoption, and access to finance. According to Adewale et al. (2022), agricultural productivity in Nigeria has been constrained by limited mechanization, inadequate infrastructure, and insufficient access to credit facilities. The sector's growth has been uneven across different sub-sectors, with crop production consistently outperforming livestock, forestry, and fisheries. The Central Bank of Nigeria (2023) reported that crop production accounted for approximately 87.5% of agricultural GDP in 2022, followed by livestock (8.1%), fisheries (3.2%), and forestry (1.2%).</w:t>
      </w:r>
    </w:p>
    <w:p w14:paraId="1B0493A4" w14:textId="77777777" w:rsidR="0080266D" w:rsidRDefault="004D4045"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Given that well-functioning capital markets are essential enablers of investment flows, resource mobilization, and sectoral development, it is imperative to examine how capital market </w:t>
      </w:r>
      <w:r w:rsidRPr="00555B5D">
        <w:rPr>
          <w:rFonts w:ascii="Times New Roman" w:hAnsi="Times New Roman" w:cs="Times New Roman"/>
          <w:sz w:val="24"/>
          <w:szCs w:val="24"/>
        </w:rPr>
        <w:lastRenderedPageBreak/>
        <w:t>fundamentals</w:t>
      </w:r>
      <w:r w:rsidR="000E3AD1" w:rsidRPr="00555B5D">
        <w:rPr>
          <w:rFonts w:ascii="Times New Roman" w:hAnsi="Times New Roman" w:cs="Times New Roman"/>
          <w:sz w:val="24"/>
          <w:szCs w:val="24"/>
        </w:rPr>
        <w:t xml:space="preserve">, </w:t>
      </w:r>
      <w:r w:rsidRPr="00555B5D">
        <w:rPr>
          <w:rFonts w:ascii="Times New Roman" w:hAnsi="Times New Roman" w:cs="Times New Roman"/>
          <w:sz w:val="24"/>
          <w:szCs w:val="24"/>
        </w:rPr>
        <w:t xml:space="preserve">represented by the </w:t>
      </w:r>
      <w:r w:rsidR="000E3AD1"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Equities, and Corporate Bonds</w:t>
      </w:r>
      <w:r w:rsidR="000E3AD1" w:rsidRPr="00555B5D">
        <w:rPr>
          <w:rFonts w:ascii="Times New Roman" w:hAnsi="Times New Roman" w:cs="Times New Roman"/>
          <w:sz w:val="24"/>
          <w:szCs w:val="24"/>
        </w:rPr>
        <w:t xml:space="preserve">, </w:t>
      </w:r>
      <w:r w:rsidRPr="00555B5D">
        <w:rPr>
          <w:rFonts w:ascii="Times New Roman" w:hAnsi="Times New Roman" w:cs="Times New Roman"/>
          <w:sz w:val="24"/>
          <w:szCs w:val="24"/>
        </w:rPr>
        <w:t>have influenced the performance of the agricultural sector in Nigeria. Therefore, it is in the interest of this study to conduct an analysis of how these components of the capital market, have impacted the agricultural sector’s contribution to GDP over the period 1986 to 2024.</w:t>
      </w:r>
    </w:p>
    <w:p w14:paraId="19A0B0D4" w14:textId="77777777" w:rsidR="00A8606D" w:rsidRDefault="003343A7" w:rsidP="0080266D">
      <w:pPr>
        <w:jc w:val="both"/>
        <w:rPr>
          <w:rFonts w:ascii="Times New Roman" w:hAnsi="Times New Roman" w:cs="Times New Roman"/>
          <w:sz w:val="24"/>
          <w:szCs w:val="24"/>
        </w:rPr>
      </w:pPr>
      <w:r w:rsidRPr="006F0ECC">
        <w:rPr>
          <w:rFonts w:ascii="Times New Roman" w:hAnsi="Times New Roman" w:cs="Times New Roman"/>
          <w:sz w:val="24"/>
          <w:szCs w:val="24"/>
        </w:rPr>
        <w:t>The s</w:t>
      </w:r>
      <w:r>
        <w:rPr>
          <w:rFonts w:ascii="Times New Roman" w:hAnsi="Times New Roman" w:cs="Times New Roman"/>
          <w:sz w:val="24"/>
          <w:szCs w:val="24"/>
        </w:rPr>
        <w:t>eminar</w:t>
      </w:r>
      <w:r w:rsidRPr="006F0ECC">
        <w:rPr>
          <w:rFonts w:ascii="Times New Roman" w:hAnsi="Times New Roman" w:cs="Times New Roman"/>
          <w:sz w:val="24"/>
          <w:szCs w:val="24"/>
        </w:rPr>
        <w:t xml:space="preserve"> addressed the following research questions</w:t>
      </w:r>
      <w:r>
        <w:rPr>
          <w:rFonts w:ascii="Times New Roman" w:hAnsi="Times New Roman" w:cs="Times New Roman"/>
          <w:sz w:val="24"/>
          <w:szCs w:val="24"/>
        </w:rPr>
        <w:t>:</w:t>
      </w:r>
    </w:p>
    <w:p w14:paraId="44AC7BF9" w14:textId="77777777" w:rsidR="003343A7" w:rsidRDefault="003343A7" w:rsidP="003343A7">
      <w:pPr>
        <w:pStyle w:val="ListParagraph"/>
        <w:numPr>
          <w:ilvl w:val="0"/>
          <w:numId w:val="2"/>
        </w:numPr>
        <w:jc w:val="both"/>
        <w:rPr>
          <w:rFonts w:ascii="Times New Roman" w:hAnsi="Times New Roman" w:cs="Times New Roman"/>
          <w:sz w:val="24"/>
          <w:szCs w:val="24"/>
        </w:rPr>
      </w:pPr>
      <w:r w:rsidRPr="003343A7">
        <w:rPr>
          <w:rFonts w:ascii="Times New Roman" w:hAnsi="Times New Roman" w:cs="Times New Roman"/>
          <w:sz w:val="24"/>
          <w:szCs w:val="24"/>
        </w:rPr>
        <w:t xml:space="preserve">To what extent does the </w:t>
      </w:r>
      <w:r w:rsidR="00F07EF6" w:rsidRPr="003343A7">
        <w:rPr>
          <w:rFonts w:ascii="Times New Roman" w:hAnsi="Times New Roman" w:cs="Times New Roman"/>
          <w:sz w:val="24"/>
          <w:szCs w:val="24"/>
        </w:rPr>
        <w:t>All-Share</w:t>
      </w:r>
      <w:r w:rsidRPr="003343A7">
        <w:rPr>
          <w:rFonts w:ascii="Times New Roman" w:hAnsi="Times New Roman" w:cs="Times New Roman"/>
          <w:sz w:val="24"/>
          <w:szCs w:val="24"/>
        </w:rPr>
        <w:t xml:space="preserve"> Index (ASI) impact the </w:t>
      </w:r>
      <w:r>
        <w:rPr>
          <w:rFonts w:ascii="Times New Roman" w:hAnsi="Times New Roman" w:cs="Times New Roman"/>
          <w:sz w:val="24"/>
          <w:szCs w:val="24"/>
        </w:rPr>
        <w:t>performance</w:t>
      </w:r>
      <w:r w:rsidRPr="003343A7">
        <w:rPr>
          <w:rFonts w:ascii="Times New Roman" w:hAnsi="Times New Roman" w:cs="Times New Roman"/>
          <w:sz w:val="24"/>
          <w:szCs w:val="24"/>
        </w:rPr>
        <w:t xml:space="preserve"> of the agricultural sector in Nigeria?</w:t>
      </w:r>
    </w:p>
    <w:p w14:paraId="281CD9D3" w14:textId="77777777" w:rsidR="003343A7" w:rsidRDefault="003343A7" w:rsidP="003343A7">
      <w:pPr>
        <w:pStyle w:val="ListParagraph"/>
        <w:numPr>
          <w:ilvl w:val="0"/>
          <w:numId w:val="2"/>
        </w:numPr>
        <w:jc w:val="both"/>
        <w:rPr>
          <w:rFonts w:ascii="Times New Roman" w:hAnsi="Times New Roman" w:cs="Times New Roman"/>
          <w:sz w:val="24"/>
          <w:szCs w:val="24"/>
        </w:rPr>
      </w:pPr>
      <w:r w:rsidRPr="003343A7">
        <w:rPr>
          <w:rFonts w:ascii="Times New Roman" w:hAnsi="Times New Roman" w:cs="Times New Roman"/>
          <w:sz w:val="24"/>
          <w:szCs w:val="24"/>
        </w:rPr>
        <w:t xml:space="preserve">What is the </w:t>
      </w:r>
      <w:r>
        <w:rPr>
          <w:rFonts w:ascii="Times New Roman" w:hAnsi="Times New Roman" w:cs="Times New Roman"/>
          <w:sz w:val="24"/>
          <w:szCs w:val="24"/>
        </w:rPr>
        <w:t>impact</w:t>
      </w:r>
      <w:r w:rsidRPr="003343A7">
        <w:rPr>
          <w:rFonts w:ascii="Times New Roman" w:hAnsi="Times New Roman" w:cs="Times New Roman"/>
          <w:sz w:val="24"/>
          <w:szCs w:val="24"/>
        </w:rPr>
        <w:t xml:space="preserve"> of equity market capitalization on agricultural sector performance in Nigeria?</w:t>
      </w:r>
    </w:p>
    <w:p w14:paraId="75DD295F" w14:textId="77777777" w:rsidR="003343A7" w:rsidRPr="003343A7" w:rsidRDefault="003343A7" w:rsidP="003343A7">
      <w:pPr>
        <w:pStyle w:val="ListParagraph"/>
        <w:numPr>
          <w:ilvl w:val="0"/>
          <w:numId w:val="2"/>
        </w:numPr>
        <w:jc w:val="both"/>
        <w:rPr>
          <w:rFonts w:ascii="Times New Roman" w:hAnsi="Times New Roman" w:cs="Times New Roman"/>
          <w:sz w:val="24"/>
          <w:szCs w:val="24"/>
        </w:rPr>
      </w:pPr>
      <w:r w:rsidRPr="003343A7">
        <w:rPr>
          <w:rFonts w:ascii="Times New Roman" w:hAnsi="Times New Roman" w:cs="Times New Roman"/>
          <w:sz w:val="24"/>
          <w:szCs w:val="24"/>
        </w:rPr>
        <w:t xml:space="preserve">How does corporate bond issuance influence agricultural sector </w:t>
      </w:r>
      <w:r>
        <w:rPr>
          <w:rFonts w:ascii="Times New Roman" w:hAnsi="Times New Roman" w:cs="Times New Roman"/>
          <w:sz w:val="24"/>
          <w:szCs w:val="24"/>
        </w:rPr>
        <w:t>performance</w:t>
      </w:r>
      <w:r w:rsidRPr="003343A7">
        <w:rPr>
          <w:rFonts w:ascii="Times New Roman" w:hAnsi="Times New Roman" w:cs="Times New Roman"/>
          <w:sz w:val="24"/>
          <w:szCs w:val="24"/>
        </w:rPr>
        <w:t xml:space="preserve"> in Nigeria?</w:t>
      </w:r>
    </w:p>
    <w:p w14:paraId="40892AC8" w14:textId="77777777" w:rsidR="003343A7" w:rsidRPr="003343A7" w:rsidRDefault="003343A7" w:rsidP="0080266D">
      <w:pPr>
        <w:jc w:val="both"/>
        <w:rPr>
          <w:rFonts w:ascii="Times New Roman" w:hAnsi="Times New Roman" w:cs="Times New Roman"/>
          <w:sz w:val="24"/>
          <w:szCs w:val="24"/>
        </w:rPr>
      </w:pPr>
    </w:p>
    <w:p w14:paraId="693B0B80" w14:textId="77777777" w:rsidR="004D4045"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II.</w:t>
      </w:r>
      <w:r w:rsidRPr="00555B5D">
        <w:rPr>
          <w:rFonts w:ascii="Times New Roman" w:hAnsi="Times New Roman" w:cs="Times New Roman"/>
          <w:b/>
          <w:bCs/>
          <w:sz w:val="24"/>
          <w:szCs w:val="24"/>
        </w:rPr>
        <w:tab/>
      </w:r>
      <w:r w:rsidR="004D4045" w:rsidRPr="00555B5D">
        <w:rPr>
          <w:rFonts w:ascii="Times New Roman" w:hAnsi="Times New Roman" w:cs="Times New Roman"/>
          <w:b/>
          <w:bCs/>
          <w:sz w:val="24"/>
          <w:szCs w:val="24"/>
        </w:rPr>
        <w:t>Literature Review</w:t>
      </w:r>
    </w:p>
    <w:p w14:paraId="19352D55" w14:textId="77777777" w:rsidR="004D4045" w:rsidRPr="00555B5D" w:rsidRDefault="00D45B60"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Conceptual Review</w:t>
      </w:r>
    </w:p>
    <w:p w14:paraId="2818C4B6" w14:textId="77777777" w:rsidR="00D03959"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Capital market fundamentals</w:t>
      </w:r>
    </w:p>
    <w:p w14:paraId="593F41BF"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Capital market fundamentals refer to the essential indicators and instruments that reflect the depth, efficiency, and functionality of a country's capital market. These fundamentals are vital for economic development, as they facilitate the mobilization and allocation of long-term funds to productive sectors. Among the most recognized proxies for measuring capital market performance are the </w:t>
      </w:r>
      <w:r w:rsidR="00215DE2"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Equities, and Corporate Bonds. These elements collectively provide insight into market activity, investor confidence, and the degree to which capital markets support broader economic growth.</w:t>
      </w:r>
    </w:p>
    <w:p w14:paraId="6ACA2F1A"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The All Share Index (ASI) is a comprehensive indicator that captures the overall performance of all listed companies on a stock exchange. It reflects changes in the market capitalization of these companies and serves as a barometer of market sentiment and investor confidence. According to Emenike and </w:t>
      </w:r>
      <w:proofErr w:type="spellStart"/>
      <w:r w:rsidRPr="00555B5D">
        <w:rPr>
          <w:rFonts w:ascii="Times New Roman" w:hAnsi="Times New Roman" w:cs="Times New Roman"/>
          <w:sz w:val="24"/>
          <w:szCs w:val="24"/>
        </w:rPr>
        <w:t>Acha</w:t>
      </w:r>
      <w:proofErr w:type="spellEnd"/>
      <w:r w:rsidRPr="00555B5D">
        <w:rPr>
          <w:rFonts w:ascii="Times New Roman" w:hAnsi="Times New Roman" w:cs="Times New Roman"/>
          <w:sz w:val="24"/>
          <w:szCs w:val="24"/>
        </w:rPr>
        <w:t xml:space="preserve"> (2021), the ASI is instrumental in gauging the health of the stock market, as it aggregates the value of all listed securities and tracks their fluctuations over time. When the ASI rises, it generally indicates positive investor sentiment and a bullish market, which may encourage more investments across economic sectors. Conversely, a declining ASI suggests bearish market conditions, reduced investor confidence, and lower capital inflows.</w:t>
      </w:r>
    </w:p>
    <w:p w14:paraId="697DD5CE"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Equities, also known as stocks or shares, represent ownership interests in companies. These instruments are issued by firms seeking to raise capital for expansion, operations, or other strategic initiatives. Investors who purchase equities become partial owners of the issuing company and may earn returns through dividends and capital gains. As noted by </w:t>
      </w:r>
      <w:proofErr w:type="spellStart"/>
      <w:r w:rsidRPr="00555B5D">
        <w:rPr>
          <w:rFonts w:ascii="Times New Roman" w:hAnsi="Times New Roman" w:cs="Times New Roman"/>
          <w:sz w:val="24"/>
          <w:szCs w:val="24"/>
        </w:rPr>
        <w:t>Omodero</w:t>
      </w:r>
      <w:proofErr w:type="spellEnd"/>
      <w:r w:rsidRPr="00555B5D">
        <w:rPr>
          <w:rFonts w:ascii="Times New Roman" w:hAnsi="Times New Roman" w:cs="Times New Roman"/>
          <w:sz w:val="24"/>
          <w:szCs w:val="24"/>
        </w:rPr>
        <w:t xml:space="preserve"> (2022), equities are a critical component of capital market development, as they facilitate capital formation and provide firms with access to funds that are often more cost-effective than bank loans. The volume and value of equities traded on the stock exchange reflect both the liquidity and attractiveness of the market to domestic and foreign investors. In developing economies like Nigeria, increased equity </w:t>
      </w:r>
      <w:r w:rsidRPr="00555B5D">
        <w:rPr>
          <w:rFonts w:ascii="Times New Roman" w:hAnsi="Times New Roman" w:cs="Times New Roman"/>
          <w:sz w:val="24"/>
          <w:szCs w:val="24"/>
        </w:rPr>
        <w:lastRenderedPageBreak/>
        <w:t xml:space="preserve">issuance is often seen as a sign of growing investor confidence and economic potential (Ibe &amp; </w:t>
      </w:r>
      <w:proofErr w:type="spellStart"/>
      <w:r w:rsidRPr="00555B5D">
        <w:rPr>
          <w:rFonts w:ascii="Times New Roman" w:hAnsi="Times New Roman" w:cs="Times New Roman"/>
          <w:sz w:val="24"/>
          <w:szCs w:val="24"/>
        </w:rPr>
        <w:t>Nwogwugwu</w:t>
      </w:r>
      <w:proofErr w:type="spellEnd"/>
      <w:r w:rsidRPr="00555B5D">
        <w:rPr>
          <w:rFonts w:ascii="Times New Roman" w:hAnsi="Times New Roman" w:cs="Times New Roman"/>
          <w:sz w:val="24"/>
          <w:szCs w:val="24"/>
        </w:rPr>
        <w:t>, 2020).</w:t>
      </w:r>
    </w:p>
    <w:p w14:paraId="1B802644"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Corporate bonds are another fundamental instrument within the capital market framework. These are debt securities issued by companies to raise funds from the investing public. Unlike equities, corporate bonds do not confer ownership but represent a loan from the investor to the issuer, with an agreement to pay periodic interest and repay the principal at maturity. The development and diversification of the corporate bond market are crucial for broadening the financing options available to businesses, especially in economies where credit from traditional banking systems may be limited or expensive. As highlighted by Nwani and Okoh (2023), a vibrant corporate bond market enhances capital market depth, reduces overreliance on equities, and supports long-term infrastructural and industrial financing.</w:t>
      </w:r>
    </w:p>
    <w:p w14:paraId="1E48BDCC"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Capital market fundamentals, when effectively developed and managed, contribute to the efficient allocation of resources and the promotion of economic growth. According to Afolabi and Okafor (2022), the strength of a country's capital market, measured through indicators such as ASI, equity capitalization, and corporate bond volume, is often associated with increased economic resilience, higher investment rates, and improved productivity across sectors. </w:t>
      </w:r>
    </w:p>
    <w:p w14:paraId="67A5EC56" w14:textId="77777777" w:rsidR="00D45B60"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Agricultural Sector Performance</w:t>
      </w:r>
    </w:p>
    <w:p w14:paraId="6368860B"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The performance of the agricultural sector is a key indicator of a nation's economic health, especially in developing countries where agriculture constitutes a major source of employment, food security, and income generation. Conceptually, the performance of the agricultural sector is often assessed through its contribution to Gross Domestic Product (GDP), which provides a macro-level understanding of the sector’s role in national output. This approach is widely used in empirical literature and economic analyses to gauge the productivity, growth, and structural transformation of the agricultural sector over time.</w:t>
      </w:r>
    </w:p>
    <w:p w14:paraId="3BEB35EE"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Agricultural performance, measured as the percentage contribution of agriculture to GDP, reflects the sector’s capacity to generate value added through crop production, livestock, fisheries, and forestry. According to Akinwunmi and </w:t>
      </w:r>
      <w:proofErr w:type="spellStart"/>
      <w:r w:rsidRPr="00555B5D">
        <w:rPr>
          <w:rFonts w:ascii="Times New Roman" w:hAnsi="Times New Roman" w:cs="Times New Roman"/>
          <w:sz w:val="24"/>
          <w:szCs w:val="24"/>
        </w:rPr>
        <w:t>Olowolafe</w:t>
      </w:r>
      <w:proofErr w:type="spellEnd"/>
      <w:r w:rsidRPr="00555B5D">
        <w:rPr>
          <w:rFonts w:ascii="Times New Roman" w:hAnsi="Times New Roman" w:cs="Times New Roman"/>
          <w:sz w:val="24"/>
          <w:szCs w:val="24"/>
        </w:rPr>
        <w:t xml:space="preserve"> (2022), this measure captures the economic weight of agriculture relative to other sectors and is instrumental in policy evaluation, particularly in assessing the success of agricultural development strategies and financial interventions. A consistently high or increasing contribution to GDP is often interpreted as a sign of sectoral strength, while stagnation or decline may indicate structural issues such as low investment, productivity constraints, or adverse climatic and policy conditions.</w:t>
      </w:r>
    </w:p>
    <w:p w14:paraId="4980AE72"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The concept of agricultural performance extends beyond output figures to include efficiency, technological adoption, and linkages with other sectors. For instance, Adebayo and Yusuf (2021) emphasized that in agrarian economies, the ability of agriculture to contribute meaningfully to GDP also depends on its integration with manufacturing and services through agro-processing and value chain development. Therefore, a sector that shows robust GDP contribution often signals broader socio-economic benefits, including rural development and poverty reduction. On the contrary, a weak agricultural GDP share may reveal inefficiencies in production systems, poor access to finance, and underutilization of land and </w:t>
      </w:r>
      <w:r w:rsidR="004E2A8A" w:rsidRPr="00555B5D">
        <w:rPr>
          <w:rFonts w:ascii="Times New Roman" w:hAnsi="Times New Roman" w:cs="Times New Roman"/>
          <w:sz w:val="24"/>
          <w:szCs w:val="24"/>
        </w:rPr>
        <w:t>labour</w:t>
      </w:r>
      <w:r w:rsidRPr="00555B5D">
        <w:rPr>
          <w:rFonts w:ascii="Times New Roman" w:hAnsi="Times New Roman" w:cs="Times New Roman"/>
          <w:sz w:val="24"/>
          <w:szCs w:val="24"/>
        </w:rPr>
        <w:t xml:space="preserve"> resources.</w:t>
      </w:r>
    </w:p>
    <w:p w14:paraId="68B13416" w14:textId="77777777" w:rsidR="00D03959"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lastRenderedPageBreak/>
        <w:t>Underpinning Theory</w:t>
      </w:r>
    </w:p>
    <w:p w14:paraId="712826AD" w14:textId="77777777" w:rsidR="009E45C7" w:rsidRPr="00555B5D" w:rsidRDefault="009E45C7" w:rsidP="009E45C7">
      <w:pPr>
        <w:jc w:val="both"/>
        <w:rPr>
          <w:rFonts w:ascii="Times New Roman" w:hAnsi="Times New Roman" w:cs="Times New Roman"/>
          <w:sz w:val="24"/>
          <w:szCs w:val="24"/>
        </w:rPr>
      </w:pPr>
      <w:r w:rsidRPr="00555B5D">
        <w:rPr>
          <w:rFonts w:ascii="Times New Roman" w:hAnsi="Times New Roman" w:cs="Times New Roman"/>
          <w:sz w:val="24"/>
          <w:szCs w:val="24"/>
        </w:rPr>
        <w:t>The theoretical underpinning for this study is the Financial Intermediation Theory, originally propounded by Gurley and Shaw in 1960. This theory, developed within the framework of financial economics, explains the vital role of financial institutions and markets—such as banks, stock exchanges, and bond markets</w:t>
      </w:r>
      <w:r w:rsidR="006C224C">
        <w:rPr>
          <w:rFonts w:ascii="Times New Roman" w:hAnsi="Times New Roman" w:cs="Times New Roman"/>
          <w:sz w:val="24"/>
          <w:szCs w:val="24"/>
        </w:rPr>
        <w:t xml:space="preserve">, </w:t>
      </w:r>
      <w:r w:rsidRPr="00555B5D">
        <w:rPr>
          <w:rFonts w:ascii="Times New Roman" w:hAnsi="Times New Roman" w:cs="Times New Roman"/>
          <w:sz w:val="24"/>
          <w:szCs w:val="24"/>
        </w:rPr>
        <w:t>in mobilizing savings and allocating them to productive investments. According to Gurley and Shaw (1960), financial intermediaries serve as a bridge between surplus economic units (savers) and deficit economic units (borrowers), thus facilitating the flow of capital across the economy. The theory posits that a well-functioning financial system, including a vibrant capital market, enhances economic growth by reducing transaction costs, increasing liquidity, and efficiently allocating resources to sectors where they are most needed. In this context, capital market fundamentals</w:t>
      </w:r>
      <w:r w:rsidR="006C224C">
        <w:rPr>
          <w:rFonts w:ascii="Times New Roman" w:hAnsi="Times New Roman" w:cs="Times New Roman"/>
          <w:sz w:val="24"/>
          <w:szCs w:val="24"/>
        </w:rPr>
        <w:t xml:space="preserve">, </w:t>
      </w:r>
      <w:r w:rsidRPr="00555B5D">
        <w:rPr>
          <w:rFonts w:ascii="Times New Roman" w:hAnsi="Times New Roman" w:cs="Times New Roman"/>
          <w:sz w:val="24"/>
          <w:szCs w:val="24"/>
        </w:rPr>
        <w:t>represented by the All Share Index, Equities, and Corporate Bonds, are crucial in financing long-term investments, including those in the agricultural sector.</w:t>
      </w:r>
    </w:p>
    <w:p w14:paraId="2C60B043" w14:textId="77777777" w:rsidR="009E45C7" w:rsidRPr="00555B5D" w:rsidRDefault="009E45C7" w:rsidP="009E45C7">
      <w:pPr>
        <w:jc w:val="both"/>
        <w:rPr>
          <w:rFonts w:ascii="Times New Roman" w:hAnsi="Times New Roman" w:cs="Times New Roman"/>
          <w:sz w:val="24"/>
          <w:szCs w:val="24"/>
        </w:rPr>
      </w:pPr>
      <w:r w:rsidRPr="00555B5D">
        <w:rPr>
          <w:rFonts w:ascii="Times New Roman" w:hAnsi="Times New Roman" w:cs="Times New Roman"/>
          <w:sz w:val="24"/>
          <w:szCs w:val="24"/>
        </w:rPr>
        <w:t>The relevance of this theory to the current study lies in its emphasis on the importance of capital market development in driving sectoral productivity and output. By providing long-term funds through instruments such as equities and corporate bonds, the capital market can stimulate investment in agriculture, thereby improving its performance and contribution to Gross Domestic Product (GDP). This theoretical perspective supports the assumption that deepening capital markets</w:t>
      </w:r>
      <w:r w:rsidR="00A8606D">
        <w:rPr>
          <w:rFonts w:ascii="Times New Roman" w:hAnsi="Times New Roman" w:cs="Times New Roman"/>
          <w:sz w:val="24"/>
          <w:szCs w:val="24"/>
        </w:rPr>
        <w:t xml:space="preserve">, </w:t>
      </w:r>
      <w:r w:rsidRPr="00555B5D">
        <w:rPr>
          <w:rFonts w:ascii="Times New Roman" w:hAnsi="Times New Roman" w:cs="Times New Roman"/>
          <w:sz w:val="24"/>
          <w:szCs w:val="24"/>
        </w:rPr>
        <w:t>reflected in rising ASI, equity capitalization, and bond issuance</w:t>
      </w:r>
      <w:r w:rsidR="006C224C">
        <w:rPr>
          <w:rFonts w:ascii="Times New Roman" w:hAnsi="Times New Roman" w:cs="Times New Roman"/>
          <w:sz w:val="24"/>
          <w:szCs w:val="24"/>
        </w:rPr>
        <w:t xml:space="preserve">, </w:t>
      </w:r>
      <w:r w:rsidRPr="00555B5D">
        <w:rPr>
          <w:rFonts w:ascii="Times New Roman" w:hAnsi="Times New Roman" w:cs="Times New Roman"/>
          <w:sz w:val="24"/>
          <w:szCs w:val="24"/>
        </w:rPr>
        <w:t>should enhance the productivity and output of agriculture in Nigeria by increasing the availability of financial resources to agribusinesses, cooperatives, and value chain actors.</w:t>
      </w:r>
    </w:p>
    <w:p w14:paraId="1456C618" w14:textId="77777777" w:rsidR="0083462A" w:rsidRPr="00555B5D" w:rsidRDefault="0083462A" w:rsidP="009E45C7">
      <w:pPr>
        <w:jc w:val="both"/>
        <w:rPr>
          <w:rFonts w:ascii="Times New Roman" w:hAnsi="Times New Roman" w:cs="Times New Roman"/>
          <w:b/>
          <w:bCs/>
          <w:sz w:val="24"/>
          <w:szCs w:val="24"/>
        </w:rPr>
      </w:pPr>
      <w:r w:rsidRPr="00555B5D">
        <w:rPr>
          <w:rFonts w:ascii="Times New Roman" w:hAnsi="Times New Roman" w:cs="Times New Roman"/>
          <w:b/>
          <w:bCs/>
          <w:sz w:val="24"/>
          <w:szCs w:val="24"/>
        </w:rPr>
        <w:t>Empirical Reviews</w:t>
      </w:r>
    </w:p>
    <w:p w14:paraId="5FFA52B2" w14:textId="77777777" w:rsidR="0083462A" w:rsidRPr="00555B5D" w:rsidRDefault="0083462A" w:rsidP="0083462A">
      <w:pPr>
        <w:jc w:val="both"/>
        <w:rPr>
          <w:rFonts w:ascii="Times New Roman" w:hAnsi="Times New Roman" w:cs="Times New Roman"/>
          <w:sz w:val="24"/>
          <w:szCs w:val="24"/>
        </w:rPr>
      </w:pPr>
      <w:r w:rsidRPr="00555B5D">
        <w:rPr>
          <w:rFonts w:ascii="Times New Roman" w:hAnsi="Times New Roman" w:cs="Times New Roman"/>
          <w:sz w:val="24"/>
          <w:szCs w:val="24"/>
        </w:rPr>
        <w:t>Below are empirical studies that provide useful insights into study</w:t>
      </w:r>
      <w:r w:rsidR="00953F68">
        <w:rPr>
          <w:rFonts w:ascii="Times New Roman" w:hAnsi="Times New Roman" w:cs="Times New Roman"/>
          <w:sz w:val="24"/>
          <w:szCs w:val="24"/>
        </w:rPr>
        <w:t>:</w:t>
      </w:r>
    </w:p>
    <w:p w14:paraId="2143578C" w14:textId="77777777" w:rsidR="00792604" w:rsidRPr="00555B5D" w:rsidRDefault="00792604" w:rsidP="00792604">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t>Okidim</w:t>
      </w:r>
      <w:proofErr w:type="spellEnd"/>
      <w:r w:rsidRPr="00555B5D">
        <w:rPr>
          <w:rFonts w:ascii="Times New Roman" w:hAnsi="Times New Roman" w:cs="Times New Roman"/>
          <w:sz w:val="24"/>
          <w:szCs w:val="24"/>
        </w:rPr>
        <w:t xml:space="preserve"> </w:t>
      </w:r>
      <w:r w:rsidRPr="006C224C">
        <w:rPr>
          <w:rFonts w:ascii="Times New Roman" w:hAnsi="Times New Roman" w:cs="Times New Roman"/>
          <w:i/>
          <w:iCs/>
          <w:sz w:val="24"/>
          <w:szCs w:val="24"/>
        </w:rPr>
        <w:t>et al.</w:t>
      </w:r>
      <w:r w:rsidRPr="00555B5D">
        <w:rPr>
          <w:rFonts w:ascii="Times New Roman" w:hAnsi="Times New Roman" w:cs="Times New Roman"/>
          <w:sz w:val="24"/>
          <w:szCs w:val="24"/>
        </w:rPr>
        <w:t xml:space="preserve"> (2023) also examined the nexus between capital market activity and agricultural sector output in Nigeria using a broader categorization of capital market proxies. Their study spanned the period from 1981 to 2019 and focused on the effect of share prices from different sectors—conglomerates, agricultural goods, consumer goods, industrial goods, and oil and gas—on agricultural output. After confirming stationarity through unit root testing and identifying long-run equilibrium using Johansen co-integration tests, the authors applied the Vector Error Correction Model (VECM) for the analysis. Results revealed that the share prices of agricultural firms had a positive and statistically significant effect on agricultural output, while share prices of the oil and gas sector showed a significant negative effect. The authors concluded that revenue inflows during oil booms should be better managed through savings and reinvestment in productive sectors like agriculture to minimize negative spillover effects. Although the study broadened the scope of capital market proxies and utilized a robust VECM framework, it did not include other instruments like corporate bonds or consider institutional factors such as regulatory effectiveness or investor behaviour. Moreover, the use of only share price data may not fully capture capital flow dynamics and investment depth within the agricultural sector.</w:t>
      </w:r>
    </w:p>
    <w:p w14:paraId="2F826A61"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Bello and Aremu (2023), the researchers focused on the Nigerian capital market and its influence on the agricultural sector from 1986 to 2022. They used dynamic ARDL </w:t>
      </w:r>
      <w:proofErr w:type="spellStart"/>
      <w:r w:rsidRPr="00555B5D">
        <w:rPr>
          <w:rFonts w:ascii="Times New Roman" w:hAnsi="Times New Roman" w:cs="Times New Roman"/>
          <w:sz w:val="24"/>
          <w:szCs w:val="24"/>
        </w:rPr>
        <w:t>modeling</w:t>
      </w:r>
      <w:proofErr w:type="spellEnd"/>
      <w:r w:rsidRPr="00555B5D">
        <w:rPr>
          <w:rFonts w:ascii="Times New Roman" w:hAnsi="Times New Roman" w:cs="Times New Roman"/>
          <w:sz w:val="24"/>
          <w:szCs w:val="24"/>
        </w:rPr>
        <w:t xml:space="preserve"> to assess the relationship between equities, corporate bonds, and the All Share Index with agricultural GDP </w:t>
      </w:r>
      <w:r w:rsidRPr="00555B5D">
        <w:rPr>
          <w:rFonts w:ascii="Times New Roman" w:hAnsi="Times New Roman" w:cs="Times New Roman"/>
          <w:sz w:val="24"/>
          <w:szCs w:val="24"/>
        </w:rPr>
        <w:lastRenderedPageBreak/>
        <w:t xml:space="preserve">contribution. The findings indicated that corporate bonds had the most significant positive effect on agricultural output, followed by the All Share Index, while equities remained statistically insignificant. The authors attributed this to the long-term nature of bond financing, which aligns with the investment needs of the agricultural sector. However, the study did not address informal capital flows or cooperative financing structures, which play substantial roles in Nigeria’s agricultural </w:t>
      </w:r>
      <w:r w:rsidR="00555B5D" w:rsidRPr="00555B5D">
        <w:rPr>
          <w:rFonts w:ascii="Times New Roman" w:hAnsi="Times New Roman" w:cs="Times New Roman"/>
          <w:sz w:val="24"/>
          <w:szCs w:val="24"/>
        </w:rPr>
        <w:t>site</w:t>
      </w:r>
      <w:r w:rsidRPr="00555B5D">
        <w:rPr>
          <w:rFonts w:ascii="Times New Roman" w:hAnsi="Times New Roman" w:cs="Times New Roman"/>
          <w:sz w:val="24"/>
          <w:szCs w:val="24"/>
        </w:rPr>
        <w:t>. It also did not consider the potential nonlinear relationships or structural breaks in the data series.</w:t>
      </w:r>
    </w:p>
    <w:p w14:paraId="3937E0E2"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Kumar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(2023) conducted a comprehensive analysis of how financial market development influenced agricultural resilience during economic downturns across 30 emerging economies from 2000 to 2022, employing dynamic panel threshold regression models. The study used stock market capitalization, stock market turnover, and private bond market capitalization as measures of financial market development, while agricultural resilience was captured through an index incorporating agricultural output stability, export performance, and employment maintenance during identified economic contraction periods. Their empirical results revealed non-linear relationships between financial market indicators and agricultural resilience, with threshold effects identified for stock market capitalization and private bond market capitalization, where below these thresholds, increases in market capitalization and bond market size had modest positive and statistically significant effects on agricultural resilience, while above the thresholds, the positive effects became substantially stronger and more significant. The study's composite index for agricultural resilience, while innovative, introduces potential measurement issues and may not adequately capture all relevant dimensions of agricultural sector performance during economic stress periods, while the exclusive focus on emerging economies limits the generalizability of findings to less developed or more advanced economies.</w:t>
      </w:r>
    </w:p>
    <w:p w14:paraId="2FBB092E"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Pérez and Salinas (2023) investigated the impact of capital market development on agricultural value-added in Latin American economies, specifically focusing on Chile, Mexico, and Argentina. Covering the period from 1990 to 2021, they employed panel cointegration and causality testing methods. Their findings showed that growth in corporate bond markets significantly increased agricultural value-added, particularly in countries with mature agricultural value chains and stronger rural financial institutions. The All Share Index showed a positive correlation, though less pronounced, while equity market capitalization had mixed effects depending on the country's level of financial literacy and institutional efficiency. Although the research offered valuable regional insights, it assumed homogeneity in regulatory frameworks and rural investment environments, which could lead to overgeneralizations. The study also lacked micro-level data on agribusiness firms, limiting its ability to pinpoint firm-level capital market impacts.</w:t>
      </w:r>
    </w:p>
    <w:p w14:paraId="355C03B3" w14:textId="77777777" w:rsidR="00792604" w:rsidRPr="00555B5D" w:rsidRDefault="00792604" w:rsidP="00792604">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t>Omodero</w:t>
      </w:r>
      <w:proofErr w:type="spellEnd"/>
      <w:r w:rsidRPr="00555B5D">
        <w:rPr>
          <w:rFonts w:ascii="Times New Roman" w:hAnsi="Times New Roman" w:cs="Times New Roman"/>
          <w:sz w:val="24"/>
          <w:szCs w:val="24"/>
        </w:rPr>
        <w:t xml:space="preserve"> (2022) explored the relationship between capital market instruments and economic growth in Nigeria, focusing on sectoral outputs, including agriculture, from 1990 to 2020. Using the ordinary least squares (OLS) regression method, the study found that corporate bonds had a weak but positive influence on agricultural GDP, while equities and the All Share Index exhibited no significant relationship. The study concluded that the capital market’s contribution to the agricultural sector remained minimal due to limited sector-specific financial products and low investor interest in agriculture. Although insightful, the research was limited by its use of aggregate </w:t>
      </w:r>
      <w:r w:rsidRPr="00555B5D">
        <w:rPr>
          <w:rFonts w:ascii="Times New Roman" w:hAnsi="Times New Roman" w:cs="Times New Roman"/>
          <w:sz w:val="24"/>
          <w:szCs w:val="24"/>
        </w:rPr>
        <w:lastRenderedPageBreak/>
        <w:t>economic data, without disaggregating agricultural sub-sectors or accounting for external shocks such as climate variability and policy changes that directly affect agricultural performance.</w:t>
      </w:r>
    </w:p>
    <w:p w14:paraId="2606C9A3"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Olanrewaju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examined the impact of capital market development on agricultural productivity in 15 Sub-Saharan African countries from 2005 to 2020 using panel data analysis techniques, including fixed effects and random effects estimations. Their study employed market capitalization, value of shares traded, and corporate bond market size as proxies for capital market development, while agricultural value added per worker served as the measure for agricultural productivity. Their findings revealed that market capitalization had a positive and statistically significant impact on agricultural productivity, while corporate bond market size exhibited a positive and significant relationship with agricultural productivity. </w:t>
      </w:r>
      <w:r w:rsidR="00555B5D" w:rsidRPr="00555B5D">
        <w:rPr>
          <w:rFonts w:ascii="Times New Roman" w:hAnsi="Times New Roman" w:cs="Times New Roman"/>
          <w:sz w:val="24"/>
          <w:szCs w:val="24"/>
        </w:rPr>
        <w:t>Remarkably</w:t>
      </w:r>
      <w:r w:rsidRPr="00555B5D">
        <w:rPr>
          <w:rFonts w:ascii="Times New Roman" w:hAnsi="Times New Roman" w:cs="Times New Roman"/>
          <w:sz w:val="24"/>
          <w:szCs w:val="24"/>
        </w:rPr>
        <w:t>, the value of shares traded showed no significant impact on agricultural productivity. The isolated focus on agricultural productivity without considering broader dimensions of agricultural sector performance such as employment generation, income distribution, and environmental sustainability limits the study's comprehensiveness, while the aggregation of diverse African countries with varying levels of capital market development and agricultural characteristics may mask country-specific dynamics that could yield more insights.</w:t>
      </w:r>
    </w:p>
    <w:p w14:paraId="6D72435C" w14:textId="77777777" w:rsidR="0083462A" w:rsidRPr="00555B5D" w:rsidRDefault="0083462A" w:rsidP="0083462A">
      <w:pPr>
        <w:jc w:val="both"/>
        <w:rPr>
          <w:rFonts w:ascii="Times New Roman" w:hAnsi="Times New Roman" w:cs="Times New Roman"/>
          <w:sz w:val="24"/>
          <w:szCs w:val="24"/>
        </w:rPr>
      </w:pPr>
      <w:r w:rsidRPr="00555B5D">
        <w:rPr>
          <w:rFonts w:ascii="Times New Roman" w:hAnsi="Times New Roman" w:cs="Times New Roman"/>
          <w:sz w:val="24"/>
          <w:szCs w:val="24"/>
        </w:rPr>
        <w:t xml:space="preserve">In another significant contribution, Zhang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conducted a panel data analysis covering 12 emerging markets, including Brazil, India, and South Africa, from 1995 to 2020. The study aimed to evaluate how stock market performance and bond market development impacted agricultural sector GDP contributions across these countries. Using fixed-effect and system GMM estimators, they found that corporate bond market development had the strongest and most consistent positive impact on agricultural GDP. Meanwhile, fluctuations in the All Share Index were more associated with short-term investment patterns but had limited influence on long-term agricultural performance. While the study benefitted from its wide scope and rigorous estimation techniques, it employed cross-country aggregate data that could mask country-specific institutional differences and financial market structures. Moreover, it did not adequately consider the informal financing mechanisms prevalent in the agriculture sectors of developing countries.</w:t>
      </w:r>
    </w:p>
    <w:p w14:paraId="538F15C2" w14:textId="77777777" w:rsidR="00074F1F" w:rsidRDefault="00074F1F" w:rsidP="00074F1F">
      <w:pPr>
        <w:jc w:val="both"/>
        <w:rPr>
          <w:rFonts w:ascii="Times New Roman" w:hAnsi="Times New Roman" w:cs="Times New Roman"/>
          <w:sz w:val="24"/>
          <w:szCs w:val="24"/>
        </w:rPr>
      </w:pPr>
      <w:r w:rsidRPr="00555B5D">
        <w:rPr>
          <w:rFonts w:ascii="Times New Roman" w:hAnsi="Times New Roman" w:cs="Times New Roman"/>
          <w:sz w:val="24"/>
          <w:szCs w:val="24"/>
        </w:rPr>
        <w:t xml:space="preserve">Zhang and Liu (2022) explored the differential impact of equity and bond markets on agricultural sector development across development stages in a comparative study of 45 countries classified as low-income, middle-income, and high-income economies from 2005 to 2021. Employing System Generalized Method of Moments (GMM) estimation to address potential endogeneity issues, the study examined how equity market development (measured by market capitalization ratio and turnover ratio) and bond market development (measured by private bond market capitalization and public bond market capitalization) influenced agricultural value added growth across different country groups. Their findings revealed that equity market development had stronger positive and statistically significant effects on agricultural growth in low-income and middle-income countries compared to high-income countries, while bond market development showed more pronounced and statistically significant effects in high-income countries compared to middle-income and low-income countries. The relatively short time period covered by the study may not fully capture the long-term structural relationships between capital markets and agricultural development, particularly in economies undergoing significant transformations, while the broad country </w:t>
      </w:r>
      <w:r w:rsidRPr="00555B5D">
        <w:rPr>
          <w:rFonts w:ascii="Times New Roman" w:hAnsi="Times New Roman" w:cs="Times New Roman"/>
          <w:sz w:val="24"/>
          <w:szCs w:val="24"/>
        </w:rPr>
        <w:lastRenderedPageBreak/>
        <w:t>classifications may obscure important regional and country-specific heterogeneities that influence the capital market-agriculture nexus.</w:t>
      </w:r>
    </w:p>
    <w:p w14:paraId="33429EB3" w14:textId="77777777" w:rsidR="006C3C9E" w:rsidRPr="00555B5D" w:rsidRDefault="006C3C9E" w:rsidP="006C3C9E">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t>Obialor</w:t>
      </w:r>
      <w:proofErr w:type="spellEnd"/>
      <w:r w:rsidRPr="00555B5D">
        <w:rPr>
          <w:rFonts w:ascii="Times New Roman" w:hAnsi="Times New Roman" w:cs="Times New Roman"/>
          <w:sz w:val="24"/>
          <w:szCs w:val="24"/>
        </w:rPr>
        <w:t xml:space="preserve">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conducted a study focused on assessing the effects of key capital market indicators on agricultural productivity. The study covered the period from 1987 to 2019 and sourced data from the Central Bank of Nigeria Statistical Bulletin. The researchers employed the Autoregressive Distributed Lag (ARDL) model, which is suitable for datasets with variables of mixed order of integration. The capital market variables examined included market capitalization, value of transactions, and share index, while agricultural sector output served as the dependent variable. The findings revealed that both market capitalization and share index positively influenced agricultural output, whereas the value of transactions had a negative effect. Furthermore, the study observed that capital market variables exerted only short-run effects on the agricultural sector, implying a weak or insignificant long-term financial commitment to agriculture through the capital market. While insightful, the study's model lacked broader capital market instruments such as corporate bonds, and its use of only three variables may have excluded other potentially relevant proxies. Additionally, the time scope ended in 2019, missing recent data trends that could better inform policy in a post-COVID-19 context.</w:t>
      </w:r>
    </w:p>
    <w:p w14:paraId="1DCF1019" w14:textId="77777777" w:rsidR="00DD6369" w:rsidRPr="00555B5D" w:rsidRDefault="00DD6369" w:rsidP="00DD6369">
      <w:pPr>
        <w:jc w:val="both"/>
        <w:rPr>
          <w:rFonts w:ascii="Times New Roman" w:hAnsi="Times New Roman" w:cs="Times New Roman"/>
          <w:sz w:val="24"/>
          <w:szCs w:val="24"/>
        </w:rPr>
      </w:pPr>
      <w:r w:rsidRPr="00555B5D">
        <w:rPr>
          <w:rFonts w:ascii="Times New Roman" w:hAnsi="Times New Roman" w:cs="Times New Roman"/>
          <w:sz w:val="24"/>
          <w:szCs w:val="24"/>
        </w:rPr>
        <w:t>Nguyen and Pham (2021) investigated the nexus between financial market development and agricultural growth in ASEAN countries covering the period 2000-2019. Utilizing the Autoregressive Distributed Lag (ARDL) approach, the study explored both short-run and long-run relationships between stock market indicators (market capitalization, turnover ratio, and stock price volatility) and agricultural sector growth (measured as agricultural value added as a percentage of GDP). Their empirical results indicated a significant long-run relationship between stock market development and agricultural growth, with market capitalization demonstrating a positive and statistically significant impact, followed by turnover ratio which was also significant, while stock price volatility exhibited a negative and significant relationship with agricultural growth. The exclusion of bond market indicators represents a notable limitation, as it provides only a partial picture of capital market impacts on agriculture, while the reliance on agricultural value added as the sole measure of agricultural performance overlooks qualitative aspects of agricultural development such as modernization, sustainability, and resilience to economic shocks.</w:t>
      </w:r>
    </w:p>
    <w:p w14:paraId="2BA9451B"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In a broader sub-Saharan context, Agyemang and Mensah (2021) </w:t>
      </w:r>
      <w:proofErr w:type="spellStart"/>
      <w:r w:rsidRPr="00555B5D">
        <w:rPr>
          <w:rFonts w:ascii="Times New Roman" w:hAnsi="Times New Roman" w:cs="Times New Roman"/>
          <w:sz w:val="24"/>
          <w:szCs w:val="24"/>
        </w:rPr>
        <w:t>analyzed</w:t>
      </w:r>
      <w:proofErr w:type="spellEnd"/>
      <w:r w:rsidRPr="00555B5D">
        <w:rPr>
          <w:rFonts w:ascii="Times New Roman" w:hAnsi="Times New Roman" w:cs="Times New Roman"/>
          <w:sz w:val="24"/>
          <w:szCs w:val="24"/>
        </w:rPr>
        <w:t xml:space="preserve"> the effect of capital market development on agricultural productivity in Ghana between 1990 and 2019. Employing vector error correction </w:t>
      </w:r>
      <w:proofErr w:type="spellStart"/>
      <w:r w:rsidRPr="00555B5D">
        <w:rPr>
          <w:rFonts w:ascii="Times New Roman" w:hAnsi="Times New Roman" w:cs="Times New Roman"/>
          <w:sz w:val="24"/>
          <w:szCs w:val="24"/>
        </w:rPr>
        <w:t>modeling</w:t>
      </w:r>
      <w:proofErr w:type="spellEnd"/>
      <w:r w:rsidRPr="00555B5D">
        <w:rPr>
          <w:rFonts w:ascii="Times New Roman" w:hAnsi="Times New Roman" w:cs="Times New Roman"/>
          <w:sz w:val="24"/>
          <w:szCs w:val="24"/>
        </w:rPr>
        <w:t xml:space="preserve"> (VECM), they measured capital market growth using the All Share Index, total market capitalization (including equities), and the volume of listed corporate bonds. Their findings revealed that increases in the All Share Index and bond issuances positively influenced agricultural productivity in the long run, whereas equity market performance showed a weaker association. This research added value by incorporating a wider range of capital market proxies; however, it used aggregate agricultural productivity as the dependent variable without isolating specific components of the sector or capturing seasonal volatility, which could affect the robustness of results. The data limitations, especially around disaggregated bond statistics, also introduced estimation risks.</w:t>
      </w:r>
    </w:p>
    <w:p w14:paraId="17CCF53A" w14:textId="77777777" w:rsidR="00DD6369" w:rsidRPr="00555B5D" w:rsidRDefault="00DD6369" w:rsidP="00DD6369">
      <w:pPr>
        <w:jc w:val="both"/>
        <w:rPr>
          <w:rFonts w:ascii="Times New Roman" w:hAnsi="Times New Roman" w:cs="Times New Roman"/>
          <w:sz w:val="24"/>
          <w:szCs w:val="24"/>
        </w:rPr>
      </w:pPr>
      <w:r w:rsidRPr="00555B5D">
        <w:rPr>
          <w:rFonts w:ascii="Times New Roman" w:hAnsi="Times New Roman" w:cs="Times New Roman"/>
          <w:sz w:val="24"/>
          <w:szCs w:val="24"/>
        </w:rPr>
        <w:lastRenderedPageBreak/>
        <w:t xml:space="preserve">Adewuyi and Abimbola (2021) </w:t>
      </w:r>
      <w:r w:rsidR="00C04556" w:rsidRPr="00555B5D">
        <w:rPr>
          <w:rFonts w:ascii="Times New Roman" w:hAnsi="Times New Roman" w:cs="Times New Roman"/>
          <w:sz w:val="24"/>
          <w:szCs w:val="24"/>
        </w:rPr>
        <w:t>analysed</w:t>
      </w:r>
      <w:r w:rsidRPr="00555B5D">
        <w:rPr>
          <w:rFonts w:ascii="Times New Roman" w:hAnsi="Times New Roman" w:cs="Times New Roman"/>
          <w:sz w:val="24"/>
          <w:szCs w:val="24"/>
        </w:rPr>
        <w:t xml:space="preserve"> the relationship between capital market indicators and agricultural output in Nigeria from 1990 to 2020 employing Vector Error Correction Model (VECM) and Granger causality tests. The study utilized All Share Index, market capitalization ratio, and value of new issues as independent variables, while agricultural sector contribution to GDP served as the dependent variable. Their results revealed a significant long-run relationship between capital market indicators and agricultural output, with the All Share Index showing a positive and statistically significant impact, followed by market capitalization ratio which was also significant, while the Granger causality tests indicated bidirectional causality between market capitalization and agricultural output. The study's narrow focus on aggregate agricultural contribution to GDP without disaggregating by agricultural sub-sectors (crops, livestock, forestry, and fisheries) limits the insights regarding differential impacts across various agricultural activities, while the exclusion of corporate bond market indicators represents a significant omission given the potential importance of debt financing for agricultural enterprises.</w:t>
      </w:r>
    </w:p>
    <w:p w14:paraId="2CE8726F" w14:textId="77777777" w:rsidR="0083462A" w:rsidRPr="00555B5D" w:rsidRDefault="0083462A" w:rsidP="0083462A">
      <w:pPr>
        <w:jc w:val="both"/>
        <w:rPr>
          <w:rFonts w:ascii="Times New Roman" w:hAnsi="Times New Roman" w:cs="Times New Roman"/>
          <w:sz w:val="24"/>
          <w:szCs w:val="24"/>
        </w:rPr>
      </w:pPr>
      <w:r w:rsidRPr="00555B5D">
        <w:rPr>
          <w:rFonts w:ascii="Times New Roman" w:hAnsi="Times New Roman" w:cs="Times New Roman"/>
          <w:sz w:val="24"/>
          <w:szCs w:val="24"/>
        </w:rPr>
        <w:t xml:space="preserve">Adebayo and Yusuf (2021) explored the Nigerian context by investigating how capital market deepening influenced sectoral GDP growth, using time series data from 1986 to 2019. They applied cointegration analysis and error correction </w:t>
      </w:r>
      <w:proofErr w:type="spellStart"/>
      <w:r w:rsidRPr="00555B5D">
        <w:rPr>
          <w:rFonts w:ascii="Times New Roman" w:hAnsi="Times New Roman" w:cs="Times New Roman"/>
          <w:sz w:val="24"/>
          <w:szCs w:val="24"/>
        </w:rPr>
        <w:t>modeling</w:t>
      </w:r>
      <w:proofErr w:type="spellEnd"/>
      <w:r w:rsidRPr="00555B5D">
        <w:rPr>
          <w:rFonts w:ascii="Times New Roman" w:hAnsi="Times New Roman" w:cs="Times New Roman"/>
          <w:sz w:val="24"/>
          <w:szCs w:val="24"/>
        </w:rPr>
        <w:t>, using market capitalization (equities), corporate bonds, and the All Share Index as capital market proxies. The study concluded that both the All Share Index and corporate bonds had positive and statistically significant effects on agricultural GDP in the long run, while equity capitalization had a negligible impact. The study’s use of multiple proxies enriched its findings, allowing for a more interpretation of capital market-agriculture linkages. Nonetheless, its methodological approach did not account for structural breaks such as financial crises or major policy reforms that could have influenced the results during the multi-decade timeframe.</w:t>
      </w:r>
    </w:p>
    <w:p w14:paraId="6C7AE749"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In a study conducted by Ibe and </w:t>
      </w:r>
      <w:proofErr w:type="spellStart"/>
      <w:r w:rsidRPr="00555B5D">
        <w:rPr>
          <w:rFonts w:ascii="Times New Roman" w:hAnsi="Times New Roman" w:cs="Times New Roman"/>
          <w:sz w:val="24"/>
          <w:szCs w:val="24"/>
        </w:rPr>
        <w:t>Nwogwugwu</w:t>
      </w:r>
      <w:proofErr w:type="spellEnd"/>
      <w:r w:rsidRPr="00555B5D">
        <w:rPr>
          <w:rFonts w:ascii="Times New Roman" w:hAnsi="Times New Roman" w:cs="Times New Roman"/>
          <w:sz w:val="24"/>
          <w:szCs w:val="24"/>
        </w:rPr>
        <w:t xml:space="preserve"> (2020), the authors examined the influence of equity market performance on sectoral GDP growth in Nigeria, with specific attention to agriculture, over the period from 1985 to 2018. Using autoregressive distributed lag (ARDL) models, the study found that equity market capitalization had a positive but statistically insignificant impact on agricultural GDP in the long run. Conversely, short-term impacts were observed to be volatile and inconsistent. The research provided important insight into the weak transmission mechanism between equity market performance and agricultural output. However, the study relied solely on equities as a proxy for capital market fundamentals and did not include corporate bonds or the All Share Index, which limited the comprehensiveness of its analysis. Additionally, its exclusive focus on Nigeria reduced the scope for comparative generalization.</w:t>
      </w:r>
    </w:p>
    <w:p w14:paraId="4207C8FD"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A study by Mensah and Owusu (2020) in Ghana </w:t>
      </w:r>
      <w:r w:rsidR="00953F68" w:rsidRPr="00555B5D">
        <w:rPr>
          <w:rFonts w:ascii="Times New Roman" w:hAnsi="Times New Roman" w:cs="Times New Roman"/>
          <w:sz w:val="24"/>
          <w:szCs w:val="24"/>
        </w:rPr>
        <w:t>analysed</w:t>
      </w:r>
      <w:r w:rsidRPr="00555B5D">
        <w:rPr>
          <w:rFonts w:ascii="Times New Roman" w:hAnsi="Times New Roman" w:cs="Times New Roman"/>
          <w:sz w:val="24"/>
          <w:szCs w:val="24"/>
        </w:rPr>
        <w:t xml:space="preserve"> the impact of capital market indicators on agriculture’s GDP contribution from 1995 to 2018. Employing the ARDL bounds testing approach, the authors used All Share Index and equity market capitalization as the key independent variables. Their results showed a significant long-run relationship between the All Share Index and agricultural GDP, while equities had a less pronounced effect. The study suggested that the capital market could serve as a viable source of long-term finance for the agriculture sector if tailored financial policies were introduced. However, the study excluded the role of corporate bonds, which limited its representation of broader capital market activity. It also failed to consider external </w:t>
      </w:r>
      <w:r w:rsidRPr="00555B5D">
        <w:rPr>
          <w:rFonts w:ascii="Times New Roman" w:hAnsi="Times New Roman" w:cs="Times New Roman"/>
          <w:sz w:val="24"/>
          <w:szCs w:val="24"/>
        </w:rPr>
        <w:lastRenderedPageBreak/>
        <w:t>financing factors such as foreign direct investment or donor funding, which are crucial to the sector in Ghana.</w:t>
      </w:r>
    </w:p>
    <w:p w14:paraId="3FB67A49" w14:textId="77777777" w:rsidR="00792604" w:rsidRPr="00555B5D" w:rsidRDefault="00792604" w:rsidP="003C617A">
      <w:pPr>
        <w:jc w:val="both"/>
        <w:rPr>
          <w:rFonts w:ascii="Times New Roman" w:hAnsi="Times New Roman" w:cs="Times New Roman"/>
          <w:sz w:val="24"/>
          <w:szCs w:val="24"/>
        </w:rPr>
      </w:pPr>
    </w:p>
    <w:p w14:paraId="567E1D55" w14:textId="77777777" w:rsidR="00D03959" w:rsidRPr="00555B5D" w:rsidRDefault="00DC4AA6"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III.</w:t>
      </w:r>
      <w:r w:rsidRPr="00555B5D">
        <w:rPr>
          <w:rFonts w:ascii="Times New Roman" w:hAnsi="Times New Roman" w:cs="Times New Roman"/>
          <w:b/>
          <w:bCs/>
          <w:sz w:val="24"/>
          <w:szCs w:val="24"/>
        </w:rPr>
        <w:tab/>
      </w:r>
      <w:r w:rsidR="00DD6369" w:rsidRPr="00555B5D">
        <w:rPr>
          <w:rFonts w:ascii="Times New Roman" w:hAnsi="Times New Roman" w:cs="Times New Roman"/>
          <w:b/>
          <w:bCs/>
          <w:sz w:val="24"/>
          <w:szCs w:val="24"/>
        </w:rPr>
        <w:t>Methodology</w:t>
      </w:r>
    </w:p>
    <w:p w14:paraId="3F38256A" w14:textId="77777777" w:rsidR="005F577D" w:rsidRPr="00555B5D" w:rsidRDefault="005F577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This study adopted an ex-post facto research design, which is appropriate for examining the relationship between capital market fundamentals and agricultural sector performance in Nigeria from 1986 to 2024. The design enabled the researcher to </w:t>
      </w:r>
      <w:proofErr w:type="spellStart"/>
      <w:r w:rsidRPr="00555B5D">
        <w:rPr>
          <w:rFonts w:ascii="Times New Roman" w:hAnsi="Times New Roman" w:cs="Times New Roman"/>
          <w:sz w:val="24"/>
          <w:szCs w:val="24"/>
        </w:rPr>
        <w:t>analyze</w:t>
      </w:r>
      <w:proofErr w:type="spellEnd"/>
      <w:r w:rsidRPr="00555B5D">
        <w:rPr>
          <w:rFonts w:ascii="Times New Roman" w:hAnsi="Times New Roman" w:cs="Times New Roman"/>
          <w:sz w:val="24"/>
          <w:szCs w:val="24"/>
        </w:rPr>
        <w:t xml:space="preserve"> historical data on All Share Index, Equities, and Corporate Bonds without manipulating any variables, since the events had already occurred. </w:t>
      </w:r>
    </w:p>
    <w:p w14:paraId="68001DAF" w14:textId="77777777" w:rsidR="005F577D" w:rsidRPr="00555B5D" w:rsidRDefault="005F577D" w:rsidP="0080266D">
      <w:pPr>
        <w:jc w:val="both"/>
        <w:rPr>
          <w:rFonts w:ascii="Times New Roman" w:hAnsi="Times New Roman" w:cs="Times New Roman"/>
          <w:sz w:val="24"/>
          <w:szCs w:val="24"/>
        </w:rPr>
      </w:pPr>
      <w:r w:rsidRPr="00555B5D">
        <w:rPr>
          <w:rFonts w:ascii="Times New Roman" w:hAnsi="Times New Roman" w:cs="Times New Roman"/>
          <w:sz w:val="24"/>
          <w:szCs w:val="24"/>
        </w:rPr>
        <w:t>The study relied on secondary, quantitative time series data covering the period from 1986 to 2024. Data on capital market fundamentals—All Share Index, Equities, and Corporate Bonds—were obtained from the Securities and Exchange Commission (SEC) Nigeria Annual Reports (2025), while data on agricultural sector performance, measured as its percentage contribution to GDP, were sourced from the Central Bank of Nigeria (CBN) Statistical Bulletin (2023). These authoritative sources provided consistent, comprehensive, and reliable datasets necessary for analysing long-term trends, patterns, and the empirical relationships</w:t>
      </w:r>
    </w:p>
    <w:p w14:paraId="677FBC08" w14:textId="77777777" w:rsidR="005F577D" w:rsidRPr="00555B5D" w:rsidRDefault="005F577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The study adapted and modified the model framework of </w:t>
      </w:r>
      <w:proofErr w:type="spellStart"/>
      <w:r w:rsidRPr="00555B5D">
        <w:rPr>
          <w:rFonts w:ascii="Times New Roman" w:hAnsi="Times New Roman" w:cs="Times New Roman"/>
          <w:sz w:val="24"/>
          <w:szCs w:val="24"/>
        </w:rPr>
        <w:t>Obialor</w:t>
      </w:r>
      <w:proofErr w:type="spellEnd"/>
      <w:r w:rsidRPr="00555B5D">
        <w:rPr>
          <w:rFonts w:ascii="Times New Roman" w:hAnsi="Times New Roman" w:cs="Times New Roman"/>
          <w:sz w:val="24"/>
          <w:szCs w:val="24"/>
        </w:rPr>
        <w:t xml:space="preserve">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who explored the nexus between capital market fundamentals and agricultural sector performance in Nigeria, represented as:</w:t>
      </w:r>
    </w:p>
    <w:p w14:paraId="2A5D699B" w14:textId="77777777" w:rsidR="005F577D" w:rsidRPr="00555B5D" w:rsidRDefault="001822A9" w:rsidP="0080266D">
      <w:pPr>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9480" w:dyaOrig="360" w14:anchorId="46F4E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18pt" o:ole="">
            <v:imagedata r:id="rId7" o:title=""/>
          </v:shape>
          <o:OLEObject Type="Embed" ProgID="Equation.DSMT4" ShapeID="_x0000_i1025" DrawAspect="Content" ObjectID="_1809440484" r:id="rId8"/>
        </w:object>
      </w:r>
    </w:p>
    <w:p w14:paraId="5CA92BF5" w14:textId="77777777" w:rsidR="005F577D" w:rsidRPr="00555B5D" w:rsidRDefault="00F36DB1" w:rsidP="0080266D">
      <w:pPr>
        <w:jc w:val="both"/>
        <w:rPr>
          <w:rFonts w:ascii="Times New Roman" w:hAnsi="Times New Roman" w:cs="Times New Roman"/>
          <w:sz w:val="24"/>
          <w:szCs w:val="24"/>
        </w:rPr>
      </w:pPr>
      <w:r w:rsidRPr="00555B5D">
        <w:rPr>
          <w:rFonts w:ascii="Times New Roman" w:hAnsi="Times New Roman" w:cs="Times New Roman"/>
          <w:sz w:val="24"/>
          <w:szCs w:val="24"/>
        </w:rPr>
        <w:t>Where: ASO= Agricultural sector output MC= Market capitalization VT= Value of Transactions SI= Share Index.</w:t>
      </w:r>
    </w:p>
    <w:p w14:paraId="61084F3C" w14:textId="77777777" w:rsidR="00F36DB1" w:rsidRPr="00555B5D" w:rsidRDefault="00F36DB1" w:rsidP="0080266D">
      <w:pPr>
        <w:jc w:val="both"/>
        <w:rPr>
          <w:rFonts w:ascii="Times New Roman" w:hAnsi="Times New Roman" w:cs="Times New Roman"/>
          <w:sz w:val="24"/>
          <w:szCs w:val="24"/>
        </w:rPr>
      </w:pPr>
      <w:r w:rsidRPr="00555B5D">
        <w:rPr>
          <w:rFonts w:ascii="Times New Roman" w:hAnsi="Times New Roman" w:cs="Times New Roman"/>
          <w:sz w:val="24"/>
          <w:szCs w:val="24"/>
        </w:rPr>
        <w:t>The modified model for the study is expressed as:</w:t>
      </w:r>
    </w:p>
    <w:p w14:paraId="16D4ACF5" w14:textId="77777777" w:rsidR="005F577D" w:rsidRPr="00555B5D" w:rsidRDefault="001822A9" w:rsidP="0080266D">
      <w:pPr>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9499" w:dyaOrig="360" w14:anchorId="3D67BCFF">
          <v:shape id="_x0000_i1026" type="#_x0000_t75" style="width:474pt;height:18pt" o:ole="">
            <v:imagedata r:id="rId9" o:title=""/>
          </v:shape>
          <o:OLEObject Type="Embed" ProgID="Equation.DSMT4" ShapeID="_x0000_i1026" DrawAspect="Content" ObjectID="_1809440485" r:id="rId10"/>
        </w:object>
      </w:r>
    </w:p>
    <w:p w14:paraId="77FBE5A7"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sz w:val="24"/>
          <w:szCs w:val="24"/>
        </w:rPr>
        <w:t>Where:</w:t>
      </w:r>
    </w:p>
    <w:p w14:paraId="15A62FC8" w14:textId="77777777" w:rsidR="00F36DB1" w:rsidRPr="00555B5D" w:rsidRDefault="00F36DB1" w:rsidP="00F36DB1">
      <w:pPr>
        <w:pStyle w:val="NoSpacing"/>
        <w:spacing w:line="360" w:lineRule="auto"/>
        <w:rPr>
          <w:rFonts w:ascii="Times New Roman" w:hAnsi="Times New Roman" w:cs="Times New Roman"/>
          <w:sz w:val="24"/>
          <w:szCs w:val="24"/>
        </w:rPr>
      </w:pPr>
      <w:bookmarkStart w:id="2" w:name="_Hlk124353007"/>
      <w:r w:rsidRPr="00555B5D">
        <w:rPr>
          <w:rFonts w:ascii="Times New Roman" w:hAnsi="Times New Roman" w:cs="Times New Roman"/>
          <w:sz w:val="24"/>
          <w:szCs w:val="24"/>
        </w:rPr>
        <w:t>ASG = Agricultural sector growth</w:t>
      </w:r>
      <w:r w:rsidR="001822A9" w:rsidRPr="00555B5D">
        <w:rPr>
          <w:rFonts w:ascii="Times New Roman" w:hAnsi="Times New Roman" w:cs="Times New Roman"/>
          <w:sz w:val="24"/>
          <w:szCs w:val="24"/>
        </w:rPr>
        <w:t xml:space="preserve"> (% of agricultural sector contributions to GDP)</w:t>
      </w:r>
    </w:p>
    <w:p w14:paraId="2383C5BA"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sz w:val="24"/>
          <w:szCs w:val="24"/>
        </w:rPr>
        <w:t xml:space="preserve">ASI= </w:t>
      </w:r>
      <w:r w:rsidRPr="00555B5D">
        <w:rPr>
          <w:rFonts w:ascii="Times New Roman" w:hAnsi="Times New Roman" w:cs="Times New Roman"/>
          <w:sz w:val="24"/>
          <w:szCs w:val="24"/>
          <w:lang w:val="en-GB"/>
        </w:rPr>
        <w:t>All Share Index</w:t>
      </w:r>
    </w:p>
    <w:p w14:paraId="114541A5"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sz w:val="24"/>
          <w:szCs w:val="24"/>
        </w:rPr>
        <w:t xml:space="preserve">EQU= </w:t>
      </w:r>
      <w:r w:rsidRPr="00555B5D">
        <w:rPr>
          <w:rFonts w:ascii="Times New Roman" w:hAnsi="Times New Roman" w:cs="Times New Roman"/>
          <w:sz w:val="24"/>
          <w:szCs w:val="24"/>
          <w:lang w:val="en-GB"/>
        </w:rPr>
        <w:t>Equities</w:t>
      </w:r>
    </w:p>
    <w:p w14:paraId="28F41EF3" w14:textId="77777777" w:rsidR="00F36DB1" w:rsidRPr="00555B5D" w:rsidRDefault="00F36DB1" w:rsidP="00F36DB1">
      <w:pPr>
        <w:pStyle w:val="NoSpacing"/>
        <w:spacing w:line="360" w:lineRule="auto"/>
        <w:rPr>
          <w:rFonts w:ascii="Times New Roman" w:hAnsi="Times New Roman" w:cs="Times New Roman"/>
          <w:sz w:val="24"/>
          <w:szCs w:val="24"/>
          <w:lang w:val="en-GB"/>
        </w:rPr>
      </w:pPr>
      <w:r w:rsidRPr="00555B5D">
        <w:rPr>
          <w:rFonts w:ascii="Times New Roman" w:hAnsi="Times New Roman" w:cs="Times New Roman"/>
          <w:sz w:val="24"/>
          <w:szCs w:val="24"/>
        </w:rPr>
        <w:t xml:space="preserve">CB = </w:t>
      </w:r>
      <w:r w:rsidRPr="00555B5D">
        <w:rPr>
          <w:rFonts w:ascii="Times New Roman" w:hAnsi="Times New Roman" w:cs="Times New Roman"/>
          <w:sz w:val="24"/>
          <w:szCs w:val="24"/>
          <w:lang w:val="en-GB"/>
        </w:rPr>
        <w:t>Corporate Bonds</w:t>
      </w:r>
    </w:p>
    <w:bookmarkEnd w:id="2"/>
    <w:p w14:paraId="3854191C"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position w:val="-12"/>
          <w:sz w:val="24"/>
          <w:szCs w:val="24"/>
        </w:rPr>
        <w:object w:dxaOrig="300" w:dyaOrig="360" w14:anchorId="4FCA4A1E">
          <v:shape id="_x0000_i1027" type="#_x0000_t75" style="width:16.5pt;height:18pt" o:ole="">
            <v:imagedata r:id="rId11" o:title=""/>
          </v:shape>
          <o:OLEObject Type="Embed" ProgID="Equation.DSMT4" ShapeID="_x0000_i1027" DrawAspect="Content" ObjectID="_1809440486" r:id="rId12"/>
        </w:object>
      </w:r>
      <w:r w:rsidRPr="00555B5D">
        <w:rPr>
          <w:rFonts w:ascii="Times New Roman" w:hAnsi="Times New Roman" w:cs="Times New Roman"/>
          <w:sz w:val="24"/>
          <w:szCs w:val="24"/>
        </w:rPr>
        <w:t xml:space="preserve"> = Autonomous parameter estimate</w:t>
      </w:r>
    </w:p>
    <w:p w14:paraId="0D540FEE"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position w:val="-12"/>
          <w:sz w:val="24"/>
          <w:szCs w:val="24"/>
        </w:rPr>
        <w:object w:dxaOrig="720" w:dyaOrig="360" w14:anchorId="1E8A45AE">
          <v:shape id="_x0000_i1028" type="#_x0000_t75" style="width:36.75pt;height:18pt" o:ole="">
            <v:imagedata r:id="rId13" o:title=""/>
          </v:shape>
          <o:OLEObject Type="Embed" ProgID="Equation.DSMT4" ShapeID="_x0000_i1028" DrawAspect="Content" ObjectID="_1809440487" r:id="rId14"/>
        </w:object>
      </w:r>
      <w:r w:rsidRPr="00555B5D">
        <w:rPr>
          <w:rFonts w:ascii="Times New Roman" w:hAnsi="Times New Roman" w:cs="Times New Roman"/>
          <w:sz w:val="24"/>
          <w:szCs w:val="24"/>
        </w:rPr>
        <w:t xml:space="preserve">= Coefficients of </w:t>
      </w:r>
      <w:r w:rsidRPr="00555B5D">
        <w:rPr>
          <w:rFonts w:ascii="Times New Roman" w:hAnsi="Times New Roman" w:cs="Times New Roman"/>
          <w:sz w:val="24"/>
          <w:szCs w:val="24"/>
          <w:lang w:val="en-GB"/>
        </w:rPr>
        <w:t>All Share Index, Equities, and Corporate Bonds</w:t>
      </w:r>
    </w:p>
    <w:p w14:paraId="6CF3DF3F"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position w:val="-12"/>
          <w:sz w:val="24"/>
          <w:szCs w:val="24"/>
        </w:rPr>
        <w:object w:dxaOrig="240" w:dyaOrig="360" w14:anchorId="399FE373">
          <v:shape id="_x0000_i1029" type="#_x0000_t75" style="width:12pt;height:18pt" o:ole="">
            <v:imagedata r:id="rId15" o:title=""/>
          </v:shape>
          <o:OLEObject Type="Embed" ProgID="Equation.DSMT4" ShapeID="_x0000_i1029" DrawAspect="Content" ObjectID="_1809440488" r:id="rId16"/>
        </w:object>
      </w:r>
      <w:r w:rsidRPr="00555B5D">
        <w:rPr>
          <w:rFonts w:ascii="Times New Roman" w:hAnsi="Times New Roman" w:cs="Times New Roman"/>
          <w:sz w:val="24"/>
          <w:szCs w:val="24"/>
        </w:rPr>
        <w:t xml:space="preserve"> = error term.</w:t>
      </w:r>
    </w:p>
    <w:p w14:paraId="62C86028" w14:textId="77777777" w:rsidR="00F36DB1" w:rsidRPr="00555B5D" w:rsidRDefault="00F36DB1" w:rsidP="00F36DB1">
      <w:pPr>
        <w:jc w:val="both"/>
        <w:rPr>
          <w:rFonts w:ascii="Times New Roman" w:hAnsi="Times New Roman" w:cs="Times New Roman"/>
          <w:sz w:val="24"/>
          <w:szCs w:val="24"/>
        </w:rPr>
      </w:pPr>
      <w:r w:rsidRPr="00555B5D">
        <w:rPr>
          <w:rFonts w:ascii="Times New Roman" w:hAnsi="Times New Roman" w:cs="Times New Roman"/>
          <w:sz w:val="24"/>
          <w:szCs w:val="24"/>
        </w:rPr>
        <w:lastRenderedPageBreak/>
        <w:t xml:space="preserve">Based on a priori expectations, the coefficient of the </w:t>
      </w:r>
      <w:proofErr w:type="gramStart"/>
      <w:r w:rsidRPr="00555B5D">
        <w:rPr>
          <w:rFonts w:ascii="Times New Roman" w:hAnsi="Times New Roman" w:cs="Times New Roman"/>
          <w:b/>
          <w:bCs/>
          <w:sz w:val="24"/>
          <w:szCs w:val="24"/>
        </w:rPr>
        <w:t>All Share</w:t>
      </w:r>
      <w:proofErr w:type="gramEnd"/>
      <w:r w:rsidRPr="00555B5D">
        <w:rPr>
          <w:rFonts w:ascii="Times New Roman" w:hAnsi="Times New Roman" w:cs="Times New Roman"/>
          <w:b/>
          <w:bCs/>
          <w:sz w:val="24"/>
          <w:szCs w:val="24"/>
        </w:rPr>
        <w:t xml:space="preserve"> Index (ASI)</w:t>
      </w:r>
      <w:r w:rsidRPr="00555B5D">
        <w:rPr>
          <w:rFonts w:ascii="Times New Roman" w:hAnsi="Times New Roman" w:cs="Times New Roman"/>
          <w:sz w:val="24"/>
          <w:szCs w:val="24"/>
        </w:rPr>
        <w:t xml:space="preserve"> is expected to be positive </w:t>
      </w:r>
      <w:r w:rsidR="00CE4F0E" w:rsidRPr="00555B5D">
        <w:rPr>
          <w:rFonts w:ascii="Times New Roman" w:hAnsi="Times New Roman" w:cs="Times New Roman"/>
          <w:position w:val="-12"/>
          <w:sz w:val="24"/>
          <w:szCs w:val="24"/>
        </w:rPr>
        <w:object w:dxaOrig="859" w:dyaOrig="360" w14:anchorId="45E5984E">
          <v:shape id="_x0000_i1030" type="#_x0000_t75" style="width:42pt;height:18pt" o:ole="">
            <v:imagedata r:id="rId17" o:title=""/>
          </v:shape>
          <o:OLEObject Type="Embed" ProgID="Equation.DSMT4" ShapeID="_x0000_i1030" DrawAspect="Content" ObjectID="_1809440489" r:id="rId18"/>
        </w:object>
      </w:r>
      <w:r w:rsidRPr="00555B5D">
        <w:rPr>
          <w:rFonts w:ascii="Times New Roman" w:hAnsi="Times New Roman" w:cs="Times New Roman"/>
          <w:sz w:val="24"/>
          <w:szCs w:val="24"/>
        </w:rPr>
        <w:t>A higher ASI typically reflects investor confidence and overall market growth, which should translate into increased investment opportunities for sectors like agriculture.</w:t>
      </w:r>
    </w:p>
    <w:p w14:paraId="3C1DCA81" w14:textId="77777777" w:rsidR="00F36DB1" w:rsidRPr="00555B5D" w:rsidRDefault="00F36DB1" w:rsidP="00F36DB1">
      <w:pPr>
        <w:jc w:val="both"/>
        <w:rPr>
          <w:rFonts w:ascii="Times New Roman" w:hAnsi="Times New Roman" w:cs="Times New Roman"/>
          <w:sz w:val="24"/>
          <w:szCs w:val="24"/>
        </w:rPr>
      </w:pPr>
      <w:r w:rsidRPr="00555B5D">
        <w:rPr>
          <w:rFonts w:ascii="Times New Roman" w:hAnsi="Times New Roman" w:cs="Times New Roman"/>
          <w:sz w:val="24"/>
          <w:szCs w:val="24"/>
        </w:rPr>
        <w:t xml:space="preserve">For </w:t>
      </w:r>
      <w:r w:rsidRPr="00555B5D">
        <w:rPr>
          <w:rFonts w:ascii="Times New Roman" w:hAnsi="Times New Roman" w:cs="Times New Roman"/>
          <w:b/>
          <w:bCs/>
          <w:sz w:val="24"/>
          <w:szCs w:val="24"/>
        </w:rPr>
        <w:t>Equities</w:t>
      </w:r>
      <w:r w:rsidRPr="00555B5D">
        <w:rPr>
          <w:rFonts w:ascii="Times New Roman" w:hAnsi="Times New Roman" w:cs="Times New Roman"/>
          <w:sz w:val="24"/>
          <w:szCs w:val="24"/>
        </w:rPr>
        <w:t>, the coefficient is also expected to be positive</w:t>
      </w:r>
      <w:r w:rsidR="00CE4F0E" w:rsidRPr="00555B5D">
        <w:rPr>
          <w:rFonts w:ascii="Times New Roman" w:hAnsi="Times New Roman" w:cs="Times New Roman"/>
          <w:sz w:val="24"/>
          <w:szCs w:val="24"/>
        </w:rPr>
        <w:t xml:space="preserve"> </w:t>
      </w:r>
      <w:r w:rsidR="00CE4F0E" w:rsidRPr="00555B5D">
        <w:rPr>
          <w:rFonts w:ascii="Times New Roman" w:hAnsi="Times New Roman" w:cs="Times New Roman"/>
          <w:position w:val="-12"/>
          <w:sz w:val="24"/>
          <w:szCs w:val="24"/>
        </w:rPr>
        <w:object w:dxaOrig="880" w:dyaOrig="360" w14:anchorId="1410C6E6">
          <v:shape id="_x0000_i1031" type="#_x0000_t75" style="width:43.5pt;height:18pt" o:ole="">
            <v:imagedata r:id="rId19" o:title=""/>
          </v:shape>
          <o:OLEObject Type="Embed" ProgID="Equation.DSMT4" ShapeID="_x0000_i1031" DrawAspect="Content" ObjectID="_1809440490" r:id="rId20"/>
        </w:object>
      </w:r>
      <w:r w:rsidRPr="00555B5D">
        <w:rPr>
          <w:rFonts w:ascii="Times New Roman" w:hAnsi="Times New Roman" w:cs="Times New Roman"/>
          <w:sz w:val="24"/>
          <w:szCs w:val="24"/>
        </w:rPr>
        <w:t xml:space="preserve"> As more agricultural firms access capital through equity markets, they can finance expansion, adopt new technologies, and improve productivity, thereby increasing their contribution to GDP.</w:t>
      </w:r>
    </w:p>
    <w:p w14:paraId="5DEE86E3" w14:textId="77777777" w:rsidR="00F36DB1" w:rsidRPr="00555B5D" w:rsidRDefault="00F36DB1" w:rsidP="00F36DB1">
      <w:pPr>
        <w:jc w:val="both"/>
        <w:rPr>
          <w:rFonts w:ascii="Times New Roman" w:hAnsi="Times New Roman" w:cs="Times New Roman"/>
          <w:sz w:val="24"/>
          <w:szCs w:val="24"/>
        </w:rPr>
      </w:pPr>
      <w:r w:rsidRPr="00555B5D">
        <w:rPr>
          <w:rFonts w:ascii="Times New Roman" w:hAnsi="Times New Roman" w:cs="Times New Roman"/>
          <w:sz w:val="24"/>
          <w:szCs w:val="24"/>
        </w:rPr>
        <w:t xml:space="preserve">Similarly, the coefficient of </w:t>
      </w:r>
      <w:r w:rsidRPr="00555B5D">
        <w:rPr>
          <w:rFonts w:ascii="Times New Roman" w:hAnsi="Times New Roman" w:cs="Times New Roman"/>
          <w:b/>
          <w:bCs/>
          <w:sz w:val="24"/>
          <w:szCs w:val="24"/>
        </w:rPr>
        <w:t>Corporate Bonds</w:t>
      </w:r>
      <w:r w:rsidRPr="00555B5D">
        <w:rPr>
          <w:rFonts w:ascii="Times New Roman" w:hAnsi="Times New Roman" w:cs="Times New Roman"/>
          <w:sz w:val="24"/>
          <w:szCs w:val="24"/>
        </w:rPr>
        <w:t xml:space="preserve"> is anticipated to be positive</w:t>
      </w:r>
      <w:r w:rsidR="00CE4F0E" w:rsidRPr="00555B5D">
        <w:rPr>
          <w:rFonts w:ascii="Times New Roman" w:hAnsi="Times New Roman" w:cs="Times New Roman"/>
          <w:sz w:val="24"/>
          <w:szCs w:val="24"/>
        </w:rPr>
        <w:t xml:space="preserve"> </w:t>
      </w:r>
      <w:r w:rsidR="00CE4F0E" w:rsidRPr="00555B5D">
        <w:rPr>
          <w:rFonts w:ascii="Times New Roman" w:hAnsi="Times New Roman" w:cs="Times New Roman"/>
          <w:position w:val="-12"/>
          <w:sz w:val="24"/>
          <w:szCs w:val="24"/>
        </w:rPr>
        <w:object w:dxaOrig="880" w:dyaOrig="360" w14:anchorId="62AB21DF">
          <v:shape id="_x0000_i1032" type="#_x0000_t75" style="width:43.5pt;height:18pt" o:ole="">
            <v:imagedata r:id="rId21" o:title=""/>
          </v:shape>
          <o:OLEObject Type="Embed" ProgID="Equation.DSMT4" ShapeID="_x0000_i1032" DrawAspect="Content" ObjectID="_1809440491" r:id="rId22"/>
        </w:object>
      </w:r>
      <w:r w:rsidRPr="00555B5D">
        <w:rPr>
          <w:rFonts w:ascii="Times New Roman" w:hAnsi="Times New Roman" w:cs="Times New Roman"/>
          <w:sz w:val="24"/>
          <w:szCs w:val="24"/>
        </w:rPr>
        <w:t xml:space="preserve"> The availability of long-term financing through bonds can support infrastructure development and large-scale agricultural projects, ultimately enhancing sectoral output.</w:t>
      </w:r>
    </w:p>
    <w:p w14:paraId="22B98C02" w14:textId="77777777" w:rsidR="00CE4F0E" w:rsidRPr="00555B5D" w:rsidRDefault="00CE4F0E" w:rsidP="00CE4F0E">
      <w:pPr>
        <w:jc w:val="both"/>
        <w:rPr>
          <w:rFonts w:ascii="Times New Roman" w:hAnsi="Times New Roman" w:cs="Times New Roman"/>
          <w:sz w:val="24"/>
          <w:szCs w:val="24"/>
        </w:rPr>
      </w:pPr>
      <w:r w:rsidRPr="00555B5D">
        <w:rPr>
          <w:rFonts w:ascii="Times New Roman" w:hAnsi="Times New Roman" w:cs="Times New Roman"/>
          <w:sz w:val="24"/>
          <w:szCs w:val="24"/>
        </w:rPr>
        <w:t>To assess the impact of capital market fundamentals on the performance of the agricultural sector in Nigeria, this study adopted an econometric approach to ensure both the accuracy and reliability of the findings. As an initial step, unit root tests were carried out using the Augmented Dickey-Fuller methodology to evaluate the stationarity properties of the time series data. Establishing stationarity was a crucial prerequisite, as non-stationary data can lead to misleading regression results by generating spurious correlations, thus misrepresenting the true relationship among variables.</w:t>
      </w:r>
    </w:p>
    <w:p w14:paraId="433CDE86"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sz w:val="24"/>
          <w:szCs w:val="24"/>
        </w:rPr>
        <w:t>The mathematical specification for the ADF test is as follows:</w:t>
      </w:r>
    </w:p>
    <w:p w14:paraId="1131A48E" w14:textId="77777777" w:rsidR="00CE4F0E" w:rsidRPr="00555B5D" w:rsidRDefault="001822A9" w:rsidP="00CE4F0E">
      <w:pPr>
        <w:jc w:val="both"/>
        <w:rPr>
          <w:rFonts w:ascii="Times New Roman" w:hAnsi="Times New Roman" w:cs="Times New Roman"/>
          <w:sz w:val="24"/>
          <w:szCs w:val="24"/>
        </w:rPr>
      </w:pPr>
      <w:r w:rsidRPr="00555B5D">
        <w:rPr>
          <w:rFonts w:ascii="Times New Roman" w:hAnsi="Times New Roman" w:cs="Times New Roman"/>
          <w:position w:val="-28"/>
          <w:sz w:val="24"/>
          <w:szCs w:val="24"/>
        </w:rPr>
        <w:object w:dxaOrig="9060" w:dyaOrig="680" w14:anchorId="5A3F4A51">
          <v:shape id="_x0000_i1033" type="#_x0000_t75" style="width:453.75pt;height:34.5pt" o:ole="">
            <v:imagedata r:id="rId23" o:title=""/>
          </v:shape>
          <o:OLEObject Type="Embed" ProgID="Equation.DSMT4" ShapeID="_x0000_i1033" DrawAspect="Content" ObjectID="_1809440492" r:id="rId24"/>
        </w:object>
      </w:r>
    </w:p>
    <w:p w14:paraId="3882A850"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sz w:val="24"/>
          <w:szCs w:val="24"/>
        </w:rPr>
        <w:t>Where:</w:t>
      </w:r>
    </w:p>
    <w:p w14:paraId="077FDEE8"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260" w:dyaOrig="360" w14:anchorId="4912EB41">
          <v:shape id="_x0000_i1034" type="#_x0000_t75" style="width:13.5pt;height:18pt" o:ole="">
            <v:imagedata r:id="rId25" o:title=""/>
          </v:shape>
          <o:OLEObject Type="Embed" ProgID="Equation.DSMT4" ShapeID="_x0000_i1034" DrawAspect="Content" ObjectID="_1809440493" r:id="rId26"/>
        </w:object>
      </w:r>
      <w:r w:rsidRPr="00555B5D">
        <w:rPr>
          <w:rFonts w:ascii="Times New Roman" w:hAnsi="Times New Roman" w:cs="Times New Roman"/>
          <w:sz w:val="24"/>
          <w:szCs w:val="24"/>
        </w:rPr>
        <w:t xml:space="preserve">represents the variable being tested; </w:t>
      </w:r>
      <w:r w:rsidRPr="00555B5D">
        <w:rPr>
          <w:rFonts w:ascii="Times New Roman" w:hAnsi="Times New Roman" w:cs="Times New Roman"/>
          <w:position w:val="-12"/>
          <w:sz w:val="24"/>
          <w:szCs w:val="24"/>
        </w:rPr>
        <w:object w:dxaOrig="380" w:dyaOrig="360" w14:anchorId="75D7F0AE">
          <v:shape id="_x0000_i1035" type="#_x0000_t75" style="width:19.5pt;height:18pt" o:ole="">
            <v:imagedata r:id="rId27" o:title=""/>
          </v:shape>
          <o:OLEObject Type="Embed" ProgID="Equation.DSMT4" ShapeID="_x0000_i1035" DrawAspect="Content" ObjectID="_1809440494" r:id="rId28"/>
        </w:object>
      </w:r>
      <w:r w:rsidRPr="00555B5D">
        <w:rPr>
          <w:rFonts w:ascii="Times New Roman" w:hAnsi="Times New Roman" w:cs="Times New Roman"/>
          <w:sz w:val="24"/>
          <w:szCs w:val="24"/>
        </w:rPr>
        <w:t xml:space="preserve">is the first difference of the variable; </w:t>
      </w:r>
      <w:r w:rsidRPr="00555B5D">
        <w:rPr>
          <w:rFonts w:ascii="Times New Roman" w:hAnsi="Times New Roman" w:cs="Times New Roman"/>
          <w:position w:val="-6"/>
          <w:sz w:val="24"/>
          <w:szCs w:val="24"/>
        </w:rPr>
        <w:object w:dxaOrig="200" w:dyaOrig="279" w14:anchorId="78393BC4">
          <v:shape id="_x0000_i1036" type="#_x0000_t75" style="width:10.5pt;height:13.5pt" o:ole="">
            <v:imagedata r:id="rId29" o:title=""/>
          </v:shape>
          <o:OLEObject Type="Embed" ProgID="Equation.DSMT4" ShapeID="_x0000_i1036" DrawAspect="Content" ObjectID="_1809440495" r:id="rId30"/>
        </w:object>
      </w:r>
      <w:r w:rsidRPr="00555B5D">
        <w:rPr>
          <w:rFonts w:ascii="Times New Roman" w:hAnsi="Times New Roman" w:cs="Times New Roman"/>
          <w:sz w:val="24"/>
          <w:szCs w:val="24"/>
        </w:rPr>
        <w:t xml:space="preserve">is a constant (drift term); </w:t>
      </w:r>
      <w:r w:rsidRPr="00555B5D">
        <w:rPr>
          <w:rFonts w:ascii="Times New Roman" w:hAnsi="Times New Roman" w:cs="Times New Roman"/>
          <w:position w:val="-6"/>
          <w:sz w:val="24"/>
          <w:szCs w:val="24"/>
        </w:rPr>
        <w:object w:dxaOrig="300" w:dyaOrig="279" w14:anchorId="46B6D872">
          <v:shape id="_x0000_i1037" type="#_x0000_t75" style="width:16.5pt;height:13.5pt" o:ole="">
            <v:imagedata r:id="rId31" o:title=""/>
          </v:shape>
          <o:OLEObject Type="Embed" ProgID="Equation.DSMT4" ShapeID="_x0000_i1037" DrawAspect="Content" ObjectID="_1809440496" r:id="rId32"/>
        </w:object>
      </w:r>
      <w:r w:rsidRPr="00555B5D">
        <w:rPr>
          <w:rFonts w:ascii="Times New Roman" w:hAnsi="Times New Roman" w:cs="Times New Roman"/>
          <w:sz w:val="24"/>
          <w:szCs w:val="24"/>
        </w:rPr>
        <w:t xml:space="preserve">represents the trend component; </w:t>
      </w:r>
      <w:r w:rsidRPr="00555B5D">
        <w:rPr>
          <w:rFonts w:ascii="Times New Roman" w:hAnsi="Times New Roman" w:cs="Times New Roman"/>
          <w:position w:val="-12"/>
          <w:sz w:val="24"/>
          <w:szCs w:val="24"/>
        </w:rPr>
        <w:object w:dxaOrig="520" w:dyaOrig="360" w14:anchorId="6F9A6C32">
          <v:shape id="_x0000_i1038" type="#_x0000_t75" style="width:26.25pt;height:18pt" o:ole="">
            <v:imagedata r:id="rId33" o:title=""/>
          </v:shape>
          <o:OLEObject Type="Embed" ProgID="Equation.DSMT4" ShapeID="_x0000_i1038" DrawAspect="Content" ObjectID="_1809440497" r:id="rId34"/>
        </w:object>
      </w:r>
      <w:r w:rsidRPr="00555B5D">
        <w:rPr>
          <w:rFonts w:ascii="Times New Roman" w:hAnsi="Times New Roman" w:cs="Times New Roman"/>
          <w:sz w:val="24"/>
          <w:szCs w:val="24"/>
        </w:rPr>
        <w:t xml:space="preserve">captures the lagged level of the variable; </w:t>
      </w:r>
    </w:p>
    <w:p w14:paraId="4F971597"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680" w:dyaOrig="360" w14:anchorId="1235B1C1">
          <v:shape id="_x0000_i1039" type="#_x0000_t75" style="width:34.5pt;height:18pt" o:ole="">
            <v:imagedata r:id="rId35" o:title=""/>
          </v:shape>
          <o:OLEObject Type="Embed" ProgID="Equation.DSMT4" ShapeID="_x0000_i1039" DrawAspect="Content" ObjectID="_1809440498" r:id="rId36"/>
        </w:object>
      </w:r>
      <w:r w:rsidRPr="00555B5D">
        <w:rPr>
          <w:rFonts w:ascii="Times New Roman" w:hAnsi="Times New Roman" w:cs="Times New Roman"/>
          <w:sz w:val="24"/>
          <w:szCs w:val="24"/>
        </w:rPr>
        <w:t xml:space="preserve">accounts for lagged differences to correct for serial correlation; </w:t>
      </w:r>
      <w:r w:rsidRPr="00555B5D">
        <w:rPr>
          <w:rFonts w:ascii="Times New Roman" w:hAnsi="Times New Roman" w:cs="Times New Roman"/>
          <w:position w:val="-12"/>
          <w:sz w:val="24"/>
          <w:szCs w:val="24"/>
        </w:rPr>
        <w:object w:dxaOrig="240" w:dyaOrig="360" w14:anchorId="30F0E8B2">
          <v:shape id="_x0000_i1040" type="#_x0000_t75" style="width:12pt;height:18pt" o:ole="">
            <v:imagedata r:id="rId37" o:title=""/>
          </v:shape>
          <o:OLEObject Type="Embed" ProgID="Equation.DSMT4" ShapeID="_x0000_i1040" DrawAspect="Content" ObjectID="_1809440499" r:id="rId38"/>
        </w:object>
      </w:r>
      <w:r w:rsidRPr="00555B5D">
        <w:rPr>
          <w:rFonts w:ascii="Times New Roman" w:hAnsi="Times New Roman" w:cs="Times New Roman"/>
          <w:sz w:val="24"/>
          <w:szCs w:val="24"/>
        </w:rPr>
        <w:t>​ is the error term.</w:t>
      </w:r>
    </w:p>
    <w:p w14:paraId="72241B3E" w14:textId="77777777" w:rsidR="00CE4F0E" w:rsidRPr="00555B5D" w:rsidRDefault="00CE4F0E" w:rsidP="00CE4F0E">
      <w:pPr>
        <w:jc w:val="both"/>
        <w:rPr>
          <w:rFonts w:ascii="Times New Roman" w:hAnsi="Times New Roman" w:cs="Times New Roman"/>
          <w:sz w:val="24"/>
          <w:szCs w:val="24"/>
        </w:rPr>
      </w:pPr>
      <w:r w:rsidRPr="00555B5D">
        <w:rPr>
          <w:rFonts w:ascii="Times New Roman" w:hAnsi="Times New Roman" w:cs="Times New Roman"/>
          <w:sz w:val="24"/>
          <w:szCs w:val="24"/>
        </w:rPr>
        <w:t>Following the confirmation of stationarity and the integration order of the variables, the study employed the cointegration testing framework proposed by Engle and Granger (1987) to ascertain the presence of a long-term equilibrium relationship among the key variables</w:t>
      </w:r>
      <w:r w:rsidR="00953F68">
        <w:rPr>
          <w:rFonts w:ascii="Times New Roman" w:hAnsi="Times New Roman" w:cs="Times New Roman"/>
          <w:sz w:val="24"/>
          <w:szCs w:val="24"/>
        </w:rPr>
        <w:t xml:space="preserve">, </w:t>
      </w:r>
      <w:r w:rsidRPr="00555B5D">
        <w:rPr>
          <w:rFonts w:ascii="Times New Roman" w:hAnsi="Times New Roman" w:cs="Times New Roman"/>
          <w:sz w:val="24"/>
          <w:szCs w:val="24"/>
        </w:rPr>
        <w:t xml:space="preserve">All Share Index, Equities, Corporate Bonds, and agricultural sector performance. </w:t>
      </w:r>
      <w:bookmarkStart w:id="3" w:name="_Hlk195179849"/>
      <w:r w:rsidR="00BF67D0" w:rsidRPr="00555B5D">
        <w:rPr>
          <w:rFonts w:ascii="Times New Roman" w:hAnsi="Times New Roman" w:cs="Times New Roman"/>
          <w:sz w:val="24"/>
          <w:szCs w:val="24"/>
        </w:rPr>
        <w:t xml:space="preserve">It involves conducting </w:t>
      </w:r>
      <w:r w:rsidR="00FF4DAF" w:rsidRPr="00555B5D">
        <w:rPr>
          <w:rFonts w:ascii="Times New Roman" w:hAnsi="Times New Roman" w:cs="Times New Roman"/>
          <w:sz w:val="24"/>
          <w:szCs w:val="24"/>
        </w:rPr>
        <w:t>stationarity</w:t>
      </w:r>
      <w:r w:rsidR="00BF67D0" w:rsidRPr="00555B5D">
        <w:rPr>
          <w:rFonts w:ascii="Times New Roman" w:hAnsi="Times New Roman" w:cs="Times New Roman"/>
          <w:sz w:val="24"/>
          <w:szCs w:val="24"/>
        </w:rPr>
        <w:t xml:space="preserve"> </w:t>
      </w:r>
      <w:r w:rsidR="00FF4DAF" w:rsidRPr="00555B5D">
        <w:rPr>
          <w:rFonts w:ascii="Times New Roman" w:hAnsi="Times New Roman" w:cs="Times New Roman"/>
          <w:sz w:val="24"/>
          <w:szCs w:val="24"/>
        </w:rPr>
        <w:t xml:space="preserve">test </w:t>
      </w:r>
      <w:r w:rsidR="00BF67D0" w:rsidRPr="00555B5D">
        <w:rPr>
          <w:rFonts w:ascii="Times New Roman" w:hAnsi="Times New Roman" w:cs="Times New Roman"/>
          <w:sz w:val="24"/>
          <w:szCs w:val="24"/>
        </w:rPr>
        <w:t xml:space="preserve">of the residuals obtained from the OLS </w:t>
      </w:r>
      <w:r w:rsidR="00FF4DAF" w:rsidRPr="00555B5D">
        <w:rPr>
          <w:rFonts w:ascii="Times New Roman" w:hAnsi="Times New Roman" w:cs="Times New Roman"/>
          <w:sz w:val="24"/>
          <w:szCs w:val="24"/>
        </w:rPr>
        <w:t xml:space="preserve">estimates. </w:t>
      </w:r>
      <w:bookmarkEnd w:id="3"/>
      <w:r w:rsidRPr="00555B5D">
        <w:rPr>
          <w:rFonts w:ascii="Times New Roman" w:hAnsi="Times New Roman" w:cs="Times New Roman"/>
          <w:sz w:val="24"/>
          <w:szCs w:val="24"/>
        </w:rPr>
        <w:t>This technique is particularly effective in detecting long-run relationships among time series that are integrated of the same order, allowing for a clearer understanding of the dynamic interplay between capital market fundamentals and agricultural output. Unlike differencing, which may lead to the loss of long-term information, the cointegration approach preserves essential trends and structural relationships in the data.</w:t>
      </w:r>
    </w:p>
    <w:p w14:paraId="6E360E1C" w14:textId="77777777" w:rsidR="00BF67D0" w:rsidRPr="00555B5D" w:rsidRDefault="00BF67D0" w:rsidP="00BF67D0">
      <w:pPr>
        <w:pStyle w:val="NoSpacing"/>
        <w:rPr>
          <w:rFonts w:ascii="Times New Roman" w:hAnsi="Times New Roman" w:cs="Times New Roman"/>
          <w:sz w:val="24"/>
          <w:szCs w:val="24"/>
        </w:rPr>
      </w:pPr>
      <w:r w:rsidRPr="00555B5D">
        <w:rPr>
          <w:rFonts w:ascii="Times New Roman" w:hAnsi="Times New Roman" w:cs="Times New Roman"/>
          <w:sz w:val="24"/>
          <w:szCs w:val="24"/>
        </w:rPr>
        <w:t xml:space="preserve">In testing for </w:t>
      </w:r>
      <w:r w:rsidR="00FF4DAF" w:rsidRPr="00555B5D">
        <w:rPr>
          <w:rFonts w:ascii="Times New Roman" w:hAnsi="Times New Roman" w:cs="Times New Roman"/>
          <w:sz w:val="24"/>
          <w:szCs w:val="24"/>
        </w:rPr>
        <w:t>s</w:t>
      </w:r>
      <w:r w:rsidRPr="00555B5D">
        <w:rPr>
          <w:rFonts w:ascii="Times New Roman" w:hAnsi="Times New Roman" w:cs="Times New Roman"/>
          <w:sz w:val="24"/>
          <w:szCs w:val="24"/>
        </w:rPr>
        <w:t xml:space="preserve">tationarity of </w:t>
      </w:r>
      <w:r w:rsidR="00FF4DAF" w:rsidRPr="00555B5D">
        <w:rPr>
          <w:rFonts w:ascii="Times New Roman" w:hAnsi="Times New Roman" w:cs="Times New Roman"/>
          <w:sz w:val="24"/>
          <w:szCs w:val="24"/>
        </w:rPr>
        <w:t>r</w:t>
      </w:r>
      <w:r w:rsidRPr="00555B5D">
        <w:rPr>
          <w:rFonts w:ascii="Times New Roman" w:hAnsi="Times New Roman" w:cs="Times New Roman"/>
          <w:sz w:val="24"/>
          <w:szCs w:val="24"/>
        </w:rPr>
        <w:t xml:space="preserve">esiduals according to Engle and Granger (1987), the study applied the ADF test to the residuals </w:t>
      </w:r>
      <w:r w:rsidRPr="00555B5D">
        <w:rPr>
          <w:rFonts w:ascii="Times New Roman" w:hAnsi="Times New Roman" w:cs="Times New Roman"/>
          <w:position w:val="-12"/>
          <w:sz w:val="24"/>
          <w:szCs w:val="24"/>
        </w:rPr>
        <w:object w:dxaOrig="240" w:dyaOrig="360" w14:anchorId="251BB541">
          <v:shape id="_x0000_i1041" type="#_x0000_t75" style="width:12pt;height:18pt" o:ole="">
            <v:imagedata r:id="rId39" o:title=""/>
          </v:shape>
          <o:OLEObject Type="Embed" ProgID="Equation.DSMT4" ShapeID="_x0000_i1041" DrawAspect="Content" ObjectID="_1809440500" r:id="rId40"/>
        </w:object>
      </w:r>
      <w:r w:rsidRPr="00555B5D">
        <w:rPr>
          <w:rFonts w:ascii="Times New Roman" w:hAnsi="Times New Roman" w:cs="Times New Roman"/>
          <w:sz w:val="24"/>
          <w:szCs w:val="24"/>
        </w:rPr>
        <w:t>​</w:t>
      </w:r>
      <w:r w:rsidR="00FF4DAF" w:rsidRPr="00555B5D">
        <w:rPr>
          <w:rFonts w:ascii="Times New Roman" w:hAnsi="Times New Roman" w:cs="Times New Roman"/>
          <w:sz w:val="24"/>
          <w:szCs w:val="24"/>
        </w:rPr>
        <w:t>obtained from</w:t>
      </w:r>
      <w:r w:rsidRPr="00555B5D">
        <w:rPr>
          <w:rFonts w:ascii="Times New Roman" w:hAnsi="Times New Roman" w:cs="Times New Roman"/>
          <w:sz w:val="24"/>
          <w:szCs w:val="24"/>
        </w:rPr>
        <w:t xml:space="preserve"> equation (2)</w:t>
      </w:r>
      <w:r w:rsidR="00FF4DAF" w:rsidRPr="00555B5D">
        <w:rPr>
          <w:rFonts w:ascii="Times New Roman" w:hAnsi="Times New Roman" w:cs="Times New Roman"/>
          <w:sz w:val="24"/>
          <w:szCs w:val="24"/>
        </w:rPr>
        <w:t xml:space="preserve"> and it is captured as</w:t>
      </w:r>
      <w:r w:rsidRPr="00555B5D">
        <w:rPr>
          <w:rFonts w:ascii="Times New Roman" w:hAnsi="Times New Roman" w:cs="Times New Roman"/>
          <w:sz w:val="24"/>
          <w:szCs w:val="24"/>
        </w:rPr>
        <w:t>:</w:t>
      </w:r>
    </w:p>
    <w:p w14:paraId="2AC83A4A" w14:textId="77777777" w:rsidR="00BF67D0" w:rsidRPr="00555B5D" w:rsidRDefault="00FF4DAF" w:rsidP="00BF67D0">
      <w:pPr>
        <w:pStyle w:val="NoSpacing"/>
        <w:rPr>
          <w:rFonts w:ascii="Times New Roman" w:hAnsi="Times New Roman" w:cs="Times New Roman"/>
          <w:sz w:val="24"/>
          <w:szCs w:val="24"/>
        </w:rPr>
      </w:pPr>
      <w:r w:rsidRPr="00555B5D">
        <w:rPr>
          <w:rFonts w:ascii="Times New Roman" w:hAnsi="Times New Roman" w:cs="Times New Roman"/>
          <w:position w:val="-28"/>
          <w:sz w:val="24"/>
          <w:szCs w:val="24"/>
        </w:rPr>
        <w:object w:dxaOrig="9279" w:dyaOrig="680" w14:anchorId="3305481E">
          <v:shape id="_x0000_i1042" type="#_x0000_t75" style="width:464.25pt;height:35.25pt" o:ole="">
            <v:imagedata r:id="rId41" o:title=""/>
          </v:shape>
          <o:OLEObject Type="Embed" ProgID="Equation.DSMT4" ShapeID="_x0000_i1042" DrawAspect="Content" ObjectID="_1809440501" r:id="rId42"/>
        </w:object>
      </w:r>
    </w:p>
    <w:p w14:paraId="5E70F4EF" w14:textId="77777777" w:rsidR="00CE4F0E" w:rsidRPr="00555B5D" w:rsidRDefault="00CE4F0E" w:rsidP="00CE4F0E">
      <w:pPr>
        <w:jc w:val="both"/>
        <w:rPr>
          <w:rFonts w:ascii="Times New Roman" w:hAnsi="Times New Roman" w:cs="Times New Roman"/>
          <w:sz w:val="24"/>
          <w:szCs w:val="24"/>
        </w:rPr>
      </w:pPr>
      <w:r w:rsidRPr="00555B5D">
        <w:rPr>
          <w:rFonts w:ascii="Times New Roman" w:hAnsi="Times New Roman" w:cs="Times New Roman"/>
          <w:sz w:val="24"/>
          <w:szCs w:val="24"/>
        </w:rPr>
        <w:t>Having established the existence of a long-run relationship, the study proceeded to estimate the long-run coefficients using the Fully Modified Ordinary Least Squares (FMOLS) technique. FMOLS is especially appropriate for models involving non-stationary variables that are cointegrated and integrated of order one, I(1). This estimation method accounts for endogeneity and serial correlation, which are common in macroeconomic time series, thereby ensuring that the coefficient estimates are both consistent and unbiased. By adjusting for these econometric challenges, FMOLS enhances the credibility of the long-run estimates, providing a robust analytical foundation to evaluate how capital market indicators influence agricultural GDP performance in Nigeria.</w:t>
      </w:r>
    </w:p>
    <w:p w14:paraId="2E715CAD" w14:textId="77777777" w:rsidR="00CE4F0E" w:rsidRPr="00555B5D" w:rsidRDefault="00CE4F0E" w:rsidP="00953F68">
      <w:pPr>
        <w:pStyle w:val="Default"/>
      </w:pPr>
      <w:r w:rsidRPr="00555B5D">
        <w:t>The FMOLS model adopted in this study is specified as follows:</w:t>
      </w:r>
    </w:p>
    <w:p w14:paraId="4DFD293F" w14:textId="77777777" w:rsidR="00CE4F0E" w:rsidRPr="00555B5D" w:rsidRDefault="001822A9" w:rsidP="00953F68">
      <w:pPr>
        <w:pStyle w:val="Default"/>
      </w:pPr>
      <w:r w:rsidRPr="00555B5D">
        <w:rPr>
          <w:position w:val="-16"/>
        </w:rPr>
        <w:object w:dxaOrig="9100" w:dyaOrig="460" w14:anchorId="6CAC8801">
          <v:shape id="_x0000_i1043" type="#_x0000_t75" style="width:453.75pt;height:22.5pt" o:ole="">
            <v:imagedata r:id="rId43" o:title=""/>
          </v:shape>
          <o:OLEObject Type="Embed" ProgID="Equation.DSMT4" ShapeID="_x0000_i1043" DrawAspect="Content" ObjectID="_1809440502" r:id="rId44"/>
        </w:object>
      </w:r>
    </w:p>
    <w:p w14:paraId="04242BE9" w14:textId="77777777" w:rsidR="00BF67D0" w:rsidRDefault="00953F68" w:rsidP="00953F68">
      <w:pPr>
        <w:pStyle w:val="Default"/>
      </w:pPr>
      <w:r w:rsidRPr="00555B5D">
        <w:t>W</w:t>
      </w:r>
      <w:r w:rsidR="00BF67D0" w:rsidRPr="00555B5D">
        <w:t>here</w:t>
      </w:r>
      <w:r>
        <w:t xml:space="preserve">; </w:t>
      </w:r>
      <w:r w:rsidR="00BF67D0" w:rsidRPr="00555B5D">
        <w:rPr>
          <w:position w:val="-12"/>
        </w:rPr>
        <w:object w:dxaOrig="620" w:dyaOrig="380" w14:anchorId="31EA77CA">
          <v:shape id="_x0000_i1044" type="#_x0000_t75" style="width:30.75pt;height:19.5pt" o:ole="">
            <v:imagedata r:id="rId45" o:title=""/>
          </v:shape>
          <o:OLEObject Type="Embed" ProgID="Equation.DSMT4" ShapeID="_x0000_i1044" DrawAspect="Content" ObjectID="_1809440503" r:id="rId46"/>
        </w:object>
      </w:r>
      <w:r w:rsidR="00BF67D0" w:rsidRPr="00555B5D">
        <w:rPr>
          <w:position w:val="-12"/>
        </w:rPr>
        <w:object w:dxaOrig="760" w:dyaOrig="380" w14:anchorId="0B0249BE">
          <v:shape id="_x0000_i1045" type="#_x0000_t75" style="width:39pt;height:19.5pt" o:ole="">
            <v:imagedata r:id="rId47" o:title=""/>
          </v:shape>
          <o:OLEObject Type="Embed" ProgID="Equation.DSMT4" ShapeID="_x0000_i1045" DrawAspect="Content" ObjectID="_1809440504" r:id="rId48"/>
        </w:object>
      </w:r>
      <w:r w:rsidR="00BF67D0" w:rsidRPr="00555B5D">
        <w:t xml:space="preserve"> and</w:t>
      </w:r>
      <w:r w:rsidR="00BF67D0" w:rsidRPr="00555B5D">
        <w:rPr>
          <w:position w:val="-12"/>
        </w:rPr>
        <w:object w:dxaOrig="440" w:dyaOrig="380" w14:anchorId="71D3AAD4">
          <v:shape id="_x0000_i1046" type="#_x0000_t75" style="width:22.5pt;height:19.5pt" o:ole="">
            <v:imagedata r:id="rId49" o:title=""/>
          </v:shape>
          <o:OLEObject Type="Embed" ProgID="Equation.DSMT4" ShapeID="_x0000_i1046" DrawAspect="Content" ObjectID="_1809440505" r:id="rId50"/>
        </w:object>
      </w:r>
      <w:r w:rsidR="00BF67D0" w:rsidRPr="00555B5D">
        <w:t>are the transformed variables adjusted for endogeneity and serial correlation.</w:t>
      </w:r>
    </w:p>
    <w:p w14:paraId="7AB52AD6" w14:textId="77777777" w:rsidR="00953F68" w:rsidRPr="00555B5D" w:rsidRDefault="00953F68" w:rsidP="00953F68">
      <w:pPr>
        <w:pStyle w:val="Default"/>
      </w:pPr>
    </w:p>
    <w:p w14:paraId="13393F7E" w14:textId="77777777" w:rsidR="006A72D6" w:rsidRPr="00555B5D" w:rsidRDefault="006A72D6" w:rsidP="006A72D6">
      <w:pPr>
        <w:spacing w:before="240"/>
        <w:jc w:val="both"/>
        <w:rPr>
          <w:rFonts w:ascii="Times New Roman" w:hAnsi="Times New Roman" w:cs="Times New Roman"/>
          <w:b/>
          <w:bCs/>
          <w:sz w:val="24"/>
          <w:szCs w:val="24"/>
          <w:lang w:val="en-US"/>
        </w:rPr>
      </w:pPr>
      <w:r w:rsidRPr="00555B5D">
        <w:rPr>
          <w:rFonts w:ascii="Times New Roman" w:hAnsi="Times New Roman" w:cs="Times New Roman"/>
          <w:b/>
          <w:bCs/>
          <w:sz w:val="24"/>
          <w:szCs w:val="24"/>
          <w:lang w:val="en-US"/>
        </w:rPr>
        <w:t>IV.</w:t>
      </w:r>
      <w:r w:rsidRPr="00555B5D">
        <w:rPr>
          <w:rFonts w:ascii="Times New Roman" w:hAnsi="Times New Roman" w:cs="Times New Roman"/>
          <w:b/>
          <w:bCs/>
          <w:sz w:val="24"/>
          <w:szCs w:val="24"/>
          <w:lang w:val="en-US"/>
        </w:rPr>
        <w:tab/>
        <w:t>Results and Discussions</w:t>
      </w:r>
    </w:p>
    <w:p w14:paraId="1645800B" w14:textId="77777777" w:rsidR="006A72D6" w:rsidRPr="00555B5D" w:rsidRDefault="006A72D6" w:rsidP="006A72D6">
      <w:pPr>
        <w:jc w:val="both"/>
        <w:rPr>
          <w:rFonts w:ascii="Times New Roman" w:hAnsi="Times New Roman" w:cs="Times New Roman"/>
          <w:b/>
          <w:bCs/>
          <w:sz w:val="24"/>
          <w:szCs w:val="24"/>
          <w:lang w:val="en-US"/>
        </w:rPr>
      </w:pPr>
      <w:r w:rsidRPr="00555B5D">
        <w:rPr>
          <w:rFonts w:ascii="Times New Roman" w:hAnsi="Times New Roman" w:cs="Times New Roman"/>
          <w:b/>
          <w:bCs/>
          <w:sz w:val="24"/>
          <w:szCs w:val="24"/>
          <w:lang w:val="en-US"/>
        </w:rPr>
        <w:t>Descriptive Statistics Results</w:t>
      </w:r>
    </w:p>
    <w:p w14:paraId="034DF37A" w14:textId="77777777" w:rsidR="00953F68" w:rsidRDefault="009A612E"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Descriptive statistics provide a foundational understanding of the nature, spread, and distribution of the variables used in any empirical study. </w:t>
      </w:r>
      <w:r w:rsidR="00FA1D32">
        <w:rPr>
          <w:rFonts w:ascii="Times New Roman" w:hAnsi="Times New Roman" w:cs="Times New Roman"/>
          <w:sz w:val="24"/>
          <w:szCs w:val="24"/>
        </w:rPr>
        <w:t>The result is captured in Table 1:</w:t>
      </w:r>
      <w:r w:rsidRPr="00555B5D">
        <w:rPr>
          <w:rFonts w:ascii="Times New Roman" w:hAnsi="Times New Roman" w:cs="Times New Roman"/>
          <w:sz w:val="24"/>
          <w:szCs w:val="24"/>
        </w:rPr>
        <w:t xml:space="preserve"> </w:t>
      </w:r>
    </w:p>
    <w:p w14:paraId="60823BC0" w14:textId="77777777" w:rsidR="006B793B" w:rsidRPr="00555B5D" w:rsidRDefault="006B793B" w:rsidP="006B793B">
      <w:pPr>
        <w:pStyle w:val="NoSpacing"/>
        <w:rPr>
          <w:rFonts w:ascii="Times New Roman" w:hAnsi="Times New Roman" w:cs="Times New Roman"/>
          <w:b/>
          <w:bCs/>
          <w:sz w:val="24"/>
          <w:szCs w:val="24"/>
        </w:rPr>
      </w:pPr>
      <w:r w:rsidRPr="00555B5D">
        <w:rPr>
          <w:rFonts w:ascii="Times New Roman" w:hAnsi="Times New Roman" w:cs="Times New Roman"/>
          <w:b/>
          <w:bCs/>
          <w:sz w:val="24"/>
          <w:szCs w:val="24"/>
        </w:rPr>
        <w:t xml:space="preserve">Table </w:t>
      </w:r>
      <w:r w:rsidR="00B975BF" w:rsidRPr="00555B5D">
        <w:rPr>
          <w:rFonts w:ascii="Times New Roman" w:hAnsi="Times New Roman" w:cs="Times New Roman"/>
          <w:b/>
          <w:bCs/>
          <w:sz w:val="24"/>
          <w:szCs w:val="24"/>
        </w:rPr>
        <w:t>1</w:t>
      </w:r>
      <w:r w:rsidRPr="00555B5D">
        <w:rPr>
          <w:rFonts w:ascii="Times New Roman" w:hAnsi="Times New Roman" w:cs="Times New Roman"/>
          <w:b/>
          <w:bCs/>
          <w:sz w:val="24"/>
          <w:szCs w:val="24"/>
        </w:rPr>
        <w:t>: Summary Statistics</w:t>
      </w:r>
    </w:p>
    <w:tbl>
      <w:tblPr>
        <w:tblW w:w="9005" w:type="dxa"/>
        <w:tblBorders>
          <w:top w:val="single" w:sz="4" w:space="0" w:color="auto"/>
          <w:bottom w:val="single" w:sz="4" w:space="0" w:color="auto"/>
        </w:tblBorders>
        <w:tblLook w:val="04A0" w:firstRow="1" w:lastRow="0" w:firstColumn="1" w:lastColumn="0" w:noHBand="0" w:noVBand="1"/>
      </w:tblPr>
      <w:tblGrid>
        <w:gridCol w:w="2225"/>
        <w:gridCol w:w="1695"/>
        <w:gridCol w:w="1695"/>
        <w:gridCol w:w="1695"/>
        <w:gridCol w:w="1695"/>
      </w:tblGrid>
      <w:tr w:rsidR="0071265B" w:rsidRPr="00555B5D" w14:paraId="7AA9A656" w14:textId="77777777" w:rsidTr="00AE0555">
        <w:trPr>
          <w:trHeight w:val="256"/>
        </w:trPr>
        <w:tc>
          <w:tcPr>
            <w:tcW w:w="2225" w:type="dxa"/>
            <w:tcBorders>
              <w:top w:val="single" w:sz="4" w:space="0" w:color="auto"/>
              <w:bottom w:val="single" w:sz="4" w:space="0" w:color="auto"/>
            </w:tcBorders>
            <w:shd w:val="clear" w:color="auto" w:fill="auto"/>
            <w:noWrap/>
            <w:vAlign w:val="bottom"/>
            <w:hideMark/>
          </w:tcPr>
          <w:p w14:paraId="7F3B29F0"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
        </w:tc>
        <w:tc>
          <w:tcPr>
            <w:tcW w:w="1695" w:type="dxa"/>
            <w:tcBorders>
              <w:top w:val="single" w:sz="4" w:space="0" w:color="auto"/>
              <w:bottom w:val="single" w:sz="4" w:space="0" w:color="auto"/>
            </w:tcBorders>
            <w:shd w:val="clear" w:color="auto" w:fill="auto"/>
            <w:noWrap/>
            <w:vAlign w:val="bottom"/>
            <w:hideMark/>
          </w:tcPr>
          <w:p w14:paraId="1BC4D054"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ASG</w:t>
            </w:r>
          </w:p>
        </w:tc>
        <w:tc>
          <w:tcPr>
            <w:tcW w:w="1695" w:type="dxa"/>
            <w:tcBorders>
              <w:top w:val="single" w:sz="4" w:space="0" w:color="auto"/>
              <w:bottom w:val="single" w:sz="4" w:space="0" w:color="auto"/>
            </w:tcBorders>
            <w:shd w:val="clear" w:color="auto" w:fill="auto"/>
            <w:noWrap/>
            <w:vAlign w:val="bottom"/>
            <w:hideMark/>
          </w:tcPr>
          <w:p w14:paraId="6878EEF8"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ASI</w:t>
            </w:r>
          </w:p>
        </w:tc>
        <w:tc>
          <w:tcPr>
            <w:tcW w:w="1695" w:type="dxa"/>
            <w:tcBorders>
              <w:top w:val="single" w:sz="4" w:space="0" w:color="auto"/>
              <w:bottom w:val="single" w:sz="4" w:space="0" w:color="auto"/>
            </w:tcBorders>
            <w:shd w:val="clear" w:color="auto" w:fill="auto"/>
            <w:noWrap/>
            <w:vAlign w:val="bottom"/>
            <w:hideMark/>
          </w:tcPr>
          <w:p w14:paraId="027492BD"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EQU</w:t>
            </w:r>
          </w:p>
        </w:tc>
        <w:tc>
          <w:tcPr>
            <w:tcW w:w="1695" w:type="dxa"/>
            <w:tcBorders>
              <w:top w:val="single" w:sz="4" w:space="0" w:color="auto"/>
              <w:bottom w:val="single" w:sz="4" w:space="0" w:color="auto"/>
            </w:tcBorders>
            <w:shd w:val="clear" w:color="auto" w:fill="auto"/>
            <w:noWrap/>
            <w:vAlign w:val="bottom"/>
            <w:hideMark/>
          </w:tcPr>
          <w:p w14:paraId="4D2E0CB0"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CB</w:t>
            </w:r>
          </w:p>
        </w:tc>
      </w:tr>
      <w:tr w:rsidR="0071265B" w:rsidRPr="00555B5D" w14:paraId="754525D4" w14:textId="77777777" w:rsidTr="00AE0555">
        <w:trPr>
          <w:trHeight w:val="256"/>
        </w:trPr>
        <w:tc>
          <w:tcPr>
            <w:tcW w:w="2225" w:type="dxa"/>
            <w:tcBorders>
              <w:top w:val="single" w:sz="4" w:space="0" w:color="auto"/>
            </w:tcBorders>
            <w:shd w:val="clear" w:color="auto" w:fill="auto"/>
            <w:noWrap/>
            <w:vAlign w:val="bottom"/>
            <w:hideMark/>
          </w:tcPr>
          <w:p w14:paraId="595F1F6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Mean</w:t>
            </w:r>
          </w:p>
        </w:tc>
        <w:tc>
          <w:tcPr>
            <w:tcW w:w="1695" w:type="dxa"/>
            <w:tcBorders>
              <w:top w:val="single" w:sz="4" w:space="0" w:color="auto"/>
            </w:tcBorders>
            <w:shd w:val="clear" w:color="auto" w:fill="auto"/>
            <w:noWrap/>
            <w:vAlign w:val="bottom"/>
            <w:hideMark/>
          </w:tcPr>
          <w:p w14:paraId="3143F368"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24.19185</w:t>
            </w:r>
          </w:p>
        </w:tc>
        <w:tc>
          <w:tcPr>
            <w:tcW w:w="1695" w:type="dxa"/>
            <w:tcBorders>
              <w:top w:val="single" w:sz="4" w:space="0" w:color="auto"/>
            </w:tcBorders>
            <w:shd w:val="clear" w:color="auto" w:fill="auto"/>
            <w:noWrap/>
            <w:vAlign w:val="bottom"/>
            <w:hideMark/>
          </w:tcPr>
          <w:p w14:paraId="16DD997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22763.67</w:t>
            </w:r>
          </w:p>
        </w:tc>
        <w:tc>
          <w:tcPr>
            <w:tcW w:w="1695" w:type="dxa"/>
            <w:tcBorders>
              <w:top w:val="single" w:sz="4" w:space="0" w:color="auto"/>
            </w:tcBorders>
            <w:shd w:val="clear" w:color="auto" w:fill="auto"/>
            <w:noWrap/>
            <w:vAlign w:val="bottom"/>
            <w:hideMark/>
          </w:tcPr>
          <w:p w14:paraId="4E5595BE"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7898.516</w:t>
            </w:r>
          </w:p>
        </w:tc>
        <w:tc>
          <w:tcPr>
            <w:tcW w:w="1695" w:type="dxa"/>
            <w:tcBorders>
              <w:top w:val="single" w:sz="4" w:space="0" w:color="auto"/>
            </w:tcBorders>
            <w:shd w:val="clear" w:color="auto" w:fill="auto"/>
            <w:noWrap/>
            <w:vAlign w:val="bottom"/>
            <w:hideMark/>
          </w:tcPr>
          <w:p w14:paraId="445E6B3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309.0823</w:t>
            </w:r>
          </w:p>
        </w:tc>
      </w:tr>
      <w:tr w:rsidR="0071265B" w:rsidRPr="00555B5D" w14:paraId="47743252" w14:textId="77777777" w:rsidTr="00AE0555">
        <w:trPr>
          <w:trHeight w:val="256"/>
        </w:trPr>
        <w:tc>
          <w:tcPr>
            <w:tcW w:w="2225" w:type="dxa"/>
            <w:shd w:val="clear" w:color="auto" w:fill="auto"/>
            <w:noWrap/>
            <w:vAlign w:val="bottom"/>
            <w:hideMark/>
          </w:tcPr>
          <w:p w14:paraId="78C91CF7"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Maximum</w:t>
            </w:r>
          </w:p>
        </w:tc>
        <w:tc>
          <w:tcPr>
            <w:tcW w:w="1695" w:type="dxa"/>
            <w:shd w:val="clear" w:color="auto" w:fill="auto"/>
            <w:noWrap/>
            <w:vAlign w:val="bottom"/>
            <w:hideMark/>
          </w:tcPr>
          <w:p w14:paraId="56691FB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37.34758</w:t>
            </w:r>
          </w:p>
        </w:tc>
        <w:tc>
          <w:tcPr>
            <w:tcW w:w="1695" w:type="dxa"/>
            <w:shd w:val="clear" w:color="auto" w:fill="auto"/>
            <w:noWrap/>
            <w:vAlign w:val="bottom"/>
            <w:hideMark/>
          </w:tcPr>
          <w:p w14:paraId="19F3D182"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97912.90</w:t>
            </w:r>
          </w:p>
        </w:tc>
        <w:tc>
          <w:tcPr>
            <w:tcW w:w="1695" w:type="dxa"/>
            <w:shd w:val="clear" w:color="auto" w:fill="auto"/>
            <w:noWrap/>
            <w:vAlign w:val="bottom"/>
            <w:hideMark/>
          </w:tcPr>
          <w:p w14:paraId="39B92A04"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54684.90</w:t>
            </w:r>
          </w:p>
        </w:tc>
        <w:tc>
          <w:tcPr>
            <w:tcW w:w="1695" w:type="dxa"/>
            <w:shd w:val="clear" w:color="auto" w:fill="auto"/>
            <w:noWrap/>
            <w:vAlign w:val="bottom"/>
            <w:hideMark/>
          </w:tcPr>
          <w:p w14:paraId="0F8DA15D"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2756.300</w:t>
            </w:r>
          </w:p>
        </w:tc>
      </w:tr>
      <w:tr w:rsidR="0071265B" w:rsidRPr="00555B5D" w14:paraId="05B88404" w14:textId="77777777" w:rsidTr="00AE0555">
        <w:trPr>
          <w:trHeight w:val="256"/>
        </w:trPr>
        <w:tc>
          <w:tcPr>
            <w:tcW w:w="2225" w:type="dxa"/>
            <w:shd w:val="clear" w:color="auto" w:fill="auto"/>
            <w:noWrap/>
            <w:vAlign w:val="bottom"/>
            <w:hideMark/>
          </w:tcPr>
          <w:p w14:paraId="4FBB3CD8"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Minimum</w:t>
            </w:r>
          </w:p>
        </w:tc>
        <w:tc>
          <w:tcPr>
            <w:tcW w:w="1695" w:type="dxa"/>
            <w:shd w:val="clear" w:color="auto" w:fill="auto"/>
            <w:noWrap/>
            <w:vAlign w:val="bottom"/>
            <w:hideMark/>
          </w:tcPr>
          <w:p w14:paraId="5D1A082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18.19992</w:t>
            </w:r>
          </w:p>
        </w:tc>
        <w:tc>
          <w:tcPr>
            <w:tcW w:w="1695" w:type="dxa"/>
            <w:shd w:val="clear" w:color="auto" w:fill="auto"/>
            <w:noWrap/>
            <w:vAlign w:val="bottom"/>
            <w:hideMark/>
          </w:tcPr>
          <w:p w14:paraId="4AB6B5C6"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163.8000</w:t>
            </w:r>
          </w:p>
        </w:tc>
        <w:tc>
          <w:tcPr>
            <w:tcW w:w="1695" w:type="dxa"/>
            <w:shd w:val="clear" w:color="auto" w:fill="auto"/>
            <w:noWrap/>
            <w:vAlign w:val="bottom"/>
            <w:hideMark/>
          </w:tcPr>
          <w:p w14:paraId="5E685A5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7.088430</w:t>
            </w:r>
          </w:p>
        </w:tc>
        <w:tc>
          <w:tcPr>
            <w:tcW w:w="1695" w:type="dxa"/>
            <w:shd w:val="clear" w:color="auto" w:fill="auto"/>
            <w:noWrap/>
            <w:vAlign w:val="bottom"/>
            <w:hideMark/>
          </w:tcPr>
          <w:p w14:paraId="645E037B"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r>
      <w:tr w:rsidR="0071265B" w:rsidRPr="00555B5D" w14:paraId="1588C78E" w14:textId="77777777" w:rsidTr="00AE0555">
        <w:trPr>
          <w:trHeight w:val="256"/>
        </w:trPr>
        <w:tc>
          <w:tcPr>
            <w:tcW w:w="2225" w:type="dxa"/>
            <w:shd w:val="clear" w:color="auto" w:fill="auto"/>
            <w:noWrap/>
            <w:vAlign w:val="bottom"/>
            <w:hideMark/>
          </w:tcPr>
          <w:p w14:paraId="12AD4A5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Std. Dev.</w:t>
            </w:r>
          </w:p>
        </w:tc>
        <w:tc>
          <w:tcPr>
            <w:tcW w:w="1695" w:type="dxa"/>
            <w:shd w:val="clear" w:color="auto" w:fill="auto"/>
            <w:noWrap/>
            <w:vAlign w:val="bottom"/>
            <w:hideMark/>
          </w:tcPr>
          <w:p w14:paraId="1D0AEBD7"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3.688469</w:t>
            </w:r>
          </w:p>
        </w:tc>
        <w:tc>
          <w:tcPr>
            <w:tcW w:w="1695" w:type="dxa"/>
            <w:shd w:val="clear" w:color="auto" w:fill="auto"/>
            <w:noWrap/>
            <w:vAlign w:val="bottom"/>
            <w:hideMark/>
          </w:tcPr>
          <w:p w14:paraId="47065BF7"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22038.68</w:t>
            </w:r>
          </w:p>
        </w:tc>
        <w:tc>
          <w:tcPr>
            <w:tcW w:w="1695" w:type="dxa"/>
            <w:shd w:val="clear" w:color="auto" w:fill="auto"/>
            <w:noWrap/>
            <w:vAlign w:val="bottom"/>
            <w:hideMark/>
          </w:tcPr>
          <w:p w14:paraId="5A02E9C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11838.21</w:t>
            </w:r>
          </w:p>
        </w:tc>
        <w:tc>
          <w:tcPr>
            <w:tcW w:w="1695" w:type="dxa"/>
            <w:shd w:val="clear" w:color="auto" w:fill="auto"/>
            <w:noWrap/>
            <w:vAlign w:val="bottom"/>
            <w:hideMark/>
          </w:tcPr>
          <w:p w14:paraId="3CD0137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591.6037</w:t>
            </w:r>
          </w:p>
        </w:tc>
      </w:tr>
      <w:tr w:rsidR="0071265B" w:rsidRPr="00555B5D" w14:paraId="68D185B9" w14:textId="77777777" w:rsidTr="00AE0555">
        <w:trPr>
          <w:trHeight w:val="256"/>
        </w:trPr>
        <w:tc>
          <w:tcPr>
            <w:tcW w:w="2225" w:type="dxa"/>
            <w:shd w:val="clear" w:color="auto" w:fill="auto"/>
            <w:noWrap/>
            <w:vAlign w:val="bottom"/>
            <w:hideMark/>
          </w:tcPr>
          <w:p w14:paraId="3B5C52F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Skewness</w:t>
            </w:r>
          </w:p>
        </w:tc>
        <w:tc>
          <w:tcPr>
            <w:tcW w:w="1695" w:type="dxa"/>
            <w:shd w:val="clear" w:color="auto" w:fill="auto"/>
            <w:noWrap/>
            <w:vAlign w:val="bottom"/>
            <w:hideMark/>
          </w:tcPr>
          <w:p w14:paraId="5FE70F3D"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1.526652</w:t>
            </w:r>
          </w:p>
        </w:tc>
        <w:tc>
          <w:tcPr>
            <w:tcW w:w="1695" w:type="dxa"/>
            <w:shd w:val="clear" w:color="auto" w:fill="auto"/>
            <w:noWrap/>
            <w:vAlign w:val="bottom"/>
            <w:hideMark/>
          </w:tcPr>
          <w:p w14:paraId="3E4084A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1.329932</w:t>
            </w:r>
          </w:p>
        </w:tc>
        <w:tc>
          <w:tcPr>
            <w:tcW w:w="1695" w:type="dxa"/>
            <w:shd w:val="clear" w:color="auto" w:fill="auto"/>
            <w:noWrap/>
            <w:vAlign w:val="bottom"/>
            <w:hideMark/>
          </w:tcPr>
          <w:p w14:paraId="4C2CFCC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2.310839</w:t>
            </w:r>
          </w:p>
        </w:tc>
        <w:tc>
          <w:tcPr>
            <w:tcW w:w="1695" w:type="dxa"/>
            <w:shd w:val="clear" w:color="auto" w:fill="auto"/>
            <w:noWrap/>
            <w:vAlign w:val="bottom"/>
            <w:hideMark/>
          </w:tcPr>
          <w:p w14:paraId="74EAA53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2.422190</w:t>
            </w:r>
          </w:p>
        </w:tc>
      </w:tr>
      <w:tr w:rsidR="0071265B" w:rsidRPr="00555B5D" w14:paraId="356D4C0C" w14:textId="77777777" w:rsidTr="00AE0555">
        <w:trPr>
          <w:trHeight w:val="256"/>
        </w:trPr>
        <w:tc>
          <w:tcPr>
            <w:tcW w:w="2225" w:type="dxa"/>
            <w:shd w:val="clear" w:color="auto" w:fill="auto"/>
            <w:noWrap/>
            <w:vAlign w:val="bottom"/>
            <w:hideMark/>
          </w:tcPr>
          <w:p w14:paraId="4903FA86"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Kurtosis</w:t>
            </w:r>
          </w:p>
        </w:tc>
        <w:tc>
          <w:tcPr>
            <w:tcW w:w="1695" w:type="dxa"/>
            <w:shd w:val="clear" w:color="auto" w:fill="auto"/>
            <w:noWrap/>
            <w:vAlign w:val="bottom"/>
            <w:hideMark/>
          </w:tcPr>
          <w:p w14:paraId="38AECB3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6.305475</w:t>
            </w:r>
          </w:p>
        </w:tc>
        <w:tc>
          <w:tcPr>
            <w:tcW w:w="1695" w:type="dxa"/>
            <w:shd w:val="clear" w:color="auto" w:fill="auto"/>
            <w:noWrap/>
            <w:vAlign w:val="bottom"/>
            <w:hideMark/>
          </w:tcPr>
          <w:p w14:paraId="24B78D7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5.092664</w:t>
            </w:r>
          </w:p>
        </w:tc>
        <w:tc>
          <w:tcPr>
            <w:tcW w:w="1695" w:type="dxa"/>
            <w:shd w:val="clear" w:color="auto" w:fill="auto"/>
            <w:noWrap/>
            <w:vAlign w:val="bottom"/>
            <w:hideMark/>
          </w:tcPr>
          <w:p w14:paraId="30BC0CA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8.636947</w:t>
            </w:r>
          </w:p>
        </w:tc>
        <w:tc>
          <w:tcPr>
            <w:tcW w:w="1695" w:type="dxa"/>
            <w:shd w:val="clear" w:color="auto" w:fill="auto"/>
            <w:noWrap/>
            <w:vAlign w:val="bottom"/>
            <w:hideMark/>
          </w:tcPr>
          <w:p w14:paraId="393EB332"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9.031604</w:t>
            </w:r>
          </w:p>
        </w:tc>
      </w:tr>
      <w:tr w:rsidR="0071265B" w:rsidRPr="00555B5D" w14:paraId="32FE8207" w14:textId="77777777" w:rsidTr="00AE0555">
        <w:trPr>
          <w:trHeight w:val="256"/>
        </w:trPr>
        <w:tc>
          <w:tcPr>
            <w:tcW w:w="2225" w:type="dxa"/>
            <w:shd w:val="clear" w:color="auto" w:fill="auto"/>
            <w:noWrap/>
            <w:vAlign w:val="bottom"/>
            <w:hideMark/>
          </w:tcPr>
          <w:p w14:paraId="3D0B3BC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Jarque-Bera</w:t>
            </w:r>
          </w:p>
        </w:tc>
        <w:tc>
          <w:tcPr>
            <w:tcW w:w="1695" w:type="dxa"/>
            <w:shd w:val="clear" w:color="auto" w:fill="auto"/>
            <w:noWrap/>
            <w:vAlign w:val="bottom"/>
            <w:hideMark/>
          </w:tcPr>
          <w:p w14:paraId="73003B52"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32.90436</w:t>
            </w:r>
          </w:p>
        </w:tc>
        <w:tc>
          <w:tcPr>
            <w:tcW w:w="1695" w:type="dxa"/>
            <w:shd w:val="clear" w:color="auto" w:fill="auto"/>
            <w:noWrap/>
            <w:vAlign w:val="bottom"/>
            <w:hideMark/>
          </w:tcPr>
          <w:p w14:paraId="6AF09B5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18.61294</w:t>
            </w:r>
          </w:p>
        </w:tc>
        <w:tc>
          <w:tcPr>
            <w:tcW w:w="1695" w:type="dxa"/>
            <w:shd w:val="clear" w:color="auto" w:fill="auto"/>
            <w:noWrap/>
            <w:vAlign w:val="bottom"/>
            <w:hideMark/>
          </w:tcPr>
          <w:p w14:paraId="2B836D3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86.34451</w:t>
            </w:r>
          </w:p>
        </w:tc>
        <w:tc>
          <w:tcPr>
            <w:tcW w:w="1695" w:type="dxa"/>
            <w:shd w:val="clear" w:color="auto" w:fill="auto"/>
            <w:noWrap/>
            <w:vAlign w:val="bottom"/>
            <w:hideMark/>
          </w:tcPr>
          <w:p w14:paraId="6C02658B"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97.25342</w:t>
            </w:r>
          </w:p>
        </w:tc>
      </w:tr>
      <w:tr w:rsidR="0071265B" w:rsidRPr="00555B5D" w14:paraId="7D6B8EBA" w14:textId="77777777" w:rsidTr="00AE0555">
        <w:trPr>
          <w:trHeight w:val="256"/>
        </w:trPr>
        <w:tc>
          <w:tcPr>
            <w:tcW w:w="2225" w:type="dxa"/>
            <w:shd w:val="clear" w:color="auto" w:fill="auto"/>
            <w:noWrap/>
            <w:vAlign w:val="bottom"/>
            <w:hideMark/>
          </w:tcPr>
          <w:p w14:paraId="68CF1C2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Probability</w:t>
            </w:r>
          </w:p>
        </w:tc>
        <w:tc>
          <w:tcPr>
            <w:tcW w:w="1695" w:type="dxa"/>
            <w:shd w:val="clear" w:color="auto" w:fill="auto"/>
            <w:noWrap/>
            <w:vAlign w:val="bottom"/>
            <w:hideMark/>
          </w:tcPr>
          <w:p w14:paraId="6C79288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c>
          <w:tcPr>
            <w:tcW w:w="1695" w:type="dxa"/>
            <w:shd w:val="clear" w:color="auto" w:fill="auto"/>
            <w:noWrap/>
            <w:vAlign w:val="bottom"/>
            <w:hideMark/>
          </w:tcPr>
          <w:p w14:paraId="7F1429F0"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0.000091</w:t>
            </w:r>
          </w:p>
        </w:tc>
        <w:tc>
          <w:tcPr>
            <w:tcW w:w="1695" w:type="dxa"/>
            <w:shd w:val="clear" w:color="auto" w:fill="auto"/>
            <w:noWrap/>
            <w:vAlign w:val="bottom"/>
            <w:hideMark/>
          </w:tcPr>
          <w:p w14:paraId="4399E23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c>
          <w:tcPr>
            <w:tcW w:w="1695" w:type="dxa"/>
            <w:shd w:val="clear" w:color="auto" w:fill="auto"/>
            <w:noWrap/>
            <w:vAlign w:val="bottom"/>
            <w:hideMark/>
          </w:tcPr>
          <w:p w14:paraId="0188EFFE"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r>
    </w:tbl>
    <w:p w14:paraId="224F8343" w14:textId="77777777" w:rsidR="0071265B" w:rsidRPr="00555B5D" w:rsidRDefault="006B793B" w:rsidP="0080266D">
      <w:pPr>
        <w:jc w:val="both"/>
        <w:rPr>
          <w:rFonts w:ascii="Times New Roman" w:hAnsi="Times New Roman" w:cs="Times New Roman"/>
          <w:sz w:val="24"/>
          <w:szCs w:val="24"/>
          <w:lang w:val="en-US"/>
        </w:rPr>
      </w:pPr>
      <w:r w:rsidRPr="00555B5D">
        <w:rPr>
          <w:rFonts w:ascii="Times New Roman" w:hAnsi="Times New Roman" w:cs="Times New Roman"/>
          <w:b/>
          <w:bCs/>
          <w:i/>
          <w:iCs/>
          <w:sz w:val="24"/>
          <w:szCs w:val="24"/>
        </w:rPr>
        <w:t>Source: Researcher’s Computation Using EViews-12 (2025)</w:t>
      </w:r>
    </w:p>
    <w:p w14:paraId="5F6B72EF"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 xml:space="preserve">Starting with Agricultural Sector Growth (ASG), the mean value was 24.19%, indicating that agriculture contributed, on average, around one-quarter to Nigeria’s GDP over the study period. The minimum and maximum values ranged from 18.20% to 37.35%, reflecting notable fluctuations likely due to varying macroeconomic conditions, policy shifts, and weather-related shocks. The standard deviation of 3.69 suggests moderate variability around the mean. The skewness (1.53) and kurtosis (6.31) show that the distribution is right-skewed and leptokurtic, indicating the presence of higher-than-normal peaks and fatter tails. The Jarque-Bera statistic of </w:t>
      </w:r>
      <w:r w:rsidRPr="00555B5D">
        <w:rPr>
          <w:rFonts w:ascii="Times New Roman" w:hAnsi="Times New Roman" w:cs="Times New Roman"/>
          <w:sz w:val="24"/>
          <w:szCs w:val="24"/>
        </w:rPr>
        <w:lastRenderedPageBreak/>
        <w:t>32.90 with a probability of 0.000 confirms that ASG is not normally distributed, implying the potential need for transformation or robust estimation techniques in regression analysis.</w:t>
      </w:r>
    </w:p>
    <w:p w14:paraId="3825339C"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 xml:space="preserve">The </w:t>
      </w:r>
      <w:r w:rsidR="00F923AA"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had a mean of 22,763.67 points, showing the average performance of the Nigerian stock market over the years. The wide range between the minimum (163.80) and the maximum (97,912.90) </w:t>
      </w:r>
      <w:r w:rsidR="00B46D93" w:rsidRPr="00555B5D">
        <w:rPr>
          <w:rFonts w:ascii="Times New Roman" w:hAnsi="Times New Roman" w:cs="Times New Roman"/>
          <w:sz w:val="24"/>
          <w:szCs w:val="24"/>
        </w:rPr>
        <w:t>highlights</w:t>
      </w:r>
      <w:r w:rsidRPr="00555B5D">
        <w:rPr>
          <w:rFonts w:ascii="Times New Roman" w:hAnsi="Times New Roman" w:cs="Times New Roman"/>
          <w:sz w:val="24"/>
          <w:szCs w:val="24"/>
        </w:rPr>
        <w:t xml:space="preserve"> the significant growth in Nigeria’s stock market over the decades. The high standard deviation (22,038.68) reflects substantial volatility in stock market performance, likely influenced by macroeconomic instability, investor sentiment, and external shocks. A positive skewness (1.33) and kurtosis (5.09) indicate a moderately skewed distribution with heavy tails. The Jarque-Bera test value of 18.61 (p &lt; 0.01) suggests non-normality in the distribution of ASI, emphasizing the need for caution in assuming linear relationships in econometric </w:t>
      </w:r>
      <w:r w:rsidR="001822A9" w:rsidRPr="00555B5D">
        <w:rPr>
          <w:rFonts w:ascii="Times New Roman" w:hAnsi="Times New Roman" w:cs="Times New Roman"/>
          <w:sz w:val="24"/>
          <w:szCs w:val="24"/>
        </w:rPr>
        <w:t>modelling</w:t>
      </w:r>
      <w:r w:rsidRPr="00555B5D">
        <w:rPr>
          <w:rFonts w:ascii="Times New Roman" w:hAnsi="Times New Roman" w:cs="Times New Roman"/>
          <w:sz w:val="24"/>
          <w:szCs w:val="24"/>
        </w:rPr>
        <w:t>.</w:t>
      </w:r>
    </w:p>
    <w:p w14:paraId="0639BA06"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 xml:space="preserve">For Equities (EQU), representing the market value of listed equities in ₦ billion, the mean stood at ₦7,898.52 billion, with a substantial jump from a minimum of ₦7.09 billion to a maximum of ₦54,684.90 billion. This reflects the expansion and growing depth of Nigeria’s equity market over the years. However, the high standard deviation of ₦11,838.21 billion points to extreme fluctuations in equity values. The skewness (2.31) and kurtosis (8.64) indicate a highly skewed and peaked distribution, suggesting irregular </w:t>
      </w:r>
      <w:r w:rsidR="00F923AA" w:rsidRPr="00555B5D">
        <w:rPr>
          <w:rFonts w:ascii="Times New Roman" w:hAnsi="Times New Roman" w:cs="Times New Roman"/>
          <w:sz w:val="24"/>
          <w:szCs w:val="24"/>
        </w:rPr>
        <w:t>behaviour</w:t>
      </w:r>
      <w:r w:rsidRPr="00555B5D">
        <w:rPr>
          <w:rFonts w:ascii="Times New Roman" w:hAnsi="Times New Roman" w:cs="Times New Roman"/>
          <w:sz w:val="24"/>
          <w:szCs w:val="24"/>
        </w:rPr>
        <w:t xml:space="preserve"> and potential market shocks or outliers. The Jarque-Bera statistic of 86.34, with a zero probability, confirms strong deviation from normality.</w:t>
      </w:r>
    </w:p>
    <w:p w14:paraId="6FA21D31"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Corporate Bonds (CB) exhibited the lowest average value among the capital market variables, with a mean of ₦309.08 billion. The values ranged from 0 to a maximum of ₦2,756.30 billion, demonstrating a significant increase in bond issuance in more recent years. The standard deviation of ₦591.60 billion is high relative to the mean, suggesting substantial variability in bond market activity over time. The distribution is highly right-skewed (2.42) and peaked (kurtosis of 9.03), indicating that bond issuance was relatively sparse in earlier years but surged in more recent periods. The Jarque-Bera value of 97.25 with a p-value of 0.000 shows that the variable is not normally distributed.</w:t>
      </w:r>
    </w:p>
    <w:p w14:paraId="3946D6AA" w14:textId="77777777" w:rsidR="008A41DF" w:rsidRPr="00555B5D" w:rsidRDefault="008A41DF" w:rsidP="008A41DF">
      <w:pPr>
        <w:jc w:val="both"/>
        <w:rPr>
          <w:rFonts w:ascii="Times New Roman" w:hAnsi="Times New Roman" w:cs="Times New Roman"/>
          <w:b/>
          <w:bCs/>
          <w:sz w:val="24"/>
          <w:szCs w:val="24"/>
        </w:rPr>
      </w:pPr>
      <w:r w:rsidRPr="00555B5D">
        <w:rPr>
          <w:rFonts w:ascii="Times New Roman" w:hAnsi="Times New Roman" w:cs="Times New Roman"/>
          <w:b/>
          <w:bCs/>
          <w:sz w:val="24"/>
          <w:szCs w:val="24"/>
        </w:rPr>
        <w:t>Unit Root Test</w:t>
      </w:r>
    </w:p>
    <w:p w14:paraId="6DA606F4" w14:textId="77777777" w:rsidR="006A72D6" w:rsidRDefault="007A5E50" w:rsidP="0080266D">
      <w:pPr>
        <w:jc w:val="both"/>
        <w:rPr>
          <w:rFonts w:ascii="Times New Roman" w:hAnsi="Times New Roman" w:cs="Times New Roman"/>
          <w:sz w:val="24"/>
          <w:szCs w:val="24"/>
        </w:rPr>
      </w:pPr>
      <w:r>
        <w:rPr>
          <w:rFonts w:ascii="Times New Roman" w:hAnsi="Times New Roman" w:cs="Times New Roman"/>
          <w:sz w:val="24"/>
          <w:szCs w:val="24"/>
        </w:rPr>
        <w:t xml:space="preserve">The study conducted unit root test on each of the series using </w:t>
      </w:r>
      <w:r w:rsidRPr="00555B5D">
        <w:rPr>
          <w:rFonts w:ascii="Times New Roman" w:hAnsi="Times New Roman" w:cs="Times New Roman"/>
          <w:sz w:val="24"/>
          <w:szCs w:val="24"/>
        </w:rPr>
        <w:t>Augmented Dickey-Fuller (ADF) test</w:t>
      </w:r>
      <w:r>
        <w:rPr>
          <w:rFonts w:ascii="Times New Roman" w:hAnsi="Times New Roman" w:cs="Times New Roman"/>
          <w:sz w:val="24"/>
          <w:szCs w:val="24"/>
        </w:rPr>
        <w:t xml:space="preserve"> to determine the level of stationarity of the data and the results are captured in Table 2:</w:t>
      </w:r>
    </w:p>
    <w:p w14:paraId="1565BE9F" w14:textId="77777777" w:rsidR="001E38B5" w:rsidRDefault="001E38B5" w:rsidP="0080266D">
      <w:pPr>
        <w:jc w:val="both"/>
        <w:rPr>
          <w:rFonts w:ascii="Times New Roman" w:hAnsi="Times New Roman" w:cs="Times New Roman"/>
          <w:sz w:val="24"/>
          <w:szCs w:val="24"/>
        </w:rPr>
      </w:pPr>
    </w:p>
    <w:p w14:paraId="7B4E9686" w14:textId="77777777" w:rsidR="001E38B5" w:rsidRDefault="001E38B5" w:rsidP="0080266D">
      <w:pPr>
        <w:jc w:val="both"/>
        <w:rPr>
          <w:rFonts w:ascii="Times New Roman" w:hAnsi="Times New Roman" w:cs="Times New Roman"/>
          <w:sz w:val="24"/>
          <w:szCs w:val="24"/>
        </w:rPr>
      </w:pPr>
    </w:p>
    <w:p w14:paraId="10F19ECC" w14:textId="77777777" w:rsidR="001E38B5" w:rsidRPr="00555B5D" w:rsidRDefault="001E38B5" w:rsidP="0080266D">
      <w:pPr>
        <w:jc w:val="both"/>
        <w:rPr>
          <w:rFonts w:ascii="Times New Roman" w:hAnsi="Times New Roman" w:cs="Times New Roman"/>
          <w:sz w:val="24"/>
          <w:szCs w:val="24"/>
        </w:rPr>
      </w:pPr>
    </w:p>
    <w:p w14:paraId="2065C55D" w14:textId="77777777" w:rsidR="001A29F2" w:rsidRPr="00555B5D" w:rsidRDefault="001A29F2" w:rsidP="001A29F2">
      <w:pPr>
        <w:pStyle w:val="NoSpacing"/>
        <w:jc w:val="both"/>
        <w:rPr>
          <w:rFonts w:ascii="Times New Roman" w:hAnsi="Times New Roman" w:cs="Times New Roman"/>
          <w:color w:val="000000"/>
          <w:sz w:val="24"/>
          <w:szCs w:val="24"/>
        </w:rPr>
      </w:pPr>
      <w:r w:rsidRPr="00555B5D">
        <w:rPr>
          <w:rFonts w:ascii="Times New Roman" w:hAnsi="Times New Roman" w:cs="Times New Roman"/>
          <w:b/>
          <w:color w:val="000000"/>
          <w:sz w:val="24"/>
          <w:szCs w:val="24"/>
        </w:rPr>
        <w:t xml:space="preserve">Table </w:t>
      </w:r>
      <w:r w:rsidR="00B975BF" w:rsidRPr="00555B5D">
        <w:rPr>
          <w:rFonts w:ascii="Times New Roman" w:hAnsi="Times New Roman" w:cs="Times New Roman"/>
          <w:b/>
          <w:color w:val="000000"/>
          <w:sz w:val="24"/>
          <w:szCs w:val="24"/>
        </w:rPr>
        <w:t>2</w:t>
      </w:r>
      <w:r w:rsidRPr="00555B5D">
        <w:rPr>
          <w:rFonts w:ascii="Times New Roman" w:hAnsi="Times New Roman" w:cs="Times New Roman"/>
          <w:b/>
          <w:color w:val="000000"/>
          <w:sz w:val="24"/>
          <w:szCs w:val="24"/>
        </w:rPr>
        <w:t>:</w:t>
      </w:r>
      <w:r w:rsidRPr="00555B5D">
        <w:rPr>
          <w:rFonts w:ascii="Times New Roman" w:hAnsi="Times New Roman" w:cs="Times New Roman"/>
          <w:color w:val="000000"/>
          <w:sz w:val="24"/>
          <w:szCs w:val="24"/>
        </w:rPr>
        <w:t xml:space="preserve"> </w:t>
      </w:r>
      <w:r w:rsidRPr="00555B5D">
        <w:rPr>
          <w:rFonts w:ascii="Times New Roman" w:hAnsi="Times New Roman" w:cs="Times New Roman"/>
          <w:b/>
          <w:bCs/>
          <w:color w:val="000000"/>
          <w:sz w:val="24"/>
          <w:szCs w:val="24"/>
        </w:rPr>
        <w:t>Summary of Unit Root Test Results</w:t>
      </w:r>
    </w:p>
    <w:tbl>
      <w:tblPr>
        <w:tblW w:w="9493" w:type="dxa"/>
        <w:tblInd w:w="-5" w:type="dxa"/>
        <w:tblBorders>
          <w:top w:val="single" w:sz="4" w:space="0" w:color="auto"/>
          <w:bottom w:val="single" w:sz="4" w:space="0" w:color="auto"/>
        </w:tblBorders>
        <w:tblLook w:val="04A0" w:firstRow="1" w:lastRow="0" w:firstColumn="1" w:lastColumn="0" w:noHBand="0" w:noVBand="1"/>
      </w:tblPr>
      <w:tblGrid>
        <w:gridCol w:w="1109"/>
        <w:gridCol w:w="1280"/>
        <w:gridCol w:w="1775"/>
        <w:gridCol w:w="1331"/>
        <w:gridCol w:w="2072"/>
        <w:gridCol w:w="1926"/>
      </w:tblGrid>
      <w:tr w:rsidR="001A29F2" w:rsidRPr="00555B5D" w14:paraId="3143050A" w14:textId="77777777" w:rsidTr="006F3C6B">
        <w:trPr>
          <w:trHeight w:hRule="exact" w:val="332"/>
        </w:trPr>
        <w:tc>
          <w:tcPr>
            <w:tcW w:w="1109" w:type="dxa"/>
            <w:vMerge w:val="restart"/>
            <w:tcBorders>
              <w:top w:val="single" w:sz="4" w:space="0" w:color="auto"/>
              <w:bottom w:val="single" w:sz="4" w:space="0" w:color="auto"/>
              <w:right w:val="single" w:sz="4" w:space="0" w:color="auto"/>
            </w:tcBorders>
            <w:shd w:val="clear" w:color="auto" w:fill="auto"/>
            <w:noWrap/>
            <w:vAlign w:val="center"/>
            <w:hideMark/>
          </w:tcPr>
          <w:p w14:paraId="7B513EAC"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bookmarkStart w:id="4" w:name="_Hlk170814760"/>
            <w:r w:rsidRPr="00555B5D">
              <w:rPr>
                <w:rFonts w:ascii="Times New Roman" w:eastAsia="Times New Roman" w:hAnsi="Times New Roman" w:cs="Times New Roman"/>
                <w:color w:val="000000"/>
                <w:sz w:val="24"/>
                <w:szCs w:val="24"/>
              </w:rPr>
              <w:t>Variables</w:t>
            </w:r>
          </w:p>
        </w:tc>
        <w:tc>
          <w:tcPr>
            <w:tcW w:w="645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E4E08"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ADF</w:t>
            </w:r>
          </w:p>
        </w:tc>
        <w:tc>
          <w:tcPr>
            <w:tcW w:w="1926" w:type="dxa"/>
            <w:vMerge w:val="restart"/>
            <w:tcBorders>
              <w:top w:val="single" w:sz="4" w:space="0" w:color="auto"/>
              <w:left w:val="single" w:sz="4" w:space="0" w:color="auto"/>
              <w:bottom w:val="single" w:sz="4" w:space="0" w:color="auto"/>
            </w:tcBorders>
            <w:shd w:val="clear" w:color="auto" w:fill="auto"/>
            <w:noWrap/>
            <w:vAlign w:val="center"/>
            <w:hideMark/>
          </w:tcPr>
          <w:p w14:paraId="49648B5B"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Decision</w:t>
            </w:r>
          </w:p>
        </w:tc>
      </w:tr>
      <w:tr w:rsidR="001A29F2" w:rsidRPr="00555B5D" w14:paraId="34B53D48" w14:textId="77777777" w:rsidTr="006F3C6B">
        <w:trPr>
          <w:trHeight w:val="332"/>
        </w:trPr>
        <w:tc>
          <w:tcPr>
            <w:tcW w:w="1109" w:type="dxa"/>
            <w:vMerge/>
            <w:tcBorders>
              <w:top w:val="single" w:sz="4" w:space="0" w:color="auto"/>
              <w:bottom w:val="single" w:sz="4" w:space="0" w:color="auto"/>
              <w:right w:val="single" w:sz="4" w:space="0" w:color="auto"/>
            </w:tcBorders>
            <w:vAlign w:val="center"/>
            <w:hideMark/>
          </w:tcPr>
          <w:p w14:paraId="73252872" w14:textId="77777777" w:rsidR="001A29F2" w:rsidRPr="00555B5D" w:rsidRDefault="001A29F2" w:rsidP="006F3C6B">
            <w:pPr>
              <w:spacing w:after="0" w:line="240" w:lineRule="auto"/>
              <w:rPr>
                <w:rFonts w:ascii="Times New Roman" w:eastAsia="Times New Roman" w:hAnsi="Times New Roman" w:cs="Times New Roman"/>
                <w:color w:val="000000"/>
                <w:sz w:val="24"/>
                <w:szCs w:val="24"/>
              </w:rPr>
            </w:pPr>
          </w:p>
        </w:tc>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991E"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Levels (Intercept &amp; trend)</w:t>
            </w:r>
          </w:p>
        </w:tc>
        <w:tc>
          <w:tcPr>
            <w:tcW w:w="34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80FE8"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vertAlign w:val="superscript"/>
              </w:rPr>
              <w:t>st</w:t>
            </w:r>
            <w:r w:rsidRPr="00555B5D">
              <w:rPr>
                <w:rFonts w:ascii="Times New Roman" w:eastAsia="Times New Roman" w:hAnsi="Times New Roman" w:cs="Times New Roman"/>
                <w:color w:val="000000"/>
                <w:sz w:val="24"/>
                <w:szCs w:val="24"/>
              </w:rPr>
              <w:t xml:space="preserve"> difference (Intercept &amp; trend)</w:t>
            </w:r>
          </w:p>
        </w:tc>
        <w:tc>
          <w:tcPr>
            <w:tcW w:w="1926" w:type="dxa"/>
            <w:vMerge/>
            <w:tcBorders>
              <w:top w:val="single" w:sz="4" w:space="0" w:color="auto"/>
              <w:left w:val="single" w:sz="4" w:space="0" w:color="auto"/>
              <w:bottom w:val="single" w:sz="4" w:space="0" w:color="auto"/>
            </w:tcBorders>
            <w:vAlign w:val="center"/>
            <w:hideMark/>
          </w:tcPr>
          <w:p w14:paraId="73C7026E" w14:textId="77777777" w:rsidR="001A29F2" w:rsidRPr="00555B5D" w:rsidRDefault="001A29F2" w:rsidP="006F3C6B">
            <w:pPr>
              <w:spacing w:after="0" w:line="240" w:lineRule="auto"/>
              <w:rPr>
                <w:rFonts w:ascii="Times New Roman" w:eastAsia="Times New Roman" w:hAnsi="Times New Roman" w:cs="Times New Roman"/>
                <w:color w:val="000000"/>
                <w:sz w:val="24"/>
                <w:szCs w:val="24"/>
              </w:rPr>
            </w:pPr>
          </w:p>
        </w:tc>
      </w:tr>
      <w:tr w:rsidR="001A29F2" w:rsidRPr="00555B5D" w14:paraId="387F40DB" w14:textId="77777777" w:rsidTr="006F3C6B">
        <w:trPr>
          <w:trHeight w:val="332"/>
        </w:trPr>
        <w:tc>
          <w:tcPr>
            <w:tcW w:w="1109" w:type="dxa"/>
            <w:vMerge/>
            <w:tcBorders>
              <w:top w:val="single" w:sz="4" w:space="0" w:color="auto"/>
              <w:bottom w:val="single" w:sz="4" w:space="0" w:color="auto"/>
              <w:right w:val="single" w:sz="4" w:space="0" w:color="auto"/>
            </w:tcBorders>
            <w:vAlign w:val="center"/>
            <w:hideMark/>
          </w:tcPr>
          <w:p w14:paraId="27FCCECC" w14:textId="77777777" w:rsidR="001A29F2" w:rsidRPr="00555B5D" w:rsidRDefault="001A29F2" w:rsidP="006F3C6B">
            <w:pPr>
              <w:spacing w:after="0" w:line="240" w:lineRule="auto"/>
              <w:rPr>
                <w:rFonts w:ascii="Times New Roman" w:eastAsia="Times New Roman" w:hAnsi="Times New Roman" w:cs="Times New Roman"/>
                <w:color w:val="000000"/>
                <w:sz w:val="24"/>
                <w:szCs w:val="24"/>
              </w:rPr>
            </w:pPr>
          </w:p>
        </w:tc>
        <w:tc>
          <w:tcPr>
            <w:tcW w:w="1280" w:type="dxa"/>
            <w:tcBorders>
              <w:top w:val="single" w:sz="4" w:space="0" w:color="auto"/>
              <w:left w:val="single" w:sz="4" w:space="0" w:color="auto"/>
              <w:bottom w:val="single" w:sz="4" w:space="0" w:color="auto"/>
            </w:tcBorders>
            <w:shd w:val="clear" w:color="auto" w:fill="auto"/>
            <w:noWrap/>
            <w:vAlign w:val="bottom"/>
            <w:hideMark/>
          </w:tcPr>
          <w:p w14:paraId="28962135"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ADF</w:t>
            </w:r>
          </w:p>
        </w:tc>
        <w:tc>
          <w:tcPr>
            <w:tcW w:w="1775" w:type="dxa"/>
            <w:tcBorders>
              <w:top w:val="single" w:sz="4" w:space="0" w:color="auto"/>
              <w:bottom w:val="single" w:sz="4" w:space="0" w:color="auto"/>
              <w:right w:val="single" w:sz="4" w:space="0" w:color="auto"/>
            </w:tcBorders>
            <w:shd w:val="clear" w:color="auto" w:fill="auto"/>
            <w:noWrap/>
            <w:vAlign w:val="bottom"/>
            <w:hideMark/>
          </w:tcPr>
          <w:p w14:paraId="2284B177"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Critical values</w:t>
            </w:r>
          </w:p>
        </w:tc>
        <w:tc>
          <w:tcPr>
            <w:tcW w:w="1331" w:type="dxa"/>
            <w:tcBorders>
              <w:top w:val="single" w:sz="4" w:space="0" w:color="auto"/>
              <w:left w:val="single" w:sz="4" w:space="0" w:color="auto"/>
              <w:bottom w:val="single" w:sz="4" w:space="0" w:color="auto"/>
            </w:tcBorders>
            <w:shd w:val="clear" w:color="auto" w:fill="auto"/>
            <w:noWrap/>
            <w:vAlign w:val="bottom"/>
            <w:hideMark/>
          </w:tcPr>
          <w:p w14:paraId="5798F972"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ADF</w:t>
            </w:r>
          </w:p>
        </w:tc>
        <w:tc>
          <w:tcPr>
            <w:tcW w:w="2072" w:type="dxa"/>
            <w:tcBorders>
              <w:top w:val="single" w:sz="4" w:space="0" w:color="auto"/>
              <w:bottom w:val="single" w:sz="4" w:space="0" w:color="auto"/>
              <w:right w:val="single" w:sz="4" w:space="0" w:color="auto"/>
            </w:tcBorders>
            <w:shd w:val="clear" w:color="auto" w:fill="auto"/>
            <w:noWrap/>
            <w:vAlign w:val="bottom"/>
            <w:hideMark/>
          </w:tcPr>
          <w:p w14:paraId="22A674BD"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Critical values</w:t>
            </w:r>
          </w:p>
        </w:tc>
        <w:tc>
          <w:tcPr>
            <w:tcW w:w="1926" w:type="dxa"/>
            <w:tcBorders>
              <w:top w:val="single" w:sz="4" w:space="0" w:color="auto"/>
              <w:left w:val="single" w:sz="4" w:space="0" w:color="auto"/>
              <w:bottom w:val="single" w:sz="4" w:space="0" w:color="auto"/>
            </w:tcBorders>
            <w:shd w:val="clear" w:color="auto" w:fill="auto"/>
            <w:noWrap/>
            <w:vAlign w:val="bottom"/>
            <w:hideMark/>
          </w:tcPr>
          <w:p w14:paraId="66D946D5"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 Order of Integration</w:t>
            </w:r>
          </w:p>
        </w:tc>
      </w:tr>
      <w:tr w:rsidR="001A29F2" w:rsidRPr="00555B5D" w14:paraId="305DC178" w14:textId="77777777" w:rsidTr="006F3C6B">
        <w:trPr>
          <w:trHeight w:hRule="exact" w:val="332"/>
        </w:trPr>
        <w:tc>
          <w:tcPr>
            <w:tcW w:w="1109" w:type="dxa"/>
            <w:tcBorders>
              <w:top w:val="single" w:sz="4" w:space="0" w:color="auto"/>
              <w:right w:val="single" w:sz="4" w:space="0" w:color="auto"/>
            </w:tcBorders>
            <w:shd w:val="clear" w:color="auto" w:fill="auto"/>
            <w:noWrap/>
            <w:vAlign w:val="bottom"/>
            <w:hideMark/>
          </w:tcPr>
          <w:p w14:paraId="04E7E57B"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ASG</w:t>
            </w:r>
          </w:p>
        </w:tc>
        <w:tc>
          <w:tcPr>
            <w:tcW w:w="1280" w:type="dxa"/>
            <w:tcBorders>
              <w:top w:val="single" w:sz="4" w:space="0" w:color="auto"/>
              <w:left w:val="single" w:sz="4" w:space="0" w:color="auto"/>
            </w:tcBorders>
            <w:shd w:val="clear" w:color="auto" w:fill="auto"/>
            <w:noWrap/>
            <w:vAlign w:val="bottom"/>
            <w:hideMark/>
          </w:tcPr>
          <w:p w14:paraId="4F5B63F1"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-3.217432</w:t>
            </w:r>
          </w:p>
        </w:tc>
        <w:tc>
          <w:tcPr>
            <w:tcW w:w="1775" w:type="dxa"/>
            <w:tcBorders>
              <w:top w:val="single" w:sz="4" w:space="0" w:color="auto"/>
              <w:right w:val="single" w:sz="4" w:space="0" w:color="auto"/>
            </w:tcBorders>
            <w:shd w:val="clear" w:color="auto" w:fill="auto"/>
            <w:noWrap/>
            <w:vAlign w:val="bottom"/>
            <w:hideMark/>
          </w:tcPr>
          <w:p w14:paraId="0016009A"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-3.536601</w:t>
            </w:r>
          </w:p>
        </w:tc>
        <w:tc>
          <w:tcPr>
            <w:tcW w:w="1331" w:type="dxa"/>
            <w:tcBorders>
              <w:top w:val="single" w:sz="4" w:space="0" w:color="auto"/>
              <w:left w:val="single" w:sz="4" w:space="0" w:color="auto"/>
            </w:tcBorders>
            <w:shd w:val="clear" w:color="auto" w:fill="auto"/>
            <w:noWrap/>
            <w:vAlign w:val="bottom"/>
          </w:tcPr>
          <w:p w14:paraId="6721C492"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-6.757468</w:t>
            </w:r>
          </w:p>
        </w:tc>
        <w:tc>
          <w:tcPr>
            <w:tcW w:w="2072" w:type="dxa"/>
            <w:tcBorders>
              <w:top w:val="single" w:sz="4" w:space="0" w:color="auto"/>
              <w:right w:val="single" w:sz="4" w:space="0" w:color="auto"/>
            </w:tcBorders>
            <w:shd w:val="clear" w:color="auto" w:fill="auto"/>
            <w:noWrap/>
            <w:vAlign w:val="bottom"/>
          </w:tcPr>
          <w:p w14:paraId="157F10D3"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-4.234972*</w:t>
            </w:r>
          </w:p>
        </w:tc>
        <w:tc>
          <w:tcPr>
            <w:tcW w:w="1926" w:type="dxa"/>
            <w:tcBorders>
              <w:top w:val="single" w:sz="4" w:space="0" w:color="auto"/>
              <w:left w:val="single" w:sz="4" w:space="0" w:color="auto"/>
            </w:tcBorders>
            <w:shd w:val="clear" w:color="auto" w:fill="auto"/>
            <w:noWrap/>
            <w:vAlign w:val="bottom"/>
            <w:hideMark/>
          </w:tcPr>
          <w:p w14:paraId="46B53276"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I(</w:t>
            </w:r>
            <w:r w:rsidR="00B975BF"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rPr>
              <w:t>)</w:t>
            </w:r>
          </w:p>
        </w:tc>
      </w:tr>
      <w:tr w:rsidR="001A29F2" w:rsidRPr="00555B5D" w14:paraId="5655C31B" w14:textId="77777777" w:rsidTr="006F3C6B">
        <w:trPr>
          <w:trHeight w:hRule="exact" w:val="332"/>
        </w:trPr>
        <w:tc>
          <w:tcPr>
            <w:tcW w:w="1109" w:type="dxa"/>
            <w:tcBorders>
              <w:right w:val="single" w:sz="4" w:space="0" w:color="auto"/>
            </w:tcBorders>
            <w:shd w:val="clear" w:color="auto" w:fill="auto"/>
            <w:noWrap/>
            <w:vAlign w:val="bottom"/>
            <w:hideMark/>
          </w:tcPr>
          <w:p w14:paraId="17D3E1F4"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lastRenderedPageBreak/>
              <w:t>ASI</w:t>
            </w:r>
          </w:p>
        </w:tc>
        <w:tc>
          <w:tcPr>
            <w:tcW w:w="1280" w:type="dxa"/>
            <w:tcBorders>
              <w:left w:val="single" w:sz="4" w:space="0" w:color="auto"/>
            </w:tcBorders>
            <w:shd w:val="clear" w:color="auto" w:fill="auto"/>
            <w:noWrap/>
            <w:vAlign w:val="bottom"/>
            <w:hideMark/>
          </w:tcPr>
          <w:p w14:paraId="368FFA73"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-0.947804</w:t>
            </w:r>
          </w:p>
        </w:tc>
        <w:tc>
          <w:tcPr>
            <w:tcW w:w="1775" w:type="dxa"/>
            <w:tcBorders>
              <w:right w:val="single" w:sz="4" w:space="0" w:color="auto"/>
            </w:tcBorders>
            <w:shd w:val="clear" w:color="auto" w:fill="auto"/>
            <w:noWrap/>
            <w:vAlign w:val="bottom"/>
            <w:hideMark/>
          </w:tcPr>
          <w:p w14:paraId="4C87D914"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-3.533083</w:t>
            </w:r>
          </w:p>
        </w:tc>
        <w:tc>
          <w:tcPr>
            <w:tcW w:w="1331" w:type="dxa"/>
            <w:tcBorders>
              <w:left w:val="single" w:sz="4" w:space="0" w:color="auto"/>
            </w:tcBorders>
            <w:shd w:val="clear" w:color="auto" w:fill="auto"/>
            <w:noWrap/>
            <w:vAlign w:val="bottom"/>
          </w:tcPr>
          <w:p w14:paraId="129FC32A"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-5.127919</w:t>
            </w:r>
          </w:p>
        </w:tc>
        <w:tc>
          <w:tcPr>
            <w:tcW w:w="2072" w:type="dxa"/>
            <w:tcBorders>
              <w:right w:val="single" w:sz="4" w:space="0" w:color="auto"/>
            </w:tcBorders>
            <w:shd w:val="clear" w:color="auto" w:fill="auto"/>
            <w:noWrap/>
            <w:vAlign w:val="bottom"/>
          </w:tcPr>
          <w:p w14:paraId="160ECF25" w14:textId="77777777" w:rsidR="001A29F2" w:rsidRPr="00555B5D" w:rsidRDefault="00CF1A07"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-4.226815*</w:t>
            </w:r>
          </w:p>
        </w:tc>
        <w:tc>
          <w:tcPr>
            <w:tcW w:w="1926" w:type="dxa"/>
            <w:tcBorders>
              <w:left w:val="single" w:sz="4" w:space="0" w:color="auto"/>
            </w:tcBorders>
            <w:shd w:val="clear" w:color="auto" w:fill="auto"/>
            <w:noWrap/>
            <w:vAlign w:val="bottom"/>
            <w:hideMark/>
          </w:tcPr>
          <w:p w14:paraId="512D6A59"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I(</w:t>
            </w:r>
            <w:r w:rsidR="00B975BF"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rPr>
              <w:t>)</w:t>
            </w:r>
          </w:p>
        </w:tc>
      </w:tr>
      <w:tr w:rsidR="001A29F2" w:rsidRPr="00555B5D" w14:paraId="46CA07A3" w14:textId="77777777" w:rsidTr="006F3C6B">
        <w:trPr>
          <w:trHeight w:hRule="exact" w:val="332"/>
        </w:trPr>
        <w:tc>
          <w:tcPr>
            <w:tcW w:w="1109" w:type="dxa"/>
            <w:tcBorders>
              <w:right w:val="single" w:sz="4" w:space="0" w:color="auto"/>
            </w:tcBorders>
            <w:shd w:val="clear" w:color="auto" w:fill="auto"/>
            <w:noWrap/>
            <w:vAlign w:val="bottom"/>
            <w:hideMark/>
          </w:tcPr>
          <w:p w14:paraId="332AB66E"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EQU</w:t>
            </w:r>
          </w:p>
        </w:tc>
        <w:tc>
          <w:tcPr>
            <w:tcW w:w="1280" w:type="dxa"/>
            <w:tcBorders>
              <w:left w:val="single" w:sz="4" w:space="0" w:color="auto"/>
            </w:tcBorders>
            <w:shd w:val="clear" w:color="auto" w:fill="auto"/>
            <w:noWrap/>
            <w:vAlign w:val="bottom"/>
            <w:hideMark/>
          </w:tcPr>
          <w:p w14:paraId="08A568B7"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-3.849515</w:t>
            </w:r>
          </w:p>
        </w:tc>
        <w:tc>
          <w:tcPr>
            <w:tcW w:w="1775" w:type="dxa"/>
            <w:tcBorders>
              <w:right w:val="single" w:sz="4" w:space="0" w:color="auto"/>
            </w:tcBorders>
            <w:shd w:val="clear" w:color="auto" w:fill="auto"/>
            <w:noWrap/>
            <w:vAlign w:val="bottom"/>
            <w:hideMark/>
          </w:tcPr>
          <w:p w14:paraId="4CAEE449"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-4.219126</w:t>
            </w:r>
          </w:p>
        </w:tc>
        <w:tc>
          <w:tcPr>
            <w:tcW w:w="1331" w:type="dxa"/>
            <w:tcBorders>
              <w:left w:val="single" w:sz="4" w:space="0" w:color="auto"/>
            </w:tcBorders>
            <w:shd w:val="clear" w:color="auto" w:fill="auto"/>
            <w:noWrap/>
            <w:vAlign w:val="bottom"/>
            <w:hideMark/>
          </w:tcPr>
          <w:p w14:paraId="6C789A03"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-4.965910</w:t>
            </w:r>
          </w:p>
        </w:tc>
        <w:tc>
          <w:tcPr>
            <w:tcW w:w="2072" w:type="dxa"/>
            <w:tcBorders>
              <w:right w:val="single" w:sz="4" w:space="0" w:color="auto"/>
            </w:tcBorders>
            <w:shd w:val="clear" w:color="auto" w:fill="auto"/>
            <w:noWrap/>
            <w:vAlign w:val="bottom"/>
            <w:hideMark/>
          </w:tcPr>
          <w:p w14:paraId="69B94898"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-4.243644</w:t>
            </w:r>
            <w:r w:rsidR="001A29F2" w:rsidRPr="00555B5D">
              <w:rPr>
                <w:rFonts w:ascii="Times New Roman" w:hAnsi="Times New Roman" w:cs="Times New Roman"/>
                <w:sz w:val="24"/>
                <w:szCs w:val="24"/>
              </w:rPr>
              <w:t>*</w:t>
            </w:r>
          </w:p>
        </w:tc>
        <w:tc>
          <w:tcPr>
            <w:tcW w:w="1926" w:type="dxa"/>
            <w:tcBorders>
              <w:left w:val="single" w:sz="4" w:space="0" w:color="auto"/>
            </w:tcBorders>
            <w:shd w:val="clear" w:color="auto" w:fill="auto"/>
            <w:noWrap/>
            <w:vAlign w:val="bottom"/>
            <w:hideMark/>
          </w:tcPr>
          <w:p w14:paraId="0422D174"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l(1)</w:t>
            </w:r>
          </w:p>
        </w:tc>
      </w:tr>
      <w:tr w:rsidR="001A29F2" w:rsidRPr="00555B5D" w14:paraId="32FE224F" w14:textId="77777777" w:rsidTr="006F3C6B">
        <w:trPr>
          <w:trHeight w:hRule="exact" w:val="332"/>
        </w:trPr>
        <w:tc>
          <w:tcPr>
            <w:tcW w:w="1109" w:type="dxa"/>
            <w:tcBorders>
              <w:right w:val="single" w:sz="4" w:space="0" w:color="auto"/>
            </w:tcBorders>
            <w:shd w:val="clear" w:color="auto" w:fill="auto"/>
            <w:noWrap/>
            <w:vAlign w:val="bottom"/>
          </w:tcPr>
          <w:p w14:paraId="4F93D068"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CB</w:t>
            </w:r>
          </w:p>
        </w:tc>
        <w:tc>
          <w:tcPr>
            <w:tcW w:w="1280" w:type="dxa"/>
            <w:tcBorders>
              <w:left w:val="single" w:sz="4" w:space="0" w:color="auto"/>
            </w:tcBorders>
            <w:shd w:val="clear" w:color="auto" w:fill="auto"/>
            <w:noWrap/>
            <w:vAlign w:val="bottom"/>
          </w:tcPr>
          <w:p w14:paraId="74AEF79A"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 </w:t>
            </w:r>
            <w:r w:rsidR="00CF1A07" w:rsidRPr="00555B5D">
              <w:rPr>
                <w:rFonts w:ascii="Times New Roman" w:hAnsi="Times New Roman" w:cs="Times New Roman"/>
                <w:sz w:val="24"/>
                <w:szCs w:val="24"/>
              </w:rPr>
              <w:t>-1.019273</w:t>
            </w:r>
          </w:p>
        </w:tc>
        <w:tc>
          <w:tcPr>
            <w:tcW w:w="1775" w:type="dxa"/>
            <w:tcBorders>
              <w:right w:val="single" w:sz="4" w:space="0" w:color="auto"/>
            </w:tcBorders>
            <w:shd w:val="clear" w:color="auto" w:fill="auto"/>
            <w:noWrap/>
            <w:vAlign w:val="bottom"/>
          </w:tcPr>
          <w:p w14:paraId="775DB645"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-3.533083</w:t>
            </w:r>
          </w:p>
        </w:tc>
        <w:tc>
          <w:tcPr>
            <w:tcW w:w="1331" w:type="dxa"/>
            <w:tcBorders>
              <w:left w:val="single" w:sz="4" w:space="0" w:color="auto"/>
            </w:tcBorders>
            <w:shd w:val="clear" w:color="auto" w:fill="auto"/>
            <w:noWrap/>
            <w:vAlign w:val="bottom"/>
          </w:tcPr>
          <w:p w14:paraId="6126617C"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-4.339638</w:t>
            </w:r>
          </w:p>
        </w:tc>
        <w:tc>
          <w:tcPr>
            <w:tcW w:w="2072" w:type="dxa"/>
            <w:tcBorders>
              <w:right w:val="single" w:sz="4" w:space="0" w:color="auto"/>
            </w:tcBorders>
            <w:shd w:val="clear" w:color="auto" w:fill="auto"/>
            <w:noWrap/>
            <w:vAlign w:val="bottom"/>
          </w:tcPr>
          <w:p w14:paraId="1876CBF5" w14:textId="77777777" w:rsidR="001A29F2" w:rsidRPr="00555B5D" w:rsidRDefault="00B975BF"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-3.536601**</w:t>
            </w:r>
          </w:p>
        </w:tc>
        <w:tc>
          <w:tcPr>
            <w:tcW w:w="1926" w:type="dxa"/>
            <w:tcBorders>
              <w:left w:val="single" w:sz="4" w:space="0" w:color="auto"/>
            </w:tcBorders>
            <w:shd w:val="clear" w:color="auto" w:fill="auto"/>
            <w:noWrap/>
            <w:vAlign w:val="bottom"/>
          </w:tcPr>
          <w:p w14:paraId="207B3DCA" w14:textId="77777777" w:rsidR="001A29F2" w:rsidRPr="00555B5D" w:rsidRDefault="001A29F2" w:rsidP="006F3C6B">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l(</w:t>
            </w:r>
            <w:r w:rsidR="00B975BF"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rPr>
              <w:t>)</w:t>
            </w:r>
          </w:p>
        </w:tc>
      </w:tr>
    </w:tbl>
    <w:bookmarkEnd w:id="4"/>
    <w:p w14:paraId="5A7705D1" w14:textId="77777777" w:rsidR="001A29F2" w:rsidRPr="00953F68" w:rsidRDefault="001A29F2" w:rsidP="001A29F2">
      <w:pPr>
        <w:pStyle w:val="NoSpacing"/>
        <w:jc w:val="both"/>
        <w:rPr>
          <w:rFonts w:ascii="Times New Roman" w:hAnsi="Times New Roman" w:cs="Times New Roman"/>
          <w:i/>
          <w:color w:val="000000"/>
          <w:sz w:val="18"/>
          <w:szCs w:val="18"/>
        </w:rPr>
      </w:pPr>
      <w:r w:rsidRPr="00953F68">
        <w:rPr>
          <w:rFonts w:ascii="Times New Roman" w:hAnsi="Times New Roman" w:cs="Times New Roman"/>
          <w:color w:val="000000"/>
          <w:sz w:val="18"/>
          <w:szCs w:val="18"/>
        </w:rPr>
        <w:t xml:space="preserve">Note: The tests include intercept with trend; </w:t>
      </w:r>
      <w:r w:rsidRPr="00953F68">
        <w:rPr>
          <w:rFonts w:ascii="Times New Roman" w:hAnsi="Times New Roman" w:cs="Times New Roman"/>
          <w:i/>
          <w:color w:val="000000"/>
          <w:sz w:val="18"/>
          <w:szCs w:val="18"/>
        </w:rPr>
        <w:t>*</w:t>
      </w:r>
      <w:r w:rsidR="00B975BF" w:rsidRPr="00953F68">
        <w:rPr>
          <w:rFonts w:ascii="Times New Roman" w:hAnsi="Times New Roman" w:cs="Times New Roman"/>
          <w:i/>
          <w:color w:val="000000"/>
          <w:sz w:val="18"/>
          <w:szCs w:val="18"/>
        </w:rPr>
        <w:t xml:space="preserve"> and</w:t>
      </w:r>
      <w:r w:rsidRPr="00953F68">
        <w:rPr>
          <w:rFonts w:ascii="Times New Roman" w:hAnsi="Times New Roman" w:cs="Times New Roman"/>
          <w:i/>
          <w:color w:val="000000"/>
          <w:sz w:val="18"/>
          <w:szCs w:val="18"/>
        </w:rPr>
        <w:t>** significant at 1</w:t>
      </w:r>
      <w:r w:rsidR="00B975BF" w:rsidRPr="00953F68">
        <w:rPr>
          <w:rFonts w:ascii="Times New Roman" w:hAnsi="Times New Roman" w:cs="Times New Roman"/>
          <w:i/>
          <w:color w:val="000000"/>
          <w:sz w:val="18"/>
          <w:szCs w:val="18"/>
        </w:rPr>
        <w:t xml:space="preserve"> and</w:t>
      </w:r>
      <w:r w:rsidRPr="00953F68">
        <w:rPr>
          <w:rFonts w:ascii="Times New Roman" w:hAnsi="Times New Roman" w:cs="Times New Roman"/>
          <w:i/>
          <w:color w:val="000000"/>
          <w:sz w:val="18"/>
          <w:szCs w:val="18"/>
        </w:rPr>
        <w:t xml:space="preserve"> 5%</w:t>
      </w:r>
    </w:p>
    <w:p w14:paraId="232709F4" w14:textId="77777777" w:rsidR="001A29F2" w:rsidRPr="00555B5D" w:rsidRDefault="006B793B" w:rsidP="0080266D">
      <w:pPr>
        <w:jc w:val="both"/>
        <w:rPr>
          <w:rFonts w:ascii="Times New Roman" w:hAnsi="Times New Roman" w:cs="Times New Roman"/>
          <w:sz w:val="24"/>
          <w:szCs w:val="24"/>
        </w:rPr>
      </w:pPr>
      <w:r w:rsidRPr="00555B5D">
        <w:rPr>
          <w:rFonts w:ascii="Times New Roman" w:hAnsi="Times New Roman" w:cs="Times New Roman"/>
          <w:b/>
          <w:bCs/>
          <w:i/>
          <w:iCs/>
          <w:sz w:val="24"/>
          <w:szCs w:val="24"/>
        </w:rPr>
        <w:t>Source: Researcher’s Computation Using EViews-12 (2025)</w:t>
      </w:r>
    </w:p>
    <w:p w14:paraId="2BB5A61D"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The results from the ADF unit root test indicate that all variables in this study—agricultural sector growth (ASG), All Share Index (ASI), Equities (EQU), and Corporate Bonds (CB)—were non-stationary at levels but became stationary after first differencing. For ASG, the ADF statistic at level (-3.217432) was less negative than the 5% critical value (-3.536601), indicating non-stationarity. However, after first differencing, the ADF statistic improved to -6.757468, which is more negative than the 1% critical value (-4.234972), confirming stationarity at first difference, I(1). This implies that agricultural output, measured as a percentage of GDP, follows a stochastic trend and only becomes stable after differencing.</w:t>
      </w:r>
    </w:p>
    <w:p w14:paraId="72B28385"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 xml:space="preserve">For the </w:t>
      </w:r>
      <w:r w:rsidR="00F923AA"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the ADF statistic at level (-0.947804) fell significantly short of the 5% critical threshold (-3.533083), indicating strong non-stationarity. At first difference, the ADF statistic sharply dropped to -5.127919, which is more negative than the 1% critical value (-4.226815), confirming that ASI is also integrated of order one, I(1). This result aligns with expectations for financial variables, which often show strong trends due to cumulative market effects over time.</w:t>
      </w:r>
    </w:p>
    <w:p w14:paraId="456C6F1D"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Similarly, Equities (EQU) showed non-stationarity at level with an ADF value of -3.849515, just shy of the critical threshold (-4.219126). However, upon first differencing, the ADF test statistic became -4.965910, exceeding the 1% critical value (-4.243644), thereby confirming stationarity at I(1). This result suggests that equity market capitalization in Nigeria experiences persistent shocks and trends that need to be differenced before conducting meaningful time series analysis.</w:t>
      </w:r>
    </w:p>
    <w:p w14:paraId="6BEF97A8"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Lastly, the Corporate Bonds (CB) variable was also non-stationary at level with an ADF statistic of -1.019273 compared to the 5% critical value of -3.533083. After first differencing, the ADF statistic became -4.339638, which exceeded the 5% critical value (-3.536601), indicating that CB is stationary at first difference, I(1). This pattern reflects the uneven growth and development of the corporate bond market in Nigeria, which only gained traction in recent years.</w:t>
      </w:r>
    </w:p>
    <w:p w14:paraId="6199E5FD" w14:textId="77777777" w:rsidR="008A41DF" w:rsidRPr="00555B5D" w:rsidRDefault="008A41DF" w:rsidP="008A41DF">
      <w:pPr>
        <w:spacing w:before="240"/>
        <w:jc w:val="both"/>
        <w:rPr>
          <w:rFonts w:ascii="Times New Roman" w:hAnsi="Times New Roman" w:cs="Times New Roman"/>
          <w:b/>
          <w:bCs/>
          <w:sz w:val="24"/>
          <w:szCs w:val="24"/>
        </w:rPr>
      </w:pPr>
      <w:r w:rsidRPr="00555B5D">
        <w:rPr>
          <w:rFonts w:ascii="Times New Roman" w:hAnsi="Times New Roman" w:cs="Times New Roman"/>
          <w:b/>
          <w:bCs/>
          <w:sz w:val="24"/>
          <w:szCs w:val="24"/>
        </w:rPr>
        <w:t>Co-integration Test</w:t>
      </w:r>
    </w:p>
    <w:p w14:paraId="681912B8" w14:textId="77777777" w:rsidR="00C75133" w:rsidRPr="00555B5D" w:rsidRDefault="008A41DF" w:rsidP="0080266D">
      <w:pPr>
        <w:jc w:val="both"/>
        <w:rPr>
          <w:rFonts w:ascii="Times New Roman" w:hAnsi="Times New Roman" w:cs="Times New Roman"/>
          <w:sz w:val="24"/>
          <w:szCs w:val="24"/>
        </w:rPr>
      </w:pPr>
      <w:r w:rsidRPr="00555B5D">
        <w:rPr>
          <w:rFonts w:ascii="Times New Roman" w:hAnsi="Times New Roman" w:cs="Times New Roman"/>
          <w:sz w:val="24"/>
          <w:szCs w:val="24"/>
        </w:rPr>
        <w:t>In this study, the Engle and Granger cointegration test was applied to assess whether a long-run relationship exists between agricultural sector performance (ASG) and capital market fundamentals</w:t>
      </w:r>
      <w:r w:rsidR="005D1B3E">
        <w:rPr>
          <w:rFonts w:ascii="Times New Roman" w:hAnsi="Times New Roman" w:cs="Times New Roman"/>
          <w:sz w:val="24"/>
          <w:szCs w:val="24"/>
        </w:rPr>
        <w:t xml:space="preserve">, </w:t>
      </w:r>
      <w:r w:rsidRPr="00555B5D">
        <w:rPr>
          <w:rFonts w:ascii="Times New Roman" w:hAnsi="Times New Roman" w:cs="Times New Roman"/>
          <w:sz w:val="24"/>
          <w:szCs w:val="24"/>
        </w:rPr>
        <w:t xml:space="preserve">namely the </w:t>
      </w:r>
      <w:r w:rsidR="005D1B3E"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Equities (EQU), and Corporate Bonds (CB)—over the period 1986 to 2024.</w:t>
      </w:r>
    </w:p>
    <w:p w14:paraId="24F007B2" w14:textId="77777777" w:rsidR="00C75133" w:rsidRPr="00555B5D" w:rsidRDefault="00C75133" w:rsidP="00C75133">
      <w:pPr>
        <w:pStyle w:val="NoSpacing"/>
        <w:jc w:val="both"/>
        <w:rPr>
          <w:rFonts w:ascii="Times New Roman" w:hAnsi="Times New Roman" w:cs="Times New Roman"/>
          <w:b/>
          <w:bCs/>
          <w:sz w:val="24"/>
          <w:szCs w:val="24"/>
        </w:rPr>
      </w:pPr>
      <w:r w:rsidRPr="00555B5D">
        <w:rPr>
          <w:rFonts w:ascii="Times New Roman" w:hAnsi="Times New Roman" w:cs="Times New Roman"/>
          <w:b/>
          <w:bCs/>
          <w:sz w:val="24"/>
          <w:szCs w:val="24"/>
        </w:rPr>
        <w:t xml:space="preserve">Table </w:t>
      </w:r>
      <w:r w:rsidR="00B975BF" w:rsidRPr="00555B5D">
        <w:rPr>
          <w:rFonts w:ascii="Times New Roman" w:hAnsi="Times New Roman" w:cs="Times New Roman"/>
          <w:b/>
          <w:bCs/>
          <w:sz w:val="24"/>
          <w:szCs w:val="24"/>
        </w:rPr>
        <w:t>3</w:t>
      </w:r>
      <w:r w:rsidRPr="00555B5D">
        <w:rPr>
          <w:rFonts w:ascii="Times New Roman" w:hAnsi="Times New Roman" w:cs="Times New Roman"/>
          <w:b/>
          <w:bCs/>
          <w:sz w:val="24"/>
          <w:szCs w:val="24"/>
        </w:rPr>
        <w:t>: Engel &amp; Granger Co-integration Result</w:t>
      </w:r>
    </w:p>
    <w:tbl>
      <w:tblPr>
        <w:tblW w:w="8341" w:type="dxa"/>
        <w:tblBorders>
          <w:top w:val="single" w:sz="4" w:space="0" w:color="auto"/>
          <w:bottom w:val="single" w:sz="4" w:space="0" w:color="auto"/>
        </w:tblBorders>
        <w:tblLook w:val="04A0" w:firstRow="1" w:lastRow="0" w:firstColumn="1" w:lastColumn="0" w:noHBand="0" w:noVBand="1"/>
      </w:tblPr>
      <w:tblGrid>
        <w:gridCol w:w="4043"/>
        <w:gridCol w:w="2064"/>
        <w:gridCol w:w="1264"/>
        <w:gridCol w:w="970"/>
      </w:tblGrid>
      <w:tr w:rsidR="00C75133" w:rsidRPr="00555B5D" w14:paraId="4A7C1555" w14:textId="77777777" w:rsidTr="00543FA0">
        <w:trPr>
          <w:trHeight w:val="273"/>
        </w:trPr>
        <w:tc>
          <w:tcPr>
            <w:tcW w:w="6107" w:type="dxa"/>
            <w:gridSpan w:val="2"/>
            <w:tcBorders>
              <w:top w:val="single" w:sz="4" w:space="0" w:color="auto"/>
              <w:bottom w:val="single" w:sz="4" w:space="0" w:color="auto"/>
            </w:tcBorders>
            <w:shd w:val="clear" w:color="auto" w:fill="auto"/>
            <w:noWrap/>
            <w:vAlign w:val="bottom"/>
            <w:hideMark/>
          </w:tcPr>
          <w:p w14:paraId="2763EBE4" w14:textId="77777777" w:rsidR="00C75133" w:rsidRPr="00555B5D" w:rsidRDefault="00C75133" w:rsidP="006F3C6B">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Residual</w:t>
            </w:r>
          </w:p>
        </w:tc>
        <w:tc>
          <w:tcPr>
            <w:tcW w:w="1264" w:type="dxa"/>
            <w:tcBorders>
              <w:top w:val="single" w:sz="4" w:space="0" w:color="auto"/>
              <w:bottom w:val="single" w:sz="4" w:space="0" w:color="auto"/>
            </w:tcBorders>
            <w:shd w:val="clear" w:color="auto" w:fill="auto"/>
            <w:noWrap/>
            <w:vAlign w:val="bottom"/>
            <w:hideMark/>
          </w:tcPr>
          <w:p w14:paraId="3F5D5475" w14:textId="77777777" w:rsidR="00C75133" w:rsidRPr="00555B5D" w:rsidRDefault="00C75133" w:rsidP="006F3C6B">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t-Statistic</w:t>
            </w:r>
          </w:p>
        </w:tc>
        <w:tc>
          <w:tcPr>
            <w:tcW w:w="970" w:type="dxa"/>
            <w:tcBorders>
              <w:top w:val="single" w:sz="4" w:space="0" w:color="auto"/>
              <w:bottom w:val="single" w:sz="4" w:space="0" w:color="auto"/>
            </w:tcBorders>
            <w:shd w:val="clear" w:color="auto" w:fill="auto"/>
            <w:noWrap/>
            <w:vAlign w:val="bottom"/>
            <w:hideMark/>
          </w:tcPr>
          <w:p w14:paraId="7A7DE30B" w14:textId="77777777" w:rsidR="00C75133" w:rsidRPr="00555B5D" w:rsidRDefault="00C75133" w:rsidP="006F3C6B">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Prob.*</w:t>
            </w:r>
          </w:p>
        </w:tc>
      </w:tr>
      <w:tr w:rsidR="00543FA0" w:rsidRPr="00555B5D" w14:paraId="35E7F4FF" w14:textId="77777777" w:rsidTr="00543FA0">
        <w:trPr>
          <w:trHeight w:val="273"/>
        </w:trPr>
        <w:tc>
          <w:tcPr>
            <w:tcW w:w="6107" w:type="dxa"/>
            <w:gridSpan w:val="2"/>
            <w:tcBorders>
              <w:top w:val="single" w:sz="4" w:space="0" w:color="auto"/>
              <w:bottom w:val="single" w:sz="4" w:space="0" w:color="auto"/>
            </w:tcBorders>
            <w:shd w:val="clear" w:color="auto" w:fill="auto"/>
            <w:noWrap/>
            <w:vAlign w:val="bottom"/>
            <w:hideMark/>
          </w:tcPr>
          <w:p w14:paraId="154B2CEE"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Augmented Dickey-Fuller test statistic</w:t>
            </w:r>
          </w:p>
        </w:tc>
        <w:tc>
          <w:tcPr>
            <w:tcW w:w="1264" w:type="dxa"/>
            <w:tcBorders>
              <w:top w:val="single" w:sz="4" w:space="0" w:color="auto"/>
              <w:bottom w:val="single" w:sz="4" w:space="0" w:color="auto"/>
            </w:tcBorders>
            <w:shd w:val="clear" w:color="auto" w:fill="auto"/>
            <w:noWrap/>
            <w:vAlign w:val="bottom"/>
            <w:hideMark/>
          </w:tcPr>
          <w:p w14:paraId="00077225"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-3.042408</w:t>
            </w:r>
          </w:p>
        </w:tc>
        <w:tc>
          <w:tcPr>
            <w:tcW w:w="970" w:type="dxa"/>
            <w:tcBorders>
              <w:top w:val="single" w:sz="4" w:space="0" w:color="auto"/>
              <w:bottom w:val="single" w:sz="4" w:space="0" w:color="auto"/>
            </w:tcBorders>
            <w:shd w:val="clear" w:color="auto" w:fill="auto"/>
            <w:noWrap/>
            <w:vAlign w:val="bottom"/>
            <w:hideMark/>
          </w:tcPr>
          <w:p w14:paraId="38B29416"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 0.0033</w:t>
            </w:r>
          </w:p>
        </w:tc>
      </w:tr>
      <w:tr w:rsidR="00543FA0" w:rsidRPr="00555B5D" w14:paraId="726BE969" w14:textId="77777777" w:rsidTr="00543FA0">
        <w:trPr>
          <w:trHeight w:val="273"/>
        </w:trPr>
        <w:tc>
          <w:tcPr>
            <w:tcW w:w="4043" w:type="dxa"/>
            <w:vMerge w:val="restart"/>
            <w:tcBorders>
              <w:top w:val="single" w:sz="4" w:space="0" w:color="auto"/>
            </w:tcBorders>
            <w:shd w:val="clear" w:color="auto" w:fill="auto"/>
            <w:noWrap/>
            <w:vAlign w:val="center"/>
            <w:hideMark/>
          </w:tcPr>
          <w:p w14:paraId="1EAEBC6C"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Test critical values:</w:t>
            </w:r>
          </w:p>
        </w:tc>
        <w:tc>
          <w:tcPr>
            <w:tcW w:w="2064" w:type="dxa"/>
            <w:tcBorders>
              <w:top w:val="single" w:sz="4" w:space="0" w:color="auto"/>
            </w:tcBorders>
            <w:shd w:val="clear" w:color="auto" w:fill="auto"/>
            <w:noWrap/>
            <w:vAlign w:val="bottom"/>
            <w:hideMark/>
          </w:tcPr>
          <w:p w14:paraId="307F304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 level</w:t>
            </w:r>
          </w:p>
        </w:tc>
        <w:tc>
          <w:tcPr>
            <w:tcW w:w="1264" w:type="dxa"/>
            <w:tcBorders>
              <w:top w:val="single" w:sz="4" w:space="0" w:color="auto"/>
            </w:tcBorders>
            <w:shd w:val="clear" w:color="auto" w:fill="auto"/>
            <w:noWrap/>
            <w:vAlign w:val="bottom"/>
            <w:hideMark/>
          </w:tcPr>
          <w:p w14:paraId="1A6C2B13"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-2.627238</w:t>
            </w:r>
          </w:p>
        </w:tc>
        <w:tc>
          <w:tcPr>
            <w:tcW w:w="970" w:type="dxa"/>
            <w:vMerge w:val="restart"/>
            <w:tcBorders>
              <w:top w:val="single" w:sz="4" w:space="0" w:color="auto"/>
            </w:tcBorders>
            <w:shd w:val="clear" w:color="auto" w:fill="auto"/>
            <w:noWrap/>
            <w:vAlign w:val="bottom"/>
            <w:hideMark/>
          </w:tcPr>
          <w:p w14:paraId="42BD477A"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
        </w:tc>
      </w:tr>
      <w:tr w:rsidR="00543FA0" w:rsidRPr="00555B5D" w14:paraId="04558EA5" w14:textId="77777777" w:rsidTr="00543FA0">
        <w:trPr>
          <w:trHeight w:val="273"/>
        </w:trPr>
        <w:tc>
          <w:tcPr>
            <w:tcW w:w="4043" w:type="dxa"/>
            <w:vMerge/>
            <w:vAlign w:val="center"/>
            <w:hideMark/>
          </w:tcPr>
          <w:p w14:paraId="30E6560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c>
          <w:tcPr>
            <w:tcW w:w="2064" w:type="dxa"/>
            <w:shd w:val="clear" w:color="auto" w:fill="auto"/>
            <w:noWrap/>
            <w:vAlign w:val="bottom"/>
            <w:hideMark/>
          </w:tcPr>
          <w:p w14:paraId="0F7F588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 level</w:t>
            </w:r>
          </w:p>
        </w:tc>
        <w:tc>
          <w:tcPr>
            <w:tcW w:w="1264" w:type="dxa"/>
            <w:shd w:val="clear" w:color="auto" w:fill="auto"/>
            <w:noWrap/>
            <w:vAlign w:val="bottom"/>
            <w:hideMark/>
          </w:tcPr>
          <w:p w14:paraId="23743B44"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-1.949856</w:t>
            </w:r>
          </w:p>
        </w:tc>
        <w:tc>
          <w:tcPr>
            <w:tcW w:w="970" w:type="dxa"/>
            <w:vMerge/>
            <w:vAlign w:val="center"/>
            <w:hideMark/>
          </w:tcPr>
          <w:p w14:paraId="3D125BB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r>
      <w:tr w:rsidR="00543FA0" w:rsidRPr="00555B5D" w14:paraId="34561959" w14:textId="77777777" w:rsidTr="00543FA0">
        <w:trPr>
          <w:trHeight w:val="273"/>
        </w:trPr>
        <w:tc>
          <w:tcPr>
            <w:tcW w:w="4043" w:type="dxa"/>
            <w:vMerge/>
            <w:vAlign w:val="center"/>
            <w:hideMark/>
          </w:tcPr>
          <w:p w14:paraId="614DF986"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c>
          <w:tcPr>
            <w:tcW w:w="2064" w:type="dxa"/>
            <w:shd w:val="clear" w:color="auto" w:fill="auto"/>
            <w:noWrap/>
            <w:vAlign w:val="bottom"/>
            <w:hideMark/>
          </w:tcPr>
          <w:p w14:paraId="076A829E"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10% level</w:t>
            </w:r>
          </w:p>
        </w:tc>
        <w:tc>
          <w:tcPr>
            <w:tcW w:w="1264" w:type="dxa"/>
            <w:shd w:val="clear" w:color="auto" w:fill="auto"/>
            <w:noWrap/>
            <w:vAlign w:val="bottom"/>
            <w:hideMark/>
          </w:tcPr>
          <w:p w14:paraId="1C21A152"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-1.611469</w:t>
            </w:r>
          </w:p>
        </w:tc>
        <w:tc>
          <w:tcPr>
            <w:tcW w:w="970" w:type="dxa"/>
            <w:vMerge/>
            <w:vAlign w:val="center"/>
            <w:hideMark/>
          </w:tcPr>
          <w:p w14:paraId="513689ED"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r>
    </w:tbl>
    <w:p w14:paraId="66173369" w14:textId="77777777" w:rsidR="00C75133" w:rsidRPr="00953F68" w:rsidRDefault="00C75133" w:rsidP="00C75133">
      <w:pPr>
        <w:pStyle w:val="Default"/>
        <w:jc w:val="both"/>
        <w:rPr>
          <w:i/>
          <w:iCs/>
          <w:sz w:val="18"/>
          <w:szCs w:val="18"/>
        </w:rPr>
      </w:pPr>
      <w:r w:rsidRPr="00953F68">
        <w:rPr>
          <w:i/>
          <w:iCs/>
          <w:sz w:val="18"/>
          <w:szCs w:val="18"/>
        </w:rPr>
        <w:t>Note: * p&lt;0.01</w:t>
      </w:r>
    </w:p>
    <w:p w14:paraId="231C394F" w14:textId="77777777" w:rsidR="00C75133" w:rsidRPr="00555B5D" w:rsidRDefault="00C75133" w:rsidP="00C75133">
      <w:pPr>
        <w:jc w:val="both"/>
        <w:rPr>
          <w:rFonts w:ascii="Times New Roman" w:hAnsi="Times New Roman" w:cs="Times New Roman"/>
          <w:sz w:val="24"/>
          <w:szCs w:val="24"/>
          <w:lang w:val="en-US"/>
        </w:rPr>
      </w:pPr>
      <w:r w:rsidRPr="00555B5D">
        <w:rPr>
          <w:rFonts w:ascii="Times New Roman" w:hAnsi="Times New Roman" w:cs="Times New Roman"/>
          <w:b/>
          <w:bCs/>
          <w:i/>
          <w:iCs/>
          <w:sz w:val="24"/>
          <w:szCs w:val="24"/>
        </w:rPr>
        <w:t>Source: Researcher’s Computation Using EViews-12 (202</w:t>
      </w:r>
      <w:r w:rsidR="006E5FEC" w:rsidRPr="00555B5D">
        <w:rPr>
          <w:rFonts w:ascii="Times New Roman" w:hAnsi="Times New Roman" w:cs="Times New Roman"/>
          <w:b/>
          <w:bCs/>
          <w:i/>
          <w:iCs/>
          <w:sz w:val="24"/>
          <w:szCs w:val="24"/>
        </w:rPr>
        <w:t>5</w:t>
      </w:r>
      <w:r w:rsidRPr="00555B5D">
        <w:rPr>
          <w:rFonts w:ascii="Times New Roman" w:hAnsi="Times New Roman" w:cs="Times New Roman"/>
          <w:b/>
          <w:bCs/>
          <w:i/>
          <w:iCs/>
          <w:sz w:val="24"/>
          <w:szCs w:val="24"/>
        </w:rPr>
        <w:t>)</w:t>
      </w:r>
    </w:p>
    <w:p w14:paraId="0CCF5056"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The test was performed on the residuals obtained from the long-run regression equation, and the Augmented Dickey-Fuller (ADF) statistic for the residuals was reported as -3.042408. At the 5% level of significance, the critical value is -1.949856. Since the computed ADF statistic (-3.042408) is more negative than the 5% critical value, we reject the null hypothesis of no cointegration. This result implies that the residuals are stationary and that a valid long-run relationship exists among the variables. The associated p-value of 0.0033, which is less than 0.05, further supports the rejection of the null hypothesis, confirming that the observed relationship among ASG, ASI, EQU, and CB is not spurious.</w:t>
      </w:r>
    </w:p>
    <w:p w14:paraId="0849B568" w14:textId="77777777" w:rsidR="008A41DF" w:rsidRPr="00555B5D" w:rsidRDefault="008A41DF" w:rsidP="008A41DF">
      <w:pPr>
        <w:spacing w:before="240"/>
        <w:jc w:val="both"/>
        <w:rPr>
          <w:rFonts w:ascii="Times New Roman" w:hAnsi="Times New Roman" w:cs="Times New Roman"/>
          <w:b/>
          <w:bCs/>
          <w:sz w:val="24"/>
          <w:szCs w:val="24"/>
        </w:rPr>
      </w:pPr>
      <w:r w:rsidRPr="00555B5D">
        <w:rPr>
          <w:rFonts w:ascii="Times New Roman" w:hAnsi="Times New Roman" w:cs="Times New Roman"/>
          <w:b/>
          <w:bCs/>
          <w:sz w:val="24"/>
          <w:szCs w:val="24"/>
        </w:rPr>
        <w:t>FMOLS Regression Estimates</w:t>
      </w:r>
    </w:p>
    <w:p w14:paraId="0EC1192C" w14:textId="77777777" w:rsidR="003D6457" w:rsidRDefault="00DF06B5"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In line with the established long-run cointegration relationship between capital market fundamentals and agricultural sector performance, the FMOLS results provide empirical insight into the individual and collective influence of the </w:t>
      </w:r>
      <w:r w:rsidR="003424A6"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Equities (EQU), and Corporate Bonds (CB) on Agricultural Sector Growth (ASG).</w:t>
      </w:r>
    </w:p>
    <w:p w14:paraId="20EF5DEA" w14:textId="77777777" w:rsidR="003D6457" w:rsidRPr="00555B5D" w:rsidRDefault="003D6457" w:rsidP="003D6457">
      <w:pPr>
        <w:pStyle w:val="NoSpacing"/>
        <w:jc w:val="both"/>
        <w:rPr>
          <w:rFonts w:ascii="Times New Roman" w:hAnsi="Times New Roman" w:cs="Times New Roman"/>
          <w:b/>
          <w:bCs/>
          <w:sz w:val="24"/>
          <w:szCs w:val="24"/>
        </w:rPr>
      </w:pPr>
      <w:r w:rsidRPr="00555B5D">
        <w:rPr>
          <w:rFonts w:ascii="Times New Roman" w:hAnsi="Times New Roman" w:cs="Times New Roman"/>
          <w:b/>
          <w:bCs/>
          <w:sz w:val="24"/>
          <w:szCs w:val="24"/>
        </w:rPr>
        <w:t>Table 4: Fully Modified Least Squares (FMOLS) Result</w:t>
      </w:r>
    </w:p>
    <w:p w14:paraId="19F2A4F0" w14:textId="77777777" w:rsidR="003D6457" w:rsidRPr="0087633F" w:rsidRDefault="003D6457" w:rsidP="003D6457">
      <w:pPr>
        <w:pStyle w:val="NoSpacing"/>
        <w:jc w:val="both"/>
        <w:rPr>
          <w:rFonts w:ascii="Times New Roman" w:hAnsi="Times New Roman" w:cs="Times New Roman"/>
          <w:b/>
          <w:bCs/>
          <w:sz w:val="20"/>
          <w:szCs w:val="20"/>
        </w:rPr>
      </w:pPr>
      <w:r w:rsidRPr="0087633F">
        <w:rPr>
          <w:rFonts w:ascii="Times New Roman" w:hAnsi="Times New Roman" w:cs="Times New Roman"/>
          <w:b/>
          <w:bCs/>
          <w:sz w:val="20"/>
          <w:szCs w:val="20"/>
        </w:rPr>
        <w:t>Dependent Variable: ASG (%)</w:t>
      </w:r>
    </w:p>
    <w:tbl>
      <w:tblPr>
        <w:tblW w:w="8248" w:type="dxa"/>
        <w:tblBorders>
          <w:top w:val="single" w:sz="4" w:space="0" w:color="auto"/>
          <w:bottom w:val="single" w:sz="4" w:space="0" w:color="auto"/>
        </w:tblBorders>
        <w:tblLook w:val="04A0" w:firstRow="1" w:lastRow="0" w:firstColumn="1" w:lastColumn="0" w:noHBand="0" w:noVBand="1"/>
      </w:tblPr>
      <w:tblGrid>
        <w:gridCol w:w="2954"/>
        <w:gridCol w:w="1497"/>
        <w:gridCol w:w="1288"/>
        <w:gridCol w:w="1289"/>
        <w:gridCol w:w="1220"/>
      </w:tblGrid>
      <w:tr w:rsidR="007F495E" w:rsidRPr="00555B5D" w14:paraId="154289B4" w14:textId="77777777" w:rsidTr="005518DC">
        <w:trPr>
          <w:trHeight w:val="268"/>
        </w:trPr>
        <w:tc>
          <w:tcPr>
            <w:tcW w:w="2954" w:type="dxa"/>
            <w:tcBorders>
              <w:top w:val="single" w:sz="4" w:space="0" w:color="auto"/>
              <w:bottom w:val="single" w:sz="4" w:space="0" w:color="auto"/>
            </w:tcBorders>
            <w:shd w:val="clear" w:color="auto" w:fill="auto"/>
            <w:noWrap/>
            <w:vAlign w:val="bottom"/>
            <w:hideMark/>
          </w:tcPr>
          <w:p w14:paraId="0CAE573E"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Variable</w:t>
            </w:r>
          </w:p>
        </w:tc>
        <w:tc>
          <w:tcPr>
            <w:tcW w:w="1497" w:type="dxa"/>
            <w:tcBorders>
              <w:top w:val="single" w:sz="4" w:space="0" w:color="auto"/>
              <w:bottom w:val="single" w:sz="4" w:space="0" w:color="auto"/>
            </w:tcBorders>
            <w:shd w:val="clear" w:color="auto" w:fill="auto"/>
            <w:noWrap/>
            <w:vAlign w:val="bottom"/>
            <w:hideMark/>
          </w:tcPr>
          <w:p w14:paraId="1755A703"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Coefficient</w:t>
            </w:r>
          </w:p>
        </w:tc>
        <w:tc>
          <w:tcPr>
            <w:tcW w:w="1288" w:type="dxa"/>
            <w:tcBorders>
              <w:top w:val="single" w:sz="4" w:space="0" w:color="auto"/>
              <w:bottom w:val="single" w:sz="4" w:space="0" w:color="auto"/>
            </w:tcBorders>
            <w:shd w:val="clear" w:color="auto" w:fill="auto"/>
            <w:noWrap/>
            <w:vAlign w:val="bottom"/>
            <w:hideMark/>
          </w:tcPr>
          <w:p w14:paraId="4BF4EE7D"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Std. Error</w:t>
            </w:r>
          </w:p>
        </w:tc>
        <w:tc>
          <w:tcPr>
            <w:tcW w:w="1289" w:type="dxa"/>
            <w:tcBorders>
              <w:top w:val="single" w:sz="4" w:space="0" w:color="auto"/>
              <w:bottom w:val="single" w:sz="4" w:space="0" w:color="auto"/>
            </w:tcBorders>
            <w:shd w:val="clear" w:color="auto" w:fill="auto"/>
            <w:noWrap/>
            <w:vAlign w:val="bottom"/>
            <w:hideMark/>
          </w:tcPr>
          <w:p w14:paraId="0E6E076E"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t-Statistic</w:t>
            </w:r>
          </w:p>
        </w:tc>
        <w:tc>
          <w:tcPr>
            <w:tcW w:w="1220" w:type="dxa"/>
            <w:tcBorders>
              <w:top w:val="single" w:sz="4" w:space="0" w:color="auto"/>
              <w:bottom w:val="single" w:sz="4" w:space="0" w:color="auto"/>
            </w:tcBorders>
            <w:shd w:val="clear" w:color="auto" w:fill="auto"/>
            <w:noWrap/>
            <w:vAlign w:val="bottom"/>
            <w:hideMark/>
          </w:tcPr>
          <w:p w14:paraId="2E1FCE85"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Prob.  </w:t>
            </w:r>
          </w:p>
        </w:tc>
      </w:tr>
      <w:tr w:rsidR="007F495E" w:rsidRPr="00555B5D" w14:paraId="297C26FD" w14:textId="77777777" w:rsidTr="005518DC">
        <w:trPr>
          <w:trHeight w:val="268"/>
        </w:trPr>
        <w:tc>
          <w:tcPr>
            <w:tcW w:w="2954" w:type="dxa"/>
            <w:tcBorders>
              <w:top w:val="single" w:sz="4" w:space="0" w:color="auto"/>
            </w:tcBorders>
            <w:shd w:val="clear" w:color="auto" w:fill="auto"/>
            <w:noWrap/>
            <w:vAlign w:val="bottom"/>
            <w:hideMark/>
          </w:tcPr>
          <w:p w14:paraId="34A97983"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ASI</w:t>
            </w:r>
          </w:p>
        </w:tc>
        <w:tc>
          <w:tcPr>
            <w:tcW w:w="1497" w:type="dxa"/>
            <w:tcBorders>
              <w:top w:val="single" w:sz="4" w:space="0" w:color="auto"/>
            </w:tcBorders>
            <w:shd w:val="clear" w:color="auto" w:fill="auto"/>
            <w:noWrap/>
            <w:vAlign w:val="bottom"/>
            <w:hideMark/>
          </w:tcPr>
          <w:p w14:paraId="64A75621"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6.4757</w:t>
            </w:r>
          </w:p>
        </w:tc>
        <w:tc>
          <w:tcPr>
            <w:tcW w:w="1288" w:type="dxa"/>
            <w:tcBorders>
              <w:top w:val="single" w:sz="4" w:space="0" w:color="auto"/>
            </w:tcBorders>
            <w:shd w:val="clear" w:color="auto" w:fill="auto"/>
            <w:noWrap/>
            <w:vAlign w:val="bottom"/>
            <w:hideMark/>
          </w:tcPr>
          <w:p w14:paraId="02A00B0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1.2336</w:t>
            </w:r>
          </w:p>
        </w:tc>
        <w:tc>
          <w:tcPr>
            <w:tcW w:w="1289" w:type="dxa"/>
            <w:tcBorders>
              <w:top w:val="single" w:sz="4" w:space="0" w:color="auto"/>
            </w:tcBorders>
            <w:shd w:val="clear" w:color="auto" w:fill="auto"/>
            <w:noWrap/>
            <w:vAlign w:val="bottom"/>
            <w:hideMark/>
          </w:tcPr>
          <w:p w14:paraId="50D3D99E"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5.2492</w:t>
            </w:r>
          </w:p>
        </w:tc>
        <w:tc>
          <w:tcPr>
            <w:tcW w:w="1220" w:type="dxa"/>
            <w:tcBorders>
              <w:top w:val="single" w:sz="4" w:space="0" w:color="auto"/>
            </w:tcBorders>
            <w:shd w:val="clear" w:color="auto" w:fill="auto"/>
            <w:noWrap/>
            <w:vAlign w:val="bottom"/>
            <w:hideMark/>
          </w:tcPr>
          <w:p w14:paraId="6A506694"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0.0000</w:t>
            </w:r>
          </w:p>
        </w:tc>
      </w:tr>
      <w:tr w:rsidR="007F495E" w:rsidRPr="00555B5D" w14:paraId="52D4385E" w14:textId="77777777" w:rsidTr="005518DC">
        <w:trPr>
          <w:trHeight w:val="268"/>
        </w:trPr>
        <w:tc>
          <w:tcPr>
            <w:tcW w:w="2954" w:type="dxa"/>
            <w:shd w:val="clear" w:color="auto" w:fill="auto"/>
            <w:noWrap/>
            <w:vAlign w:val="bottom"/>
            <w:hideMark/>
          </w:tcPr>
          <w:p w14:paraId="1AF08EF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EQU</w:t>
            </w:r>
          </w:p>
        </w:tc>
        <w:tc>
          <w:tcPr>
            <w:tcW w:w="1497" w:type="dxa"/>
            <w:shd w:val="clear" w:color="auto" w:fill="auto"/>
            <w:noWrap/>
            <w:vAlign w:val="bottom"/>
            <w:hideMark/>
          </w:tcPr>
          <w:p w14:paraId="19A9E936"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-4.2771</w:t>
            </w:r>
          </w:p>
        </w:tc>
        <w:tc>
          <w:tcPr>
            <w:tcW w:w="1288" w:type="dxa"/>
            <w:shd w:val="clear" w:color="auto" w:fill="auto"/>
            <w:noWrap/>
            <w:vAlign w:val="bottom"/>
            <w:hideMark/>
          </w:tcPr>
          <w:p w14:paraId="26646EA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0.8581</w:t>
            </w:r>
          </w:p>
        </w:tc>
        <w:tc>
          <w:tcPr>
            <w:tcW w:w="1289" w:type="dxa"/>
            <w:shd w:val="clear" w:color="auto" w:fill="auto"/>
            <w:noWrap/>
            <w:vAlign w:val="bottom"/>
            <w:hideMark/>
          </w:tcPr>
          <w:p w14:paraId="75F67CD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-4.9843</w:t>
            </w:r>
          </w:p>
        </w:tc>
        <w:tc>
          <w:tcPr>
            <w:tcW w:w="1220" w:type="dxa"/>
            <w:shd w:val="clear" w:color="auto" w:fill="auto"/>
            <w:noWrap/>
            <w:vAlign w:val="bottom"/>
            <w:hideMark/>
          </w:tcPr>
          <w:p w14:paraId="0C206BC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0.0000</w:t>
            </w:r>
          </w:p>
        </w:tc>
      </w:tr>
      <w:tr w:rsidR="007F495E" w:rsidRPr="00555B5D" w14:paraId="1798A3AC" w14:textId="77777777" w:rsidTr="005518DC">
        <w:trPr>
          <w:trHeight w:val="268"/>
        </w:trPr>
        <w:tc>
          <w:tcPr>
            <w:tcW w:w="2954" w:type="dxa"/>
            <w:shd w:val="clear" w:color="auto" w:fill="auto"/>
            <w:noWrap/>
            <w:vAlign w:val="bottom"/>
            <w:hideMark/>
          </w:tcPr>
          <w:p w14:paraId="32833E06"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CB</w:t>
            </w:r>
          </w:p>
        </w:tc>
        <w:tc>
          <w:tcPr>
            <w:tcW w:w="1497" w:type="dxa"/>
            <w:shd w:val="clear" w:color="auto" w:fill="auto"/>
            <w:noWrap/>
            <w:vAlign w:val="bottom"/>
            <w:hideMark/>
          </w:tcPr>
          <w:p w14:paraId="6FEF37C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3.2146</w:t>
            </w:r>
          </w:p>
        </w:tc>
        <w:tc>
          <w:tcPr>
            <w:tcW w:w="1288" w:type="dxa"/>
            <w:shd w:val="clear" w:color="auto" w:fill="auto"/>
            <w:noWrap/>
            <w:vAlign w:val="bottom"/>
            <w:hideMark/>
          </w:tcPr>
          <w:p w14:paraId="473BD80F"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1.3321</w:t>
            </w:r>
          </w:p>
        </w:tc>
        <w:tc>
          <w:tcPr>
            <w:tcW w:w="1289" w:type="dxa"/>
            <w:shd w:val="clear" w:color="auto" w:fill="auto"/>
            <w:noWrap/>
            <w:vAlign w:val="bottom"/>
            <w:hideMark/>
          </w:tcPr>
          <w:p w14:paraId="5DDCA092"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2.4132</w:t>
            </w:r>
          </w:p>
        </w:tc>
        <w:tc>
          <w:tcPr>
            <w:tcW w:w="1220" w:type="dxa"/>
            <w:shd w:val="clear" w:color="auto" w:fill="auto"/>
            <w:noWrap/>
            <w:vAlign w:val="bottom"/>
            <w:hideMark/>
          </w:tcPr>
          <w:p w14:paraId="7408FB2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0.0123</w:t>
            </w:r>
          </w:p>
        </w:tc>
      </w:tr>
      <w:tr w:rsidR="007F495E" w:rsidRPr="00555B5D" w14:paraId="3B7FF5A1" w14:textId="77777777" w:rsidTr="005518DC">
        <w:trPr>
          <w:trHeight w:val="268"/>
        </w:trPr>
        <w:tc>
          <w:tcPr>
            <w:tcW w:w="2954" w:type="dxa"/>
            <w:tcBorders>
              <w:bottom w:val="single" w:sz="4" w:space="0" w:color="auto"/>
            </w:tcBorders>
            <w:shd w:val="clear" w:color="auto" w:fill="auto"/>
            <w:noWrap/>
            <w:vAlign w:val="bottom"/>
            <w:hideMark/>
          </w:tcPr>
          <w:p w14:paraId="55CBCB7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C</w:t>
            </w:r>
          </w:p>
        </w:tc>
        <w:tc>
          <w:tcPr>
            <w:tcW w:w="1497" w:type="dxa"/>
            <w:tcBorders>
              <w:bottom w:val="single" w:sz="4" w:space="0" w:color="auto"/>
            </w:tcBorders>
            <w:shd w:val="clear" w:color="auto" w:fill="auto"/>
            <w:noWrap/>
            <w:vAlign w:val="bottom"/>
            <w:hideMark/>
          </w:tcPr>
          <w:p w14:paraId="064A3143"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-5.0147</w:t>
            </w:r>
          </w:p>
        </w:tc>
        <w:tc>
          <w:tcPr>
            <w:tcW w:w="1288" w:type="dxa"/>
            <w:tcBorders>
              <w:bottom w:val="single" w:sz="4" w:space="0" w:color="auto"/>
            </w:tcBorders>
            <w:shd w:val="clear" w:color="auto" w:fill="auto"/>
            <w:noWrap/>
            <w:vAlign w:val="bottom"/>
            <w:hideMark/>
          </w:tcPr>
          <w:p w14:paraId="67508951"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5.7292</w:t>
            </w:r>
          </w:p>
        </w:tc>
        <w:tc>
          <w:tcPr>
            <w:tcW w:w="1289" w:type="dxa"/>
            <w:tcBorders>
              <w:bottom w:val="single" w:sz="4" w:space="0" w:color="auto"/>
            </w:tcBorders>
            <w:shd w:val="clear" w:color="auto" w:fill="auto"/>
            <w:noWrap/>
            <w:vAlign w:val="bottom"/>
            <w:hideMark/>
          </w:tcPr>
          <w:p w14:paraId="17B0C830"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-0.8753</w:t>
            </w:r>
          </w:p>
        </w:tc>
        <w:tc>
          <w:tcPr>
            <w:tcW w:w="1220" w:type="dxa"/>
            <w:tcBorders>
              <w:bottom w:val="single" w:sz="4" w:space="0" w:color="auto"/>
            </w:tcBorders>
            <w:shd w:val="clear" w:color="auto" w:fill="auto"/>
            <w:noWrap/>
            <w:vAlign w:val="bottom"/>
            <w:hideMark/>
          </w:tcPr>
          <w:p w14:paraId="73FC922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0.3876</w:t>
            </w:r>
          </w:p>
        </w:tc>
      </w:tr>
      <w:tr w:rsidR="007F495E" w:rsidRPr="00555B5D" w14:paraId="6BEEBA5D" w14:textId="77777777" w:rsidTr="005518DC">
        <w:trPr>
          <w:trHeight w:hRule="exact" w:val="268"/>
        </w:trPr>
        <w:tc>
          <w:tcPr>
            <w:tcW w:w="8248" w:type="dxa"/>
            <w:gridSpan w:val="5"/>
            <w:tcBorders>
              <w:top w:val="single" w:sz="4" w:space="0" w:color="auto"/>
              <w:bottom w:val="single" w:sz="4" w:space="0" w:color="auto"/>
            </w:tcBorders>
            <w:shd w:val="clear" w:color="auto" w:fill="auto"/>
            <w:noWrap/>
            <w:vAlign w:val="bottom"/>
            <w:hideMark/>
          </w:tcPr>
          <w:p w14:paraId="36FEE6F3"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Reliability Estimates </w:t>
            </w:r>
          </w:p>
        </w:tc>
      </w:tr>
      <w:tr w:rsidR="007F495E" w:rsidRPr="00555B5D" w14:paraId="76D1F9A3" w14:textId="77777777" w:rsidTr="005518DC">
        <w:trPr>
          <w:trHeight w:val="268"/>
        </w:trPr>
        <w:tc>
          <w:tcPr>
            <w:tcW w:w="2954" w:type="dxa"/>
            <w:tcBorders>
              <w:top w:val="single" w:sz="4" w:space="0" w:color="auto"/>
            </w:tcBorders>
            <w:shd w:val="clear" w:color="auto" w:fill="auto"/>
            <w:noWrap/>
            <w:vAlign w:val="bottom"/>
            <w:hideMark/>
          </w:tcPr>
          <w:p w14:paraId="40706391"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R-squared</w:t>
            </w:r>
          </w:p>
        </w:tc>
        <w:tc>
          <w:tcPr>
            <w:tcW w:w="1497" w:type="dxa"/>
            <w:tcBorders>
              <w:top w:val="single" w:sz="4" w:space="0" w:color="auto"/>
            </w:tcBorders>
            <w:shd w:val="clear" w:color="auto" w:fill="auto"/>
            <w:noWrap/>
            <w:vAlign w:val="bottom"/>
            <w:hideMark/>
          </w:tcPr>
          <w:p w14:paraId="32A88D2A"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0.5249</w:t>
            </w:r>
          </w:p>
        </w:tc>
        <w:tc>
          <w:tcPr>
            <w:tcW w:w="2577" w:type="dxa"/>
            <w:gridSpan w:val="2"/>
            <w:tcBorders>
              <w:top w:val="single" w:sz="4" w:space="0" w:color="auto"/>
            </w:tcBorders>
            <w:shd w:val="clear" w:color="auto" w:fill="auto"/>
            <w:noWrap/>
            <w:vAlign w:val="bottom"/>
            <w:hideMark/>
          </w:tcPr>
          <w:p w14:paraId="073C55C9"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Mean dependent var</w:t>
            </w:r>
          </w:p>
        </w:tc>
        <w:tc>
          <w:tcPr>
            <w:tcW w:w="1220" w:type="dxa"/>
            <w:tcBorders>
              <w:top w:val="single" w:sz="4" w:space="0" w:color="auto"/>
            </w:tcBorders>
            <w:shd w:val="clear" w:color="auto" w:fill="auto"/>
            <w:noWrap/>
            <w:vAlign w:val="bottom"/>
            <w:hideMark/>
          </w:tcPr>
          <w:p w14:paraId="30B3A51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24.34953</w:t>
            </w:r>
          </w:p>
        </w:tc>
      </w:tr>
      <w:tr w:rsidR="007F495E" w:rsidRPr="00555B5D" w14:paraId="06345C17" w14:textId="77777777" w:rsidTr="005518DC">
        <w:trPr>
          <w:trHeight w:val="268"/>
        </w:trPr>
        <w:tc>
          <w:tcPr>
            <w:tcW w:w="2954" w:type="dxa"/>
            <w:shd w:val="clear" w:color="auto" w:fill="auto"/>
            <w:noWrap/>
            <w:vAlign w:val="bottom"/>
            <w:hideMark/>
          </w:tcPr>
          <w:p w14:paraId="7062D394"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Adjusted R-squared</w:t>
            </w:r>
          </w:p>
        </w:tc>
        <w:tc>
          <w:tcPr>
            <w:tcW w:w="1497" w:type="dxa"/>
            <w:shd w:val="clear" w:color="auto" w:fill="auto"/>
            <w:noWrap/>
            <w:vAlign w:val="bottom"/>
            <w:hideMark/>
          </w:tcPr>
          <w:p w14:paraId="1A5BCE3A"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0.4742</w:t>
            </w:r>
          </w:p>
        </w:tc>
        <w:tc>
          <w:tcPr>
            <w:tcW w:w="2577" w:type="dxa"/>
            <w:gridSpan w:val="2"/>
            <w:shd w:val="clear" w:color="auto" w:fill="auto"/>
            <w:noWrap/>
            <w:vAlign w:val="bottom"/>
            <w:hideMark/>
          </w:tcPr>
          <w:p w14:paraId="4F034B7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S.D. dependent var</w:t>
            </w:r>
          </w:p>
        </w:tc>
        <w:tc>
          <w:tcPr>
            <w:tcW w:w="1220" w:type="dxa"/>
            <w:shd w:val="clear" w:color="auto" w:fill="auto"/>
            <w:noWrap/>
            <w:vAlign w:val="bottom"/>
            <w:hideMark/>
          </w:tcPr>
          <w:p w14:paraId="4C73814E"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3.602306</w:t>
            </w:r>
          </w:p>
        </w:tc>
      </w:tr>
      <w:tr w:rsidR="005518DC" w:rsidRPr="00555B5D" w14:paraId="25C322D4" w14:textId="77777777" w:rsidTr="005518DC">
        <w:trPr>
          <w:trHeight w:val="268"/>
        </w:trPr>
        <w:tc>
          <w:tcPr>
            <w:tcW w:w="2954" w:type="dxa"/>
            <w:shd w:val="clear" w:color="auto" w:fill="auto"/>
            <w:noWrap/>
            <w:vAlign w:val="bottom"/>
            <w:hideMark/>
          </w:tcPr>
          <w:p w14:paraId="21BD8E29"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Long-run variance</w:t>
            </w:r>
          </w:p>
        </w:tc>
        <w:tc>
          <w:tcPr>
            <w:tcW w:w="1497" w:type="dxa"/>
            <w:shd w:val="clear" w:color="auto" w:fill="auto"/>
            <w:noWrap/>
            <w:vAlign w:val="bottom"/>
            <w:hideMark/>
          </w:tcPr>
          <w:p w14:paraId="00039064"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8.0154</w:t>
            </w:r>
          </w:p>
        </w:tc>
        <w:tc>
          <w:tcPr>
            <w:tcW w:w="3797" w:type="dxa"/>
            <w:gridSpan w:val="3"/>
            <w:vMerge w:val="restart"/>
            <w:shd w:val="clear" w:color="auto" w:fill="auto"/>
            <w:noWrap/>
            <w:vAlign w:val="bottom"/>
            <w:hideMark/>
          </w:tcPr>
          <w:p w14:paraId="23C70979"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
        </w:tc>
      </w:tr>
      <w:tr w:rsidR="005518DC" w:rsidRPr="00555B5D" w14:paraId="687C231F" w14:textId="77777777" w:rsidTr="005518DC">
        <w:trPr>
          <w:trHeight w:val="268"/>
        </w:trPr>
        <w:tc>
          <w:tcPr>
            <w:tcW w:w="2954" w:type="dxa"/>
            <w:shd w:val="clear" w:color="auto" w:fill="auto"/>
            <w:noWrap/>
            <w:vAlign w:val="bottom"/>
            <w:hideMark/>
          </w:tcPr>
          <w:p w14:paraId="4A1BE556"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lang w:val="en-US"/>
                <w14:ligatures w14:val="none"/>
              </w:rPr>
              <w:t>Wald-F-Statistic</w:t>
            </w:r>
          </w:p>
        </w:tc>
        <w:tc>
          <w:tcPr>
            <w:tcW w:w="1497" w:type="dxa"/>
            <w:shd w:val="clear" w:color="auto" w:fill="auto"/>
            <w:noWrap/>
            <w:vAlign w:val="bottom"/>
            <w:hideMark/>
          </w:tcPr>
          <w:p w14:paraId="2B39ECE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10.026</w:t>
            </w:r>
          </w:p>
        </w:tc>
        <w:tc>
          <w:tcPr>
            <w:tcW w:w="3797" w:type="dxa"/>
            <w:gridSpan w:val="3"/>
            <w:vMerge/>
            <w:vAlign w:val="center"/>
            <w:hideMark/>
          </w:tcPr>
          <w:p w14:paraId="6842DF44" w14:textId="77777777" w:rsidR="007F495E" w:rsidRPr="00555B5D" w:rsidRDefault="007F495E" w:rsidP="007F495E">
            <w:pPr>
              <w:spacing w:after="0" w:line="240" w:lineRule="auto"/>
              <w:rPr>
                <w:rFonts w:ascii="Times New Roman" w:eastAsia="Times New Roman" w:hAnsi="Times New Roman" w:cs="Times New Roman"/>
                <w:color w:val="000000"/>
                <w:kern w:val="0"/>
                <w:sz w:val="24"/>
                <w:szCs w:val="24"/>
                <w14:ligatures w14:val="none"/>
              </w:rPr>
            </w:pPr>
          </w:p>
        </w:tc>
      </w:tr>
      <w:tr w:rsidR="005518DC" w:rsidRPr="00555B5D" w14:paraId="4AE37452" w14:textId="77777777" w:rsidTr="005518DC">
        <w:trPr>
          <w:trHeight w:val="268"/>
        </w:trPr>
        <w:tc>
          <w:tcPr>
            <w:tcW w:w="2954" w:type="dxa"/>
            <w:shd w:val="clear" w:color="auto" w:fill="auto"/>
            <w:noWrap/>
            <w:vAlign w:val="bottom"/>
            <w:hideMark/>
          </w:tcPr>
          <w:p w14:paraId="7D5C39E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lang w:val="en-US"/>
                <w14:ligatures w14:val="none"/>
              </w:rPr>
              <w:t>Wald-F-Statistic (p-value)</w:t>
            </w:r>
          </w:p>
        </w:tc>
        <w:tc>
          <w:tcPr>
            <w:tcW w:w="1497" w:type="dxa"/>
            <w:shd w:val="clear" w:color="auto" w:fill="auto"/>
            <w:noWrap/>
            <w:vAlign w:val="bottom"/>
            <w:hideMark/>
          </w:tcPr>
          <w:p w14:paraId="5626EE85"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lang w:val="en-US"/>
                <w14:ligatures w14:val="none"/>
              </w:rPr>
              <w:t>0.0001</w:t>
            </w:r>
          </w:p>
        </w:tc>
        <w:tc>
          <w:tcPr>
            <w:tcW w:w="3797" w:type="dxa"/>
            <w:gridSpan w:val="3"/>
            <w:vMerge/>
            <w:vAlign w:val="center"/>
            <w:hideMark/>
          </w:tcPr>
          <w:p w14:paraId="2E9951CA" w14:textId="77777777" w:rsidR="007F495E" w:rsidRPr="00555B5D" w:rsidRDefault="007F495E" w:rsidP="007F495E">
            <w:pPr>
              <w:spacing w:after="0" w:line="240" w:lineRule="auto"/>
              <w:rPr>
                <w:rFonts w:ascii="Times New Roman" w:eastAsia="Times New Roman" w:hAnsi="Times New Roman" w:cs="Times New Roman"/>
                <w:color w:val="000000"/>
                <w:kern w:val="0"/>
                <w:sz w:val="24"/>
                <w:szCs w:val="24"/>
                <w14:ligatures w14:val="none"/>
              </w:rPr>
            </w:pPr>
          </w:p>
        </w:tc>
      </w:tr>
    </w:tbl>
    <w:p w14:paraId="12F241A3" w14:textId="77777777" w:rsidR="007F495E" w:rsidRPr="00555B5D" w:rsidRDefault="007F495E" w:rsidP="007F495E">
      <w:pPr>
        <w:jc w:val="both"/>
        <w:rPr>
          <w:rFonts w:ascii="Times New Roman" w:hAnsi="Times New Roman" w:cs="Times New Roman"/>
          <w:sz w:val="24"/>
          <w:szCs w:val="24"/>
          <w:lang w:val="en-US"/>
        </w:rPr>
      </w:pPr>
      <w:r w:rsidRPr="00555B5D">
        <w:rPr>
          <w:rFonts w:ascii="Times New Roman" w:hAnsi="Times New Roman" w:cs="Times New Roman"/>
          <w:b/>
          <w:bCs/>
          <w:i/>
          <w:iCs/>
          <w:sz w:val="24"/>
          <w:szCs w:val="24"/>
        </w:rPr>
        <w:t>Source: Researcher’s Computation Using EViews-12 (2025)</w:t>
      </w:r>
    </w:p>
    <w:p w14:paraId="72CCC781" w14:textId="77777777" w:rsidR="00576896" w:rsidRPr="00555B5D" w:rsidRDefault="00576896" w:rsidP="00576896">
      <w:pPr>
        <w:jc w:val="both"/>
        <w:rPr>
          <w:rFonts w:ascii="Times New Roman" w:hAnsi="Times New Roman" w:cs="Times New Roman"/>
          <w:sz w:val="24"/>
          <w:szCs w:val="24"/>
        </w:rPr>
      </w:pPr>
      <w:r w:rsidRPr="00555B5D">
        <w:rPr>
          <w:rFonts w:ascii="Times New Roman" w:hAnsi="Times New Roman" w:cs="Times New Roman"/>
          <w:sz w:val="24"/>
          <w:szCs w:val="24"/>
        </w:rPr>
        <w:t xml:space="preserve">The result for the All Share Index (ASI) showed a coefficient of 6.4757, with a t-statistic of 5.2492 and a p-value of 0.0000, indicating a statistically significant positive impact on agricultural sector growth at the 1% level. This implies that a unit increase in the ASI, which captures the overall performance of listed companies on the Nigerian Stock Exchange, is associated with a 6.48% increase in the agricultural sector’s contribution to GDP. </w:t>
      </w:r>
    </w:p>
    <w:p w14:paraId="350E9008" w14:textId="77777777" w:rsidR="00576896" w:rsidRPr="00555B5D" w:rsidRDefault="00576896" w:rsidP="00576896">
      <w:pPr>
        <w:jc w:val="both"/>
        <w:rPr>
          <w:rFonts w:ascii="Times New Roman" w:hAnsi="Times New Roman" w:cs="Times New Roman"/>
          <w:sz w:val="24"/>
          <w:szCs w:val="24"/>
        </w:rPr>
      </w:pPr>
      <w:r w:rsidRPr="00555B5D">
        <w:rPr>
          <w:rFonts w:ascii="Times New Roman" w:hAnsi="Times New Roman" w:cs="Times New Roman"/>
          <w:sz w:val="24"/>
          <w:szCs w:val="24"/>
        </w:rPr>
        <w:t xml:space="preserve">Conversely, the Equities (EQU) variable, representing the total market capitalization of equities listed on the Nigerian Stock Exchange (in ₦ billion), had a coefficient of -4.2771, a t-statistic of -4.9843, and a p-value of 0.0000, indicating a significant negative impact on ASG. This suggests that a ₦1 billion increase in equity capitalization is associated with a 4.28% decrease in the agricultural sector’s contribution to GDP. </w:t>
      </w:r>
    </w:p>
    <w:p w14:paraId="0AB8599A" w14:textId="77777777" w:rsidR="00576896" w:rsidRPr="00555B5D" w:rsidRDefault="00576896" w:rsidP="00576896">
      <w:pPr>
        <w:jc w:val="both"/>
        <w:rPr>
          <w:rFonts w:ascii="Times New Roman" w:hAnsi="Times New Roman" w:cs="Times New Roman"/>
          <w:sz w:val="24"/>
          <w:szCs w:val="24"/>
        </w:rPr>
      </w:pPr>
      <w:r w:rsidRPr="00555B5D">
        <w:rPr>
          <w:rFonts w:ascii="Times New Roman" w:hAnsi="Times New Roman" w:cs="Times New Roman"/>
          <w:sz w:val="24"/>
          <w:szCs w:val="24"/>
        </w:rPr>
        <w:lastRenderedPageBreak/>
        <w:t xml:space="preserve">The result for Corporate Bonds (CB), measured in ₦ billion, showed a coefficient of 3.2146, a t-statistic of 2.4132, and a p-value of 0.0123, confirming a positive and statistically significant effect on agricultural sector growth at the 5% level. This indicates that a ₦1 billion increase in corporate bond issuance is associated with a 3.21% increase in agriculture’s GDP contribution. </w:t>
      </w:r>
    </w:p>
    <w:p w14:paraId="5D52227D" w14:textId="77777777" w:rsidR="003D6457" w:rsidRDefault="00576896" w:rsidP="0080266D">
      <w:pPr>
        <w:jc w:val="both"/>
        <w:rPr>
          <w:rFonts w:ascii="Times New Roman" w:hAnsi="Times New Roman" w:cs="Times New Roman"/>
          <w:sz w:val="24"/>
          <w:szCs w:val="24"/>
        </w:rPr>
      </w:pPr>
      <w:r w:rsidRPr="00555B5D">
        <w:rPr>
          <w:rFonts w:ascii="Times New Roman" w:hAnsi="Times New Roman" w:cs="Times New Roman"/>
          <w:sz w:val="24"/>
          <w:szCs w:val="24"/>
        </w:rPr>
        <w:t>The R-squared value of 0.5249 indicates that approximately 52.5% of the variation in agricultural sector growth is explained by the three capital market indicators used in the model. This suggests a moderate explanatory power, implying that while capital market fundamentals play a significant role in influencing agricultural output, nearly half of the changes in agricultural sector performance can be attributed to other factors not captured in the model—such as climatic conditions, government subsidies, rural infrastructure, or global commodity prices. The Adjusted R-squared, which adjusts for the number of explanatory variables, stood at 0.4742. This slightly lower figure confirms that the model maintains a reasonable explanatory capacity even after accounting for the degrees of freedom, and it helps mitigate the risk of overfitting. The Wald-F statistic of 10.026 with a corresponding p-value of 0.0001 strongly indicates that the overall model is statistically significant at the 1% level</w:t>
      </w:r>
      <w:r w:rsidR="00953F68">
        <w:rPr>
          <w:rFonts w:ascii="Times New Roman" w:hAnsi="Times New Roman" w:cs="Times New Roman"/>
          <w:sz w:val="24"/>
          <w:szCs w:val="24"/>
        </w:rPr>
        <w:t>.</w:t>
      </w:r>
    </w:p>
    <w:p w14:paraId="3302026F" w14:textId="77777777" w:rsidR="003D6457" w:rsidRPr="00555B5D" w:rsidRDefault="00576896"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Discussion of findings</w:t>
      </w:r>
    </w:p>
    <w:p w14:paraId="6F241AD0" w14:textId="77777777" w:rsidR="000B0D2F" w:rsidRPr="000B0D2F" w:rsidRDefault="000B0D2F" w:rsidP="000B0D2F">
      <w:pPr>
        <w:jc w:val="both"/>
        <w:rPr>
          <w:rFonts w:ascii="Times New Roman" w:hAnsi="Times New Roman" w:cs="Times New Roman"/>
          <w:sz w:val="24"/>
          <w:szCs w:val="24"/>
        </w:rPr>
      </w:pPr>
      <w:r w:rsidRPr="000B0D2F">
        <w:rPr>
          <w:rFonts w:ascii="Times New Roman" w:hAnsi="Times New Roman" w:cs="Times New Roman"/>
          <w:sz w:val="24"/>
          <w:szCs w:val="24"/>
        </w:rPr>
        <w:t xml:space="preserve">Findings from the study showed that the All-Share Index (ASI) had a positive and statistically significant impact on Agricultural Sector Growth (ASG) in Nigeria. This indicates that the overall performance of the Nigerian capital market, as reflected by movements in the ASI, plays a pivotal role in enhancing the contribution of agriculture to the national economy. The implication of this finding is that periods of improved stock market performance tend to create a more </w:t>
      </w:r>
      <w:r w:rsidRPr="00555B5D">
        <w:rPr>
          <w:rFonts w:ascii="Times New Roman" w:hAnsi="Times New Roman" w:cs="Times New Roman"/>
          <w:sz w:val="24"/>
          <w:szCs w:val="24"/>
        </w:rPr>
        <w:t>favourable</w:t>
      </w:r>
      <w:r w:rsidRPr="000B0D2F">
        <w:rPr>
          <w:rFonts w:ascii="Times New Roman" w:hAnsi="Times New Roman" w:cs="Times New Roman"/>
          <w:sz w:val="24"/>
          <w:szCs w:val="24"/>
        </w:rPr>
        <w:t xml:space="preserve"> investment climate, which stimulate</w:t>
      </w:r>
      <w:r w:rsidRPr="00555B5D">
        <w:rPr>
          <w:rFonts w:ascii="Times New Roman" w:hAnsi="Times New Roman" w:cs="Times New Roman"/>
          <w:sz w:val="24"/>
          <w:szCs w:val="24"/>
        </w:rPr>
        <w:t>s</w:t>
      </w:r>
      <w:r w:rsidRPr="000B0D2F">
        <w:rPr>
          <w:rFonts w:ascii="Times New Roman" w:hAnsi="Times New Roman" w:cs="Times New Roman"/>
          <w:sz w:val="24"/>
          <w:szCs w:val="24"/>
        </w:rPr>
        <w:t xml:space="preserve"> investor confidence and lead to increased financial inflows to agricultural activities, either directly through publicly listed agribusinesses or indirectly through financial service providers that support agriculture. This aligns with the findings of Zhang</w:t>
      </w:r>
      <w:r w:rsidRPr="00555B5D">
        <w:rPr>
          <w:rFonts w:ascii="Times New Roman" w:hAnsi="Times New Roman" w:cs="Times New Roman"/>
          <w:sz w:val="24"/>
          <w:szCs w:val="24"/>
        </w:rPr>
        <w:t xml:space="preserve"> et al. </w:t>
      </w:r>
      <w:r w:rsidRPr="000B0D2F">
        <w:rPr>
          <w:rFonts w:ascii="Times New Roman" w:hAnsi="Times New Roman" w:cs="Times New Roman"/>
          <w:sz w:val="24"/>
          <w:szCs w:val="24"/>
        </w:rPr>
        <w:t>(2022), who showed that broad stock market performance had a significant long-run impact on agricultural GDP across several emerging markets by increasing access to finance and encouraging private sector investment in agriculture-related ventures. Similarly, Agyemang and Mensah (2021) reported a positive association between the Ghanaian All Share Index and agricultural productivity, emphasizing that capital market growth can foster rural investment. These outcomes support the notion that the ASI is a vital barometer for gauging investment sentiment and sectoral development potential, particularly when the macroeconomic environment supports inclusive capital market participation.</w:t>
      </w:r>
    </w:p>
    <w:p w14:paraId="57258A22" w14:textId="77777777" w:rsidR="000B0D2F" w:rsidRPr="000B0D2F" w:rsidRDefault="000B0D2F" w:rsidP="000B0D2F">
      <w:pPr>
        <w:jc w:val="both"/>
        <w:rPr>
          <w:rFonts w:ascii="Times New Roman" w:hAnsi="Times New Roman" w:cs="Times New Roman"/>
          <w:sz w:val="24"/>
          <w:szCs w:val="24"/>
        </w:rPr>
      </w:pPr>
      <w:r w:rsidRPr="000B0D2F">
        <w:rPr>
          <w:rFonts w:ascii="Times New Roman" w:hAnsi="Times New Roman" w:cs="Times New Roman"/>
          <w:sz w:val="24"/>
          <w:szCs w:val="24"/>
        </w:rPr>
        <w:t>On the other hand, equities were found to have a negative but significant impact on agricultural sector growth in Nigeria. This suggests that rising equity market capitalization—measured in terms of the market value of listed equities</w:t>
      </w:r>
      <w:r w:rsidRPr="00555B5D">
        <w:rPr>
          <w:rFonts w:ascii="Times New Roman" w:hAnsi="Times New Roman" w:cs="Times New Roman"/>
          <w:sz w:val="24"/>
          <w:szCs w:val="24"/>
        </w:rPr>
        <w:t xml:space="preserve">, </w:t>
      </w:r>
      <w:r w:rsidRPr="000B0D2F">
        <w:rPr>
          <w:rFonts w:ascii="Times New Roman" w:hAnsi="Times New Roman" w:cs="Times New Roman"/>
          <w:sz w:val="24"/>
          <w:szCs w:val="24"/>
        </w:rPr>
        <w:t xml:space="preserve">has not translated into increased financial support for the agricultural sector. Rather, it may indicate that equity investments are concentrated in sectors with higher returns or lower risks, such as banking, telecommunications, or oil and gas, leaving agriculture underfunded. The implication is that despite the deepening of the Nigerian equity market, agriculture remains marginalized within the structure of capital allocation. </w:t>
      </w:r>
      <w:r w:rsidRPr="00555B5D">
        <w:rPr>
          <w:rFonts w:ascii="Times New Roman" w:hAnsi="Times New Roman" w:cs="Times New Roman"/>
          <w:sz w:val="24"/>
          <w:szCs w:val="24"/>
        </w:rPr>
        <w:t xml:space="preserve">Moreover, agriculture remains underrepresented on the Nigerian Stock Exchange, and firms in the sector may lack access to equity financing due to high risk, informality, or lack of investor appeal. </w:t>
      </w:r>
      <w:r w:rsidRPr="000B0D2F">
        <w:rPr>
          <w:rFonts w:ascii="Times New Roman" w:hAnsi="Times New Roman" w:cs="Times New Roman"/>
          <w:sz w:val="24"/>
          <w:szCs w:val="24"/>
        </w:rPr>
        <w:t xml:space="preserve">This is </w:t>
      </w:r>
      <w:r w:rsidRPr="000B0D2F">
        <w:rPr>
          <w:rFonts w:ascii="Times New Roman" w:hAnsi="Times New Roman" w:cs="Times New Roman"/>
          <w:sz w:val="24"/>
          <w:szCs w:val="24"/>
        </w:rPr>
        <w:lastRenderedPageBreak/>
        <w:t xml:space="preserve">consistent with the findings of </w:t>
      </w:r>
      <w:proofErr w:type="spellStart"/>
      <w:r w:rsidRPr="000B0D2F">
        <w:rPr>
          <w:rFonts w:ascii="Times New Roman" w:hAnsi="Times New Roman" w:cs="Times New Roman"/>
          <w:sz w:val="24"/>
          <w:szCs w:val="24"/>
        </w:rPr>
        <w:t>Omodero</w:t>
      </w:r>
      <w:proofErr w:type="spellEnd"/>
      <w:r w:rsidRPr="000B0D2F">
        <w:rPr>
          <w:rFonts w:ascii="Times New Roman" w:hAnsi="Times New Roman" w:cs="Times New Roman"/>
          <w:sz w:val="24"/>
          <w:szCs w:val="24"/>
        </w:rPr>
        <w:t xml:space="preserve"> (2022), who concluded that in Nigeria, equities have a weak influence on agricultural output due to the sector’s limited presence on the stock exchange and investors’ general aversion to agriculture-related securities. In a broader context, Mensah and Owusu (2020) found that in Ghana, equity markets had minimal direct impact on agricultural output, attributing this to the informal nature of agricultural enterprises and the lack of listed agribusiness firms. Thus, the present study reinforces the position that equity markets in developing countries may not automatically benefit all sectors equally unless deliberate steps are taken to improve sectoral access and inclusion within the capital market system.</w:t>
      </w:r>
    </w:p>
    <w:p w14:paraId="56311BD5" w14:textId="77777777" w:rsidR="003D6457" w:rsidRPr="00555B5D" w:rsidRDefault="000B0D2F" w:rsidP="0080266D">
      <w:pPr>
        <w:jc w:val="both"/>
        <w:rPr>
          <w:rFonts w:ascii="Times New Roman" w:hAnsi="Times New Roman" w:cs="Times New Roman"/>
          <w:sz w:val="24"/>
          <w:szCs w:val="24"/>
        </w:rPr>
      </w:pPr>
      <w:r w:rsidRPr="000B0D2F">
        <w:rPr>
          <w:rFonts w:ascii="Times New Roman" w:hAnsi="Times New Roman" w:cs="Times New Roman"/>
          <w:sz w:val="24"/>
          <w:szCs w:val="24"/>
        </w:rPr>
        <w:t xml:space="preserve">Furthermore, findings from the study showed that corporate bonds had a positive and statistically significant effect on agricultural sector growth in Nigeria. This implies that the issuance and trading of long-term debt instruments have supported investment in agriculture, particularly in areas requiring sustained capital inflow such as mechanized farming, agro-processing infrastructure, and storage facilities. The implication of this outcome is that corporate bonds offer a more suitable financing mechanism for agriculture’s long-gestation investment needs compared to short-term instruments. This finding agrees with the empirical results of Bello and Aremu (2023), who demonstrated that in Nigeria, corporate bonds significantly enhanced sectoral output by providing stable, long-term funds to capital-intensive industries, including agriculture. Similar findings were reported by Pérez and Salinas (2023) in their study across Latin American economies, where they discovered that well-developed bond markets positively contributed to agricultural value-added, especially when institutional investors targeted long-term rural development projects. These results </w:t>
      </w:r>
      <w:r w:rsidR="00B46D93" w:rsidRPr="00555B5D">
        <w:rPr>
          <w:rFonts w:ascii="Times New Roman" w:hAnsi="Times New Roman" w:cs="Times New Roman"/>
          <w:sz w:val="24"/>
          <w:szCs w:val="24"/>
        </w:rPr>
        <w:t>highlight</w:t>
      </w:r>
      <w:r w:rsidRPr="000B0D2F">
        <w:rPr>
          <w:rFonts w:ascii="Times New Roman" w:hAnsi="Times New Roman" w:cs="Times New Roman"/>
          <w:sz w:val="24"/>
          <w:szCs w:val="24"/>
        </w:rPr>
        <w:t xml:space="preserve"> the critical role of bond market development in </w:t>
      </w:r>
      <w:proofErr w:type="spellStart"/>
      <w:r w:rsidRPr="000B0D2F">
        <w:rPr>
          <w:rFonts w:ascii="Times New Roman" w:hAnsi="Times New Roman" w:cs="Times New Roman"/>
          <w:sz w:val="24"/>
          <w:szCs w:val="24"/>
        </w:rPr>
        <w:t>channeling</w:t>
      </w:r>
      <w:proofErr w:type="spellEnd"/>
      <w:r w:rsidRPr="000B0D2F">
        <w:rPr>
          <w:rFonts w:ascii="Times New Roman" w:hAnsi="Times New Roman" w:cs="Times New Roman"/>
          <w:sz w:val="24"/>
          <w:szCs w:val="24"/>
        </w:rPr>
        <w:t xml:space="preserve"> finance to underserved sectors and suggest that the expansion of agriculture-focused bond products could further stimulate growth in Nigeria’s agricultural sector.</w:t>
      </w:r>
    </w:p>
    <w:p w14:paraId="3505A048" w14:textId="77777777" w:rsidR="00050170" w:rsidRPr="00555B5D" w:rsidRDefault="00050170" w:rsidP="00050170">
      <w:pPr>
        <w:spacing w:before="240"/>
        <w:jc w:val="both"/>
        <w:rPr>
          <w:rFonts w:ascii="Times New Roman" w:hAnsi="Times New Roman" w:cs="Times New Roman"/>
          <w:b/>
          <w:bCs/>
          <w:sz w:val="24"/>
          <w:szCs w:val="24"/>
        </w:rPr>
      </w:pPr>
      <w:r w:rsidRPr="00555B5D">
        <w:rPr>
          <w:rFonts w:ascii="Times New Roman" w:hAnsi="Times New Roman" w:cs="Times New Roman"/>
          <w:b/>
          <w:bCs/>
          <w:sz w:val="24"/>
          <w:szCs w:val="24"/>
        </w:rPr>
        <w:t>V.</w:t>
      </w:r>
      <w:r w:rsidRPr="00555B5D">
        <w:rPr>
          <w:rFonts w:ascii="Times New Roman" w:hAnsi="Times New Roman" w:cs="Times New Roman"/>
          <w:b/>
          <w:bCs/>
          <w:sz w:val="24"/>
          <w:szCs w:val="24"/>
        </w:rPr>
        <w:tab/>
        <w:t>Conclusion and Recommendations</w:t>
      </w:r>
    </w:p>
    <w:p w14:paraId="33E2C532" w14:textId="77777777" w:rsidR="003D6457" w:rsidRPr="00555B5D" w:rsidRDefault="007B191A" w:rsidP="0080266D">
      <w:pPr>
        <w:jc w:val="both"/>
        <w:rPr>
          <w:rFonts w:ascii="Times New Roman" w:hAnsi="Times New Roman" w:cs="Times New Roman"/>
          <w:sz w:val="24"/>
          <w:szCs w:val="24"/>
        </w:rPr>
      </w:pPr>
      <w:r w:rsidRPr="00555B5D">
        <w:rPr>
          <w:rFonts w:ascii="Times New Roman" w:hAnsi="Times New Roman" w:cs="Times New Roman"/>
          <w:sz w:val="24"/>
          <w:szCs w:val="24"/>
        </w:rPr>
        <w:t>Based on the findings and analyses conducted, this study concludes that capital market fundamentals play a significant role in influencing the performance of the agricultural sector in Nigeria. Anchored on the main objective—to examine the impact of the All Share Index, Equities, and Corporate Bonds on agricultural sector growth—the results reveal three critical implications. First, the positive and significant effect of the All Share Index implies that overall market performance enhances investor confidence, which in turn supports agriculture through improved financial ecosystem efficiency. Second, the negative yet significant effect of equities suggests a structural imbalance in the allocation of equity capital, where agriculture remains underrepresented or unattractive to investors. Lastly, the significant positive relationship between corporate bonds and agricultural growth highlights the sector’s responsiveness to long-term financing. These findings affirm that while capital markets can contribute to agricultural development, the effectiveness of each financial instrument varies based on its alignment with the sector’s structural and financing needs.</w:t>
      </w:r>
    </w:p>
    <w:p w14:paraId="1DB3DD3E" w14:textId="77777777" w:rsidR="00A61C58" w:rsidRPr="00555B5D" w:rsidRDefault="00A61C58" w:rsidP="00A61C58">
      <w:pPr>
        <w:jc w:val="both"/>
        <w:rPr>
          <w:rFonts w:ascii="Times New Roman" w:hAnsi="Times New Roman" w:cs="Times New Roman"/>
          <w:sz w:val="24"/>
          <w:szCs w:val="24"/>
        </w:rPr>
      </w:pPr>
      <w:r w:rsidRPr="00A61C58">
        <w:rPr>
          <w:rFonts w:ascii="Times New Roman" w:hAnsi="Times New Roman" w:cs="Times New Roman"/>
          <w:sz w:val="24"/>
          <w:szCs w:val="24"/>
        </w:rPr>
        <w:t xml:space="preserve">Based on the findings of this study, tailored and actionable recommendations are necessary to address the varying impacts of capital market fundamentals on agricultural sector growth in Nigeria. </w:t>
      </w:r>
    </w:p>
    <w:p w14:paraId="183B5158" w14:textId="77777777" w:rsidR="00A61C58" w:rsidRPr="00555B5D" w:rsidRDefault="00A61C58" w:rsidP="00A61C58">
      <w:pPr>
        <w:pStyle w:val="ListParagraph"/>
        <w:numPr>
          <w:ilvl w:val="0"/>
          <w:numId w:val="1"/>
        </w:numPr>
        <w:jc w:val="both"/>
        <w:rPr>
          <w:rFonts w:ascii="Times New Roman" w:hAnsi="Times New Roman" w:cs="Times New Roman"/>
          <w:sz w:val="24"/>
          <w:szCs w:val="24"/>
        </w:rPr>
      </w:pPr>
      <w:r w:rsidRPr="00555B5D">
        <w:rPr>
          <w:rFonts w:ascii="Times New Roman" w:hAnsi="Times New Roman" w:cs="Times New Roman"/>
          <w:sz w:val="24"/>
          <w:szCs w:val="24"/>
        </w:rPr>
        <w:lastRenderedPageBreak/>
        <w:t>The positive and significant influence of the All Share Index (ASI) suggests that a vibrant and stable capital market environment supports agricultural growth indirectly. Therefore, the Securities and Exchange Commission (SEC) and the Nigerian Exchange Group (NGX) should work towards improving the overall health of the capital market by enhancing market transparency, reducing regulatory bottlenecks, and promoting investor education to sustain confidence. Specifically, these institutions should prioritize the inclusion of agribusinesses in public listings by offering incentives such as reduced listing fees or technical support to agriculture-focused companies.</w:t>
      </w:r>
    </w:p>
    <w:p w14:paraId="36AC4AD3" w14:textId="77777777" w:rsidR="00A61C58" w:rsidRPr="00555B5D" w:rsidRDefault="00A61C58" w:rsidP="00A61C58">
      <w:pPr>
        <w:pStyle w:val="ListParagraph"/>
        <w:numPr>
          <w:ilvl w:val="0"/>
          <w:numId w:val="1"/>
        </w:numPr>
        <w:jc w:val="both"/>
        <w:rPr>
          <w:rFonts w:ascii="Times New Roman" w:hAnsi="Times New Roman" w:cs="Times New Roman"/>
          <w:sz w:val="24"/>
          <w:szCs w:val="24"/>
        </w:rPr>
      </w:pPr>
      <w:r w:rsidRPr="00555B5D">
        <w:rPr>
          <w:rFonts w:ascii="Times New Roman" w:hAnsi="Times New Roman" w:cs="Times New Roman"/>
          <w:sz w:val="24"/>
          <w:szCs w:val="24"/>
        </w:rPr>
        <w:t>In response to the negative but significant impact of equities on agricultural output, it is critical that equity financing is redirected more intentionally toward agriculture. The Federal Ministry of Agriculture and Food Security in partnership with SEC and NGX should develop a framework to encourage the listing of agricultural cooperatives, agro-processing firms, and value chain actors on the stock exchange. This could include implementing sector-specific listing rules or introducing a separate board on the NGX for small- to medium-scale agribusinesses. Additionally, the Nigerian Investment Promotion Commission (NIPC) should collaborate with the Nigerian Sovereign Investment Authority (NSIA) to attract foreign direct equity investment into agriculture, ensuring that the equity capital flowing into the market translates into tangible support for the sector. Equity-linked products like agricultural Real Estate Investment Trusts (Agri-REITs) and agriculture mutual funds should be developed to bridge the financing gap.</w:t>
      </w:r>
    </w:p>
    <w:p w14:paraId="0ABF60CA" w14:textId="5F981E15" w:rsidR="00A61C58" w:rsidRDefault="00A61C58" w:rsidP="00A61C58">
      <w:pPr>
        <w:pStyle w:val="ListParagraph"/>
        <w:numPr>
          <w:ilvl w:val="0"/>
          <w:numId w:val="1"/>
        </w:numPr>
        <w:jc w:val="both"/>
        <w:rPr>
          <w:rFonts w:ascii="Times New Roman" w:hAnsi="Times New Roman" w:cs="Times New Roman"/>
          <w:sz w:val="24"/>
          <w:szCs w:val="24"/>
        </w:rPr>
      </w:pPr>
      <w:r w:rsidRPr="00555B5D">
        <w:rPr>
          <w:rFonts w:ascii="Times New Roman" w:hAnsi="Times New Roman" w:cs="Times New Roman"/>
          <w:sz w:val="24"/>
          <w:szCs w:val="24"/>
        </w:rPr>
        <w:t>Given the positive and significant relationship between corporate bonds and agricultural sector growth, the Debt Management Office (DMO) and SEC should take the lead in promoting the development and issuance of agriculture-focused bonds. These could include agro-infrastructure bonds or climate-smart agriculture bonds, targeted at raising long-term funds for rural road construction, irrigation projects, and processing facilities. The Central Bank of Nigeria (CBN), through its Development Finance Department, should provide partial guarantees or credit enhancement facilities to reduce the perceived risk for investors, thereby improving bond attractiveness. At the same time, Pension Fund Administrators (PFAs) and Insurance Companies, under the regulatory guidance of the National Pension Commission (</w:t>
      </w:r>
      <w:proofErr w:type="spellStart"/>
      <w:r w:rsidRPr="00555B5D">
        <w:rPr>
          <w:rFonts w:ascii="Times New Roman" w:hAnsi="Times New Roman" w:cs="Times New Roman"/>
          <w:sz w:val="24"/>
          <w:szCs w:val="24"/>
        </w:rPr>
        <w:t>PenCom</w:t>
      </w:r>
      <w:proofErr w:type="spellEnd"/>
      <w:r w:rsidRPr="00555B5D">
        <w:rPr>
          <w:rFonts w:ascii="Times New Roman" w:hAnsi="Times New Roman" w:cs="Times New Roman"/>
          <w:sz w:val="24"/>
          <w:szCs w:val="24"/>
        </w:rPr>
        <w:t>) and National Insurance Commission (NAICOM), should be encouraged to allocate a percentage of their portfolios to agriculture-linked bonds, particularly those with sovereign or quasi-sovereign guarantees.</w:t>
      </w:r>
    </w:p>
    <w:p w14:paraId="69C6F4C0" w14:textId="67E1B332" w:rsidR="002D084A" w:rsidRDefault="002D084A" w:rsidP="002D084A">
      <w:pPr>
        <w:jc w:val="both"/>
        <w:rPr>
          <w:rFonts w:ascii="Times New Roman" w:hAnsi="Times New Roman" w:cs="Times New Roman"/>
          <w:sz w:val="24"/>
          <w:szCs w:val="24"/>
        </w:rPr>
      </w:pPr>
    </w:p>
    <w:p w14:paraId="3CACBE15" w14:textId="77777777" w:rsidR="002D084A" w:rsidRPr="00394842" w:rsidRDefault="002D084A" w:rsidP="002D084A">
      <w:pPr>
        <w:rPr>
          <w:highlight w:val="yellow"/>
        </w:rPr>
      </w:pPr>
      <w:r w:rsidRPr="00394842">
        <w:rPr>
          <w:highlight w:val="yellow"/>
        </w:rPr>
        <w:t>Disclaimer (Artificial intelligence)</w:t>
      </w:r>
    </w:p>
    <w:p w14:paraId="4A04FA74" w14:textId="77777777" w:rsidR="002D084A" w:rsidRPr="00394842" w:rsidRDefault="002D084A" w:rsidP="002D084A">
      <w:pPr>
        <w:rPr>
          <w:highlight w:val="yellow"/>
        </w:rPr>
      </w:pPr>
    </w:p>
    <w:p w14:paraId="3C091147" w14:textId="77777777" w:rsidR="002D084A" w:rsidRPr="00394842" w:rsidRDefault="002D084A" w:rsidP="002D084A">
      <w:pPr>
        <w:rPr>
          <w:highlight w:val="yellow"/>
        </w:rPr>
      </w:pPr>
      <w:r w:rsidRPr="00394842">
        <w:rPr>
          <w:highlight w:val="yellow"/>
        </w:rPr>
        <w:t xml:space="preserve">Option 1: </w:t>
      </w:r>
    </w:p>
    <w:p w14:paraId="42E8A22A" w14:textId="77777777" w:rsidR="002D084A" w:rsidRPr="00394842" w:rsidRDefault="002D084A" w:rsidP="002D084A">
      <w:pPr>
        <w:rPr>
          <w:highlight w:val="yellow"/>
        </w:rPr>
      </w:pPr>
    </w:p>
    <w:p w14:paraId="71A20922" w14:textId="77777777" w:rsidR="002D084A" w:rsidRPr="00394842" w:rsidRDefault="002D084A" w:rsidP="002D084A">
      <w:pPr>
        <w:rPr>
          <w:highlight w:val="yellow"/>
        </w:rPr>
      </w:pPr>
      <w:r w:rsidRPr="00394842">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7045626C" w14:textId="77777777" w:rsidR="002D084A" w:rsidRPr="00394842" w:rsidRDefault="002D084A" w:rsidP="002D084A">
      <w:pPr>
        <w:rPr>
          <w:highlight w:val="yellow"/>
        </w:rPr>
      </w:pPr>
    </w:p>
    <w:p w14:paraId="30DDB9DA" w14:textId="77777777" w:rsidR="002D084A" w:rsidRPr="00394842" w:rsidRDefault="002D084A" w:rsidP="002D084A">
      <w:pPr>
        <w:rPr>
          <w:highlight w:val="yellow"/>
        </w:rPr>
      </w:pPr>
      <w:r w:rsidRPr="00394842">
        <w:rPr>
          <w:highlight w:val="yellow"/>
        </w:rPr>
        <w:t xml:space="preserve">Option 2: </w:t>
      </w:r>
    </w:p>
    <w:p w14:paraId="452FBA56" w14:textId="77777777" w:rsidR="002D084A" w:rsidRPr="00394842" w:rsidRDefault="002D084A" w:rsidP="002D084A">
      <w:pPr>
        <w:rPr>
          <w:highlight w:val="yellow"/>
        </w:rPr>
      </w:pPr>
    </w:p>
    <w:p w14:paraId="530C3C6C" w14:textId="77777777" w:rsidR="002D084A" w:rsidRPr="00394842" w:rsidRDefault="002D084A" w:rsidP="002D084A">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76EA81" w14:textId="77777777" w:rsidR="002D084A" w:rsidRPr="00394842" w:rsidRDefault="002D084A" w:rsidP="002D084A">
      <w:pPr>
        <w:rPr>
          <w:highlight w:val="yellow"/>
        </w:rPr>
      </w:pPr>
    </w:p>
    <w:p w14:paraId="480F2696" w14:textId="77777777" w:rsidR="002D084A" w:rsidRPr="00394842" w:rsidRDefault="002D084A" w:rsidP="002D084A">
      <w:pPr>
        <w:rPr>
          <w:highlight w:val="yellow"/>
        </w:rPr>
      </w:pPr>
      <w:r w:rsidRPr="00394842">
        <w:rPr>
          <w:highlight w:val="yellow"/>
        </w:rPr>
        <w:t>Details of the AI usage are given below:</w:t>
      </w:r>
    </w:p>
    <w:p w14:paraId="08482C86" w14:textId="087396C5" w:rsidR="002D084A" w:rsidRPr="00394842" w:rsidRDefault="002D084A" w:rsidP="002D084A">
      <w:pPr>
        <w:rPr>
          <w:highlight w:val="yellow"/>
        </w:rPr>
      </w:pPr>
      <w:r w:rsidRPr="00394842">
        <w:rPr>
          <w:highlight w:val="yellow"/>
        </w:rPr>
        <w:t>1.</w:t>
      </w:r>
      <w:r w:rsidR="00841D69">
        <w:rPr>
          <w:highlight w:val="yellow"/>
        </w:rPr>
        <w:t xml:space="preserve"> ChatGPT was used for improving the structure of the introduction, as well as the discussion of findings</w:t>
      </w:r>
    </w:p>
    <w:p w14:paraId="53E0D6F6" w14:textId="078171C4" w:rsidR="002D084A" w:rsidRPr="00394842" w:rsidRDefault="002D084A" w:rsidP="002D084A">
      <w:pPr>
        <w:rPr>
          <w:highlight w:val="yellow"/>
        </w:rPr>
      </w:pPr>
      <w:r w:rsidRPr="00394842">
        <w:rPr>
          <w:highlight w:val="yellow"/>
        </w:rPr>
        <w:t>2.</w:t>
      </w:r>
      <w:r w:rsidR="00841D69">
        <w:rPr>
          <w:highlight w:val="yellow"/>
        </w:rPr>
        <w:t xml:space="preserve"> </w:t>
      </w:r>
      <w:proofErr w:type="spellStart"/>
      <w:r w:rsidR="00841D69">
        <w:rPr>
          <w:highlight w:val="yellow"/>
        </w:rPr>
        <w:t>Grammerly</w:t>
      </w:r>
      <w:proofErr w:type="spellEnd"/>
      <w:r w:rsidR="00841D69">
        <w:rPr>
          <w:highlight w:val="yellow"/>
        </w:rPr>
        <w:t xml:space="preserve"> was used to correct </w:t>
      </w:r>
      <w:proofErr w:type="spellStart"/>
      <w:r w:rsidR="00841D69">
        <w:rPr>
          <w:highlight w:val="yellow"/>
        </w:rPr>
        <w:t>grammertical</w:t>
      </w:r>
      <w:proofErr w:type="spellEnd"/>
      <w:r w:rsidR="00841D69">
        <w:rPr>
          <w:highlight w:val="yellow"/>
        </w:rPr>
        <w:t xml:space="preserve"> issues in the work</w:t>
      </w:r>
    </w:p>
    <w:p w14:paraId="73A383BD" w14:textId="77777777" w:rsidR="002D084A" w:rsidRPr="00165217" w:rsidRDefault="002D084A" w:rsidP="002D084A">
      <w:r w:rsidRPr="00394842">
        <w:rPr>
          <w:highlight w:val="yellow"/>
        </w:rPr>
        <w:t>3.</w:t>
      </w:r>
    </w:p>
    <w:p w14:paraId="58A46B71" w14:textId="77777777" w:rsidR="002D084A" w:rsidRPr="002D084A" w:rsidRDefault="002D084A" w:rsidP="002D084A">
      <w:pPr>
        <w:jc w:val="both"/>
        <w:rPr>
          <w:rFonts w:ascii="Times New Roman" w:hAnsi="Times New Roman" w:cs="Times New Roman"/>
          <w:sz w:val="24"/>
          <w:szCs w:val="24"/>
        </w:rPr>
      </w:pPr>
    </w:p>
    <w:p w14:paraId="6AF0DA94" w14:textId="77777777" w:rsidR="003D6457" w:rsidRPr="00722D78" w:rsidRDefault="00722D78" w:rsidP="0080266D">
      <w:pPr>
        <w:jc w:val="both"/>
        <w:rPr>
          <w:rFonts w:ascii="Times New Roman" w:hAnsi="Times New Roman" w:cs="Times New Roman"/>
          <w:b/>
          <w:bCs/>
          <w:sz w:val="24"/>
          <w:szCs w:val="24"/>
        </w:rPr>
      </w:pPr>
      <w:r w:rsidRPr="00722D78">
        <w:rPr>
          <w:rFonts w:ascii="Times New Roman" w:hAnsi="Times New Roman" w:cs="Times New Roman"/>
          <w:b/>
          <w:bCs/>
          <w:sz w:val="24"/>
          <w:szCs w:val="24"/>
        </w:rPr>
        <w:t>References</w:t>
      </w:r>
    </w:p>
    <w:p w14:paraId="34FE5E9F" w14:textId="77777777" w:rsidR="00A21591" w:rsidRPr="00506735" w:rsidRDefault="00A21591" w:rsidP="00506735">
      <w:pPr>
        <w:spacing w:after="200" w:line="276" w:lineRule="auto"/>
        <w:ind w:left="709" w:hanging="709"/>
        <w:jc w:val="both"/>
        <w:rPr>
          <w:rFonts w:ascii="Times New Roman" w:hAnsi="Times New Roman"/>
          <w:sz w:val="24"/>
          <w:szCs w:val="24"/>
        </w:rPr>
      </w:pPr>
      <w:bookmarkStart w:id="5" w:name="_Hlk164178594"/>
      <w:r w:rsidRPr="00506735">
        <w:rPr>
          <w:rFonts w:ascii="Times New Roman" w:hAnsi="Times New Roman"/>
          <w:sz w:val="24"/>
          <w:szCs w:val="24"/>
        </w:rPr>
        <w:t xml:space="preserve">Adebayo, A. S., &amp; Yusuf, T. O. (2021). Agricultural transformation and economic growth in Nigeria: A sectoral contribution analysis. </w:t>
      </w:r>
      <w:r w:rsidRPr="00506735">
        <w:rPr>
          <w:rFonts w:ascii="Times New Roman" w:hAnsi="Times New Roman"/>
          <w:i/>
          <w:iCs/>
          <w:sz w:val="24"/>
          <w:szCs w:val="24"/>
        </w:rPr>
        <w:t>Journal of Development Policy and Practice, 6</w:t>
      </w:r>
      <w:r w:rsidRPr="00506735">
        <w:rPr>
          <w:rFonts w:ascii="Times New Roman" w:hAnsi="Times New Roman"/>
          <w:sz w:val="24"/>
          <w:szCs w:val="24"/>
        </w:rPr>
        <w:t>(1), 87–102.</w:t>
      </w:r>
    </w:p>
    <w:p w14:paraId="1D80C12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Adebayo, A. S., &amp; Yusuf, T. O. (2021). Capital market deepening and sectoral output growth in Nigeria. </w:t>
      </w:r>
      <w:r w:rsidRPr="00506735">
        <w:rPr>
          <w:rFonts w:ascii="Times New Roman" w:hAnsi="Times New Roman"/>
          <w:i/>
          <w:iCs/>
          <w:sz w:val="24"/>
          <w:szCs w:val="24"/>
        </w:rPr>
        <w:t>Journal of Development Policy and Practice, 6</w:t>
      </w:r>
      <w:r w:rsidRPr="00506735">
        <w:rPr>
          <w:rFonts w:ascii="Times New Roman" w:hAnsi="Times New Roman"/>
          <w:sz w:val="24"/>
          <w:szCs w:val="24"/>
        </w:rPr>
        <w:t>(2), 123–138.</w:t>
      </w:r>
    </w:p>
    <w:p w14:paraId="6F7F6C6E"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Adewuyi, I. D., &amp; Abimbola, O. M. (2021). Capital market indicators and agricultural output in Nigeria: An econometric analysis. </w:t>
      </w:r>
      <w:r w:rsidRPr="00506735">
        <w:rPr>
          <w:rFonts w:ascii="Times New Roman" w:hAnsi="Times New Roman"/>
          <w:i/>
          <w:iCs/>
          <w:sz w:val="24"/>
          <w:szCs w:val="24"/>
        </w:rPr>
        <w:t>Journal of Economics, Finance and Administrative Science, 26</w:t>
      </w:r>
      <w:r w:rsidRPr="00506735">
        <w:rPr>
          <w:rFonts w:ascii="Times New Roman" w:hAnsi="Times New Roman"/>
          <w:sz w:val="24"/>
          <w:szCs w:val="24"/>
        </w:rPr>
        <w:t>(51), 22–40.</w:t>
      </w:r>
    </w:p>
    <w:p w14:paraId="066FA1B0"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Afolabi, B., &amp; Okafor, G. (2022). Capital market development and sectoral output in Nigeria: Evidence from dynamic panel analysis. </w:t>
      </w:r>
      <w:r w:rsidRPr="00506735">
        <w:rPr>
          <w:rFonts w:ascii="Times New Roman" w:hAnsi="Times New Roman"/>
          <w:i/>
          <w:iCs/>
          <w:sz w:val="24"/>
          <w:szCs w:val="24"/>
        </w:rPr>
        <w:t>Journal of Financial Economics and Development Studies, 4</w:t>
      </w:r>
      <w:r w:rsidRPr="00506735">
        <w:rPr>
          <w:rFonts w:ascii="Times New Roman" w:hAnsi="Times New Roman"/>
          <w:sz w:val="24"/>
          <w:szCs w:val="24"/>
        </w:rPr>
        <w:t>(2), 115–130.</w:t>
      </w:r>
    </w:p>
    <w:p w14:paraId="039A9BCE"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African Securities Exchanges Association. (2022). </w:t>
      </w:r>
      <w:r w:rsidRPr="00506735">
        <w:rPr>
          <w:rFonts w:ascii="Times New Roman" w:hAnsi="Times New Roman"/>
          <w:i/>
          <w:iCs/>
          <w:sz w:val="24"/>
          <w:szCs w:val="24"/>
        </w:rPr>
        <w:t>Annual report and statistics 2021</w:t>
      </w:r>
      <w:r w:rsidRPr="00506735">
        <w:rPr>
          <w:rFonts w:ascii="Times New Roman" w:hAnsi="Times New Roman"/>
          <w:sz w:val="24"/>
          <w:szCs w:val="24"/>
        </w:rPr>
        <w:t>. ASEA Publications.</w:t>
      </w:r>
    </w:p>
    <w:p w14:paraId="5D57F085" w14:textId="77777777" w:rsidR="00A21591" w:rsidRPr="00506735" w:rsidRDefault="00A21591" w:rsidP="00506735">
      <w:pPr>
        <w:spacing w:after="200" w:line="276" w:lineRule="auto"/>
        <w:ind w:left="709" w:hanging="709"/>
        <w:jc w:val="both"/>
        <w:rPr>
          <w:rFonts w:ascii="Times New Roman" w:hAnsi="Times New Roman"/>
          <w:sz w:val="24"/>
          <w:szCs w:val="24"/>
        </w:rPr>
      </w:pPr>
      <w:r w:rsidRPr="00066826">
        <w:rPr>
          <w:rFonts w:ascii="Times New Roman" w:hAnsi="Times New Roman"/>
          <w:sz w:val="24"/>
          <w:szCs w:val="24"/>
          <w:lang w:val="nl-BE"/>
        </w:rPr>
        <w:t xml:space="preserve">Agyemang, D. A., &amp; Mensah, F. K. (2021). </w:t>
      </w:r>
      <w:r w:rsidRPr="00506735">
        <w:rPr>
          <w:rFonts w:ascii="Times New Roman" w:hAnsi="Times New Roman"/>
          <w:sz w:val="24"/>
          <w:szCs w:val="24"/>
        </w:rPr>
        <w:t xml:space="preserve">Capital market development and agricultural productivity in Ghana. </w:t>
      </w:r>
      <w:r w:rsidRPr="00506735">
        <w:rPr>
          <w:rFonts w:ascii="Times New Roman" w:hAnsi="Times New Roman"/>
          <w:i/>
          <w:iCs/>
          <w:sz w:val="24"/>
          <w:szCs w:val="24"/>
        </w:rPr>
        <w:t>Ghana Journal of Economic Policy, 8</w:t>
      </w:r>
      <w:r w:rsidRPr="00506735">
        <w:rPr>
          <w:rFonts w:ascii="Times New Roman" w:hAnsi="Times New Roman"/>
          <w:sz w:val="24"/>
          <w:szCs w:val="24"/>
        </w:rPr>
        <w:t>(1), 54–69.</w:t>
      </w:r>
    </w:p>
    <w:p w14:paraId="11B3117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lastRenderedPageBreak/>
        <w:t xml:space="preserve">Akinwunmi, O. A., &amp; </w:t>
      </w:r>
      <w:proofErr w:type="spellStart"/>
      <w:r w:rsidRPr="00506735">
        <w:rPr>
          <w:rFonts w:ascii="Times New Roman" w:hAnsi="Times New Roman"/>
          <w:sz w:val="24"/>
          <w:szCs w:val="24"/>
        </w:rPr>
        <w:t>Olowolafe</w:t>
      </w:r>
      <w:proofErr w:type="spellEnd"/>
      <w:r w:rsidRPr="00506735">
        <w:rPr>
          <w:rFonts w:ascii="Times New Roman" w:hAnsi="Times New Roman"/>
          <w:sz w:val="24"/>
          <w:szCs w:val="24"/>
        </w:rPr>
        <w:t xml:space="preserve">, E. A. (2022). Measuring agricultural performance in Nigeria: An output-based perspective. </w:t>
      </w:r>
      <w:r w:rsidRPr="00506735">
        <w:rPr>
          <w:rFonts w:ascii="Times New Roman" w:hAnsi="Times New Roman"/>
          <w:i/>
          <w:iCs/>
          <w:sz w:val="24"/>
          <w:szCs w:val="24"/>
        </w:rPr>
        <w:t>Nigerian Journal of Agricultural Economics and Extension, 12</w:t>
      </w:r>
      <w:r w:rsidRPr="00506735">
        <w:rPr>
          <w:rFonts w:ascii="Times New Roman" w:hAnsi="Times New Roman"/>
          <w:sz w:val="24"/>
          <w:szCs w:val="24"/>
        </w:rPr>
        <w:t>(3), 55–70.</w:t>
      </w:r>
    </w:p>
    <w:p w14:paraId="1DB27C7E"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Bello, Y. A., &amp; Aremu, M. A. (2023). Capital market instruments and sectoral performance: Evidence from Nigeria's agricultural sector. </w:t>
      </w:r>
      <w:r w:rsidRPr="00506735">
        <w:rPr>
          <w:rFonts w:ascii="Times New Roman" w:hAnsi="Times New Roman"/>
          <w:i/>
          <w:iCs/>
          <w:sz w:val="24"/>
          <w:szCs w:val="24"/>
        </w:rPr>
        <w:t>Nigerian Journal of Economic Policy, 30</w:t>
      </w:r>
      <w:r w:rsidRPr="00506735">
        <w:rPr>
          <w:rFonts w:ascii="Times New Roman" w:hAnsi="Times New Roman"/>
          <w:sz w:val="24"/>
          <w:szCs w:val="24"/>
        </w:rPr>
        <w:t>(1), 45–61.</w:t>
      </w:r>
    </w:p>
    <w:p w14:paraId="635EBB53"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Emenike, K. O., &amp; </w:t>
      </w:r>
      <w:proofErr w:type="spellStart"/>
      <w:r w:rsidRPr="00506735">
        <w:rPr>
          <w:rFonts w:ascii="Times New Roman" w:hAnsi="Times New Roman"/>
          <w:sz w:val="24"/>
          <w:szCs w:val="24"/>
        </w:rPr>
        <w:t>Acha</w:t>
      </w:r>
      <w:proofErr w:type="spellEnd"/>
      <w:r w:rsidRPr="00506735">
        <w:rPr>
          <w:rFonts w:ascii="Times New Roman" w:hAnsi="Times New Roman"/>
          <w:sz w:val="24"/>
          <w:szCs w:val="24"/>
        </w:rPr>
        <w:t xml:space="preserve">, I. A. (2021). Stock market indices and macroeconomic performance: A Nigerian perspective. </w:t>
      </w:r>
      <w:r w:rsidRPr="00506735">
        <w:rPr>
          <w:rFonts w:ascii="Times New Roman" w:hAnsi="Times New Roman"/>
          <w:i/>
          <w:iCs/>
          <w:sz w:val="24"/>
          <w:szCs w:val="24"/>
        </w:rPr>
        <w:t>African Journal of Economic Policy, 28</w:t>
      </w:r>
      <w:r w:rsidRPr="00506735">
        <w:rPr>
          <w:rFonts w:ascii="Times New Roman" w:hAnsi="Times New Roman"/>
          <w:sz w:val="24"/>
          <w:szCs w:val="24"/>
        </w:rPr>
        <w:t>(1), 71–88.</w:t>
      </w:r>
    </w:p>
    <w:p w14:paraId="444538EB"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Food and Agriculture Organization. (2022). </w:t>
      </w:r>
      <w:r w:rsidRPr="00506735">
        <w:rPr>
          <w:rFonts w:ascii="Times New Roman" w:hAnsi="Times New Roman"/>
          <w:i/>
          <w:iCs/>
          <w:sz w:val="24"/>
          <w:szCs w:val="24"/>
        </w:rPr>
        <w:t>The state of food and agriculture 2022: Leveraging agricultural digitalization to achieve sustainable development goals</w:t>
      </w:r>
      <w:r w:rsidRPr="00506735">
        <w:rPr>
          <w:rFonts w:ascii="Times New Roman" w:hAnsi="Times New Roman"/>
          <w:sz w:val="24"/>
          <w:szCs w:val="24"/>
        </w:rPr>
        <w:t>. FAO.</w:t>
      </w:r>
    </w:p>
    <w:p w14:paraId="2EA55A13"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Global Agricultural Productivity Report. (2022). </w:t>
      </w:r>
      <w:r w:rsidRPr="00506735">
        <w:rPr>
          <w:rFonts w:ascii="Times New Roman" w:hAnsi="Times New Roman"/>
          <w:i/>
          <w:iCs/>
          <w:sz w:val="24"/>
          <w:szCs w:val="24"/>
        </w:rPr>
        <w:t xml:space="preserve">Accelerating agricultural productivity growth to meet future food, feed, </w:t>
      </w:r>
      <w:proofErr w:type="spellStart"/>
      <w:r w:rsidRPr="00506735">
        <w:rPr>
          <w:rFonts w:ascii="Times New Roman" w:hAnsi="Times New Roman"/>
          <w:i/>
          <w:iCs/>
          <w:sz w:val="24"/>
          <w:szCs w:val="24"/>
        </w:rPr>
        <w:t>fiber</w:t>
      </w:r>
      <w:proofErr w:type="spellEnd"/>
      <w:r w:rsidRPr="00506735">
        <w:rPr>
          <w:rFonts w:ascii="Times New Roman" w:hAnsi="Times New Roman"/>
          <w:i/>
          <w:iCs/>
          <w:sz w:val="24"/>
          <w:szCs w:val="24"/>
        </w:rPr>
        <w:t>, and fuel demands</w:t>
      </w:r>
      <w:r w:rsidRPr="00506735">
        <w:rPr>
          <w:rFonts w:ascii="Times New Roman" w:hAnsi="Times New Roman"/>
          <w:sz w:val="24"/>
          <w:szCs w:val="24"/>
        </w:rPr>
        <w:t>. Virginia Tech College of Agriculture and Life Sciences.</w:t>
      </w:r>
    </w:p>
    <w:p w14:paraId="187D686A"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Gurley, J. G., &amp; Shaw, E. S. (1960). </w:t>
      </w:r>
      <w:r w:rsidRPr="00506735">
        <w:rPr>
          <w:rFonts w:ascii="Times New Roman" w:hAnsi="Times New Roman"/>
          <w:i/>
          <w:iCs/>
          <w:sz w:val="24"/>
          <w:szCs w:val="24"/>
        </w:rPr>
        <w:t>Money in a theory of finance</w:t>
      </w:r>
      <w:r w:rsidRPr="00506735">
        <w:rPr>
          <w:rFonts w:ascii="Times New Roman" w:hAnsi="Times New Roman"/>
          <w:sz w:val="24"/>
          <w:szCs w:val="24"/>
        </w:rPr>
        <w:t>. Brookings Institution.</w:t>
      </w:r>
    </w:p>
    <w:p w14:paraId="1E1B785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Ibe, K. C., &amp; </w:t>
      </w:r>
      <w:proofErr w:type="spellStart"/>
      <w:r w:rsidRPr="00506735">
        <w:rPr>
          <w:rFonts w:ascii="Times New Roman" w:hAnsi="Times New Roman"/>
          <w:sz w:val="24"/>
          <w:szCs w:val="24"/>
        </w:rPr>
        <w:t>Nwogwugwu</w:t>
      </w:r>
      <w:proofErr w:type="spellEnd"/>
      <w:r w:rsidRPr="00506735">
        <w:rPr>
          <w:rFonts w:ascii="Times New Roman" w:hAnsi="Times New Roman"/>
          <w:sz w:val="24"/>
          <w:szCs w:val="24"/>
        </w:rPr>
        <w:t xml:space="preserve">, N. (2020). Equity market performance and economic growth in Nigeria. </w:t>
      </w:r>
      <w:r w:rsidRPr="00506735">
        <w:rPr>
          <w:rFonts w:ascii="Times New Roman" w:hAnsi="Times New Roman"/>
          <w:i/>
          <w:iCs/>
          <w:sz w:val="24"/>
          <w:szCs w:val="24"/>
        </w:rPr>
        <w:t>International Journal of Finance and Banking Research, 6</w:t>
      </w:r>
      <w:r w:rsidRPr="00506735">
        <w:rPr>
          <w:rFonts w:ascii="Times New Roman" w:hAnsi="Times New Roman"/>
          <w:sz w:val="24"/>
          <w:szCs w:val="24"/>
        </w:rPr>
        <w:t>(3), 40–48.</w:t>
      </w:r>
    </w:p>
    <w:p w14:paraId="1EE530B3"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Kumar, R., Singh, A., &amp; Patel, D. (2023). Financial market development and agricultural resilience during economic downturns: Evidence from emerging economies. </w:t>
      </w:r>
      <w:r w:rsidRPr="00506735">
        <w:rPr>
          <w:rFonts w:ascii="Times New Roman" w:hAnsi="Times New Roman"/>
          <w:i/>
          <w:iCs/>
          <w:sz w:val="24"/>
          <w:szCs w:val="24"/>
        </w:rPr>
        <w:t>Journal of Development Economics, 163</w:t>
      </w:r>
      <w:r w:rsidRPr="00506735">
        <w:rPr>
          <w:rFonts w:ascii="Times New Roman" w:hAnsi="Times New Roman"/>
          <w:sz w:val="24"/>
          <w:szCs w:val="24"/>
        </w:rPr>
        <w:t>, 102973.</w:t>
      </w:r>
    </w:p>
    <w:p w14:paraId="5989FD3F"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Mensah, K. F., &amp; Owusu, D. A. (2020). Capital market development and agricultural GDP in Ghana: An empirical analysis. </w:t>
      </w:r>
      <w:r w:rsidRPr="00506735">
        <w:rPr>
          <w:rFonts w:ascii="Times New Roman" w:hAnsi="Times New Roman"/>
          <w:i/>
          <w:iCs/>
          <w:sz w:val="24"/>
          <w:szCs w:val="24"/>
        </w:rPr>
        <w:t>Ghana Journal of Economics, 5</w:t>
      </w:r>
      <w:r w:rsidRPr="00506735">
        <w:rPr>
          <w:rFonts w:ascii="Times New Roman" w:hAnsi="Times New Roman"/>
          <w:sz w:val="24"/>
          <w:szCs w:val="24"/>
        </w:rPr>
        <w:t>(2), 77–92.</w:t>
      </w:r>
    </w:p>
    <w:p w14:paraId="1DC538E6"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National Bureau of Statistics. (2023). </w:t>
      </w:r>
      <w:r w:rsidRPr="00506735">
        <w:rPr>
          <w:rFonts w:ascii="Times New Roman" w:hAnsi="Times New Roman"/>
          <w:i/>
          <w:iCs/>
          <w:sz w:val="24"/>
          <w:szCs w:val="24"/>
        </w:rPr>
        <w:t>Nigerian gross domestic product report (Q4 2022)</w:t>
      </w:r>
      <w:r w:rsidRPr="00506735">
        <w:rPr>
          <w:rFonts w:ascii="Times New Roman" w:hAnsi="Times New Roman"/>
          <w:sz w:val="24"/>
          <w:szCs w:val="24"/>
        </w:rPr>
        <w:t>. NBS Publications.</w:t>
      </w:r>
    </w:p>
    <w:p w14:paraId="32248F52"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Nguyen, T. H., &amp; Pham, V. D. (2021). Financial market development and agricultural growth in ASEAN countries. </w:t>
      </w:r>
      <w:r w:rsidRPr="00506735">
        <w:rPr>
          <w:rFonts w:ascii="Times New Roman" w:hAnsi="Times New Roman"/>
          <w:i/>
          <w:iCs/>
          <w:sz w:val="24"/>
          <w:szCs w:val="24"/>
        </w:rPr>
        <w:t>Cogent Economics &amp; Finance, 9</w:t>
      </w:r>
      <w:r w:rsidRPr="00506735">
        <w:rPr>
          <w:rFonts w:ascii="Times New Roman" w:hAnsi="Times New Roman"/>
          <w:sz w:val="24"/>
          <w:szCs w:val="24"/>
        </w:rPr>
        <w:t>(1), 1893207.</w:t>
      </w:r>
    </w:p>
    <w:p w14:paraId="3F9B065E"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Nwani, C., &amp; Okoh, J. O. (2023). Corporate bond market and economic growth: Lessons from Nigeria’s emerging financial sector. </w:t>
      </w:r>
      <w:r w:rsidRPr="00506735">
        <w:rPr>
          <w:rFonts w:ascii="Times New Roman" w:hAnsi="Times New Roman"/>
          <w:i/>
          <w:iCs/>
          <w:sz w:val="24"/>
          <w:szCs w:val="24"/>
        </w:rPr>
        <w:t>Journal of African Financial Studies, 5</w:t>
      </w:r>
      <w:r w:rsidRPr="00506735">
        <w:rPr>
          <w:rFonts w:ascii="Times New Roman" w:hAnsi="Times New Roman"/>
          <w:sz w:val="24"/>
          <w:szCs w:val="24"/>
        </w:rPr>
        <w:t>(1), 55–72.</w:t>
      </w:r>
    </w:p>
    <w:p w14:paraId="39502C39" w14:textId="77777777" w:rsidR="00A21591" w:rsidRPr="00506735" w:rsidRDefault="00A21591" w:rsidP="00506735">
      <w:pPr>
        <w:spacing w:after="200" w:line="276" w:lineRule="auto"/>
        <w:ind w:left="709" w:hanging="709"/>
        <w:jc w:val="both"/>
        <w:rPr>
          <w:rFonts w:ascii="Times New Roman" w:hAnsi="Times New Roman"/>
          <w:sz w:val="24"/>
          <w:szCs w:val="24"/>
        </w:rPr>
      </w:pPr>
      <w:proofErr w:type="spellStart"/>
      <w:r w:rsidRPr="00506735">
        <w:rPr>
          <w:rFonts w:ascii="Times New Roman" w:hAnsi="Times New Roman"/>
          <w:sz w:val="24"/>
          <w:szCs w:val="24"/>
        </w:rPr>
        <w:t>Obialor</w:t>
      </w:r>
      <w:proofErr w:type="spellEnd"/>
      <w:r w:rsidRPr="00506735">
        <w:rPr>
          <w:rFonts w:ascii="Times New Roman" w:hAnsi="Times New Roman"/>
          <w:sz w:val="24"/>
          <w:szCs w:val="24"/>
        </w:rPr>
        <w:t xml:space="preserve">, C. B.-M., Ibe, C. C., &amp; Offor, O. C. (2022). Capital market and agricultural sector output in Nigeria. </w:t>
      </w:r>
      <w:r w:rsidRPr="00506735">
        <w:rPr>
          <w:rFonts w:ascii="Times New Roman" w:hAnsi="Times New Roman"/>
          <w:i/>
          <w:iCs/>
          <w:sz w:val="24"/>
          <w:szCs w:val="24"/>
        </w:rPr>
        <w:t>International Journal of Research in Management, 4</w:t>
      </w:r>
      <w:r w:rsidRPr="00506735">
        <w:rPr>
          <w:rFonts w:ascii="Times New Roman" w:hAnsi="Times New Roman"/>
          <w:sz w:val="24"/>
          <w:szCs w:val="24"/>
        </w:rPr>
        <w:t>(2), 12–20.</w:t>
      </w:r>
    </w:p>
    <w:p w14:paraId="53BD6C02" w14:textId="77777777" w:rsidR="00A21591" w:rsidRPr="00506735" w:rsidRDefault="00A21591" w:rsidP="00506735">
      <w:pPr>
        <w:spacing w:after="200" w:line="276" w:lineRule="auto"/>
        <w:ind w:left="709" w:hanging="709"/>
        <w:jc w:val="both"/>
        <w:rPr>
          <w:rFonts w:ascii="Times New Roman" w:hAnsi="Times New Roman"/>
          <w:sz w:val="24"/>
          <w:szCs w:val="24"/>
        </w:rPr>
      </w:pPr>
      <w:proofErr w:type="spellStart"/>
      <w:r w:rsidRPr="00506735">
        <w:rPr>
          <w:rFonts w:ascii="Times New Roman" w:hAnsi="Times New Roman"/>
          <w:sz w:val="24"/>
          <w:szCs w:val="24"/>
        </w:rPr>
        <w:t>Okidim</w:t>
      </w:r>
      <w:proofErr w:type="spellEnd"/>
      <w:r w:rsidRPr="00506735">
        <w:rPr>
          <w:rFonts w:ascii="Times New Roman" w:hAnsi="Times New Roman"/>
          <w:sz w:val="24"/>
          <w:szCs w:val="24"/>
        </w:rPr>
        <w:t xml:space="preserve">, I. A., </w:t>
      </w:r>
      <w:proofErr w:type="spellStart"/>
      <w:r w:rsidRPr="00506735">
        <w:rPr>
          <w:rFonts w:ascii="Times New Roman" w:hAnsi="Times New Roman"/>
          <w:sz w:val="24"/>
          <w:szCs w:val="24"/>
        </w:rPr>
        <w:t>Okuduwor</w:t>
      </w:r>
      <w:proofErr w:type="spellEnd"/>
      <w:r w:rsidRPr="00506735">
        <w:rPr>
          <w:rFonts w:ascii="Times New Roman" w:hAnsi="Times New Roman"/>
          <w:sz w:val="24"/>
          <w:szCs w:val="24"/>
        </w:rPr>
        <w:t>, A. A., Obe-</w:t>
      </w:r>
      <w:proofErr w:type="spellStart"/>
      <w:r w:rsidRPr="00506735">
        <w:rPr>
          <w:rFonts w:ascii="Times New Roman" w:hAnsi="Times New Roman"/>
          <w:sz w:val="24"/>
          <w:szCs w:val="24"/>
        </w:rPr>
        <w:t>Nwaka</w:t>
      </w:r>
      <w:proofErr w:type="spellEnd"/>
      <w:r w:rsidRPr="00506735">
        <w:rPr>
          <w:rFonts w:ascii="Times New Roman" w:hAnsi="Times New Roman"/>
          <w:sz w:val="24"/>
          <w:szCs w:val="24"/>
        </w:rPr>
        <w:t xml:space="preserve">, M. O., &amp; Week, D. A. (2023). Capital market and agricultural sector output in Nigeria. </w:t>
      </w:r>
      <w:r w:rsidRPr="00506735">
        <w:rPr>
          <w:rFonts w:ascii="Times New Roman" w:hAnsi="Times New Roman"/>
          <w:i/>
          <w:iCs/>
          <w:sz w:val="24"/>
          <w:szCs w:val="24"/>
        </w:rPr>
        <w:t>International Journal of Agricultural Economics, 8</w:t>
      </w:r>
      <w:r w:rsidRPr="00506735">
        <w:rPr>
          <w:rFonts w:ascii="Times New Roman" w:hAnsi="Times New Roman"/>
          <w:sz w:val="24"/>
          <w:szCs w:val="24"/>
        </w:rPr>
        <w:t>(3), 102–107.</w:t>
      </w:r>
    </w:p>
    <w:p w14:paraId="24E578BF"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lastRenderedPageBreak/>
        <w:t xml:space="preserve">Okonkwo, O. I., &amp; Uchenna, E. C. (2021). Capital market development and sectoral allocation of finance in Nigeria: A focus on agriculture and industry. </w:t>
      </w:r>
      <w:r w:rsidRPr="00506735">
        <w:rPr>
          <w:rFonts w:ascii="Times New Roman" w:hAnsi="Times New Roman"/>
          <w:i/>
          <w:iCs/>
          <w:sz w:val="24"/>
          <w:szCs w:val="24"/>
        </w:rPr>
        <w:t>African Journal of Economic Policy, 28</w:t>
      </w:r>
      <w:r w:rsidRPr="00506735">
        <w:rPr>
          <w:rFonts w:ascii="Times New Roman" w:hAnsi="Times New Roman"/>
          <w:sz w:val="24"/>
          <w:szCs w:val="24"/>
        </w:rPr>
        <w:t>(2), 91–110.</w:t>
      </w:r>
    </w:p>
    <w:p w14:paraId="12560012"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Olanrewaju, F. O., </w:t>
      </w:r>
      <w:proofErr w:type="spellStart"/>
      <w:r w:rsidRPr="00506735">
        <w:rPr>
          <w:rFonts w:ascii="Times New Roman" w:hAnsi="Times New Roman"/>
          <w:sz w:val="24"/>
          <w:szCs w:val="24"/>
        </w:rPr>
        <w:t>Iyoha</w:t>
      </w:r>
      <w:proofErr w:type="spellEnd"/>
      <w:r w:rsidRPr="00506735">
        <w:rPr>
          <w:rFonts w:ascii="Times New Roman" w:hAnsi="Times New Roman"/>
          <w:sz w:val="24"/>
          <w:szCs w:val="24"/>
        </w:rPr>
        <w:t xml:space="preserve">, M. A., &amp; Adeoye, B. W. (2022). Capital market development and agricultural productivity in Sub-Saharan Africa. </w:t>
      </w:r>
      <w:r w:rsidRPr="00506735">
        <w:rPr>
          <w:rFonts w:ascii="Times New Roman" w:hAnsi="Times New Roman"/>
          <w:i/>
          <w:iCs/>
          <w:sz w:val="24"/>
          <w:szCs w:val="24"/>
        </w:rPr>
        <w:t>Journal of African Development, 24</w:t>
      </w:r>
      <w:r w:rsidRPr="00506735">
        <w:rPr>
          <w:rFonts w:ascii="Times New Roman" w:hAnsi="Times New Roman"/>
          <w:sz w:val="24"/>
          <w:szCs w:val="24"/>
        </w:rPr>
        <w:t>(1), 76–95.</w:t>
      </w:r>
    </w:p>
    <w:p w14:paraId="084D6D5D" w14:textId="77777777" w:rsidR="00A21591" w:rsidRDefault="00A21591" w:rsidP="00506735">
      <w:pPr>
        <w:spacing w:after="200" w:line="276" w:lineRule="auto"/>
        <w:ind w:left="709" w:hanging="709"/>
        <w:jc w:val="both"/>
        <w:rPr>
          <w:rFonts w:ascii="Times New Roman" w:hAnsi="Times New Roman"/>
          <w:sz w:val="24"/>
          <w:szCs w:val="24"/>
        </w:rPr>
      </w:pPr>
      <w:proofErr w:type="spellStart"/>
      <w:r w:rsidRPr="00506735">
        <w:rPr>
          <w:rFonts w:ascii="Times New Roman" w:hAnsi="Times New Roman"/>
          <w:sz w:val="24"/>
          <w:szCs w:val="24"/>
        </w:rPr>
        <w:t>Omodero</w:t>
      </w:r>
      <w:proofErr w:type="spellEnd"/>
      <w:r w:rsidRPr="00506735">
        <w:rPr>
          <w:rFonts w:ascii="Times New Roman" w:hAnsi="Times New Roman"/>
          <w:sz w:val="24"/>
          <w:szCs w:val="24"/>
        </w:rPr>
        <w:t xml:space="preserve">, C. O. (2022). The effect of capital market instruments on economic growth in Nigeria. </w:t>
      </w:r>
      <w:r w:rsidRPr="00506735">
        <w:rPr>
          <w:rFonts w:ascii="Times New Roman" w:hAnsi="Times New Roman"/>
          <w:i/>
          <w:iCs/>
          <w:sz w:val="24"/>
          <w:szCs w:val="24"/>
        </w:rPr>
        <w:t>International Journal of Economics and Financial Issues, 12</w:t>
      </w:r>
      <w:r w:rsidRPr="00506735">
        <w:rPr>
          <w:rFonts w:ascii="Times New Roman" w:hAnsi="Times New Roman"/>
          <w:sz w:val="24"/>
          <w:szCs w:val="24"/>
        </w:rPr>
        <w:t>(4), 145–151.</w:t>
      </w:r>
    </w:p>
    <w:p w14:paraId="1D692C74" w14:textId="77777777" w:rsidR="00A21591" w:rsidRPr="00A21591" w:rsidRDefault="00A21591" w:rsidP="00A21591">
      <w:pPr>
        <w:spacing w:after="200" w:line="276" w:lineRule="auto"/>
        <w:ind w:left="709" w:hanging="709"/>
        <w:jc w:val="both"/>
        <w:rPr>
          <w:rFonts w:ascii="Times New Roman" w:hAnsi="Times New Roman"/>
          <w:sz w:val="24"/>
          <w:szCs w:val="24"/>
        </w:rPr>
      </w:pPr>
      <w:proofErr w:type="spellStart"/>
      <w:r w:rsidRPr="00A21591">
        <w:rPr>
          <w:rFonts w:ascii="Times New Roman" w:hAnsi="Times New Roman"/>
          <w:sz w:val="24"/>
          <w:szCs w:val="24"/>
        </w:rPr>
        <w:t>Osiobe</w:t>
      </w:r>
      <w:proofErr w:type="spellEnd"/>
      <w:r w:rsidRPr="00A21591">
        <w:rPr>
          <w:rFonts w:ascii="Times New Roman" w:hAnsi="Times New Roman"/>
          <w:sz w:val="24"/>
          <w:szCs w:val="24"/>
        </w:rPr>
        <w:t xml:space="preserve">, E. U., &amp; </w:t>
      </w:r>
      <w:proofErr w:type="spellStart"/>
      <w:r w:rsidRPr="00A21591">
        <w:rPr>
          <w:rFonts w:ascii="Times New Roman" w:hAnsi="Times New Roman"/>
          <w:sz w:val="24"/>
          <w:szCs w:val="24"/>
        </w:rPr>
        <w:t>Oseghe</w:t>
      </w:r>
      <w:proofErr w:type="spellEnd"/>
      <w:r w:rsidRPr="00A21591">
        <w:rPr>
          <w:rFonts w:ascii="Times New Roman" w:hAnsi="Times New Roman"/>
          <w:sz w:val="24"/>
          <w:szCs w:val="24"/>
        </w:rPr>
        <w:t xml:space="preserve">, O. M. (2020). </w:t>
      </w:r>
      <w:proofErr w:type="spellStart"/>
      <w:r w:rsidRPr="00A21591">
        <w:rPr>
          <w:rFonts w:ascii="Times New Roman" w:hAnsi="Times New Roman"/>
          <w:sz w:val="24"/>
          <w:szCs w:val="24"/>
        </w:rPr>
        <w:t>Analyzing</w:t>
      </w:r>
      <w:proofErr w:type="spellEnd"/>
      <w:r w:rsidRPr="00A21591">
        <w:rPr>
          <w:rFonts w:ascii="Times New Roman" w:hAnsi="Times New Roman"/>
          <w:sz w:val="24"/>
          <w:szCs w:val="24"/>
        </w:rPr>
        <w:t xml:space="preserve"> the Jobless Recovery Phenomenon in the Nigerian Economy. </w:t>
      </w:r>
      <w:r w:rsidRPr="00A21591">
        <w:rPr>
          <w:rFonts w:ascii="Times New Roman" w:hAnsi="Times New Roman"/>
          <w:i/>
          <w:iCs/>
          <w:sz w:val="24"/>
          <w:szCs w:val="24"/>
        </w:rPr>
        <w:t>Journal of Applied Business and Economics, 22(9).</w:t>
      </w:r>
    </w:p>
    <w:p w14:paraId="66DB234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Pérez, R. L., &amp; Salinas, M. V. (2023). Capital markets and agricultural value-added in Latin America: Evidence from panel cointegration. </w:t>
      </w:r>
      <w:r w:rsidRPr="00506735">
        <w:rPr>
          <w:rFonts w:ascii="Times New Roman" w:hAnsi="Times New Roman"/>
          <w:i/>
          <w:iCs/>
          <w:sz w:val="24"/>
          <w:szCs w:val="24"/>
        </w:rPr>
        <w:t>Latin American Journal of Economic Development, 19</w:t>
      </w:r>
      <w:r w:rsidRPr="00506735">
        <w:rPr>
          <w:rFonts w:ascii="Times New Roman" w:hAnsi="Times New Roman"/>
          <w:sz w:val="24"/>
          <w:szCs w:val="24"/>
        </w:rPr>
        <w:t>(2), 88–104.</w:t>
      </w:r>
    </w:p>
    <w:p w14:paraId="7FE60D8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Securities and Exchange Commission Nigeria. (2023). </w:t>
      </w:r>
      <w:r w:rsidRPr="00506735">
        <w:rPr>
          <w:rFonts w:ascii="Times New Roman" w:hAnsi="Times New Roman"/>
          <w:i/>
          <w:iCs/>
          <w:sz w:val="24"/>
          <w:szCs w:val="24"/>
        </w:rPr>
        <w:t>Capital market development and economic diversification: Special report on agricultural financing</w:t>
      </w:r>
      <w:r w:rsidRPr="00506735">
        <w:rPr>
          <w:rFonts w:ascii="Times New Roman" w:hAnsi="Times New Roman"/>
          <w:sz w:val="24"/>
          <w:szCs w:val="24"/>
        </w:rPr>
        <w:t>. SEC Nigeria Publications.</w:t>
      </w:r>
    </w:p>
    <w:p w14:paraId="37A2A620"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Stiglitz, J. E., &amp; Weiss, A. (1981). Credit rationing in markets with imperfect information. </w:t>
      </w:r>
      <w:r w:rsidRPr="00506735">
        <w:rPr>
          <w:rFonts w:ascii="Times New Roman" w:hAnsi="Times New Roman"/>
          <w:i/>
          <w:iCs/>
          <w:sz w:val="24"/>
          <w:szCs w:val="24"/>
        </w:rPr>
        <w:t>The American Economic Review, 71</w:t>
      </w:r>
      <w:r w:rsidRPr="00506735">
        <w:rPr>
          <w:rFonts w:ascii="Times New Roman" w:hAnsi="Times New Roman"/>
          <w:sz w:val="24"/>
          <w:szCs w:val="24"/>
        </w:rPr>
        <w:t>(3), 393–410.</w:t>
      </w:r>
    </w:p>
    <w:p w14:paraId="75CBF39C"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World Bank. (2022). </w:t>
      </w:r>
      <w:r w:rsidRPr="00506735">
        <w:rPr>
          <w:rFonts w:ascii="Times New Roman" w:hAnsi="Times New Roman"/>
          <w:i/>
          <w:iCs/>
          <w:sz w:val="24"/>
          <w:szCs w:val="24"/>
        </w:rPr>
        <w:t>World development report: Finance for an equitable recovery</w:t>
      </w:r>
      <w:r w:rsidRPr="00506735">
        <w:rPr>
          <w:rFonts w:ascii="Times New Roman" w:hAnsi="Times New Roman"/>
          <w:sz w:val="24"/>
          <w:szCs w:val="24"/>
        </w:rPr>
        <w:t>. World Bank.</w:t>
      </w:r>
    </w:p>
    <w:bookmarkEnd w:id="5"/>
    <w:p w14:paraId="2C4DADA5"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Zhang, L., &amp; Liu, H. (2022). Equity and bond markets in agricultural sector development: A comparative analysis across development stages. </w:t>
      </w:r>
      <w:r w:rsidRPr="00506735">
        <w:rPr>
          <w:rFonts w:ascii="Times New Roman" w:hAnsi="Times New Roman"/>
          <w:i/>
          <w:iCs/>
          <w:sz w:val="24"/>
          <w:szCs w:val="24"/>
        </w:rPr>
        <w:t>World Development, 157</w:t>
      </w:r>
      <w:r w:rsidRPr="00506735">
        <w:rPr>
          <w:rFonts w:ascii="Times New Roman" w:hAnsi="Times New Roman"/>
          <w:sz w:val="24"/>
          <w:szCs w:val="24"/>
        </w:rPr>
        <w:t>, 105812.</w:t>
      </w:r>
    </w:p>
    <w:p w14:paraId="3B0B6417" w14:textId="77777777" w:rsidR="00A21591" w:rsidRPr="00506735" w:rsidRDefault="00A21591" w:rsidP="00506735">
      <w:pPr>
        <w:spacing w:after="200" w:line="276" w:lineRule="auto"/>
        <w:ind w:left="709" w:hanging="709"/>
        <w:jc w:val="both"/>
        <w:rPr>
          <w:rFonts w:ascii="Times New Roman" w:hAnsi="Times New Roman"/>
          <w:sz w:val="24"/>
          <w:szCs w:val="24"/>
        </w:rPr>
      </w:pPr>
      <w:r w:rsidRPr="00506735">
        <w:rPr>
          <w:rFonts w:ascii="Times New Roman" w:hAnsi="Times New Roman"/>
          <w:sz w:val="24"/>
          <w:szCs w:val="24"/>
        </w:rPr>
        <w:t xml:space="preserve">Zhang, Y., Choudhury, T., &amp; Gomez, R. (2022). Capital market development and agriculture sector growth in emerging economies. </w:t>
      </w:r>
      <w:r w:rsidRPr="00506735">
        <w:rPr>
          <w:rFonts w:ascii="Times New Roman" w:hAnsi="Times New Roman"/>
          <w:i/>
          <w:iCs/>
          <w:sz w:val="24"/>
          <w:szCs w:val="24"/>
        </w:rPr>
        <w:t>Journal of Emerging Market Finance, 21</w:t>
      </w:r>
      <w:r w:rsidRPr="00506735">
        <w:rPr>
          <w:rFonts w:ascii="Times New Roman" w:hAnsi="Times New Roman"/>
          <w:sz w:val="24"/>
          <w:szCs w:val="24"/>
        </w:rPr>
        <w:t>(4), 339–361.</w:t>
      </w:r>
    </w:p>
    <w:p w14:paraId="3F0B9555" w14:textId="77777777" w:rsidR="00A21591" w:rsidRDefault="00A21591" w:rsidP="0080266D">
      <w:pPr>
        <w:jc w:val="both"/>
        <w:rPr>
          <w:rFonts w:ascii="Times New Roman" w:hAnsi="Times New Roman" w:cs="Times New Roman"/>
          <w:sz w:val="24"/>
          <w:szCs w:val="24"/>
        </w:rPr>
      </w:pPr>
    </w:p>
    <w:p w14:paraId="3A6CA297" w14:textId="77777777" w:rsidR="00506735" w:rsidRPr="00506735" w:rsidRDefault="00506735" w:rsidP="00506735">
      <w:pPr>
        <w:pStyle w:val="Default"/>
        <w:rPr>
          <w:b/>
          <w:bCs/>
        </w:rPr>
      </w:pPr>
      <w:r w:rsidRPr="00506735">
        <w:rPr>
          <w:b/>
          <w:bCs/>
        </w:rPr>
        <w:t xml:space="preserve">Table </w:t>
      </w:r>
      <w:r w:rsidR="0087633F">
        <w:rPr>
          <w:b/>
          <w:bCs/>
        </w:rPr>
        <w:t>5</w:t>
      </w:r>
      <w:r w:rsidRPr="00506735">
        <w:rPr>
          <w:b/>
          <w:bCs/>
        </w:rPr>
        <w:t>: Data Presentation</w:t>
      </w:r>
    </w:p>
    <w:tbl>
      <w:tblPr>
        <w:tblW w:w="9443" w:type="dxa"/>
        <w:tblLook w:val="04A0" w:firstRow="1" w:lastRow="0" w:firstColumn="1" w:lastColumn="0" w:noHBand="0" w:noVBand="1"/>
      </w:tblPr>
      <w:tblGrid>
        <w:gridCol w:w="1518"/>
        <w:gridCol w:w="2345"/>
        <w:gridCol w:w="1860"/>
        <w:gridCol w:w="1860"/>
        <w:gridCol w:w="1860"/>
      </w:tblGrid>
      <w:tr w:rsidR="003D6457" w:rsidRPr="00953F68" w14:paraId="36BF1DDC" w14:textId="77777777" w:rsidTr="00506735">
        <w:trPr>
          <w:trHeight w:val="272"/>
        </w:trPr>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643FC"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year</w:t>
            </w:r>
          </w:p>
        </w:tc>
        <w:tc>
          <w:tcPr>
            <w:tcW w:w="2345" w:type="dxa"/>
            <w:tcBorders>
              <w:top w:val="single" w:sz="4" w:space="0" w:color="auto"/>
              <w:left w:val="nil"/>
              <w:bottom w:val="single" w:sz="4" w:space="0" w:color="auto"/>
              <w:right w:val="single" w:sz="4" w:space="0" w:color="auto"/>
            </w:tcBorders>
            <w:shd w:val="clear" w:color="auto" w:fill="auto"/>
            <w:noWrap/>
            <w:vAlign w:val="bottom"/>
            <w:hideMark/>
          </w:tcPr>
          <w:p w14:paraId="298AFF2D" w14:textId="77777777" w:rsidR="003D6457" w:rsidRPr="00953F68" w:rsidRDefault="00506735"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A</w:t>
            </w:r>
            <w:r w:rsidR="003D6457" w:rsidRPr="00953F68">
              <w:rPr>
                <w:rFonts w:ascii="Times New Roman" w:eastAsia="Times New Roman" w:hAnsi="Times New Roman" w:cs="Times New Roman"/>
                <w:b/>
                <w:bCs/>
                <w:color w:val="000000"/>
                <w:kern w:val="0"/>
                <w:sz w:val="20"/>
                <w:szCs w:val="20"/>
                <w14:ligatures w14:val="none"/>
              </w:rPr>
              <w:t>gricultural sector growth (</w:t>
            </w:r>
            <w:r w:rsidR="00BA38CC">
              <w:rPr>
                <w:rFonts w:ascii="Times New Roman" w:eastAsia="Times New Roman" w:hAnsi="Times New Roman" w:cs="Times New Roman"/>
                <w:b/>
                <w:bCs/>
                <w:color w:val="000000"/>
                <w:kern w:val="0"/>
                <w:sz w:val="20"/>
                <w:szCs w:val="20"/>
                <w14:ligatures w14:val="none"/>
              </w:rPr>
              <w:t xml:space="preserve">ASG, </w:t>
            </w:r>
            <w:r w:rsidR="003D6457" w:rsidRPr="00953F68">
              <w:rPr>
                <w:rFonts w:ascii="Times New Roman" w:eastAsia="Times New Roman" w:hAnsi="Times New Roman" w:cs="Times New Roman"/>
                <w:b/>
                <w:bCs/>
                <w:color w:val="000000"/>
                <w:kern w:val="0"/>
                <w:sz w:val="20"/>
                <w:szCs w:val="20"/>
                <w14:ligatures w14:val="none"/>
              </w:rPr>
              <w:t>% contributions to GDP)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46C3916"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All share index (ASI)</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6D6F5BB"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 xml:space="preserve">Nigerian stock exchange Equities </w:t>
            </w:r>
            <w:r w:rsidR="00BA38CC" w:rsidRPr="00953F68">
              <w:rPr>
                <w:rFonts w:ascii="Times New Roman" w:eastAsia="Times New Roman" w:hAnsi="Times New Roman" w:cs="Times New Roman"/>
                <w:b/>
                <w:bCs/>
                <w:color w:val="000000"/>
                <w:kern w:val="0"/>
                <w:sz w:val="20"/>
                <w:szCs w:val="20"/>
                <w14:ligatures w14:val="none"/>
              </w:rPr>
              <w:t>only (</w:t>
            </w:r>
            <w:r w:rsidR="00BA38CC">
              <w:rPr>
                <w:rFonts w:ascii="Times New Roman" w:eastAsia="Times New Roman" w:hAnsi="Times New Roman" w:cs="Times New Roman"/>
                <w:b/>
                <w:bCs/>
                <w:color w:val="000000"/>
                <w:kern w:val="0"/>
                <w:sz w:val="20"/>
                <w:szCs w:val="20"/>
                <w14:ligatures w14:val="none"/>
              </w:rPr>
              <w:t>EQU</w:t>
            </w:r>
            <w:r w:rsidRPr="00953F68">
              <w:rPr>
                <w:rFonts w:ascii="Times New Roman" w:eastAsia="Times New Roman" w:hAnsi="Times New Roman" w:cs="Times New Roman"/>
                <w:b/>
                <w:bCs/>
                <w:color w:val="000000"/>
                <w:kern w:val="0"/>
                <w:sz w:val="20"/>
                <w:szCs w:val="20"/>
                <w14:ligatures w14:val="none"/>
              </w:rPr>
              <w:t>, ₦' Billion)</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0F9DE0A0"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Corporate Bonds  (CB, ₦' Billion)</w:t>
            </w:r>
          </w:p>
        </w:tc>
      </w:tr>
      <w:tr w:rsidR="003D6457" w:rsidRPr="00953F68" w14:paraId="5ED92A0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CE9628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1986</w:t>
            </w:r>
          </w:p>
        </w:tc>
        <w:tc>
          <w:tcPr>
            <w:tcW w:w="2345" w:type="dxa"/>
            <w:tcBorders>
              <w:top w:val="nil"/>
              <w:left w:val="nil"/>
              <w:bottom w:val="single" w:sz="4" w:space="0" w:color="auto"/>
              <w:right w:val="single" w:sz="4" w:space="0" w:color="auto"/>
            </w:tcBorders>
            <w:shd w:val="clear" w:color="auto" w:fill="auto"/>
            <w:noWrap/>
            <w:vAlign w:val="bottom"/>
            <w:hideMark/>
          </w:tcPr>
          <w:p w14:paraId="0076AF1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18.200</w:t>
            </w:r>
          </w:p>
        </w:tc>
        <w:tc>
          <w:tcPr>
            <w:tcW w:w="1860" w:type="dxa"/>
            <w:tcBorders>
              <w:top w:val="nil"/>
              <w:left w:val="nil"/>
              <w:bottom w:val="single" w:sz="4" w:space="0" w:color="auto"/>
              <w:right w:val="single" w:sz="4" w:space="0" w:color="auto"/>
            </w:tcBorders>
            <w:shd w:val="clear" w:color="auto" w:fill="auto"/>
            <w:noWrap/>
            <w:vAlign w:val="bottom"/>
            <w:hideMark/>
          </w:tcPr>
          <w:p w14:paraId="6426CB9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163.80</w:t>
            </w:r>
          </w:p>
        </w:tc>
        <w:tc>
          <w:tcPr>
            <w:tcW w:w="1860" w:type="dxa"/>
            <w:tcBorders>
              <w:top w:val="nil"/>
              <w:left w:val="nil"/>
              <w:bottom w:val="single" w:sz="4" w:space="0" w:color="auto"/>
              <w:right w:val="single" w:sz="4" w:space="0" w:color="auto"/>
            </w:tcBorders>
            <w:shd w:val="clear" w:color="auto" w:fill="auto"/>
            <w:noWrap/>
            <w:vAlign w:val="bottom"/>
            <w:hideMark/>
          </w:tcPr>
          <w:p w14:paraId="3F5DEE7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7.09</w:t>
            </w:r>
          </w:p>
        </w:tc>
        <w:tc>
          <w:tcPr>
            <w:tcW w:w="1860" w:type="dxa"/>
            <w:tcBorders>
              <w:top w:val="nil"/>
              <w:left w:val="nil"/>
              <w:bottom w:val="single" w:sz="4" w:space="0" w:color="auto"/>
              <w:right w:val="single" w:sz="4" w:space="0" w:color="auto"/>
            </w:tcBorders>
            <w:shd w:val="clear" w:color="auto" w:fill="auto"/>
            <w:noWrap/>
            <w:vAlign w:val="bottom"/>
            <w:hideMark/>
          </w:tcPr>
          <w:p w14:paraId="119366B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0.40</w:t>
            </w:r>
          </w:p>
        </w:tc>
      </w:tr>
      <w:tr w:rsidR="003D6457" w:rsidRPr="00953F68" w14:paraId="0D3C9CC5"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C2DAEA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1987</w:t>
            </w:r>
          </w:p>
        </w:tc>
        <w:tc>
          <w:tcPr>
            <w:tcW w:w="2345" w:type="dxa"/>
            <w:tcBorders>
              <w:top w:val="nil"/>
              <w:left w:val="nil"/>
              <w:bottom w:val="single" w:sz="4" w:space="0" w:color="auto"/>
              <w:right w:val="single" w:sz="4" w:space="0" w:color="auto"/>
            </w:tcBorders>
            <w:shd w:val="clear" w:color="auto" w:fill="auto"/>
            <w:noWrap/>
            <w:vAlign w:val="bottom"/>
            <w:hideMark/>
          </w:tcPr>
          <w:p w14:paraId="0F90FB6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20.757</w:t>
            </w:r>
          </w:p>
        </w:tc>
        <w:tc>
          <w:tcPr>
            <w:tcW w:w="1860" w:type="dxa"/>
            <w:tcBorders>
              <w:top w:val="nil"/>
              <w:left w:val="nil"/>
              <w:bottom w:val="single" w:sz="4" w:space="0" w:color="auto"/>
              <w:right w:val="single" w:sz="4" w:space="0" w:color="auto"/>
            </w:tcBorders>
            <w:shd w:val="clear" w:color="auto" w:fill="auto"/>
            <w:noWrap/>
            <w:vAlign w:val="bottom"/>
            <w:hideMark/>
          </w:tcPr>
          <w:p w14:paraId="480A737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190.90</w:t>
            </w:r>
          </w:p>
        </w:tc>
        <w:tc>
          <w:tcPr>
            <w:tcW w:w="1860" w:type="dxa"/>
            <w:tcBorders>
              <w:top w:val="nil"/>
              <w:left w:val="nil"/>
              <w:bottom w:val="single" w:sz="4" w:space="0" w:color="auto"/>
              <w:right w:val="single" w:sz="4" w:space="0" w:color="auto"/>
            </w:tcBorders>
            <w:shd w:val="clear" w:color="auto" w:fill="auto"/>
            <w:noWrap/>
            <w:vAlign w:val="bottom"/>
            <w:hideMark/>
          </w:tcPr>
          <w:p w14:paraId="53FD7C0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8.26</w:t>
            </w:r>
          </w:p>
        </w:tc>
        <w:tc>
          <w:tcPr>
            <w:tcW w:w="1860" w:type="dxa"/>
            <w:tcBorders>
              <w:top w:val="nil"/>
              <w:left w:val="nil"/>
              <w:bottom w:val="single" w:sz="4" w:space="0" w:color="auto"/>
              <w:right w:val="single" w:sz="4" w:space="0" w:color="auto"/>
            </w:tcBorders>
            <w:shd w:val="clear" w:color="auto" w:fill="auto"/>
            <w:noWrap/>
            <w:vAlign w:val="bottom"/>
            <w:hideMark/>
          </w:tcPr>
          <w:p w14:paraId="3E8B9E1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0.00</w:t>
            </w:r>
          </w:p>
        </w:tc>
      </w:tr>
      <w:tr w:rsidR="003D6457" w:rsidRPr="00953F68" w14:paraId="325462F5"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956DED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1988</w:t>
            </w:r>
          </w:p>
        </w:tc>
        <w:tc>
          <w:tcPr>
            <w:tcW w:w="2345" w:type="dxa"/>
            <w:tcBorders>
              <w:top w:val="nil"/>
              <w:left w:val="nil"/>
              <w:bottom w:val="single" w:sz="4" w:space="0" w:color="auto"/>
              <w:right w:val="single" w:sz="4" w:space="0" w:color="auto"/>
            </w:tcBorders>
            <w:shd w:val="clear" w:color="auto" w:fill="auto"/>
            <w:noWrap/>
            <w:vAlign w:val="bottom"/>
            <w:hideMark/>
          </w:tcPr>
          <w:p w14:paraId="44AF136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23.605</w:t>
            </w:r>
          </w:p>
        </w:tc>
        <w:tc>
          <w:tcPr>
            <w:tcW w:w="1860" w:type="dxa"/>
            <w:tcBorders>
              <w:top w:val="nil"/>
              <w:left w:val="nil"/>
              <w:bottom w:val="single" w:sz="4" w:space="0" w:color="auto"/>
              <w:right w:val="single" w:sz="4" w:space="0" w:color="auto"/>
            </w:tcBorders>
            <w:shd w:val="clear" w:color="auto" w:fill="auto"/>
            <w:noWrap/>
            <w:vAlign w:val="bottom"/>
            <w:hideMark/>
          </w:tcPr>
          <w:p w14:paraId="0B882C9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233.60</w:t>
            </w:r>
          </w:p>
        </w:tc>
        <w:tc>
          <w:tcPr>
            <w:tcW w:w="1860" w:type="dxa"/>
            <w:tcBorders>
              <w:top w:val="nil"/>
              <w:left w:val="nil"/>
              <w:bottom w:val="single" w:sz="4" w:space="0" w:color="auto"/>
              <w:right w:val="single" w:sz="4" w:space="0" w:color="auto"/>
            </w:tcBorders>
            <w:shd w:val="clear" w:color="auto" w:fill="auto"/>
            <w:noWrap/>
            <w:vAlign w:val="bottom"/>
            <w:hideMark/>
          </w:tcPr>
          <w:p w14:paraId="02234B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10.11</w:t>
            </w:r>
          </w:p>
        </w:tc>
        <w:tc>
          <w:tcPr>
            <w:tcW w:w="1860" w:type="dxa"/>
            <w:tcBorders>
              <w:top w:val="nil"/>
              <w:left w:val="nil"/>
              <w:bottom w:val="single" w:sz="4" w:space="0" w:color="auto"/>
              <w:right w:val="single" w:sz="4" w:space="0" w:color="auto"/>
            </w:tcBorders>
            <w:shd w:val="clear" w:color="auto" w:fill="auto"/>
            <w:noWrap/>
            <w:vAlign w:val="bottom"/>
            <w:hideMark/>
          </w:tcPr>
          <w:p w14:paraId="1F26E60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0.40</w:t>
            </w:r>
          </w:p>
        </w:tc>
      </w:tr>
      <w:tr w:rsidR="003D6457" w:rsidRPr="00953F68" w14:paraId="182B2DE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A65208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1989</w:t>
            </w:r>
          </w:p>
        </w:tc>
        <w:tc>
          <w:tcPr>
            <w:tcW w:w="2345" w:type="dxa"/>
            <w:tcBorders>
              <w:top w:val="nil"/>
              <w:left w:val="nil"/>
              <w:bottom w:val="single" w:sz="4" w:space="0" w:color="auto"/>
              <w:right w:val="single" w:sz="4" w:space="0" w:color="auto"/>
            </w:tcBorders>
            <w:shd w:val="clear" w:color="auto" w:fill="auto"/>
            <w:noWrap/>
            <w:vAlign w:val="bottom"/>
            <w:hideMark/>
          </w:tcPr>
          <w:p w14:paraId="449CC3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21.488</w:t>
            </w:r>
          </w:p>
        </w:tc>
        <w:tc>
          <w:tcPr>
            <w:tcW w:w="1860" w:type="dxa"/>
            <w:tcBorders>
              <w:top w:val="nil"/>
              <w:left w:val="nil"/>
              <w:bottom w:val="single" w:sz="4" w:space="0" w:color="auto"/>
              <w:right w:val="single" w:sz="4" w:space="0" w:color="auto"/>
            </w:tcBorders>
            <w:shd w:val="clear" w:color="auto" w:fill="auto"/>
            <w:noWrap/>
            <w:vAlign w:val="bottom"/>
            <w:hideMark/>
          </w:tcPr>
          <w:p w14:paraId="4D17938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325.30</w:t>
            </w:r>
          </w:p>
        </w:tc>
        <w:tc>
          <w:tcPr>
            <w:tcW w:w="1860" w:type="dxa"/>
            <w:tcBorders>
              <w:top w:val="nil"/>
              <w:left w:val="nil"/>
              <w:bottom w:val="single" w:sz="4" w:space="0" w:color="auto"/>
              <w:right w:val="single" w:sz="4" w:space="0" w:color="auto"/>
            </w:tcBorders>
            <w:shd w:val="clear" w:color="auto" w:fill="auto"/>
            <w:noWrap/>
            <w:vAlign w:val="bottom"/>
            <w:hideMark/>
          </w:tcPr>
          <w:p w14:paraId="1C8495D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14.08</w:t>
            </w:r>
          </w:p>
        </w:tc>
        <w:tc>
          <w:tcPr>
            <w:tcW w:w="1860" w:type="dxa"/>
            <w:tcBorders>
              <w:top w:val="nil"/>
              <w:left w:val="nil"/>
              <w:bottom w:val="single" w:sz="4" w:space="0" w:color="auto"/>
              <w:right w:val="single" w:sz="4" w:space="0" w:color="auto"/>
            </w:tcBorders>
            <w:shd w:val="clear" w:color="auto" w:fill="auto"/>
            <w:noWrap/>
            <w:vAlign w:val="bottom"/>
            <w:hideMark/>
          </w:tcPr>
          <w:p w14:paraId="2575181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0.60</w:t>
            </w:r>
          </w:p>
        </w:tc>
      </w:tr>
      <w:tr w:rsidR="003D6457" w:rsidRPr="00953F68" w14:paraId="5A5A36D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B8C220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1990</w:t>
            </w:r>
          </w:p>
        </w:tc>
        <w:tc>
          <w:tcPr>
            <w:tcW w:w="2345" w:type="dxa"/>
            <w:tcBorders>
              <w:top w:val="nil"/>
              <w:left w:val="nil"/>
              <w:bottom w:val="single" w:sz="4" w:space="0" w:color="auto"/>
              <w:right w:val="single" w:sz="4" w:space="0" w:color="auto"/>
            </w:tcBorders>
            <w:shd w:val="clear" w:color="auto" w:fill="auto"/>
            <w:noWrap/>
            <w:vAlign w:val="bottom"/>
            <w:hideMark/>
          </w:tcPr>
          <w:p w14:paraId="5A0221B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21.771</w:t>
            </w:r>
          </w:p>
        </w:tc>
        <w:tc>
          <w:tcPr>
            <w:tcW w:w="1860" w:type="dxa"/>
            <w:tcBorders>
              <w:top w:val="nil"/>
              <w:left w:val="nil"/>
              <w:bottom w:val="single" w:sz="4" w:space="0" w:color="auto"/>
              <w:right w:val="single" w:sz="4" w:space="0" w:color="auto"/>
            </w:tcBorders>
            <w:shd w:val="clear" w:color="auto" w:fill="auto"/>
            <w:noWrap/>
            <w:vAlign w:val="bottom"/>
            <w:hideMark/>
          </w:tcPr>
          <w:p w14:paraId="1ED5162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513.80</w:t>
            </w:r>
          </w:p>
        </w:tc>
        <w:tc>
          <w:tcPr>
            <w:tcW w:w="1860" w:type="dxa"/>
            <w:tcBorders>
              <w:top w:val="nil"/>
              <w:left w:val="nil"/>
              <w:bottom w:val="single" w:sz="4" w:space="0" w:color="auto"/>
              <w:right w:val="single" w:sz="4" w:space="0" w:color="auto"/>
            </w:tcBorders>
            <w:shd w:val="clear" w:color="auto" w:fill="auto"/>
            <w:noWrap/>
            <w:vAlign w:val="bottom"/>
            <w:hideMark/>
          </w:tcPr>
          <w:p w14:paraId="6FC0468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22.23</w:t>
            </w:r>
          </w:p>
        </w:tc>
        <w:tc>
          <w:tcPr>
            <w:tcW w:w="1860" w:type="dxa"/>
            <w:tcBorders>
              <w:top w:val="nil"/>
              <w:left w:val="nil"/>
              <w:bottom w:val="single" w:sz="4" w:space="0" w:color="auto"/>
              <w:right w:val="single" w:sz="4" w:space="0" w:color="auto"/>
            </w:tcBorders>
            <w:shd w:val="clear" w:color="auto" w:fill="auto"/>
            <w:noWrap/>
            <w:vAlign w:val="bottom"/>
            <w:hideMark/>
          </w:tcPr>
          <w:p w14:paraId="3E5EEA9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0.80</w:t>
            </w:r>
          </w:p>
        </w:tc>
      </w:tr>
      <w:tr w:rsidR="003D6457" w:rsidRPr="00953F68" w14:paraId="0CE845AE"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1F782D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1991</w:t>
            </w:r>
          </w:p>
        </w:tc>
        <w:tc>
          <w:tcPr>
            <w:tcW w:w="2345" w:type="dxa"/>
            <w:tcBorders>
              <w:top w:val="nil"/>
              <w:left w:val="nil"/>
              <w:bottom w:val="single" w:sz="4" w:space="0" w:color="auto"/>
              <w:right w:val="single" w:sz="4" w:space="0" w:color="auto"/>
            </w:tcBorders>
            <w:shd w:val="clear" w:color="auto" w:fill="auto"/>
            <w:noWrap/>
            <w:vAlign w:val="bottom"/>
            <w:hideMark/>
          </w:tcPr>
          <w:p w14:paraId="1F645C8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21.093</w:t>
            </w:r>
          </w:p>
        </w:tc>
        <w:tc>
          <w:tcPr>
            <w:tcW w:w="1860" w:type="dxa"/>
            <w:tcBorders>
              <w:top w:val="nil"/>
              <w:left w:val="nil"/>
              <w:bottom w:val="single" w:sz="4" w:space="0" w:color="auto"/>
              <w:right w:val="single" w:sz="4" w:space="0" w:color="auto"/>
            </w:tcBorders>
            <w:shd w:val="clear" w:color="auto" w:fill="auto"/>
            <w:noWrap/>
            <w:vAlign w:val="bottom"/>
            <w:hideMark/>
          </w:tcPr>
          <w:p w14:paraId="683EBE1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783.00</w:t>
            </w:r>
          </w:p>
        </w:tc>
        <w:tc>
          <w:tcPr>
            <w:tcW w:w="1860" w:type="dxa"/>
            <w:tcBorders>
              <w:top w:val="nil"/>
              <w:left w:val="nil"/>
              <w:bottom w:val="single" w:sz="4" w:space="0" w:color="auto"/>
              <w:right w:val="single" w:sz="4" w:space="0" w:color="auto"/>
            </w:tcBorders>
            <w:shd w:val="clear" w:color="auto" w:fill="auto"/>
            <w:noWrap/>
            <w:vAlign w:val="bottom"/>
            <w:hideMark/>
          </w:tcPr>
          <w:p w14:paraId="4A0FA61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33.88</w:t>
            </w:r>
          </w:p>
        </w:tc>
        <w:tc>
          <w:tcPr>
            <w:tcW w:w="1860" w:type="dxa"/>
            <w:tcBorders>
              <w:top w:val="nil"/>
              <w:left w:val="nil"/>
              <w:bottom w:val="single" w:sz="4" w:space="0" w:color="auto"/>
              <w:right w:val="single" w:sz="4" w:space="0" w:color="auto"/>
            </w:tcBorders>
            <w:shd w:val="clear" w:color="auto" w:fill="auto"/>
            <w:noWrap/>
            <w:vAlign w:val="bottom"/>
            <w:hideMark/>
          </w:tcPr>
          <w:p w14:paraId="556488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1.40</w:t>
            </w:r>
          </w:p>
        </w:tc>
      </w:tr>
      <w:tr w:rsidR="003D6457" w:rsidRPr="00953F68" w14:paraId="26D9E34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5C5C9A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1992</w:t>
            </w:r>
          </w:p>
        </w:tc>
        <w:tc>
          <w:tcPr>
            <w:tcW w:w="2345" w:type="dxa"/>
            <w:tcBorders>
              <w:top w:val="nil"/>
              <w:left w:val="nil"/>
              <w:bottom w:val="single" w:sz="4" w:space="0" w:color="auto"/>
              <w:right w:val="single" w:sz="4" w:space="0" w:color="auto"/>
            </w:tcBorders>
            <w:shd w:val="clear" w:color="auto" w:fill="auto"/>
            <w:noWrap/>
            <w:vAlign w:val="bottom"/>
            <w:hideMark/>
          </w:tcPr>
          <w:p w14:paraId="4FD6C4C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20.523</w:t>
            </w:r>
          </w:p>
        </w:tc>
        <w:tc>
          <w:tcPr>
            <w:tcW w:w="1860" w:type="dxa"/>
            <w:tcBorders>
              <w:top w:val="nil"/>
              <w:left w:val="nil"/>
              <w:bottom w:val="single" w:sz="4" w:space="0" w:color="auto"/>
              <w:right w:val="single" w:sz="4" w:space="0" w:color="auto"/>
            </w:tcBorders>
            <w:shd w:val="clear" w:color="auto" w:fill="auto"/>
            <w:noWrap/>
            <w:vAlign w:val="bottom"/>
            <w:hideMark/>
          </w:tcPr>
          <w:p w14:paraId="7D487C8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1,107.60</w:t>
            </w:r>
          </w:p>
        </w:tc>
        <w:tc>
          <w:tcPr>
            <w:tcW w:w="1860" w:type="dxa"/>
            <w:tcBorders>
              <w:top w:val="nil"/>
              <w:left w:val="nil"/>
              <w:bottom w:val="single" w:sz="4" w:space="0" w:color="auto"/>
              <w:right w:val="single" w:sz="4" w:space="0" w:color="auto"/>
            </w:tcBorders>
            <w:shd w:val="clear" w:color="auto" w:fill="auto"/>
            <w:noWrap/>
            <w:vAlign w:val="bottom"/>
            <w:hideMark/>
          </w:tcPr>
          <w:p w14:paraId="60DD5C1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47.93</w:t>
            </w:r>
          </w:p>
        </w:tc>
        <w:tc>
          <w:tcPr>
            <w:tcW w:w="1860" w:type="dxa"/>
            <w:tcBorders>
              <w:top w:val="nil"/>
              <w:left w:val="nil"/>
              <w:bottom w:val="single" w:sz="4" w:space="0" w:color="auto"/>
              <w:right w:val="single" w:sz="4" w:space="0" w:color="auto"/>
            </w:tcBorders>
            <w:shd w:val="clear" w:color="auto" w:fill="auto"/>
            <w:noWrap/>
            <w:vAlign w:val="bottom"/>
            <w:hideMark/>
          </w:tcPr>
          <w:p w14:paraId="2723E37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1.80</w:t>
            </w:r>
          </w:p>
        </w:tc>
      </w:tr>
      <w:tr w:rsidR="003D6457" w:rsidRPr="00953F68" w14:paraId="74309661"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F2257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1993</w:t>
            </w:r>
          </w:p>
        </w:tc>
        <w:tc>
          <w:tcPr>
            <w:tcW w:w="2345" w:type="dxa"/>
            <w:tcBorders>
              <w:top w:val="nil"/>
              <w:left w:val="nil"/>
              <w:bottom w:val="single" w:sz="4" w:space="0" w:color="auto"/>
              <w:right w:val="single" w:sz="4" w:space="0" w:color="auto"/>
            </w:tcBorders>
            <w:shd w:val="clear" w:color="auto" w:fill="auto"/>
            <w:noWrap/>
            <w:vAlign w:val="bottom"/>
            <w:hideMark/>
          </w:tcPr>
          <w:p w14:paraId="57932E6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23.725</w:t>
            </w:r>
          </w:p>
        </w:tc>
        <w:tc>
          <w:tcPr>
            <w:tcW w:w="1860" w:type="dxa"/>
            <w:tcBorders>
              <w:top w:val="nil"/>
              <w:left w:val="nil"/>
              <w:bottom w:val="single" w:sz="4" w:space="0" w:color="auto"/>
              <w:right w:val="single" w:sz="4" w:space="0" w:color="auto"/>
            </w:tcBorders>
            <w:shd w:val="clear" w:color="auto" w:fill="auto"/>
            <w:noWrap/>
            <w:vAlign w:val="bottom"/>
            <w:hideMark/>
          </w:tcPr>
          <w:p w14:paraId="4468E54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1,543.80</w:t>
            </w:r>
          </w:p>
        </w:tc>
        <w:tc>
          <w:tcPr>
            <w:tcW w:w="1860" w:type="dxa"/>
            <w:tcBorders>
              <w:top w:val="nil"/>
              <w:left w:val="nil"/>
              <w:bottom w:val="single" w:sz="4" w:space="0" w:color="auto"/>
              <w:right w:val="single" w:sz="4" w:space="0" w:color="auto"/>
            </w:tcBorders>
            <w:shd w:val="clear" w:color="auto" w:fill="auto"/>
            <w:noWrap/>
            <w:vAlign w:val="bottom"/>
            <w:hideMark/>
          </w:tcPr>
          <w:p w14:paraId="07310B9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66.81</w:t>
            </w:r>
          </w:p>
        </w:tc>
        <w:tc>
          <w:tcPr>
            <w:tcW w:w="1860" w:type="dxa"/>
            <w:tcBorders>
              <w:top w:val="nil"/>
              <w:left w:val="nil"/>
              <w:bottom w:val="single" w:sz="4" w:space="0" w:color="auto"/>
              <w:right w:val="single" w:sz="4" w:space="0" w:color="auto"/>
            </w:tcBorders>
            <w:shd w:val="clear" w:color="auto" w:fill="auto"/>
            <w:noWrap/>
            <w:vAlign w:val="bottom"/>
            <w:hideMark/>
          </w:tcPr>
          <w:p w14:paraId="7F978E0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w:t>
            </w:r>
          </w:p>
        </w:tc>
      </w:tr>
      <w:tr w:rsidR="003D6457" w:rsidRPr="00953F68" w14:paraId="0D198078"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706008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lastRenderedPageBreak/>
              <w:t>1994</w:t>
            </w:r>
          </w:p>
        </w:tc>
        <w:tc>
          <w:tcPr>
            <w:tcW w:w="2345" w:type="dxa"/>
            <w:tcBorders>
              <w:top w:val="nil"/>
              <w:left w:val="nil"/>
              <w:bottom w:val="single" w:sz="4" w:space="0" w:color="auto"/>
              <w:right w:val="single" w:sz="4" w:space="0" w:color="auto"/>
            </w:tcBorders>
            <w:shd w:val="clear" w:color="auto" w:fill="auto"/>
            <w:noWrap/>
            <w:vAlign w:val="bottom"/>
            <w:hideMark/>
          </w:tcPr>
          <w:p w14:paraId="0C4FD7B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25.426</w:t>
            </w:r>
          </w:p>
        </w:tc>
        <w:tc>
          <w:tcPr>
            <w:tcW w:w="1860" w:type="dxa"/>
            <w:tcBorders>
              <w:top w:val="nil"/>
              <w:left w:val="nil"/>
              <w:bottom w:val="single" w:sz="4" w:space="0" w:color="auto"/>
              <w:right w:val="single" w:sz="4" w:space="0" w:color="auto"/>
            </w:tcBorders>
            <w:shd w:val="clear" w:color="auto" w:fill="auto"/>
            <w:noWrap/>
            <w:vAlign w:val="bottom"/>
            <w:hideMark/>
          </w:tcPr>
          <w:p w14:paraId="6E12A38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2,205.00</w:t>
            </w:r>
          </w:p>
        </w:tc>
        <w:tc>
          <w:tcPr>
            <w:tcW w:w="1860" w:type="dxa"/>
            <w:tcBorders>
              <w:top w:val="nil"/>
              <w:left w:val="nil"/>
              <w:bottom w:val="single" w:sz="4" w:space="0" w:color="auto"/>
              <w:right w:val="single" w:sz="4" w:space="0" w:color="auto"/>
            </w:tcBorders>
            <w:shd w:val="clear" w:color="auto" w:fill="auto"/>
            <w:noWrap/>
            <w:vAlign w:val="bottom"/>
            <w:hideMark/>
          </w:tcPr>
          <w:p w14:paraId="5C18400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95.42</w:t>
            </w:r>
          </w:p>
        </w:tc>
        <w:tc>
          <w:tcPr>
            <w:tcW w:w="1860" w:type="dxa"/>
            <w:tcBorders>
              <w:top w:val="nil"/>
              <w:left w:val="nil"/>
              <w:bottom w:val="single" w:sz="4" w:space="0" w:color="auto"/>
              <w:right w:val="single" w:sz="4" w:space="0" w:color="auto"/>
            </w:tcBorders>
            <w:shd w:val="clear" w:color="auto" w:fill="auto"/>
            <w:noWrap/>
            <w:vAlign w:val="bottom"/>
            <w:hideMark/>
          </w:tcPr>
          <w:p w14:paraId="295DC34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w:t>
            </w:r>
          </w:p>
        </w:tc>
      </w:tr>
      <w:tr w:rsidR="003D6457" w:rsidRPr="00953F68" w14:paraId="5AA5066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66230D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1995</w:t>
            </w:r>
          </w:p>
        </w:tc>
        <w:tc>
          <w:tcPr>
            <w:tcW w:w="2345" w:type="dxa"/>
            <w:tcBorders>
              <w:top w:val="nil"/>
              <w:left w:val="nil"/>
              <w:bottom w:val="single" w:sz="4" w:space="0" w:color="auto"/>
              <w:right w:val="single" w:sz="4" w:space="0" w:color="auto"/>
            </w:tcBorders>
            <w:shd w:val="clear" w:color="auto" w:fill="auto"/>
            <w:noWrap/>
            <w:vAlign w:val="bottom"/>
            <w:hideMark/>
          </w:tcPr>
          <w:p w14:paraId="1FF9941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25.742</w:t>
            </w:r>
          </w:p>
        </w:tc>
        <w:tc>
          <w:tcPr>
            <w:tcW w:w="1860" w:type="dxa"/>
            <w:tcBorders>
              <w:top w:val="nil"/>
              <w:left w:val="nil"/>
              <w:bottom w:val="single" w:sz="4" w:space="0" w:color="auto"/>
              <w:right w:val="single" w:sz="4" w:space="0" w:color="auto"/>
            </w:tcBorders>
            <w:shd w:val="clear" w:color="auto" w:fill="auto"/>
            <w:noWrap/>
            <w:vAlign w:val="bottom"/>
            <w:hideMark/>
          </w:tcPr>
          <w:p w14:paraId="44B3B96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5,092.20</w:t>
            </w:r>
          </w:p>
        </w:tc>
        <w:tc>
          <w:tcPr>
            <w:tcW w:w="1860" w:type="dxa"/>
            <w:tcBorders>
              <w:top w:val="nil"/>
              <w:left w:val="nil"/>
              <w:bottom w:val="single" w:sz="4" w:space="0" w:color="auto"/>
              <w:right w:val="single" w:sz="4" w:space="0" w:color="auto"/>
            </w:tcBorders>
            <w:shd w:val="clear" w:color="auto" w:fill="auto"/>
            <w:noWrap/>
            <w:vAlign w:val="bottom"/>
            <w:hideMark/>
          </w:tcPr>
          <w:p w14:paraId="3DDBBBD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220.36</w:t>
            </w:r>
          </w:p>
        </w:tc>
        <w:tc>
          <w:tcPr>
            <w:tcW w:w="1860" w:type="dxa"/>
            <w:tcBorders>
              <w:top w:val="nil"/>
              <w:left w:val="nil"/>
              <w:bottom w:val="single" w:sz="4" w:space="0" w:color="auto"/>
              <w:right w:val="single" w:sz="4" w:space="0" w:color="auto"/>
            </w:tcBorders>
            <w:shd w:val="clear" w:color="auto" w:fill="auto"/>
            <w:noWrap/>
            <w:vAlign w:val="bottom"/>
            <w:hideMark/>
          </w:tcPr>
          <w:p w14:paraId="31C12B4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w:t>
            </w:r>
          </w:p>
        </w:tc>
      </w:tr>
      <w:tr w:rsidR="003D6457" w:rsidRPr="00953F68" w14:paraId="4D827691"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7F444B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1996</w:t>
            </w:r>
          </w:p>
        </w:tc>
        <w:tc>
          <w:tcPr>
            <w:tcW w:w="2345" w:type="dxa"/>
            <w:tcBorders>
              <w:top w:val="nil"/>
              <w:left w:val="nil"/>
              <w:bottom w:val="single" w:sz="4" w:space="0" w:color="auto"/>
              <w:right w:val="single" w:sz="4" w:space="0" w:color="auto"/>
            </w:tcBorders>
            <w:shd w:val="clear" w:color="auto" w:fill="auto"/>
            <w:noWrap/>
            <w:vAlign w:val="bottom"/>
            <w:hideMark/>
          </w:tcPr>
          <w:p w14:paraId="40FCCE0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26.463</w:t>
            </w:r>
          </w:p>
        </w:tc>
        <w:tc>
          <w:tcPr>
            <w:tcW w:w="1860" w:type="dxa"/>
            <w:tcBorders>
              <w:top w:val="nil"/>
              <w:left w:val="nil"/>
              <w:bottom w:val="single" w:sz="4" w:space="0" w:color="auto"/>
              <w:right w:val="single" w:sz="4" w:space="0" w:color="auto"/>
            </w:tcBorders>
            <w:shd w:val="clear" w:color="auto" w:fill="auto"/>
            <w:noWrap/>
            <w:vAlign w:val="bottom"/>
            <w:hideMark/>
          </w:tcPr>
          <w:p w14:paraId="3D7919E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6,992.10</w:t>
            </w:r>
          </w:p>
        </w:tc>
        <w:tc>
          <w:tcPr>
            <w:tcW w:w="1860" w:type="dxa"/>
            <w:tcBorders>
              <w:top w:val="nil"/>
              <w:left w:val="nil"/>
              <w:bottom w:val="single" w:sz="4" w:space="0" w:color="auto"/>
              <w:right w:val="single" w:sz="4" w:space="0" w:color="auto"/>
            </w:tcBorders>
            <w:shd w:val="clear" w:color="auto" w:fill="auto"/>
            <w:noWrap/>
            <w:vAlign w:val="bottom"/>
            <w:hideMark/>
          </w:tcPr>
          <w:p w14:paraId="69E32BD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302.58</w:t>
            </w:r>
          </w:p>
        </w:tc>
        <w:tc>
          <w:tcPr>
            <w:tcW w:w="1860" w:type="dxa"/>
            <w:tcBorders>
              <w:top w:val="nil"/>
              <w:left w:val="nil"/>
              <w:bottom w:val="single" w:sz="4" w:space="0" w:color="auto"/>
              <w:right w:val="single" w:sz="4" w:space="0" w:color="auto"/>
            </w:tcBorders>
            <w:shd w:val="clear" w:color="auto" w:fill="auto"/>
            <w:noWrap/>
            <w:vAlign w:val="bottom"/>
            <w:hideMark/>
          </w:tcPr>
          <w:p w14:paraId="4B17075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3.00</w:t>
            </w:r>
          </w:p>
        </w:tc>
      </w:tr>
      <w:tr w:rsidR="003D6457" w:rsidRPr="00953F68" w14:paraId="652751EA"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10B753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1997</w:t>
            </w:r>
          </w:p>
        </w:tc>
        <w:tc>
          <w:tcPr>
            <w:tcW w:w="2345" w:type="dxa"/>
            <w:tcBorders>
              <w:top w:val="nil"/>
              <w:left w:val="nil"/>
              <w:bottom w:val="single" w:sz="4" w:space="0" w:color="auto"/>
              <w:right w:val="single" w:sz="4" w:space="0" w:color="auto"/>
            </w:tcBorders>
            <w:shd w:val="clear" w:color="auto" w:fill="auto"/>
            <w:noWrap/>
            <w:vAlign w:val="bottom"/>
            <w:hideMark/>
          </w:tcPr>
          <w:p w14:paraId="4F9C7EF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27.694</w:t>
            </w:r>
          </w:p>
        </w:tc>
        <w:tc>
          <w:tcPr>
            <w:tcW w:w="1860" w:type="dxa"/>
            <w:tcBorders>
              <w:top w:val="nil"/>
              <w:left w:val="nil"/>
              <w:bottom w:val="single" w:sz="4" w:space="0" w:color="auto"/>
              <w:right w:val="single" w:sz="4" w:space="0" w:color="auto"/>
            </w:tcBorders>
            <w:shd w:val="clear" w:color="auto" w:fill="auto"/>
            <w:noWrap/>
            <w:vAlign w:val="bottom"/>
            <w:hideMark/>
          </w:tcPr>
          <w:p w14:paraId="41BFCE9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6,440.50</w:t>
            </w:r>
          </w:p>
        </w:tc>
        <w:tc>
          <w:tcPr>
            <w:tcW w:w="1860" w:type="dxa"/>
            <w:tcBorders>
              <w:top w:val="nil"/>
              <w:left w:val="nil"/>
              <w:bottom w:val="single" w:sz="4" w:space="0" w:color="auto"/>
              <w:right w:val="single" w:sz="4" w:space="0" w:color="auto"/>
            </w:tcBorders>
            <w:shd w:val="clear" w:color="auto" w:fill="auto"/>
            <w:noWrap/>
            <w:vAlign w:val="bottom"/>
            <w:hideMark/>
          </w:tcPr>
          <w:p w14:paraId="7664DF7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278.71</w:t>
            </w:r>
          </w:p>
        </w:tc>
        <w:tc>
          <w:tcPr>
            <w:tcW w:w="1860" w:type="dxa"/>
            <w:tcBorders>
              <w:top w:val="nil"/>
              <w:left w:val="nil"/>
              <w:bottom w:val="single" w:sz="4" w:space="0" w:color="auto"/>
              <w:right w:val="single" w:sz="4" w:space="0" w:color="auto"/>
            </w:tcBorders>
            <w:shd w:val="clear" w:color="auto" w:fill="auto"/>
            <w:noWrap/>
            <w:vAlign w:val="bottom"/>
            <w:hideMark/>
          </w:tcPr>
          <w:p w14:paraId="16DE31C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2.80</w:t>
            </w:r>
          </w:p>
        </w:tc>
      </w:tr>
      <w:tr w:rsidR="003D6457" w:rsidRPr="00953F68" w14:paraId="2A7F1C02"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07E5C9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1998</w:t>
            </w:r>
          </w:p>
        </w:tc>
        <w:tc>
          <w:tcPr>
            <w:tcW w:w="2345" w:type="dxa"/>
            <w:tcBorders>
              <w:top w:val="nil"/>
              <w:left w:val="nil"/>
              <w:bottom w:val="single" w:sz="4" w:space="0" w:color="auto"/>
              <w:right w:val="single" w:sz="4" w:space="0" w:color="auto"/>
            </w:tcBorders>
            <w:shd w:val="clear" w:color="auto" w:fill="auto"/>
            <w:noWrap/>
            <w:vAlign w:val="bottom"/>
            <w:hideMark/>
          </w:tcPr>
          <w:p w14:paraId="7AB2095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28.193</w:t>
            </w:r>
          </w:p>
        </w:tc>
        <w:tc>
          <w:tcPr>
            <w:tcW w:w="1860" w:type="dxa"/>
            <w:tcBorders>
              <w:top w:val="nil"/>
              <w:left w:val="nil"/>
              <w:bottom w:val="single" w:sz="4" w:space="0" w:color="auto"/>
              <w:right w:val="single" w:sz="4" w:space="0" w:color="auto"/>
            </w:tcBorders>
            <w:shd w:val="clear" w:color="auto" w:fill="auto"/>
            <w:noWrap/>
            <w:vAlign w:val="bottom"/>
            <w:hideMark/>
          </w:tcPr>
          <w:p w14:paraId="1B1DCA5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5,672.70</w:t>
            </w:r>
          </w:p>
        </w:tc>
        <w:tc>
          <w:tcPr>
            <w:tcW w:w="1860" w:type="dxa"/>
            <w:tcBorders>
              <w:top w:val="nil"/>
              <w:left w:val="nil"/>
              <w:bottom w:val="single" w:sz="4" w:space="0" w:color="auto"/>
              <w:right w:val="single" w:sz="4" w:space="0" w:color="auto"/>
            </w:tcBorders>
            <w:shd w:val="clear" w:color="auto" w:fill="auto"/>
            <w:noWrap/>
            <w:vAlign w:val="bottom"/>
            <w:hideMark/>
          </w:tcPr>
          <w:p w14:paraId="60E9379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256.90</w:t>
            </w:r>
          </w:p>
        </w:tc>
        <w:tc>
          <w:tcPr>
            <w:tcW w:w="1860" w:type="dxa"/>
            <w:tcBorders>
              <w:top w:val="nil"/>
              <w:left w:val="nil"/>
              <w:bottom w:val="single" w:sz="4" w:space="0" w:color="auto"/>
              <w:right w:val="single" w:sz="4" w:space="0" w:color="auto"/>
            </w:tcBorders>
            <w:shd w:val="clear" w:color="auto" w:fill="auto"/>
            <w:noWrap/>
            <w:vAlign w:val="bottom"/>
            <w:hideMark/>
          </w:tcPr>
          <w:p w14:paraId="6E07561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3.10</w:t>
            </w:r>
          </w:p>
        </w:tc>
      </w:tr>
      <w:tr w:rsidR="003D6457" w:rsidRPr="00953F68" w14:paraId="18DA8080"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962363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1999</w:t>
            </w:r>
          </w:p>
        </w:tc>
        <w:tc>
          <w:tcPr>
            <w:tcW w:w="2345" w:type="dxa"/>
            <w:tcBorders>
              <w:top w:val="nil"/>
              <w:left w:val="nil"/>
              <w:bottom w:val="single" w:sz="4" w:space="0" w:color="auto"/>
              <w:right w:val="single" w:sz="4" w:space="0" w:color="auto"/>
            </w:tcBorders>
            <w:shd w:val="clear" w:color="auto" w:fill="auto"/>
            <w:noWrap/>
            <w:vAlign w:val="bottom"/>
            <w:hideMark/>
          </w:tcPr>
          <w:p w14:paraId="77C7C73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26.297</w:t>
            </w:r>
          </w:p>
        </w:tc>
        <w:tc>
          <w:tcPr>
            <w:tcW w:w="1860" w:type="dxa"/>
            <w:tcBorders>
              <w:top w:val="nil"/>
              <w:left w:val="nil"/>
              <w:bottom w:val="single" w:sz="4" w:space="0" w:color="auto"/>
              <w:right w:val="single" w:sz="4" w:space="0" w:color="auto"/>
            </w:tcBorders>
            <w:shd w:val="clear" w:color="auto" w:fill="auto"/>
            <w:noWrap/>
            <w:vAlign w:val="bottom"/>
            <w:hideMark/>
          </w:tcPr>
          <w:p w14:paraId="4633130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5,266.40</w:t>
            </w:r>
          </w:p>
        </w:tc>
        <w:tc>
          <w:tcPr>
            <w:tcW w:w="1860" w:type="dxa"/>
            <w:tcBorders>
              <w:top w:val="nil"/>
              <w:left w:val="nil"/>
              <w:bottom w:val="single" w:sz="4" w:space="0" w:color="auto"/>
              <w:right w:val="single" w:sz="4" w:space="0" w:color="auto"/>
            </w:tcBorders>
            <w:shd w:val="clear" w:color="auto" w:fill="auto"/>
            <w:noWrap/>
            <w:vAlign w:val="bottom"/>
            <w:hideMark/>
          </w:tcPr>
          <w:p w14:paraId="306EB3D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294.10</w:t>
            </w:r>
          </w:p>
        </w:tc>
        <w:tc>
          <w:tcPr>
            <w:tcW w:w="1860" w:type="dxa"/>
            <w:tcBorders>
              <w:top w:val="nil"/>
              <w:left w:val="nil"/>
              <w:bottom w:val="single" w:sz="4" w:space="0" w:color="auto"/>
              <w:right w:val="single" w:sz="4" w:space="0" w:color="auto"/>
            </w:tcBorders>
            <w:shd w:val="clear" w:color="auto" w:fill="auto"/>
            <w:noWrap/>
            <w:vAlign w:val="bottom"/>
            <w:hideMark/>
          </w:tcPr>
          <w:p w14:paraId="21F6EC7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3.10</w:t>
            </w:r>
          </w:p>
        </w:tc>
      </w:tr>
      <w:tr w:rsidR="003D6457" w:rsidRPr="00953F68" w14:paraId="09AEC92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1807E3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2000</w:t>
            </w:r>
          </w:p>
        </w:tc>
        <w:tc>
          <w:tcPr>
            <w:tcW w:w="2345" w:type="dxa"/>
            <w:tcBorders>
              <w:top w:val="nil"/>
              <w:left w:val="nil"/>
              <w:bottom w:val="single" w:sz="4" w:space="0" w:color="auto"/>
              <w:right w:val="single" w:sz="4" w:space="0" w:color="auto"/>
            </w:tcBorders>
            <w:shd w:val="clear" w:color="auto" w:fill="auto"/>
            <w:noWrap/>
            <w:vAlign w:val="bottom"/>
            <w:hideMark/>
          </w:tcPr>
          <w:p w14:paraId="097734B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21.578</w:t>
            </w:r>
          </w:p>
        </w:tc>
        <w:tc>
          <w:tcPr>
            <w:tcW w:w="1860" w:type="dxa"/>
            <w:tcBorders>
              <w:top w:val="nil"/>
              <w:left w:val="nil"/>
              <w:bottom w:val="single" w:sz="4" w:space="0" w:color="auto"/>
              <w:right w:val="single" w:sz="4" w:space="0" w:color="auto"/>
            </w:tcBorders>
            <w:shd w:val="clear" w:color="auto" w:fill="auto"/>
            <w:noWrap/>
            <w:vAlign w:val="bottom"/>
            <w:hideMark/>
          </w:tcPr>
          <w:p w14:paraId="3D2EFCF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8,111.00</w:t>
            </w:r>
          </w:p>
        </w:tc>
        <w:tc>
          <w:tcPr>
            <w:tcW w:w="1860" w:type="dxa"/>
            <w:tcBorders>
              <w:top w:val="nil"/>
              <w:left w:val="nil"/>
              <w:bottom w:val="single" w:sz="4" w:space="0" w:color="auto"/>
              <w:right w:val="single" w:sz="4" w:space="0" w:color="auto"/>
            </w:tcBorders>
            <w:shd w:val="clear" w:color="auto" w:fill="auto"/>
            <w:noWrap/>
            <w:vAlign w:val="bottom"/>
            <w:hideMark/>
          </w:tcPr>
          <w:p w14:paraId="4EAA91E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466.06</w:t>
            </w:r>
          </w:p>
        </w:tc>
        <w:tc>
          <w:tcPr>
            <w:tcW w:w="1860" w:type="dxa"/>
            <w:tcBorders>
              <w:top w:val="nil"/>
              <w:left w:val="nil"/>
              <w:bottom w:val="single" w:sz="4" w:space="0" w:color="auto"/>
              <w:right w:val="single" w:sz="4" w:space="0" w:color="auto"/>
            </w:tcBorders>
            <w:shd w:val="clear" w:color="auto" w:fill="auto"/>
            <w:noWrap/>
            <w:vAlign w:val="bottom"/>
            <w:hideMark/>
          </w:tcPr>
          <w:p w14:paraId="00AD0BE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4.10</w:t>
            </w:r>
          </w:p>
        </w:tc>
      </w:tr>
      <w:tr w:rsidR="003D6457" w:rsidRPr="00953F68" w14:paraId="36E5230D"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168B3E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2001</w:t>
            </w:r>
          </w:p>
        </w:tc>
        <w:tc>
          <w:tcPr>
            <w:tcW w:w="2345" w:type="dxa"/>
            <w:tcBorders>
              <w:top w:val="nil"/>
              <w:left w:val="nil"/>
              <w:bottom w:val="single" w:sz="4" w:space="0" w:color="auto"/>
              <w:right w:val="single" w:sz="4" w:space="0" w:color="auto"/>
            </w:tcBorders>
            <w:shd w:val="clear" w:color="auto" w:fill="auto"/>
            <w:noWrap/>
            <w:vAlign w:val="bottom"/>
            <w:hideMark/>
          </w:tcPr>
          <w:p w14:paraId="78CA106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24.729</w:t>
            </w:r>
          </w:p>
        </w:tc>
        <w:tc>
          <w:tcPr>
            <w:tcW w:w="1860" w:type="dxa"/>
            <w:tcBorders>
              <w:top w:val="nil"/>
              <w:left w:val="nil"/>
              <w:bottom w:val="single" w:sz="4" w:space="0" w:color="auto"/>
              <w:right w:val="single" w:sz="4" w:space="0" w:color="auto"/>
            </w:tcBorders>
            <w:shd w:val="clear" w:color="auto" w:fill="auto"/>
            <w:noWrap/>
            <w:vAlign w:val="bottom"/>
            <w:hideMark/>
          </w:tcPr>
          <w:p w14:paraId="7AE4F89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10,963.10</w:t>
            </w:r>
          </w:p>
        </w:tc>
        <w:tc>
          <w:tcPr>
            <w:tcW w:w="1860" w:type="dxa"/>
            <w:tcBorders>
              <w:top w:val="nil"/>
              <w:left w:val="nil"/>
              <w:bottom w:val="single" w:sz="4" w:space="0" w:color="auto"/>
              <w:right w:val="single" w:sz="4" w:space="0" w:color="auto"/>
            </w:tcBorders>
            <w:shd w:val="clear" w:color="auto" w:fill="auto"/>
            <w:noWrap/>
            <w:vAlign w:val="bottom"/>
            <w:hideMark/>
          </w:tcPr>
          <w:p w14:paraId="3D21393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648.45</w:t>
            </w:r>
          </w:p>
        </w:tc>
        <w:tc>
          <w:tcPr>
            <w:tcW w:w="1860" w:type="dxa"/>
            <w:tcBorders>
              <w:top w:val="nil"/>
              <w:left w:val="nil"/>
              <w:bottom w:val="single" w:sz="4" w:space="0" w:color="auto"/>
              <w:right w:val="single" w:sz="4" w:space="0" w:color="auto"/>
            </w:tcBorders>
            <w:shd w:val="clear" w:color="auto" w:fill="auto"/>
            <w:noWrap/>
            <w:vAlign w:val="bottom"/>
            <w:hideMark/>
          </w:tcPr>
          <w:p w14:paraId="3E9D62D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5.80</w:t>
            </w:r>
          </w:p>
        </w:tc>
      </w:tr>
      <w:tr w:rsidR="003D6457" w:rsidRPr="00953F68" w14:paraId="6F0A90FB"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7E80D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2002</w:t>
            </w:r>
          </w:p>
        </w:tc>
        <w:tc>
          <w:tcPr>
            <w:tcW w:w="2345" w:type="dxa"/>
            <w:tcBorders>
              <w:top w:val="nil"/>
              <w:left w:val="nil"/>
              <w:bottom w:val="single" w:sz="4" w:space="0" w:color="auto"/>
              <w:right w:val="single" w:sz="4" w:space="0" w:color="auto"/>
            </w:tcBorders>
            <w:shd w:val="clear" w:color="auto" w:fill="auto"/>
            <w:noWrap/>
            <w:vAlign w:val="bottom"/>
            <w:hideMark/>
          </w:tcPr>
          <w:p w14:paraId="032281A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37.348</w:t>
            </w:r>
          </w:p>
        </w:tc>
        <w:tc>
          <w:tcPr>
            <w:tcW w:w="1860" w:type="dxa"/>
            <w:tcBorders>
              <w:top w:val="nil"/>
              <w:left w:val="nil"/>
              <w:bottom w:val="single" w:sz="4" w:space="0" w:color="auto"/>
              <w:right w:val="single" w:sz="4" w:space="0" w:color="auto"/>
            </w:tcBorders>
            <w:shd w:val="clear" w:color="auto" w:fill="auto"/>
            <w:noWrap/>
            <w:vAlign w:val="bottom"/>
            <w:hideMark/>
          </w:tcPr>
          <w:p w14:paraId="5DD444D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12,137.70</w:t>
            </w:r>
          </w:p>
        </w:tc>
        <w:tc>
          <w:tcPr>
            <w:tcW w:w="1860" w:type="dxa"/>
            <w:tcBorders>
              <w:top w:val="nil"/>
              <w:left w:val="nil"/>
              <w:bottom w:val="single" w:sz="4" w:space="0" w:color="auto"/>
              <w:right w:val="single" w:sz="4" w:space="0" w:color="auto"/>
            </w:tcBorders>
            <w:shd w:val="clear" w:color="auto" w:fill="auto"/>
            <w:noWrap/>
            <w:vAlign w:val="bottom"/>
            <w:hideMark/>
          </w:tcPr>
          <w:p w14:paraId="3363061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748.70</w:t>
            </w:r>
          </w:p>
        </w:tc>
        <w:tc>
          <w:tcPr>
            <w:tcW w:w="1860" w:type="dxa"/>
            <w:tcBorders>
              <w:top w:val="nil"/>
              <w:left w:val="nil"/>
              <w:bottom w:val="single" w:sz="4" w:space="0" w:color="auto"/>
              <w:right w:val="single" w:sz="4" w:space="0" w:color="auto"/>
            </w:tcBorders>
            <w:shd w:val="clear" w:color="auto" w:fill="auto"/>
            <w:noWrap/>
            <w:vAlign w:val="bottom"/>
            <w:hideMark/>
          </w:tcPr>
          <w:p w14:paraId="78EE74F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3.50</w:t>
            </w:r>
          </w:p>
        </w:tc>
      </w:tr>
      <w:tr w:rsidR="003D6457" w:rsidRPr="00953F68" w14:paraId="5619918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368D84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2003</w:t>
            </w:r>
          </w:p>
        </w:tc>
        <w:tc>
          <w:tcPr>
            <w:tcW w:w="2345" w:type="dxa"/>
            <w:tcBorders>
              <w:top w:val="nil"/>
              <w:left w:val="nil"/>
              <w:bottom w:val="single" w:sz="4" w:space="0" w:color="auto"/>
              <w:right w:val="single" w:sz="4" w:space="0" w:color="auto"/>
            </w:tcBorders>
            <w:shd w:val="clear" w:color="auto" w:fill="auto"/>
            <w:noWrap/>
            <w:vAlign w:val="bottom"/>
            <w:hideMark/>
          </w:tcPr>
          <w:p w14:paraId="683D252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34.177</w:t>
            </w:r>
          </w:p>
        </w:tc>
        <w:tc>
          <w:tcPr>
            <w:tcW w:w="1860" w:type="dxa"/>
            <w:tcBorders>
              <w:top w:val="nil"/>
              <w:left w:val="nil"/>
              <w:bottom w:val="single" w:sz="4" w:space="0" w:color="auto"/>
              <w:right w:val="single" w:sz="4" w:space="0" w:color="auto"/>
            </w:tcBorders>
            <w:shd w:val="clear" w:color="auto" w:fill="auto"/>
            <w:noWrap/>
            <w:vAlign w:val="bottom"/>
            <w:hideMark/>
          </w:tcPr>
          <w:p w14:paraId="0CC8415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20,128.94</w:t>
            </w:r>
          </w:p>
        </w:tc>
        <w:tc>
          <w:tcPr>
            <w:tcW w:w="1860" w:type="dxa"/>
            <w:tcBorders>
              <w:top w:val="nil"/>
              <w:left w:val="nil"/>
              <w:bottom w:val="single" w:sz="4" w:space="0" w:color="auto"/>
              <w:right w:val="single" w:sz="4" w:space="0" w:color="auto"/>
            </w:tcBorders>
            <w:shd w:val="clear" w:color="auto" w:fill="auto"/>
            <w:noWrap/>
            <w:vAlign w:val="bottom"/>
            <w:hideMark/>
          </w:tcPr>
          <w:p w14:paraId="797E473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1,324.90</w:t>
            </w:r>
          </w:p>
        </w:tc>
        <w:tc>
          <w:tcPr>
            <w:tcW w:w="1860" w:type="dxa"/>
            <w:tcBorders>
              <w:top w:val="nil"/>
              <w:left w:val="nil"/>
              <w:bottom w:val="single" w:sz="4" w:space="0" w:color="auto"/>
              <w:right w:val="single" w:sz="4" w:space="0" w:color="auto"/>
            </w:tcBorders>
            <w:shd w:val="clear" w:color="auto" w:fill="auto"/>
            <w:noWrap/>
            <w:vAlign w:val="bottom"/>
            <w:hideMark/>
          </w:tcPr>
          <w:p w14:paraId="7C8003A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8.40</w:t>
            </w:r>
          </w:p>
        </w:tc>
      </w:tr>
      <w:tr w:rsidR="003D6457" w:rsidRPr="00953F68" w14:paraId="52F45469"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DF1FE1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2004</w:t>
            </w:r>
          </w:p>
        </w:tc>
        <w:tc>
          <w:tcPr>
            <w:tcW w:w="2345" w:type="dxa"/>
            <w:tcBorders>
              <w:top w:val="nil"/>
              <w:left w:val="nil"/>
              <w:bottom w:val="single" w:sz="4" w:space="0" w:color="auto"/>
              <w:right w:val="single" w:sz="4" w:space="0" w:color="auto"/>
            </w:tcBorders>
            <w:shd w:val="clear" w:color="auto" w:fill="auto"/>
            <w:noWrap/>
            <w:vAlign w:val="bottom"/>
            <w:hideMark/>
          </w:tcPr>
          <w:p w14:paraId="37AD2B0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27.512</w:t>
            </w:r>
          </w:p>
        </w:tc>
        <w:tc>
          <w:tcPr>
            <w:tcW w:w="1860" w:type="dxa"/>
            <w:tcBorders>
              <w:top w:val="nil"/>
              <w:left w:val="nil"/>
              <w:bottom w:val="single" w:sz="4" w:space="0" w:color="auto"/>
              <w:right w:val="single" w:sz="4" w:space="0" w:color="auto"/>
            </w:tcBorders>
            <w:shd w:val="clear" w:color="auto" w:fill="auto"/>
            <w:noWrap/>
            <w:vAlign w:val="bottom"/>
            <w:hideMark/>
          </w:tcPr>
          <w:p w14:paraId="09582BE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23,844.50</w:t>
            </w:r>
          </w:p>
        </w:tc>
        <w:tc>
          <w:tcPr>
            <w:tcW w:w="1860" w:type="dxa"/>
            <w:tcBorders>
              <w:top w:val="nil"/>
              <w:left w:val="nil"/>
              <w:bottom w:val="single" w:sz="4" w:space="0" w:color="auto"/>
              <w:right w:val="single" w:sz="4" w:space="0" w:color="auto"/>
            </w:tcBorders>
            <w:shd w:val="clear" w:color="auto" w:fill="auto"/>
            <w:noWrap/>
            <w:vAlign w:val="bottom"/>
            <w:hideMark/>
          </w:tcPr>
          <w:p w14:paraId="1699ACB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1,925.94</w:t>
            </w:r>
          </w:p>
        </w:tc>
        <w:tc>
          <w:tcPr>
            <w:tcW w:w="1860" w:type="dxa"/>
            <w:tcBorders>
              <w:top w:val="nil"/>
              <w:left w:val="nil"/>
              <w:bottom w:val="single" w:sz="4" w:space="0" w:color="auto"/>
              <w:right w:val="single" w:sz="4" w:space="0" w:color="auto"/>
            </w:tcBorders>
            <w:shd w:val="clear" w:color="auto" w:fill="auto"/>
            <w:noWrap/>
            <w:vAlign w:val="bottom"/>
            <w:hideMark/>
          </w:tcPr>
          <w:p w14:paraId="2082BF5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7.90</w:t>
            </w:r>
          </w:p>
        </w:tc>
      </w:tr>
      <w:tr w:rsidR="003D6457" w:rsidRPr="00953F68" w14:paraId="6388F252"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25723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2005</w:t>
            </w:r>
          </w:p>
        </w:tc>
        <w:tc>
          <w:tcPr>
            <w:tcW w:w="2345" w:type="dxa"/>
            <w:tcBorders>
              <w:top w:val="nil"/>
              <w:left w:val="nil"/>
              <w:bottom w:val="single" w:sz="4" w:space="0" w:color="auto"/>
              <w:right w:val="single" w:sz="4" w:space="0" w:color="auto"/>
            </w:tcBorders>
            <w:shd w:val="clear" w:color="auto" w:fill="auto"/>
            <w:noWrap/>
            <w:vAlign w:val="bottom"/>
            <w:hideMark/>
          </w:tcPr>
          <w:p w14:paraId="63EB5A7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26.359</w:t>
            </w:r>
          </w:p>
        </w:tc>
        <w:tc>
          <w:tcPr>
            <w:tcW w:w="1860" w:type="dxa"/>
            <w:tcBorders>
              <w:top w:val="nil"/>
              <w:left w:val="nil"/>
              <w:bottom w:val="single" w:sz="4" w:space="0" w:color="auto"/>
              <w:right w:val="single" w:sz="4" w:space="0" w:color="auto"/>
            </w:tcBorders>
            <w:shd w:val="clear" w:color="auto" w:fill="auto"/>
            <w:noWrap/>
            <w:vAlign w:val="bottom"/>
            <w:hideMark/>
          </w:tcPr>
          <w:p w14:paraId="56F9766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24,085.80</w:t>
            </w:r>
          </w:p>
        </w:tc>
        <w:tc>
          <w:tcPr>
            <w:tcW w:w="1860" w:type="dxa"/>
            <w:tcBorders>
              <w:top w:val="nil"/>
              <w:left w:val="nil"/>
              <w:bottom w:val="single" w:sz="4" w:space="0" w:color="auto"/>
              <w:right w:val="single" w:sz="4" w:space="0" w:color="auto"/>
            </w:tcBorders>
            <w:shd w:val="clear" w:color="auto" w:fill="auto"/>
            <w:noWrap/>
            <w:vAlign w:val="bottom"/>
            <w:hideMark/>
          </w:tcPr>
          <w:p w14:paraId="3B3FED4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2,523.49</w:t>
            </w:r>
          </w:p>
        </w:tc>
        <w:tc>
          <w:tcPr>
            <w:tcW w:w="1860" w:type="dxa"/>
            <w:tcBorders>
              <w:top w:val="nil"/>
              <w:left w:val="nil"/>
              <w:bottom w:val="single" w:sz="4" w:space="0" w:color="auto"/>
              <w:right w:val="single" w:sz="4" w:space="0" w:color="auto"/>
            </w:tcBorders>
            <w:shd w:val="clear" w:color="auto" w:fill="auto"/>
            <w:noWrap/>
            <w:vAlign w:val="bottom"/>
            <w:hideMark/>
          </w:tcPr>
          <w:p w14:paraId="1E7E04C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9.83</w:t>
            </w:r>
          </w:p>
        </w:tc>
      </w:tr>
      <w:tr w:rsidR="003D6457" w:rsidRPr="00953F68" w14:paraId="4D965D90"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7C512F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2006</w:t>
            </w:r>
          </w:p>
        </w:tc>
        <w:tc>
          <w:tcPr>
            <w:tcW w:w="2345" w:type="dxa"/>
            <w:tcBorders>
              <w:top w:val="nil"/>
              <w:left w:val="nil"/>
              <w:bottom w:val="single" w:sz="4" w:space="0" w:color="auto"/>
              <w:right w:val="single" w:sz="4" w:space="0" w:color="auto"/>
            </w:tcBorders>
            <w:shd w:val="clear" w:color="auto" w:fill="auto"/>
            <w:noWrap/>
            <w:vAlign w:val="bottom"/>
            <w:hideMark/>
          </w:tcPr>
          <w:p w14:paraId="7E74C1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24.991</w:t>
            </w:r>
          </w:p>
        </w:tc>
        <w:tc>
          <w:tcPr>
            <w:tcW w:w="1860" w:type="dxa"/>
            <w:tcBorders>
              <w:top w:val="nil"/>
              <w:left w:val="nil"/>
              <w:bottom w:val="single" w:sz="4" w:space="0" w:color="auto"/>
              <w:right w:val="single" w:sz="4" w:space="0" w:color="auto"/>
            </w:tcBorders>
            <w:shd w:val="clear" w:color="auto" w:fill="auto"/>
            <w:noWrap/>
            <w:vAlign w:val="bottom"/>
            <w:hideMark/>
          </w:tcPr>
          <w:p w14:paraId="60427B8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33,189.30</w:t>
            </w:r>
          </w:p>
        </w:tc>
        <w:tc>
          <w:tcPr>
            <w:tcW w:w="1860" w:type="dxa"/>
            <w:tcBorders>
              <w:top w:val="nil"/>
              <w:left w:val="nil"/>
              <w:bottom w:val="single" w:sz="4" w:space="0" w:color="auto"/>
              <w:right w:val="single" w:sz="4" w:space="0" w:color="auto"/>
            </w:tcBorders>
            <w:shd w:val="clear" w:color="auto" w:fill="auto"/>
            <w:noWrap/>
            <w:vAlign w:val="bottom"/>
            <w:hideMark/>
          </w:tcPr>
          <w:p w14:paraId="7189862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4,227.13</w:t>
            </w:r>
          </w:p>
        </w:tc>
        <w:tc>
          <w:tcPr>
            <w:tcW w:w="1860" w:type="dxa"/>
            <w:tcBorders>
              <w:top w:val="nil"/>
              <w:left w:val="nil"/>
              <w:bottom w:val="single" w:sz="4" w:space="0" w:color="auto"/>
              <w:right w:val="single" w:sz="4" w:space="0" w:color="auto"/>
            </w:tcBorders>
            <w:shd w:val="clear" w:color="auto" w:fill="auto"/>
            <w:noWrap/>
            <w:vAlign w:val="bottom"/>
            <w:hideMark/>
          </w:tcPr>
          <w:p w14:paraId="43EBF15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3.49</w:t>
            </w:r>
          </w:p>
        </w:tc>
      </w:tr>
      <w:tr w:rsidR="003D6457" w:rsidRPr="00953F68" w14:paraId="15AD7C9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C9037A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2007</w:t>
            </w:r>
          </w:p>
        </w:tc>
        <w:tc>
          <w:tcPr>
            <w:tcW w:w="2345" w:type="dxa"/>
            <w:tcBorders>
              <w:top w:val="nil"/>
              <w:left w:val="nil"/>
              <w:bottom w:val="single" w:sz="4" w:space="0" w:color="auto"/>
              <w:right w:val="single" w:sz="4" w:space="0" w:color="auto"/>
            </w:tcBorders>
            <w:shd w:val="clear" w:color="auto" w:fill="auto"/>
            <w:noWrap/>
            <w:vAlign w:val="bottom"/>
            <w:hideMark/>
          </w:tcPr>
          <w:p w14:paraId="63B4C3E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24.919</w:t>
            </w:r>
          </w:p>
        </w:tc>
        <w:tc>
          <w:tcPr>
            <w:tcW w:w="1860" w:type="dxa"/>
            <w:tcBorders>
              <w:top w:val="nil"/>
              <w:left w:val="nil"/>
              <w:bottom w:val="single" w:sz="4" w:space="0" w:color="auto"/>
              <w:right w:val="single" w:sz="4" w:space="0" w:color="auto"/>
            </w:tcBorders>
            <w:shd w:val="clear" w:color="auto" w:fill="auto"/>
            <w:noWrap/>
            <w:vAlign w:val="bottom"/>
            <w:hideMark/>
          </w:tcPr>
          <w:p w14:paraId="28CD8AB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57,990.20</w:t>
            </w:r>
          </w:p>
        </w:tc>
        <w:tc>
          <w:tcPr>
            <w:tcW w:w="1860" w:type="dxa"/>
            <w:tcBorders>
              <w:top w:val="nil"/>
              <w:left w:val="nil"/>
              <w:bottom w:val="single" w:sz="4" w:space="0" w:color="auto"/>
              <w:right w:val="single" w:sz="4" w:space="0" w:color="auto"/>
            </w:tcBorders>
            <w:shd w:val="clear" w:color="auto" w:fill="auto"/>
            <w:noWrap/>
            <w:vAlign w:val="bottom"/>
            <w:hideMark/>
          </w:tcPr>
          <w:p w14:paraId="704FF8C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10,180.29</w:t>
            </w:r>
          </w:p>
        </w:tc>
        <w:tc>
          <w:tcPr>
            <w:tcW w:w="1860" w:type="dxa"/>
            <w:tcBorders>
              <w:top w:val="nil"/>
              <w:left w:val="nil"/>
              <w:bottom w:val="single" w:sz="4" w:space="0" w:color="auto"/>
              <w:right w:val="single" w:sz="4" w:space="0" w:color="auto"/>
            </w:tcBorders>
            <w:shd w:val="clear" w:color="auto" w:fill="auto"/>
            <w:noWrap/>
            <w:vAlign w:val="bottom"/>
            <w:hideMark/>
          </w:tcPr>
          <w:p w14:paraId="4707EA1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16.98</w:t>
            </w:r>
          </w:p>
        </w:tc>
      </w:tr>
      <w:tr w:rsidR="003D6457" w:rsidRPr="00953F68" w14:paraId="344EBA85"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B921BE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2008</w:t>
            </w:r>
          </w:p>
        </w:tc>
        <w:tc>
          <w:tcPr>
            <w:tcW w:w="2345" w:type="dxa"/>
            <w:tcBorders>
              <w:top w:val="nil"/>
              <w:left w:val="nil"/>
              <w:bottom w:val="single" w:sz="4" w:space="0" w:color="auto"/>
              <w:right w:val="single" w:sz="4" w:space="0" w:color="auto"/>
            </w:tcBorders>
            <w:shd w:val="clear" w:color="auto" w:fill="auto"/>
            <w:noWrap/>
            <w:vAlign w:val="bottom"/>
            <w:hideMark/>
          </w:tcPr>
          <w:p w14:paraId="6F444AD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25.543</w:t>
            </w:r>
          </w:p>
        </w:tc>
        <w:tc>
          <w:tcPr>
            <w:tcW w:w="1860" w:type="dxa"/>
            <w:tcBorders>
              <w:top w:val="nil"/>
              <w:left w:val="nil"/>
              <w:bottom w:val="single" w:sz="4" w:space="0" w:color="auto"/>
              <w:right w:val="single" w:sz="4" w:space="0" w:color="auto"/>
            </w:tcBorders>
            <w:shd w:val="clear" w:color="auto" w:fill="auto"/>
            <w:noWrap/>
            <w:vAlign w:val="bottom"/>
            <w:hideMark/>
          </w:tcPr>
          <w:p w14:paraId="29F844F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31,450.78</w:t>
            </w:r>
          </w:p>
        </w:tc>
        <w:tc>
          <w:tcPr>
            <w:tcW w:w="1860" w:type="dxa"/>
            <w:tcBorders>
              <w:top w:val="nil"/>
              <w:left w:val="nil"/>
              <w:bottom w:val="single" w:sz="4" w:space="0" w:color="auto"/>
              <w:right w:val="single" w:sz="4" w:space="0" w:color="auto"/>
            </w:tcBorders>
            <w:shd w:val="clear" w:color="auto" w:fill="auto"/>
            <w:noWrap/>
            <w:vAlign w:val="bottom"/>
            <w:hideMark/>
          </w:tcPr>
          <w:p w14:paraId="3479B0C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6,957.45</w:t>
            </w:r>
          </w:p>
        </w:tc>
        <w:tc>
          <w:tcPr>
            <w:tcW w:w="1860" w:type="dxa"/>
            <w:tcBorders>
              <w:top w:val="nil"/>
              <w:left w:val="nil"/>
              <w:bottom w:val="single" w:sz="4" w:space="0" w:color="auto"/>
              <w:right w:val="single" w:sz="4" w:space="0" w:color="auto"/>
            </w:tcBorders>
            <w:shd w:val="clear" w:color="auto" w:fill="auto"/>
            <w:noWrap/>
            <w:vAlign w:val="bottom"/>
            <w:hideMark/>
          </w:tcPr>
          <w:p w14:paraId="3B7FE3B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16.41</w:t>
            </w:r>
          </w:p>
        </w:tc>
      </w:tr>
      <w:tr w:rsidR="003D6457" w:rsidRPr="00953F68" w14:paraId="23108FC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B56432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2009</w:t>
            </w:r>
          </w:p>
        </w:tc>
        <w:tc>
          <w:tcPr>
            <w:tcW w:w="2345" w:type="dxa"/>
            <w:tcBorders>
              <w:top w:val="nil"/>
              <w:left w:val="nil"/>
              <w:bottom w:val="single" w:sz="4" w:space="0" w:color="auto"/>
              <w:right w:val="single" w:sz="4" w:space="0" w:color="auto"/>
            </w:tcBorders>
            <w:shd w:val="clear" w:color="auto" w:fill="auto"/>
            <w:noWrap/>
            <w:vAlign w:val="bottom"/>
            <w:hideMark/>
          </w:tcPr>
          <w:p w14:paraId="475B09E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27.028</w:t>
            </w:r>
          </w:p>
        </w:tc>
        <w:tc>
          <w:tcPr>
            <w:tcW w:w="1860" w:type="dxa"/>
            <w:tcBorders>
              <w:top w:val="nil"/>
              <w:left w:val="nil"/>
              <w:bottom w:val="single" w:sz="4" w:space="0" w:color="auto"/>
              <w:right w:val="single" w:sz="4" w:space="0" w:color="auto"/>
            </w:tcBorders>
            <w:shd w:val="clear" w:color="auto" w:fill="auto"/>
            <w:noWrap/>
            <w:vAlign w:val="bottom"/>
            <w:hideMark/>
          </w:tcPr>
          <w:p w14:paraId="0A97E1D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20,827.17</w:t>
            </w:r>
          </w:p>
        </w:tc>
        <w:tc>
          <w:tcPr>
            <w:tcW w:w="1860" w:type="dxa"/>
            <w:tcBorders>
              <w:top w:val="nil"/>
              <w:left w:val="nil"/>
              <w:bottom w:val="single" w:sz="4" w:space="0" w:color="auto"/>
              <w:right w:val="single" w:sz="4" w:space="0" w:color="auto"/>
            </w:tcBorders>
            <w:shd w:val="clear" w:color="auto" w:fill="auto"/>
            <w:noWrap/>
            <w:vAlign w:val="bottom"/>
            <w:hideMark/>
          </w:tcPr>
          <w:p w14:paraId="7FC010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4,989.39</w:t>
            </w:r>
          </w:p>
        </w:tc>
        <w:tc>
          <w:tcPr>
            <w:tcW w:w="1860" w:type="dxa"/>
            <w:tcBorders>
              <w:top w:val="nil"/>
              <w:left w:val="nil"/>
              <w:bottom w:val="single" w:sz="4" w:space="0" w:color="auto"/>
              <w:right w:val="single" w:sz="4" w:space="0" w:color="auto"/>
            </w:tcBorders>
            <w:shd w:val="clear" w:color="auto" w:fill="auto"/>
            <w:noWrap/>
            <w:vAlign w:val="bottom"/>
            <w:hideMark/>
          </w:tcPr>
          <w:p w14:paraId="0637BB1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10.05</w:t>
            </w:r>
          </w:p>
        </w:tc>
      </w:tr>
      <w:tr w:rsidR="003D6457" w:rsidRPr="00953F68" w14:paraId="281F0EBB"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D67E6B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2010</w:t>
            </w:r>
          </w:p>
        </w:tc>
        <w:tc>
          <w:tcPr>
            <w:tcW w:w="2345" w:type="dxa"/>
            <w:tcBorders>
              <w:top w:val="nil"/>
              <w:left w:val="nil"/>
              <w:bottom w:val="single" w:sz="4" w:space="0" w:color="auto"/>
              <w:right w:val="single" w:sz="4" w:space="0" w:color="auto"/>
            </w:tcBorders>
            <w:shd w:val="clear" w:color="auto" w:fill="auto"/>
            <w:noWrap/>
            <w:vAlign w:val="bottom"/>
            <w:hideMark/>
          </w:tcPr>
          <w:p w14:paraId="260B8B4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23.894</w:t>
            </w:r>
          </w:p>
        </w:tc>
        <w:tc>
          <w:tcPr>
            <w:tcW w:w="1860" w:type="dxa"/>
            <w:tcBorders>
              <w:top w:val="nil"/>
              <w:left w:val="nil"/>
              <w:bottom w:val="single" w:sz="4" w:space="0" w:color="auto"/>
              <w:right w:val="single" w:sz="4" w:space="0" w:color="auto"/>
            </w:tcBorders>
            <w:shd w:val="clear" w:color="auto" w:fill="auto"/>
            <w:noWrap/>
            <w:vAlign w:val="bottom"/>
            <w:hideMark/>
          </w:tcPr>
          <w:p w14:paraId="23EBA3A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24,770.52</w:t>
            </w:r>
          </w:p>
        </w:tc>
        <w:tc>
          <w:tcPr>
            <w:tcW w:w="1860" w:type="dxa"/>
            <w:tcBorders>
              <w:top w:val="nil"/>
              <w:left w:val="nil"/>
              <w:bottom w:val="single" w:sz="4" w:space="0" w:color="auto"/>
              <w:right w:val="single" w:sz="4" w:space="0" w:color="auto"/>
            </w:tcBorders>
            <w:shd w:val="clear" w:color="auto" w:fill="auto"/>
            <w:noWrap/>
            <w:vAlign w:val="bottom"/>
            <w:hideMark/>
          </w:tcPr>
          <w:p w14:paraId="21F1E44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7,913.75</w:t>
            </w:r>
          </w:p>
        </w:tc>
        <w:tc>
          <w:tcPr>
            <w:tcW w:w="1860" w:type="dxa"/>
            <w:tcBorders>
              <w:top w:val="nil"/>
              <w:left w:val="nil"/>
              <w:bottom w:val="single" w:sz="4" w:space="0" w:color="auto"/>
              <w:right w:val="single" w:sz="4" w:space="0" w:color="auto"/>
            </w:tcBorders>
            <w:shd w:val="clear" w:color="auto" w:fill="auto"/>
            <w:noWrap/>
            <w:vAlign w:val="bottom"/>
            <w:hideMark/>
          </w:tcPr>
          <w:p w14:paraId="57CE805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56.37</w:t>
            </w:r>
          </w:p>
        </w:tc>
      </w:tr>
      <w:tr w:rsidR="003D6457" w:rsidRPr="00953F68" w14:paraId="5D1D3F77"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A84F67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2011</w:t>
            </w:r>
          </w:p>
        </w:tc>
        <w:tc>
          <w:tcPr>
            <w:tcW w:w="2345" w:type="dxa"/>
            <w:tcBorders>
              <w:top w:val="nil"/>
              <w:left w:val="nil"/>
              <w:bottom w:val="single" w:sz="4" w:space="0" w:color="auto"/>
              <w:right w:val="single" w:sz="4" w:space="0" w:color="auto"/>
            </w:tcBorders>
            <w:shd w:val="clear" w:color="auto" w:fill="auto"/>
            <w:noWrap/>
            <w:vAlign w:val="bottom"/>
            <w:hideMark/>
          </w:tcPr>
          <w:p w14:paraId="69EF5D6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22.289</w:t>
            </w:r>
          </w:p>
        </w:tc>
        <w:tc>
          <w:tcPr>
            <w:tcW w:w="1860" w:type="dxa"/>
            <w:tcBorders>
              <w:top w:val="nil"/>
              <w:left w:val="nil"/>
              <w:bottom w:val="single" w:sz="4" w:space="0" w:color="auto"/>
              <w:right w:val="single" w:sz="4" w:space="0" w:color="auto"/>
            </w:tcBorders>
            <w:shd w:val="clear" w:color="auto" w:fill="auto"/>
            <w:noWrap/>
            <w:vAlign w:val="bottom"/>
            <w:hideMark/>
          </w:tcPr>
          <w:p w14:paraId="1EE06C5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20,730.63</w:t>
            </w:r>
          </w:p>
        </w:tc>
        <w:tc>
          <w:tcPr>
            <w:tcW w:w="1860" w:type="dxa"/>
            <w:tcBorders>
              <w:top w:val="nil"/>
              <w:left w:val="nil"/>
              <w:bottom w:val="single" w:sz="4" w:space="0" w:color="auto"/>
              <w:right w:val="single" w:sz="4" w:space="0" w:color="auto"/>
            </w:tcBorders>
            <w:shd w:val="clear" w:color="auto" w:fill="auto"/>
            <w:noWrap/>
            <w:vAlign w:val="bottom"/>
            <w:hideMark/>
          </w:tcPr>
          <w:p w14:paraId="22A98A4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6,532.58</w:t>
            </w:r>
          </w:p>
        </w:tc>
        <w:tc>
          <w:tcPr>
            <w:tcW w:w="1860" w:type="dxa"/>
            <w:tcBorders>
              <w:top w:val="nil"/>
              <w:left w:val="nil"/>
              <w:bottom w:val="single" w:sz="4" w:space="0" w:color="auto"/>
              <w:right w:val="single" w:sz="4" w:space="0" w:color="auto"/>
            </w:tcBorders>
            <w:shd w:val="clear" w:color="auto" w:fill="auto"/>
            <w:noWrap/>
            <w:vAlign w:val="bottom"/>
            <w:hideMark/>
          </w:tcPr>
          <w:p w14:paraId="5D2B31A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1,341.29</w:t>
            </w:r>
          </w:p>
        </w:tc>
      </w:tr>
      <w:tr w:rsidR="003D6457" w:rsidRPr="00953F68" w14:paraId="5F09C6D2"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618A9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2012</w:t>
            </w:r>
          </w:p>
        </w:tc>
        <w:tc>
          <w:tcPr>
            <w:tcW w:w="2345" w:type="dxa"/>
            <w:tcBorders>
              <w:top w:val="nil"/>
              <w:left w:val="nil"/>
              <w:bottom w:val="single" w:sz="4" w:space="0" w:color="auto"/>
              <w:right w:val="single" w:sz="4" w:space="0" w:color="auto"/>
            </w:tcBorders>
            <w:shd w:val="clear" w:color="auto" w:fill="auto"/>
            <w:noWrap/>
            <w:vAlign w:val="bottom"/>
            <w:hideMark/>
          </w:tcPr>
          <w:p w14:paraId="3B3D84F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22.054</w:t>
            </w:r>
          </w:p>
        </w:tc>
        <w:tc>
          <w:tcPr>
            <w:tcW w:w="1860" w:type="dxa"/>
            <w:tcBorders>
              <w:top w:val="nil"/>
              <w:left w:val="nil"/>
              <w:bottom w:val="single" w:sz="4" w:space="0" w:color="auto"/>
              <w:right w:val="single" w:sz="4" w:space="0" w:color="auto"/>
            </w:tcBorders>
            <w:shd w:val="clear" w:color="auto" w:fill="auto"/>
            <w:noWrap/>
            <w:vAlign w:val="bottom"/>
            <w:hideMark/>
          </w:tcPr>
          <w:p w14:paraId="42227A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28,078.81</w:t>
            </w:r>
          </w:p>
        </w:tc>
        <w:tc>
          <w:tcPr>
            <w:tcW w:w="1860" w:type="dxa"/>
            <w:tcBorders>
              <w:top w:val="nil"/>
              <w:left w:val="nil"/>
              <w:bottom w:val="single" w:sz="4" w:space="0" w:color="auto"/>
              <w:right w:val="single" w:sz="4" w:space="0" w:color="auto"/>
            </w:tcBorders>
            <w:shd w:val="clear" w:color="auto" w:fill="auto"/>
            <w:noWrap/>
            <w:vAlign w:val="bottom"/>
            <w:hideMark/>
          </w:tcPr>
          <w:p w14:paraId="3FB416A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8,974.45</w:t>
            </w:r>
          </w:p>
        </w:tc>
        <w:tc>
          <w:tcPr>
            <w:tcW w:w="1860" w:type="dxa"/>
            <w:tcBorders>
              <w:top w:val="nil"/>
              <w:left w:val="nil"/>
              <w:bottom w:val="single" w:sz="4" w:space="0" w:color="auto"/>
              <w:right w:val="single" w:sz="4" w:space="0" w:color="auto"/>
            </w:tcBorders>
            <w:shd w:val="clear" w:color="auto" w:fill="auto"/>
            <w:noWrap/>
            <w:vAlign w:val="bottom"/>
            <w:hideMark/>
          </w:tcPr>
          <w:p w14:paraId="7AD52C1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1,400.43</w:t>
            </w:r>
          </w:p>
        </w:tc>
      </w:tr>
      <w:tr w:rsidR="003D6457" w:rsidRPr="00953F68" w14:paraId="27C63CC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51D5D5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2013</w:t>
            </w:r>
          </w:p>
        </w:tc>
        <w:tc>
          <w:tcPr>
            <w:tcW w:w="2345" w:type="dxa"/>
            <w:tcBorders>
              <w:top w:val="nil"/>
              <w:left w:val="nil"/>
              <w:bottom w:val="single" w:sz="4" w:space="0" w:color="auto"/>
              <w:right w:val="single" w:sz="4" w:space="0" w:color="auto"/>
            </w:tcBorders>
            <w:shd w:val="clear" w:color="auto" w:fill="auto"/>
            <w:noWrap/>
            <w:vAlign w:val="bottom"/>
            <w:hideMark/>
          </w:tcPr>
          <w:p w14:paraId="2293113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20.996</w:t>
            </w:r>
          </w:p>
        </w:tc>
        <w:tc>
          <w:tcPr>
            <w:tcW w:w="1860" w:type="dxa"/>
            <w:tcBorders>
              <w:top w:val="nil"/>
              <w:left w:val="nil"/>
              <w:bottom w:val="single" w:sz="4" w:space="0" w:color="auto"/>
              <w:right w:val="single" w:sz="4" w:space="0" w:color="auto"/>
            </w:tcBorders>
            <w:shd w:val="clear" w:color="auto" w:fill="auto"/>
            <w:noWrap/>
            <w:vAlign w:val="bottom"/>
            <w:hideMark/>
          </w:tcPr>
          <w:p w14:paraId="7F08952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41,329.19</w:t>
            </w:r>
          </w:p>
        </w:tc>
        <w:tc>
          <w:tcPr>
            <w:tcW w:w="1860" w:type="dxa"/>
            <w:tcBorders>
              <w:top w:val="nil"/>
              <w:left w:val="nil"/>
              <w:bottom w:val="single" w:sz="4" w:space="0" w:color="auto"/>
              <w:right w:val="single" w:sz="4" w:space="0" w:color="auto"/>
            </w:tcBorders>
            <w:shd w:val="clear" w:color="auto" w:fill="auto"/>
            <w:noWrap/>
            <w:vAlign w:val="bottom"/>
            <w:hideMark/>
          </w:tcPr>
          <w:p w14:paraId="074E735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13,226.00</w:t>
            </w:r>
          </w:p>
        </w:tc>
        <w:tc>
          <w:tcPr>
            <w:tcW w:w="1860" w:type="dxa"/>
            <w:tcBorders>
              <w:top w:val="nil"/>
              <w:left w:val="nil"/>
              <w:bottom w:val="single" w:sz="4" w:space="0" w:color="auto"/>
              <w:right w:val="single" w:sz="4" w:space="0" w:color="auto"/>
            </w:tcBorders>
            <w:shd w:val="clear" w:color="auto" w:fill="auto"/>
            <w:noWrap/>
            <w:vAlign w:val="bottom"/>
            <w:hideMark/>
          </w:tcPr>
          <w:p w14:paraId="67AB0AB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1,394.00</w:t>
            </w:r>
          </w:p>
        </w:tc>
      </w:tr>
      <w:tr w:rsidR="003D6457" w:rsidRPr="00953F68" w14:paraId="311236B4"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7B17AB7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2014</w:t>
            </w:r>
          </w:p>
        </w:tc>
        <w:tc>
          <w:tcPr>
            <w:tcW w:w="2345" w:type="dxa"/>
            <w:tcBorders>
              <w:top w:val="nil"/>
              <w:left w:val="nil"/>
              <w:bottom w:val="single" w:sz="4" w:space="0" w:color="auto"/>
              <w:right w:val="single" w:sz="4" w:space="0" w:color="auto"/>
            </w:tcBorders>
            <w:shd w:val="clear" w:color="auto" w:fill="auto"/>
            <w:noWrap/>
            <w:vAlign w:val="bottom"/>
            <w:hideMark/>
          </w:tcPr>
          <w:p w14:paraId="561AAF8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20.236</w:t>
            </w:r>
          </w:p>
        </w:tc>
        <w:tc>
          <w:tcPr>
            <w:tcW w:w="1860" w:type="dxa"/>
            <w:tcBorders>
              <w:top w:val="nil"/>
              <w:left w:val="nil"/>
              <w:bottom w:val="single" w:sz="4" w:space="0" w:color="auto"/>
              <w:right w:val="single" w:sz="4" w:space="0" w:color="auto"/>
            </w:tcBorders>
            <w:shd w:val="clear" w:color="auto" w:fill="auto"/>
            <w:noWrap/>
            <w:vAlign w:val="bottom"/>
            <w:hideMark/>
          </w:tcPr>
          <w:p w14:paraId="58CCB51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34,657.15</w:t>
            </w:r>
          </w:p>
        </w:tc>
        <w:tc>
          <w:tcPr>
            <w:tcW w:w="1860" w:type="dxa"/>
            <w:tcBorders>
              <w:top w:val="nil"/>
              <w:left w:val="nil"/>
              <w:bottom w:val="single" w:sz="4" w:space="0" w:color="auto"/>
              <w:right w:val="single" w:sz="4" w:space="0" w:color="auto"/>
            </w:tcBorders>
            <w:shd w:val="clear" w:color="auto" w:fill="auto"/>
            <w:noWrap/>
            <w:vAlign w:val="bottom"/>
            <w:hideMark/>
          </w:tcPr>
          <w:p w14:paraId="404B440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11,477.66</w:t>
            </w:r>
          </w:p>
        </w:tc>
        <w:tc>
          <w:tcPr>
            <w:tcW w:w="1860" w:type="dxa"/>
            <w:tcBorders>
              <w:top w:val="nil"/>
              <w:left w:val="nil"/>
              <w:bottom w:val="single" w:sz="4" w:space="0" w:color="auto"/>
              <w:right w:val="single" w:sz="4" w:space="0" w:color="auto"/>
            </w:tcBorders>
            <w:shd w:val="clear" w:color="auto" w:fill="auto"/>
            <w:noWrap/>
            <w:vAlign w:val="bottom"/>
            <w:hideMark/>
          </w:tcPr>
          <w:p w14:paraId="227D041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144.96</w:t>
            </w:r>
          </w:p>
        </w:tc>
      </w:tr>
      <w:tr w:rsidR="003D6457" w:rsidRPr="00953F68" w14:paraId="270D11B4"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2C95D2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2015</w:t>
            </w:r>
          </w:p>
        </w:tc>
        <w:tc>
          <w:tcPr>
            <w:tcW w:w="2345" w:type="dxa"/>
            <w:tcBorders>
              <w:top w:val="nil"/>
              <w:left w:val="nil"/>
              <w:bottom w:val="single" w:sz="4" w:space="0" w:color="auto"/>
              <w:right w:val="single" w:sz="4" w:space="0" w:color="auto"/>
            </w:tcBorders>
            <w:shd w:val="clear" w:color="auto" w:fill="auto"/>
            <w:noWrap/>
            <w:vAlign w:val="bottom"/>
            <w:hideMark/>
          </w:tcPr>
          <w:p w14:paraId="220758C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20.858</w:t>
            </w:r>
          </w:p>
        </w:tc>
        <w:tc>
          <w:tcPr>
            <w:tcW w:w="1860" w:type="dxa"/>
            <w:tcBorders>
              <w:top w:val="nil"/>
              <w:left w:val="nil"/>
              <w:bottom w:val="single" w:sz="4" w:space="0" w:color="auto"/>
              <w:right w:val="single" w:sz="4" w:space="0" w:color="auto"/>
            </w:tcBorders>
            <w:shd w:val="clear" w:color="auto" w:fill="auto"/>
            <w:noWrap/>
            <w:vAlign w:val="bottom"/>
            <w:hideMark/>
          </w:tcPr>
          <w:p w14:paraId="0EE5288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28,642.25</w:t>
            </w:r>
          </w:p>
        </w:tc>
        <w:tc>
          <w:tcPr>
            <w:tcW w:w="1860" w:type="dxa"/>
            <w:tcBorders>
              <w:top w:val="nil"/>
              <w:left w:val="nil"/>
              <w:bottom w:val="single" w:sz="4" w:space="0" w:color="auto"/>
              <w:right w:val="single" w:sz="4" w:space="0" w:color="auto"/>
            </w:tcBorders>
            <w:shd w:val="clear" w:color="auto" w:fill="auto"/>
            <w:noWrap/>
            <w:vAlign w:val="bottom"/>
            <w:hideMark/>
          </w:tcPr>
          <w:p w14:paraId="084F936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9,850.61</w:t>
            </w:r>
          </w:p>
        </w:tc>
        <w:tc>
          <w:tcPr>
            <w:tcW w:w="1860" w:type="dxa"/>
            <w:tcBorders>
              <w:top w:val="nil"/>
              <w:left w:val="nil"/>
              <w:bottom w:val="single" w:sz="4" w:space="0" w:color="auto"/>
              <w:right w:val="single" w:sz="4" w:space="0" w:color="auto"/>
            </w:tcBorders>
            <w:shd w:val="clear" w:color="auto" w:fill="auto"/>
            <w:noWrap/>
            <w:vAlign w:val="bottom"/>
            <w:hideMark/>
          </w:tcPr>
          <w:p w14:paraId="6FD705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205.89</w:t>
            </w:r>
          </w:p>
        </w:tc>
      </w:tr>
      <w:tr w:rsidR="003D6457" w:rsidRPr="00953F68" w14:paraId="78CA46A9"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B6CDDC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2016</w:t>
            </w:r>
          </w:p>
        </w:tc>
        <w:tc>
          <w:tcPr>
            <w:tcW w:w="2345" w:type="dxa"/>
            <w:tcBorders>
              <w:top w:val="nil"/>
              <w:left w:val="nil"/>
              <w:bottom w:val="single" w:sz="4" w:space="0" w:color="auto"/>
              <w:right w:val="single" w:sz="4" w:space="0" w:color="auto"/>
            </w:tcBorders>
            <w:shd w:val="clear" w:color="auto" w:fill="auto"/>
            <w:noWrap/>
            <w:vAlign w:val="bottom"/>
            <w:hideMark/>
          </w:tcPr>
          <w:p w14:paraId="5A84649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21.208</w:t>
            </w:r>
          </w:p>
        </w:tc>
        <w:tc>
          <w:tcPr>
            <w:tcW w:w="1860" w:type="dxa"/>
            <w:tcBorders>
              <w:top w:val="nil"/>
              <w:left w:val="nil"/>
              <w:bottom w:val="single" w:sz="4" w:space="0" w:color="auto"/>
              <w:right w:val="single" w:sz="4" w:space="0" w:color="auto"/>
            </w:tcBorders>
            <w:shd w:val="clear" w:color="auto" w:fill="auto"/>
            <w:noWrap/>
            <w:vAlign w:val="bottom"/>
            <w:hideMark/>
          </w:tcPr>
          <w:p w14:paraId="2414047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26,874.62</w:t>
            </w:r>
          </w:p>
        </w:tc>
        <w:tc>
          <w:tcPr>
            <w:tcW w:w="1860" w:type="dxa"/>
            <w:tcBorders>
              <w:top w:val="nil"/>
              <w:left w:val="nil"/>
              <w:bottom w:val="single" w:sz="4" w:space="0" w:color="auto"/>
              <w:right w:val="single" w:sz="4" w:space="0" w:color="auto"/>
            </w:tcBorders>
            <w:shd w:val="clear" w:color="auto" w:fill="auto"/>
            <w:noWrap/>
            <w:vAlign w:val="bottom"/>
            <w:hideMark/>
          </w:tcPr>
          <w:p w14:paraId="2EFD377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9,246.92</w:t>
            </w:r>
          </w:p>
        </w:tc>
        <w:tc>
          <w:tcPr>
            <w:tcW w:w="1860" w:type="dxa"/>
            <w:tcBorders>
              <w:top w:val="nil"/>
              <w:left w:val="nil"/>
              <w:bottom w:val="single" w:sz="4" w:space="0" w:color="auto"/>
              <w:right w:val="single" w:sz="4" w:space="0" w:color="auto"/>
            </w:tcBorders>
            <w:shd w:val="clear" w:color="auto" w:fill="auto"/>
            <w:noWrap/>
            <w:vAlign w:val="bottom"/>
            <w:hideMark/>
          </w:tcPr>
          <w:p w14:paraId="43463E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281.97</w:t>
            </w:r>
          </w:p>
        </w:tc>
      </w:tr>
      <w:tr w:rsidR="003D6457" w:rsidRPr="00953F68" w14:paraId="6169618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305B6F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2017</w:t>
            </w:r>
          </w:p>
        </w:tc>
        <w:tc>
          <w:tcPr>
            <w:tcW w:w="2345" w:type="dxa"/>
            <w:tcBorders>
              <w:top w:val="nil"/>
              <w:left w:val="nil"/>
              <w:bottom w:val="single" w:sz="4" w:space="0" w:color="auto"/>
              <w:right w:val="single" w:sz="4" w:space="0" w:color="auto"/>
            </w:tcBorders>
            <w:shd w:val="clear" w:color="auto" w:fill="auto"/>
            <w:noWrap/>
            <w:vAlign w:val="bottom"/>
            <w:hideMark/>
          </w:tcPr>
          <w:p w14:paraId="0D48AEB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21.064</w:t>
            </w:r>
          </w:p>
        </w:tc>
        <w:tc>
          <w:tcPr>
            <w:tcW w:w="1860" w:type="dxa"/>
            <w:tcBorders>
              <w:top w:val="nil"/>
              <w:left w:val="nil"/>
              <w:bottom w:val="single" w:sz="4" w:space="0" w:color="auto"/>
              <w:right w:val="single" w:sz="4" w:space="0" w:color="auto"/>
            </w:tcBorders>
            <w:shd w:val="clear" w:color="auto" w:fill="auto"/>
            <w:noWrap/>
            <w:vAlign w:val="bottom"/>
            <w:hideMark/>
          </w:tcPr>
          <w:p w14:paraId="3862A66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38,243.19</w:t>
            </w:r>
          </w:p>
        </w:tc>
        <w:tc>
          <w:tcPr>
            <w:tcW w:w="1860" w:type="dxa"/>
            <w:tcBorders>
              <w:top w:val="nil"/>
              <w:left w:val="nil"/>
              <w:bottom w:val="single" w:sz="4" w:space="0" w:color="auto"/>
              <w:right w:val="single" w:sz="4" w:space="0" w:color="auto"/>
            </w:tcBorders>
            <w:shd w:val="clear" w:color="auto" w:fill="auto"/>
            <w:noWrap/>
            <w:vAlign w:val="bottom"/>
            <w:hideMark/>
          </w:tcPr>
          <w:p w14:paraId="3B968FA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13,609.47</w:t>
            </w:r>
          </w:p>
        </w:tc>
        <w:tc>
          <w:tcPr>
            <w:tcW w:w="1860" w:type="dxa"/>
            <w:tcBorders>
              <w:top w:val="nil"/>
              <w:left w:val="nil"/>
              <w:bottom w:val="single" w:sz="4" w:space="0" w:color="auto"/>
              <w:right w:val="single" w:sz="4" w:space="0" w:color="auto"/>
            </w:tcBorders>
            <w:shd w:val="clear" w:color="auto" w:fill="auto"/>
            <w:noWrap/>
            <w:vAlign w:val="bottom"/>
            <w:hideMark/>
          </w:tcPr>
          <w:p w14:paraId="1A12E1B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276.50</w:t>
            </w:r>
          </w:p>
        </w:tc>
      </w:tr>
      <w:tr w:rsidR="003D6457" w:rsidRPr="00953F68" w14:paraId="5F796DC7"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2D029A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2018</w:t>
            </w:r>
          </w:p>
        </w:tc>
        <w:tc>
          <w:tcPr>
            <w:tcW w:w="2345" w:type="dxa"/>
            <w:tcBorders>
              <w:top w:val="nil"/>
              <w:left w:val="nil"/>
              <w:bottom w:val="single" w:sz="4" w:space="0" w:color="auto"/>
              <w:right w:val="single" w:sz="4" w:space="0" w:color="auto"/>
            </w:tcBorders>
            <w:shd w:val="clear" w:color="auto" w:fill="auto"/>
            <w:noWrap/>
            <w:vAlign w:val="bottom"/>
            <w:hideMark/>
          </w:tcPr>
          <w:p w14:paraId="26DBA85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21.428</w:t>
            </w:r>
          </w:p>
        </w:tc>
        <w:tc>
          <w:tcPr>
            <w:tcW w:w="1860" w:type="dxa"/>
            <w:tcBorders>
              <w:top w:val="nil"/>
              <w:left w:val="nil"/>
              <w:bottom w:val="single" w:sz="4" w:space="0" w:color="auto"/>
              <w:right w:val="single" w:sz="4" w:space="0" w:color="auto"/>
            </w:tcBorders>
            <w:shd w:val="clear" w:color="auto" w:fill="auto"/>
            <w:noWrap/>
            <w:vAlign w:val="bottom"/>
            <w:hideMark/>
          </w:tcPr>
          <w:p w14:paraId="53D4F66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31,430.50</w:t>
            </w:r>
          </w:p>
        </w:tc>
        <w:tc>
          <w:tcPr>
            <w:tcW w:w="1860" w:type="dxa"/>
            <w:tcBorders>
              <w:top w:val="nil"/>
              <w:left w:val="nil"/>
              <w:bottom w:val="single" w:sz="4" w:space="0" w:color="auto"/>
              <w:right w:val="single" w:sz="4" w:space="0" w:color="auto"/>
            </w:tcBorders>
            <w:shd w:val="clear" w:color="auto" w:fill="auto"/>
            <w:noWrap/>
            <w:vAlign w:val="bottom"/>
            <w:hideMark/>
          </w:tcPr>
          <w:p w14:paraId="2BFEACF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11,720.72</w:t>
            </w:r>
          </w:p>
        </w:tc>
        <w:tc>
          <w:tcPr>
            <w:tcW w:w="1860" w:type="dxa"/>
            <w:tcBorders>
              <w:top w:val="nil"/>
              <w:left w:val="nil"/>
              <w:bottom w:val="single" w:sz="4" w:space="0" w:color="auto"/>
              <w:right w:val="single" w:sz="4" w:space="0" w:color="auto"/>
            </w:tcBorders>
            <w:shd w:val="clear" w:color="auto" w:fill="auto"/>
            <w:noWrap/>
            <w:vAlign w:val="bottom"/>
            <w:hideMark/>
          </w:tcPr>
          <w:p w14:paraId="643EFCE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256.56</w:t>
            </w:r>
          </w:p>
        </w:tc>
      </w:tr>
      <w:tr w:rsidR="003D6457" w:rsidRPr="00953F68" w14:paraId="2D2E20D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075642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2019</w:t>
            </w:r>
          </w:p>
        </w:tc>
        <w:tc>
          <w:tcPr>
            <w:tcW w:w="2345" w:type="dxa"/>
            <w:tcBorders>
              <w:top w:val="nil"/>
              <w:left w:val="nil"/>
              <w:bottom w:val="single" w:sz="4" w:space="0" w:color="auto"/>
              <w:right w:val="single" w:sz="4" w:space="0" w:color="auto"/>
            </w:tcBorders>
            <w:shd w:val="clear" w:color="auto" w:fill="auto"/>
            <w:noWrap/>
            <w:vAlign w:val="bottom"/>
            <w:hideMark/>
          </w:tcPr>
          <w:p w14:paraId="4290057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22.123</w:t>
            </w:r>
          </w:p>
        </w:tc>
        <w:tc>
          <w:tcPr>
            <w:tcW w:w="1860" w:type="dxa"/>
            <w:tcBorders>
              <w:top w:val="nil"/>
              <w:left w:val="nil"/>
              <w:bottom w:val="single" w:sz="4" w:space="0" w:color="auto"/>
              <w:right w:val="single" w:sz="4" w:space="0" w:color="auto"/>
            </w:tcBorders>
            <w:shd w:val="clear" w:color="auto" w:fill="auto"/>
            <w:noWrap/>
            <w:vAlign w:val="bottom"/>
            <w:hideMark/>
          </w:tcPr>
          <w:p w14:paraId="2A2F2D4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26,842.07</w:t>
            </w:r>
          </w:p>
        </w:tc>
        <w:tc>
          <w:tcPr>
            <w:tcW w:w="1860" w:type="dxa"/>
            <w:tcBorders>
              <w:top w:val="nil"/>
              <w:left w:val="nil"/>
              <w:bottom w:val="single" w:sz="4" w:space="0" w:color="auto"/>
              <w:right w:val="single" w:sz="4" w:space="0" w:color="auto"/>
            </w:tcBorders>
            <w:shd w:val="clear" w:color="auto" w:fill="auto"/>
            <w:noWrap/>
            <w:vAlign w:val="bottom"/>
            <w:hideMark/>
          </w:tcPr>
          <w:p w14:paraId="6EE9D93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12,968.59</w:t>
            </w:r>
          </w:p>
        </w:tc>
        <w:tc>
          <w:tcPr>
            <w:tcW w:w="1860" w:type="dxa"/>
            <w:tcBorders>
              <w:top w:val="nil"/>
              <w:left w:val="nil"/>
              <w:bottom w:val="single" w:sz="4" w:space="0" w:color="auto"/>
              <w:right w:val="single" w:sz="4" w:space="0" w:color="auto"/>
            </w:tcBorders>
            <w:shd w:val="clear" w:color="auto" w:fill="auto"/>
            <w:noWrap/>
            <w:vAlign w:val="bottom"/>
            <w:hideMark/>
          </w:tcPr>
          <w:p w14:paraId="1C3EB83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355.82</w:t>
            </w:r>
          </w:p>
        </w:tc>
      </w:tr>
      <w:tr w:rsidR="003D6457" w:rsidRPr="00953F68" w14:paraId="23D3CC8E"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DAE086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2020</w:t>
            </w:r>
          </w:p>
        </w:tc>
        <w:tc>
          <w:tcPr>
            <w:tcW w:w="2345" w:type="dxa"/>
            <w:tcBorders>
              <w:top w:val="nil"/>
              <w:left w:val="nil"/>
              <w:bottom w:val="single" w:sz="4" w:space="0" w:color="auto"/>
              <w:right w:val="single" w:sz="4" w:space="0" w:color="auto"/>
            </w:tcBorders>
            <w:shd w:val="clear" w:color="auto" w:fill="auto"/>
            <w:noWrap/>
            <w:vAlign w:val="bottom"/>
            <w:hideMark/>
          </w:tcPr>
          <w:p w14:paraId="7884673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24.449</w:t>
            </w:r>
          </w:p>
        </w:tc>
        <w:tc>
          <w:tcPr>
            <w:tcW w:w="1860" w:type="dxa"/>
            <w:tcBorders>
              <w:top w:val="nil"/>
              <w:left w:val="nil"/>
              <w:bottom w:val="single" w:sz="4" w:space="0" w:color="auto"/>
              <w:right w:val="single" w:sz="4" w:space="0" w:color="auto"/>
            </w:tcBorders>
            <w:shd w:val="clear" w:color="auto" w:fill="auto"/>
            <w:noWrap/>
            <w:vAlign w:val="bottom"/>
            <w:hideMark/>
          </w:tcPr>
          <w:p w14:paraId="0A79DF5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40,270.72</w:t>
            </w:r>
          </w:p>
        </w:tc>
        <w:tc>
          <w:tcPr>
            <w:tcW w:w="1860" w:type="dxa"/>
            <w:tcBorders>
              <w:top w:val="nil"/>
              <w:left w:val="nil"/>
              <w:bottom w:val="single" w:sz="4" w:space="0" w:color="auto"/>
              <w:right w:val="single" w:sz="4" w:space="0" w:color="auto"/>
            </w:tcBorders>
            <w:shd w:val="clear" w:color="auto" w:fill="auto"/>
            <w:noWrap/>
            <w:vAlign w:val="bottom"/>
            <w:hideMark/>
          </w:tcPr>
          <w:p w14:paraId="0078CA9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21,056.76</w:t>
            </w:r>
          </w:p>
        </w:tc>
        <w:tc>
          <w:tcPr>
            <w:tcW w:w="1860" w:type="dxa"/>
            <w:tcBorders>
              <w:top w:val="nil"/>
              <w:left w:val="nil"/>
              <w:bottom w:val="single" w:sz="4" w:space="0" w:color="auto"/>
              <w:right w:val="single" w:sz="4" w:space="0" w:color="auto"/>
            </w:tcBorders>
            <w:shd w:val="clear" w:color="auto" w:fill="auto"/>
            <w:noWrap/>
            <w:vAlign w:val="bottom"/>
            <w:hideMark/>
          </w:tcPr>
          <w:p w14:paraId="3501DE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507.76</w:t>
            </w:r>
          </w:p>
        </w:tc>
      </w:tr>
      <w:tr w:rsidR="003D6457" w:rsidRPr="00953F68" w14:paraId="6B812604"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5B174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2021</w:t>
            </w:r>
          </w:p>
        </w:tc>
        <w:tc>
          <w:tcPr>
            <w:tcW w:w="2345" w:type="dxa"/>
            <w:tcBorders>
              <w:top w:val="nil"/>
              <w:left w:val="nil"/>
              <w:bottom w:val="single" w:sz="4" w:space="0" w:color="auto"/>
              <w:right w:val="single" w:sz="4" w:space="0" w:color="auto"/>
            </w:tcBorders>
            <w:shd w:val="clear" w:color="auto" w:fill="auto"/>
            <w:noWrap/>
            <w:vAlign w:val="bottom"/>
            <w:hideMark/>
          </w:tcPr>
          <w:p w14:paraId="3497C22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23.700</w:t>
            </w:r>
          </w:p>
        </w:tc>
        <w:tc>
          <w:tcPr>
            <w:tcW w:w="1860" w:type="dxa"/>
            <w:tcBorders>
              <w:top w:val="nil"/>
              <w:left w:val="nil"/>
              <w:bottom w:val="single" w:sz="4" w:space="0" w:color="auto"/>
              <w:right w:val="single" w:sz="4" w:space="0" w:color="auto"/>
            </w:tcBorders>
            <w:shd w:val="clear" w:color="auto" w:fill="auto"/>
            <w:noWrap/>
            <w:vAlign w:val="bottom"/>
            <w:hideMark/>
          </w:tcPr>
          <w:p w14:paraId="3D00812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42,716.44</w:t>
            </w:r>
          </w:p>
        </w:tc>
        <w:tc>
          <w:tcPr>
            <w:tcW w:w="1860" w:type="dxa"/>
            <w:tcBorders>
              <w:top w:val="nil"/>
              <w:left w:val="nil"/>
              <w:bottom w:val="single" w:sz="4" w:space="0" w:color="auto"/>
              <w:right w:val="single" w:sz="4" w:space="0" w:color="auto"/>
            </w:tcBorders>
            <w:shd w:val="clear" w:color="auto" w:fill="auto"/>
            <w:noWrap/>
            <w:vAlign w:val="bottom"/>
            <w:hideMark/>
          </w:tcPr>
          <w:p w14:paraId="5767F76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22,296.84</w:t>
            </w:r>
          </w:p>
        </w:tc>
        <w:tc>
          <w:tcPr>
            <w:tcW w:w="1860" w:type="dxa"/>
            <w:tcBorders>
              <w:top w:val="nil"/>
              <w:left w:val="nil"/>
              <w:bottom w:val="single" w:sz="4" w:space="0" w:color="auto"/>
              <w:right w:val="single" w:sz="4" w:space="0" w:color="auto"/>
            </w:tcBorders>
            <w:shd w:val="clear" w:color="auto" w:fill="auto"/>
            <w:noWrap/>
            <w:vAlign w:val="bottom"/>
            <w:hideMark/>
          </w:tcPr>
          <w:p w14:paraId="4A8BAD3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718.30</w:t>
            </w:r>
          </w:p>
        </w:tc>
      </w:tr>
      <w:tr w:rsidR="003D6457" w:rsidRPr="00953F68" w14:paraId="3FBC1A6B"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49C5E2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2022</w:t>
            </w:r>
          </w:p>
        </w:tc>
        <w:tc>
          <w:tcPr>
            <w:tcW w:w="2345" w:type="dxa"/>
            <w:tcBorders>
              <w:top w:val="nil"/>
              <w:left w:val="nil"/>
              <w:bottom w:val="single" w:sz="4" w:space="0" w:color="auto"/>
              <w:right w:val="single" w:sz="4" w:space="0" w:color="auto"/>
            </w:tcBorders>
            <w:shd w:val="clear" w:color="auto" w:fill="auto"/>
            <w:noWrap/>
            <w:vAlign w:val="bottom"/>
            <w:hideMark/>
          </w:tcPr>
          <w:p w14:paraId="0DD45A2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24.052</w:t>
            </w:r>
          </w:p>
        </w:tc>
        <w:tc>
          <w:tcPr>
            <w:tcW w:w="1860" w:type="dxa"/>
            <w:tcBorders>
              <w:top w:val="nil"/>
              <w:left w:val="nil"/>
              <w:bottom w:val="single" w:sz="4" w:space="0" w:color="auto"/>
              <w:right w:val="single" w:sz="4" w:space="0" w:color="auto"/>
            </w:tcBorders>
            <w:shd w:val="clear" w:color="auto" w:fill="auto"/>
            <w:noWrap/>
            <w:vAlign w:val="bottom"/>
            <w:hideMark/>
          </w:tcPr>
          <w:p w14:paraId="26926FA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51,251.06</w:t>
            </w:r>
          </w:p>
        </w:tc>
        <w:tc>
          <w:tcPr>
            <w:tcW w:w="1860" w:type="dxa"/>
            <w:tcBorders>
              <w:top w:val="nil"/>
              <w:left w:val="nil"/>
              <w:bottom w:val="single" w:sz="4" w:space="0" w:color="auto"/>
              <w:right w:val="single" w:sz="4" w:space="0" w:color="auto"/>
            </w:tcBorders>
            <w:shd w:val="clear" w:color="auto" w:fill="auto"/>
            <w:noWrap/>
            <w:vAlign w:val="bottom"/>
            <w:hideMark/>
          </w:tcPr>
          <w:p w14:paraId="5AD2B8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27,915.07</w:t>
            </w:r>
          </w:p>
        </w:tc>
        <w:tc>
          <w:tcPr>
            <w:tcW w:w="1860" w:type="dxa"/>
            <w:tcBorders>
              <w:top w:val="nil"/>
              <w:left w:val="nil"/>
              <w:bottom w:val="single" w:sz="4" w:space="0" w:color="auto"/>
              <w:right w:val="single" w:sz="4" w:space="0" w:color="auto"/>
            </w:tcBorders>
            <w:shd w:val="clear" w:color="auto" w:fill="auto"/>
            <w:noWrap/>
            <w:vAlign w:val="bottom"/>
            <w:hideMark/>
          </w:tcPr>
          <w:p w14:paraId="60EEAE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1,058.50</w:t>
            </w:r>
          </w:p>
        </w:tc>
      </w:tr>
      <w:tr w:rsidR="003D6457" w:rsidRPr="00953F68" w14:paraId="0031AF58"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E4E540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2023</w:t>
            </w:r>
          </w:p>
        </w:tc>
        <w:tc>
          <w:tcPr>
            <w:tcW w:w="2345" w:type="dxa"/>
            <w:tcBorders>
              <w:top w:val="nil"/>
              <w:left w:val="nil"/>
              <w:bottom w:val="single" w:sz="4" w:space="0" w:color="auto"/>
              <w:right w:val="single" w:sz="4" w:space="0" w:color="auto"/>
            </w:tcBorders>
            <w:shd w:val="clear" w:color="auto" w:fill="auto"/>
            <w:noWrap/>
            <w:vAlign w:val="bottom"/>
            <w:hideMark/>
          </w:tcPr>
          <w:p w14:paraId="0DFABCF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23.171</w:t>
            </w:r>
          </w:p>
        </w:tc>
        <w:tc>
          <w:tcPr>
            <w:tcW w:w="1860" w:type="dxa"/>
            <w:tcBorders>
              <w:top w:val="nil"/>
              <w:left w:val="nil"/>
              <w:bottom w:val="single" w:sz="4" w:space="0" w:color="auto"/>
              <w:right w:val="single" w:sz="4" w:space="0" w:color="auto"/>
            </w:tcBorders>
            <w:shd w:val="clear" w:color="auto" w:fill="auto"/>
            <w:noWrap/>
            <w:vAlign w:val="bottom"/>
            <w:hideMark/>
          </w:tcPr>
          <w:p w14:paraId="672FB4C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74,773.77</w:t>
            </w:r>
          </w:p>
        </w:tc>
        <w:tc>
          <w:tcPr>
            <w:tcW w:w="1860" w:type="dxa"/>
            <w:tcBorders>
              <w:top w:val="nil"/>
              <w:left w:val="nil"/>
              <w:bottom w:val="single" w:sz="4" w:space="0" w:color="auto"/>
              <w:right w:val="single" w:sz="4" w:space="0" w:color="auto"/>
            </w:tcBorders>
            <w:shd w:val="clear" w:color="auto" w:fill="auto"/>
            <w:noWrap/>
            <w:vAlign w:val="bottom"/>
            <w:hideMark/>
          </w:tcPr>
          <w:p w14:paraId="2C36415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40,917.51</w:t>
            </w:r>
          </w:p>
        </w:tc>
        <w:tc>
          <w:tcPr>
            <w:tcW w:w="1860" w:type="dxa"/>
            <w:tcBorders>
              <w:top w:val="nil"/>
              <w:left w:val="nil"/>
              <w:bottom w:val="single" w:sz="4" w:space="0" w:color="auto"/>
              <w:right w:val="single" w:sz="4" w:space="0" w:color="auto"/>
            </w:tcBorders>
            <w:shd w:val="clear" w:color="auto" w:fill="auto"/>
            <w:noWrap/>
            <w:vAlign w:val="bottom"/>
            <w:hideMark/>
          </w:tcPr>
          <w:p w14:paraId="38751EF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1,189.40</w:t>
            </w:r>
          </w:p>
        </w:tc>
      </w:tr>
      <w:tr w:rsidR="003D6457" w:rsidRPr="00953F68" w14:paraId="79271201"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D206CA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2024</w:t>
            </w:r>
          </w:p>
        </w:tc>
        <w:tc>
          <w:tcPr>
            <w:tcW w:w="2345" w:type="dxa"/>
            <w:tcBorders>
              <w:top w:val="nil"/>
              <w:left w:val="nil"/>
              <w:bottom w:val="single" w:sz="4" w:space="0" w:color="auto"/>
              <w:right w:val="single" w:sz="4" w:space="0" w:color="auto"/>
            </w:tcBorders>
            <w:shd w:val="clear" w:color="auto" w:fill="auto"/>
            <w:noWrap/>
            <w:vAlign w:val="bottom"/>
            <w:hideMark/>
          </w:tcPr>
          <w:p w14:paraId="2FF4360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26.800</w:t>
            </w:r>
          </w:p>
        </w:tc>
        <w:tc>
          <w:tcPr>
            <w:tcW w:w="1860" w:type="dxa"/>
            <w:tcBorders>
              <w:top w:val="nil"/>
              <w:left w:val="nil"/>
              <w:bottom w:val="single" w:sz="4" w:space="0" w:color="auto"/>
              <w:right w:val="single" w:sz="4" w:space="0" w:color="auto"/>
            </w:tcBorders>
            <w:shd w:val="clear" w:color="auto" w:fill="auto"/>
            <w:noWrap/>
            <w:vAlign w:val="bottom"/>
            <w:hideMark/>
          </w:tcPr>
          <w:p w14:paraId="46C9951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97,912.90</w:t>
            </w:r>
          </w:p>
        </w:tc>
        <w:tc>
          <w:tcPr>
            <w:tcW w:w="1860" w:type="dxa"/>
            <w:tcBorders>
              <w:top w:val="nil"/>
              <w:left w:val="nil"/>
              <w:bottom w:val="single" w:sz="4" w:space="0" w:color="auto"/>
              <w:right w:val="single" w:sz="4" w:space="0" w:color="auto"/>
            </w:tcBorders>
            <w:shd w:val="clear" w:color="auto" w:fill="auto"/>
            <w:noWrap/>
            <w:vAlign w:val="bottom"/>
            <w:hideMark/>
          </w:tcPr>
          <w:p w14:paraId="3E691C7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54,684.90</w:t>
            </w:r>
          </w:p>
        </w:tc>
        <w:tc>
          <w:tcPr>
            <w:tcW w:w="1860" w:type="dxa"/>
            <w:tcBorders>
              <w:top w:val="nil"/>
              <w:left w:val="nil"/>
              <w:bottom w:val="single" w:sz="4" w:space="0" w:color="auto"/>
              <w:right w:val="single" w:sz="4" w:space="0" w:color="auto"/>
            </w:tcBorders>
            <w:shd w:val="clear" w:color="auto" w:fill="auto"/>
            <w:noWrap/>
            <w:vAlign w:val="bottom"/>
            <w:hideMark/>
          </w:tcPr>
          <w:p w14:paraId="6175A42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2,756.30</w:t>
            </w:r>
          </w:p>
        </w:tc>
      </w:tr>
    </w:tbl>
    <w:p w14:paraId="6AEAA626" w14:textId="77777777" w:rsidR="003D6457" w:rsidRPr="00BA38CC" w:rsidRDefault="00506735" w:rsidP="00BA38CC">
      <w:pPr>
        <w:spacing w:after="200" w:line="276" w:lineRule="auto"/>
        <w:ind w:left="709" w:hanging="709"/>
        <w:jc w:val="both"/>
        <w:rPr>
          <w:rFonts w:ascii="Times New Roman" w:eastAsia="Times New Roman" w:hAnsi="Times New Roman"/>
          <w:b/>
          <w:bCs/>
          <w:i/>
          <w:iCs/>
          <w:color w:val="000000"/>
          <w:sz w:val="24"/>
          <w:szCs w:val="24"/>
        </w:rPr>
      </w:pPr>
      <w:r w:rsidRPr="006D5F24">
        <w:rPr>
          <w:rFonts w:ascii="Times New Roman" w:hAnsi="Times New Roman"/>
          <w:b/>
          <w:bCs/>
          <w:i/>
          <w:iCs/>
          <w:sz w:val="24"/>
          <w:szCs w:val="24"/>
        </w:rPr>
        <w:t>Sources: CBN, 2023; Securities and Exchange Commission (SEC) Nigeria Annual Reports</w:t>
      </w:r>
      <w:r w:rsidRPr="006D5F24">
        <w:rPr>
          <w:rFonts w:ascii="Times New Roman" w:eastAsia="Times New Roman" w:hAnsi="Times New Roman"/>
          <w:b/>
          <w:bCs/>
          <w:i/>
          <w:iCs/>
          <w:color w:val="000000"/>
          <w:sz w:val="24"/>
          <w:szCs w:val="24"/>
        </w:rPr>
        <w:t>, 2025</w:t>
      </w:r>
    </w:p>
    <w:sectPr w:rsidR="003D6457" w:rsidRPr="00BA38CC" w:rsidSect="00783EEE">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3EA03" w14:textId="77777777" w:rsidR="00B940D0" w:rsidRDefault="00B940D0" w:rsidP="00050170">
      <w:pPr>
        <w:spacing w:after="0" w:line="240" w:lineRule="auto"/>
      </w:pPr>
      <w:r>
        <w:separator/>
      </w:r>
    </w:p>
  </w:endnote>
  <w:endnote w:type="continuationSeparator" w:id="0">
    <w:p w14:paraId="0DDF0D39" w14:textId="77777777" w:rsidR="00B940D0" w:rsidRDefault="00B940D0" w:rsidP="0005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1DC8B" w14:textId="77777777" w:rsidR="00FD2222" w:rsidRDefault="00FD2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222933"/>
      <w:docPartObj>
        <w:docPartGallery w:val="Page Numbers (Bottom of Page)"/>
        <w:docPartUnique/>
      </w:docPartObj>
    </w:sdtPr>
    <w:sdtEndPr>
      <w:rPr>
        <w:noProof/>
      </w:rPr>
    </w:sdtEndPr>
    <w:sdtContent>
      <w:p w14:paraId="2CC12012" w14:textId="424F6D3A" w:rsidR="00555B5D" w:rsidRDefault="00555B5D">
        <w:pPr>
          <w:pStyle w:val="Footer"/>
          <w:jc w:val="center"/>
        </w:pPr>
        <w:r>
          <w:fldChar w:fldCharType="begin"/>
        </w:r>
        <w:r>
          <w:instrText xml:space="preserve"> PAGE   \* MERGEFORMAT </w:instrText>
        </w:r>
        <w:r>
          <w:fldChar w:fldCharType="separate"/>
        </w:r>
        <w:r w:rsidR="002D084A">
          <w:rPr>
            <w:noProof/>
          </w:rPr>
          <w:t>20</w:t>
        </w:r>
        <w:r>
          <w:rPr>
            <w:noProof/>
          </w:rPr>
          <w:fldChar w:fldCharType="end"/>
        </w:r>
      </w:p>
    </w:sdtContent>
  </w:sdt>
  <w:p w14:paraId="07F8184D" w14:textId="77777777" w:rsidR="00555B5D" w:rsidRDefault="00555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002D" w14:textId="77777777" w:rsidR="00FD2222" w:rsidRDefault="00FD2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6EB7" w14:textId="77777777" w:rsidR="00B940D0" w:rsidRDefault="00B940D0" w:rsidP="00050170">
      <w:pPr>
        <w:spacing w:after="0" w:line="240" w:lineRule="auto"/>
      </w:pPr>
      <w:r>
        <w:separator/>
      </w:r>
    </w:p>
  </w:footnote>
  <w:footnote w:type="continuationSeparator" w:id="0">
    <w:p w14:paraId="2F2AEFAF" w14:textId="77777777" w:rsidR="00B940D0" w:rsidRDefault="00B940D0" w:rsidP="0005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3943" w14:textId="6ECB5FAA" w:rsidR="00FD2222" w:rsidRDefault="00000000">
    <w:pPr>
      <w:pStyle w:val="Header"/>
    </w:pPr>
    <w:r>
      <w:rPr>
        <w:noProof/>
      </w:rPr>
      <w:pict w14:anchorId="7BA47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6972" w14:textId="3B1AEF53" w:rsidR="00FD2222" w:rsidRDefault="00000000">
    <w:pPr>
      <w:pStyle w:val="Header"/>
    </w:pPr>
    <w:r>
      <w:rPr>
        <w:noProof/>
      </w:rPr>
      <w:pict w14:anchorId="62283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483B0" w14:textId="1A2BD1A2" w:rsidR="00FD2222" w:rsidRDefault="00000000">
    <w:pPr>
      <w:pStyle w:val="Header"/>
    </w:pPr>
    <w:r>
      <w:rPr>
        <w:noProof/>
      </w:rPr>
      <w:pict w14:anchorId="4F9B7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050F0"/>
    <w:multiLevelType w:val="hybridMultilevel"/>
    <w:tmpl w:val="C81EB606"/>
    <w:lvl w:ilvl="0" w:tplc="6D9A1E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43025CF"/>
    <w:multiLevelType w:val="hybridMultilevel"/>
    <w:tmpl w:val="74C64D1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122461785">
    <w:abstractNumId w:val="0"/>
  </w:num>
  <w:num w:numId="2" w16cid:durableId="1701314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3A"/>
    <w:rsid w:val="00050170"/>
    <w:rsid w:val="000645D4"/>
    <w:rsid w:val="00066826"/>
    <w:rsid w:val="00074F1F"/>
    <w:rsid w:val="000A6361"/>
    <w:rsid w:val="000B0D2F"/>
    <w:rsid w:val="000E3AD1"/>
    <w:rsid w:val="00110A04"/>
    <w:rsid w:val="001822A9"/>
    <w:rsid w:val="00182F52"/>
    <w:rsid w:val="001A29F2"/>
    <w:rsid w:val="001E38B5"/>
    <w:rsid w:val="0020612F"/>
    <w:rsid w:val="002079A7"/>
    <w:rsid w:val="00215DE2"/>
    <w:rsid w:val="00226946"/>
    <w:rsid w:val="00232B98"/>
    <w:rsid w:val="00242A7F"/>
    <w:rsid w:val="002C4B57"/>
    <w:rsid w:val="002D084A"/>
    <w:rsid w:val="00307EA7"/>
    <w:rsid w:val="003343A7"/>
    <w:rsid w:val="00335229"/>
    <w:rsid w:val="003424A6"/>
    <w:rsid w:val="00353A6B"/>
    <w:rsid w:val="003A2679"/>
    <w:rsid w:val="003C617A"/>
    <w:rsid w:val="003D6457"/>
    <w:rsid w:val="003F4EF6"/>
    <w:rsid w:val="00411D22"/>
    <w:rsid w:val="00425BFA"/>
    <w:rsid w:val="004272D6"/>
    <w:rsid w:val="00445550"/>
    <w:rsid w:val="00466C65"/>
    <w:rsid w:val="0047795C"/>
    <w:rsid w:val="004D4045"/>
    <w:rsid w:val="004E2A8A"/>
    <w:rsid w:val="00504374"/>
    <w:rsid w:val="00506735"/>
    <w:rsid w:val="005140B8"/>
    <w:rsid w:val="00543FA0"/>
    <w:rsid w:val="005518DC"/>
    <w:rsid w:val="00555B5D"/>
    <w:rsid w:val="00560295"/>
    <w:rsid w:val="00576896"/>
    <w:rsid w:val="00584105"/>
    <w:rsid w:val="005902ED"/>
    <w:rsid w:val="005B0A64"/>
    <w:rsid w:val="005D1B3E"/>
    <w:rsid w:val="005F577D"/>
    <w:rsid w:val="0061369A"/>
    <w:rsid w:val="006201FA"/>
    <w:rsid w:val="0064235D"/>
    <w:rsid w:val="0064674F"/>
    <w:rsid w:val="00673E91"/>
    <w:rsid w:val="0067423A"/>
    <w:rsid w:val="006A72D6"/>
    <w:rsid w:val="006B793B"/>
    <w:rsid w:val="006C1FBC"/>
    <w:rsid w:val="006C224C"/>
    <w:rsid w:val="006C3C9E"/>
    <w:rsid w:val="006D60BC"/>
    <w:rsid w:val="006E5FEC"/>
    <w:rsid w:val="0071265B"/>
    <w:rsid w:val="00712F19"/>
    <w:rsid w:val="00722D78"/>
    <w:rsid w:val="00746EE0"/>
    <w:rsid w:val="007472FE"/>
    <w:rsid w:val="00783EEE"/>
    <w:rsid w:val="007920D6"/>
    <w:rsid w:val="00792604"/>
    <w:rsid w:val="007A5E50"/>
    <w:rsid w:val="007B191A"/>
    <w:rsid w:val="007E3DF1"/>
    <w:rsid w:val="007F495E"/>
    <w:rsid w:val="0080266D"/>
    <w:rsid w:val="0083462A"/>
    <w:rsid w:val="00841D69"/>
    <w:rsid w:val="00845F0F"/>
    <w:rsid w:val="0084731F"/>
    <w:rsid w:val="008539D7"/>
    <w:rsid w:val="0087633F"/>
    <w:rsid w:val="008824A1"/>
    <w:rsid w:val="008A41DF"/>
    <w:rsid w:val="00901DD0"/>
    <w:rsid w:val="009071B7"/>
    <w:rsid w:val="0091179C"/>
    <w:rsid w:val="00914380"/>
    <w:rsid w:val="00920E31"/>
    <w:rsid w:val="00953F68"/>
    <w:rsid w:val="009650FC"/>
    <w:rsid w:val="00992073"/>
    <w:rsid w:val="009A612E"/>
    <w:rsid w:val="009E45C7"/>
    <w:rsid w:val="00A0773C"/>
    <w:rsid w:val="00A169FF"/>
    <w:rsid w:val="00A21591"/>
    <w:rsid w:val="00A21D19"/>
    <w:rsid w:val="00A61C58"/>
    <w:rsid w:val="00A67EEC"/>
    <w:rsid w:val="00A83A83"/>
    <w:rsid w:val="00A855DD"/>
    <w:rsid w:val="00A8606D"/>
    <w:rsid w:val="00A96D10"/>
    <w:rsid w:val="00AC15E5"/>
    <w:rsid w:val="00AC1A22"/>
    <w:rsid w:val="00AE0555"/>
    <w:rsid w:val="00B27AE2"/>
    <w:rsid w:val="00B46D93"/>
    <w:rsid w:val="00B53A6B"/>
    <w:rsid w:val="00B940D0"/>
    <w:rsid w:val="00B975BF"/>
    <w:rsid w:val="00BA38CC"/>
    <w:rsid w:val="00BC029D"/>
    <w:rsid w:val="00BE2DD7"/>
    <w:rsid w:val="00BF04CA"/>
    <w:rsid w:val="00BF67D0"/>
    <w:rsid w:val="00C04556"/>
    <w:rsid w:val="00C1550E"/>
    <w:rsid w:val="00C45E74"/>
    <w:rsid w:val="00C64C78"/>
    <w:rsid w:val="00C75133"/>
    <w:rsid w:val="00CA1242"/>
    <w:rsid w:val="00CD64BE"/>
    <w:rsid w:val="00CE4F0E"/>
    <w:rsid w:val="00CE6E55"/>
    <w:rsid w:val="00CF1A07"/>
    <w:rsid w:val="00CF55B7"/>
    <w:rsid w:val="00D03959"/>
    <w:rsid w:val="00D45B60"/>
    <w:rsid w:val="00D856AA"/>
    <w:rsid w:val="00DB569B"/>
    <w:rsid w:val="00DB5C42"/>
    <w:rsid w:val="00DC4AA6"/>
    <w:rsid w:val="00DD0321"/>
    <w:rsid w:val="00DD46B3"/>
    <w:rsid w:val="00DD6369"/>
    <w:rsid w:val="00DF0360"/>
    <w:rsid w:val="00DF06B5"/>
    <w:rsid w:val="00E826E2"/>
    <w:rsid w:val="00EC0A54"/>
    <w:rsid w:val="00F07EF6"/>
    <w:rsid w:val="00F36DB1"/>
    <w:rsid w:val="00F576F7"/>
    <w:rsid w:val="00F747EC"/>
    <w:rsid w:val="00F923AA"/>
    <w:rsid w:val="00FA1D32"/>
    <w:rsid w:val="00FA6789"/>
    <w:rsid w:val="00FC50CA"/>
    <w:rsid w:val="00FD2222"/>
    <w:rsid w:val="00FE31B5"/>
    <w:rsid w:val="00FF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A19FF"/>
  <w15:chartTrackingRefBased/>
  <w15:docId w15:val="{13D1A96B-6A90-444F-ACEA-EDAC5004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74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2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23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7423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7423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7423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7423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7423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7423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7423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7423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74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23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74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23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7423A"/>
    <w:pPr>
      <w:spacing w:before="160"/>
      <w:jc w:val="center"/>
    </w:pPr>
    <w:rPr>
      <w:i/>
      <w:iCs/>
      <w:color w:val="404040" w:themeColor="text1" w:themeTint="BF"/>
    </w:rPr>
  </w:style>
  <w:style w:type="character" w:customStyle="1" w:styleId="QuoteChar">
    <w:name w:val="Quote Char"/>
    <w:basedOn w:val="DefaultParagraphFont"/>
    <w:link w:val="Quote"/>
    <w:uiPriority w:val="29"/>
    <w:rsid w:val="0067423A"/>
    <w:rPr>
      <w:i/>
      <w:iCs/>
      <w:color w:val="404040" w:themeColor="text1" w:themeTint="BF"/>
      <w:lang w:val="en-GB"/>
    </w:rPr>
  </w:style>
  <w:style w:type="paragraph" w:styleId="ListParagraph">
    <w:name w:val="List Paragraph"/>
    <w:basedOn w:val="Normal"/>
    <w:uiPriority w:val="34"/>
    <w:qFormat/>
    <w:rsid w:val="0067423A"/>
    <w:pPr>
      <w:ind w:left="720"/>
      <w:contextualSpacing/>
    </w:pPr>
  </w:style>
  <w:style w:type="character" w:styleId="IntenseEmphasis">
    <w:name w:val="Intense Emphasis"/>
    <w:basedOn w:val="DefaultParagraphFont"/>
    <w:uiPriority w:val="21"/>
    <w:qFormat/>
    <w:rsid w:val="0067423A"/>
    <w:rPr>
      <w:i/>
      <w:iCs/>
      <w:color w:val="2F5496" w:themeColor="accent1" w:themeShade="BF"/>
    </w:rPr>
  </w:style>
  <w:style w:type="paragraph" w:styleId="IntenseQuote">
    <w:name w:val="Intense Quote"/>
    <w:basedOn w:val="Normal"/>
    <w:next w:val="Normal"/>
    <w:link w:val="IntenseQuoteChar"/>
    <w:uiPriority w:val="30"/>
    <w:qFormat/>
    <w:rsid w:val="00674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23A"/>
    <w:rPr>
      <w:i/>
      <w:iCs/>
      <w:color w:val="2F5496" w:themeColor="accent1" w:themeShade="BF"/>
      <w:lang w:val="en-GB"/>
    </w:rPr>
  </w:style>
  <w:style w:type="character" w:styleId="IntenseReference">
    <w:name w:val="Intense Reference"/>
    <w:basedOn w:val="DefaultParagraphFont"/>
    <w:uiPriority w:val="32"/>
    <w:qFormat/>
    <w:rsid w:val="0067423A"/>
    <w:rPr>
      <w:b/>
      <w:bCs/>
      <w:smallCaps/>
      <w:color w:val="2F5496" w:themeColor="accent1" w:themeShade="BF"/>
      <w:spacing w:val="5"/>
    </w:rPr>
  </w:style>
  <w:style w:type="paragraph" w:styleId="NoSpacing">
    <w:name w:val="No Spacing"/>
    <w:aliases w:val="Chapter"/>
    <w:link w:val="NoSpacingChar"/>
    <w:uiPriority w:val="1"/>
    <w:qFormat/>
    <w:rsid w:val="005F577D"/>
    <w:pPr>
      <w:spacing w:after="0" w:line="240" w:lineRule="auto"/>
    </w:pPr>
    <w:rPr>
      <w:rFonts w:eastAsiaTheme="minorHAnsi"/>
      <w:kern w:val="0"/>
      <w:lang w:eastAsia="en-US"/>
      <w14:ligatures w14:val="none"/>
    </w:rPr>
  </w:style>
  <w:style w:type="character" w:customStyle="1" w:styleId="NoSpacingChar">
    <w:name w:val="No Spacing Char"/>
    <w:aliases w:val="Chapter Char"/>
    <w:basedOn w:val="DefaultParagraphFont"/>
    <w:link w:val="NoSpacing"/>
    <w:uiPriority w:val="1"/>
    <w:qFormat/>
    <w:rsid w:val="005F577D"/>
    <w:rPr>
      <w:rFonts w:eastAsiaTheme="minorHAnsi"/>
      <w:kern w:val="0"/>
      <w:lang w:eastAsia="en-US"/>
      <w14:ligatures w14:val="none"/>
    </w:rPr>
  </w:style>
  <w:style w:type="paragraph" w:customStyle="1" w:styleId="Default">
    <w:name w:val="Default"/>
    <w:link w:val="DefaultChar"/>
    <w:qFormat/>
    <w:rsid w:val="00C75133"/>
    <w:pPr>
      <w:autoSpaceDE w:val="0"/>
      <w:autoSpaceDN w:val="0"/>
      <w:adjustRightInd w:val="0"/>
      <w:spacing w:after="0" w:line="240" w:lineRule="auto"/>
    </w:pPr>
    <w:rPr>
      <w:rFonts w:ascii="Times New Roman" w:eastAsiaTheme="minorHAnsi" w:hAnsi="Times New Roman" w:cs="Times New Roman"/>
      <w:color w:val="000000"/>
      <w:kern w:val="0"/>
      <w:sz w:val="24"/>
      <w:szCs w:val="24"/>
      <w:lang w:val="en-ZA" w:eastAsia="en-US"/>
    </w:rPr>
  </w:style>
  <w:style w:type="character" w:customStyle="1" w:styleId="DefaultChar">
    <w:name w:val="Default Char"/>
    <w:link w:val="Default"/>
    <w:rsid w:val="00C75133"/>
    <w:rPr>
      <w:rFonts w:ascii="Times New Roman" w:eastAsiaTheme="minorHAnsi" w:hAnsi="Times New Roman" w:cs="Times New Roman"/>
      <w:color w:val="000000"/>
      <w:kern w:val="0"/>
      <w:sz w:val="24"/>
      <w:szCs w:val="24"/>
      <w:lang w:val="en-ZA" w:eastAsia="en-US"/>
    </w:rPr>
  </w:style>
  <w:style w:type="paragraph" w:styleId="Header">
    <w:name w:val="header"/>
    <w:basedOn w:val="Normal"/>
    <w:link w:val="HeaderChar"/>
    <w:uiPriority w:val="99"/>
    <w:unhideWhenUsed/>
    <w:rsid w:val="0005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170"/>
    <w:rPr>
      <w:lang w:val="en-GB"/>
    </w:rPr>
  </w:style>
  <w:style w:type="paragraph" w:styleId="Footer">
    <w:name w:val="footer"/>
    <w:basedOn w:val="Normal"/>
    <w:link w:val="FooterChar"/>
    <w:uiPriority w:val="99"/>
    <w:unhideWhenUsed/>
    <w:rsid w:val="0005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170"/>
    <w:rPr>
      <w:lang w:val="en-GB"/>
    </w:rPr>
  </w:style>
  <w:style w:type="character" w:styleId="LineNumber">
    <w:name w:val="line number"/>
    <w:basedOn w:val="DefaultParagraphFont"/>
    <w:uiPriority w:val="99"/>
    <w:semiHidden/>
    <w:unhideWhenUsed/>
    <w:rsid w:val="00C1550E"/>
  </w:style>
  <w:style w:type="character" w:styleId="Hyperlink">
    <w:name w:val="Hyperlink"/>
    <w:basedOn w:val="DefaultParagraphFont"/>
    <w:uiPriority w:val="99"/>
    <w:unhideWhenUsed/>
    <w:rsid w:val="008539D7"/>
    <w:rPr>
      <w:color w:val="0563C1" w:themeColor="hyperlink"/>
      <w:u w:val="single"/>
    </w:rPr>
  </w:style>
  <w:style w:type="character" w:customStyle="1" w:styleId="UnresolvedMention1">
    <w:name w:val="Unresolved Mention1"/>
    <w:basedOn w:val="DefaultParagraphFont"/>
    <w:uiPriority w:val="99"/>
    <w:semiHidden/>
    <w:unhideWhenUsed/>
    <w:rsid w:val="00CD64BE"/>
    <w:rPr>
      <w:color w:val="605E5C"/>
      <w:shd w:val="clear" w:color="auto" w:fill="E1DFDD"/>
    </w:rPr>
  </w:style>
  <w:style w:type="character" w:styleId="UnresolvedMention">
    <w:name w:val="Unresolved Mention"/>
    <w:basedOn w:val="DefaultParagraphFont"/>
    <w:uiPriority w:val="99"/>
    <w:semiHidden/>
    <w:unhideWhenUsed/>
    <w:rsid w:val="00907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311">
      <w:bodyDiv w:val="1"/>
      <w:marLeft w:val="0"/>
      <w:marRight w:val="0"/>
      <w:marTop w:val="0"/>
      <w:marBottom w:val="0"/>
      <w:divBdr>
        <w:top w:val="none" w:sz="0" w:space="0" w:color="auto"/>
        <w:left w:val="none" w:sz="0" w:space="0" w:color="auto"/>
        <w:bottom w:val="none" w:sz="0" w:space="0" w:color="auto"/>
        <w:right w:val="none" w:sz="0" w:space="0" w:color="auto"/>
      </w:divBdr>
    </w:div>
    <w:div w:id="86659733">
      <w:bodyDiv w:val="1"/>
      <w:marLeft w:val="0"/>
      <w:marRight w:val="0"/>
      <w:marTop w:val="0"/>
      <w:marBottom w:val="0"/>
      <w:divBdr>
        <w:top w:val="none" w:sz="0" w:space="0" w:color="auto"/>
        <w:left w:val="none" w:sz="0" w:space="0" w:color="auto"/>
        <w:bottom w:val="none" w:sz="0" w:space="0" w:color="auto"/>
        <w:right w:val="none" w:sz="0" w:space="0" w:color="auto"/>
      </w:divBdr>
    </w:div>
    <w:div w:id="103816236">
      <w:bodyDiv w:val="1"/>
      <w:marLeft w:val="0"/>
      <w:marRight w:val="0"/>
      <w:marTop w:val="0"/>
      <w:marBottom w:val="0"/>
      <w:divBdr>
        <w:top w:val="none" w:sz="0" w:space="0" w:color="auto"/>
        <w:left w:val="none" w:sz="0" w:space="0" w:color="auto"/>
        <w:bottom w:val="none" w:sz="0" w:space="0" w:color="auto"/>
        <w:right w:val="none" w:sz="0" w:space="0" w:color="auto"/>
      </w:divBdr>
    </w:div>
    <w:div w:id="104160809">
      <w:bodyDiv w:val="1"/>
      <w:marLeft w:val="0"/>
      <w:marRight w:val="0"/>
      <w:marTop w:val="0"/>
      <w:marBottom w:val="0"/>
      <w:divBdr>
        <w:top w:val="none" w:sz="0" w:space="0" w:color="auto"/>
        <w:left w:val="none" w:sz="0" w:space="0" w:color="auto"/>
        <w:bottom w:val="none" w:sz="0" w:space="0" w:color="auto"/>
        <w:right w:val="none" w:sz="0" w:space="0" w:color="auto"/>
      </w:divBdr>
    </w:div>
    <w:div w:id="148133265">
      <w:bodyDiv w:val="1"/>
      <w:marLeft w:val="0"/>
      <w:marRight w:val="0"/>
      <w:marTop w:val="0"/>
      <w:marBottom w:val="0"/>
      <w:divBdr>
        <w:top w:val="none" w:sz="0" w:space="0" w:color="auto"/>
        <w:left w:val="none" w:sz="0" w:space="0" w:color="auto"/>
        <w:bottom w:val="none" w:sz="0" w:space="0" w:color="auto"/>
        <w:right w:val="none" w:sz="0" w:space="0" w:color="auto"/>
      </w:divBdr>
    </w:div>
    <w:div w:id="253438092">
      <w:bodyDiv w:val="1"/>
      <w:marLeft w:val="0"/>
      <w:marRight w:val="0"/>
      <w:marTop w:val="0"/>
      <w:marBottom w:val="0"/>
      <w:divBdr>
        <w:top w:val="none" w:sz="0" w:space="0" w:color="auto"/>
        <w:left w:val="none" w:sz="0" w:space="0" w:color="auto"/>
        <w:bottom w:val="none" w:sz="0" w:space="0" w:color="auto"/>
        <w:right w:val="none" w:sz="0" w:space="0" w:color="auto"/>
      </w:divBdr>
    </w:div>
    <w:div w:id="367802526">
      <w:bodyDiv w:val="1"/>
      <w:marLeft w:val="0"/>
      <w:marRight w:val="0"/>
      <w:marTop w:val="0"/>
      <w:marBottom w:val="0"/>
      <w:divBdr>
        <w:top w:val="none" w:sz="0" w:space="0" w:color="auto"/>
        <w:left w:val="none" w:sz="0" w:space="0" w:color="auto"/>
        <w:bottom w:val="none" w:sz="0" w:space="0" w:color="auto"/>
        <w:right w:val="none" w:sz="0" w:space="0" w:color="auto"/>
      </w:divBdr>
    </w:div>
    <w:div w:id="497768404">
      <w:bodyDiv w:val="1"/>
      <w:marLeft w:val="0"/>
      <w:marRight w:val="0"/>
      <w:marTop w:val="0"/>
      <w:marBottom w:val="0"/>
      <w:divBdr>
        <w:top w:val="none" w:sz="0" w:space="0" w:color="auto"/>
        <w:left w:val="none" w:sz="0" w:space="0" w:color="auto"/>
        <w:bottom w:val="none" w:sz="0" w:space="0" w:color="auto"/>
        <w:right w:val="none" w:sz="0" w:space="0" w:color="auto"/>
      </w:divBdr>
    </w:div>
    <w:div w:id="547689975">
      <w:bodyDiv w:val="1"/>
      <w:marLeft w:val="0"/>
      <w:marRight w:val="0"/>
      <w:marTop w:val="0"/>
      <w:marBottom w:val="0"/>
      <w:divBdr>
        <w:top w:val="none" w:sz="0" w:space="0" w:color="auto"/>
        <w:left w:val="none" w:sz="0" w:space="0" w:color="auto"/>
        <w:bottom w:val="none" w:sz="0" w:space="0" w:color="auto"/>
        <w:right w:val="none" w:sz="0" w:space="0" w:color="auto"/>
      </w:divBdr>
    </w:div>
    <w:div w:id="564335501">
      <w:bodyDiv w:val="1"/>
      <w:marLeft w:val="0"/>
      <w:marRight w:val="0"/>
      <w:marTop w:val="0"/>
      <w:marBottom w:val="0"/>
      <w:divBdr>
        <w:top w:val="none" w:sz="0" w:space="0" w:color="auto"/>
        <w:left w:val="none" w:sz="0" w:space="0" w:color="auto"/>
        <w:bottom w:val="none" w:sz="0" w:space="0" w:color="auto"/>
        <w:right w:val="none" w:sz="0" w:space="0" w:color="auto"/>
      </w:divBdr>
    </w:div>
    <w:div w:id="571280109">
      <w:bodyDiv w:val="1"/>
      <w:marLeft w:val="0"/>
      <w:marRight w:val="0"/>
      <w:marTop w:val="0"/>
      <w:marBottom w:val="0"/>
      <w:divBdr>
        <w:top w:val="none" w:sz="0" w:space="0" w:color="auto"/>
        <w:left w:val="none" w:sz="0" w:space="0" w:color="auto"/>
        <w:bottom w:val="none" w:sz="0" w:space="0" w:color="auto"/>
        <w:right w:val="none" w:sz="0" w:space="0" w:color="auto"/>
      </w:divBdr>
    </w:div>
    <w:div w:id="573469124">
      <w:bodyDiv w:val="1"/>
      <w:marLeft w:val="0"/>
      <w:marRight w:val="0"/>
      <w:marTop w:val="0"/>
      <w:marBottom w:val="0"/>
      <w:divBdr>
        <w:top w:val="none" w:sz="0" w:space="0" w:color="auto"/>
        <w:left w:val="none" w:sz="0" w:space="0" w:color="auto"/>
        <w:bottom w:val="none" w:sz="0" w:space="0" w:color="auto"/>
        <w:right w:val="none" w:sz="0" w:space="0" w:color="auto"/>
      </w:divBdr>
    </w:div>
    <w:div w:id="609778122">
      <w:bodyDiv w:val="1"/>
      <w:marLeft w:val="0"/>
      <w:marRight w:val="0"/>
      <w:marTop w:val="0"/>
      <w:marBottom w:val="0"/>
      <w:divBdr>
        <w:top w:val="none" w:sz="0" w:space="0" w:color="auto"/>
        <w:left w:val="none" w:sz="0" w:space="0" w:color="auto"/>
        <w:bottom w:val="none" w:sz="0" w:space="0" w:color="auto"/>
        <w:right w:val="none" w:sz="0" w:space="0" w:color="auto"/>
      </w:divBdr>
    </w:div>
    <w:div w:id="656226391">
      <w:bodyDiv w:val="1"/>
      <w:marLeft w:val="0"/>
      <w:marRight w:val="0"/>
      <w:marTop w:val="0"/>
      <w:marBottom w:val="0"/>
      <w:divBdr>
        <w:top w:val="none" w:sz="0" w:space="0" w:color="auto"/>
        <w:left w:val="none" w:sz="0" w:space="0" w:color="auto"/>
        <w:bottom w:val="none" w:sz="0" w:space="0" w:color="auto"/>
        <w:right w:val="none" w:sz="0" w:space="0" w:color="auto"/>
      </w:divBdr>
    </w:div>
    <w:div w:id="688676653">
      <w:bodyDiv w:val="1"/>
      <w:marLeft w:val="0"/>
      <w:marRight w:val="0"/>
      <w:marTop w:val="0"/>
      <w:marBottom w:val="0"/>
      <w:divBdr>
        <w:top w:val="none" w:sz="0" w:space="0" w:color="auto"/>
        <w:left w:val="none" w:sz="0" w:space="0" w:color="auto"/>
        <w:bottom w:val="none" w:sz="0" w:space="0" w:color="auto"/>
        <w:right w:val="none" w:sz="0" w:space="0" w:color="auto"/>
      </w:divBdr>
    </w:div>
    <w:div w:id="716661875">
      <w:bodyDiv w:val="1"/>
      <w:marLeft w:val="0"/>
      <w:marRight w:val="0"/>
      <w:marTop w:val="0"/>
      <w:marBottom w:val="0"/>
      <w:divBdr>
        <w:top w:val="none" w:sz="0" w:space="0" w:color="auto"/>
        <w:left w:val="none" w:sz="0" w:space="0" w:color="auto"/>
        <w:bottom w:val="none" w:sz="0" w:space="0" w:color="auto"/>
        <w:right w:val="none" w:sz="0" w:space="0" w:color="auto"/>
      </w:divBdr>
    </w:div>
    <w:div w:id="827326962">
      <w:bodyDiv w:val="1"/>
      <w:marLeft w:val="0"/>
      <w:marRight w:val="0"/>
      <w:marTop w:val="0"/>
      <w:marBottom w:val="0"/>
      <w:divBdr>
        <w:top w:val="none" w:sz="0" w:space="0" w:color="auto"/>
        <w:left w:val="none" w:sz="0" w:space="0" w:color="auto"/>
        <w:bottom w:val="none" w:sz="0" w:space="0" w:color="auto"/>
        <w:right w:val="none" w:sz="0" w:space="0" w:color="auto"/>
      </w:divBdr>
    </w:div>
    <w:div w:id="862786204">
      <w:bodyDiv w:val="1"/>
      <w:marLeft w:val="0"/>
      <w:marRight w:val="0"/>
      <w:marTop w:val="0"/>
      <w:marBottom w:val="0"/>
      <w:divBdr>
        <w:top w:val="none" w:sz="0" w:space="0" w:color="auto"/>
        <w:left w:val="none" w:sz="0" w:space="0" w:color="auto"/>
        <w:bottom w:val="none" w:sz="0" w:space="0" w:color="auto"/>
        <w:right w:val="none" w:sz="0" w:space="0" w:color="auto"/>
      </w:divBdr>
    </w:div>
    <w:div w:id="862789082">
      <w:bodyDiv w:val="1"/>
      <w:marLeft w:val="0"/>
      <w:marRight w:val="0"/>
      <w:marTop w:val="0"/>
      <w:marBottom w:val="0"/>
      <w:divBdr>
        <w:top w:val="none" w:sz="0" w:space="0" w:color="auto"/>
        <w:left w:val="none" w:sz="0" w:space="0" w:color="auto"/>
        <w:bottom w:val="none" w:sz="0" w:space="0" w:color="auto"/>
        <w:right w:val="none" w:sz="0" w:space="0" w:color="auto"/>
      </w:divBdr>
    </w:div>
    <w:div w:id="882249684">
      <w:bodyDiv w:val="1"/>
      <w:marLeft w:val="0"/>
      <w:marRight w:val="0"/>
      <w:marTop w:val="0"/>
      <w:marBottom w:val="0"/>
      <w:divBdr>
        <w:top w:val="none" w:sz="0" w:space="0" w:color="auto"/>
        <w:left w:val="none" w:sz="0" w:space="0" w:color="auto"/>
        <w:bottom w:val="none" w:sz="0" w:space="0" w:color="auto"/>
        <w:right w:val="none" w:sz="0" w:space="0" w:color="auto"/>
      </w:divBdr>
    </w:div>
    <w:div w:id="946472510">
      <w:bodyDiv w:val="1"/>
      <w:marLeft w:val="0"/>
      <w:marRight w:val="0"/>
      <w:marTop w:val="0"/>
      <w:marBottom w:val="0"/>
      <w:divBdr>
        <w:top w:val="none" w:sz="0" w:space="0" w:color="auto"/>
        <w:left w:val="none" w:sz="0" w:space="0" w:color="auto"/>
        <w:bottom w:val="none" w:sz="0" w:space="0" w:color="auto"/>
        <w:right w:val="none" w:sz="0" w:space="0" w:color="auto"/>
      </w:divBdr>
    </w:div>
    <w:div w:id="1112474984">
      <w:bodyDiv w:val="1"/>
      <w:marLeft w:val="0"/>
      <w:marRight w:val="0"/>
      <w:marTop w:val="0"/>
      <w:marBottom w:val="0"/>
      <w:divBdr>
        <w:top w:val="none" w:sz="0" w:space="0" w:color="auto"/>
        <w:left w:val="none" w:sz="0" w:space="0" w:color="auto"/>
        <w:bottom w:val="none" w:sz="0" w:space="0" w:color="auto"/>
        <w:right w:val="none" w:sz="0" w:space="0" w:color="auto"/>
      </w:divBdr>
    </w:div>
    <w:div w:id="1136408069">
      <w:bodyDiv w:val="1"/>
      <w:marLeft w:val="0"/>
      <w:marRight w:val="0"/>
      <w:marTop w:val="0"/>
      <w:marBottom w:val="0"/>
      <w:divBdr>
        <w:top w:val="none" w:sz="0" w:space="0" w:color="auto"/>
        <w:left w:val="none" w:sz="0" w:space="0" w:color="auto"/>
        <w:bottom w:val="none" w:sz="0" w:space="0" w:color="auto"/>
        <w:right w:val="none" w:sz="0" w:space="0" w:color="auto"/>
      </w:divBdr>
    </w:div>
    <w:div w:id="1212234819">
      <w:bodyDiv w:val="1"/>
      <w:marLeft w:val="0"/>
      <w:marRight w:val="0"/>
      <w:marTop w:val="0"/>
      <w:marBottom w:val="0"/>
      <w:divBdr>
        <w:top w:val="none" w:sz="0" w:space="0" w:color="auto"/>
        <w:left w:val="none" w:sz="0" w:space="0" w:color="auto"/>
        <w:bottom w:val="none" w:sz="0" w:space="0" w:color="auto"/>
        <w:right w:val="none" w:sz="0" w:space="0" w:color="auto"/>
      </w:divBdr>
    </w:div>
    <w:div w:id="1284309200">
      <w:bodyDiv w:val="1"/>
      <w:marLeft w:val="0"/>
      <w:marRight w:val="0"/>
      <w:marTop w:val="0"/>
      <w:marBottom w:val="0"/>
      <w:divBdr>
        <w:top w:val="none" w:sz="0" w:space="0" w:color="auto"/>
        <w:left w:val="none" w:sz="0" w:space="0" w:color="auto"/>
        <w:bottom w:val="none" w:sz="0" w:space="0" w:color="auto"/>
        <w:right w:val="none" w:sz="0" w:space="0" w:color="auto"/>
      </w:divBdr>
    </w:div>
    <w:div w:id="1312754121">
      <w:bodyDiv w:val="1"/>
      <w:marLeft w:val="0"/>
      <w:marRight w:val="0"/>
      <w:marTop w:val="0"/>
      <w:marBottom w:val="0"/>
      <w:divBdr>
        <w:top w:val="none" w:sz="0" w:space="0" w:color="auto"/>
        <w:left w:val="none" w:sz="0" w:space="0" w:color="auto"/>
        <w:bottom w:val="none" w:sz="0" w:space="0" w:color="auto"/>
        <w:right w:val="none" w:sz="0" w:space="0" w:color="auto"/>
      </w:divBdr>
    </w:div>
    <w:div w:id="1375302905">
      <w:bodyDiv w:val="1"/>
      <w:marLeft w:val="0"/>
      <w:marRight w:val="0"/>
      <w:marTop w:val="0"/>
      <w:marBottom w:val="0"/>
      <w:divBdr>
        <w:top w:val="none" w:sz="0" w:space="0" w:color="auto"/>
        <w:left w:val="none" w:sz="0" w:space="0" w:color="auto"/>
        <w:bottom w:val="none" w:sz="0" w:space="0" w:color="auto"/>
        <w:right w:val="none" w:sz="0" w:space="0" w:color="auto"/>
      </w:divBdr>
    </w:div>
    <w:div w:id="1384060762">
      <w:bodyDiv w:val="1"/>
      <w:marLeft w:val="0"/>
      <w:marRight w:val="0"/>
      <w:marTop w:val="0"/>
      <w:marBottom w:val="0"/>
      <w:divBdr>
        <w:top w:val="none" w:sz="0" w:space="0" w:color="auto"/>
        <w:left w:val="none" w:sz="0" w:space="0" w:color="auto"/>
        <w:bottom w:val="none" w:sz="0" w:space="0" w:color="auto"/>
        <w:right w:val="none" w:sz="0" w:space="0" w:color="auto"/>
      </w:divBdr>
    </w:div>
    <w:div w:id="1404840759">
      <w:bodyDiv w:val="1"/>
      <w:marLeft w:val="0"/>
      <w:marRight w:val="0"/>
      <w:marTop w:val="0"/>
      <w:marBottom w:val="0"/>
      <w:divBdr>
        <w:top w:val="none" w:sz="0" w:space="0" w:color="auto"/>
        <w:left w:val="none" w:sz="0" w:space="0" w:color="auto"/>
        <w:bottom w:val="none" w:sz="0" w:space="0" w:color="auto"/>
        <w:right w:val="none" w:sz="0" w:space="0" w:color="auto"/>
      </w:divBdr>
    </w:div>
    <w:div w:id="1441100689">
      <w:bodyDiv w:val="1"/>
      <w:marLeft w:val="0"/>
      <w:marRight w:val="0"/>
      <w:marTop w:val="0"/>
      <w:marBottom w:val="0"/>
      <w:divBdr>
        <w:top w:val="none" w:sz="0" w:space="0" w:color="auto"/>
        <w:left w:val="none" w:sz="0" w:space="0" w:color="auto"/>
        <w:bottom w:val="none" w:sz="0" w:space="0" w:color="auto"/>
        <w:right w:val="none" w:sz="0" w:space="0" w:color="auto"/>
      </w:divBdr>
    </w:div>
    <w:div w:id="1481385576">
      <w:bodyDiv w:val="1"/>
      <w:marLeft w:val="0"/>
      <w:marRight w:val="0"/>
      <w:marTop w:val="0"/>
      <w:marBottom w:val="0"/>
      <w:divBdr>
        <w:top w:val="none" w:sz="0" w:space="0" w:color="auto"/>
        <w:left w:val="none" w:sz="0" w:space="0" w:color="auto"/>
        <w:bottom w:val="none" w:sz="0" w:space="0" w:color="auto"/>
        <w:right w:val="none" w:sz="0" w:space="0" w:color="auto"/>
      </w:divBdr>
    </w:div>
    <w:div w:id="1609391510">
      <w:bodyDiv w:val="1"/>
      <w:marLeft w:val="0"/>
      <w:marRight w:val="0"/>
      <w:marTop w:val="0"/>
      <w:marBottom w:val="0"/>
      <w:divBdr>
        <w:top w:val="none" w:sz="0" w:space="0" w:color="auto"/>
        <w:left w:val="none" w:sz="0" w:space="0" w:color="auto"/>
        <w:bottom w:val="none" w:sz="0" w:space="0" w:color="auto"/>
        <w:right w:val="none" w:sz="0" w:space="0" w:color="auto"/>
      </w:divBdr>
    </w:div>
    <w:div w:id="1632517362">
      <w:bodyDiv w:val="1"/>
      <w:marLeft w:val="0"/>
      <w:marRight w:val="0"/>
      <w:marTop w:val="0"/>
      <w:marBottom w:val="0"/>
      <w:divBdr>
        <w:top w:val="none" w:sz="0" w:space="0" w:color="auto"/>
        <w:left w:val="none" w:sz="0" w:space="0" w:color="auto"/>
        <w:bottom w:val="none" w:sz="0" w:space="0" w:color="auto"/>
        <w:right w:val="none" w:sz="0" w:space="0" w:color="auto"/>
      </w:divBdr>
    </w:div>
    <w:div w:id="1692686133">
      <w:bodyDiv w:val="1"/>
      <w:marLeft w:val="0"/>
      <w:marRight w:val="0"/>
      <w:marTop w:val="0"/>
      <w:marBottom w:val="0"/>
      <w:divBdr>
        <w:top w:val="none" w:sz="0" w:space="0" w:color="auto"/>
        <w:left w:val="none" w:sz="0" w:space="0" w:color="auto"/>
        <w:bottom w:val="none" w:sz="0" w:space="0" w:color="auto"/>
        <w:right w:val="none" w:sz="0" w:space="0" w:color="auto"/>
      </w:divBdr>
    </w:div>
    <w:div w:id="1736081074">
      <w:bodyDiv w:val="1"/>
      <w:marLeft w:val="0"/>
      <w:marRight w:val="0"/>
      <w:marTop w:val="0"/>
      <w:marBottom w:val="0"/>
      <w:divBdr>
        <w:top w:val="none" w:sz="0" w:space="0" w:color="auto"/>
        <w:left w:val="none" w:sz="0" w:space="0" w:color="auto"/>
        <w:bottom w:val="none" w:sz="0" w:space="0" w:color="auto"/>
        <w:right w:val="none" w:sz="0" w:space="0" w:color="auto"/>
      </w:divBdr>
    </w:div>
    <w:div w:id="1749306973">
      <w:bodyDiv w:val="1"/>
      <w:marLeft w:val="0"/>
      <w:marRight w:val="0"/>
      <w:marTop w:val="0"/>
      <w:marBottom w:val="0"/>
      <w:divBdr>
        <w:top w:val="none" w:sz="0" w:space="0" w:color="auto"/>
        <w:left w:val="none" w:sz="0" w:space="0" w:color="auto"/>
        <w:bottom w:val="none" w:sz="0" w:space="0" w:color="auto"/>
        <w:right w:val="none" w:sz="0" w:space="0" w:color="auto"/>
      </w:divBdr>
    </w:div>
    <w:div w:id="1767339153">
      <w:bodyDiv w:val="1"/>
      <w:marLeft w:val="0"/>
      <w:marRight w:val="0"/>
      <w:marTop w:val="0"/>
      <w:marBottom w:val="0"/>
      <w:divBdr>
        <w:top w:val="none" w:sz="0" w:space="0" w:color="auto"/>
        <w:left w:val="none" w:sz="0" w:space="0" w:color="auto"/>
        <w:bottom w:val="none" w:sz="0" w:space="0" w:color="auto"/>
        <w:right w:val="none" w:sz="0" w:space="0" w:color="auto"/>
      </w:divBdr>
    </w:div>
    <w:div w:id="1862545877">
      <w:bodyDiv w:val="1"/>
      <w:marLeft w:val="0"/>
      <w:marRight w:val="0"/>
      <w:marTop w:val="0"/>
      <w:marBottom w:val="0"/>
      <w:divBdr>
        <w:top w:val="none" w:sz="0" w:space="0" w:color="auto"/>
        <w:left w:val="none" w:sz="0" w:space="0" w:color="auto"/>
        <w:bottom w:val="none" w:sz="0" w:space="0" w:color="auto"/>
        <w:right w:val="none" w:sz="0" w:space="0" w:color="auto"/>
      </w:divBdr>
    </w:div>
    <w:div w:id="1907565948">
      <w:bodyDiv w:val="1"/>
      <w:marLeft w:val="0"/>
      <w:marRight w:val="0"/>
      <w:marTop w:val="0"/>
      <w:marBottom w:val="0"/>
      <w:divBdr>
        <w:top w:val="none" w:sz="0" w:space="0" w:color="auto"/>
        <w:left w:val="none" w:sz="0" w:space="0" w:color="auto"/>
        <w:bottom w:val="none" w:sz="0" w:space="0" w:color="auto"/>
        <w:right w:val="none" w:sz="0" w:space="0" w:color="auto"/>
      </w:divBdr>
    </w:div>
    <w:div w:id="1921017703">
      <w:bodyDiv w:val="1"/>
      <w:marLeft w:val="0"/>
      <w:marRight w:val="0"/>
      <w:marTop w:val="0"/>
      <w:marBottom w:val="0"/>
      <w:divBdr>
        <w:top w:val="none" w:sz="0" w:space="0" w:color="auto"/>
        <w:left w:val="none" w:sz="0" w:space="0" w:color="auto"/>
        <w:bottom w:val="none" w:sz="0" w:space="0" w:color="auto"/>
        <w:right w:val="none" w:sz="0" w:space="0" w:color="auto"/>
      </w:divBdr>
    </w:div>
    <w:div w:id="1968782280">
      <w:bodyDiv w:val="1"/>
      <w:marLeft w:val="0"/>
      <w:marRight w:val="0"/>
      <w:marTop w:val="0"/>
      <w:marBottom w:val="0"/>
      <w:divBdr>
        <w:top w:val="none" w:sz="0" w:space="0" w:color="auto"/>
        <w:left w:val="none" w:sz="0" w:space="0" w:color="auto"/>
        <w:bottom w:val="none" w:sz="0" w:space="0" w:color="auto"/>
        <w:right w:val="none" w:sz="0" w:space="0" w:color="auto"/>
      </w:divBdr>
    </w:div>
    <w:div w:id="2018382673">
      <w:bodyDiv w:val="1"/>
      <w:marLeft w:val="0"/>
      <w:marRight w:val="0"/>
      <w:marTop w:val="0"/>
      <w:marBottom w:val="0"/>
      <w:divBdr>
        <w:top w:val="none" w:sz="0" w:space="0" w:color="auto"/>
        <w:left w:val="none" w:sz="0" w:space="0" w:color="auto"/>
        <w:bottom w:val="none" w:sz="0" w:space="0" w:color="auto"/>
        <w:right w:val="none" w:sz="0" w:space="0" w:color="auto"/>
      </w:divBdr>
    </w:div>
    <w:div w:id="2020111390">
      <w:bodyDiv w:val="1"/>
      <w:marLeft w:val="0"/>
      <w:marRight w:val="0"/>
      <w:marTop w:val="0"/>
      <w:marBottom w:val="0"/>
      <w:divBdr>
        <w:top w:val="none" w:sz="0" w:space="0" w:color="auto"/>
        <w:left w:val="none" w:sz="0" w:space="0" w:color="auto"/>
        <w:bottom w:val="none" w:sz="0" w:space="0" w:color="auto"/>
        <w:right w:val="none" w:sz="0" w:space="0" w:color="auto"/>
      </w:divBdr>
    </w:div>
    <w:div w:id="20592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header" Target="head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10248</Words>
  <Characters>58414</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Obumneke  Ezie</dc:creator>
  <cp:keywords/>
  <dc:description/>
  <cp:lastModifiedBy>Editor-90</cp:lastModifiedBy>
  <cp:revision>5</cp:revision>
  <dcterms:created xsi:type="dcterms:W3CDTF">2025-05-22T07:57:00Z</dcterms:created>
  <dcterms:modified xsi:type="dcterms:W3CDTF">2025-05-22T12:03:00Z</dcterms:modified>
</cp:coreProperties>
</file>