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BB2C0" w14:textId="0EA97AC3" w:rsidR="00A258C3" w:rsidRPr="00790ADA" w:rsidRDefault="0006330B" w:rsidP="00441B6F">
      <w:pPr>
        <w:pStyle w:val="Author"/>
        <w:spacing w:line="240" w:lineRule="auto"/>
        <w:jc w:val="both"/>
        <w:rPr>
          <w:rFonts w:ascii="Arial" w:hAnsi="Arial" w:cs="Arial"/>
          <w:sz w:val="36"/>
        </w:rPr>
      </w:pPr>
      <w:r w:rsidRPr="0006330B">
        <w:rPr>
          <w:rFonts w:ascii="Arial" w:hAnsi="Arial" w:cs="Arial"/>
          <w:sz w:val="36"/>
        </w:rPr>
        <w:t>Oil Price Fluctuations, Institutional Quality and Wellbeing in the C</w:t>
      </w:r>
      <w:r w:rsidR="00B81434">
        <w:rPr>
          <w:rFonts w:ascii="Arial" w:hAnsi="Arial" w:cs="Arial"/>
          <w:sz w:val="36"/>
        </w:rPr>
        <w:t>ontext of Oil-Producing Nations</w:t>
      </w:r>
    </w:p>
    <w:p w14:paraId="5F1B8E45" w14:textId="77777777" w:rsidR="002C57D2" w:rsidRDefault="002C57D2" w:rsidP="00441B6F">
      <w:pPr>
        <w:pStyle w:val="Affiliation"/>
        <w:spacing w:after="0" w:line="240" w:lineRule="auto"/>
        <w:jc w:val="both"/>
        <w:rPr>
          <w:rFonts w:ascii="Arial" w:hAnsi="Arial" w:cs="Arial"/>
        </w:rPr>
      </w:pPr>
    </w:p>
    <w:p w14:paraId="5AFA57CA" w14:textId="77777777" w:rsidR="007E613C" w:rsidRDefault="007E613C" w:rsidP="00441B6F">
      <w:pPr>
        <w:pStyle w:val="Affiliation"/>
        <w:spacing w:after="0" w:line="240" w:lineRule="auto"/>
        <w:jc w:val="both"/>
        <w:rPr>
          <w:rFonts w:ascii="Arial" w:hAnsi="Arial" w:cs="Arial"/>
        </w:rPr>
      </w:pPr>
    </w:p>
    <w:p w14:paraId="0E617D7F" w14:textId="77777777" w:rsidR="007E613C" w:rsidRDefault="007E613C" w:rsidP="00441B6F">
      <w:pPr>
        <w:pStyle w:val="Affiliation"/>
        <w:spacing w:after="0" w:line="240" w:lineRule="auto"/>
        <w:jc w:val="both"/>
        <w:rPr>
          <w:rFonts w:ascii="Arial" w:hAnsi="Arial" w:cs="Arial"/>
        </w:rPr>
      </w:pPr>
    </w:p>
    <w:p w14:paraId="3474D35C" w14:textId="77777777" w:rsidR="007E613C" w:rsidRDefault="007E613C" w:rsidP="00441B6F">
      <w:pPr>
        <w:pStyle w:val="Affiliation"/>
        <w:spacing w:after="0" w:line="240" w:lineRule="auto"/>
        <w:jc w:val="both"/>
        <w:rPr>
          <w:rFonts w:ascii="Arial" w:hAnsi="Arial" w:cs="Arial"/>
        </w:rPr>
      </w:pPr>
    </w:p>
    <w:p w14:paraId="259A6B7B" w14:textId="77777777" w:rsidR="007E613C" w:rsidRDefault="007E613C" w:rsidP="00441B6F">
      <w:pPr>
        <w:pStyle w:val="Affiliation"/>
        <w:spacing w:after="0" w:line="240" w:lineRule="auto"/>
        <w:jc w:val="both"/>
        <w:rPr>
          <w:rFonts w:ascii="Arial" w:hAnsi="Arial" w:cs="Arial"/>
        </w:rPr>
      </w:pPr>
      <w:bookmarkStart w:id="0" w:name="_GoBack"/>
      <w:bookmarkEnd w:id="0"/>
    </w:p>
    <w:p w14:paraId="73D02F5A" w14:textId="77777777" w:rsidR="007E613C" w:rsidRPr="00FB3A86" w:rsidRDefault="007E613C" w:rsidP="00441B6F">
      <w:pPr>
        <w:pStyle w:val="Affiliation"/>
        <w:spacing w:after="0" w:line="240" w:lineRule="auto"/>
        <w:jc w:val="both"/>
        <w:rPr>
          <w:rFonts w:ascii="Arial" w:hAnsi="Arial" w:cs="Arial"/>
        </w:rPr>
      </w:pPr>
    </w:p>
    <w:p w14:paraId="3F2DE181" w14:textId="3C634F5E" w:rsidR="00B01FCD" w:rsidRPr="00FB3A86" w:rsidRDefault="0009026C" w:rsidP="00441B6F">
      <w:pPr>
        <w:pStyle w:val="Copyright"/>
        <w:spacing w:after="0" w:line="240" w:lineRule="auto"/>
        <w:jc w:val="both"/>
        <w:rPr>
          <w:rFonts w:ascii="Arial" w:hAnsi="Arial" w:cs="Arial"/>
        </w:rPr>
        <w:sectPr w:rsidR="00B01FCD" w:rsidRPr="00FB3A86" w:rsidSect="007E613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DA9FA1B" wp14:editId="2B677E41">
                <wp:extent cx="5303520" cy="635"/>
                <wp:effectExtent l="15240" t="12700" r="15240" b="15875"/>
                <wp:docPr id="165173026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9C9B32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E30F60A" w14:textId="69EA218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75BD83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7D62C71" w14:textId="77777777" w:rsidTr="001E44FE">
        <w:tc>
          <w:tcPr>
            <w:tcW w:w="9576" w:type="dxa"/>
            <w:shd w:val="clear" w:color="auto" w:fill="F2F2F2"/>
          </w:tcPr>
          <w:p w14:paraId="2C841F5A" w14:textId="7FAF2164" w:rsidR="00431140" w:rsidRPr="00431140" w:rsidRDefault="00431140" w:rsidP="00431140">
            <w:pPr>
              <w:pStyle w:val="Body"/>
              <w:spacing w:after="0"/>
              <w:rPr>
                <w:rFonts w:ascii="Arial" w:eastAsia="Calibri" w:hAnsi="Arial" w:cs="Arial"/>
                <w:szCs w:val="22"/>
              </w:rPr>
            </w:pPr>
            <w:r w:rsidRPr="00431140">
              <w:rPr>
                <w:rFonts w:ascii="Arial" w:eastAsia="Calibri" w:hAnsi="Arial" w:cs="Arial"/>
                <w:szCs w:val="22"/>
              </w:rPr>
              <w:t xml:space="preserve">Improving people’s well-being has taken center stage in public policy discourse and forms an essential ingredient in assessing the level of economic development of nations. Contextually, well-being encompasses having a good life, freedom of choice, health, good social relations, and security. In addition to other enablers, oil price and institutional quality have been linked as sources of wellbeing.  Though contradictory, there is still underreporting on the impact of oil price and institutional quality on well-being particularly for oil-producing countries. Thus, this study conceptualized well-being as the happiness </w:t>
            </w:r>
            <w:proofErr w:type="spellStart"/>
            <w:r w:rsidRPr="00431140">
              <w:rPr>
                <w:rFonts w:ascii="Arial" w:eastAsia="Calibri" w:hAnsi="Arial" w:cs="Arial"/>
                <w:szCs w:val="22"/>
              </w:rPr>
              <w:t>Cantril</w:t>
            </w:r>
            <w:proofErr w:type="spellEnd"/>
            <w:r w:rsidRPr="00431140">
              <w:rPr>
                <w:rFonts w:ascii="Arial" w:eastAsia="Calibri" w:hAnsi="Arial" w:cs="Arial"/>
                <w:szCs w:val="22"/>
              </w:rPr>
              <w:t xml:space="preserve"> ladder; institutional quality as the average of World Governance Indicators, and oil price as West Texas Intermediate. Utilizing a two-system GMM estimator for a panel dataset from the period 2006-2022, the findings of the study show that oil prices and institutional quality exert an </w:t>
            </w:r>
            <w:r w:rsidR="00B002B5">
              <w:rPr>
                <w:rFonts w:ascii="Arial" w:eastAsia="Calibri" w:hAnsi="Arial" w:cs="Arial"/>
                <w:szCs w:val="22"/>
              </w:rPr>
              <w:t>weak</w:t>
            </w:r>
            <w:r w:rsidRPr="00431140">
              <w:rPr>
                <w:rFonts w:ascii="Arial" w:eastAsia="Calibri" w:hAnsi="Arial" w:cs="Arial"/>
                <w:szCs w:val="22"/>
              </w:rPr>
              <w:t xml:space="preserve"> improvement on well-being both in the long and short runs. In terms of income, we found a negligible drop in well-being as income increases in the long and short run. </w:t>
            </w:r>
            <w:r w:rsidR="00AC079F">
              <w:rPr>
                <w:rFonts w:ascii="Arial" w:eastAsia="Calibri" w:hAnsi="Arial" w:cs="Arial"/>
                <w:szCs w:val="22"/>
              </w:rPr>
              <w:t xml:space="preserve">These finds suggest that being a </w:t>
            </w:r>
            <w:r w:rsidR="00AC079F" w:rsidRPr="00AC079F">
              <w:rPr>
                <w:rFonts w:ascii="Arial" w:eastAsia="Calibri" w:hAnsi="Arial" w:cs="Arial"/>
                <w:szCs w:val="22"/>
              </w:rPr>
              <w:t>resource-rich nation</w:t>
            </w:r>
            <w:r w:rsidR="00AC079F">
              <w:rPr>
                <w:rFonts w:ascii="Arial" w:eastAsia="Calibri" w:hAnsi="Arial" w:cs="Arial"/>
                <w:szCs w:val="22"/>
              </w:rPr>
              <w:t xml:space="preserve"> does not guarantee robust wellbeing of people.</w:t>
            </w:r>
            <w:r w:rsidR="00AC079F" w:rsidRPr="00AC079F">
              <w:rPr>
                <w:rFonts w:ascii="Arial" w:eastAsia="Calibri" w:hAnsi="Arial" w:cs="Arial"/>
                <w:szCs w:val="22"/>
              </w:rPr>
              <w:t xml:space="preserve"> </w:t>
            </w:r>
            <w:r w:rsidRPr="00431140">
              <w:rPr>
                <w:rFonts w:ascii="Arial" w:eastAsia="Calibri" w:hAnsi="Arial" w:cs="Arial"/>
                <w:szCs w:val="22"/>
              </w:rPr>
              <w:t xml:space="preserve">Based on the findings, it is imperative to highlight that individual well-being could be enhanced by allocating more oil revenue to projects that enable well-being and strengthening institutional frameworks that guarantees improvements in wellbeing. </w:t>
            </w:r>
          </w:p>
          <w:p w14:paraId="76D58181" w14:textId="212FE21C" w:rsidR="00505F06" w:rsidRPr="00BA1B01" w:rsidRDefault="00431140" w:rsidP="00441B6F">
            <w:pPr>
              <w:pStyle w:val="Body"/>
              <w:spacing w:after="0"/>
              <w:rPr>
                <w:rFonts w:ascii="Arial" w:eastAsia="Calibri" w:hAnsi="Arial" w:cs="Arial"/>
                <w:szCs w:val="22"/>
              </w:rPr>
            </w:pPr>
            <w:r w:rsidRPr="00431140">
              <w:rPr>
                <w:rFonts w:ascii="Arial" w:eastAsia="Calibri" w:hAnsi="Arial" w:cs="Arial"/>
                <w:szCs w:val="22"/>
              </w:rPr>
              <w:t>Keywords: Well-being, institutional quality, oil price, oil-producing nations</w:t>
            </w:r>
          </w:p>
        </w:tc>
      </w:tr>
    </w:tbl>
    <w:p w14:paraId="6E73F18B" w14:textId="77777777" w:rsidR="00636EB2" w:rsidRDefault="00636EB2" w:rsidP="00441B6F">
      <w:pPr>
        <w:pStyle w:val="Body"/>
        <w:spacing w:after="0"/>
        <w:rPr>
          <w:rFonts w:ascii="Arial" w:hAnsi="Arial" w:cs="Arial"/>
          <w:i/>
        </w:rPr>
      </w:pPr>
    </w:p>
    <w:p w14:paraId="7106637E" w14:textId="27095DB4" w:rsidR="00A24E7E" w:rsidRDefault="00A24E7E" w:rsidP="00441B6F">
      <w:pPr>
        <w:pStyle w:val="Body"/>
        <w:spacing w:after="0"/>
        <w:rPr>
          <w:rFonts w:ascii="Arial" w:hAnsi="Arial" w:cs="Arial"/>
          <w:i/>
        </w:rPr>
      </w:pPr>
      <w:r>
        <w:rPr>
          <w:rFonts w:ascii="Arial" w:hAnsi="Arial" w:cs="Arial"/>
          <w:i/>
        </w:rPr>
        <w:t>Keywords:</w:t>
      </w:r>
      <w:r w:rsidR="00431140" w:rsidRPr="00431140">
        <w:rPr>
          <w:rFonts w:ascii="Times New Roman" w:eastAsiaTheme="minorHAnsi" w:hAnsi="Times New Roman"/>
          <w:sz w:val="24"/>
          <w:szCs w:val="24"/>
        </w:rPr>
        <w:t xml:space="preserve"> </w:t>
      </w:r>
      <w:r w:rsidR="00431140" w:rsidRPr="00431140">
        <w:rPr>
          <w:rFonts w:ascii="Arial" w:hAnsi="Arial" w:cs="Arial"/>
          <w:i/>
        </w:rPr>
        <w:t>Well-being, institutional quality, oil price, oil-producing nations</w:t>
      </w:r>
      <w:r>
        <w:rPr>
          <w:rFonts w:ascii="Arial" w:hAnsi="Arial" w:cs="Arial"/>
          <w:i/>
        </w:rPr>
        <w:t xml:space="preserve"> </w:t>
      </w:r>
    </w:p>
    <w:p w14:paraId="1D23DEAC" w14:textId="77777777" w:rsidR="00790ADA" w:rsidRDefault="00790ADA" w:rsidP="00441B6F">
      <w:pPr>
        <w:pStyle w:val="Body"/>
        <w:spacing w:after="0"/>
        <w:rPr>
          <w:rFonts w:ascii="Arial" w:hAnsi="Arial" w:cs="Arial"/>
          <w:i/>
        </w:rPr>
      </w:pPr>
    </w:p>
    <w:p w14:paraId="5E31490B" w14:textId="77777777" w:rsidR="0024282C" w:rsidRDefault="0024282C" w:rsidP="00441B6F">
      <w:pPr>
        <w:pStyle w:val="Body"/>
        <w:spacing w:after="0"/>
        <w:rPr>
          <w:rFonts w:ascii="Arial" w:hAnsi="Arial" w:cs="Arial"/>
          <w:i/>
          <w:sz w:val="18"/>
        </w:rPr>
      </w:pPr>
    </w:p>
    <w:p w14:paraId="23CC20B6" w14:textId="77777777" w:rsidR="00505F06" w:rsidRPr="00A24E7E" w:rsidRDefault="00505F06" w:rsidP="00441B6F">
      <w:pPr>
        <w:pStyle w:val="Body"/>
        <w:spacing w:after="0"/>
        <w:rPr>
          <w:rFonts w:ascii="Arial" w:hAnsi="Arial" w:cs="Arial"/>
          <w:i/>
        </w:rPr>
      </w:pPr>
    </w:p>
    <w:p w14:paraId="690FA74D" w14:textId="06047ED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892363A" w14:textId="77777777" w:rsidR="00790ADA" w:rsidRPr="00FB3A86" w:rsidRDefault="00790ADA" w:rsidP="00441B6F">
      <w:pPr>
        <w:pStyle w:val="AbstHead"/>
        <w:spacing w:after="0"/>
        <w:jc w:val="both"/>
        <w:rPr>
          <w:rFonts w:ascii="Arial" w:hAnsi="Arial" w:cs="Arial"/>
        </w:rPr>
      </w:pPr>
    </w:p>
    <w:p w14:paraId="0F16F914" w14:textId="77777777" w:rsidR="00431140" w:rsidRPr="00431140" w:rsidRDefault="00431140" w:rsidP="00431140">
      <w:pPr>
        <w:pStyle w:val="Body"/>
        <w:rPr>
          <w:rFonts w:ascii="Arial" w:hAnsi="Arial" w:cs="Arial"/>
        </w:rPr>
      </w:pPr>
      <w:r w:rsidRPr="00431140">
        <w:rPr>
          <w:rFonts w:ascii="Arial" w:hAnsi="Arial" w:cs="Arial"/>
        </w:rPr>
        <w:t>The United Nations (UN) development goals are proposed to offer happiness to all societies. In alignment with this mission, it adopted Resolution 66/281 in 2012, designating the 20</w:t>
      </w:r>
      <w:r w:rsidRPr="00431140">
        <w:rPr>
          <w:rFonts w:ascii="Arial" w:hAnsi="Arial" w:cs="Arial"/>
          <w:vertAlign w:val="superscript"/>
        </w:rPr>
        <w:t>th</w:t>
      </w:r>
      <w:r w:rsidRPr="00431140">
        <w:rPr>
          <w:rFonts w:ascii="Arial" w:hAnsi="Arial" w:cs="Arial"/>
        </w:rPr>
        <w:t xml:space="preserve"> of March annually as International Happiness Day. Thereafter, a conscious pursuit of individual happiness and well-being formed an integral part of public policies and a measure of economic progress. Putting forward the palpable role played by oil prices in oil-producing economies alongside the assumed well-being of individuals in oil-producing countries, investigating the influence of oil prices on individuals’ happiness in oil-producing countries becomes very crucial. </w:t>
      </w:r>
      <w:proofErr w:type="spellStart"/>
      <w:r w:rsidRPr="00431140">
        <w:rPr>
          <w:rFonts w:ascii="Arial" w:hAnsi="Arial" w:cs="Arial"/>
        </w:rPr>
        <w:t>Bjornland</w:t>
      </w:r>
      <w:proofErr w:type="spellEnd"/>
      <w:r w:rsidRPr="00431140">
        <w:rPr>
          <w:rFonts w:ascii="Arial" w:hAnsi="Arial" w:cs="Arial"/>
        </w:rPr>
        <w:t xml:space="preserve"> (2009) asserts that an increase in oil price and, consequently, an increase in the income of oil-exporting countries will positively affect their economic performance. Accordingly, increased income result </w:t>
      </w:r>
      <w:proofErr w:type="gramStart"/>
      <w:r w:rsidRPr="00431140">
        <w:rPr>
          <w:rFonts w:ascii="Arial" w:hAnsi="Arial" w:cs="Arial"/>
        </w:rPr>
        <w:t>to  increased</w:t>
      </w:r>
      <w:proofErr w:type="gramEnd"/>
      <w:r w:rsidRPr="00431140">
        <w:rPr>
          <w:rFonts w:ascii="Arial" w:hAnsi="Arial" w:cs="Arial"/>
        </w:rPr>
        <w:t xml:space="preserve"> spending, leading to higher investment in the economy. This will increase production, reduce unemployment, and, in turn, enhance well-being. Any economic policy, beyond promoting economic activity, is commendable if it contributes to human well-being or happiness (Frey and Stutzer, 2002). Human well-being has multiple constituents, including basic </w:t>
      </w:r>
      <w:bookmarkStart w:id="1" w:name="_Hlk171449929"/>
      <w:r w:rsidRPr="00431140">
        <w:rPr>
          <w:rFonts w:ascii="Arial" w:hAnsi="Arial" w:cs="Arial"/>
        </w:rPr>
        <w:t xml:space="preserve">material for a good life, freedom and choice, health, good social relations, and security </w:t>
      </w:r>
      <w:bookmarkEnd w:id="1"/>
      <w:r w:rsidRPr="00431140">
        <w:rPr>
          <w:rFonts w:ascii="Arial" w:hAnsi="Arial" w:cs="Arial"/>
        </w:rPr>
        <w:t>(</w:t>
      </w:r>
      <w:bookmarkStart w:id="2" w:name="_Hlk174304529"/>
      <w:r w:rsidRPr="00431140">
        <w:rPr>
          <w:rFonts w:ascii="Arial" w:hAnsi="Arial" w:cs="Arial"/>
        </w:rPr>
        <w:t>OECD,</w:t>
      </w:r>
      <w:bookmarkEnd w:id="2"/>
      <w:r w:rsidRPr="00431140">
        <w:rPr>
          <w:rFonts w:ascii="Arial" w:hAnsi="Arial" w:cs="Arial"/>
        </w:rPr>
        <w:t xml:space="preserve"> 2011).</w:t>
      </w:r>
    </w:p>
    <w:p w14:paraId="7F5E3A3F" w14:textId="77777777" w:rsidR="00431140" w:rsidRPr="00431140" w:rsidRDefault="00431140" w:rsidP="00431140">
      <w:pPr>
        <w:pStyle w:val="Body"/>
        <w:rPr>
          <w:rFonts w:ascii="Arial" w:hAnsi="Arial" w:cs="Arial"/>
        </w:rPr>
      </w:pPr>
    </w:p>
    <w:p w14:paraId="5CED75C0" w14:textId="77777777" w:rsidR="00431140" w:rsidRPr="00431140" w:rsidRDefault="00431140" w:rsidP="00431140">
      <w:pPr>
        <w:pStyle w:val="Body"/>
        <w:rPr>
          <w:rFonts w:ascii="Arial" w:hAnsi="Arial" w:cs="Arial"/>
        </w:rPr>
      </w:pPr>
      <w:r w:rsidRPr="00431140">
        <w:rPr>
          <w:rFonts w:ascii="Arial" w:hAnsi="Arial" w:cs="Arial"/>
        </w:rPr>
        <w:lastRenderedPageBreak/>
        <w:t xml:space="preserve">Oil-price fluctuations have been significant over the past decade and have generally been accompanied by corresponding movements in capital markets and general commercial activities </w:t>
      </w:r>
      <w:bookmarkStart w:id="3" w:name="_Hlk196919646"/>
      <w:r w:rsidRPr="00431140">
        <w:rPr>
          <w:rFonts w:ascii="Arial" w:hAnsi="Arial" w:cs="Arial"/>
        </w:rPr>
        <w:t>(</w:t>
      </w:r>
      <w:proofErr w:type="spellStart"/>
      <w:r w:rsidRPr="00431140">
        <w:rPr>
          <w:rFonts w:ascii="Arial" w:hAnsi="Arial" w:cs="Arial"/>
        </w:rPr>
        <w:t>Degiannakis</w:t>
      </w:r>
      <w:proofErr w:type="spellEnd"/>
      <w:r w:rsidRPr="00431140">
        <w:rPr>
          <w:rFonts w:ascii="Arial" w:hAnsi="Arial" w:cs="Arial"/>
        </w:rPr>
        <w:t xml:space="preserve"> et al., 2018; Nwosu, 2019). </w:t>
      </w:r>
      <w:bookmarkEnd w:id="3"/>
      <w:r w:rsidRPr="00431140">
        <w:rPr>
          <w:rFonts w:ascii="Arial" w:hAnsi="Arial" w:cs="Arial"/>
        </w:rPr>
        <w:t>Amel et al (2024) observed that oil price fluctuation is primarily due to forces of demand and supply. Weaker global oil demand increases oil price while excessive supply dampens oil price.  The fluctuations in oil price affect the economic trajectory of both oil-importing and exporting countries since they invoke uncertainties that may disrupt economic activities. Due to the demand volume, and value of oil traded in the international market, the price of oil serves as an economic signal which can potentially destabilize price expectations (</w:t>
      </w:r>
      <w:bookmarkStart w:id="4" w:name="_Hlk166353300"/>
      <w:r w:rsidRPr="00431140">
        <w:rPr>
          <w:rFonts w:ascii="Arial" w:hAnsi="Arial" w:cs="Arial"/>
        </w:rPr>
        <w:t>Seun and Chijioke, 2019</w:t>
      </w:r>
      <w:bookmarkEnd w:id="4"/>
      <w:r w:rsidRPr="00431140">
        <w:rPr>
          <w:rFonts w:ascii="Arial" w:hAnsi="Arial" w:cs="Arial"/>
        </w:rPr>
        <w:t xml:space="preserve">). The controversy surrounding oil pricing policy is often based on its likely impact on the economy’s welfare through inflation (Richard, 2021).  Even though, the effect of oil price variations depends on the structure of the economy and its stabilization policies. Many countries insulate their economies from volatile oil price and its potential impact on well-being by setting a targeted domestic oil price (Qing et al, 2014).  When global oil prices rise, government subsidies are used but when the price falls, taxes are applied. </w:t>
      </w:r>
    </w:p>
    <w:p w14:paraId="1CCB3220" w14:textId="77777777" w:rsidR="00431140" w:rsidRPr="00431140" w:rsidRDefault="00431140" w:rsidP="00431140">
      <w:pPr>
        <w:pStyle w:val="Body"/>
        <w:rPr>
          <w:rFonts w:ascii="Arial" w:hAnsi="Arial" w:cs="Arial"/>
        </w:rPr>
      </w:pPr>
      <w:r w:rsidRPr="00431140">
        <w:rPr>
          <w:rFonts w:ascii="Arial" w:hAnsi="Arial" w:cs="Arial"/>
        </w:rPr>
        <w:t>Theoretically, when oil price rises, oil exporting countries experience a surge in foreign exchange earnings which enhances economic growth. This further increases income of workers and leads improvements in well-being. Contrarily, a decline in oil price is predicted to have a detrimental impact on oil price receipts, which will therefore have a negative impact on economic growth and people’s wellbeing. Thus, a persistent decline in oil price stifles economic expansion of most oil exporters and subsequently hurts people's quality of life.</w:t>
      </w:r>
    </w:p>
    <w:p w14:paraId="3A4EB444" w14:textId="77777777" w:rsidR="00431140" w:rsidRPr="00431140" w:rsidRDefault="00431140" w:rsidP="00431140">
      <w:pPr>
        <w:pStyle w:val="Body"/>
        <w:rPr>
          <w:rFonts w:ascii="Arial" w:hAnsi="Arial" w:cs="Arial"/>
        </w:rPr>
      </w:pPr>
      <w:r w:rsidRPr="00431140">
        <w:rPr>
          <w:rFonts w:ascii="Arial" w:hAnsi="Arial" w:cs="Arial"/>
        </w:rPr>
        <w:t xml:space="preserve">On the other hand, good governance has been recognized as a tool to drive people’s happiness. Haung (2016) argued that many governments have, in addition to national and global competitiveness, focused on the happiness or subjective well-being of the people. In this regard, happiness has emerged as an economic and political issue. Ott (2010) argued that strong quality of governance positively impacts wealth, suggesting that governance is likely to have a positive impact on happiness. He further explained that wealth is important for happiness and that government can provide conditions for safety, healthcare, and a minimal level of social justice and equality which are all drivers of happiness and wellbeing. Moreso, Frey and Stutzer, (2005) argues that good governance can affect happiness directly through ‘procedure utility’ because people experience happiness when treated fairly and equitably, participate in decision-making, and are treated beyond what they could hope for. Unarguably, if governance attends its optimal level, it will effectively evolve conditions that will enhance happiness, such as control of corruption that may promote growth and social trust (Ott,2013) </w:t>
      </w:r>
    </w:p>
    <w:p w14:paraId="786668D8" w14:textId="77777777" w:rsidR="00431140" w:rsidRPr="00431140" w:rsidRDefault="00431140" w:rsidP="00431140">
      <w:pPr>
        <w:pStyle w:val="Body"/>
        <w:rPr>
          <w:rFonts w:ascii="Arial" w:hAnsi="Arial" w:cs="Arial"/>
        </w:rPr>
      </w:pPr>
      <w:r w:rsidRPr="00431140">
        <w:rPr>
          <w:rFonts w:ascii="Arial" w:hAnsi="Arial" w:cs="Arial"/>
        </w:rPr>
        <w:t xml:space="preserve">Several studies on individuals’ happiness have evolved after the UN declaration in 2012. Many of such studies linked economic growth, education, income, inflation uncertainty, technology, good governance, environmental quality, unemployment, oil price, and internet to happiness (Araki, 2022; Yang, et al 2022; </w:t>
      </w:r>
      <w:proofErr w:type="spellStart"/>
      <w:r w:rsidRPr="00431140">
        <w:rPr>
          <w:rFonts w:ascii="Arial" w:hAnsi="Arial" w:cs="Arial"/>
        </w:rPr>
        <w:t>Zeqiri</w:t>
      </w:r>
      <w:proofErr w:type="spellEnd"/>
      <w:r w:rsidRPr="00431140">
        <w:rPr>
          <w:rFonts w:ascii="Arial" w:hAnsi="Arial" w:cs="Arial"/>
        </w:rPr>
        <w:t xml:space="preserve">, 2020; </w:t>
      </w:r>
      <w:proofErr w:type="spellStart"/>
      <w:r w:rsidRPr="00431140">
        <w:rPr>
          <w:rFonts w:ascii="Arial" w:hAnsi="Arial" w:cs="Arial"/>
        </w:rPr>
        <w:t>Taherizadeh</w:t>
      </w:r>
      <w:proofErr w:type="spellEnd"/>
      <w:r w:rsidRPr="00431140">
        <w:rPr>
          <w:rFonts w:ascii="Arial" w:hAnsi="Arial" w:cs="Arial"/>
        </w:rPr>
        <w:t xml:space="preserve">, et al 2023; </w:t>
      </w:r>
      <w:bookmarkStart w:id="5" w:name="_Hlk165585438"/>
      <w:proofErr w:type="spellStart"/>
      <w:r w:rsidRPr="00431140">
        <w:rPr>
          <w:rFonts w:ascii="Arial" w:hAnsi="Arial" w:cs="Arial"/>
        </w:rPr>
        <w:t>Uche</w:t>
      </w:r>
      <w:proofErr w:type="spellEnd"/>
      <w:r w:rsidRPr="00431140">
        <w:rPr>
          <w:rFonts w:ascii="Arial" w:hAnsi="Arial" w:cs="Arial"/>
        </w:rPr>
        <w:t xml:space="preserve"> and </w:t>
      </w:r>
      <w:proofErr w:type="spellStart"/>
      <w:r w:rsidRPr="00431140">
        <w:rPr>
          <w:rFonts w:ascii="Arial" w:hAnsi="Arial" w:cs="Arial"/>
        </w:rPr>
        <w:t>Ngepah</w:t>
      </w:r>
      <w:proofErr w:type="spellEnd"/>
      <w:r w:rsidRPr="00431140">
        <w:rPr>
          <w:rFonts w:ascii="Arial" w:hAnsi="Arial" w:cs="Arial"/>
        </w:rPr>
        <w:t xml:space="preserve">, 2024; </w:t>
      </w:r>
      <w:proofErr w:type="spellStart"/>
      <w:r w:rsidRPr="00431140">
        <w:rPr>
          <w:rFonts w:ascii="Arial" w:hAnsi="Arial" w:cs="Arial"/>
        </w:rPr>
        <w:t>Mochon</w:t>
      </w:r>
      <w:proofErr w:type="spellEnd"/>
      <w:r w:rsidRPr="00431140">
        <w:rPr>
          <w:rFonts w:ascii="Arial" w:hAnsi="Arial" w:cs="Arial"/>
        </w:rPr>
        <w:t>, 2018</w:t>
      </w:r>
      <w:bookmarkEnd w:id="5"/>
      <w:r w:rsidRPr="00431140">
        <w:rPr>
          <w:rFonts w:ascii="Arial" w:hAnsi="Arial" w:cs="Arial"/>
        </w:rPr>
        <w:t xml:space="preserve">; Sui, et al 2022; </w:t>
      </w:r>
      <w:bookmarkStart w:id="6" w:name="_Hlk165648830"/>
      <w:proofErr w:type="spellStart"/>
      <w:r w:rsidRPr="00431140">
        <w:rPr>
          <w:rFonts w:ascii="Arial" w:hAnsi="Arial" w:cs="Arial"/>
        </w:rPr>
        <w:t>Domguia</w:t>
      </w:r>
      <w:proofErr w:type="spellEnd"/>
      <w:r w:rsidRPr="00431140">
        <w:rPr>
          <w:rFonts w:ascii="Arial" w:hAnsi="Arial" w:cs="Arial"/>
        </w:rPr>
        <w:t xml:space="preserve"> and </w:t>
      </w:r>
      <w:proofErr w:type="spellStart"/>
      <w:r w:rsidRPr="00431140">
        <w:rPr>
          <w:rFonts w:ascii="Arial" w:hAnsi="Arial" w:cs="Arial"/>
        </w:rPr>
        <w:t>Poumie</w:t>
      </w:r>
      <w:proofErr w:type="spellEnd"/>
      <w:r w:rsidRPr="00431140">
        <w:rPr>
          <w:rFonts w:ascii="Arial" w:hAnsi="Arial" w:cs="Arial"/>
        </w:rPr>
        <w:t xml:space="preserve"> 2019</w:t>
      </w:r>
      <w:bookmarkEnd w:id="6"/>
      <w:r w:rsidRPr="00431140">
        <w:rPr>
          <w:rFonts w:ascii="Arial" w:hAnsi="Arial" w:cs="Arial"/>
        </w:rPr>
        <w:t>; and Haung 2016). Majority of these studies agree that well-being is linked to economic growth even though many of them are country-specific studies while a few considered country groups. However, none of the aforementioned studies considered specifically, oil producing countries. This presents a major research gap because of the potential implication on people’s wellbeing. It is imperative to highlight that, to the best of our knowledge, none of the previous studies had focused on the happiness of individuals in oil-producing countries. Specifically, none of these studies simultaneously linked oil price change, institutional quality, income per capita, and exchange rate to happiness in oil-producing countries. This present study is incentivized to fill this happiness and oil price literature gap.</w:t>
      </w:r>
    </w:p>
    <w:p w14:paraId="0BD12600" w14:textId="77777777" w:rsidR="00431140" w:rsidRPr="00431140" w:rsidRDefault="00431140" w:rsidP="00431140">
      <w:pPr>
        <w:pStyle w:val="Body"/>
        <w:rPr>
          <w:rFonts w:ascii="Arial" w:hAnsi="Arial" w:cs="Arial"/>
        </w:rPr>
      </w:pPr>
      <w:r w:rsidRPr="00431140">
        <w:rPr>
          <w:rFonts w:ascii="Arial" w:hAnsi="Arial" w:cs="Arial"/>
        </w:rPr>
        <w:t xml:space="preserve">This study, therefore, examines the impact of oil price fluctuations and institutional quality on happiness of nineteen (19) oil-producing countries of Africa, Asia, Europe, the Middle East, South America, and the United States. </w:t>
      </w:r>
      <w:bookmarkStart w:id="7" w:name="_Hlk168864917"/>
      <w:r w:rsidRPr="00431140">
        <w:rPr>
          <w:rFonts w:ascii="Arial" w:hAnsi="Arial" w:cs="Arial"/>
        </w:rPr>
        <w:t>Expectedly, huge foreign exchange accrues to oil-producing nations and individual well-being is assumed to be high. Similarly, institutional quality is also assumed to enhance the individual well-being of this nations. On the above premises, this current study addressed the following question: How do oil prices and institutional quality affect well-being in oil-producing countries?</w:t>
      </w:r>
      <w:bookmarkEnd w:id="7"/>
      <w:r w:rsidRPr="00431140">
        <w:rPr>
          <w:rFonts w:ascii="Arial" w:hAnsi="Arial" w:cs="Arial"/>
        </w:rPr>
        <w:t xml:space="preserve"> </w:t>
      </w:r>
    </w:p>
    <w:p w14:paraId="71AB8778" w14:textId="77777777" w:rsidR="00431140" w:rsidRPr="00431140" w:rsidRDefault="00431140" w:rsidP="00431140">
      <w:pPr>
        <w:pStyle w:val="Body"/>
        <w:rPr>
          <w:rFonts w:ascii="Arial" w:hAnsi="Arial" w:cs="Arial"/>
          <w:b/>
          <w:bCs/>
        </w:rPr>
      </w:pPr>
      <w:r w:rsidRPr="00431140">
        <w:rPr>
          <w:rFonts w:ascii="Arial" w:hAnsi="Arial" w:cs="Arial"/>
        </w:rPr>
        <w:t xml:space="preserve">The novelty of this study stems from the following: (1) we considered the simultaneous effect of oil price fluctuations and institutional quality on happiness which previous studies did not consider (2) Prior studies disaggregated governance indicators which affected the results while in this study we took the average of all governance indicators (3) This study covers oil-producing countries from Africa, Asia, Middle East, Europe, America, South America for a more holistic analysis (4) This study utilized a more updated data </w:t>
      </w:r>
      <w:proofErr w:type="spellStart"/>
      <w:r w:rsidRPr="00431140">
        <w:rPr>
          <w:rFonts w:ascii="Arial" w:hAnsi="Arial" w:cs="Arial"/>
        </w:rPr>
        <w:t>data</w:t>
      </w:r>
      <w:proofErr w:type="spellEnd"/>
      <w:r w:rsidRPr="00431140">
        <w:rPr>
          <w:rFonts w:ascii="Arial" w:hAnsi="Arial" w:cs="Arial"/>
        </w:rPr>
        <w:t xml:space="preserve"> on happiness </w:t>
      </w:r>
      <w:proofErr w:type="spellStart"/>
      <w:r w:rsidRPr="00431140">
        <w:rPr>
          <w:rFonts w:ascii="Arial" w:hAnsi="Arial" w:cs="Arial"/>
        </w:rPr>
        <w:t>Cantril</w:t>
      </w:r>
      <w:proofErr w:type="spellEnd"/>
      <w:r w:rsidRPr="00431140">
        <w:rPr>
          <w:rFonts w:ascii="Arial" w:hAnsi="Arial" w:cs="Arial"/>
        </w:rPr>
        <w:t xml:space="preserve"> ladder. This rest of the study is divided into five sections. Section 2 follows the introduction with a literature review, which comprises theoretical and empirical reviews. Section 3 presents the methodology, while section 4 discussed the results. Section 5 considers policy issues and areas for further study.</w:t>
      </w:r>
    </w:p>
    <w:p w14:paraId="5C78ECA5" w14:textId="77777777" w:rsidR="00431140" w:rsidRPr="00431140" w:rsidRDefault="00431140" w:rsidP="00431140">
      <w:pPr>
        <w:pStyle w:val="Body"/>
        <w:rPr>
          <w:rFonts w:ascii="Arial" w:hAnsi="Arial" w:cs="Arial"/>
          <w:b/>
          <w:bCs/>
        </w:rPr>
      </w:pPr>
      <w:r w:rsidRPr="00431140">
        <w:rPr>
          <w:rFonts w:ascii="Arial" w:hAnsi="Arial" w:cs="Arial"/>
          <w:b/>
          <w:bCs/>
        </w:rPr>
        <w:t>2. Literature Review</w:t>
      </w:r>
    </w:p>
    <w:p w14:paraId="261B5F11" w14:textId="2B96DAE1" w:rsidR="00431140" w:rsidRPr="00431140" w:rsidRDefault="00431140" w:rsidP="00431140">
      <w:pPr>
        <w:pStyle w:val="Body"/>
        <w:rPr>
          <w:rFonts w:ascii="Arial" w:hAnsi="Arial" w:cs="Arial"/>
          <w:b/>
          <w:bCs/>
        </w:rPr>
      </w:pPr>
      <w:r w:rsidRPr="00431140">
        <w:rPr>
          <w:rFonts w:ascii="Arial" w:hAnsi="Arial" w:cs="Arial"/>
          <w:b/>
          <w:bCs/>
        </w:rPr>
        <w:t xml:space="preserve"> </w:t>
      </w:r>
      <w:r>
        <w:rPr>
          <w:rFonts w:ascii="Arial" w:hAnsi="Arial" w:cs="Arial"/>
          <w:b/>
          <w:bCs/>
        </w:rPr>
        <w:t xml:space="preserve">2.1. </w:t>
      </w:r>
      <w:r w:rsidRPr="00431140">
        <w:rPr>
          <w:rFonts w:ascii="Arial" w:hAnsi="Arial" w:cs="Arial"/>
          <w:b/>
          <w:bCs/>
        </w:rPr>
        <w:t>Theoretical literature</w:t>
      </w:r>
    </w:p>
    <w:p w14:paraId="031AE2F3" w14:textId="77777777" w:rsidR="00431140" w:rsidRPr="00431140" w:rsidRDefault="00431140" w:rsidP="00431140">
      <w:pPr>
        <w:pStyle w:val="Body"/>
        <w:spacing w:after="0"/>
        <w:rPr>
          <w:rFonts w:ascii="Arial" w:hAnsi="Arial" w:cs="Arial"/>
        </w:rPr>
      </w:pPr>
      <w:r w:rsidRPr="00431140">
        <w:rPr>
          <w:rFonts w:ascii="Arial" w:hAnsi="Arial" w:cs="Arial"/>
        </w:rPr>
        <w:lastRenderedPageBreak/>
        <w:t>Wellbeing is synonymous with happiness and quality of life. The theoretical exposition of well-being covers a spectrum of disciplines including psychology, sociology, and economics among others. According to Diener’s subjective well-being theory, there are two key aspects of wellbeing – the positive effect and the negative effect. There is evidence of positive effect when an individual enjoys high degrees of satisfaction judgment, pleasant emotions and moods while negative effect is associated with unpleasant emotions and moods (Diener 1984, 1985). The theory further explained that subjective well-being is the sum of cognitive and emotional evaluations of lives. Life satisfaction can be regarded as a more cognitive component of subjective well-being as it refers to a cognitive judgmental process by which society assesses her quality of life (Diener,1999). On the other hand, maximizing the positive effect and minimizing the negative effect of happiness is regarded as an affective component of subjective well-being (Lyubomirsky et al. 2005). Measuring subjective well-being in many countries, Diener found a positive correlation between subjective well-being and the wealth of nations including having more human rights, equality, freedom, low unemployment rate, effective government, and reduced corruption.</w:t>
      </w:r>
    </w:p>
    <w:p w14:paraId="39813A9A" w14:textId="77777777" w:rsidR="00431140" w:rsidRDefault="00431140" w:rsidP="00431140">
      <w:pPr>
        <w:pStyle w:val="Body"/>
        <w:spacing w:after="0"/>
        <w:rPr>
          <w:rFonts w:ascii="Arial" w:hAnsi="Arial" w:cs="Arial"/>
        </w:rPr>
      </w:pPr>
      <w:r w:rsidRPr="00431140">
        <w:rPr>
          <w:rFonts w:ascii="Arial" w:hAnsi="Arial" w:cs="Arial"/>
        </w:rPr>
        <w:t xml:space="preserve"> Dissatisfied with subjective well-being Keyes (1998) introduced the social well-being theory which explains well-being as the appraisal of one’s circumstances and functioning in society. Individuals remain embedded in social structures and communities and face countless social tasks and challenges (Keyes, 1998). Social challenges in this framework include social migration, social acceptance, social contribution, social actualization, and social coherence. Easterlin (2010) relied on Alfred Marshall’s economics of wellbeing to expound on the economic and welfare theory of wellbeing. Accordingly, Easterlin (2010) argued that the economics of well-being considers the part of individual and social action that is most closely connected with the attainment and with the use of material requisite of well-being. By this definition, the theory considers economic welfare as a component of social welfare that can be measured in terms of money. Thus, national output was widely used as a measure of the well-being of the nations. To this end, while economic growth raises objective living conditions, it also raises the standard of living by which people judge their living conditions.  Easterlin concludes that countries with higher growth rates of satisfaction with higher finances typically have higher growth rates of overall satisfaction.</w:t>
      </w:r>
    </w:p>
    <w:p w14:paraId="44E6A407" w14:textId="77777777" w:rsidR="00431140" w:rsidRPr="00431140" w:rsidRDefault="00431140" w:rsidP="00431140">
      <w:pPr>
        <w:pStyle w:val="Body"/>
        <w:spacing w:after="0"/>
        <w:rPr>
          <w:rFonts w:ascii="Arial" w:hAnsi="Arial" w:cs="Arial"/>
          <w:b/>
          <w:bCs/>
        </w:rPr>
      </w:pPr>
    </w:p>
    <w:p w14:paraId="2DB1F3E0" w14:textId="53B18A7A" w:rsidR="00431140" w:rsidRPr="00431140" w:rsidRDefault="00431140" w:rsidP="00431140">
      <w:pPr>
        <w:pStyle w:val="Body"/>
        <w:spacing w:after="0"/>
        <w:rPr>
          <w:rFonts w:ascii="Arial" w:hAnsi="Arial" w:cs="Arial"/>
          <w:b/>
          <w:bCs/>
        </w:rPr>
      </w:pPr>
      <w:r>
        <w:rPr>
          <w:rFonts w:ascii="Arial" w:hAnsi="Arial" w:cs="Arial"/>
          <w:b/>
          <w:bCs/>
        </w:rPr>
        <w:t xml:space="preserve">2.2 </w:t>
      </w:r>
      <w:r w:rsidRPr="00431140">
        <w:rPr>
          <w:rFonts w:ascii="Arial" w:hAnsi="Arial" w:cs="Arial"/>
          <w:b/>
          <w:bCs/>
        </w:rPr>
        <w:t>Empirical literature</w:t>
      </w:r>
    </w:p>
    <w:p w14:paraId="1EE59F42" w14:textId="77777777" w:rsidR="00431140" w:rsidRPr="00431140" w:rsidRDefault="00431140" w:rsidP="00431140">
      <w:pPr>
        <w:pStyle w:val="Body"/>
        <w:spacing w:after="0"/>
        <w:rPr>
          <w:rFonts w:ascii="Arial" w:hAnsi="Arial" w:cs="Arial"/>
        </w:rPr>
      </w:pPr>
      <w:r w:rsidRPr="00431140">
        <w:rPr>
          <w:rFonts w:ascii="Arial" w:hAnsi="Arial" w:cs="Arial"/>
        </w:rPr>
        <w:t xml:space="preserve">Several studies have explored the relationship between oil prices and wellbeing, even though their findings remain inconclusive. The main focus of these studies was to examine the impact of factors such as oil price, good governance, technology, education, internet, unemployment, and income on happiness or well-being. In this context, </w:t>
      </w:r>
      <w:proofErr w:type="spellStart"/>
      <w:r w:rsidRPr="00431140">
        <w:rPr>
          <w:rFonts w:ascii="Arial" w:hAnsi="Arial" w:cs="Arial"/>
        </w:rPr>
        <w:t>Deyshappriya</w:t>
      </w:r>
      <w:proofErr w:type="spellEnd"/>
      <w:r w:rsidRPr="00431140">
        <w:rPr>
          <w:rFonts w:ascii="Arial" w:hAnsi="Arial" w:cs="Arial"/>
        </w:rPr>
        <w:t xml:space="preserve"> et al (2023) adopted the GMM dynamic model to study the impact of oil price on the economic growth of 38 OECD countries from 2000-2020. Their results indicate a mixed impact of oil price on economic growth. First, an increase in oil price positively influenced economic growth through interest rates. Second, oil price negatively affects economic growth through the exchange rate, government expenditure, and investment. A further report from the study shows that the cumulative effect of oil prices on economic growth of these countries is negative since the negative effect dominate the positive. Such outcome implies that oil price affects economic growth indirectly through different channels. A study on the impact oil price shocks in oil-exporting Arab countries by Gulaliyev et al (2022) adopted the Vector autoregression method to conclude that oil price shocks impacted economic growth positively in Arab oil-producing countries. Edwin et al (2021) used the principal component analysis with logistic regression to study the impact of well-being on entrepreneurship in emerging economies. Findings from the study reveal that life and job satisfaction increased the probability of one becoming an entrepreneur. </w:t>
      </w:r>
    </w:p>
    <w:p w14:paraId="6A1B7A5F" w14:textId="77777777" w:rsidR="00431140" w:rsidRPr="00431140" w:rsidRDefault="00431140" w:rsidP="00431140">
      <w:pPr>
        <w:pStyle w:val="Body"/>
        <w:spacing w:after="0"/>
        <w:rPr>
          <w:rFonts w:ascii="Arial" w:hAnsi="Arial" w:cs="Arial"/>
        </w:rPr>
      </w:pPr>
      <w:r w:rsidRPr="00431140">
        <w:rPr>
          <w:rFonts w:ascii="Arial" w:hAnsi="Arial" w:cs="Arial"/>
        </w:rPr>
        <w:t xml:space="preserve">Salisu and Isah (2017) examined the relationship between oil prices and stock prices in oil-exporting and oil-importing countries. The study employed the panel nonlinear ARDL and found that stock prices of both oil exporting and oil importing groups respond asymmetrically to changes in oil price.  However, the study emphasized that such effects are stronger in the importing than exporting groups. Seun and Chijioke (2019) applied trend and graphical analysis, fixed effect, and partial efficiency analysis to examine whether oil rent increases happiness in some selected African countries. Their findings revealed that oil rent does not increase happiness significantly but, oil price increased happiness significantly. They further found GDP growth to have reduced happiness in the selected countries.  Such outcome is attribute to a possible lack of quality institutions. All things being equal, quality institutions, oil rent, and GDP growth can increase happiness. </w:t>
      </w:r>
      <w:proofErr w:type="spellStart"/>
      <w:r w:rsidRPr="00431140">
        <w:rPr>
          <w:rFonts w:ascii="Arial" w:hAnsi="Arial" w:cs="Arial"/>
        </w:rPr>
        <w:t>Mignamissi</w:t>
      </w:r>
      <w:proofErr w:type="spellEnd"/>
      <w:r w:rsidRPr="00431140">
        <w:rPr>
          <w:rFonts w:ascii="Arial" w:hAnsi="Arial" w:cs="Arial"/>
        </w:rPr>
        <w:t xml:space="preserve"> and </w:t>
      </w:r>
      <w:proofErr w:type="spellStart"/>
      <w:r w:rsidRPr="00431140">
        <w:rPr>
          <w:rFonts w:ascii="Arial" w:hAnsi="Arial" w:cs="Arial"/>
        </w:rPr>
        <w:t>Kuete</w:t>
      </w:r>
      <w:proofErr w:type="spellEnd"/>
      <w:r w:rsidRPr="00431140">
        <w:rPr>
          <w:rFonts w:ascii="Arial" w:hAnsi="Arial" w:cs="Arial"/>
        </w:rPr>
        <w:t xml:space="preserve"> (2020) explored factors that make individuals in 30 African countries happy. They employed the Bayesian Model Averaging and the Weighted Average least square techniques. Their findings include a positive and strong relationship between gross domestic per capita income, employment, and the various dimensions of world governance indicators. </w:t>
      </w:r>
      <w:proofErr w:type="spellStart"/>
      <w:r w:rsidRPr="00431140">
        <w:rPr>
          <w:rFonts w:ascii="Arial" w:hAnsi="Arial" w:cs="Arial"/>
        </w:rPr>
        <w:t>Noubissi</w:t>
      </w:r>
      <w:proofErr w:type="spellEnd"/>
      <w:r w:rsidRPr="00431140">
        <w:rPr>
          <w:rFonts w:ascii="Arial" w:hAnsi="Arial" w:cs="Arial"/>
        </w:rPr>
        <w:t xml:space="preserve"> and </w:t>
      </w:r>
      <w:proofErr w:type="spellStart"/>
      <w:r w:rsidRPr="00431140">
        <w:rPr>
          <w:rFonts w:ascii="Arial" w:hAnsi="Arial" w:cs="Arial"/>
        </w:rPr>
        <w:t>Poumie</w:t>
      </w:r>
      <w:proofErr w:type="spellEnd"/>
      <w:r w:rsidRPr="00431140">
        <w:rPr>
          <w:rFonts w:ascii="Arial" w:hAnsi="Arial" w:cs="Arial"/>
        </w:rPr>
        <w:t xml:space="preserve"> (2019) examined the impact of environment and happiness in 30 African countries from 2006-2014. The study employed the GMM and fixed effect methods. The GMM outcome revealed an increase in happiness given environmental degradation. The fixed effect results, however, showed that the environment negatively affects happiness in Africa in the long run. </w:t>
      </w:r>
      <w:bookmarkStart w:id="8" w:name="_Hlk168065817"/>
      <w:r w:rsidRPr="00431140">
        <w:rPr>
          <w:rFonts w:ascii="Arial" w:hAnsi="Arial" w:cs="Arial"/>
        </w:rPr>
        <w:t xml:space="preserve">Haung (2016) investigated the relationship between governance and happiness in 101 countries Worldwide. The study applied the quantile regression to find a positive and significant relationship between domestic quality and happiness in developed countries and an insignificant relationship in developing countries. Additionally, </w:t>
      </w:r>
      <w:proofErr w:type="spellStart"/>
      <w:r w:rsidRPr="00431140">
        <w:rPr>
          <w:rFonts w:ascii="Arial" w:hAnsi="Arial" w:cs="Arial"/>
        </w:rPr>
        <w:t>Uche</w:t>
      </w:r>
      <w:proofErr w:type="spellEnd"/>
      <w:r w:rsidRPr="00431140">
        <w:rPr>
          <w:rFonts w:ascii="Arial" w:hAnsi="Arial" w:cs="Arial"/>
        </w:rPr>
        <w:t xml:space="preserve"> and </w:t>
      </w:r>
      <w:proofErr w:type="spellStart"/>
      <w:r w:rsidRPr="00431140">
        <w:rPr>
          <w:rFonts w:ascii="Arial" w:hAnsi="Arial" w:cs="Arial"/>
        </w:rPr>
        <w:t>Ngepah</w:t>
      </w:r>
      <w:proofErr w:type="spellEnd"/>
      <w:r w:rsidRPr="00431140">
        <w:rPr>
          <w:rFonts w:ascii="Arial" w:hAnsi="Arial" w:cs="Arial"/>
        </w:rPr>
        <w:t xml:space="preserve"> (2024) explained that entrepreneurship positively drives households’ well-being in a study of the 11 countries. The study also emphasized the role of financial inclusiveness in achieving well-being.   </w:t>
      </w:r>
    </w:p>
    <w:p w14:paraId="3B326EB8" w14:textId="77777777" w:rsidR="00431140" w:rsidRPr="00431140" w:rsidRDefault="00431140" w:rsidP="00431140">
      <w:pPr>
        <w:pStyle w:val="Body"/>
        <w:rPr>
          <w:rFonts w:ascii="Arial" w:hAnsi="Arial" w:cs="Arial"/>
        </w:rPr>
      </w:pPr>
      <w:bookmarkStart w:id="9" w:name="_Hlk168165679"/>
      <w:bookmarkEnd w:id="8"/>
      <w:r w:rsidRPr="00431140">
        <w:rPr>
          <w:rFonts w:ascii="Arial" w:hAnsi="Arial" w:cs="Arial"/>
        </w:rPr>
        <w:t>In some country-specific studies, Al Sabah et al (2016) probed whether oil prices could sustain the standard of living in Kuwait from 1983-2014. The outcome based on the ordinary least squares estimator indicates that an oil price increase can maintain living standards whi</w:t>
      </w:r>
      <w:bookmarkEnd w:id="9"/>
      <w:r w:rsidRPr="00431140">
        <w:rPr>
          <w:rFonts w:ascii="Arial" w:hAnsi="Arial" w:cs="Arial"/>
        </w:rPr>
        <w:t xml:space="preserve">le reducing unemployment, inflation, and incarcerations, and enhancing economic growth. In </w:t>
      </w:r>
      <w:r w:rsidRPr="00431140">
        <w:rPr>
          <w:rFonts w:ascii="Arial" w:hAnsi="Arial" w:cs="Arial"/>
        </w:rPr>
        <w:lastRenderedPageBreak/>
        <w:t xml:space="preserve">the case of Canada, </w:t>
      </w:r>
      <w:bookmarkStart w:id="10" w:name="_Hlk167913371"/>
      <w:r w:rsidRPr="00431140">
        <w:rPr>
          <w:rFonts w:ascii="Arial" w:hAnsi="Arial" w:cs="Arial"/>
        </w:rPr>
        <w:t>Carbone and McKenzie</w:t>
      </w:r>
      <w:bookmarkEnd w:id="10"/>
      <w:r w:rsidRPr="00431140">
        <w:rPr>
          <w:rFonts w:ascii="Arial" w:hAnsi="Arial" w:cs="Arial"/>
        </w:rPr>
        <w:t xml:space="preserve"> (2016) used the Computable General Equilibrium (CGE) model to examine the impact of falling oil prices on growth. The study revealed that a 10 percent reduction in oil prices reduced national output by 1 percent and people’s welfare by 90 percent. Ali (2021) evaluated the volatility of oil prices and public spending in Saudi Arabia. The study employed the Coefficient of variation, chain-based and fixed-based index numbers, correlation, and line diagram to get variability, movement, co-movement, and sensitivity. The study found low positive sensitivity between oil prices and public spending and negative trend between oil prices and public spending in the long run. Accordingly, this result indicates that the Saudi Arabian government has improved its public spending in the low oil price era. Such public spending strategy may be implemented to maintain people's well-being while oil prices decrease. Vuong et al (2024) examine how oil price uncertainty, and oil pricing reform, affect corporate profitability in China spanning from 2007 to 2020 periods. The study observed that uncertainty of oil prices affected corporate profitability negatively and increased operating expenses. Implicatively, lower corporate profit combined with higher operating costs have detrimental effect on the well-being of stakeholders, shareholders, and their families.</w:t>
      </w:r>
    </w:p>
    <w:p w14:paraId="18CE6B61" w14:textId="77777777" w:rsidR="00431140" w:rsidRPr="00431140" w:rsidRDefault="00431140" w:rsidP="00431140">
      <w:pPr>
        <w:pStyle w:val="Body"/>
        <w:rPr>
          <w:rFonts w:ascii="Arial" w:hAnsi="Arial" w:cs="Arial"/>
        </w:rPr>
      </w:pPr>
      <w:r w:rsidRPr="00431140">
        <w:rPr>
          <w:rFonts w:ascii="Arial" w:hAnsi="Arial" w:cs="Arial"/>
        </w:rPr>
        <w:t xml:space="preserve"> Bilal et al (2024) employed fuzzy models to study the impact of crude oil prices on the global economy focusing on the Russian-Ukraine conflict. The results forecast a decline in WTI crude oil prices from an all-time highest level. Terming this forecast as good news suggests a sliding global economy during the period of conflict despite an oil price hike. This also can translate to a decline in global happiness considering the crucial role oil prices plays in both importing and exporting countries. Aimer (2017) examined Libya's economic growth and crude oil prices between 1968 and 2016. According to the report, as oil prices rose, there was little effect on the manufacturing sector and adversely affected agriculture</w:t>
      </w:r>
      <w:bookmarkStart w:id="11" w:name="_Hlk171021436"/>
      <w:r w:rsidRPr="00431140">
        <w:rPr>
          <w:rFonts w:ascii="Arial" w:hAnsi="Arial" w:cs="Arial"/>
        </w:rPr>
        <w:t xml:space="preserve">. </w:t>
      </w:r>
      <w:proofErr w:type="spellStart"/>
      <w:r w:rsidRPr="00431140">
        <w:rPr>
          <w:rFonts w:ascii="Arial" w:hAnsi="Arial" w:cs="Arial"/>
        </w:rPr>
        <w:t>Mamipour</w:t>
      </w:r>
      <w:proofErr w:type="spellEnd"/>
      <w:r w:rsidRPr="00431140">
        <w:rPr>
          <w:rFonts w:ascii="Arial" w:hAnsi="Arial" w:cs="Arial"/>
        </w:rPr>
        <w:t xml:space="preserve"> et al (2022) </w:t>
      </w:r>
      <w:bookmarkEnd w:id="11"/>
      <w:r w:rsidRPr="00431140">
        <w:rPr>
          <w:rFonts w:ascii="Arial" w:hAnsi="Arial" w:cs="Arial"/>
        </w:rPr>
        <w:t>investigated the spillover effects of volatile oil prices on Iran’s stock market. The study covered the period spanning from March 2009 to March 2020 employing a multivariate GARCH model. Results from the study show that the effect of oil price volatility on Iran’s stock market is stronger in the long run than in the short run. It demonstrated that oil price fluctuation is one of the strongest exogenous factors that affect stock market turbulence in Iran. Beser, (2019) examined how oil prices impact economic growth in Venezuela during 1980-2014 periods. The study adopted the causality approach to find a one-way causality from oil price to economic growth. This implies that oil price contains enough information to predict changes in economic growth than economic growth to the oil price.</w:t>
      </w:r>
    </w:p>
    <w:p w14:paraId="41FA163F" w14:textId="77777777" w:rsidR="00431140" w:rsidRPr="00431140" w:rsidRDefault="00431140" w:rsidP="00431140">
      <w:pPr>
        <w:pStyle w:val="Body"/>
        <w:spacing w:after="0"/>
        <w:rPr>
          <w:rFonts w:ascii="Arial" w:hAnsi="Arial" w:cs="Arial"/>
        </w:rPr>
      </w:pPr>
      <w:bookmarkStart w:id="12" w:name="_Hlk171021700"/>
      <w:bookmarkStart w:id="13" w:name="_Hlk168065390"/>
      <w:r w:rsidRPr="00431140">
        <w:rPr>
          <w:rFonts w:ascii="Arial" w:hAnsi="Arial" w:cs="Arial"/>
        </w:rPr>
        <w:t xml:space="preserve">Emmanuel et al (2018) </w:t>
      </w:r>
      <w:bookmarkEnd w:id="12"/>
      <w:r w:rsidRPr="00431140">
        <w:rPr>
          <w:rFonts w:ascii="Arial" w:hAnsi="Arial" w:cs="Arial"/>
        </w:rPr>
        <w:t xml:space="preserve">examined the impact of the petroleum product price on human welfare in Nigeria. They found via the autoregressive distributed lag estimator a long-run and short-run </w:t>
      </w:r>
      <w:bookmarkStart w:id="14" w:name="_Hlk171021773"/>
      <w:r w:rsidRPr="00431140">
        <w:rPr>
          <w:rFonts w:ascii="Arial" w:hAnsi="Arial" w:cs="Arial"/>
        </w:rPr>
        <w:t>negative and significant impact of petroleum prices on human welfare in Nigeria</w:t>
      </w:r>
      <w:bookmarkEnd w:id="14"/>
      <w:r w:rsidRPr="00431140">
        <w:rPr>
          <w:rFonts w:ascii="Arial" w:hAnsi="Arial" w:cs="Arial"/>
        </w:rPr>
        <w:t>. Abiodun et al (2020) studied oil price shock and oil price revenue and well-being in Nigeria from 1980 - 2018. The study used the autoregressive distributed lag and ordinary least squares estimators. Findings from the study reveal a positive and significant relationship between oil revenue and well-being</w:t>
      </w:r>
      <w:bookmarkEnd w:id="13"/>
      <w:r w:rsidRPr="00431140">
        <w:rPr>
          <w:rFonts w:ascii="Arial" w:hAnsi="Arial" w:cs="Arial"/>
        </w:rPr>
        <w:t xml:space="preserve">. It further shows a positive but insignificant relationship between credit to the private sector and well-being. Here in, we argue that the simultaneous effect of high interest and inflation rates prevalent in Nigeria has the potential to weaken the effect of private sector credit on wellbeing. </w:t>
      </w:r>
      <w:bookmarkStart w:id="15" w:name="_Hlk171021565"/>
      <w:bookmarkStart w:id="16" w:name="_Hlk171021181"/>
      <w:proofErr w:type="spellStart"/>
      <w:r w:rsidRPr="00431140">
        <w:rPr>
          <w:rFonts w:ascii="Arial" w:hAnsi="Arial" w:cs="Arial"/>
        </w:rPr>
        <w:t>Oduyemi</w:t>
      </w:r>
      <w:proofErr w:type="spellEnd"/>
      <w:r w:rsidRPr="00431140">
        <w:rPr>
          <w:rFonts w:ascii="Arial" w:hAnsi="Arial" w:cs="Arial"/>
        </w:rPr>
        <w:t xml:space="preserve"> and </w:t>
      </w:r>
      <w:proofErr w:type="spellStart"/>
      <w:r w:rsidRPr="00431140">
        <w:rPr>
          <w:rFonts w:ascii="Arial" w:hAnsi="Arial" w:cs="Arial"/>
        </w:rPr>
        <w:t>Owoeye</w:t>
      </w:r>
      <w:proofErr w:type="spellEnd"/>
      <w:r w:rsidRPr="00431140">
        <w:rPr>
          <w:rFonts w:ascii="Arial" w:hAnsi="Arial" w:cs="Arial"/>
        </w:rPr>
        <w:t xml:space="preserve"> (2020)</w:t>
      </w:r>
      <w:bookmarkEnd w:id="15"/>
      <w:r w:rsidRPr="00431140">
        <w:rPr>
          <w:rFonts w:ascii="Arial" w:hAnsi="Arial" w:cs="Arial"/>
        </w:rPr>
        <w:t xml:space="preserve"> </w:t>
      </w:r>
      <w:bookmarkEnd w:id="16"/>
      <w:r w:rsidRPr="00431140">
        <w:rPr>
          <w:rFonts w:ascii="Arial" w:hAnsi="Arial" w:cs="Arial"/>
        </w:rPr>
        <w:t>attempted to find how oil price fluctuations impacted health outcomes in Nigeria from 1980-2017. To achieve its objectives, it adopted the Vector autoregressive method of estimation. The major findings of the study are that oil price shock is not detrimental to health. This according to the study, implies that oil price shock is neither necessary nor sufficient enough to explain systemic change in health outcome. They, however, argue that government expenditure contains more information that affects health outcomes in Nigeria.  Hence, it can be inferred that the neutrality of oil prices on well-being stems from its ineffective impact on health outcomes. On the other flip side, government expenditure exerts more impact on wellbeing. This position stems from the conviction that health is a dimension of well-being</w:t>
      </w:r>
      <w:bookmarkStart w:id="17" w:name="_Hlk168065497"/>
      <w:r w:rsidRPr="00431140">
        <w:rPr>
          <w:rFonts w:ascii="Arial" w:hAnsi="Arial" w:cs="Arial"/>
        </w:rPr>
        <w:t xml:space="preserve">. Using ordinary least squares and GMM to study governance and happiness in 31 countries of Africa, </w:t>
      </w:r>
      <w:bookmarkStart w:id="18" w:name="_Hlk171021115"/>
      <w:r w:rsidRPr="00431140">
        <w:rPr>
          <w:rFonts w:ascii="Arial" w:hAnsi="Arial" w:cs="Arial"/>
        </w:rPr>
        <w:t xml:space="preserve">Henri (2019) found governance quality to have improved happiness. </w:t>
      </w:r>
      <w:bookmarkEnd w:id="18"/>
      <w:r w:rsidRPr="00431140">
        <w:rPr>
          <w:rFonts w:ascii="Arial" w:hAnsi="Arial" w:cs="Arial"/>
        </w:rPr>
        <w:t xml:space="preserve"> </w:t>
      </w:r>
      <w:bookmarkEnd w:id="17"/>
      <w:r w:rsidRPr="00431140">
        <w:rPr>
          <w:rFonts w:ascii="Arial" w:hAnsi="Arial" w:cs="Arial"/>
        </w:rPr>
        <w:t xml:space="preserve">Expressing happiness as a continuous joy, Yang et al (2022) used ordinal logistic regression to investigate the impact of education and income on happiness in China. Results show education to be a significant determinant of happiness with a positive impact. It further indicates income as an intermediary mechanism through which education affects individual happiness. </w:t>
      </w:r>
    </w:p>
    <w:p w14:paraId="32343698" w14:textId="77777777" w:rsidR="00431140" w:rsidRPr="00431140" w:rsidRDefault="00431140" w:rsidP="00431140">
      <w:pPr>
        <w:pStyle w:val="Body"/>
        <w:spacing w:after="0"/>
        <w:rPr>
          <w:rFonts w:ascii="Arial" w:hAnsi="Arial" w:cs="Arial"/>
        </w:rPr>
      </w:pPr>
      <w:r w:rsidRPr="00431140">
        <w:rPr>
          <w:rFonts w:ascii="Arial" w:hAnsi="Arial" w:cs="Arial"/>
        </w:rPr>
        <w:t xml:space="preserve">Undoubtedly, literature is encumbered with conflicting outcomes of the predictive influence of oil price on well-being on well-being. </w:t>
      </w:r>
      <w:proofErr w:type="spellStart"/>
      <w:r w:rsidRPr="00431140">
        <w:rPr>
          <w:rFonts w:ascii="Arial" w:hAnsi="Arial" w:cs="Arial"/>
        </w:rPr>
        <w:t>Mamipour</w:t>
      </w:r>
      <w:proofErr w:type="spellEnd"/>
      <w:r w:rsidRPr="00431140">
        <w:rPr>
          <w:rFonts w:ascii="Arial" w:hAnsi="Arial" w:cs="Arial"/>
        </w:rPr>
        <w:t xml:space="preserve"> et al (2022) found the effect of oil price volatility on Iran’s stock market stronger in the long run than in the short run. Emmanuel et al (2018) argued for a negative and significant impact of petroleum prices on human welfare in Nigeria. Accordingly, Abiodun et al. (2020) presented a positive and significant relationship between oil revenue and well-being. Likewise, Vuong et al. (2024) reported that oil prices affected corporate profitability negatively and increased operating costs. </w:t>
      </w:r>
      <w:proofErr w:type="spellStart"/>
      <w:r w:rsidRPr="00431140">
        <w:rPr>
          <w:rFonts w:ascii="Arial" w:hAnsi="Arial" w:cs="Arial"/>
        </w:rPr>
        <w:t>Deyshappriya</w:t>
      </w:r>
      <w:proofErr w:type="spellEnd"/>
      <w:r w:rsidRPr="00431140">
        <w:rPr>
          <w:rFonts w:ascii="Arial" w:hAnsi="Arial" w:cs="Arial"/>
        </w:rPr>
        <w:t xml:space="preserve"> et al. (2023) reported a mixed outcome First, an increase in oil prices positively influenced economic growth through interest rates. Second, oil price negatively affects economic growth through the exchange rate, government expenditure, and investment. Henri (2019) found governance quality to have improved happiness. Haung (2016) presented a positive and significant relationship between domestic quality and happiness in developed countries and an insignificant relationship in developing countries. Not the least, recent studies have rarely accounted for the simultaneous effect of oil price and institutional quality on the well-being of oil-selected oil-producing countries of Africa, Asia, America, South America, Europe, and the Middle East. Indubitably, such uncommon ground on findings and lack of consideration of oil-producing nations calls for an informed account that will identify critical policy strategies that will improve the well-being.</w:t>
      </w:r>
    </w:p>
    <w:p w14:paraId="274F50AD" w14:textId="77777777" w:rsidR="00505F06" w:rsidRDefault="00505F06" w:rsidP="00441B6F">
      <w:pPr>
        <w:pStyle w:val="Body"/>
        <w:spacing w:after="0"/>
        <w:rPr>
          <w:rFonts w:ascii="Arial" w:hAnsi="Arial" w:cs="Arial"/>
        </w:rPr>
      </w:pPr>
    </w:p>
    <w:p w14:paraId="54029A9A" w14:textId="77777777" w:rsidR="00790ADA" w:rsidRPr="00FB3A86" w:rsidRDefault="00790ADA" w:rsidP="00441B6F">
      <w:pPr>
        <w:pStyle w:val="Body"/>
        <w:spacing w:after="0"/>
        <w:rPr>
          <w:rFonts w:ascii="Arial" w:hAnsi="Arial" w:cs="Arial"/>
        </w:rPr>
      </w:pPr>
    </w:p>
    <w:p w14:paraId="02F1E45C" w14:textId="3FB16085" w:rsidR="007F7B32" w:rsidRDefault="002846AF" w:rsidP="00441B6F">
      <w:pPr>
        <w:pStyle w:val="AbstHead"/>
        <w:spacing w:after="0"/>
        <w:jc w:val="both"/>
        <w:rPr>
          <w:rFonts w:ascii="Arial" w:hAnsi="Arial" w:cs="Arial"/>
        </w:rPr>
      </w:pPr>
      <w:r>
        <w:rPr>
          <w:rFonts w:ascii="Arial" w:hAnsi="Arial" w:cs="Arial"/>
        </w:rPr>
        <w:t>3</w:t>
      </w:r>
      <w:r w:rsidR="00902823">
        <w:rPr>
          <w:rFonts w:ascii="Arial" w:hAnsi="Arial" w:cs="Arial"/>
        </w:rPr>
        <w:t xml:space="preserve">. </w:t>
      </w:r>
      <w:r w:rsidR="006B57D0">
        <w:rPr>
          <w:rFonts w:ascii="Arial" w:hAnsi="Arial" w:cs="Arial"/>
        </w:rPr>
        <w:t xml:space="preserve"> methodology</w:t>
      </w:r>
      <w:r w:rsidR="007F7B32">
        <w:rPr>
          <w:rFonts w:ascii="Arial" w:hAnsi="Arial" w:cs="Arial"/>
        </w:rPr>
        <w:t xml:space="preserve"> </w:t>
      </w:r>
    </w:p>
    <w:p w14:paraId="14D24BCE" w14:textId="77777777" w:rsidR="00790ADA" w:rsidRPr="00FB3A86" w:rsidRDefault="00790ADA" w:rsidP="00441B6F">
      <w:pPr>
        <w:pStyle w:val="AbstHead"/>
        <w:spacing w:after="0"/>
        <w:jc w:val="both"/>
        <w:rPr>
          <w:rFonts w:ascii="Arial" w:hAnsi="Arial" w:cs="Arial"/>
        </w:rPr>
      </w:pPr>
    </w:p>
    <w:p w14:paraId="24A140EF" w14:textId="2AF2A711" w:rsidR="00431140" w:rsidRPr="00431140" w:rsidRDefault="002846AF" w:rsidP="00431140">
      <w:pPr>
        <w:pStyle w:val="Body"/>
        <w:spacing w:after="0"/>
        <w:rPr>
          <w:rFonts w:ascii="Arial" w:hAnsi="Arial" w:cs="Arial"/>
        </w:rPr>
      </w:pPr>
      <w:r>
        <w:rPr>
          <w:rFonts w:ascii="Arial" w:hAnsi="Arial" w:cs="Arial"/>
          <w:b/>
          <w:bCs/>
        </w:rPr>
        <w:t xml:space="preserve">3.1 </w:t>
      </w:r>
      <w:r w:rsidR="00431140" w:rsidRPr="00431140">
        <w:rPr>
          <w:rFonts w:ascii="Arial" w:hAnsi="Arial" w:cs="Arial"/>
          <w:b/>
          <w:bCs/>
        </w:rPr>
        <w:t>Description and Sources of</w:t>
      </w:r>
      <w:r w:rsidR="00431140" w:rsidRPr="00431140">
        <w:rPr>
          <w:rFonts w:ascii="Arial" w:hAnsi="Arial" w:cs="Arial"/>
        </w:rPr>
        <w:t xml:space="preserve"> </w:t>
      </w:r>
      <w:r w:rsidR="00431140" w:rsidRPr="00431140">
        <w:rPr>
          <w:rFonts w:ascii="Arial" w:hAnsi="Arial" w:cs="Arial"/>
          <w:b/>
          <w:bCs/>
        </w:rPr>
        <w:t xml:space="preserve">Data </w:t>
      </w:r>
    </w:p>
    <w:p w14:paraId="5944D562" w14:textId="77777777" w:rsidR="00431140" w:rsidRDefault="00431140" w:rsidP="00431140">
      <w:pPr>
        <w:pStyle w:val="Body"/>
        <w:spacing w:after="0"/>
        <w:rPr>
          <w:rFonts w:ascii="Arial" w:hAnsi="Arial" w:cs="Arial"/>
        </w:rPr>
      </w:pPr>
      <w:r w:rsidRPr="00431140">
        <w:rPr>
          <w:rFonts w:ascii="Arial" w:hAnsi="Arial" w:cs="Arial"/>
        </w:rPr>
        <w:t xml:space="preserve">The study covered a period of 16 years spanning from 2006 to 2022. The relevant oil-exporting countries under study include Nigeria, Algeria, Congo, Gabon, Tunisia, Egypt, Brazil, China, Canada, USA, Norway, Iran, Iraq, Saudi Arabia, Libya, Russia, Kuwait, United Arab Emirates, and Venezuela. Table 1 presents the data, their sources and descriptions. We utilized the happiness </w:t>
      </w:r>
      <w:proofErr w:type="spellStart"/>
      <w:r w:rsidRPr="00431140">
        <w:rPr>
          <w:rFonts w:ascii="Arial" w:hAnsi="Arial" w:cs="Arial"/>
        </w:rPr>
        <w:t>Cantril</w:t>
      </w:r>
      <w:proofErr w:type="spellEnd"/>
      <w:r w:rsidRPr="00431140">
        <w:rPr>
          <w:rFonts w:ascii="Arial" w:hAnsi="Arial" w:cs="Arial"/>
        </w:rPr>
        <w:t xml:space="preserve"> ladder to proxy well-being and the overall World governance indicators for institutional quality. The data and countries are selected on account of availability and consistency. Whereas the same reason sufficed for the study period, the 2006 to 2022 period captures the impact of oil prices on well-being of some oil producing in the early 21</w:t>
      </w:r>
      <w:r w:rsidRPr="00431140">
        <w:rPr>
          <w:rFonts w:ascii="Arial" w:hAnsi="Arial" w:cs="Arial"/>
          <w:vertAlign w:val="superscript"/>
        </w:rPr>
        <w:t>st</w:t>
      </w:r>
      <w:r w:rsidRPr="00431140">
        <w:rPr>
          <w:rFonts w:ascii="Arial" w:hAnsi="Arial" w:cs="Arial"/>
        </w:rPr>
        <w:t xml:space="preserve"> century. </w:t>
      </w:r>
    </w:p>
    <w:p w14:paraId="58229127" w14:textId="77777777" w:rsidR="002846AF" w:rsidRPr="00431140" w:rsidRDefault="002846AF" w:rsidP="00431140">
      <w:pPr>
        <w:pStyle w:val="Body"/>
        <w:spacing w:after="0"/>
        <w:rPr>
          <w:rFonts w:ascii="Arial" w:hAnsi="Arial" w:cs="Arial"/>
        </w:rPr>
      </w:pPr>
    </w:p>
    <w:p w14:paraId="40BAF229" w14:textId="77777777" w:rsidR="00431140" w:rsidRPr="00431140" w:rsidRDefault="00431140" w:rsidP="00431140">
      <w:pPr>
        <w:pStyle w:val="Body"/>
        <w:spacing w:after="0"/>
        <w:rPr>
          <w:rFonts w:ascii="Arial" w:hAnsi="Arial" w:cs="Arial"/>
          <w:b/>
          <w:bCs/>
        </w:rPr>
      </w:pPr>
      <w:r w:rsidRPr="00431140">
        <w:rPr>
          <w:rFonts w:ascii="Arial" w:hAnsi="Arial" w:cs="Arial"/>
          <w:b/>
          <w:bCs/>
        </w:rPr>
        <w:t>Table 1: Description and Sources of Data</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8"/>
      </w:tblGrid>
      <w:tr w:rsidR="00431140" w:rsidRPr="00431140" w14:paraId="7697D2F5" w14:textId="77777777" w:rsidTr="00C57C2F">
        <w:tc>
          <w:tcPr>
            <w:tcW w:w="3116" w:type="dxa"/>
            <w:tcBorders>
              <w:top w:val="single" w:sz="4" w:space="0" w:color="auto"/>
            </w:tcBorders>
          </w:tcPr>
          <w:p w14:paraId="5EE8D567" w14:textId="77777777" w:rsidR="00431140" w:rsidRPr="00431140" w:rsidRDefault="00431140" w:rsidP="00431140">
            <w:pPr>
              <w:pStyle w:val="Body"/>
              <w:rPr>
                <w:rFonts w:ascii="Arial" w:hAnsi="Arial" w:cs="Arial"/>
                <w:sz w:val="20"/>
              </w:rPr>
            </w:pPr>
            <w:r w:rsidRPr="00431140">
              <w:rPr>
                <w:rFonts w:ascii="Arial" w:hAnsi="Arial" w:cs="Arial"/>
                <w:sz w:val="20"/>
              </w:rPr>
              <w:t xml:space="preserve">Variables </w:t>
            </w:r>
          </w:p>
        </w:tc>
        <w:tc>
          <w:tcPr>
            <w:tcW w:w="3117" w:type="dxa"/>
            <w:tcBorders>
              <w:top w:val="single" w:sz="4" w:space="0" w:color="auto"/>
            </w:tcBorders>
          </w:tcPr>
          <w:p w14:paraId="254FA756" w14:textId="77777777" w:rsidR="00431140" w:rsidRPr="00431140" w:rsidRDefault="00431140" w:rsidP="00431140">
            <w:pPr>
              <w:pStyle w:val="Body"/>
              <w:rPr>
                <w:rFonts w:ascii="Arial" w:hAnsi="Arial" w:cs="Arial"/>
                <w:sz w:val="20"/>
              </w:rPr>
            </w:pPr>
            <w:r w:rsidRPr="00431140">
              <w:rPr>
                <w:rFonts w:ascii="Arial" w:hAnsi="Arial" w:cs="Arial"/>
                <w:sz w:val="20"/>
              </w:rPr>
              <w:t>Description</w:t>
            </w:r>
          </w:p>
        </w:tc>
        <w:tc>
          <w:tcPr>
            <w:tcW w:w="3118" w:type="dxa"/>
            <w:tcBorders>
              <w:top w:val="single" w:sz="4" w:space="0" w:color="auto"/>
            </w:tcBorders>
          </w:tcPr>
          <w:p w14:paraId="7BD35CB0" w14:textId="77777777" w:rsidR="00431140" w:rsidRPr="00431140" w:rsidRDefault="00431140" w:rsidP="00431140">
            <w:pPr>
              <w:pStyle w:val="Body"/>
              <w:rPr>
                <w:rFonts w:ascii="Arial" w:hAnsi="Arial" w:cs="Arial"/>
                <w:sz w:val="20"/>
              </w:rPr>
            </w:pPr>
            <w:r w:rsidRPr="00431140">
              <w:rPr>
                <w:rFonts w:ascii="Arial" w:hAnsi="Arial" w:cs="Arial"/>
                <w:sz w:val="20"/>
              </w:rPr>
              <w:t>Source</w:t>
            </w:r>
          </w:p>
        </w:tc>
      </w:tr>
      <w:tr w:rsidR="00431140" w:rsidRPr="00431140" w14:paraId="4BF00CF6" w14:textId="77777777" w:rsidTr="00C57C2F">
        <w:tc>
          <w:tcPr>
            <w:tcW w:w="3116" w:type="dxa"/>
          </w:tcPr>
          <w:p w14:paraId="3984E722" w14:textId="77777777" w:rsidR="00431140" w:rsidRPr="00431140" w:rsidRDefault="00431140" w:rsidP="00431140">
            <w:pPr>
              <w:pStyle w:val="Body"/>
              <w:rPr>
                <w:rFonts w:ascii="Arial" w:hAnsi="Arial" w:cs="Arial"/>
                <w:sz w:val="20"/>
              </w:rPr>
            </w:pPr>
            <w:r w:rsidRPr="00431140">
              <w:rPr>
                <w:rFonts w:ascii="Arial" w:hAnsi="Arial" w:cs="Arial"/>
                <w:sz w:val="20"/>
              </w:rPr>
              <w:t>WELB</w:t>
            </w:r>
          </w:p>
        </w:tc>
        <w:tc>
          <w:tcPr>
            <w:tcW w:w="3117" w:type="dxa"/>
          </w:tcPr>
          <w:p w14:paraId="3AA3CD02" w14:textId="77777777" w:rsidR="00431140" w:rsidRPr="00431140" w:rsidRDefault="00431140" w:rsidP="00431140">
            <w:pPr>
              <w:pStyle w:val="Body"/>
              <w:rPr>
                <w:rFonts w:ascii="Arial" w:hAnsi="Arial" w:cs="Arial"/>
                <w:sz w:val="20"/>
              </w:rPr>
            </w:pPr>
            <w:r w:rsidRPr="00431140">
              <w:rPr>
                <w:rFonts w:ascii="Arial" w:hAnsi="Arial" w:cs="Arial"/>
                <w:sz w:val="20"/>
              </w:rPr>
              <w:t xml:space="preserve">Happiness </w:t>
            </w:r>
            <w:proofErr w:type="spellStart"/>
            <w:r w:rsidRPr="00431140">
              <w:rPr>
                <w:rFonts w:ascii="Arial" w:hAnsi="Arial" w:cs="Arial"/>
                <w:sz w:val="20"/>
              </w:rPr>
              <w:t>Cantril</w:t>
            </w:r>
            <w:proofErr w:type="spellEnd"/>
            <w:r w:rsidRPr="00431140">
              <w:rPr>
                <w:rFonts w:ascii="Arial" w:hAnsi="Arial" w:cs="Arial"/>
                <w:sz w:val="20"/>
              </w:rPr>
              <w:t xml:space="preserve"> ladder</w:t>
            </w:r>
          </w:p>
        </w:tc>
        <w:tc>
          <w:tcPr>
            <w:tcW w:w="3118" w:type="dxa"/>
          </w:tcPr>
          <w:p w14:paraId="38FC8E68" w14:textId="77777777" w:rsidR="00431140" w:rsidRPr="00431140" w:rsidRDefault="00431140" w:rsidP="00431140">
            <w:pPr>
              <w:pStyle w:val="Body"/>
              <w:rPr>
                <w:rFonts w:ascii="Arial" w:hAnsi="Arial" w:cs="Arial"/>
                <w:sz w:val="20"/>
              </w:rPr>
            </w:pPr>
            <w:r w:rsidRPr="00431140">
              <w:rPr>
                <w:rFonts w:ascii="Arial" w:hAnsi="Arial" w:cs="Arial"/>
                <w:sz w:val="20"/>
              </w:rPr>
              <w:t>Our World in Data</w:t>
            </w:r>
          </w:p>
        </w:tc>
      </w:tr>
      <w:tr w:rsidR="00431140" w:rsidRPr="00431140" w14:paraId="267E50AB" w14:textId="77777777" w:rsidTr="00C57C2F">
        <w:tc>
          <w:tcPr>
            <w:tcW w:w="3116" w:type="dxa"/>
          </w:tcPr>
          <w:p w14:paraId="532E29C2" w14:textId="77777777" w:rsidR="00431140" w:rsidRPr="00431140" w:rsidRDefault="00431140" w:rsidP="00431140">
            <w:pPr>
              <w:pStyle w:val="Body"/>
              <w:rPr>
                <w:rFonts w:ascii="Arial" w:hAnsi="Arial" w:cs="Arial"/>
                <w:sz w:val="20"/>
              </w:rPr>
            </w:pPr>
            <w:r w:rsidRPr="00431140">
              <w:rPr>
                <w:rFonts w:ascii="Arial" w:hAnsi="Arial" w:cs="Arial"/>
                <w:sz w:val="20"/>
              </w:rPr>
              <w:t>OPRS</w:t>
            </w:r>
          </w:p>
        </w:tc>
        <w:tc>
          <w:tcPr>
            <w:tcW w:w="3117" w:type="dxa"/>
          </w:tcPr>
          <w:p w14:paraId="2D04E300" w14:textId="77777777" w:rsidR="00431140" w:rsidRPr="00431140" w:rsidRDefault="00431140" w:rsidP="00431140">
            <w:pPr>
              <w:pStyle w:val="Body"/>
              <w:rPr>
                <w:rFonts w:ascii="Arial" w:hAnsi="Arial" w:cs="Arial"/>
                <w:sz w:val="20"/>
              </w:rPr>
            </w:pPr>
            <w:r w:rsidRPr="00431140">
              <w:rPr>
                <w:rFonts w:ascii="Arial" w:hAnsi="Arial" w:cs="Arial"/>
                <w:sz w:val="20"/>
              </w:rPr>
              <w:t>Oil price</w:t>
            </w:r>
          </w:p>
        </w:tc>
        <w:tc>
          <w:tcPr>
            <w:tcW w:w="3118" w:type="dxa"/>
          </w:tcPr>
          <w:p w14:paraId="2F854394" w14:textId="77777777" w:rsidR="00431140" w:rsidRPr="00431140" w:rsidRDefault="00431140" w:rsidP="00431140">
            <w:pPr>
              <w:pStyle w:val="Body"/>
              <w:rPr>
                <w:rFonts w:ascii="Arial" w:hAnsi="Arial" w:cs="Arial"/>
                <w:sz w:val="20"/>
              </w:rPr>
            </w:pPr>
            <w:r w:rsidRPr="00431140">
              <w:rPr>
                <w:rFonts w:ascii="Arial" w:hAnsi="Arial" w:cs="Arial"/>
                <w:sz w:val="20"/>
              </w:rPr>
              <w:t>OPEC Annual Stat Bulletin</w:t>
            </w:r>
          </w:p>
        </w:tc>
      </w:tr>
      <w:tr w:rsidR="00431140" w:rsidRPr="00431140" w14:paraId="3D936D9C" w14:textId="77777777" w:rsidTr="00C57C2F">
        <w:tc>
          <w:tcPr>
            <w:tcW w:w="3116" w:type="dxa"/>
          </w:tcPr>
          <w:p w14:paraId="56E98A09" w14:textId="77777777" w:rsidR="00431140" w:rsidRPr="00431140" w:rsidRDefault="00431140" w:rsidP="00431140">
            <w:pPr>
              <w:pStyle w:val="Body"/>
              <w:rPr>
                <w:rFonts w:ascii="Arial" w:hAnsi="Arial" w:cs="Arial"/>
                <w:sz w:val="20"/>
              </w:rPr>
            </w:pPr>
            <w:r w:rsidRPr="00431140">
              <w:rPr>
                <w:rFonts w:ascii="Arial" w:hAnsi="Arial" w:cs="Arial"/>
                <w:sz w:val="20"/>
              </w:rPr>
              <w:t>EXCR</w:t>
            </w:r>
          </w:p>
        </w:tc>
        <w:tc>
          <w:tcPr>
            <w:tcW w:w="3117" w:type="dxa"/>
          </w:tcPr>
          <w:p w14:paraId="586153E9" w14:textId="77777777" w:rsidR="00431140" w:rsidRPr="00431140" w:rsidRDefault="00431140" w:rsidP="00431140">
            <w:pPr>
              <w:pStyle w:val="Body"/>
              <w:rPr>
                <w:rFonts w:ascii="Arial" w:hAnsi="Arial" w:cs="Arial"/>
                <w:sz w:val="20"/>
              </w:rPr>
            </w:pPr>
            <w:r w:rsidRPr="00431140">
              <w:rPr>
                <w:rFonts w:ascii="Arial" w:hAnsi="Arial" w:cs="Arial"/>
                <w:sz w:val="20"/>
              </w:rPr>
              <w:t>Exchange Rate</w:t>
            </w:r>
          </w:p>
        </w:tc>
        <w:tc>
          <w:tcPr>
            <w:tcW w:w="3118" w:type="dxa"/>
          </w:tcPr>
          <w:p w14:paraId="28DCE6EA" w14:textId="77777777" w:rsidR="00431140" w:rsidRPr="00431140" w:rsidRDefault="00431140" w:rsidP="00431140">
            <w:pPr>
              <w:pStyle w:val="Body"/>
              <w:rPr>
                <w:rFonts w:ascii="Arial" w:hAnsi="Arial" w:cs="Arial"/>
                <w:sz w:val="20"/>
              </w:rPr>
            </w:pPr>
            <w:r w:rsidRPr="00431140">
              <w:rPr>
                <w:rFonts w:ascii="Arial" w:hAnsi="Arial" w:cs="Arial"/>
                <w:sz w:val="20"/>
              </w:rPr>
              <w:t>World Dev. Indicators</w:t>
            </w:r>
          </w:p>
        </w:tc>
      </w:tr>
      <w:tr w:rsidR="00431140" w:rsidRPr="00431140" w14:paraId="38BB1582" w14:textId="77777777" w:rsidTr="00C57C2F">
        <w:tc>
          <w:tcPr>
            <w:tcW w:w="3116" w:type="dxa"/>
          </w:tcPr>
          <w:p w14:paraId="5BE0C1E7" w14:textId="77777777" w:rsidR="00431140" w:rsidRPr="00431140" w:rsidRDefault="00431140" w:rsidP="00431140">
            <w:pPr>
              <w:pStyle w:val="Body"/>
              <w:rPr>
                <w:rFonts w:ascii="Arial" w:hAnsi="Arial" w:cs="Arial"/>
                <w:sz w:val="20"/>
              </w:rPr>
            </w:pPr>
            <w:r w:rsidRPr="00431140">
              <w:rPr>
                <w:rFonts w:ascii="Arial" w:hAnsi="Arial" w:cs="Arial"/>
                <w:sz w:val="20"/>
              </w:rPr>
              <w:t>GDPC</w:t>
            </w:r>
          </w:p>
        </w:tc>
        <w:tc>
          <w:tcPr>
            <w:tcW w:w="3117" w:type="dxa"/>
          </w:tcPr>
          <w:p w14:paraId="587B98A7" w14:textId="77777777" w:rsidR="00431140" w:rsidRPr="00431140" w:rsidRDefault="00431140" w:rsidP="00431140">
            <w:pPr>
              <w:pStyle w:val="Body"/>
              <w:rPr>
                <w:rFonts w:ascii="Arial" w:hAnsi="Arial" w:cs="Arial"/>
                <w:sz w:val="20"/>
              </w:rPr>
            </w:pPr>
            <w:r w:rsidRPr="00431140">
              <w:rPr>
                <w:rFonts w:ascii="Arial" w:hAnsi="Arial" w:cs="Arial"/>
                <w:sz w:val="20"/>
              </w:rPr>
              <w:t>GDP Per Capita</w:t>
            </w:r>
          </w:p>
        </w:tc>
        <w:tc>
          <w:tcPr>
            <w:tcW w:w="3118" w:type="dxa"/>
          </w:tcPr>
          <w:p w14:paraId="189C216D" w14:textId="77777777" w:rsidR="00431140" w:rsidRPr="00431140" w:rsidRDefault="00431140" w:rsidP="00431140">
            <w:pPr>
              <w:pStyle w:val="Body"/>
              <w:rPr>
                <w:rFonts w:ascii="Arial" w:hAnsi="Arial" w:cs="Arial"/>
                <w:sz w:val="20"/>
              </w:rPr>
            </w:pPr>
            <w:r w:rsidRPr="00431140">
              <w:rPr>
                <w:rFonts w:ascii="Arial" w:hAnsi="Arial" w:cs="Arial"/>
                <w:sz w:val="20"/>
              </w:rPr>
              <w:t>World Dev. Indicators</w:t>
            </w:r>
          </w:p>
        </w:tc>
      </w:tr>
      <w:tr w:rsidR="00431140" w:rsidRPr="00431140" w14:paraId="19C61719" w14:textId="77777777" w:rsidTr="00C57C2F">
        <w:tc>
          <w:tcPr>
            <w:tcW w:w="3116" w:type="dxa"/>
            <w:tcBorders>
              <w:bottom w:val="single" w:sz="4" w:space="0" w:color="auto"/>
            </w:tcBorders>
          </w:tcPr>
          <w:p w14:paraId="7C34FDEE" w14:textId="77777777" w:rsidR="00431140" w:rsidRPr="00431140" w:rsidRDefault="00431140" w:rsidP="00431140">
            <w:pPr>
              <w:pStyle w:val="Body"/>
              <w:rPr>
                <w:rFonts w:ascii="Arial" w:hAnsi="Arial" w:cs="Arial"/>
                <w:sz w:val="20"/>
              </w:rPr>
            </w:pPr>
            <w:r w:rsidRPr="00431140">
              <w:rPr>
                <w:rFonts w:ascii="Arial" w:hAnsi="Arial" w:cs="Arial"/>
                <w:sz w:val="20"/>
              </w:rPr>
              <w:t>INSQ</w:t>
            </w:r>
          </w:p>
        </w:tc>
        <w:tc>
          <w:tcPr>
            <w:tcW w:w="3117" w:type="dxa"/>
            <w:tcBorders>
              <w:bottom w:val="single" w:sz="4" w:space="0" w:color="auto"/>
            </w:tcBorders>
          </w:tcPr>
          <w:p w14:paraId="17FE8E45" w14:textId="77777777" w:rsidR="00431140" w:rsidRPr="00431140" w:rsidRDefault="00431140" w:rsidP="00431140">
            <w:pPr>
              <w:pStyle w:val="Body"/>
              <w:rPr>
                <w:rFonts w:ascii="Arial" w:hAnsi="Arial" w:cs="Arial"/>
                <w:sz w:val="20"/>
              </w:rPr>
            </w:pPr>
            <w:r w:rsidRPr="00431140">
              <w:rPr>
                <w:rFonts w:ascii="Arial" w:hAnsi="Arial" w:cs="Arial"/>
                <w:sz w:val="20"/>
              </w:rPr>
              <w:t>Institutional Quality</w:t>
            </w:r>
          </w:p>
        </w:tc>
        <w:tc>
          <w:tcPr>
            <w:tcW w:w="3118" w:type="dxa"/>
            <w:tcBorders>
              <w:bottom w:val="single" w:sz="4" w:space="0" w:color="auto"/>
            </w:tcBorders>
          </w:tcPr>
          <w:p w14:paraId="1BA4BBD2" w14:textId="77777777" w:rsidR="00431140" w:rsidRPr="00431140" w:rsidRDefault="00431140" w:rsidP="00431140">
            <w:pPr>
              <w:pStyle w:val="Body"/>
              <w:rPr>
                <w:rFonts w:ascii="Arial" w:hAnsi="Arial" w:cs="Arial"/>
                <w:sz w:val="20"/>
              </w:rPr>
            </w:pPr>
            <w:r w:rsidRPr="00431140">
              <w:rPr>
                <w:rFonts w:ascii="Arial" w:hAnsi="Arial" w:cs="Arial"/>
                <w:sz w:val="20"/>
              </w:rPr>
              <w:t>World Dev. Indicators</w:t>
            </w:r>
          </w:p>
        </w:tc>
      </w:tr>
    </w:tbl>
    <w:p w14:paraId="5F70C936" w14:textId="77777777" w:rsidR="00431140" w:rsidRDefault="00431140" w:rsidP="00431140">
      <w:pPr>
        <w:pStyle w:val="Body"/>
        <w:spacing w:after="0"/>
        <w:rPr>
          <w:rFonts w:ascii="Arial" w:hAnsi="Arial" w:cs="Arial"/>
        </w:rPr>
      </w:pPr>
      <w:r w:rsidRPr="00431140">
        <w:rPr>
          <w:rFonts w:ascii="Arial" w:hAnsi="Arial" w:cs="Arial"/>
          <w:b/>
          <w:bCs/>
        </w:rPr>
        <w:t>Note</w:t>
      </w:r>
      <w:r w:rsidRPr="00431140">
        <w:rPr>
          <w:rFonts w:ascii="Arial" w:hAnsi="Arial" w:cs="Arial"/>
        </w:rPr>
        <w:t xml:space="preserve">: </w:t>
      </w:r>
      <w:r w:rsidRPr="00431140">
        <w:rPr>
          <w:rFonts w:ascii="Arial" w:hAnsi="Arial" w:cs="Arial"/>
        </w:rPr>
        <w:tab/>
      </w:r>
      <w:r w:rsidRPr="00431140">
        <w:rPr>
          <w:rFonts w:ascii="Arial" w:hAnsi="Arial" w:cs="Arial"/>
          <w:b/>
          <w:bCs/>
        </w:rPr>
        <w:t xml:space="preserve">WELB </w:t>
      </w:r>
      <w:r w:rsidRPr="00431140">
        <w:rPr>
          <w:rFonts w:ascii="Arial" w:hAnsi="Arial" w:cs="Arial"/>
        </w:rPr>
        <w:t xml:space="preserve">= well-being; </w:t>
      </w:r>
      <w:r w:rsidRPr="00431140">
        <w:rPr>
          <w:rFonts w:ascii="Arial" w:hAnsi="Arial" w:cs="Arial"/>
          <w:b/>
          <w:bCs/>
        </w:rPr>
        <w:t>OPRS</w:t>
      </w:r>
      <w:r w:rsidRPr="00431140">
        <w:rPr>
          <w:rFonts w:ascii="Arial" w:hAnsi="Arial" w:cs="Arial"/>
        </w:rPr>
        <w:t xml:space="preserve">=Oil prices; </w:t>
      </w:r>
      <w:r w:rsidRPr="00431140">
        <w:rPr>
          <w:rFonts w:ascii="Arial" w:hAnsi="Arial" w:cs="Arial"/>
          <w:b/>
          <w:bCs/>
        </w:rPr>
        <w:t>EXCR</w:t>
      </w:r>
      <w:r w:rsidRPr="00431140">
        <w:rPr>
          <w:rFonts w:ascii="Arial" w:hAnsi="Arial" w:cs="Arial"/>
        </w:rPr>
        <w:t xml:space="preserve">=Exchange rate; </w:t>
      </w:r>
      <w:r w:rsidRPr="00431140">
        <w:rPr>
          <w:rFonts w:ascii="Arial" w:hAnsi="Arial" w:cs="Arial"/>
          <w:b/>
          <w:bCs/>
        </w:rPr>
        <w:t>GDPC</w:t>
      </w:r>
      <w:r w:rsidRPr="00431140">
        <w:rPr>
          <w:rFonts w:ascii="Arial" w:hAnsi="Arial" w:cs="Arial"/>
        </w:rPr>
        <w:t xml:space="preserve">= Gross domestic per capita; </w:t>
      </w:r>
      <w:r w:rsidRPr="00431140">
        <w:rPr>
          <w:rFonts w:ascii="Arial" w:hAnsi="Arial" w:cs="Arial"/>
          <w:b/>
          <w:bCs/>
        </w:rPr>
        <w:t>INSQ</w:t>
      </w:r>
      <w:r w:rsidRPr="00431140">
        <w:rPr>
          <w:rFonts w:ascii="Arial" w:hAnsi="Arial" w:cs="Arial"/>
        </w:rPr>
        <w:t>= institutional quality.</w:t>
      </w:r>
    </w:p>
    <w:p w14:paraId="1C54C921" w14:textId="77777777" w:rsidR="002846AF" w:rsidRPr="00431140" w:rsidRDefault="002846AF" w:rsidP="00431140">
      <w:pPr>
        <w:pStyle w:val="Body"/>
        <w:spacing w:after="0"/>
        <w:rPr>
          <w:rFonts w:ascii="Arial" w:hAnsi="Arial" w:cs="Arial"/>
        </w:rPr>
      </w:pPr>
    </w:p>
    <w:p w14:paraId="04E40020" w14:textId="5AAC0DBB" w:rsidR="00431140" w:rsidRPr="00431140" w:rsidRDefault="002846AF" w:rsidP="00431140">
      <w:pPr>
        <w:pStyle w:val="Body"/>
        <w:spacing w:after="0"/>
        <w:rPr>
          <w:rFonts w:ascii="Arial" w:hAnsi="Arial" w:cs="Arial"/>
          <w:b/>
          <w:bCs/>
        </w:rPr>
      </w:pPr>
      <w:r>
        <w:rPr>
          <w:rFonts w:ascii="Arial" w:hAnsi="Arial" w:cs="Arial"/>
          <w:b/>
          <w:bCs/>
        </w:rPr>
        <w:t xml:space="preserve">3.2 </w:t>
      </w:r>
      <w:r w:rsidR="00431140" w:rsidRPr="00431140">
        <w:rPr>
          <w:rFonts w:ascii="Arial" w:hAnsi="Arial" w:cs="Arial"/>
          <w:b/>
          <w:bCs/>
        </w:rPr>
        <w:t>Estimation techniques</w:t>
      </w:r>
    </w:p>
    <w:p w14:paraId="39E5877E" w14:textId="77777777" w:rsidR="00431140" w:rsidRPr="00431140" w:rsidRDefault="00431140" w:rsidP="00431140">
      <w:pPr>
        <w:pStyle w:val="Body"/>
        <w:rPr>
          <w:rFonts w:ascii="Arial" w:hAnsi="Arial" w:cs="Arial"/>
        </w:rPr>
      </w:pPr>
      <w:r w:rsidRPr="00431140">
        <w:rPr>
          <w:rFonts w:ascii="Arial" w:hAnsi="Arial" w:cs="Arial"/>
        </w:rPr>
        <w:t>The study employs the Arellano and Bover 1995, and Blundell and Bond 1998 system Generalized Method of Moments. The choice of this method is to control for endogeneity and to accommodate the micro nature of our data set. After the traditional diagnostic tests, the Two-system GMM of Arellano and Bover 1995 and Blundell and Bond 1998 was found appropriate for estimating the model. Other than controlling for endogeneity, the two-system GMM introduces more instruments to improve efficiency and transforms instruments to make them uncorrelated with fixed effects. Thus;</w:t>
      </w:r>
    </w:p>
    <w:p w14:paraId="358BCBA2" w14:textId="77777777" w:rsidR="00431140" w:rsidRPr="00431140" w:rsidRDefault="00431140" w:rsidP="00431140">
      <w:pPr>
        <w:pStyle w:val="Body"/>
        <w:rPr>
          <w:rFonts w:ascii="Arial" w:hAnsi="Arial" w:cs="Arial"/>
        </w:rPr>
      </w:pPr>
      <w:r w:rsidRPr="00431140">
        <w:rPr>
          <w:rFonts w:ascii="Arial" w:hAnsi="Arial" w:cs="Arial"/>
        </w:rPr>
        <w:t>Suppose in a linear model such as in equation (1), X is the T x K matrix of explanatory variables resulting from T observations on K variables and Z is the T x K matrix of instruments</w:t>
      </w:r>
    </w:p>
    <w:p w14:paraId="4F0FDE0B" w14:textId="5717AD0A" w:rsidR="00431140" w:rsidRPr="00431140" w:rsidRDefault="00431140" w:rsidP="00431140">
      <w:pPr>
        <w:pStyle w:val="Body"/>
        <w:rPr>
          <w:rFonts w:ascii="Arial" w:hAnsi="Arial" w:cs="Arial"/>
        </w:rPr>
      </w:pPr>
      <w:r w:rsidRPr="00431140">
        <w:rPr>
          <w:rFonts w:ascii="Arial" w:hAnsi="Arial" w:cs="Arial"/>
        </w:rPr>
        <w:t xml:space="preserve"> </w:t>
      </w:r>
      <w:r w:rsidRPr="00431140">
        <w:rPr>
          <w:rFonts w:ascii="Arial" w:hAnsi="Arial" w:cs="Arial"/>
        </w:rPr>
        <w:object w:dxaOrig="1080" w:dyaOrig="320" w14:anchorId="44AC11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14.25pt" o:ole="">
            <v:imagedata r:id="rId14" o:title=""/>
          </v:shape>
          <o:OLEObject Type="Embed" ProgID="Equation.DSMT4" ShapeID="_x0000_i1025" DrawAspect="Content" ObjectID="_1808034746" r:id="rId15"/>
        </w:object>
      </w:r>
      <w:r w:rsidRPr="00431140">
        <w:rPr>
          <w:rFonts w:ascii="Arial" w:hAnsi="Arial" w:cs="Arial"/>
        </w:rPr>
        <w:tab/>
        <w:t xml:space="preserve">  </w:t>
      </w:r>
      <w:r w:rsidR="002846AF">
        <w:rPr>
          <w:rFonts w:ascii="Arial" w:hAnsi="Arial" w:cs="Arial"/>
        </w:rPr>
        <w:t xml:space="preserve">    </w:t>
      </w:r>
      <w:r w:rsidR="002846AF">
        <w:rPr>
          <w:rFonts w:ascii="Arial" w:hAnsi="Arial" w:cs="Arial"/>
        </w:rPr>
        <w:tab/>
      </w:r>
      <w:r w:rsidR="002846AF">
        <w:rPr>
          <w:rFonts w:ascii="Arial" w:hAnsi="Arial" w:cs="Arial"/>
        </w:rPr>
        <w:tab/>
      </w:r>
      <w:r w:rsidR="002846AF">
        <w:rPr>
          <w:rFonts w:ascii="Arial" w:hAnsi="Arial" w:cs="Arial"/>
        </w:rPr>
        <w:tab/>
      </w:r>
      <w:r w:rsidR="002846AF">
        <w:rPr>
          <w:rFonts w:ascii="Arial" w:hAnsi="Arial" w:cs="Arial"/>
        </w:rPr>
        <w:tab/>
      </w:r>
      <w:r w:rsidR="002846AF">
        <w:rPr>
          <w:rFonts w:ascii="Arial" w:hAnsi="Arial" w:cs="Arial"/>
        </w:rPr>
        <w:tab/>
      </w:r>
      <w:r w:rsidR="002846AF">
        <w:rPr>
          <w:rFonts w:ascii="Arial" w:hAnsi="Arial" w:cs="Arial"/>
        </w:rPr>
        <w:tab/>
      </w:r>
      <w:r w:rsidR="002846AF">
        <w:rPr>
          <w:rFonts w:ascii="Arial" w:hAnsi="Arial" w:cs="Arial"/>
        </w:rPr>
        <w:tab/>
      </w:r>
      <w:r w:rsidR="002846AF" w:rsidRPr="00431140">
        <w:rPr>
          <w:rFonts w:ascii="Arial" w:hAnsi="Arial" w:cs="Arial"/>
        </w:rPr>
        <w:t xml:space="preserve">(1) </w:t>
      </w:r>
      <w:r w:rsidR="002846AF">
        <w:rPr>
          <w:rFonts w:ascii="Arial" w:hAnsi="Arial" w:cs="Arial"/>
        </w:rPr>
        <w:t xml:space="preserve">                                </w:t>
      </w:r>
      <w:r w:rsidRPr="00431140">
        <w:rPr>
          <w:rFonts w:ascii="Arial" w:hAnsi="Arial" w:cs="Arial"/>
        </w:rPr>
        <w:t xml:space="preserve">                                                                                                                         </w:t>
      </w:r>
    </w:p>
    <w:p w14:paraId="2EC61DD2" w14:textId="2F184F61" w:rsidR="00431140" w:rsidRPr="00431140" w:rsidRDefault="00431140" w:rsidP="00431140">
      <w:pPr>
        <w:pStyle w:val="Body"/>
        <w:rPr>
          <w:rFonts w:ascii="Arial" w:hAnsi="Arial" w:cs="Arial"/>
        </w:rPr>
      </w:pPr>
      <w:r w:rsidRPr="00431140">
        <w:rPr>
          <w:rFonts w:ascii="Arial" w:hAnsi="Arial" w:cs="Arial"/>
        </w:rPr>
        <w:object w:dxaOrig="5920" w:dyaOrig="600" w14:anchorId="1835D51B">
          <v:shape id="_x0000_i1026" type="#_x0000_t75" style="width:295.55pt;height:27.65pt" o:ole="">
            <v:imagedata r:id="rId16" o:title=""/>
          </v:shape>
          <o:OLEObject Type="Embed" ProgID="Equation.DSMT4" ShapeID="_x0000_i1026" DrawAspect="Content" ObjectID="_1808034747" r:id="rId17"/>
        </w:object>
      </w:r>
      <w:r w:rsidRPr="00431140">
        <w:rPr>
          <w:rFonts w:ascii="Arial" w:hAnsi="Arial" w:cs="Arial"/>
        </w:rPr>
        <w:tab/>
      </w:r>
      <w:r w:rsidR="002846AF" w:rsidRPr="00431140">
        <w:rPr>
          <w:rFonts w:ascii="Arial" w:hAnsi="Arial" w:cs="Arial"/>
        </w:rPr>
        <w:t>(2)</w:t>
      </w:r>
      <w:r w:rsidRPr="00431140">
        <w:rPr>
          <w:rFonts w:ascii="Arial" w:hAnsi="Arial" w:cs="Arial"/>
        </w:rPr>
        <w:tab/>
      </w:r>
      <w:r w:rsidRPr="00431140">
        <w:rPr>
          <w:rFonts w:ascii="Arial" w:hAnsi="Arial" w:cs="Arial"/>
        </w:rPr>
        <w:tab/>
        <w:t xml:space="preserve">                  </w:t>
      </w:r>
    </w:p>
    <w:p w14:paraId="0172C242" w14:textId="77777777" w:rsidR="00431140" w:rsidRPr="00431140" w:rsidRDefault="00431140" w:rsidP="00431140">
      <w:pPr>
        <w:pStyle w:val="Body"/>
        <w:rPr>
          <w:rFonts w:ascii="Arial" w:hAnsi="Arial" w:cs="Arial"/>
        </w:rPr>
      </w:pPr>
      <w:r w:rsidRPr="00431140">
        <w:rPr>
          <w:rFonts w:ascii="Arial" w:hAnsi="Arial" w:cs="Arial"/>
        </w:rPr>
        <w:t xml:space="preserve">This estimator provides a consistent estimator for the slope coefficients </w:t>
      </w:r>
      <w:r w:rsidRPr="00431140">
        <w:rPr>
          <w:rFonts w:ascii="Arial" w:hAnsi="Arial" w:cs="Arial"/>
        </w:rPr>
        <w:object w:dxaOrig="240" w:dyaOrig="320" w14:anchorId="643D186A">
          <v:shape id="_x0000_i1027" type="#_x0000_t75" style="width:14.25pt;height:14.25pt" o:ole="">
            <v:imagedata r:id="rId18" o:title=""/>
          </v:shape>
          <o:OLEObject Type="Embed" ProgID="Equation.DSMT4" ShapeID="_x0000_i1027" DrawAspect="Content" ObjectID="_1808034748" r:id="rId19"/>
        </w:object>
      </w:r>
      <w:r w:rsidRPr="00431140">
        <w:rPr>
          <w:rFonts w:ascii="Arial" w:hAnsi="Arial" w:cs="Arial"/>
        </w:rPr>
        <w:t>if Z is correlated with X and uncorrelated with error term.</w:t>
      </w:r>
    </w:p>
    <w:p w14:paraId="6417A315" w14:textId="280ABBC4" w:rsidR="00431140" w:rsidRPr="00431140" w:rsidRDefault="002846AF" w:rsidP="00431140">
      <w:pPr>
        <w:pStyle w:val="Body"/>
        <w:rPr>
          <w:rFonts w:ascii="Arial" w:hAnsi="Arial" w:cs="Arial"/>
          <w:b/>
          <w:bCs/>
        </w:rPr>
      </w:pPr>
      <w:r>
        <w:rPr>
          <w:rFonts w:ascii="Arial" w:hAnsi="Arial" w:cs="Arial"/>
          <w:b/>
          <w:bCs/>
        </w:rPr>
        <w:t xml:space="preserve">3.3 </w:t>
      </w:r>
      <w:r w:rsidR="00431140" w:rsidRPr="00431140">
        <w:rPr>
          <w:rFonts w:ascii="Arial" w:hAnsi="Arial" w:cs="Arial"/>
          <w:b/>
          <w:bCs/>
        </w:rPr>
        <w:t>Model specification</w:t>
      </w:r>
    </w:p>
    <w:p w14:paraId="79D8536D" w14:textId="7E04F2F1" w:rsidR="00431140" w:rsidRPr="00431140" w:rsidRDefault="00431140" w:rsidP="00431140">
      <w:pPr>
        <w:pStyle w:val="Body"/>
        <w:rPr>
          <w:rFonts w:ascii="Arial" w:hAnsi="Arial" w:cs="Arial"/>
        </w:rPr>
      </w:pPr>
      <w:r w:rsidRPr="00431140">
        <w:rPr>
          <w:rFonts w:ascii="Arial" w:hAnsi="Arial" w:cs="Arial"/>
        </w:rPr>
        <w:t xml:space="preserve">The study is anchored on the economic and social welfare theory which placed a rise in well-being and standard of living on money and increased national output. Adopting the theory’s proposition, this study introduced oil price and institutional quality as elements of national output, gross domestic per capita as money accrued to individuals, and the exchange rate as a moderating factor.   Institutional quality is conceptualized as the average of the World governance indicators.  West Texas Intermediate is used as proxy for oil price while well-being was </w:t>
      </w:r>
      <w:proofErr w:type="spellStart"/>
      <w:r w:rsidRPr="00431140">
        <w:rPr>
          <w:rFonts w:ascii="Arial" w:hAnsi="Arial" w:cs="Arial"/>
        </w:rPr>
        <w:t>proxied</w:t>
      </w:r>
      <w:proofErr w:type="spellEnd"/>
      <w:r w:rsidRPr="00431140">
        <w:rPr>
          <w:rFonts w:ascii="Arial" w:hAnsi="Arial" w:cs="Arial"/>
        </w:rPr>
        <w:t xml:space="preserve"> by </w:t>
      </w:r>
      <w:r w:rsidR="00C74CD7">
        <w:rPr>
          <w:rFonts w:ascii="Arial" w:hAnsi="Arial" w:cs="Arial"/>
        </w:rPr>
        <w:t>H</w:t>
      </w:r>
      <w:r w:rsidRPr="00431140">
        <w:rPr>
          <w:rFonts w:ascii="Arial" w:hAnsi="Arial" w:cs="Arial"/>
        </w:rPr>
        <w:t xml:space="preserve">appiness </w:t>
      </w:r>
      <w:proofErr w:type="spellStart"/>
      <w:r w:rsidRPr="00431140">
        <w:rPr>
          <w:rFonts w:ascii="Arial" w:hAnsi="Arial" w:cs="Arial"/>
        </w:rPr>
        <w:t>Cantril</w:t>
      </w:r>
      <w:proofErr w:type="spellEnd"/>
      <w:r w:rsidRPr="00431140">
        <w:rPr>
          <w:rFonts w:ascii="Arial" w:hAnsi="Arial" w:cs="Arial"/>
        </w:rPr>
        <w:t xml:space="preserve"> ladder.</w:t>
      </w:r>
    </w:p>
    <w:p w14:paraId="7B05693E" w14:textId="77777777" w:rsidR="00431140" w:rsidRPr="00431140" w:rsidRDefault="00431140" w:rsidP="00431140">
      <w:pPr>
        <w:pStyle w:val="Body"/>
        <w:spacing w:after="0"/>
        <w:rPr>
          <w:rFonts w:ascii="Arial" w:hAnsi="Arial" w:cs="Arial"/>
        </w:rPr>
      </w:pPr>
      <w:r w:rsidRPr="00431140">
        <w:rPr>
          <w:rFonts w:ascii="Arial" w:hAnsi="Arial" w:cs="Arial"/>
        </w:rPr>
        <w:t xml:space="preserve">Adopting the Two-system equations, we propose that: </w:t>
      </w:r>
    </w:p>
    <w:p w14:paraId="19A3580D" w14:textId="3237D484" w:rsidR="00431140" w:rsidRDefault="00431140" w:rsidP="00431140">
      <w:pPr>
        <w:pStyle w:val="Body"/>
        <w:spacing w:after="0"/>
        <w:rPr>
          <w:rFonts w:ascii="Arial" w:hAnsi="Arial" w:cs="Arial"/>
        </w:rPr>
      </w:pPr>
      <w:r w:rsidRPr="00431140">
        <w:rPr>
          <w:rFonts w:ascii="Arial" w:hAnsi="Arial" w:cs="Arial"/>
        </w:rPr>
        <w:object w:dxaOrig="3660" w:dyaOrig="320" w14:anchorId="16DE8FC6">
          <v:shape id="_x0000_i1028" type="#_x0000_t75" style="width:180.85pt;height:14.25pt" o:ole="">
            <v:imagedata r:id="rId20" o:title=""/>
          </v:shape>
          <o:OLEObject Type="Embed" ProgID="Equation.DSMT4" ShapeID="_x0000_i1028" DrawAspect="Content" ObjectID="_1808034749" r:id="rId21"/>
        </w:object>
      </w:r>
      <w:r w:rsidRPr="00431140">
        <w:rPr>
          <w:rFonts w:ascii="Arial" w:hAnsi="Arial" w:cs="Arial"/>
        </w:rPr>
        <w:tab/>
      </w:r>
      <w:r w:rsidRPr="00431140">
        <w:rPr>
          <w:rFonts w:ascii="Arial" w:hAnsi="Arial" w:cs="Arial"/>
        </w:rPr>
        <w:tab/>
      </w:r>
      <w:r w:rsidRPr="00431140">
        <w:rPr>
          <w:rFonts w:ascii="Arial" w:hAnsi="Arial" w:cs="Arial"/>
        </w:rPr>
        <w:tab/>
      </w:r>
      <w:r w:rsidRPr="00431140">
        <w:rPr>
          <w:rFonts w:ascii="Arial" w:hAnsi="Arial" w:cs="Arial"/>
        </w:rPr>
        <w:tab/>
        <w:t xml:space="preserve">   </w:t>
      </w:r>
      <w:r w:rsidR="002846AF" w:rsidRPr="00431140">
        <w:rPr>
          <w:rFonts w:ascii="Arial" w:hAnsi="Arial" w:cs="Arial"/>
        </w:rPr>
        <w:t>(3)</w:t>
      </w:r>
    </w:p>
    <w:p w14:paraId="44509641" w14:textId="77777777" w:rsidR="002846AF" w:rsidRPr="00431140" w:rsidRDefault="002846AF" w:rsidP="00431140">
      <w:pPr>
        <w:pStyle w:val="Body"/>
        <w:spacing w:after="0"/>
        <w:rPr>
          <w:rFonts w:ascii="Arial" w:hAnsi="Arial" w:cs="Arial"/>
        </w:rPr>
      </w:pPr>
    </w:p>
    <w:p w14:paraId="2A75AD30" w14:textId="77777777" w:rsidR="00431140" w:rsidRPr="00431140" w:rsidRDefault="00431140" w:rsidP="00431140">
      <w:pPr>
        <w:pStyle w:val="Body"/>
        <w:spacing w:after="0"/>
        <w:rPr>
          <w:rFonts w:ascii="Arial" w:hAnsi="Arial" w:cs="Arial"/>
        </w:rPr>
      </w:pPr>
      <w:r w:rsidRPr="00431140">
        <w:rPr>
          <w:rFonts w:ascii="Arial" w:hAnsi="Arial" w:cs="Arial"/>
        </w:rPr>
        <w:t>where WELB represents well-being, OPRS is oil prices, INSQ is institutional quality, EXCR is the exchange rate and GDPC is GDP per capita.</w:t>
      </w:r>
    </w:p>
    <w:p w14:paraId="7F81C255" w14:textId="77777777" w:rsidR="00431140" w:rsidRPr="00431140" w:rsidRDefault="00431140" w:rsidP="00431140">
      <w:pPr>
        <w:pStyle w:val="Body"/>
        <w:spacing w:after="0"/>
        <w:rPr>
          <w:rFonts w:ascii="Arial" w:hAnsi="Arial" w:cs="Arial"/>
        </w:rPr>
      </w:pPr>
      <w:r w:rsidRPr="00431140">
        <w:rPr>
          <w:rFonts w:ascii="Arial" w:hAnsi="Arial" w:cs="Arial"/>
        </w:rPr>
        <w:t>INSQ is derived from equation (4) as follow:</w:t>
      </w:r>
    </w:p>
    <w:p w14:paraId="3009240D" w14:textId="34A09A00" w:rsidR="00431140" w:rsidRPr="00431140" w:rsidRDefault="00431140" w:rsidP="00431140">
      <w:pPr>
        <w:pStyle w:val="Body"/>
        <w:spacing w:after="0"/>
        <w:rPr>
          <w:rFonts w:ascii="Arial" w:hAnsi="Arial" w:cs="Arial"/>
        </w:rPr>
      </w:pPr>
      <w:r w:rsidRPr="00431140">
        <w:rPr>
          <w:rFonts w:ascii="Arial" w:hAnsi="Arial" w:cs="Arial"/>
        </w:rPr>
        <w:object w:dxaOrig="6300" w:dyaOrig="400" w14:anchorId="733E5CAB">
          <v:shape id="_x0000_i1029" type="#_x0000_t75" style="width:317.3pt;height:21.75pt" o:ole="">
            <v:imagedata r:id="rId22" o:title=""/>
          </v:shape>
          <o:OLEObject Type="Embed" ProgID="Equation.DSMT4" ShapeID="_x0000_i1029" DrawAspect="Content" ObjectID="_1808034750" r:id="rId23"/>
        </w:object>
      </w:r>
      <w:r w:rsidRPr="00431140">
        <w:rPr>
          <w:rFonts w:ascii="Arial" w:hAnsi="Arial" w:cs="Arial"/>
        </w:rPr>
        <w:tab/>
      </w:r>
      <w:r w:rsidRPr="00431140">
        <w:rPr>
          <w:rFonts w:ascii="Arial" w:hAnsi="Arial" w:cs="Arial"/>
        </w:rPr>
        <w:tab/>
      </w:r>
      <w:r w:rsidR="002846AF" w:rsidRPr="00431140">
        <w:rPr>
          <w:rFonts w:ascii="Arial" w:hAnsi="Arial" w:cs="Arial"/>
        </w:rPr>
        <w:t>(4)</w:t>
      </w:r>
      <w:r w:rsidRPr="00431140">
        <w:rPr>
          <w:rFonts w:ascii="Arial" w:hAnsi="Arial" w:cs="Arial"/>
        </w:rPr>
        <w:tab/>
      </w:r>
      <w:r w:rsidRPr="00431140">
        <w:rPr>
          <w:rFonts w:ascii="Arial" w:hAnsi="Arial" w:cs="Arial"/>
        </w:rPr>
        <w:tab/>
        <w:t xml:space="preserve">      </w:t>
      </w:r>
    </w:p>
    <w:p w14:paraId="69B8D339" w14:textId="77777777" w:rsidR="00431140" w:rsidRPr="00431140" w:rsidRDefault="00431140" w:rsidP="00431140">
      <w:pPr>
        <w:pStyle w:val="Body"/>
        <w:spacing w:after="0"/>
        <w:rPr>
          <w:rFonts w:ascii="Arial" w:hAnsi="Arial" w:cs="Arial"/>
        </w:rPr>
      </w:pPr>
      <w:proofErr w:type="gramStart"/>
      <w:r w:rsidRPr="00431140">
        <w:rPr>
          <w:rFonts w:ascii="Arial" w:hAnsi="Arial" w:cs="Arial"/>
        </w:rPr>
        <w:t>where</w:t>
      </w:r>
      <w:proofErr w:type="gramEnd"/>
      <w:r w:rsidRPr="00431140">
        <w:rPr>
          <w:rFonts w:ascii="Arial" w:hAnsi="Arial" w:cs="Arial"/>
        </w:rPr>
        <w:t xml:space="preserve"> </w:t>
      </w:r>
    </w:p>
    <w:p w14:paraId="728C1D00" w14:textId="77777777" w:rsidR="00431140" w:rsidRPr="00431140" w:rsidRDefault="00431140" w:rsidP="00431140">
      <w:pPr>
        <w:pStyle w:val="Body"/>
        <w:spacing w:after="0"/>
        <w:rPr>
          <w:rFonts w:ascii="Arial" w:hAnsi="Arial" w:cs="Arial"/>
        </w:rPr>
      </w:pPr>
      <w:r w:rsidRPr="00431140">
        <w:rPr>
          <w:rFonts w:ascii="Arial" w:hAnsi="Arial" w:cs="Arial"/>
        </w:rPr>
        <w:t xml:space="preserve">Gove = Government effectiveness, Vacc = Voice and accountability, </w:t>
      </w:r>
      <w:proofErr w:type="spellStart"/>
      <w:r w:rsidRPr="00431140">
        <w:rPr>
          <w:rFonts w:ascii="Arial" w:hAnsi="Arial" w:cs="Arial"/>
        </w:rPr>
        <w:t>Psav</w:t>
      </w:r>
      <w:proofErr w:type="spellEnd"/>
      <w:r w:rsidRPr="00431140">
        <w:rPr>
          <w:rFonts w:ascii="Arial" w:hAnsi="Arial" w:cs="Arial"/>
        </w:rPr>
        <w:t xml:space="preserve"> = political stability and absence of violence, </w:t>
      </w:r>
      <w:proofErr w:type="spellStart"/>
      <w:r w:rsidRPr="00431140">
        <w:rPr>
          <w:rFonts w:ascii="Arial" w:hAnsi="Arial" w:cs="Arial"/>
        </w:rPr>
        <w:t>Rlaw</w:t>
      </w:r>
      <w:proofErr w:type="spellEnd"/>
      <w:r w:rsidRPr="00431140">
        <w:rPr>
          <w:rFonts w:ascii="Arial" w:hAnsi="Arial" w:cs="Arial"/>
        </w:rPr>
        <w:t xml:space="preserve"> = Rule of law, </w:t>
      </w:r>
      <w:proofErr w:type="spellStart"/>
      <w:r w:rsidRPr="00431140">
        <w:rPr>
          <w:rFonts w:ascii="Arial" w:hAnsi="Arial" w:cs="Arial"/>
        </w:rPr>
        <w:t>Reql</w:t>
      </w:r>
      <w:proofErr w:type="spellEnd"/>
      <w:r w:rsidRPr="00431140">
        <w:rPr>
          <w:rFonts w:ascii="Arial" w:hAnsi="Arial" w:cs="Arial"/>
        </w:rPr>
        <w:t xml:space="preserve"> = Regulatory quality, and </w:t>
      </w:r>
      <w:proofErr w:type="spellStart"/>
      <w:r w:rsidRPr="00431140">
        <w:rPr>
          <w:rFonts w:ascii="Arial" w:hAnsi="Arial" w:cs="Arial"/>
        </w:rPr>
        <w:t>Cocr</w:t>
      </w:r>
      <w:proofErr w:type="spellEnd"/>
      <w:r w:rsidRPr="00431140">
        <w:rPr>
          <w:rFonts w:ascii="Arial" w:hAnsi="Arial" w:cs="Arial"/>
        </w:rPr>
        <w:t xml:space="preserve"> = Control of corruption. The econometric model takes the following form;</w:t>
      </w:r>
    </w:p>
    <w:p w14:paraId="04418D67" w14:textId="77777777" w:rsidR="00431140" w:rsidRPr="00431140" w:rsidRDefault="00431140" w:rsidP="00431140">
      <w:pPr>
        <w:pStyle w:val="Body"/>
        <w:spacing w:after="0"/>
        <w:rPr>
          <w:rFonts w:ascii="Arial" w:hAnsi="Arial" w:cs="Arial"/>
        </w:rPr>
      </w:pPr>
      <w:r w:rsidRPr="00431140">
        <w:rPr>
          <w:rFonts w:ascii="Arial" w:hAnsi="Arial" w:cs="Arial"/>
        </w:rPr>
        <w:object w:dxaOrig="8600" w:dyaOrig="540" w14:anchorId="3A75FFBC">
          <v:shape id="_x0000_i1030" type="#_x0000_t75" style="width:6in;height:27.65pt" o:ole="">
            <v:imagedata r:id="rId24" o:title=""/>
          </v:shape>
          <o:OLEObject Type="Embed" ProgID="Equation.DSMT4" ShapeID="_x0000_i1030" DrawAspect="Content" ObjectID="_1808034751" r:id="rId25"/>
        </w:object>
      </w:r>
      <w:r w:rsidRPr="00431140">
        <w:rPr>
          <w:rFonts w:ascii="Arial" w:hAnsi="Arial" w:cs="Arial"/>
        </w:rPr>
        <w:t xml:space="preserve">                        (5)</w:t>
      </w:r>
    </w:p>
    <w:p w14:paraId="61DA5A65" w14:textId="77777777" w:rsidR="00431140" w:rsidRDefault="00431140" w:rsidP="00431140">
      <w:pPr>
        <w:pStyle w:val="Body"/>
        <w:spacing w:after="0"/>
        <w:rPr>
          <w:rFonts w:ascii="Arial" w:hAnsi="Arial" w:cs="Arial"/>
        </w:rPr>
      </w:pPr>
      <w:r w:rsidRPr="00431140">
        <w:rPr>
          <w:rFonts w:ascii="Arial" w:hAnsi="Arial" w:cs="Arial"/>
        </w:rPr>
        <w:t xml:space="preserve">Equation 5 is further transformed to a logged Two-system GMM equation as shown in equations (6) and (7): </w:t>
      </w:r>
    </w:p>
    <w:p w14:paraId="76F4124E" w14:textId="77777777" w:rsidR="002846AF" w:rsidRPr="00431140" w:rsidRDefault="002846AF" w:rsidP="00431140">
      <w:pPr>
        <w:pStyle w:val="Body"/>
        <w:spacing w:after="0"/>
        <w:rPr>
          <w:rFonts w:ascii="Arial" w:hAnsi="Arial" w:cs="Arial"/>
        </w:rPr>
      </w:pPr>
    </w:p>
    <w:p w14:paraId="10CAB474" w14:textId="77777777" w:rsidR="00431140" w:rsidRDefault="00431140" w:rsidP="00431140">
      <w:pPr>
        <w:pStyle w:val="Body"/>
        <w:spacing w:after="0"/>
        <w:rPr>
          <w:rFonts w:ascii="Arial" w:hAnsi="Arial" w:cs="Arial"/>
        </w:rPr>
      </w:pPr>
      <w:r w:rsidRPr="00431140">
        <w:rPr>
          <w:rFonts w:ascii="Arial" w:hAnsi="Arial" w:cs="Arial"/>
        </w:rPr>
        <w:object w:dxaOrig="7420" w:dyaOrig="720" w14:anchorId="5BE0B3A0">
          <v:shape id="_x0000_i1031" type="#_x0000_t75" style="width:374.25pt;height:36.85pt" o:ole="">
            <v:imagedata r:id="rId26" o:title=""/>
          </v:shape>
          <o:OLEObject Type="Embed" ProgID="Equation.DSMT4" ShapeID="_x0000_i1031" DrawAspect="Content" ObjectID="_1808034752" r:id="rId27"/>
        </w:object>
      </w:r>
      <w:r w:rsidRPr="00431140">
        <w:rPr>
          <w:rFonts w:ascii="Arial" w:hAnsi="Arial" w:cs="Arial"/>
        </w:rPr>
        <w:t xml:space="preserve">                                 (6)                  </w:t>
      </w:r>
    </w:p>
    <w:p w14:paraId="3DC50D95" w14:textId="77777777" w:rsidR="002846AF" w:rsidRPr="00431140" w:rsidRDefault="002846AF" w:rsidP="00431140">
      <w:pPr>
        <w:pStyle w:val="Body"/>
        <w:spacing w:after="0"/>
        <w:rPr>
          <w:rFonts w:ascii="Arial" w:hAnsi="Arial" w:cs="Arial"/>
        </w:rPr>
      </w:pPr>
    </w:p>
    <w:p w14:paraId="4B797EDC" w14:textId="77777777" w:rsidR="00431140" w:rsidRPr="00431140" w:rsidRDefault="00431140" w:rsidP="00431140">
      <w:pPr>
        <w:pStyle w:val="Body"/>
        <w:spacing w:after="0"/>
        <w:rPr>
          <w:rFonts w:ascii="Arial" w:hAnsi="Arial" w:cs="Arial"/>
        </w:rPr>
      </w:pPr>
      <w:r w:rsidRPr="00431140">
        <w:rPr>
          <w:rFonts w:ascii="Arial" w:hAnsi="Arial" w:cs="Arial"/>
        </w:rPr>
        <w:t xml:space="preserve">The first system equation i.e. equation 6 is expressed in levels form with first difference as instruments while the second equation i.e. equation 7 is expressed </w:t>
      </w:r>
      <w:r w:rsidRPr="00431140">
        <w:rPr>
          <w:rFonts w:ascii="Arial" w:hAnsi="Arial" w:cs="Arial"/>
        </w:rPr>
        <w:tab/>
        <w:t>in first differenced form with levels as instruments</w:t>
      </w:r>
      <w:r w:rsidRPr="00431140">
        <w:rPr>
          <w:rFonts w:ascii="Arial" w:hAnsi="Arial" w:cs="Arial"/>
        </w:rPr>
        <w:tab/>
      </w:r>
      <w:r w:rsidRPr="00431140">
        <w:rPr>
          <w:rFonts w:ascii="Arial" w:hAnsi="Arial" w:cs="Arial"/>
        </w:rPr>
        <w:tab/>
      </w:r>
      <w:r w:rsidRPr="00431140">
        <w:rPr>
          <w:rFonts w:ascii="Arial" w:hAnsi="Arial" w:cs="Arial"/>
        </w:rPr>
        <w:tab/>
      </w:r>
      <w:r w:rsidRPr="00431140">
        <w:rPr>
          <w:rFonts w:ascii="Arial" w:hAnsi="Arial" w:cs="Arial"/>
        </w:rPr>
        <w:tab/>
      </w:r>
      <w:r w:rsidRPr="00431140">
        <w:rPr>
          <w:rFonts w:ascii="Arial" w:hAnsi="Arial" w:cs="Arial"/>
        </w:rPr>
        <w:tab/>
      </w:r>
      <w:r w:rsidRPr="00431140">
        <w:rPr>
          <w:rFonts w:ascii="Arial" w:hAnsi="Arial" w:cs="Arial"/>
        </w:rPr>
        <w:tab/>
      </w:r>
      <w:r w:rsidRPr="00431140">
        <w:rPr>
          <w:rFonts w:ascii="Arial" w:hAnsi="Arial" w:cs="Arial"/>
        </w:rPr>
        <w:tab/>
      </w:r>
      <w:r w:rsidRPr="00431140">
        <w:rPr>
          <w:rFonts w:ascii="Arial" w:hAnsi="Arial" w:cs="Arial"/>
        </w:rPr>
        <w:tab/>
      </w:r>
      <w:r w:rsidRPr="00431140">
        <w:rPr>
          <w:rFonts w:ascii="Arial" w:hAnsi="Arial" w:cs="Arial"/>
        </w:rPr>
        <w:tab/>
      </w:r>
      <w:r w:rsidRPr="00431140">
        <w:rPr>
          <w:rFonts w:ascii="Arial" w:hAnsi="Arial" w:cs="Arial"/>
        </w:rPr>
        <w:tab/>
      </w:r>
      <w:r w:rsidRPr="00431140">
        <w:rPr>
          <w:rFonts w:ascii="Arial" w:hAnsi="Arial" w:cs="Arial"/>
        </w:rPr>
        <w:tab/>
        <w:t xml:space="preserve">         </w:t>
      </w:r>
    </w:p>
    <w:p w14:paraId="0F04AB05" w14:textId="77777777" w:rsidR="00431140" w:rsidRDefault="00431140" w:rsidP="00431140">
      <w:pPr>
        <w:pStyle w:val="Body"/>
        <w:spacing w:after="0"/>
        <w:rPr>
          <w:rFonts w:ascii="Arial" w:hAnsi="Arial" w:cs="Arial"/>
        </w:rPr>
      </w:pPr>
      <w:r w:rsidRPr="00431140">
        <w:rPr>
          <w:rFonts w:ascii="Arial" w:hAnsi="Arial" w:cs="Arial"/>
        </w:rPr>
        <w:object w:dxaOrig="7560" w:dyaOrig="760" w14:anchorId="5657E348">
          <v:shape id="_x0000_i1032" type="#_x0000_t75" style="width:382.6pt;height:35.15pt" o:ole="">
            <v:imagedata r:id="rId28" o:title=""/>
          </v:shape>
          <o:OLEObject Type="Embed" ProgID="Equation.DSMT4" ShapeID="_x0000_i1032" DrawAspect="Content" ObjectID="_1808034753" r:id="rId29"/>
        </w:object>
      </w:r>
      <w:r w:rsidRPr="00431140">
        <w:rPr>
          <w:rFonts w:ascii="Arial" w:hAnsi="Arial" w:cs="Arial"/>
        </w:rPr>
        <w:tab/>
        <w:t xml:space="preserve">                       (7)</w:t>
      </w:r>
      <w:r w:rsidRPr="00431140">
        <w:rPr>
          <w:rFonts w:ascii="Arial" w:hAnsi="Arial" w:cs="Arial"/>
        </w:rPr>
        <w:tab/>
        <w:t xml:space="preserve">       </w:t>
      </w:r>
    </w:p>
    <w:p w14:paraId="0CD841B8" w14:textId="77777777" w:rsidR="002846AF" w:rsidRPr="00431140" w:rsidRDefault="002846AF" w:rsidP="00431140">
      <w:pPr>
        <w:pStyle w:val="Body"/>
        <w:spacing w:after="0"/>
        <w:rPr>
          <w:rFonts w:ascii="Arial" w:hAnsi="Arial" w:cs="Arial"/>
        </w:rPr>
      </w:pPr>
    </w:p>
    <w:p w14:paraId="4121A446" w14:textId="77777777" w:rsidR="00431140" w:rsidRPr="00431140" w:rsidRDefault="00431140" w:rsidP="00431140">
      <w:pPr>
        <w:pStyle w:val="Body"/>
        <w:spacing w:after="0"/>
        <w:rPr>
          <w:rFonts w:ascii="Arial" w:hAnsi="Arial" w:cs="Arial"/>
        </w:rPr>
      </w:pPr>
      <w:r w:rsidRPr="00431140">
        <w:rPr>
          <w:rFonts w:ascii="Arial" w:hAnsi="Arial" w:cs="Arial"/>
        </w:rPr>
        <w:t xml:space="preserve">We expect a significant increase in people’s well-being with an increase in oil price, institutional quality and income (GDP Per capita). The study further expects a significant decrease in happiness with an increase in the exchange rate. </w:t>
      </w:r>
      <w:r w:rsidRPr="00431140">
        <w:rPr>
          <w:rFonts w:ascii="Arial" w:hAnsi="Arial" w:cs="Arial"/>
        </w:rPr>
        <w:object w:dxaOrig="1600" w:dyaOrig="320" w14:anchorId="04B7190D">
          <v:shape id="_x0000_i1033" type="#_x0000_t75" style="width:122.25pt;height:14.25pt" o:ole="">
            <v:imagedata r:id="rId30" o:title=""/>
          </v:shape>
          <o:OLEObject Type="Embed" ProgID="Equation.DSMT4" ShapeID="_x0000_i1033" DrawAspect="Content" ObjectID="_1808034754" r:id="rId31"/>
        </w:object>
      </w:r>
    </w:p>
    <w:p w14:paraId="64A9B87A" w14:textId="77777777" w:rsidR="00431140" w:rsidRDefault="00431140" w:rsidP="00441B6F">
      <w:pPr>
        <w:pStyle w:val="Body"/>
        <w:spacing w:after="0"/>
        <w:rPr>
          <w:rFonts w:ascii="Arial" w:hAnsi="Arial" w:cs="Arial"/>
        </w:rPr>
      </w:pPr>
    </w:p>
    <w:p w14:paraId="659945A7" w14:textId="7D3573FD" w:rsidR="00902823" w:rsidRDefault="002846AF"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14:paraId="44120B0F" w14:textId="77777777" w:rsidR="00790ADA" w:rsidRPr="00FB3A86" w:rsidRDefault="00790ADA" w:rsidP="00441B6F">
      <w:pPr>
        <w:pStyle w:val="Head1"/>
        <w:spacing w:after="0"/>
        <w:jc w:val="both"/>
        <w:rPr>
          <w:rFonts w:ascii="Arial" w:hAnsi="Arial" w:cs="Arial"/>
        </w:rPr>
      </w:pPr>
    </w:p>
    <w:p w14:paraId="420436F1" w14:textId="77777777" w:rsidR="002846AF" w:rsidRPr="002846AF" w:rsidRDefault="002846AF" w:rsidP="002846AF">
      <w:pPr>
        <w:pStyle w:val="Body"/>
        <w:spacing w:after="0"/>
        <w:rPr>
          <w:rFonts w:ascii="Arial" w:hAnsi="Arial" w:cs="Arial"/>
          <w:b/>
          <w:bCs/>
        </w:rPr>
      </w:pPr>
    </w:p>
    <w:p w14:paraId="36BCA4FA" w14:textId="77777777" w:rsidR="002846AF" w:rsidRPr="002846AF" w:rsidRDefault="002846AF" w:rsidP="002846AF">
      <w:pPr>
        <w:pStyle w:val="Body"/>
        <w:spacing w:after="0"/>
        <w:rPr>
          <w:rFonts w:ascii="Arial" w:hAnsi="Arial" w:cs="Arial"/>
          <w:b/>
          <w:bCs/>
        </w:rPr>
      </w:pPr>
      <w:r w:rsidRPr="002846AF">
        <w:rPr>
          <w:rFonts w:ascii="Arial" w:hAnsi="Arial" w:cs="Arial"/>
          <w:b/>
          <w:bCs/>
        </w:rPr>
        <w:t>Table 2: Summary Statistics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2846AF" w:rsidRPr="002846AF" w14:paraId="42DFA1FC" w14:textId="77777777" w:rsidTr="00C57C2F">
        <w:tc>
          <w:tcPr>
            <w:tcW w:w="1558" w:type="dxa"/>
            <w:tcBorders>
              <w:top w:val="single" w:sz="4" w:space="0" w:color="auto"/>
            </w:tcBorders>
          </w:tcPr>
          <w:p w14:paraId="7E11D419" w14:textId="77777777" w:rsidR="002846AF" w:rsidRPr="002846AF" w:rsidRDefault="002846AF" w:rsidP="002846AF">
            <w:pPr>
              <w:pStyle w:val="Body"/>
              <w:rPr>
                <w:rFonts w:ascii="Arial" w:hAnsi="Arial" w:cs="Arial"/>
                <w:b/>
                <w:bCs/>
                <w:sz w:val="20"/>
              </w:rPr>
            </w:pPr>
            <w:r w:rsidRPr="002846AF">
              <w:rPr>
                <w:rFonts w:ascii="Arial" w:hAnsi="Arial" w:cs="Arial"/>
                <w:b/>
                <w:bCs/>
                <w:sz w:val="20"/>
              </w:rPr>
              <w:t>Series</w:t>
            </w:r>
          </w:p>
        </w:tc>
        <w:tc>
          <w:tcPr>
            <w:tcW w:w="1558" w:type="dxa"/>
            <w:tcBorders>
              <w:top w:val="single" w:sz="4" w:space="0" w:color="auto"/>
            </w:tcBorders>
          </w:tcPr>
          <w:p w14:paraId="0D02B5A7" w14:textId="77777777" w:rsidR="002846AF" w:rsidRPr="002846AF" w:rsidRDefault="002846AF" w:rsidP="002846AF">
            <w:pPr>
              <w:pStyle w:val="Body"/>
              <w:rPr>
                <w:rFonts w:ascii="Arial" w:hAnsi="Arial" w:cs="Arial"/>
                <w:b/>
                <w:bCs/>
                <w:sz w:val="20"/>
              </w:rPr>
            </w:pPr>
            <w:r w:rsidRPr="002846AF">
              <w:rPr>
                <w:rFonts w:ascii="Arial" w:hAnsi="Arial" w:cs="Arial"/>
                <w:b/>
                <w:bCs/>
                <w:sz w:val="20"/>
              </w:rPr>
              <w:t>WELB</w:t>
            </w:r>
          </w:p>
        </w:tc>
        <w:tc>
          <w:tcPr>
            <w:tcW w:w="1558" w:type="dxa"/>
            <w:tcBorders>
              <w:top w:val="single" w:sz="4" w:space="0" w:color="auto"/>
            </w:tcBorders>
          </w:tcPr>
          <w:p w14:paraId="3BFF70CE" w14:textId="77777777" w:rsidR="002846AF" w:rsidRPr="002846AF" w:rsidRDefault="002846AF" w:rsidP="002846AF">
            <w:pPr>
              <w:pStyle w:val="Body"/>
              <w:rPr>
                <w:rFonts w:ascii="Arial" w:hAnsi="Arial" w:cs="Arial"/>
                <w:b/>
                <w:bCs/>
                <w:sz w:val="20"/>
              </w:rPr>
            </w:pPr>
            <w:r w:rsidRPr="002846AF">
              <w:rPr>
                <w:rFonts w:ascii="Arial" w:hAnsi="Arial" w:cs="Arial"/>
                <w:b/>
                <w:bCs/>
                <w:sz w:val="20"/>
              </w:rPr>
              <w:t>OPRS</w:t>
            </w:r>
          </w:p>
        </w:tc>
        <w:tc>
          <w:tcPr>
            <w:tcW w:w="1558" w:type="dxa"/>
            <w:tcBorders>
              <w:top w:val="single" w:sz="4" w:space="0" w:color="auto"/>
            </w:tcBorders>
          </w:tcPr>
          <w:p w14:paraId="51975DF6" w14:textId="77777777" w:rsidR="002846AF" w:rsidRPr="002846AF" w:rsidRDefault="002846AF" w:rsidP="002846AF">
            <w:pPr>
              <w:pStyle w:val="Body"/>
              <w:rPr>
                <w:rFonts w:ascii="Arial" w:hAnsi="Arial" w:cs="Arial"/>
                <w:b/>
                <w:bCs/>
                <w:sz w:val="20"/>
              </w:rPr>
            </w:pPr>
            <w:r w:rsidRPr="002846AF">
              <w:rPr>
                <w:rFonts w:ascii="Arial" w:hAnsi="Arial" w:cs="Arial"/>
                <w:b/>
                <w:bCs/>
                <w:sz w:val="20"/>
              </w:rPr>
              <w:t>EXCR</w:t>
            </w:r>
          </w:p>
        </w:tc>
        <w:tc>
          <w:tcPr>
            <w:tcW w:w="1559" w:type="dxa"/>
            <w:tcBorders>
              <w:top w:val="single" w:sz="4" w:space="0" w:color="auto"/>
            </w:tcBorders>
          </w:tcPr>
          <w:p w14:paraId="36FC7904" w14:textId="77777777" w:rsidR="002846AF" w:rsidRPr="002846AF" w:rsidRDefault="002846AF" w:rsidP="002846AF">
            <w:pPr>
              <w:pStyle w:val="Body"/>
              <w:rPr>
                <w:rFonts w:ascii="Arial" w:hAnsi="Arial" w:cs="Arial"/>
                <w:b/>
                <w:bCs/>
                <w:sz w:val="20"/>
              </w:rPr>
            </w:pPr>
            <w:r w:rsidRPr="002846AF">
              <w:rPr>
                <w:rFonts w:ascii="Arial" w:hAnsi="Arial" w:cs="Arial"/>
                <w:b/>
                <w:bCs/>
                <w:sz w:val="20"/>
              </w:rPr>
              <w:t>GDPC</w:t>
            </w:r>
          </w:p>
        </w:tc>
        <w:tc>
          <w:tcPr>
            <w:tcW w:w="1559" w:type="dxa"/>
            <w:tcBorders>
              <w:top w:val="single" w:sz="4" w:space="0" w:color="auto"/>
            </w:tcBorders>
          </w:tcPr>
          <w:p w14:paraId="0EBB4F58" w14:textId="77777777" w:rsidR="002846AF" w:rsidRPr="002846AF" w:rsidRDefault="002846AF" w:rsidP="002846AF">
            <w:pPr>
              <w:pStyle w:val="Body"/>
              <w:rPr>
                <w:rFonts w:ascii="Arial" w:hAnsi="Arial" w:cs="Arial"/>
                <w:b/>
                <w:bCs/>
                <w:sz w:val="20"/>
              </w:rPr>
            </w:pPr>
            <w:r w:rsidRPr="002846AF">
              <w:rPr>
                <w:rFonts w:ascii="Arial" w:hAnsi="Arial" w:cs="Arial"/>
                <w:b/>
                <w:bCs/>
                <w:sz w:val="20"/>
              </w:rPr>
              <w:t>INSQ</w:t>
            </w:r>
          </w:p>
        </w:tc>
      </w:tr>
      <w:tr w:rsidR="002846AF" w:rsidRPr="002846AF" w14:paraId="7822B8EA" w14:textId="77777777" w:rsidTr="00C57C2F">
        <w:tc>
          <w:tcPr>
            <w:tcW w:w="1558" w:type="dxa"/>
          </w:tcPr>
          <w:p w14:paraId="1856112C" w14:textId="77777777" w:rsidR="002846AF" w:rsidRPr="002846AF" w:rsidRDefault="002846AF" w:rsidP="002846AF">
            <w:pPr>
              <w:pStyle w:val="Body"/>
              <w:rPr>
                <w:rFonts w:ascii="Arial" w:hAnsi="Arial" w:cs="Arial"/>
                <w:sz w:val="20"/>
              </w:rPr>
            </w:pPr>
            <w:r w:rsidRPr="002846AF">
              <w:rPr>
                <w:rFonts w:ascii="Arial" w:hAnsi="Arial" w:cs="Arial"/>
                <w:sz w:val="20"/>
              </w:rPr>
              <w:t>Mean</w:t>
            </w:r>
          </w:p>
        </w:tc>
        <w:tc>
          <w:tcPr>
            <w:tcW w:w="1558" w:type="dxa"/>
          </w:tcPr>
          <w:p w14:paraId="38DD898B" w14:textId="77777777" w:rsidR="002846AF" w:rsidRPr="002846AF" w:rsidRDefault="002846AF" w:rsidP="002846AF">
            <w:pPr>
              <w:pStyle w:val="Body"/>
              <w:rPr>
                <w:rFonts w:ascii="Arial" w:hAnsi="Arial" w:cs="Arial"/>
                <w:sz w:val="20"/>
              </w:rPr>
            </w:pPr>
            <w:r w:rsidRPr="002846AF">
              <w:rPr>
                <w:rFonts w:ascii="Arial" w:hAnsi="Arial" w:cs="Arial"/>
                <w:sz w:val="20"/>
              </w:rPr>
              <w:t>5.777</w:t>
            </w:r>
          </w:p>
        </w:tc>
        <w:tc>
          <w:tcPr>
            <w:tcW w:w="1558" w:type="dxa"/>
          </w:tcPr>
          <w:p w14:paraId="25F27B0E" w14:textId="77777777" w:rsidR="002846AF" w:rsidRPr="002846AF" w:rsidRDefault="002846AF" w:rsidP="002846AF">
            <w:pPr>
              <w:pStyle w:val="Body"/>
              <w:rPr>
                <w:rFonts w:ascii="Arial" w:hAnsi="Arial" w:cs="Arial"/>
                <w:sz w:val="20"/>
              </w:rPr>
            </w:pPr>
            <w:r w:rsidRPr="002846AF">
              <w:rPr>
                <w:rFonts w:ascii="Arial" w:hAnsi="Arial" w:cs="Arial"/>
                <w:sz w:val="20"/>
              </w:rPr>
              <w:t>4.239</w:t>
            </w:r>
          </w:p>
        </w:tc>
        <w:tc>
          <w:tcPr>
            <w:tcW w:w="1558" w:type="dxa"/>
          </w:tcPr>
          <w:p w14:paraId="62678E97" w14:textId="77777777" w:rsidR="002846AF" w:rsidRPr="002846AF" w:rsidRDefault="002846AF" w:rsidP="002846AF">
            <w:pPr>
              <w:pStyle w:val="Body"/>
              <w:rPr>
                <w:rFonts w:ascii="Arial" w:hAnsi="Arial" w:cs="Arial"/>
                <w:sz w:val="20"/>
              </w:rPr>
            </w:pPr>
            <w:r w:rsidRPr="002846AF">
              <w:rPr>
                <w:rFonts w:ascii="Arial" w:hAnsi="Arial" w:cs="Arial"/>
                <w:sz w:val="20"/>
              </w:rPr>
              <w:t>.221</w:t>
            </w:r>
          </w:p>
        </w:tc>
        <w:tc>
          <w:tcPr>
            <w:tcW w:w="1559" w:type="dxa"/>
          </w:tcPr>
          <w:p w14:paraId="39D63423" w14:textId="77777777" w:rsidR="002846AF" w:rsidRPr="002846AF" w:rsidRDefault="002846AF" w:rsidP="002846AF">
            <w:pPr>
              <w:pStyle w:val="Body"/>
              <w:rPr>
                <w:rFonts w:ascii="Arial" w:hAnsi="Arial" w:cs="Arial"/>
                <w:sz w:val="20"/>
              </w:rPr>
            </w:pPr>
            <w:r w:rsidRPr="002846AF">
              <w:rPr>
                <w:rFonts w:ascii="Arial" w:hAnsi="Arial" w:cs="Arial"/>
                <w:sz w:val="20"/>
              </w:rPr>
              <w:t>9.412</w:t>
            </w:r>
          </w:p>
        </w:tc>
        <w:tc>
          <w:tcPr>
            <w:tcW w:w="1559" w:type="dxa"/>
          </w:tcPr>
          <w:p w14:paraId="699AF12A" w14:textId="77777777" w:rsidR="002846AF" w:rsidRPr="002846AF" w:rsidRDefault="002846AF" w:rsidP="002846AF">
            <w:pPr>
              <w:pStyle w:val="Body"/>
              <w:rPr>
                <w:rFonts w:ascii="Arial" w:hAnsi="Arial" w:cs="Arial"/>
                <w:sz w:val="20"/>
              </w:rPr>
            </w:pPr>
            <w:r w:rsidRPr="002846AF">
              <w:rPr>
                <w:rFonts w:ascii="Arial" w:hAnsi="Arial" w:cs="Arial"/>
                <w:sz w:val="20"/>
              </w:rPr>
              <w:t>-0.317</w:t>
            </w:r>
          </w:p>
        </w:tc>
      </w:tr>
      <w:tr w:rsidR="002846AF" w:rsidRPr="002846AF" w14:paraId="5C7DA541" w14:textId="77777777" w:rsidTr="00C57C2F">
        <w:tc>
          <w:tcPr>
            <w:tcW w:w="1558" w:type="dxa"/>
          </w:tcPr>
          <w:p w14:paraId="671CCEFC" w14:textId="77777777" w:rsidR="002846AF" w:rsidRPr="002846AF" w:rsidRDefault="002846AF" w:rsidP="002846AF">
            <w:pPr>
              <w:pStyle w:val="Body"/>
              <w:rPr>
                <w:rFonts w:ascii="Arial" w:hAnsi="Arial" w:cs="Arial"/>
                <w:sz w:val="20"/>
              </w:rPr>
            </w:pPr>
            <w:r w:rsidRPr="002846AF">
              <w:rPr>
                <w:rFonts w:ascii="Arial" w:hAnsi="Arial" w:cs="Arial"/>
                <w:sz w:val="20"/>
              </w:rPr>
              <w:t>Std. Dev</w:t>
            </w:r>
          </w:p>
        </w:tc>
        <w:tc>
          <w:tcPr>
            <w:tcW w:w="1558" w:type="dxa"/>
          </w:tcPr>
          <w:p w14:paraId="573D7BA0" w14:textId="77777777" w:rsidR="002846AF" w:rsidRPr="002846AF" w:rsidRDefault="002846AF" w:rsidP="002846AF">
            <w:pPr>
              <w:pStyle w:val="Body"/>
              <w:rPr>
                <w:rFonts w:ascii="Arial" w:hAnsi="Arial" w:cs="Arial"/>
                <w:sz w:val="20"/>
              </w:rPr>
            </w:pPr>
            <w:r w:rsidRPr="002846AF">
              <w:rPr>
                <w:rFonts w:ascii="Arial" w:hAnsi="Arial" w:cs="Arial"/>
                <w:sz w:val="20"/>
              </w:rPr>
              <w:t>1.066</w:t>
            </w:r>
          </w:p>
        </w:tc>
        <w:tc>
          <w:tcPr>
            <w:tcW w:w="1558" w:type="dxa"/>
          </w:tcPr>
          <w:p w14:paraId="6CBCA069" w14:textId="77777777" w:rsidR="002846AF" w:rsidRPr="002846AF" w:rsidRDefault="002846AF" w:rsidP="002846AF">
            <w:pPr>
              <w:pStyle w:val="Body"/>
              <w:rPr>
                <w:rFonts w:ascii="Arial" w:hAnsi="Arial" w:cs="Arial"/>
                <w:sz w:val="20"/>
              </w:rPr>
            </w:pPr>
            <w:r w:rsidRPr="002846AF">
              <w:rPr>
                <w:rFonts w:ascii="Arial" w:hAnsi="Arial" w:cs="Arial"/>
                <w:sz w:val="20"/>
              </w:rPr>
              <w:t>0.297</w:t>
            </w:r>
          </w:p>
        </w:tc>
        <w:tc>
          <w:tcPr>
            <w:tcW w:w="1558" w:type="dxa"/>
          </w:tcPr>
          <w:p w14:paraId="1B62BC94" w14:textId="77777777" w:rsidR="002846AF" w:rsidRPr="002846AF" w:rsidRDefault="002846AF" w:rsidP="002846AF">
            <w:pPr>
              <w:pStyle w:val="Body"/>
              <w:rPr>
                <w:rFonts w:ascii="Arial" w:hAnsi="Arial" w:cs="Arial"/>
                <w:sz w:val="20"/>
              </w:rPr>
            </w:pPr>
            <w:r w:rsidRPr="002846AF">
              <w:rPr>
                <w:rFonts w:ascii="Arial" w:hAnsi="Arial" w:cs="Arial"/>
                <w:sz w:val="20"/>
              </w:rPr>
              <w:t>1.254</w:t>
            </w:r>
          </w:p>
        </w:tc>
        <w:tc>
          <w:tcPr>
            <w:tcW w:w="1559" w:type="dxa"/>
          </w:tcPr>
          <w:p w14:paraId="35E94AEA" w14:textId="77777777" w:rsidR="002846AF" w:rsidRPr="002846AF" w:rsidRDefault="002846AF" w:rsidP="002846AF">
            <w:pPr>
              <w:pStyle w:val="Body"/>
              <w:rPr>
                <w:rFonts w:ascii="Arial" w:hAnsi="Arial" w:cs="Arial"/>
                <w:sz w:val="20"/>
              </w:rPr>
            </w:pPr>
            <w:r w:rsidRPr="002846AF">
              <w:rPr>
                <w:rFonts w:ascii="Arial" w:hAnsi="Arial" w:cs="Arial"/>
                <w:sz w:val="20"/>
              </w:rPr>
              <w:t>1.105</w:t>
            </w:r>
          </w:p>
        </w:tc>
        <w:tc>
          <w:tcPr>
            <w:tcW w:w="1559" w:type="dxa"/>
          </w:tcPr>
          <w:p w14:paraId="51EBC1FB" w14:textId="77777777" w:rsidR="002846AF" w:rsidRPr="002846AF" w:rsidRDefault="002846AF" w:rsidP="002846AF">
            <w:pPr>
              <w:pStyle w:val="Body"/>
              <w:rPr>
                <w:rFonts w:ascii="Arial" w:hAnsi="Arial" w:cs="Arial"/>
                <w:sz w:val="20"/>
              </w:rPr>
            </w:pPr>
            <w:r w:rsidRPr="002846AF">
              <w:rPr>
                <w:rFonts w:ascii="Arial" w:hAnsi="Arial" w:cs="Arial"/>
                <w:sz w:val="20"/>
              </w:rPr>
              <w:t>1.018</w:t>
            </w:r>
          </w:p>
        </w:tc>
      </w:tr>
      <w:tr w:rsidR="002846AF" w:rsidRPr="002846AF" w14:paraId="0846F21B" w14:textId="77777777" w:rsidTr="00C57C2F">
        <w:tc>
          <w:tcPr>
            <w:tcW w:w="1558" w:type="dxa"/>
          </w:tcPr>
          <w:p w14:paraId="5B399E1B" w14:textId="77777777" w:rsidR="002846AF" w:rsidRPr="002846AF" w:rsidRDefault="002846AF" w:rsidP="002846AF">
            <w:pPr>
              <w:pStyle w:val="Body"/>
              <w:rPr>
                <w:rFonts w:ascii="Arial" w:hAnsi="Arial" w:cs="Arial"/>
                <w:sz w:val="20"/>
              </w:rPr>
            </w:pPr>
            <w:r w:rsidRPr="002846AF">
              <w:rPr>
                <w:rFonts w:ascii="Arial" w:hAnsi="Arial" w:cs="Arial"/>
                <w:sz w:val="20"/>
              </w:rPr>
              <w:t>Skewness</w:t>
            </w:r>
          </w:p>
        </w:tc>
        <w:tc>
          <w:tcPr>
            <w:tcW w:w="1558" w:type="dxa"/>
          </w:tcPr>
          <w:p w14:paraId="4C735670" w14:textId="77777777" w:rsidR="002846AF" w:rsidRPr="002846AF" w:rsidRDefault="002846AF" w:rsidP="002846AF">
            <w:pPr>
              <w:pStyle w:val="Body"/>
              <w:rPr>
                <w:rFonts w:ascii="Arial" w:hAnsi="Arial" w:cs="Arial"/>
                <w:sz w:val="20"/>
              </w:rPr>
            </w:pPr>
            <w:r w:rsidRPr="002846AF">
              <w:rPr>
                <w:rFonts w:ascii="Arial" w:hAnsi="Arial" w:cs="Arial"/>
                <w:sz w:val="20"/>
              </w:rPr>
              <w:t>0.098</w:t>
            </w:r>
          </w:p>
        </w:tc>
        <w:tc>
          <w:tcPr>
            <w:tcW w:w="1558" w:type="dxa"/>
          </w:tcPr>
          <w:p w14:paraId="7FC7DE5A" w14:textId="77777777" w:rsidR="002846AF" w:rsidRPr="002846AF" w:rsidRDefault="002846AF" w:rsidP="002846AF">
            <w:pPr>
              <w:pStyle w:val="Body"/>
              <w:rPr>
                <w:rFonts w:ascii="Arial" w:hAnsi="Arial" w:cs="Arial"/>
                <w:sz w:val="20"/>
              </w:rPr>
            </w:pPr>
            <w:r w:rsidRPr="002846AF">
              <w:rPr>
                <w:rFonts w:ascii="Arial" w:hAnsi="Arial" w:cs="Arial"/>
                <w:sz w:val="20"/>
              </w:rPr>
              <w:t>-0.362</w:t>
            </w:r>
          </w:p>
        </w:tc>
        <w:tc>
          <w:tcPr>
            <w:tcW w:w="1558" w:type="dxa"/>
          </w:tcPr>
          <w:p w14:paraId="31AA1077" w14:textId="77777777" w:rsidR="002846AF" w:rsidRPr="002846AF" w:rsidRDefault="002846AF" w:rsidP="002846AF">
            <w:pPr>
              <w:pStyle w:val="Body"/>
              <w:rPr>
                <w:rFonts w:ascii="Arial" w:hAnsi="Arial" w:cs="Arial"/>
                <w:sz w:val="20"/>
              </w:rPr>
            </w:pPr>
            <w:r w:rsidRPr="002846AF">
              <w:rPr>
                <w:rFonts w:ascii="Arial" w:hAnsi="Arial" w:cs="Arial"/>
                <w:sz w:val="20"/>
              </w:rPr>
              <w:t>0.9387</w:t>
            </w:r>
          </w:p>
        </w:tc>
        <w:tc>
          <w:tcPr>
            <w:tcW w:w="1559" w:type="dxa"/>
          </w:tcPr>
          <w:p w14:paraId="6446831D" w14:textId="77777777" w:rsidR="002846AF" w:rsidRPr="002846AF" w:rsidRDefault="002846AF" w:rsidP="002846AF">
            <w:pPr>
              <w:pStyle w:val="Body"/>
              <w:rPr>
                <w:rFonts w:ascii="Arial" w:hAnsi="Arial" w:cs="Arial"/>
                <w:sz w:val="20"/>
              </w:rPr>
            </w:pPr>
            <w:r w:rsidRPr="002846AF">
              <w:rPr>
                <w:rFonts w:ascii="Arial" w:hAnsi="Arial" w:cs="Arial"/>
                <w:sz w:val="20"/>
              </w:rPr>
              <w:t>0.189</w:t>
            </w:r>
          </w:p>
        </w:tc>
        <w:tc>
          <w:tcPr>
            <w:tcW w:w="1559" w:type="dxa"/>
          </w:tcPr>
          <w:p w14:paraId="0020E03B" w14:textId="77777777" w:rsidR="002846AF" w:rsidRPr="002846AF" w:rsidRDefault="002846AF" w:rsidP="002846AF">
            <w:pPr>
              <w:pStyle w:val="Body"/>
              <w:rPr>
                <w:rFonts w:ascii="Arial" w:hAnsi="Arial" w:cs="Arial"/>
                <w:sz w:val="20"/>
              </w:rPr>
            </w:pPr>
            <w:r w:rsidRPr="002846AF">
              <w:rPr>
                <w:rFonts w:ascii="Arial" w:hAnsi="Arial" w:cs="Arial"/>
                <w:sz w:val="20"/>
              </w:rPr>
              <w:t>0.739</w:t>
            </w:r>
          </w:p>
        </w:tc>
      </w:tr>
      <w:tr w:rsidR="002846AF" w:rsidRPr="002846AF" w14:paraId="1BBFDAD6" w14:textId="77777777" w:rsidTr="00C57C2F">
        <w:tc>
          <w:tcPr>
            <w:tcW w:w="1558" w:type="dxa"/>
            <w:tcBorders>
              <w:bottom w:val="single" w:sz="4" w:space="0" w:color="auto"/>
            </w:tcBorders>
          </w:tcPr>
          <w:p w14:paraId="24C2B1E8" w14:textId="77777777" w:rsidR="002846AF" w:rsidRPr="002846AF" w:rsidRDefault="002846AF" w:rsidP="002846AF">
            <w:pPr>
              <w:pStyle w:val="Body"/>
              <w:rPr>
                <w:rFonts w:ascii="Arial" w:hAnsi="Arial" w:cs="Arial"/>
                <w:sz w:val="20"/>
              </w:rPr>
            </w:pPr>
            <w:r w:rsidRPr="002846AF">
              <w:rPr>
                <w:rFonts w:ascii="Arial" w:hAnsi="Arial" w:cs="Arial"/>
                <w:sz w:val="20"/>
              </w:rPr>
              <w:t>Kurtosis</w:t>
            </w:r>
          </w:p>
        </w:tc>
        <w:tc>
          <w:tcPr>
            <w:tcW w:w="1558" w:type="dxa"/>
            <w:tcBorders>
              <w:bottom w:val="single" w:sz="4" w:space="0" w:color="auto"/>
            </w:tcBorders>
          </w:tcPr>
          <w:p w14:paraId="5C2FC6B2" w14:textId="77777777" w:rsidR="002846AF" w:rsidRPr="002846AF" w:rsidRDefault="002846AF" w:rsidP="002846AF">
            <w:pPr>
              <w:pStyle w:val="Body"/>
              <w:rPr>
                <w:rFonts w:ascii="Arial" w:hAnsi="Arial" w:cs="Arial"/>
                <w:sz w:val="20"/>
              </w:rPr>
            </w:pPr>
            <w:r w:rsidRPr="002846AF">
              <w:rPr>
                <w:rFonts w:ascii="Arial" w:hAnsi="Arial" w:cs="Arial"/>
                <w:sz w:val="20"/>
              </w:rPr>
              <w:t>1.893</w:t>
            </w:r>
          </w:p>
        </w:tc>
        <w:tc>
          <w:tcPr>
            <w:tcW w:w="1558" w:type="dxa"/>
            <w:tcBorders>
              <w:bottom w:val="single" w:sz="4" w:space="0" w:color="auto"/>
            </w:tcBorders>
          </w:tcPr>
          <w:p w14:paraId="2FE678D0" w14:textId="77777777" w:rsidR="002846AF" w:rsidRPr="002846AF" w:rsidRDefault="002846AF" w:rsidP="002846AF">
            <w:pPr>
              <w:pStyle w:val="Body"/>
              <w:rPr>
                <w:rFonts w:ascii="Arial" w:hAnsi="Arial" w:cs="Arial"/>
                <w:sz w:val="20"/>
              </w:rPr>
            </w:pPr>
            <w:r w:rsidRPr="002846AF">
              <w:rPr>
                <w:rFonts w:ascii="Arial" w:hAnsi="Arial" w:cs="Arial"/>
                <w:sz w:val="20"/>
              </w:rPr>
              <w:t>1.898</w:t>
            </w:r>
          </w:p>
        </w:tc>
        <w:tc>
          <w:tcPr>
            <w:tcW w:w="1558" w:type="dxa"/>
            <w:tcBorders>
              <w:bottom w:val="single" w:sz="4" w:space="0" w:color="auto"/>
            </w:tcBorders>
          </w:tcPr>
          <w:p w14:paraId="37B59323" w14:textId="77777777" w:rsidR="002846AF" w:rsidRPr="002846AF" w:rsidRDefault="002846AF" w:rsidP="002846AF">
            <w:pPr>
              <w:pStyle w:val="Body"/>
              <w:rPr>
                <w:rFonts w:ascii="Arial" w:hAnsi="Arial" w:cs="Arial"/>
                <w:sz w:val="20"/>
              </w:rPr>
            </w:pPr>
            <w:r w:rsidRPr="002846AF">
              <w:rPr>
                <w:rFonts w:ascii="Arial" w:hAnsi="Arial" w:cs="Arial"/>
                <w:sz w:val="20"/>
              </w:rPr>
              <w:t>3.162</w:t>
            </w:r>
          </w:p>
        </w:tc>
        <w:tc>
          <w:tcPr>
            <w:tcW w:w="1559" w:type="dxa"/>
            <w:tcBorders>
              <w:bottom w:val="single" w:sz="4" w:space="0" w:color="auto"/>
            </w:tcBorders>
          </w:tcPr>
          <w:p w14:paraId="4BDA7BCF" w14:textId="77777777" w:rsidR="002846AF" w:rsidRPr="002846AF" w:rsidRDefault="002846AF" w:rsidP="002846AF">
            <w:pPr>
              <w:pStyle w:val="Body"/>
              <w:rPr>
                <w:rFonts w:ascii="Arial" w:hAnsi="Arial" w:cs="Arial"/>
                <w:sz w:val="20"/>
              </w:rPr>
            </w:pPr>
            <w:r w:rsidRPr="002846AF">
              <w:rPr>
                <w:rFonts w:ascii="Arial" w:hAnsi="Arial" w:cs="Arial"/>
                <w:sz w:val="20"/>
              </w:rPr>
              <w:t>1.966</w:t>
            </w:r>
          </w:p>
        </w:tc>
        <w:tc>
          <w:tcPr>
            <w:tcW w:w="1559" w:type="dxa"/>
            <w:tcBorders>
              <w:bottom w:val="single" w:sz="4" w:space="0" w:color="auto"/>
            </w:tcBorders>
          </w:tcPr>
          <w:p w14:paraId="17CC82BA" w14:textId="77777777" w:rsidR="002846AF" w:rsidRPr="002846AF" w:rsidRDefault="002846AF" w:rsidP="002846AF">
            <w:pPr>
              <w:pStyle w:val="Body"/>
              <w:rPr>
                <w:rFonts w:ascii="Arial" w:hAnsi="Arial" w:cs="Arial"/>
                <w:sz w:val="20"/>
              </w:rPr>
            </w:pPr>
            <w:r w:rsidRPr="002846AF">
              <w:rPr>
                <w:rFonts w:ascii="Arial" w:hAnsi="Arial" w:cs="Arial"/>
                <w:sz w:val="20"/>
              </w:rPr>
              <w:t>2.506</w:t>
            </w:r>
          </w:p>
        </w:tc>
      </w:tr>
    </w:tbl>
    <w:p w14:paraId="2A3AFF3D" w14:textId="77777777" w:rsidR="002846AF" w:rsidRDefault="002846AF" w:rsidP="002846AF">
      <w:pPr>
        <w:pStyle w:val="Body"/>
        <w:spacing w:after="0"/>
        <w:rPr>
          <w:rFonts w:ascii="Arial" w:hAnsi="Arial" w:cs="Arial"/>
        </w:rPr>
      </w:pPr>
      <w:bookmarkStart w:id="19" w:name="_Hlk171265785"/>
      <w:r w:rsidRPr="002846AF">
        <w:rPr>
          <w:rFonts w:ascii="Arial" w:hAnsi="Arial" w:cs="Arial"/>
          <w:b/>
          <w:bCs/>
        </w:rPr>
        <w:t xml:space="preserve">Note: WELB, OPRS, EXCR, GDPC, and INSQ, </w:t>
      </w:r>
      <w:r w:rsidRPr="002846AF">
        <w:rPr>
          <w:rFonts w:ascii="Arial" w:hAnsi="Arial" w:cs="Arial"/>
        </w:rPr>
        <w:t>represent well-being, oil price, exchange rate, GDP per capita, and institutional quality</w:t>
      </w:r>
      <w:bookmarkEnd w:id="19"/>
    </w:p>
    <w:p w14:paraId="624A2EBF" w14:textId="77777777" w:rsidR="002846AF" w:rsidRPr="002846AF" w:rsidRDefault="002846AF" w:rsidP="002846AF">
      <w:pPr>
        <w:pStyle w:val="Body"/>
        <w:spacing w:after="0"/>
        <w:rPr>
          <w:rFonts w:ascii="Arial" w:hAnsi="Arial" w:cs="Arial"/>
        </w:rPr>
      </w:pPr>
    </w:p>
    <w:p w14:paraId="345E832E" w14:textId="77777777" w:rsidR="002846AF" w:rsidRDefault="002846AF" w:rsidP="002846AF">
      <w:pPr>
        <w:pStyle w:val="Body"/>
        <w:spacing w:after="0"/>
        <w:rPr>
          <w:rFonts w:ascii="Arial" w:hAnsi="Arial" w:cs="Arial"/>
        </w:rPr>
      </w:pPr>
      <w:r w:rsidRPr="002846AF">
        <w:rPr>
          <w:rFonts w:ascii="Arial" w:hAnsi="Arial" w:cs="Arial"/>
        </w:rPr>
        <w:t xml:space="preserve">The outcome of the summary statistics in Table 2 highlights (1) a set of data whose standard deviation is not widely dispersed from its mean. This suggests that the variables are appropriate for estimation and the estimated results will be reliable. (2) the skewness of the variables shows that all the variables are normally distributed (3) the exchange rate is mesokurtic, whereas all the variables are platykurtic. This implies that the data contains fewer outliers. Thus, the summary statistics confirm the appropriateness of the dataset for estimation, prediction, and policy prescriptions.  </w:t>
      </w:r>
    </w:p>
    <w:p w14:paraId="191C0EF5" w14:textId="77777777" w:rsidR="002846AF" w:rsidRPr="002846AF" w:rsidRDefault="002846AF" w:rsidP="002846AF">
      <w:pPr>
        <w:pStyle w:val="Body"/>
        <w:spacing w:after="0"/>
        <w:rPr>
          <w:rFonts w:ascii="Arial" w:hAnsi="Arial" w:cs="Arial"/>
        </w:rPr>
      </w:pPr>
    </w:p>
    <w:p w14:paraId="28DB4225" w14:textId="77777777" w:rsidR="002846AF" w:rsidRPr="002846AF" w:rsidRDefault="002846AF" w:rsidP="002846AF">
      <w:pPr>
        <w:pStyle w:val="Body"/>
        <w:spacing w:after="0"/>
        <w:rPr>
          <w:rFonts w:ascii="Arial" w:hAnsi="Arial" w:cs="Arial"/>
          <w:b/>
          <w:bCs/>
        </w:rPr>
      </w:pPr>
      <w:r w:rsidRPr="002846AF">
        <w:rPr>
          <w:rFonts w:ascii="Arial" w:hAnsi="Arial" w:cs="Arial"/>
          <w:b/>
          <w:bCs/>
        </w:rPr>
        <w:t>Table 3: Correlation Matrix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2846AF" w:rsidRPr="002846AF" w14:paraId="5B3A70A0" w14:textId="77777777" w:rsidTr="00C57C2F">
        <w:tc>
          <w:tcPr>
            <w:tcW w:w="1558" w:type="dxa"/>
            <w:tcBorders>
              <w:top w:val="single" w:sz="4" w:space="0" w:color="auto"/>
            </w:tcBorders>
          </w:tcPr>
          <w:p w14:paraId="7E855563" w14:textId="77777777" w:rsidR="002846AF" w:rsidRPr="002846AF" w:rsidRDefault="002846AF" w:rsidP="002846AF">
            <w:pPr>
              <w:pStyle w:val="Body"/>
              <w:rPr>
                <w:rFonts w:ascii="Arial" w:hAnsi="Arial" w:cs="Arial"/>
                <w:b/>
                <w:bCs/>
                <w:sz w:val="20"/>
              </w:rPr>
            </w:pPr>
            <w:r w:rsidRPr="002846AF">
              <w:rPr>
                <w:rFonts w:ascii="Arial" w:hAnsi="Arial" w:cs="Arial"/>
                <w:b/>
                <w:bCs/>
                <w:sz w:val="20"/>
              </w:rPr>
              <w:t xml:space="preserve">Series </w:t>
            </w:r>
          </w:p>
        </w:tc>
        <w:tc>
          <w:tcPr>
            <w:tcW w:w="1558" w:type="dxa"/>
            <w:tcBorders>
              <w:top w:val="single" w:sz="4" w:space="0" w:color="auto"/>
            </w:tcBorders>
          </w:tcPr>
          <w:p w14:paraId="5C29AFE6" w14:textId="77777777" w:rsidR="002846AF" w:rsidRPr="002846AF" w:rsidRDefault="002846AF" w:rsidP="002846AF">
            <w:pPr>
              <w:pStyle w:val="Body"/>
              <w:rPr>
                <w:rFonts w:ascii="Arial" w:hAnsi="Arial" w:cs="Arial"/>
                <w:b/>
                <w:bCs/>
                <w:sz w:val="20"/>
              </w:rPr>
            </w:pPr>
            <w:r w:rsidRPr="002846AF">
              <w:rPr>
                <w:rFonts w:ascii="Arial" w:hAnsi="Arial" w:cs="Arial"/>
                <w:b/>
                <w:bCs/>
                <w:sz w:val="20"/>
              </w:rPr>
              <w:t>WELB</w:t>
            </w:r>
          </w:p>
        </w:tc>
        <w:tc>
          <w:tcPr>
            <w:tcW w:w="1558" w:type="dxa"/>
            <w:tcBorders>
              <w:top w:val="single" w:sz="4" w:space="0" w:color="auto"/>
            </w:tcBorders>
          </w:tcPr>
          <w:p w14:paraId="464DEAFD" w14:textId="77777777" w:rsidR="002846AF" w:rsidRPr="002846AF" w:rsidRDefault="002846AF" w:rsidP="002846AF">
            <w:pPr>
              <w:pStyle w:val="Body"/>
              <w:rPr>
                <w:rFonts w:ascii="Arial" w:hAnsi="Arial" w:cs="Arial"/>
                <w:b/>
                <w:bCs/>
                <w:sz w:val="20"/>
              </w:rPr>
            </w:pPr>
            <w:r w:rsidRPr="002846AF">
              <w:rPr>
                <w:rFonts w:ascii="Arial" w:hAnsi="Arial" w:cs="Arial"/>
                <w:b/>
                <w:bCs/>
                <w:sz w:val="20"/>
              </w:rPr>
              <w:t>OPRS</w:t>
            </w:r>
          </w:p>
        </w:tc>
        <w:tc>
          <w:tcPr>
            <w:tcW w:w="1558" w:type="dxa"/>
            <w:tcBorders>
              <w:top w:val="single" w:sz="4" w:space="0" w:color="auto"/>
            </w:tcBorders>
          </w:tcPr>
          <w:p w14:paraId="363CBCFC" w14:textId="77777777" w:rsidR="002846AF" w:rsidRPr="002846AF" w:rsidRDefault="002846AF" w:rsidP="002846AF">
            <w:pPr>
              <w:pStyle w:val="Body"/>
              <w:rPr>
                <w:rFonts w:ascii="Arial" w:hAnsi="Arial" w:cs="Arial"/>
                <w:b/>
                <w:bCs/>
                <w:sz w:val="20"/>
              </w:rPr>
            </w:pPr>
            <w:r w:rsidRPr="002846AF">
              <w:rPr>
                <w:rFonts w:ascii="Arial" w:hAnsi="Arial" w:cs="Arial"/>
                <w:b/>
                <w:bCs/>
                <w:sz w:val="20"/>
              </w:rPr>
              <w:t>EXCR</w:t>
            </w:r>
          </w:p>
        </w:tc>
        <w:tc>
          <w:tcPr>
            <w:tcW w:w="1559" w:type="dxa"/>
            <w:tcBorders>
              <w:top w:val="single" w:sz="4" w:space="0" w:color="auto"/>
            </w:tcBorders>
          </w:tcPr>
          <w:p w14:paraId="532AD78D" w14:textId="77777777" w:rsidR="002846AF" w:rsidRPr="002846AF" w:rsidRDefault="002846AF" w:rsidP="002846AF">
            <w:pPr>
              <w:pStyle w:val="Body"/>
              <w:rPr>
                <w:rFonts w:ascii="Arial" w:hAnsi="Arial" w:cs="Arial"/>
                <w:b/>
                <w:bCs/>
                <w:sz w:val="20"/>
              </w:rPr>
            </w:pPr>
            <w:r w:rsidRPr="002846AF">
              <w:rPr>
                <w:rFonts w:ascii="Arial" w:hAnsi="Arial" w:cs="Arial"/>
                <w:b/>
                <w:bCs/>
                <w:sz w:val="20"/>
              </w:rPr>
              <w:t>GDPC</w:t>
            </w:r>
          </w:p>
        </w:tc>
        <w:tc>
          <w:tcPr>
            <w:tcW w:w="1559" w:type="dxa"/>
            <w:tcBorders>
              <w:top w:val="single" w:sz="4" w:space="0" w:color="auto"/>
            </w:tcBorders>
          </w:tcPr>
          <w:p w14:paraId="2D9C2B6B" w14:textId="77777777" w:rsidR="002846AF" w:rsidRPr="002846AF" w:rsidRDefault="002846AF" w:rsidP="002846AF">
            <w:pPr>
              <w:pStyle w:val="Body"/>
              <w:rPr>
                <w:rFonts w:ascii="Arial" w:hAnsi="Arial" w:cs="Arial"/>
                <w:b/>
                <w:bCs/>
                <w:sz w:val="20"/>
              </w:rPr>
            </w:pPr>
            <w:r w:rsidRPr="002846AF">
              <w:rPr>
                <w:rFonts w:ascii="Arial" w:hAnsi="Arial" w:cs="Arial"/>
                <w:b/>
                <w:bCs/>
                <w:sz w:val="20"/>
              </w:rPr>
              <w:t>INSQ</w:t>
            </w:r>
          </w:p>
        </w:tc>
      </w:tr>
      <w:tr w:rsidR="002846AF" w:rsidRPr="002846AF" w14:paraId="116ED03D" w14:textId="77777777" w:rsidTr="00C57C2F">
        <w:tc>
          <w:tcPr>
            <w:tcW w:w="1558" w:type="dxa"/>
          </w:tcPr>
          <w:p w14:paraId="6BFF9246" w14:textId="77777777" w:rsidR="002846AF" w:rsidRPr="002846AF" w:rsidRDefault="002846AF" w:rsidP="002846AF">
            <w:pPr>
              <w:pStyle w:val="Body"/>
              <w:rPr>
                <w:rFonts w:ascii="Arial" w:hAnsi="Arial" w:cs="Arial"/>
                <w:sz w:val="20"/>
              </w:rPr>
            </w:pPr>
            <w:r w:rsidRPr="002846AF">
              <w:rPr>
                <w:rFonts w:ascii="Arial" w:hAnsi="Arial" w:cs="Arial"/>
                <w:sz w:val="20"/>
              </w:rPr>
              <w:t>WELB</w:t>
            </w:r>
          </w:p>
        </w:tc>
        <w:tc>
          <w:tcPr>
            <w:tcW w:w="1558" w:type="dxa"/>
          </w:tcPr>
          <w:p w14:paraId="469B73B3" w14:textId="77777777" w:rsidR="002846AF" w:rsidRPr="002846AF" w:rsidRDefault="002846AF" w:rsidP="002846AF">
            <w:pPr>
              <w:pStyle w:val="Body"/>
              <w:rPr>
                <w:rFonts w:ascii="Arial" w:hAnsi="Arial" w:cs="Arial"/>
                <w:sz w:val="20"/>
              </w:rPr>
            </w:pPr>
            <w:r w:rsidRPr="002846AF">
              <w:rPr>
                <w:rFonts w:ascii="Arial" w:hAnsi="Arial" w:cs="Arial"/>
                <w:sz w:val="20"/>
              </w:rPr>
              <w:t>1</w:t>
            </w:r>
          </w:p>
        </w:tc>
        <w:tc>
          <w:tcPr>
            <w:tcW w:w="1558" w:type="dxa"/>
          </w:tcPr>
          <w:p w14:paraId="54B28600" w14:textId="77777777" w:rsidR="002846AF" w:rsidRPr="002846AF" w:rsidRDefault="002846AF" w:rsidP="002846AF">
            <w:pPr>
              <w:pStyle w:val="Body"/>
              <w:rPr>
                <w:rFonts w:ascii="Arial" w:hAnsi="Arial" w:cs="Arial"/>
                <w:sz w:val="20"/>
              </w:rPr>
            </w:pPr>
          </w:p>
        </w:tc>
        <w:tc>
          <w:tcPr>
            <w:tcW w:w="1558" w:type="dxa"/>
          </w:tcPr>
          <w:p w14:paraId="5FCB7E06" w14:textId="77777777" w:rsidR="002846AF" w:rsidRPr="002846AF" w:rsidRDefault="002846AF" w:rsidP="002846AF">
            <w:pPr>
              <w:pStyle w:val="Body"/>
              <w:rPr>
                <w:rFonts w:ascii="Arial" w:hAnsi="Arial" w:cs="Arial"/>
                <w:sz w:val="20"/>
              </w:rPr>
            </w:pPr>
          </w:p>
        </w:tc>
        <w:tc>
          <w:tcPr>
            <w:tcW w:w="1559" w:type="dxa"/>
          </w:tcPr>
          <w:p w14:paraId="1CAE85B9" w14:textId="77777777" w:rsidR="002846AF" w:rsidRPr="002846AF" w:rsidRDefault="002846AF" w:rsidP="002846AF">
            <w:pPr>
              <w:pStyle w:val="Body"/>
              <w:rPr>
                <w:rFonts w:ascii="Arial" w:hAnsi="Arial" w:cs="Arial"/>
                <w:sz w:val="20"/>
              </w:rPr>
            </w:pPr>
          </w:p>
        </w:tc>
        <w:tc>
          <w:tcPr>
            <w:tcW w:w="1559" w:type="dxa"/>
          </w:tcPr>
          <w:p w14:paraId="6E4CC001" w14:textId="77777777" w:rsidR="002846AF" w:rsidRPr="002846AF" w:rsidRDefault="002846AF" w:rsidP="002846AF">
            <w:pPr>
              <w:pStyle w:val="Body"/>
              <w:rPr>
                <w:rFonts w:ascii="Arial" w:hAnsi="Arial" w:cs="Arial"/>
                <w:sz w:val="20"/>
              </w:rPr>
            </w:pPr>
          </w:p>
        </w:tc>
      </w:tr>
      <w:tr w:rsidR="002846AF" w:rsidRPr="002846AF" w14:paraId="1D882B3E" w14:textId="77777777" w:rsidTr="00C57C2F">
        <w:tc>
          <w:tcPr>
            <w:tcW w:w="1558" w:type="dxa"/>
          </w:tcPr>
          <w:p w14:paraId="633780F6" w14:textId="77777777" w:rsidR="002846AF" w:rsidRPr="002846AF" w:rsidRDefault="002846AF" w:rsidP="002846AF">
            <w:pPr>
              <w:pStyle w:val="Body"/>
              <w:rPr>
                <w:rFonts w:ascii="Arial" w:hAnsi="Arial" w:cs="Arial"/>
                <w:sz w:val="20"/>
              </w:rPr>
            </w:pPr>
            <w:r w:rsidRPr="002846AF">
              <w:rPr>
                <w:rFonts w:ascii="Arial" w:hAnsi="Arial" w:cs="Arial"/>
                <w:sz w:val="20"/>
              </w:rPr>
              <w:t>OPRS</w:t>
            </w:r>
          </w:p>
        </w:tc>
        <w:tc>
          <w:tcPr>
            <w:tcW w:w="1558" w:type="dxa"/>
          </w:tcPr>
          <w:p w14:paraId="635B3E2C" w14:textId="77777777" w:rsidR="002846AF" w:rsidRPr="002846AF" w:rsidRDefault="002846AF" w:rsidP="002846AF">
            <w:pPr>
              <w:pStyle w:val="Body"/>
              <w:rPr>
                <w:rFonts w:ascii="Arial" w:hAnsi="Arial" w:cs="Arial"/>
                <w:sz w:val="20"/>
              </w:rPr>
            </w:pPr>
            <w:r w:rsidRPr="002846AF">
              <w:rPr>
                <w:rFonts w:ascii="Arial" w:hAnsi="Arial" w:cs="Arial"/>
                <w:sz w:val="20"/>
              </w:rPr>
              <w:t>0.040</w:t>
            </w:r>
          </w:p>
        </w:tc>
        <w:tc>
          <w:tcPr>
            <w:tcW w:w="1558" w:type="dxa"/>
          </w:tcPr>
          <w:p w14:paraId="3E6D11E6" w14:textId="77777777" w:rsidR="002846AF" w:rsidRPr="002846AF" w:rsidRDefault="002846AF" w:rsidP="002846AF">
            <w:pPr>
              <w:pStyle w:val="Body"/>
              <w:rPr>
                <w:rFonts w:ascii="Arial" w:hAnsi="Arial" w:cs="Arial"/>
                <w:sz w:val="20"/>
              </w:rPr>
            </w:pPr>
            <w:r w:rsidRPr="002846AF">
              <w:rPr>
                <w:rFonts w:ascii="Arial" w:hAnsi="Arial" w:cs="Arial"/>
                <w:sz w:val="20"/>
              </w:rPr>
              <w:t>1</w:t>
            </w:r>
          </w:p>
        </w:tc>
        <w:tc>
          <w:tcPr>
            <w:tcW w:w="1558" w:type="dxa"/>
          </w:tcPr>
          <w:p w14:paraId="79547E51" w14:textId="77777777" w:rsidR="002846AF" w:rsidRPr="002846AF" w:rsidRDefault="002846AF" w:rsidP="002846AF">
            <w:pPr>
              <w:pStyle w:val="Body"/>
              <w:rPr>
                <w:rFonts w:ascii="Arial" w:hAnsi="Arial" w:cs="Arial"/>
                <w:sz w:val="20"/>
              </w:rPr>
            </w:pPr>
          </w:p>
        </w:tc>
        <w:tc>
          <w:tcPr>
            <w:tcW w:w="1559" w:type="dxa"/>
          </w:tcPr>
          <w:p w14:paraId="397EDA7E" w14:textId="77777777" w:rsidR="002846AF" w:rsidRPr="002846AF" w:rsidRDefault="002846AF" w:rsidP="002846AF">
            <w:pPr>
              <w:pStyle w:val="Body"/>
              <w:rPr>
                <w:rFonts w:ascii="Arial" w:hAnsi="Arial" w:cs="Arial"/>
                <w:sz w:val="20"/>
              </w:rPr>
            </w:pPr>
          </w:p>
        </w:tc>
        <w:tc>
          <w:tcPr>
            <w:tcW w:w="1559" w:type="dxa"/>
          </w:tcPr>
          <w:p w14:paraId="5290F15C" w14:textId="77777777" w:rsidR="002846AF" w:rsidRPr="002846AF" w:rsidRDefault="002846AF" w:rsidP="002846AF">
            <w:pPr>
              <w:pStyle w:val="Body"/>
              <w:rPr>
                <w:rFonts w:ascii="Arial" w:hAnsi="Arial" w:cs="Arial"/>
                <w:sz w:val="20"/>
              </w:rPr>
            </w:pPr>
          </w:p>
        </w:tc>
      </w:tr>
      <w:tr w:rsidR="002846AF" w:rsidRPr="002846AF" w14:paraId="04668E0F" w14:textId="77777777" w:rsidTr="00C57C2F">
        <w:tc>
          <w:tcPr>
            <w:tcW w:w="1558" w:type="dxa"/>
          </w:tcPr>
          <w:p w14:paraId="0BEFB4AE" w14:textId="77777777" w:rsidR="002846AF" w:rsidRPr="002846AF" w:rsidRDefault="002846AF" w:rsidP="002846AF">
            <w:pPr>
              <w:pStyle w:val="Body"/>
              <w:rPr>
                <w:rFonts w:ascii="Arial" w:hAnsi="Arial" w:cs="Arial"/>
                <w:sz w:val="20"/>
              </w:rPr>
            </w:pPr>
            <w:r w:rsidRPr="002846AF">
              <w:rPr>
                <w:rFonts w:ascii="Arial" w:hAnsi="Arial" w:cs="Arial"/>
                <w:sz w:val="20"/>
              </w:rPr>
              <w:lastRenderedPageBreak/>
              <w:t>EXCR</w:t>
            </w:r>
          </w:p>
        </w:tc>
        <w:tc>
          <w:tcPr>
            <w:tcW w:w="1558" w:type="dxa"/>
          </w:tcPr>
          <w:p w14:paraId="05F331CF" w14:textId="77777777" w:rsidR="002846AF" w:rsidRPr="002846AF" w:rsidRDefault="002846AF" w:rsidP="002846AF">
            <w:pPr>
              <w:pStyle w:val="Body"/>
              <w:rPr>
                <w:rFonts w:ascii="Arial" w:hAnsi="Arial" w:cs="Arial"/>
                <w:sz w:val="20"/>
              </w:rPr>
            </w:pPr>
            <w:r w:rsidRPr="002846AF">
              <w:rPr>
                <w:rFonts w:ascii="Arial" w:hAnsi="Arial" w:cs="Arial"/>
                <w:sz w:val="20"/>
              </w:rPr>
              <w:t>-0.634***</w:t>
            </w:r>
          </w:p>
        </w:tc>
        <w:tc>
          <w:tcPr>
            <w:tcW w:w="1558" w:type="dxa"/>
          </w:tcPr>
          <w:p w14:paraId="5DCA8752" w14:textId="77777777" w:rsidR="002846AF" w:rsidRPr="002846AF" w:rsidRDefault="002846AF" w:rsidP="002846AF">
            <w:pPr>
              <w:pStyle w:val="Body"/>
              <w:rPr>
                <w:rFonts w:ascii="Arial" w:hAnsi="Arial" w:cs="Arial"/>
                <w:sz w:val="20"/>
              </w:rPr>
            </w:pPr>
            <w:r w:rsidRPr="002846AF">
              <w:rPr>
                <w:rFonts w:ascii="Arial" w:hAnsi="Arial" w:cs="Arial"/>
                <w:sz w:val="20"/>
              </w:rPr>
              <w:t>-0.037446</w:t>
            </w:r>
          </w:p>
        </w:tc>
        <w:tc>
          <w:tcPr>
            <w:tcW w:w="1558" w:type="dxa"/>
          </w:tcPr>
          <w:p w14:paraId="3DB64CAD" w14:textId="77777777" w:rsidR="002846AF" w:rsidRPr="002846AF" w:rsidRDefault="002846AF" w:rsidP="002846AF">
            <w:pPr>
              <w:pStyle w:val="Body"/>
              <w:rPr>
                <w:rFonts w:ascii="Arial" w:hAnsi="Arial" w:cs="Arial"/>
                <w:sz w:val="20"/>
              </w:rPr>
            </w:pPr>
            <w:r w:rsidRPr="002846AF">
              <w:rPr>
                <w:rFonts w:ascii="Arial" w:hAnsi="Arial" w:cs="Arial"/>
                <w:sz w:val="20"/>
              </w:rPr>
              <w:t>1</w:t>
            </w:r>
          </w:p>
        </w:tc>
        <w:tc>
          <w:tcPr>
            <w:tcW w:w="1559" w:type="dxa"/>
          </w:tcPr>
          <w:p w14:paraId="15A8544E" w14:textId="77777777" w:rsidR="002846AF" w:rsidRPr="002846AF" w:rsidRDefault="002846AF" w:rsidP="002846AF">
            <w:pPr>
              <w:pStyle w:val="Body"/>
              <w:rPr>
                <w:rFonts w:ascii="Arial" w:hAnsi="Arial" w:cs="Arial"/>
                <w:sz w:val="20"/>
              </w:rPr>
            </w:pPr>
          </w:p>
        </w:tc>
        <w:tc>
          <w:tcPr>
            <w:tcW w:w="1559" w:type="dxa"/>
          </w:tcPr>
          <w:p w14:paraId="75B6E470" w14:textId="77777777" w:rsidR="002846AF" w:rsidRPr="002846AF" w:rsidRDefault="002846AF" w:rsidP="002846AF">
            <w:pPr>
              <w:pStyle w:val="Body"/>
              <w:rPr>
                <w:rFonts w:ascii="Arial" w:hAnsi="Arial" w:cs="Arial"/>
                <w:sz w:val="20"/>
              </w:rPr>
            </w:pPr>
          </w:p>
        </w:tc>
      </w:tr>
      <w:tr w:rsidR="002846AF" w:rsidRPr="002846AF" w14:paraId="20473D46" w14:textId="77777777" w:rsidTr="00C57C2F">
        <w:tc>
          <w:tcPr>
            <w:tcW w:w="1558" w:type="dxa"/>
          </w:tcPr>
          <w:p w14:paraId="6D64822E" w14:textId="77777777" w:rsidR="002846AF" w:rsidRPr="002846AF" w:rsidRDefault="002846AF" w:rsidP="002846AF">
            <w:pPr>
              <w:pStyle w:val="Body"/>
              <w:rPr>
                <w:rFonts w:ascii="Arial" w:hAnsi="Arial" w:cs="Arial"/>
                <w:sz w:val="20"/>
              </w:rPr>
            </w:pPr>
            <w:r w:rsidRPr="002846AF">
              <w:rPr>
                <w:rFonts w:ascii="Arial" w:hAnsi="Arial" w:cs="Arial"/>
                <w:sz w:val="20"/>
              </w:rPr>
              <w:t>GDPC</w:t>
            </w:r>
          </w:p>
        </w:tc>
        <w:tc>
          <w:tcPr>
            <w:tcW w:w="1558" w:type="dxa"/>
          </w:tcPr>
          <w:p w14:paraId="43E30969" w14:textId="77777777" w:rsidR="002846AF" w:rsidRPr="002846AF" w:rsidRDefault="002846AF" w:rsidP="002846AF">
            <w:pPr>
              <w:pStyle w:val="Body"/>
              <w:rPr>
                <w:rFonts w:ascii="Arial" w:hAnsi="Arial" w:cs="Arial"/>
                <w:sz w:val="20"/>
              </w:rPr>
            </w:pPr>
            <w:r w:rsidRPr="002846AF">
              <w:rPr>
                <w:rFonts w:ascii="Arial" w:hAnsi="Arial" w:cs="Arial"/>
                <w:sz w:val="20"/>
              </w:rPr>
              <w:t>0.848***</w:t>
            </w:r>
          </w:p>
        </w:tc>
        <w:tc>
          <w:tcPr>
            <w:tcW w:w="1558" w:type="dxa"/>
          </w:tcPr>
          <w:p w14:paraId="77ECCDCB" w14:textId="77777777" w:rsidR="002846AF" w:rsidRPr="002846AF" w:rsidRDefault="002846AF" w:rsidP="002846AF">
            <w:pPr>
              <w:pStyle w:val="Body"/>
              <w:rPr>
                <w:rFonts w:ascii="Arial" w:hAnsi="Arial" w:cs="Arial"/>
                <w:sz w:val="20"/>
              </w:rPr>
            </w:pPr>
            <w:r w:rsidRPr="002846AF">
              <w:rPr>
                <w:rFonts w:ascii="Arial" w:hAnsi="Arial" w:cs="Arial"/>
                <w:sz w:val="20"/>
              </w:rPr>
              <w:t>0.2514</w:t>
            </w:r>
          </w:p>
        </w:tc>
        <w:tc>
          <w:tcPr>
            <w:tcW w:w="1558" w:type="dxa"/>
          </w:tcPr>
          <w:p w14:paraId="529FDDFB" w14:textId="77777777" w:rsidR="002846AF" w:rsidRPr="002846AF" w:rsidRDefault="002846AF" w:rsidP="002846AF">
            <w:pPr>
              <w:pStyle w:val="Body"/>
              <w:rPr>
                <w:rFonts w:ascii="Arial" w:hAnsi="Arial" w:cs="Arial"/>
                <w:sz w:val="20"/>
              </w:rPr>
            </w:pPr>
            <w:r w:rsidRPr="002846AF">
              <w:rPr>
                <w:rFonts w:ascii="Arial" w:hAnsi="Arial" w:cs="Arial"/>
                <w:sz w:val="20"/>
              </w:rPr>
              <w:t>0.560***</w:t>
            </w:r>
          </w:p>
        </w:tc>
        <w:tc>
          <w:tcPr>
            <w:tcW w:w="1559" w:type="dxa"/>
          </w:tcPr>
          <w:p w14:paraId="5A13BC20" w14:textId="77777777" w:rsidR="002846AF" w:rsidRPr="002846AF" w:rsidRDefault="002846AF" w:rsidP="002846AF">
            <w:pPr>
              <w:pStyle w:val="Body"/>
              <w:rPr>
                <w:rFonts w:ascii="Arial" w:hAnsi="Arial" w:cs="Arial"/>
                <w:sz w:val="20"/>
              </w:rPr>
            </w:pPr>
            <w:r w:rsidRPr="002846AF">
              <w:rPr>
                <w:rFonts w:ascii="Arial" w:hAnsi="Arial" w:cs="Arial"/>
                <w:sz w:val="20"/>
              </w:rPr>
              <w:t>1</w:t>
            </w:r>
          </w:p>
        </w:tc>
        <w:tc>
          <w:tcPr>
            <w:tcW w:w="1559" w:type="dxa"/>
          </w:tcPr>
          <w:p w14:paraId="4224FE94" w14:textId="77777777" w:rsidR="002846AF" w:rsidRPr="002846AF" w:rsidRDefault="002846AF" w:rsidP="002846AF">
            <w:pPr>
              <w:pStyle w:val="Body"/>
              <w:rPr>
                <w:rFonts w:ascii="Arial" w:hAnsi="Arial" w:cs="Arial"/>
                <w:sz w:val="20"/>
              </w:rPr>
            </w:pPr>
          </w:p>
        </w:tc>
      </w:tr>
      <w:tr w:rsidR="002846AF" w:rsidRPr="002846AF" w14:paraId="35E31EE3" w14:textId="77777777" w:rsidTr="00C57C2F">
        <w:tc>
          <w:tcPr>
            <w:tcW w:w="1558" w:type="dxa"/>
            <w:tcBorders>
              <w:bottom w:val="single" w:sz="4" w:space="0" w:color="auto"/>
            </w:tcBorders>
          </w:tcPr>
          <w:p w14:paraId="6806612C" w14:textId="77777777" w:rsidR="002846AF" w:rsidRPr="002846AF" w:rsidRDefault="002846AF" w:rsidP="002846AF">
            <w:pPr>
              <w:pStyle w:val="Body"/>
              <w:rPr>
                <w:rFonts w:ascii="Arial" w:hAnsi="Arial" w:cs="Arial"/>
                <w:sz w:val="20"/>
              </w:rPr>
            </w:pPr>
            <w:r w:rsidRPr="002846AF">
              <w:rPr>
                <w:rFonts w:ascii="Arial" w:hAnsi="Arial" w:cs="Arial"/>
                <w:sz w:val="20"/>
              </w:rPr>
              <w:t>INSQ</w:t>
            </w:r>
          </w:p>
        </w:tc>
        <w:tc>
          <w:tcPr>
            <w:tcW w:w="1558" w:type="dxa"/>
            <w:tcBorders>
              <w:bottom w:val="single" w:sz="4" w:space="0" w:color="auto"/>
            </w:tcBorders>
          </w:tcPr>
          <w:p w14:paraId="57CABE68" w14:textId="77777777" w:rsidR="002846AF" w:rsidRPr="002846AF" w:rsidRDefault="002846AF" w:rsidP="002846AF">
            <w:pPr>
              <w:pStyle w:val="Body"/>
              <w:rPr>
                <w:rFonts w:ascii="Arial" w:hAnsi="Arial" w:cs="Arial"/>
                <w:sz w:val="20"/>
              </w:rPr>
            </w:pPr>
            <w:r w:rsidRPr="002846AF">
              <w:rPr>
                <w:rFonts w:ascii="Arial" w:hAnsi="Arial" w:cs="Arial"/>
                <w:sz w:val="20"/>
              </w:rPr>
              <w:t>0.799***</w:t>
            </w:r>
          </w:p>
        </w:tc>
        <w:tc>
          <w:tcPr>
            <w:tcW w:w="1558" w:type="dxa"/>
            <w:tcBorders>
              <w:bottom w:val="single" w:sz="4" w:space="0" w:color="auto"/>
            </w:tcBorders>
          </w:tcPr>
          <w:p w14:paraId="17F78B6D" w14:textId="77777777" w:rsidR="002846AF" w:rsidRPr="002846AF" w:rsidRDefault="002846AF" w:rsidP="002846AF">
            <w:pPr>
              <w:pStyle w:val="Body"/>
              <w:rPr>
                <w:rFonts w:ascii="Arial" w:hAnsi="Arial" w:cs="Arial"/>
                <w:sz w:val="20"/>
              </w:rPr>
            </w:pPr>
            <w:r w:rsidRPr="002846AF">
              <w:rPr>
                <w:rFonts w:ascii="Arial" w:hAnsi="Arial" w:cs="Arial"/>
                <w:sz w:val="20"/>
              </w:rPr>
              <w:t>0.024060</w:t>
            </w:r>
          </w:p>
        </w:tc>
        <w:tc>
          <w:tcPr>
            <w:tcW w:w="1558" w:type="dxa"/>
            <w:tcBorders>
              <w:bottom w:val="single" w:sz="4" w:space="0" w:color="auto"/>
            </w:tcBorders>
          </w:tcPr>
          <w:p w14:paraId="0EACA0CE" w14:textId="77777777" w:rsidR="002846AF" w:rsidRPr="002846AF" w:rsidRDefault="002846AF" w:rsidP="002846AF">
            <w:pPr>
              <w:pStyle w:val="Body"/>
              <w:rPr>
                <w:rFonts w:ascii="Arial" w:hAnsi="Arial" w:cs="Arial"/>
                <w:sz w:val="20"/>
              </w:rPr>
            </w:pPr>
            <w:r w:rsidRPr="002846AF">
              <w:rPr>
                <w:rFonts w:ascii="Arial" w:hAnsi="Arial" w:cs="Arial"/>
                <w:sz w:val="20"/>
              </w:rPr>
              <w:t>-0.502***</w:t>
            </w:r>
          </w:p>
        </w:tc>
        <w:tc>
          <w:tcPr>
            <w:tcW w:w="1559" w:type="dxa"/>
            <w:tcBorders>
              <w:bottom w:val="single" w:sz="4" w:space="0" w:color="auto"/>
            </w:tcBorders>
          </w:tcPr>
          <w:p w14:paraId="0FA1A7E6" w14:textId="77777777" w:rsidR="002846AF" w:rsidRPr="002846AF" w:rsidRDefault="002846AF" w:rsidP="002846AF">
            <w:pPr>
              <w:pStyle w:val="Body"/>
              <w:rPr>
                <w:rFonts w:ascii="Arial" w:hAnsi="Arial" w:cs="Arial"/>
                <w:sz w:val="20"/>
              </w:rPr>
            </w:pPr>
            <w:r w:rsidRPr="002846AF">
              <w:rPr>
                <w:rFonts w:ascii="Arial" w:hAnsi="Arial" w:cs="Arial"/>
                <w:sz w:val="20"/>
              </w:rPr>
              <w:t>0.804***</w:t>
            </w:r>
          </w:p>
        </w:tc>
        <w:tc>
          <w:tcPr>
            <w:tcW w:w="1559" w:type="dxa"/>
            <w:tcBorders>
              <w:bottom w:val="single" w:sz="4" w:space="0" w:color="auto"/>
            </w:tcBorders>
          </w:tcPr>
          <w:p w14:paraId="47B2EAB6" w14:textId="77777777" w:rsidR="002846AF" w:rsidRPr="002846AF" w:rsidRDefault="002846AF" w:rsidP="002846AF">
            <w:pPr>
              <w:pStyle w:val="Body"/>
              <w:rPr>
                <w:rFonts w:ascii="Arial" w:hAnsi="Arial" w:cs="Arial"/>
                <w:sz w:val="20"/>
              </w:rPr>
            </w:pPr>
            <w:r w:rsidRPr="002846AF">
              <w:rPr>
                <w:rFonts w:ascii="Arial" w:hAnsi="Arial" w:cs="Arial"/>
                <w:sz w:val="20"/>
              </w:rPr>
              <w:t>1</w:t>
            </w:r>
          </w:p>
        </w:tc>
      </w:tr>
    </w:tbl>
    <w:p w14:paraId="6524AAFA" w14:textId="72C4C2BF" w:rsidR="002846AF" w:rsidRPr="002846AF" w:rsidRDefault="002846AF" w:rsidP="002846AF">
      <w:pPr>
        <w:pStyle w:val="Body"/>
        <w:rPr>
          <w:rFonts w:ascii="Arial" w:hAnsi="Arial" w:cs="Arial"/>
        </w:rPr>
      </w:pPr>
      <w:r w:rsidRPr="002846AF">
        <w:rPr>
          <w:rFonts w:ascii="Arial" w:hAnsi="Arial" w:cs="Arial"/>
          <w:b/>
          <w:bCs/>
        </w:rPr>
        <w:t>Note: WELB, OPRS, EXCR, GDPC, INSQ</w:t>
      </w:r>
      <w:r w:rsidRPr="002846AF">
        <w:rPr>
          <w:rFonts w:ascii="Arial" w:hAnsi="Arial" w:cs="Arial"/>
        </w:rPr>
        <w:t xml:space="preserve"> represents well-being, oil price, exchange rate, GDP per capita and institutional quality *** P </w:t>
      </w:r>
      <w:r>
        <w:rPr>
          <w:rFonts w:ascii="Arial" w:hAnsi="Arial" w:cs="Arial"/>
        </w:rPr>
        <w:t>= 0.01</w:t>
      </w:r>
    </w:p>
    <w:p w14:paraId="4AC021B8" w14:textId="77777777" w:rsidR="002846AF" w:rsidRPr="002846AF" w:rsidRDefault="002846AF" w:rsidP="002846AF">
      <w:pPr>
        <w:pStyle w:val="Body"/>
        <w:spacing w:after="0"/>
        <w:rPr>
          <w:rFonts w:ascii="Arial" w:hAnsi="Arial" w:cs="Arial"/>
        </w:rPr>
      </w:pPr>
    </w:p>
    <w:p w14:paraId="47DA7512" w14:textId="77777777" w:rsidR="002846AF" w:rsidRPr="002846AF" w:rsidRDefault="002846AF" w:rsidP="002846AF">
      <w:pPr>
        <w:pStyle w:val="Body"/>
        <w:spacing w:after="0"/>
        <w:rPr>
          <w:rFonts w:ascii="Arial" w:hAnsi="Arial" w:cs="Arial"/>
        </w:rPr>
      </w:pPr>
    </w:p>
    <w:p w14:paraId="22CA1C97" w14:textId="77777777" w:rsidR="002846AF" w:rsidRPr="002846AF" w:rsidRDefault="002846AF" w:rsidP="002846AF">
      <w:pPr>
        <w:pStyle w:val="Body"/>
        <w:spacing w:after="0"/>
        <w:rPr>
          <w:rFonts w:ascii="Arial" w:hAnsi="Arial" w:cs="Arial"/>
        </w:rPr>
      </w:pPr>
    </w:p>
    <w:p w14:paraId="3EB799A8" w14:textId="77777777" w:rsidR="002846AF" w:rsidRPr="002846AF" w:rsidRDefault="002846AF" w:rsidP="002846AF">
      <w:pPr>
        <w:pStyle w:val="Body"/>
        <w:spacing w:after="0"/>
        <w:rPr>
          <w:rFonts w:ascii="Arial" w:hAnsi="Arial" w:cs="Arial"/>
        </w:rPr>
      </w:pPr>
    </w:p>
    <w:p w14:paraId="248EA2D7" w14:textId="77777777" w:rsidR="002846AF" w:rsidRPr="002846AF" w:rsidRDefault="002846AF" w:rsidP="002846AF">
      <w:pPr>
        <w:pStyle w:val="Body"/>
        <w:spacing w:after="0"/>
        <w:rPr>
          <w:rFonts w:ascii="Arial" w:hAnsi="Arial" w:cs="Arial"/>
        </w:rPr>
      </w:pPr>
    </w:p>
    <w:p w14:paraId="0F09DFA9" w14:textId="77777777" w:rsidR="002846AF" w:rsidRPr="002846AF" w:rsidRDefault="002846AF" w:rsidP="002846AF">
      <w:pPr>
        <w:pStyle w:val="Body"/>
        <w:spacing w:after="0"/>
        <w:rPr>
          <w:rFonts w:ascii="Arial" w:hAnsi="Arial" w:cs="Arial"/>
        </w:rPr>
      </w:pPr>
    </w:p>
    <w:p w14:paraId="08D609CD" w14:textId="77777777" w:rsidR="002846AF" w:rsidRPr="002846AF" w:rsidRDefault="002846AF" w:rsidP="002846AF">
      <w:pPr>
        <w:pStyle w:val="Body"/>
        <w:spacing w:after="0"/>
        <w:rPr>
          <w:rFonts w:ascii="Arial" w:hAnsi="Arial" w:cs="Arial"/>
        </w:rPr>
      </w:pPr>
      <w:r w:rsidRPr="002846AF">
        <w:rPr>
          <w:rFonts w:ascii="Arial" w:hAnsi="Arial" w:cs="Arial"/>
        </w:rPr>
        <w:t>Fig.1: Confidence Ellipse of correlation Matrix</w:t>
      </w:r>
    </w:p>
    <w:p w14:paraId="1642A1D1" w14:textId="77777777" w:rsidR="002846AF" w:rsidRPr="002846AF" w:rsidRDefault="002846AF" w:rsidP="002846AF">
      <w:pPr>
        <w:pStyle w:val="Body"/>
        <w:spacing w:after="0"/>
        <w:rPr>
          <w:rFonts w:ascii="Arial" w:hAnsi="Arial" w:cs="Arial"/>
        </w:rPr>
      </w:pPr>
      <w:r w:rsidRPr="002846AF">
        <w:rPr>
          <w:rFonts w:ascii="Arial" w:hAnsi="Arial" w:cs="Arial"/>
          <w:noProof/>
        </w:rPr>
        <w:drawing>
          <wp:inline distT="0" distB="0" distL="0" distR="0" wp14:anchorId="6D2F694F" wp14:editId="4EE7DB28">
            <wp:extent cx="3858895" cy="3225165"/>
            <wp:effectExtent l="0" t="0" r="8255" b="0"/>
            <wp:docPr id="2103921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58895" cy="3225165"/>
                    </a:xfrm>
                    <a:prstGeom prst="rect">
                      <a:avLst/>
                    </a:prstGeom>
                    <a:noFill/>
                  </pic:spPr>
                </pic:pic>
              </a:graphicData>
            </a:graphic>
          </wp:inline>
        </w:drawing>
      </w:r>
    </w:p>
    <w:p w14:paraId="15468613" w14:textId="77777777" w:rsidR="002846AF" w:rsidRPr="002846AF" w:rsidRDefault="002846AF" w:rsidP="002846AF">
      <w:pPr>
        <w:pStyle w:val="Body"/>
        <w:spacing w:after="0"/>
        <w:rPr>
          <w:rFonts w:ascii="Arial" w:hAnsi="Arial" w:cs="Arial"/>
        </w:rPr>
      </w:pPr>
      <w:r w:rsidRPr="002846AF">
        <w:rPr>
          <w:rFonts w:ascii="Arial" w:hAnsi="Arial" w:cs="Arial"/>
        </w:rPr>
        <w:t>The correlation matrix in Table 3 reveals a weak positive and insignificant correlation between oil price and well-being. On the other hand, a fairly strong negative and significant correlation exists between exchange rate and well-being. The matrix further indicates a strong positive correlation between income, institutional quality, and well-being.</w:t>
      </w:r>
    </w:p>
    <w:p w14:paraId="4D9254C1" w14:textId="77777777" w:rsidR="002846AF" w:rsidRPr="002846AF" w:rsidRDefault="002846AF" w:rsidP="002846AF">
      <w:pPr>
        <w:pStyle w:val="Body"/>
        <w:spacing w:after="0"/>
        <w:rPr>
          <w:rFonts w:ascii="Arial" w:hAnsi="Arial" w:cs="Arial"/>
        </w:rPr>
      </w:pPr>
      <w:r w:rsidRPr="002846AF">
        <w:rPr>
          <w:rFonts w:ascii="Arial" w:hAnsi="Arial" w:cs="Arial"/>
        </w:rPr>
        <w:t>The confidence ellipse confirms the direction of the correlation while also providing insight into the correlation's confidence interval. It illustrates that 95% of the probability density is contained within the ellipses and will remain constant in repeated sampling. The ellipses further show that the more circular the ellipses, the stronger the association. This validates the low correlation of oil price and the strong correlation of other variables, as a larger portion of the dataset is included in the correlation matrix.</w:t>
      </w:r>
    </w:p>
    <w:p w14:paraId="01CA3F64" w14:textId="7D9A99D5" w:rsidR="002846AF" w:rsidRPr="002846AF" w:rsidRDefault="002846AF" w:rsidP="002846AF">
      <w:pPr>
        <w:pStyle w:val="Body"/>
        <w:spacing w:after="0"/>
        <w:rPr>
          <w:rFonts w:ascii="Arial" w:hAnsi="Arial" w:cs="Arial"/>
        </w:rPr>
      </w:pPr>
      <w:r w:rsidRPr="002846AF">
        <w:rPr>
          <w:rFonts w:ascii="Arial" w:hAnsi="Arial" w:cs="Arial"/>
        </w:rPr>
        <w:t>The nature of the data for this study is such that the number of panel units is greater than the period of study (N&gt;T).</w:t>
      </w:r>
      <w:r w:rsidR="00016A70">
        <w:rPr>
          <w:rFonts w:ascii="Arial" w:hAnsi="Arial" w:cs="Arial"/>
        </w:rPr>
        <w:t xml:space="preserve"> This precludes consideration of stationarity. </w:t>
      </w:r>
      <w:r w:rsidRPr="002846AF">
        <w:rPr>
          <w:rFonts w:ascii="Arial" w:hAnsi="Arial" w:cs="Arial"/>
        </w:rPr>
        <w:t>The use of GMM becomes appropriate and demands that a selection be made between differenced and system GMM to determine the efficient estimator.</w:t>
      </w:r>
    </w:p>
    <w:p w14:paraId="46EE998C" w14:textId="77777777" w:rsidR="002846AF" w:rsidRPr="002846AF" w:rsidRDefault="002846AF" w:rsidP="002846AF">
      <w:pPr>
        <w:pStyle w:val="Body"/>
        <w:spacing w:after="0"/>
        <w:rPr>
          <w:rFonts w:ascii="Arial" w:hAnsi="Arial" w:cs="Arial"/>
          <w:b/>
          <w:bCs/>
        </w:rPr>
      </w:pPr>
    </w:p>
    <w:p w14:paraId="4A856EDF" w14:textId="77777777" w:rsidR="002846AF" w:rsidRPr="002846AF" w:rsidRDefault="002846AF" w:rsidP="002846AF">
      <w:pPr>
        <w:pStyle w:val="Body"/>
        <w:spacing w:after="0"/>
        <w:rPr>
          <w:rFonts w:ascii="Arial" w:hAnsi="Arial" w:cs="Arial"/>
          <w:b/>
          <w:bCs/>
        </w:rPr>
      </w:pPr>
    </w:p>
    <w:p w14:paraId="7BFB37C6" w14:textId="77777777" w:rsidR="002846AF" w:rsidRPr="002846AF" w:rsidRDefault="002846AF" w:rsidP="002846AF">
      <w:pPr>
        <w:pStyle w:val="Body"/>
        <w:spacing w:after="0"/>
        <w:rPr>
          <w:rFonts w:ascii="Arial" w:hAnsi="Arial" w:cs="Arial"/>
          <w:b/>
          <w:bCs/>
        </w:rPr>
      </w:pPr>
    </w:p>
    <w:p w14:paraId="6F97B42B" w14:textId="77777777" w:rsidR="002846AF" w:rsidRPr="002846AF" w:rsidRDefault="002846AF" w:rsidP="002846AF">
      <w:pPr>
        <w:pStyle w:val="Body"/>
        <w:spacing w:after="0"/>
        <w:rPr>
          <w:rFonts w:ascii="Arial" w:hAnsi="Arial" w:cs="Arial"/>
          <w:b/>
          <w:bCs/>
        </w:rPr>
      </w:pPr>
      <w:r w:rsidRPr="002846AF">
        <w:rPr>
          <w:rFonts w:ascii="Arial" w:hAnsi="Arial" w:cs="Arial"/>
          <w:b/>
          <w:bCs/>
        </w:rPr>
        <w:t>Table 4. The Difference and System GMM selection criteria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2846AF" w:rsidRPr="002846AF" w14:paraId="57878BC1" w14:textId="77777777" w:rsidTr="00C57C2F">
        <w:tc>
          <w:tcPr>
            <w:tcW w:w="3192" w:type="dxa"/>
            <w:tcBorders>
              <w:top w:val="single" w:sz="4" w:space="0" w:color="auto"/>
              <w:bottom w:val="single" w:sz="4" w:space="0" w:color="auto"/>
            </w:tcBorders>
          </w:tcPr>
          <w:p w14:paraId="29E7BE99" w14:textId="77777777" w:rsidR="002846AF" w:rsidRPr="002846AF" w:rsidRDefault="002846AF" w:rsidP="002846AF">
            <w:pPr>
              <w:pStyle w:val="Body"/>
              <w:rPr>
                <w:rFonts w:ascii="Arial" w:hAnsi="Arial" w:cs="Arial"/>
                <w:b/>
                <w:bCs/>
                <w:sz w:val="20"/>
              </w:rPr>
            </w:pPr>
            <w:r w:rsidRPr="002846AF">
              <w:rPr>
                <w:rFonts w:ascii="Arial" w:hAnsi="Arial" w:cs="Arial"/>
                <w:b/>
                <w:bCs/>
                <w:sz w:val="20"/>
              </w:rPr>
              <w:t>Estimation Criterion</w:t>
            </w:r>
          </w:p>
        </w:tc>
        <w:tc>
          <w:tcPr>
            <w:tcW w:w="3192" w:type="dxa"/>
            <w:tcBorders>
              <w:top w:val="single" w:sz="4" w:space="0" w:color="auto"/>
              <w:bottom w:val="single" w:sz="4" w:space="0" w:color="auto"/>
            </w:tcBorders>
          </w:tcPr>
          <w:p w14:paraId="3A87B97E" w14:textId="77777777" w:rsidR="002846AF" w:rsidRPr="002846AF" w:rsidRDefault="002846AF" w:rsidP="002846AF">
            <w:pPr>
              <w:pStyle w:val="Body"/>
              <w:rPr>
                <w:rFonts w:ascii="Arial" w:hAnsi="Arial" w:cs="Arial"/>
                <w:b/>
                <w:bCs/>
                <w:sz w:val="20"/>
              </w:rPr>
            </w:pPr>
            <w:r w:rsidRPr="002846AF">
              <w:rPr>
                <w:rFonts w:ascii="Arial" w:hAnsi="Arial" w:cs="Arial"/>
                <w:b/>
                <w:bCs/>
                <w:sz w:val="20"/>
              </w:rPr>
              <w:t xml:space="preserve">Value </w:t>
            </w:r>
          </w:p>
        </w:tc>
        <w:tc>
          <w:tcPr>
            <w:tcW w:w="3192" w:type="dxa"/>
            <w:tcBorders>
              <w:top w:val="single" w:sz="4" w:space="0" w:color="auto"/>
              <w:bottom w:val="single" w:sz="4" w:space="0" w:color="auto"/>
            </w:tcBorders>
          </w:tcPr>
          <w:p w14:paraId="03E3DC50" w14:textId="77777777" w:rsidR="002846AF" w:rsidRPr="002846AF" w:rsidRDefault="002846AF" w:rsidP="002846AF">
            <w:pPr>
              <w:pStyle w:val="Body"/>
              <w:rPr>
                <w:rFonts w:ascii="Arial" w:hAnsi="Arial" w:cs="Arial"/>
                <w:b/>
                <w:bCs/>
                <w:sz w:val="20"/>
              </w:rPr>
            </w:pPr>
            <w:r w:rsidRPr="002846AF">
              <w:rPr>
                <w:rFonts w:ascii="Arial" w:hAnsi="Arial" w:cs="Arial"/>
                <w:b/>
                <w:bCs/>
                <w:sz w:val="20"/>
              </w:rPr>
              <w:t>Remark</w:t>
            </w:r>
          </w:p>
        </w:tc>
      </w:tr>
      <w:tr w:rsidR="002846AF" w:rsidRPr="002846AF" w14:paraId="1F8A2EB6" w14:textId="77777777" w:rsidTr="00C57C2F">
        <w:tc>
          <w:tcPr>
            <w:tcW w:w="3192" w:type="dxa"/>
            <w:tcBorders>
              <w:top w:val="single" w:sz="4" w:space="0" w:color="auto"/>
            </w:tcBorders>
          </w:tcPr>
          <w:p w14:paraId="060948C7" w14:textId="77777777" w:rsidR="002846AF" w:rsidRPr="002846AF" w:rsidRDefault="002846AF" w:rsidP="002846AF">
            <w:pPr>
              <w:pStyle w:val="Body"/>
              <w:rPr>
                <w:rFonts w:ascii="Arial" w:hAnsi="Arial" w:cs="Arial"/>
                <w:sz w:val="20"/>
              </w:rPr>
            </w:pPr>
            <w:r w:rsidRPr="002846AF">
              <w:rPr>
                <w:rFonts w:ascii="Arial" w:hAnsi="Arial" w:cs="Arial"/>
                <w:sz w:val="20"/>
              </w:rPr>
              <w:t>Pooled OLS</w:t>
            </w:r>
          </w:p>
        </w:tc>
        <w:tc>
          <w:tcPr>
            <w:tcW w:w="3192" w:type="dxa"/>
            <w:tcBorders>
              <w:top w:val="single" w:sz="4" w:space="0" w:color="auto"/>
            </w:tcBorders>
          </w:tcPr>
          <w:p w14:paraId="2D39AFB8" w14:textId="77777777" w:rsidR="002846AF" w:rsidRPr="002846AF" w:rsidRDefault="002846AF" w:rsidP="002846AF">
            <w:pPr>
              <w:pStyle w:val="Body"/>
              <w:rPr>
                <w:rFonts w:ascii="Arial" w:hAnsi="Arial" w:cs="Arial"/>
                <w:sz w:val="20"/>
              </w:rPr>
            </w:pPr>
            <w:r w:rsidRPr="002846AF">
              <w:rPr>
                <w:rFonts w:ascii="Arial" w:hAnsi="Arial" w:cs="Arial"/>
                <w:sz w:val="20"/>
              </w:rPr>
              <w:t>0.814</w:t>
            </w:r>
          </w:p>
        </w:tc>
        <w:tc>
          <w:tcPr>
            <w:tcW w:w="3192" w:type="dxa"/>
            <w:tcBorders>
              <w:top w:val="single" w:sz="4" w:space="0" w:color="auto"/>
            </w:tcBorders>
          </w:tcPr>
          <w:p w14:paraId="1916ECE1" w14:textId="77777777" w:rsidR="002846AF" w:rsidRPr="002846AF" w:rsidRDefault="002846AF" w:rsidP="002846AF">
            <w:pPr>
              <w:pStyle w:val="Body"/>
              <w:rPr>
                <w:rFonts w:ascii="Arial" w:hAnsi="Arial" w:cs="Arial"/>
                <w:sz w:val="20"/>
              </w:rPr>
            </w:pPr>
            <w:r w:rsidRPr="002846AF">
              <w:rPr>
                <w:rFonts w:ascii="Arial" w:hAnsi="Arial" w:cs="Arial"/>
                <w:sz w:val="20"/>
              </w:rPr>
              <w:t>Upper Bounds</w:t>
            </w:r>
          </w:p>
        </w:tc>
      </w:tr>
      <w:tr w:rsidR="002846AF" w:rsidRPr="002846AF" w14:paraId="37199480" w14:textId="77777777" w:rsidTr="00C57C2F">
        <w:tc>
          <w:tcPr>
            <w:tcW w:w="3192" w:type="dxa"/>
          </w:tcPr>
          <w:p w14:paraId="132EADB9" w14:textId="77777777" w:rsidR="002846AF" w:rsidRPr="002846AF" w:rsidRDefault="002846AF" w:rsidP="002846AF">
            <w:pPr>
              <w:pStyle w:val="Body"/>
              <w:rPr>
                <w:rFonts w:ascii="Arial" w:hAnsi="Arial" w:cs="Arial"/>
                <w:sz w:val="20"/>
              </w:rPr>
            </w:pPr>
            <w:r w:rsidRPr="002846AF">
              <w:rPr>
                <w:rFonts w:ascii="Arial" w:hAnsi="Arial" w:cs="Arial"/>
                <w:sz w:val="20"/>
              </w:rPr>
              <w:t>Fixed Effect</w:t>
            </w:r>
          </w:p>
        </w:tc>
        <w:tc>
          <w:tcPr>
            <w:tcW w:w="3192" w:type="dxa"/>
          </w:tcPr>
          <w:p w14:paraId="00CB4F21" w14:textId="77777777" w:rsidR="002846AF" w:rsidRPr="002846AF" w:rsidRDefault="002846AF" w:rsidP="002846AF">
            <w:pPr>
              <w:pStyle w:val="Body"/>
              <w:rPr>
                <w:rFonts w:ascii="Arial" w:hAnsi="Arial" w:cs="Arial"/>
                <w:sz w:val="20"/>
              </w:rPr>
            </w:pPr>
            <w:r w:rsidRPr="002846AF">
              <w:rPr>
                <w:rFonts w:ascii="Arial" w:hAnsi="Arial" w:cs="Arial"/>
                <w:sz w:val="20"/>
              </w:rPr>
              <w:t>0.615</w:t>
            </w:r>
          </w:p>
        </w:tc>
        <w:tc>
          <w:tcPr>
            <w:tcW w:w="3192" w:type="dxa"/>
          </w:tcPr>
          <w:p w14:paraId="12A74BF4" w14:textId="77777777" w:rsidR="002846AF" w:rsidRPr="002846AF" w:rsidRDefault="002846AF" w:rsidP="002846AF">
            <w:pPr>
              <w:pStyle w:val="Body"/>
              <w:rPr>
                <w:rFonts w:ascii="Arial" w:hAnsi="Arial" w:cs="Arial"/>
                <w:sz w:val="20"/>
              </w:rPr>
            </w:pPr>
            <w:r w:rsidRPr="002846AF">
              <w:rPr>
                <w:rFonts w:ascii="Arial" w:hAnsi="Arial" w:cs="Arial"/>
                <w:sz w:val="20"/>
              </w:rPr>
              <w:t>Lower Bounds</w:t>
            </w:r>
          </w:p>
        </w:tc>
      </w:tr>
      <w:tr w:rsidR="002846AF" w:rsidRPr="002846AF" w14:paraId="278B7BFA" w14:textId="77777777" w:rsidTr="00C57C2F">
        <w:trPr>
          <w:trHeight w:val="195"/>
        </w:trPr>
        <w:tc>
          <w:tcPr>
            <w:tcW w:w="3192" w:type="dxa"/>
            <w:tcBorders>
              <w:bottom w:val="single" w:sz="4" w:space="0" w:color="auto"/>
            </w:tcBorders>
          </w:tcPr>
          <w:p w14:paraId="6B62D511" w14:textId="77777777" w:rsidR="002846AF" w:rsidRPr="002846AF" w:rsidRDefault="002846AF" w:rsidP="002846AF">
            <w:pPr>
              <w:pStyle w:val="Body"/>
              <w:rPr>
                <w:rFonts w:ascii="Arial" w:hAnsi="Arial" w:cs="Arial"/>
                <w:sz w:val="20"/>
              </w:rPr>
            </w:pPr>
            <w:r w:rsidRPr="002846AF">
              <w:rPr>
                <w:rFonts w:ascii="Arial" w:hAnsi="Arial" w:cs="Arial"/>
                <w:sz w:val="20"/>
              </w:rPr>
              <w:lastRenderedPageBreak/>
              <w:t>Differenced GMM</w:t>
            </w:r>
          </w:p>
        </w:tc>
        <w:tc>
          <w:tcPr>
            <w:tcW w:w="3192" w:type="dxa"/>
            <w:tcBorders>
              <w:bottom w:val="single" w:sz="4" w:space="0" w:color="auto"/>
            </w:tcBorders>
          </w:tcPr>
          <w:p w14:paraId="4994D82C" w14:textId="77777777" w:rsidR="002846AF" w:rsidRPr="002846AF" w:rsidRDefault="002846AF" w:rsidP="002846AF">
            <w:pPr>
              <w:pStyle w:val="Body"/>
              <w:rPr>
                <w:rFonts w:ascii="Arial" w:hAnsi="Arial" w:cs="Arial"/>
                <w:sz w:val="20"/>
              </w:rPr>
            </w:pPr>
            <w:r w:rsidRPr="002846AF">
              <w:rPr>
                <w:rFonts w:ascii="Arial" w:hAnsi="Arial" w:cs="Arial"/>
                <w:sz w:val="20"/>
              </w:rPr>
              <w:t>0.545</w:t>
            </w:r>
          </w:p>
        </w:tc>
        <w:tc>
          <w:tcPr>
            <w:tcW w:w="3192" w:type="dxa"/>
            <w:tcBorders>
              <w:bottom w:val="single" w:sz="4" w:space="0" w:color="auto"/>
            </w:tcBorders>
          </w:tcPr>
          <w:p w14:paraId="6E35F882" w14:textId="77777777" w:rsidR="002846AF" w:rsidRPr="002846AF" w:rsidRDefault="002846AF" w:rsidP="002846AF">
            <w:pPr>
              <w:pStyle w:val="Body"/>
              <w:rPr>
                <w:rFonts w:ascii="Arial" w:hAnsi="Arial" w:cs="Arial"/>
                <w:sz w:val="20"/>
              </w:rPr>
            </w:pPr>
            <w:r w:rsidRPr="002846AF">
              <w:rPr>
                <w:rFonts w:ascii="Arial" w:hAnsi="Arial" w:cs="Arial"/>
                <w:sz w:val="20"/>
              </w:rPr>
              <w:t>Downward Biased.</w:t>
            </w:r>
          </w:p>
        </w:tc>
      </w:tr>
      <w:tr w:rsidR="002846AF" w:rsidRPr="002846AF" w14:paraId="724A3B69" w14:textId="77777777" w:rsidTr="00C57C2F">
        <w:trPr>
          <w:trHeight w:val="210"/>
        </w:trPr>
        <w:tc>
          <w:tcPr>
            <w:tcW w:w="3192" w:type="dxa"/>
            <w:tcBorders>
              <w:top w:val="single" w:sz="4" w:space="0" w:color="auto"/>
            </w:tcBorders>
          </w:tcPr>
          <w:p w14:paraId="2D1FFD43" w14:textId="77777777" w:rsidR="002846AF" w:rsidRPr="002846AF" w:rsidRDefault="002846AF" w:rsidP="002846AF">
            <w:pPr>
              <w:pStyle w:val="Body"/>
              <w:rPr>
                <w:rFonts w:ascii="Arial" w:hAnsi="Arial" w:cs="Arial"/>
                <w:sz w:val="20"/>
              </w:rPr>
            </w:pPr>
          </w:p>
        </w:tc>
        <w:tc>
          <w:tcPr>
            <w:tcW w:w="3192" w:type="dxa"/>
            <w:tcBorders>
              <w:top w:val="single" w:sz="4" w:space="0" w:color="auto"/>
            </w:tcBorders>
          </w:tcPr>
          <w:p w14:paraId="3F43CC35" w14:textId="77777777" w:rsidR="002846AF" w:rsidRPr="002846AF" w:rsidRDefault="002846AF" w:rsidP="002846AF">
            <w:pPr>
              <w:pStyle w:val="Body"/>
              <w:rPr>
                <w:rFonts w:ascii="Arial" w:hAnsi="Arial" w:cs="Arial"/>
                <w:sz w:val="20"/>
              </w:rPr>
            </w:pPr>
          </w:p>
        </w:tc>
        <w:tc>
          <w:tcPr>
            <w:tcW w:w="3192" w:type="dxa"/>
            <w:tcBorders>
              <w:top w:val="single" w:sz="4" w:space="0" w:color="auto"/>
            </w:tcBorders>
          </w:tcPr>
          <w:p w14:paraId="26FDD111" w14:textId="77777777" w:rsidR="002846AF" w:rsidRPr="002846AF" w:rsidRDefault="002846AF" w:rsidP="002846AF">
            <w:pPr>
              <w:pStyle w:val="Body"/>
              <w:rPr>
                <w:rFonts w:ascii="Arial" w:hAnsi="Arial" w:cs="Arial"/>
                <w:sz w:val="20"/>
              </w:rPr>
            </w:pPr>
          </w:p>
        </w:tc>
      </w:tr>
    </w:tbl>
    <w:p w14:paraId="24D61ADD" w14:textId="77777777" w:rsidR="002846AF" w:rsidRDefault="002846AF" w:rsidP="002846AF">
      <w:pPr>
        <w:pStyle w:val="Body"/>
        <w:spacing w:after="0"/>
        <w:rPr>
          <w:rFonts w:ascii="Arial" w:hAnsi="Arial" w:cs="Arial"/>
        </w:rPr>
      </w:pPr>
      <w:r w:rsidRPr="002846AF">
        <w:rPr>
          <w:rFonts w:ascii="Arial" w:hAnsi="Arial" w:cs="Arial"/>
        </w:rPr>
        <w:t>From Table 4, we found differenced GMM to be downward biased. For efficient estimation therefore, we employed the two-system GMM criterion as represented in Table 5.</w:t>
      </w:r>
      <w:bookmarkStart w:id="20" w:name="_Hlk167303906"/>
    </w:p>
    <w:p w14:paraId="19AC6DB6" w14:textId="77777777" w:rsidR="002846AF" w:rsidRPr="002846AF" w:rsidRDefault="002846AF" w:rsidP="002846AF">
      <w:pPr>
        <w:pStyle w:val="Body"/>
        <w:spacing w:after="0"/>
        <w:rPr>
          <w:rFonts w:ascii="Arial" w:hAnsi="Arial" w:cs="Arial"/>
        </w:rPr>
      </w:pPr>
    </w:p>
    <w:p w14:paraId="44D16388" w14:textId="77777777" w:rsidR="002846AF" w:rsidRPr="002846AF" w:rsidRDefault="002846AF" w:rsidP="002846AF">
      <w:pPr>
        <w:pStyle w:val="Body"/>
        <w:spacing w:after="0"/>
        <w:rPr>
          <w:rFonts w:ascii="Arial" w:hAnsi="Arial" w:cs="Arial"/>
          <w:b/>
          <w:bCs/>
        </w:rPr>
      </w:pPr>
      <w:r w:rsidRPr="002846AF">
        <w:rPr>
          <w:rFonts w:ascii="Arial" w:hAnsi="Arial" w:cs="Arial"/>
          <w:b/>
          <w:bCs/>
        </w:rPr>
        <w:t>Table 5.  Two-System GMM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846AF" w:rsidRPr="002846AF" w14:paraId="5F46199E" w14:textId="77777777" w:rsidTr="00C57C2F">
        <w:trPr>
          <w:trHeight w:val="180"/>
        </w:trPr>
        <w:tc>
          <w:tcPr>
            <w:tcW w:w="9350" w:type="dxa"/>
            <w:gridSpan w:val="2"/>
            <w:tcBorders>
              <w:top w:val="single" w:sz="4" w:space="0" w:color="auto"/>
              <w:bottom w:val="single" w:sz="4" w:space="0" w:color="auto"/>
            </w:tcBorders>
          </w:tcPr>
          <w:p w14:paraId="2FE42AAE" w14:textId="77777777" w:rsidR="002846AF" w:rsidRPr="002846AF" w:rsidRDefault="002846AF" w:rsidP="002846AF">
            <w:pPr>
              <w:pStyle w:val="Body"/>
              <w:rPr>
                <w:rFonts w:ascii="Arial" w:hAnsi="Arial" w:cs="Arial"/>
                <w:b/>
                <w:bCs/>
                <w:sz w:val="20"/>
              </w:rPr>
            </w:pPr>
            <w:r w:rsidRPr="002846AF">
              <w:rPr>
                <w:rFonts w:ascii="Arial" w:hAnsi="Arial" w:cs="Arial"/>
                <w:b/>
                <w:bCs/>
                <w:sz w:val="20"/>
              </w:rPr>
              <w:t>One step GMM with Lag of Wellbeing as the dependent variable</w:t>
            </w:r>
          </w:p>
        </w:tc>
      </w:tr>
      <w:tr w:rsidR="002846AF" w:rsidRPr="002846AF" w14:paraId="1DB4CA5B" w14:textId="77777777" w:rsidTr="00C57C2F">
        <w:trPr>
          <w:trHeight w:val="90"/>
        </w:trPr>
        <w:tc>
          <w:tcPr>
            <w:tcW w:w="9350" w:type="dxa"/>
            <w:gridSpan w:val="2"/>
            <w:tcBorders>
              <w:top w:val="single" w:sz="4" w:space="0" w:color="auto"/>
            </w:tcBorders>
          </w:tcPr>
          <w:p w14:paraId="1F51BC62" w14:textId="77777777" w:rsidR="002846AF" w:rsidRPr="002846AF" w:rsidRDefault="002846AF" w:rsidP="002846AF">
            <w:pPr>
              <w:pStyle w:val="Body"/>
              <w:rPr>
                <w:rFonts w:ascii="Arial" w:hAnsi="Arial" w:cs="Arial"/>
                <w:b/>
                <w:bCs/>
                <w:sz w:val="20"/>
              </w:rPr>
            </w:pPr>
          </w:p>
        </w:tc>
      </w:tr>
      <w:tr w:rsidR="002846AF" w:rsidRPr="002846AF" w14:paraId="017A50CD" w14:textId="77777777" w:rsidTr="00C57C2F">
        <w:tc>
          <w:tcPr>
            <w:tcW w:w="4675" w:type="dxa"/>
          </w:tcPr>
          <w:p w14:paraId="3BC3B4DD" w14:textId="77777777" w:rsidR="002846AF" w:rsidRPr="002846AF" w:rsidRDefault="002846AF" w:rsidP="002846AF">
            <w:pPr>
              <w:pStyle w:val="Body"/>
              <w:rPr>
                <w:rFonts w:ascii="Arial" w:hAnsi="Arial" w:cs="Arial"/>
                <w:b/>
                <w:bCs/>
                <w:sz w:val="20"/>
              </w:rPr>
            </w:pPr>
            <w:r w:rsidRPr="002846AF">
              <w:rPr>
                <w:rFonts w:ascii="Arial" w:hAnsi="Arial" w:cs="Arial"/>
                <w:b/>
                <w:bCs/>
                <w:sz w:val="20"/>
              </w:rPr>
              <w:t>Variable</w:t>
            </w:r>
          </w:p>
        </w:tc>
        <w:tc>
          <w:tcPr>
            <w:tcW w:w="4675" w:type="dxa"/>
          </w:tcPr>
          <w:p w14:paraId="5DFE57C7" w14:textId="77777777" w:rsidR="002846AF" w:rsidRPr="002846AF" w:rsidRDefault="002846AF" w:rsidP="002846AF">
            <w:pPr>
              <w:pStyle w:val="Body"/>
              <w:rPr>
                <w:rFonts w:ascii="Arial" w:hAnsi="Arial" w:cs="Arial"/>
                <w:b/>
                <w:bCs/>
                <w:sz w:val="20"/>
              </w:rPr>
            </w:pPr>
            <w:r w:rsidRPr="002846AF">
              <w:rPr>
                <w:rFonts w:ascii="Arial" w:hAnsi="Arial" w:cs="Arial"/>
                <w:b/>
                <w:bCs/>
                <w:sz w:val="20"/>
              </w:rPr>
              <w:t>System GMM</w:t>
            </w:r>
          </w:p>
        </w:tc>
      </w:tr>
      <w:tr w:rsidR="002846AF" w:rsidRPr="002846AF" w14:paraId="479DA4E3" w14:textId="77777777" w:rsidTr="00C57C2F">
        <w:tc>
          <w:tcPr>
            <w:tcW w:w="4675" w:type="dxa"/>
          </w:tcPr>
          <w:p w14:paraId="4C7A8457" w14:textId="77777777" w:rsidR="002846AF" w:rsidRPr="002846AF" w:rsidRDefault="002846AF" w:rsidP="002846AF">
            <w:pPr>
              <w:pStyle w:val="Body"/>
              <w:rPr>
                <w:rFonts w:ascii="Arial" w:hAnsi="Arial" w:cs="Arial"/>
                <w:sz w:val="20"/>
              </w:rPr>
            </w:pPr>
            <w:proofErr w:type="spellStart"/>
            <w:r w:rsidRPr="002846AF">
              <w:rPr>
                <w:rFonts w:ascii="Arial" w:hAnsi="Arial" w:cs="Arial"/>
                <w:sz w:val="20"/>
              </w:rPr>
              <w:t>Welb</w:t>
            </w:r>
            <w:proofErr w:type="spellEnd"/>
            <w:r w:rsidRPr="002846AF">
              <w:rPr>
                <w:rFonts w:ascii="Arial" w:hAnsi="Arial" w:cs="Arial"/>
                <w:sz w:val="20"/>
              </w:rPr>
              <w:t>(-1)</w:t>
            </w:r>
          </w:p>
        </w:tc>
        <w:tc>
          <w:tcPr>
            <w:tcW w:w="4675" w:type="dxa"/>
          </w:tcPr>
          <w:p w14:paraId="1333DC78" w14:textId="77777777" w:rsidR="002846AF" w:rsidRPr="002846AF" w:rsidRDefault="002846AF" w:rsidP="002846AF">
            <w:pPr>
              <w:pStyle w:val="Body"/>
              <w:rPr>
                <w:rFonts w:ascii="Arial" w:hAnsi="Arial" w:cs="Arial"/>
                <w:sz w:val="20"/>
              </w:rPr>
            </w:pPr>
            <w:r w:rsidRPr="002846AF">
              <w:rPr>
                <w:rFonts w:ascii="Arial" w:hAnsi="Arial" w:cs="Arial"/>
                <w:sz w:val="20"/>
              </w:rPr>
              <w:t>1.2336 (0.2685)</w:t>
            </w:r>
          </w:p>
        </w:tc>
      </w:tr>
      <w:tr w:rsidR="002846AF" w:rsidRPr="002846AF" w14:paraId="354A5D84" w14:textId="77777777" w:rsidTr="00C57C2F">
        <w:tc>
          <w:tcPr>
            <w:tcW w:w="4675" w:type="dxa"/>
          </w:tcPr>
          <w:p w14:paraId="05CB6246" w14:textId="77777777" w:rsidR="002846AF" w:rsidRPr="002846AF" w:rsidRDefault="002846AF" w:rsidP="002846AF">
            <w:pPr>
              <w:pStyle w:val="Body"/>
              <w:rPr>
                <w:rFonts w:ascii="Arial" w:hAnsi="Arial" w:cs="Arial"/>
                <w:sz w:val="20"/>
              </w:rPr>
            </w:pPr>
            <w:proofErr w:type="spellStart"/>
            <w:r w:rsidRPr="002846AF">
              <w:rPr>
                <w:rFonts w:ascii="Arial" w:hAnsi="Arial" w:cs="Arial"/>
                <w:sz w:val="20"/>
              </w:rPr>
              <w:t>Insq</w:t>
            </w:r>
            <w:proofErr w:type="spellEnd"/>
          </w:p>
        </w:tc>
        <w:tc>
          <w:tcPr>
            <w:tcW w:w="4675" w:type="dxa"/>
          </w:tcPr>
          <w:p w14:paraId="6685C7AE" w14:textId="1DD681E2" w:rsidR="002846AF" w:rsidRPr="002846AF" w:rsidRDefault="002846AF" w:rsidP="002846AF">
            <w:pPr>
              <w:pStyle w:val="Body"/>
              <w:rPr>
                <w:rFonts w:ascii="Arial" w:hAnsi="Arial" w:cs="Arial"/>
                <w:sz w:val="20"/>
              </w:rPr>
            </w:pPr>
            <w:r w:rsidRPr="002846AF">
              <w:rPr>
                <w:rFonts w:ascii="Arial" w:hAnsi="Arial" w:cs="Arial"/>
                <w:sz w:val="20"/>
              </w:rPr>
              <w:t>0.4861 (0.</w:t>
            </w:r>
            <w:r w:rsidR="003003DE">
              <w:rPr>
                <w:rFonts w:ascii="Arial" w:hAnsi="Arial" w:cs="Arial"/>
                <w:sz w:val="20"/>
              </w:rPr>
              <w:t>0</w:t>
            </w:r>
            <w:r w:rsidRPr="002846AF">
              <w:rPr>
                <w:rFonts w:ascii="Arial" w:hAnsi="Arial" w:cs="Arial"/>
                <w:sz w:val="20"/>
              </w:rPr>
              <w:t>670)</w:t>
            </w:r>
            <w:r w:rsidR="003003DE">
              <w:rPr>
                <w:rFonts w:ascii="Arial" w:hAnsi="Arial" w:cs="Arial"/>
                <w:sz w:val="20"/>
              </w:rPr>
              <w:t>**</w:t>
            </w:r>
          </w:p>
        </w:tc>
      </w:tr>
      <w:tr w:rsidR="002846AF" w:rsidRPr="002846AF" w14:paraId="1C2E213E" w14:textId="77777777" w:rsidTr="00C57C2F">
        <w:tc>
          <w:tcPr>
            <w:tcW w:w="4675" w:type="dxa"/>
          </w:tcPr>
          <w:p w14:paraId="00F25BBC" w14:textId="77777777" w:rsidR="002846AF" w:rsidRPr="002846AF" w:rsidRDefault="002846AF" w:rsidP="002846AF">
            <w:pPr>
              <w:pStyle w:val="Body"/>
              <w:rPr>
                <w:rFonts w:ascii="Arial" w:hAnsi="Arial" w:cs="Arial"/>
                <w:sz w:val="20"/>
              </w:rPr>
            </w:pPr>
            <w:proofErr w:type="spellStart"/>
            <w:r w:rsidRPr="002846AF">
              <w:rPr>
                <w:rFonts w:ascii="Arial" w:hAnsi="Arial" w:cs="Arial"/>
                <w:sz w:val="20"/>
              </w:rPr>
              <w:t>LnExcr</w:t>
            </w:r>
            <w:proofErr w:type="spellEnd"/>
          </w:p>
        </w:tc>
        <w:tc>
          <w:tcPr>
            <w:tcW w:w="4675" w:type="dxa"/>
          </w:tcPr>
          <w:p w14:paraId="6CB5F969" w14:textId="77777777" w:rsidR="002846AF" w:rsidRPr="002846AF" w:rsidRDefault="002846AF" w:rsidP="002846AF">
            <w:pPr>
              <w:pStyle w:val="Body"/>
              <w:rPr>
                <w:rFonts w:ascii="Arial" w:hAnsi="Arial" w:cs="Arial"/>
                <w:sz w:val="20"/>
              </w:rPr>
            </w:pPr>
            <w:r w:rsidRPr="002846AF">
              <w:rPr>
                <w:rFonts w:ascii="Arial" w:hAnsi="Arial" w:cs="Arial"/>
                <w:sz w:val="20"/>
              </w:rPr>
              <w:t>-0.47104 (0.7843)</w:t>
            </w:r>
          </w:p>
        </w:tc>
      </w:tr>
      <w:tr w:rsidR="002846AF" w:rsidRPr="002846AF" w14:paraId="634111E7" w14:textId="77777777" w:rsidTr="00C57C2F">
        <w:tc>
          <w:tcPr>
            <w:tcW w:w="4675" w:type="dxa"/>
          </w:tcPr>
          <w:p w14:paraId="30BDFC59" w14:textId="77777777" w:rsidR="002846AF" w:rsidRPr="002846AF" w:rsidRDefault="002846AF" w:rsidP="002846AF">
            <w:pPr>
              <w:pStyle w:val="Body"/>
              <w:rPr>
                <w:rFonts w:ascii="Arial" w:hAnsi="Arial" w:cs="Arial"/>
                <w:sz w:val="20"/>
              </w:rPr>
            </w:pPr>
            <w:proofErr w:type="spellStart"/>
            <w:r w:rsidRPr="002846AF">
              <w:rPr>
                <w:rFonts w:ascii="Arial" w:hAnsi="Arial" w:cs="Arial"/>
                <w:sz w:val="20"/>
              </w:rPr>
              <w:t>LnGdpc</w:t>
            </w:r>
            <w:proofErr w:type="spellEnd"/>
          </w:p>
        </w:tc>
        <w:tc>
          <w:tcPr>
            <w:tcW w:w="4675" w:type="dxa"/>
          </w:tcPr>
          <w:p w14:paraId="0386BE59" w14:textId="77777777" w:rsidR="002846AF" w:rsidRPr="002846AF" w:rsidRDefault="002846AF" w:rsidP="002846AF">
            <w:pPr>
              <w:pStyle w:val="Body"/>
              <w:rPr>
                <w:rFonts w:ascii="Arial" w:hAnsi="Arial" w:cs="Arial"/>
                <w:sz w:val="20"/>
              </w:rPr>
            </w:pPr>
            <w:r w:rsidRPr="002846AF">
              <w:rPr>
                <w:rFonts w:ascii="Arial" w:hAnsi="Arial" w:cs="Arial"/>
                <w:sz w:val="20"/>
              </w:rPr>
              <w:t>-0.7506 (0.7757)</w:t>
            </w:r>
          </w:p>
        </w:tc>
      </w:tr>
      <w:tr w:rsidR="002846AF" w:rsidRPr="002846AF" w14:paraId="32C20852" w14:textId="77777777" w:rsidTr="00C57C2F">
        <w:trPr>
          <w:trHeight w:val="143"/>
        </w:trPr>
        <w:tc>
          <w:tcPr>
            <w:tcW w:w="4675" w:type="dxa"/>
          </w:tcPr>
          <w:p w14:paraId="5258C640" w14:textId="77777777" w:rsidR="002846AF" w:rsidRPr="002846AF" w:rsidRDefault="002846AF" w:rsidP="002846AF">
            <w:pPr>
              <w:pStyle w:val="Body"/>
              <w:rPr>
                <w:rFonts w:ascii="Arial" w:hAnsi="Arial" w:cs="Arial"/>
                <w:sz w:val="20"/>
              </w:rPr>
            </w:pPr>
            <w:proofErr w:type="spellStart"/>
            <w:r w:rsidRPr="002846AF">
              <w:rPr>
                <w:rFonts w:ascii="Arial" w:hAnsi="Arial" w:cs="Arial"/>
                <w:sz w:val="20"/>
              </w:rPr>
              <w:t>LnOprs</w:t>
            </w:r>
            <w:proofErr w:type="spellEnd"/>
          </w:p>
        </w:tc>
        <w:tc>
          <w:tcPr>
            <w:tcW w:w="4675" w:type="dxa"/>
          </w:tcPr>
          <w:p w14:paraId="32BA5E57" w14:textId="49417A6A" w:rsidR="002846AF" w:rsidRPr="002846AF" w:rsidRDefault="002846AF" w:rsidP="002846AF">
            <w:pPr>
              <w:pStyle w:val="Body"/>
              <w:rPr>
                <w:rFonts w:ascii="Arial" w:hAnsi="Arial" w:cs="Arial"/>
                <w:sz w:val="20"/>
              </w:rPr>
            </w:pPr>
            <w:r w:rsidRPr="002846AF">
              <w:rPr>
                <w:rFonts w:ascii="Arial" w:hAnsi="Arial" w:cs="Arial"/>
                <w:sz w:val="20"/>
              </w:rPr>
              <w:t>0.2570 (0.</w:t>
            </w:r>
            <w:r w:rsidR="003003DE">
              <w:rPr>
                <w:rFonts w:ascii="Arial" w:hAnsi="Arial" w:cs="Arial"/>
                <w:sz w:val="20"/>
              </w:rPr>
              <w:t>0</w:t>
            </w:r>
            <w:r w:rsidRPr="002846AF">
              <w:rPr>
                <w:rFonts w:ascii="Arial" w:hAnsi="Arial" w:cs="Arial"/>
                <w:sz w:val="20"/>
              </w:rPr>
              <w:t>747)</w:t>
            </w:r>
            <w:r w:rsidR="003003DE">
              <w:rPr>
                <w:rFonts w:ascii="Arial" w:hAnsi="Arial" w:cs="Arial"/>
                <w:sz w:val="20"/>
              </w:rPr>
              <w:t>**</w:t>
            </w:r>
          </w:p>
        </w:tc>
      </w:tr>
      <w:tr w:rsidR="002846AF" w:rsidRPr="002846AF" w14:paraId="5AD5C7C9" w14:textId="77777777" w:rsidTr="00C57C2F">
        <w:tc>
          <w:tcPr>
            <w:tcW w:w="4675" w:type="dxa"/>
            <w:tcBorders>
              <w:bottom w:val="single" w:sz="4" w:space="0" w:color="auto"/>
            </w:tcBorders>
          </w:tcPr>
          <w:p w14:paraId="58C60E06" w14:textId="77777777" w:rsidR="002846AF" w:rsidRPr="002846AF" w:rsidRDefault="002846AF" w:rsidP="002846AF">
            <w:pPr>
              <w:pStyle w:val="Body"/>
              <w:rPr>
                <w:rFonts w:ascii="Arial" w:hAnsi="Arial" w:cs="Arial"/>
                <w:sz w:val="20"/>
              </w:rPr>
            </w:pPr>
            <w:r w:rsidRPr="002846AF">
              <w:rPr>
                <w:rFonts w:ascii="Arial" w:hAnsi="Arial" w:cs="Arial"/>
                <w:sz w:val="20"/>
              </w:rPr>
              <w:t>C</w:t>
            </w:r>
          </w:p>
        </w:tc>
        <w:tc>
          <w:tcPr>
            <w:tcW w:w="4675" w:type="dxa"/>
            <w:tcBorders>
              <w:bottom w:val="single" w:sz="4" w:space="0" w:color="auto"/>
            </w:tcBorders>
          </w:tcPr>
          <w:p w14:paraId="4114ED06" w14:textId="77777777" w:rsidR="002846AF" w:rsidRPr="002846AF" w:rsidRDefault="002846AF" w:rsidP="002846AF">
            <w:pPr>
              <w:pStyle w:val="Body"/>
              <w:rPr>
                <w:rFonts w:ascii="Arial" w:hAnsi="Arial" w:cs="Arial"/>
                <w:sz w:val="20"/>
              </w:rPr>
            </w:pPr>
            <w:r w:rsidRPr="002846AF">
              <w:rPr>
                <w:rFonts w:ascii="Arial" w:hAnsi="Arial" w:cs="Arial"/>
                <w:sz w:val="20"/>
              </w:rPr>
              <w:t>5.3530 (0.7726)</w:t>
            </w:r>
          </w:p>
        </w:tc>
      </w:tr>
      <w:tr w:rsidR="002846AF" w:rsidRPr="002846AF" w14:paraId="796C7FF2" w14:textId="77777777" w:rsidTr="00C57C2F">
        <w:trPr>
          <w:trHeight w:val="270"/>
        </w:trPr>
        <w:tc>
          <w:tcPr>
            <w:tcW w:w="9350" w:type="dxa"/>
            <w:gridSpan w:val="2"/>
            <w:tcBorders>
              <w:top w:val="single" w:sz="4" w:space="0" w:color="auto"/>
              <w:bottom w:val="single" w:sz="4" w:space="0" w:color="auto"/>
            </w:tcBorders>
          </w:tcPr>
          <w:p w14:paraId="565E443B" w14:textId="77777777" w:rsidR="002846AF" w:rsidRPr="002846AF" w:rsidRDefault="002846AF" w:rsidP="002846AF">
            <w:pPr>
              <w:pStyle w:val="Body"/>
              <w:rPr>
                <w:rFonts w:ascii="Arial" w:hAnsi="Arial" w:cs="Arial"/>
                <w:b/>
                <w:bCs/>
                <w:sz w:val="20"/>
              </w:rPr>
            </w:pPr>
            <w:r w:rsidRPr="002846AF">
              <w:rPr>
                <w:rFonts w:ascii="Arial" w:hAnsi="Arial" w:cs="Arial"/>
                <w:b/>
                <w:bCs/>
                <w:sz w:val="20"/>
              </w:rPr>
              <w:t>Second Step GMM with Wellbeing as dependent Variable</w:t>
            </w:r>
          </w:p>
        </w:tc>
      </w:tr>
      <w:tr w:rsidR="002846AF" w:rsidRPr="002846AF" w14:paraId="79DA000F" w14:textId="77777777" w:rsidTr="00C57C2F">
        <w:trPr>
          <w:trHeight w:val="15"/>
        </w:trPr>
        <w:tc>
          <w:tcPr>
            <w:tcW w:w="9350" w:type="dxa"/>
            <w:gridSpan w:val="2"/>
            <w:tcBorders>
              <w:top w:val="single" w:sz="4" w:space="0" w:color="auto"/>
            </w:tcBorders>
          </w:tcPr>
          <w:p w14:paraId="52755210" w14:textId="77777777" w:rsidR="002846AF" w:rsidRPr="002846AF" w:rsidRDefault="002846AF" w:rsidP="002846AF">
            <w:pPr>
              <w:pStyle w:val="Body"/>
              <w:rPr>
                <w:rFonts w:ascii="Arial" w:hAnsi="Arial" w:cs="Arial"/>
                <w:b/>
                <w:bCs/>
                <w:sz w:val="20"/>
              </w:rPr>
            </w:pPr>
          </w:p>
        </w:tc>
      </w:tr>
      <w:tr w:rsidR="002846AF" w:rsidRPr="002846AF" w14:paraId="317C89A6" w14:textId="77777777" w:rsidTr="00C57C2F">
        <w:tc>
          <w:tcPr>
            <w:tcW w:w="4675" w:type="dxa"/>
          </w:tcPr>
          <w:p w14:paraId="3B412DE5" w14:textId="77777777" w:rsidR="002846AF" w:rsidRPr="002846AF" w:rsidRDefault="002846AF" w:rsidP="002846AF">
            <w:pPr>
              <w:pStyle w:val="Body"/>
              <w:rPr>
                <w:rFonts w:ascii="Arial" w:hAnsi="Arial" w:cs="Arial"/>
                <w:sz w:val="20"/>
              </w:rPr>
            </w:pPr>
            <w:r w:rsidRPr="002846AF">
              <w:rPr>
                <w:rFonts w:ascii="Arial" w:hAnsi="Arial" w:cs="Arial"/>
                <w:sz w:val="20"/>
              </w:rPr>
              <w:t>D(</w:t>
            </w:r>
            <w:proofErr w:type="spellStart"/>
            <w:r w:rsidRPr="002846AF">
              <w:rPr>
                <w:rFonts w:ascii="Arial" w:hAnsi="Arial" w:cs="Arial"/>
                <w:sz w:val="20"/>
              </w:rPr>
              <w:t>Welb</w:t>
            </w:r>
            <w:proofErr w:type="spellEnd"/>
            <w:r w:rsidRPr="002846AF">
              <w:rPr>
                <w:rFonts w:ascii="Arial" w:hAnsi="Arial" w:cs="Arial"/>
                <w:sz w:val="20"/>
              </w:rPr>
              <w:t>)</w:t>
            </w:r>
          </w:p>
        </w:tc>
        <w:tc>
          <w:tcPr>
            <w:tcW w:w="4675" w:type="dxa"/>
            <w:vAlign w:val="bottom"/>
          </w:tcPr>
          <w:p w14:paraId="4E8A7A24" w14:textId="77777777" w:rsidR="002846AF" w:rsidRPr="002846AF" w:rsidRDefault="002846AF" w:rsidP="002846AF">
            <w:pPr>
              <w:pStyle w:val="Body"/>
              <w:rPr>
                <w:rFonts w:ascii="Arial" w:hAnsi="Arial" w:cs="Arial"/>
                <w:sz w:val="20"/>
              </w:rPr>
            </w:pPr>
            <w:r w:rsidRPr="002846AF">
              <w:rPr>
                <w:rFonts w:ascii="Arial" w:hAnsi="Arial" w:cs="Arial"/>
                <w:sz w:val="20"/>
              </w:rPr>
              <w:t xml:space="preserve"> 0.4804(0.0283) ***</w:t>
            </w:r>
          </w:p>
        </w:tc>
      </w:tr>
      <w:tr w:rsidR="002846AF" w:rsidRPr="002846AF" w14:paraId="549A4485" w14:textId="77777777" w:rsidTr="00C57C2F">
        <w:tc>
          <w:tcPr>
            <w:tcW w:w="4675" w:type="dxa"/>
          </w:tcPr>
          <w:p w14:paraId="11B98597" w14:textId="77777777" w:rsidR="002846AF" w:rsidRPr="002846AF" w:rsidRDefault="002846AF" w:rsidP="002846AF">
            <w:pPr>
              <w:pStyle w:val="Body"/>
              <w:rPr>
                <w:rFonts w:ascii="Arial" w:hAnsi="Arial" w:cs="Arial"/>
                <w:sz w:val="20"/>
              </w:rPr>
            </w:pPr>
            <w:r w:rsidRPr="002846AF">
              <w:rPr>
                <w:rFonts w:ascii="Arial" w:hAnsi="Arial" w:cs="Arial"/>
                <w:sz w:val="20"/>
              </w:rPr>
              <w:t>D(</w:t>
            </w:r>
            <w:proofErr w:type="spellStart"/>
            <w:r w:rsidRPr="002846AF">
              <w:rPr>
                <w:rFonts w:ascii="Arial" w:hAnsi="Arial" w:cs="Arial"/>
                <w:sz w:val="20"/>
              </w:rPr>
              <w:t>Insq</w:t>
            </w:r>
            <w:proofErr w:type="spellEnd"/>
            <w:r w:rsidRPr="002846AF">
              <w:rPr>
                <w:rFonts w:ascii="Arial" w:hAnsi="Arial" w:cs="Arial"/>
                <w:sz w:val="20"/>
              </w:rPr>
              <w:t>)</w:t>
            </w:r>
          </w:p>
        </w:tc>
        <w:tc>
          <w:tcPr>
            <w:tcW w:w="4675" w:type="dxa"/>
            <w:vAlign w:val="bottom"/>
          </w:tcPr>
          <w:p w14:paraId="1546B4FF" w14:textId="1CB8FDCE" w:rsidR="002846AF" w:rsidRPr="002846AF" w:rsidRDefault="002846AF" w:rsidP="002846AF">
            <w:pPr>
              <w:pStyle w:val="Body"/>
              <w:rPr>
                <w:rFonts w:ascii="Arial" w:hAnsi="Arial" w:cs="Arial"/>
                <w:sz w:val="20"/>
              </w:rPr>
            </w:pPr>
            <w:r w:rsidRPr="002846AF">
              <w:rPr>
                <w:rFonts w:ascii="Arial" w:hAnsi="Arial" w:cs="Arial"/>
                <w:sz w:val="20"/>
              </w:rPr>
              <w:t>1.8808 (0.</w:t>
            </w:r>
            <w:r w:rsidR="003003DE">
              <w:rPr>
                <w:rFonts w:ascii="Arial" w:hAnsi="Arial" w:cs="Arial"/>
                <w:sz w:val="20"/>
              </w:rPr>
              <w:t>0</w:t>
            </w:r>
            <w:r w:rsidRPr="002846AF">
              <w:rPr>
                <w:rFonts w:ascii="Arial" w:hAnsi="Arial" w:cs="Arial"/>
                <w:sz w:val="20"/>
              </w:rPr>
              <w:t>519)</w:t>
            </w:r>
            <w:r w:rsidR="003003DE">
              <w:rPr>
                <w:rFonts w:ascii="Arial" w:hAnsi="Arial" w:cs="Arial"/>
                <w:sz w:val="20"/>
              </w:rPr>
              <w:t>**</w:t>
            </w:r>
          </w:p>
        </w:tc>
      </w:tr>
      <w:tr w:rsidR="002846AF" w:rsidRPr="002846AF" w14:paraId="21F65037" w14:textId="77777777" w:rsidTr="00C57C2F">
        <w:tc>
          <w:tcPr>
            <w:tcW w:w="4675" w:type="dxa"/>
          </w:tcPr>
          <w:p w14:paraId="3D4390C3" w14:textId="77777777" w:rsidR="002846AF" w:rsidRPr="002846AF" w:rsidRDefault="002846AF" w:rsidP="002846AF">
            <w:pPr>
              <w:pStyle w:val="Body"/>
              <w:rPr>
                <w:rFonts w:ascii="Arial" w:hAnsi="Arial" w:cs="Arial"/>
                <w:sz w:val="20"/>
              </w:rPr>
            </w:pPr>
            <w:r w:rsidRPr="002846AF">
              <w:rPr>
                <w:rFonts w:ascii="Arial" w:hAnsi="Arial" w:cs="Arial"/>
                <w:sz w:val="20"/>
              </w:rPr>
              <w:t>D(</w:t>
            </w:r>
            <w:proofErr w:type="spellStart"/>
            <w:r w:rsidRPr="002846AF">
              <w:rPr>
                <w:rFonts w:ascii="Arial" w:hAnsi="Arial" w:cs="Arial"/>
                <w:sz w:val="20"/>
              </w:rPr>
              <w:t>LnExcr</w:t>
            </w:r>
            <w:proofErr w:type="spellEnd"/>
            <w:r w:rsidRPr="002846AF">
              <w:rPr>
                <w:rFonts w:ascii="Arial" w:hAnsi="Arial" w:cs="Arial"/>
                <w:sz w:val="20"/>
              </w:rPr>
              <w:t>)</w:t>
            </w:r>
          </w:p>
        </w:tc>
        <w:tc>
          <w:tcPr>
            <w:tcW w:w="4675" w:type="dxa"/>
            <w:vAlign w:val="bottom"/>
          </w:tcPr>
          <w:p w14:paraId="641558A3" w14:textId="77777777" w:rsidR="002846AF" w:rsidRPr="002846AF" w:rsidRDefault="002846AF" w:rsidP="002846AF">
            <w:pPr>
              <w:pStyle w:val="Body"/>
              <w:rPr>
                <w:rFonts w:ascii="Arial" w:hAnsi="Arial" w:cs="Arial"/>
                <w:sz w:val="20"/>
              </w:rPr>
            </w:pPr>
            <w:r w:rsidRPr="002846AF">
              <w:rPr>
                <w:rFonts w:ascii="Arial" w:hAnsi="Arial" w:cs="Arial"/>
                <w:sz w:val="20"/>
              </w:rPr>
              <w:t>0.7458 (0.6481)</w:t>
            </w:r>
          </w:p>
        </w:tc>
      </w:tr>
      <w:tr w:rsidR="002846AF" w:rsidRPr="002846AF" w14:paraId="750D254E" w14:textId="77777777" w:rsidTr="00C57C2F">
        <w:tc>
          <w:tcPr>
            <w:tcW w:w="4675" w:type="dxa"/>
          </w:tcPr>
          <w:p w14:paraId="01701025" w14:textId="77777777" w:rsidR="002846AF" w:rsidRPr="002846AF" w:rsidRDefault="002846AF" w:rsidP="002846AF">
            <w:pPr>
              <w:pStyle w:val="Body"/>
              <w:rPr>
                <w:rFonts w:ascii="Arial" w:hAnsi="Arial" w:cs="Arial"/>
                <w:sz w:val="20"/>
              </w:rPr>
            </w:pPr>
            <w:r w:rsidRPr="002846AF">
              <w:rPr>
                <w:rFonts w:ascii="Arial" w:hAnsi="Arial" w:cs="Arial"/>
                <w:sz w:val="20"/>
              </w:rPr>
              <w:t>D(Ln(</w:t>
            </w:r>
            <w:proofErr w:type="spellStart"/>
            <w:r w:rsidRPr="002846AF">
              <w:rPr>
                <w:rFonts w:ascii="Arial" w:hAnsi="Arial" w:cs="Arial"/>
                <w:sz w:val="20"/>
              </w:rPr>
              <w:t>Gdpc</w:t>
            </w:r>
            <w:proofErr w:type="spellEnd"/>
            <w:r w:rsidRPr="002846AF">
              <w:rPr>
                <w:rFonts w:ascii="Arial" w:hAnsi="Arial" w:cs="Arial"/>
                <w:sz w:val="20"/>
              </w:rPr>
              <w:t>)</w:t>
            </w:r>
          </w:p>
        </w:tc>
        <w:tc>
          <w:tcPr>
            <w:tcW w:w="4675" w:type="dxa"/>
            <w:vAlign w:val="bottom"/>
          </w:tcPr>
          <w:p w14:paraId="43281DD4" w14:textId="77777777" w:rsidR="002846AF" w:rsidRPr="002846AF" w:rsidRDefault="002846AF" w:rsidP="002846AF">
            <w:pPr>
              <w:pStyle w:val="Body"/>
              <w:rPr>
                <w:rFonts w:ascii="Arial" w:hAnsi="Arial" w:cs="Arial"/>
                <w:sz w:val="20"/>
              </w:rPr>
            </w:pPr>
            <w:r w:rsidRPr="002846AF">
              <w:rPr>
                <w:rFonts w:ascii="Arial" w:hAnsi="Arial" w:cs="Arial"/>
                <w:sz w:val="20"/>
              </w:rPr>
              <w:t>-0.3529 (0.6910)</w:t>
            </w:r>
          </w:p>
        </w:tc>
      </w:tr>
      <w:tr w:rsidR="002846AF" w:rsidRPr="002846AF" w14:paraId="7C089D1F" w14:textId="77777777" w:rsidTr="00C57C2F">
        <w:tc>
          <w:tcPr>
            <w:tcW w:w="4675" w:type="dxa"/>
          </w:tcPr>
          <w:p w14:paraId="145D1E18" w14:textId="77777777" w:rsidR="002846AF" w:rsidRPr="002846AF" w:rsidRDefault="002846AF" w:rsidP="002846AF">
            <w:pPr>
              <w:pStyle w:val="Body"/>
              <w:rPr>
                <w:rFonts w:ascii="Arial" w:hAnsi="Arial" w:cs="Arial"/>
                <w:sz w:val="20"/>
              </w:rPr>
            </w:pPr>
            <w:r w:rsidRPr="002846AF">
              <w:rPr>
                <w:rFonts w:ascii="Arial" w:hAnsi="Arial" w:cs="Arial"/>
                <w:sz w:val="20"/>
              </w:rPr>
              <w:t>D(</w:t>
            </w:r>
            <w:proofErr w:type="spellStart"/>
            <w:r w:rsidRPr="002846AF">
              <w:rPr>
                <w:rFonts w:ascii="Arial" w:hAnsi="Arial" w:cs="Arial"/>
                <w:sz w:val="20"/>
              </w:rPr>
              <w:t>LnOprs</w:t>
            </w:r>
            <w:proofErr w:type="spellEnd"/>
            <w:r w:rsidRPr="002846AF">
              <w:rPr>
                <w:rFonts w:ascii="Arial" w:hAnsi="Arial" w:cs="Arial"/>
                <w:sz w:val="20"/>
              </w:rPr>
              <w:t>)</w:t>
            </w:r>
          </w:p>
        </w:tc>
        <w:tc>
          <w:tcPr>
            <w:tcW w:w="4675" w:type="dxa"/>
            <w:vAlign w:val="bottom"/>
          </w:tcPr>
          <w:p w14:paraId="535842D4" w14:textId="77777777" w:rsidR="002846AF" w:rsidRPr="002846AF" w:rsidRDefault="002846AF" w:rsidP="002846AF">
            <w:pPr>
              <w:pStyle w:val="Body"/>
              <w:rPr>
                <w:rFonts w:ascii="Arial" w:hAnsi="Arial" w:cs="Arial"/>
                <w:sz w:val="20"/>
              </w:rPr>
            </w:pPr>
            <w:r w:rsidRPr="002846AF">
              <w:rPr>
                <w:rFonts w:ascii="Arial" w:hAnsi="Arial" w:cs="Arial"/>
                <w:sz w:val="20"/>
              </w:rPr>
              <w:t>0.10673 (0.6556)</w:t>
            </w:r>
          </w:p>
        </w:tc>
      </w:tr>
      <w:tr w:rsidR="002846AF" w:rsidRPr="002846AF" w14:paraId="76450B61" w14:textId="77777777" w:rsidTr="00C57C2F">
        <w:tc>
          <w:tcPr>
            <w:tcW w:w="4675" w:type="dxa"/>
          </w:tcPr>
          <w:p w14:paraId="7180B3DB" w14:textId="77777777" w:rsidR="002846AF" w:rsidRPr="002846AF" w:rsidRDefault="002846AF" w:rsidP="002846AF">
            <w:pPr>
              <w:pStyle w:val="Body"/>
              <w:rPr>
                <w:rFonts w:ascii="Arial" w:hAnsi="Arial" w:cs="Arial"/>
                <w:sz w:val="20"/>
              </w:rPr>
            </w:pPr>
            <w:r w:rsidRPr="002846AF">
              <w:rPr>
                <w:rFonts w:ascii="Arial" w:hAnsi="Arial" w:cs="Arial"/>
                <w:sz w:val="20"/>
              </w:rPr>
              <w:t>C</w:t>
            </w:r>
          </w:p>
        </w:tc>
        <w:tc>
          <w:tcPr>
            <w:tcW w:w="4675" w:type="dxa"/>
          </w:tcPr>
          <w:p w14:paraId="7180D3AA" w14:textId="77777777" w:rsidR="002846AF" w:rsidRPr="002846AF" w:rsidRDefault="002846AF" w:rsidP="002846AF">
            <w:pPr>
              <w:pStyle w:val="Body"/>
              <w:rPr>
                <w:rFonts w:ascii="Arial" w:hAnsi="Arial" w:cs="Arial"/>
                <w:sz w:val="20"/>
              </w:rPr>
            </w:pPr>
            <w:r w:rsidRPr="002846AF">
              <w:rPr>
                <w:rFonts w:ascii="Arial" w:hAnsi="Arial" w:cs="Arial"/>
                <w:sz w:val="20"/>
              </w:rPr>
              <w:t xml:space="preserve"> -0.00439 (0.8959)</w:t>
            </w:r>
          </w:p>
        </w:tc>
      </w:tr>
      <w:tr w:rsidR="002846AF" w:rsidRPr="002846AF" w14:paraId="12781FC6" w14:textId="77777777" w:rsidTr="00C57C2F">
        <w:tc>
          <w:tcPr>
            <w:tcW w:w="4675" w:type="dxa"/>
            <w:tcBorders>
              <w:bottom w:val="single" w:sz="4" w:space="0" w:color="auto"/>
            </w:tcBorders>
          </w:tcPr>
          <w:p w14:paraId="51D2745C" w14:textId="1C19DFE9" w:rsidR="002846AF" w:rsidRPr="002846AF" w:rsidRDefault="00FC479F" w:rsidP="002846AF">
            <w:pPr>
              <w:pStyle w:val="Body"/>
              <w:rPr>
                <w:rFonts w:ascii="Arial" w:hAnsi="Arial" w:cs="Arial"/>
                <w:sz w:val="20"/>
              </w:rPr>
            </w:pPr>
            <w:r>
              <w:rPr>
                <w:rFonts w:ascii="Arial" w:hAnsi="Arial" w:cs="Arial"/>
                <w:sz w:val="20"/>
              </w:rPr>
              <w:t xml:space="preserve">AR(1) 3.7&lt;(0.05); </w:t>
            </w:r>
            <w:r w:rsidR="002846AF" w:rsidRPr="002846AF">
              <w:rPr>
                <w:rFonts w:ascii="Arial" w:hAnsi="Arial" w:cs="Arial"/>
                <w:sz w:val="20"/>
              </w:rPr>
              <w:t>AR(2) 7.27 &gt; (0.05)</w:t>
            </w:r>
          </w:p>
        </w:tc>
        <w:tc>
          <w:tcPr>
            <w:tcW w:w="4675" w:type="dxa"/>
            <w:tcBorders>
              <w:bottom w:val="single" w:sz="4" w:space="0" w:color="auto"/>
            </w:tcBorders>
          </w:tcPr>
          <w:p w14:paraId="11C6CB76" w14:textId="2197CB51" w:rsidR="002846AF" w:rsidRPr="002846AF" w:rsidRDefault="002846AF" w:rsidP="002846AF">
            <w:pPr>
              <w:pStyle w:val="Body"/>
              <w:rPr>
                <w:rFonts w:ascii="Arial" w:hAnsi="Arial" w:cs="Arial"/>
                <w:sz w:val="20"/>
              </w:rPr>
            </w:pPr>
            <w:r w:rsidRPr="002846AF">
              <w:rPr>
                <w:rFonts w:ascii="Arial" w:hAnsi="Arial" w:cs="Arial"/>
                <w:sz w:val="20"/>
              </w:rPr>
              <w:t>J-Stat. 15.07  (Prob) 0.4</w:t>
            </w:r>
          </w:p>
        </w:tc>
      </w:tr>
    </w:tbl>
    <w:p w14:paraId="2567A15C" w14:textId="75E07919" w:rsidR="002846AF" w:rsidRPr="002846AF" w:rsidRDefault="002846AF" w:rsidP="002846AF">
      <w:pPr>
        <w:pStyle w:val="Body"/>
        <w:rPr>
          <w:rFonts w:ascii="Arial" w:hAnsi="Arial" w:cs="Arial"/>
        </w:rPr>
      </w:pPr>
      <w:r w:rsidRPr="002846AF">
        <w:rPr>
          <w:rFonts w:ascii="Arial" w:hAnsi="Arial" w:cs="Arial"/>
          <w:b/>
          <w:bCs/>
        </w:rPr>
        <w:t>Notes</w:t>
      </w:r>
      <w:r w:rsidRPr="002846AF">
        <w:rPr>
          <w:rFonts w:ascii="Arial" w:hAnsi="Arial" w:cs="Arial"/>
        </w:rPr>
        <w:t>: ***</w:t>
      </w:r>
      <w:r w:rsidR="00C8014F">
        <w:rPr>
          <w:rFonts w:ascii="Arial" w:hAnsi="Arial" w:cs="Arial"/>
        </w:rPr>
        <w:t xml:space="preserve"> = 5% significant level</w:t>
      </w:r>
      <w:proofErr w:type="gramStart"/>
      <w:r w:rsidR="00C8014F">
        <w:rPr>
          <w:rFonts w:ascii="Arial" w:hAnsi="Arial" w:cs="Arial"/>
        </w:rPr>
        <w:t>,*</w:t>
      </w:r>
      <w:proofErr w:type="gramEnd"/>
      <w:r w:rsidR="00C8014F">
        <w:rPr>
          <w:rFonts w:ascii="Arial" w:hAnsi="Arial" w:cs="Arial"/>
        </w:rPr>
        <w:t>*= 10</w:t>
      </w:r>
      <w:r w:rsidRPr="002846AF">
        <w:rPr>
          <w:rFonts w:ascii="Arial" w:hAnsi="Arial" w:cs="Arial"/>
        </w:rPr>
        <w:t xml:space="preserve"> significant levels; p-values are reported in parenthesis.</w:t>
      </w:r>
    </w:p>
    <w:p w14:paraId="13A60344" w14:textId="77777777" w:rsidR="002846AF" w:rsidRPr="002846AF" w:rsidRDefault="002846AF" w:rsidP="002846AF">
      <w:pPr>
        <w:pStyle w:val="Body"/>
        <w:rPr>
          <w:rFonts w:ascii="Arial" w:hAnsi="Arial" w:cs="Arial"/>
        </w:rPr>
      </w:pPr>
      <w:r w:rsidRPr="002846AF">
        <w:rPr>
          <w:rFonts w:ascii="Arial" w:hAnsi="Arial" w:cs="Arial"/>
        </w:rPr>
        <w:t>Source: Authors' regression Output</w:t>
      </w:r>
      <w:bookmarkEnd w:id="20"/>
    </w:p>
    <w:p w14:paraId="62D80E0F" w14:textId="77777777" w:rsidR="002846AF" w:rsidRPr="002846AF" w:rsidRDefault="002846AF" w:rsidP="002846AF">
      <w:pPr>
        <w:pStyle w:val="Body"/>
        <w:spacing w:after="0"/>
        <w:rPr>
          <w:rFonts w:ascii="Arial" w:hAnsi="Arial" w:cs="Arial"/>
        </w:rPr>
      </w:pPr>
    </w:p>
    <w:p w14:paraId="15A044CC" w14:textId="77777777" w:rsidR="002846AF" w:rsidRPr="002846AF" w:rsidRDefault="002846AF" w:rsidP="002846AF">
      <w:pPr>
        <w:pStyle w:val="Body"/>
        <w:spacing w:after="0"/>
        <w:rPr>
          <w:rFonts w:ascii="Arial" w:hAnsi="Arial" w:cs="Arial"/>
        </w:rPr>
      </w:pPr>
    </w:p>
    <w:p w14:paraId="407BF670" w14:textId="7D7895F8" w:rsidR="002846AF" w:rsidRPr="002846AF" w:rsidRDefault="002846AF" w:rsidP="002846AF">
      <w:pPr>
        <w:pStyle w:val="Body"/>
        <w:spacing w:after="0"/>
        <w:rPr>
          <w:rFonts w:ascii="Arial" w:hAnsi="Arial" w:cs="Arial"/>
        </w:rPr>
      </w:pPr>
      <w:r w:rsidRPr="002846AF">
        <w:rPr>
          <w:rFonts w:ascii="Arial" w:hAnsi="Arial" w:cs="Arial"/>
        </w:rPr>
        <w:t xml:space="preserve">The GMM post-estimation tests from Table 5 show that the moment conditions are correctly specified. </w:t>
      </w:r>
      <w:r w:rsidR="00FA2FC2">
        <w:rPr>
          <w:rFonts w:ascii="Arial" w:hAnsi="Arial" w:cs="Arial"/>
        </w:rPr>
        <w:t xml:space="preserve">The </w:t>
      </w:r>
      <w:proofErr w:type="gramStart"/>
      <w:r w:rsidR="00FA2FC2">
        <w:rPr>
          <w:rFonts w:ascii="Arial" w:hAnsi="Arial" w:cs="Arial"/>
        </w:rPr>
        <w:t>AR(</w:t>
      </w:r>
      <w:proofErr w:type="gramEnd"/>
      <w:r w:rsidR="00FA2FC2">
        <w:rPr>
          <w:rFonts w:ascii="Arial" w:hAnsi="Arial" w:cs="Arial"/>
        </w:rPr>
        <w:t xml:space="preserve">1) of 3.7 is statistically significant which is a prerequisite condition and the AR(2) is not statistically significant. </w:t>
      </w:r>
      <w:r w:rsidRPr="002846AF">
        <w:rPr>
          <w:rFonts w:ascii="Arial" w:hAnsi="Arial" w:cs="Arial"/>
        </w:rPr>
        <w:t xml:space="preserve">Hence, there are no second-order serial correlations. For the overidentifying restrictions, </w:t>
      </w:r>
      <w:r w:rsidR="00FA2FC2">
        <w:rPr>
          <w:rFonts w:ascii="Arial" w:hAnsi="Arial" w:cs="Arial"/>
        </w:rPr>
        <w:t>the J-Stat of 15.07</w:t>
      </w:r>
      <w:r w:rsidRPr="002846AF">
        <w:rPr>
          <w:rFonts w:ascii="Arial" w:hAnsi="Arial" w:cs="Arial"/>
        </w:rPr>
        <w:t xml:space="preserve"> further supports our choice of instruments</w:t>
      </w:r>
      <w:r w:rsidR="00FA2FC2">
        <w:rPr>
          <w:rFonts w:ascii="Arial" w:hAnsi="Arial" w:cs="Arial"/>
        </w:rPr>
        <w:t>. Thus,</w:t>
      </w:r>
      <w:r w:rsidRPr="002846AF">
        <w:rPr>
          <w:rFonts w:ascii="Arial" w:hAnsi="Arial" w:cs="Arial"/>
        </w:rPr>
        <w:t xml:space="preserve"> </w:t>
      </w:r>
      <w:r w:rsidR="00FA2FC2" w:rsidRPr="00FA2FC2">
        <w:rPr>
          <w:rFonts w:ascii="Arial" w:hAnsi="Arial" w:cs="Arial"/>
        </w:rPr>
        <w:t>we fail to reject the null that instruments are exogenous</w:t>
      </w:r>
      <w:r w:rsidR="00FA2FC2">
        <w:rPr>
          <w:rFonts w:ascii="Arial" w:hAnsi="Arial" w:cs="Arial"/>
        </w:rPr>
        <w:t>.</w:t>
      </w:r>
      <w:r w:rsidR="00E97185" w:rsidRPr="00E97185">
        <w:rPr>
          <w:rFonts w:ascii="Arial" w:hAnsi="Arial" w:cs="Arial"/>
        </w:rPr>
        <w:t xml:space="preserve"> </w:t>
      </w:r>
      <w:proofErr w:type="spellStart"/>
      <w:r w:rsidR="00E97185" w:rsidRPr="00E97185">
        <w:rPr>
          <w:rFonts w:ascii="Arial" w:hAnsi="Arial" w:cs="Arial"/>
        </w:rPr>
        <w:t>Insq</w:t>
      </w:r>
      <w:proofErr w:type="spellEnd"/>
      <w:r w:rsidR="00E97185" w:rsidRPr="00E97185">
        <w:rPr>
          <w:rFonts w:ascii="Arial" w:hAnsi="Arial" w:cs="Arial"/>
        </w:rPr>
        <w:t xml:space="preserve"> and </w:t>
      </w:r>
      <w:proofErr w:type="spellStart"/>
      <w:r w:rsidR="00E97185" w:rsidRPr="00E97185">
        <w:rPr>
          <w:rFonts w:ascii="Arial" w:hAnsi="Arial" w:cs="Arial"/>
        </w:rPr>
        <w:t>LnOprs</w:t>
      </w:r>
      <w:proofErr w:type="spellEnd"/>
      <w:r w:rsidR="00E97185">
        <w:rPr>
          <w:rFonts w:ascii="Arial" w:hAnsi="Arial" w:cs="Arial"/>
        </w:rPr>
        <w:t xml:space="preserve"> are statistically </w:t>
      </w:r>
      <w:r w:rsidR="00E97185" w:rsidRPr="00E97185">
        <w:rPr>
          <w:rFonts w:ascii="Arial" w:hAnsi="Arial" w:cs="Arial"/>
        </w:rPr>
        <w:t>significance at the 10% level.</w:t>
      </w:r>
      <w:r w:rsidR="00E97185">
        <w:rPr>
          <w:rFonts w:ascii="Arial" w:hAnsi="Arial" w:cs="Arial"/>
        </w:rPr>
        <w:t xml:space="preserve"> These findings</w:t>
      </w:r>
      <w:r w:rsidRPr="002846AF">
        <w:rPr>
          <w:rFonts w:ascii="Arial" w:hAnsi="Arial" w:cs="Arial"/>
        </w:rPr>
        <w:t xml:space="preserve"> reveal a</w:t>
      </w:r>
      <w:r w:rsidR="00E97185">
        <w:rPr>
          <w:rFonts w:ascii="Arial" w:hAnsi="Arial" w:cs="Arial"/>
        </w:rPr>
        <w:t xml:space="preserve"> weak</w:t>
      </w:r>
      <w:r w:rsidRPr="002846AF">
        <w:rPr>
          <w:rFonts w:ascii="Arial" w:hAnsi="Arial" w:cs="Arial"/>
        </w:rPr>
        <w:t xml:space="preserve"> significant increase in people’s well-being with increased oil prices and institutional quality in the long run. </w:t>
      </w:r>
      <w:r w:rsidR="00E97185">
        <w:rPr>
          <w:rFonts w:ascii="Arial" w:hAnsi="Arial" w:cs="Arial"/>
        </w:rPr>
        <w:t xml:space="preserve">There is also </w:t>
      </w:r>
      <w:r w:rsidRPr="002846AF">
        <w:rPr>
          <w:rFonts w:ascii="Arial" w:hAnsi="Arial" w:cs="Arial"/>
        </w:rPr>
        <w:t xml:space="preserve">an insignificant decrease in well-being with increased exchange rates and people’s income. </w:t>
      </w:r>
    </w:p>
    <w:p w14:paraId="6EAA0698" w14:textId="29C8796B" w:rsidR="002846AF" w:rsidRPr="002846AF" w:rsidRDefault="00E97185" w:rsidP="002846AF">
      <w:pPr>
        <w:pStyle w:val="Body"/>
        <w:spacing w:after="0"/>
        <w:rPr>
          <w:rFonts w:ascii="Arial" w:hAnsi="Arial" w:cs="Arial"/>
        </w:rPr>
      </w:pPr>
      <w:r>
        <w:rPr>
          <w:rFonts w:ascii="Arial" w:hAnsi="Arial" w:cs="Arial"/>
        </w:rPr>
        <w:t>I</w:t>
      </w:r>
      <w:r w:rsidR="002846AF" w:rsidRPr="002846AF">
        <w:rPr>
          <w:rFonts w:ascii="Arial" w:hAnsi="Arial" w:cs="Arial"/>
        </w:rPr>
        <w:t>n the short run</w:t>
      </w:r>
      <w:r>
        <w:rPr>
          <w:rFonts w:ascii="Arial" w:hAnsi="Arial" w:cs="Arial"/>
        </w:rPr>
        <w:t>, institutional quality is statistically significant at 10 level while wellbeing is statistically significant at 5 percent level</w:t>
      </w:r>
      <w:r w:rsidR="00C8014F">
        <w:rPr>
          <w:rFonts w:ascii="Arial" w:hAnsi="Arial" w:cs="Arial"/>
        </w:rPr>
        <w:t xml:space="preserve"> showing that</w:t>
      </w:r>
      <w:r w:rsidR="002846AF" w:rsidRPr="002846AF">
        <w:rPr>
          <w:rFonts w:ascii="Arial" w:hAnsi="Arial" w:cs="Arial"/>
        </w:rPr>
        <w:t xml:space="preserve"> wellbeing significantly reinforce</w:t>
      </w:r>
      <w:r w:rsidR="00C8014F">
        <w:rPr>
          <w:rFonts w:ascii="Arial" w:hAnsi="Arial" w:cs="Arial"/>
        </w:rPr>
        <w:t>s</w:t>
      </w:r>
      <w:r w:rsidR="002846AF" w:rsidRPr="002846AF">
        <w:rPr>
          <w:rFonts w:ascii="Arial" w:hAnsi="Arial" w:cs="Arial"/>
        </w:rPr>
        <w:t xml:space="preserve"> itself. </w:t>
      </w:r>
      <w:r w:rsidR="00C8014F">
        <w:rPr>
          <w:rFonts w:ascii="Arial" w:hAnsi="Arial" w:cs="Arial"/>
        </w:rPr>
        <w:t>The short run result further shows that a</w:t>
      </w:r>
      <w:r w:rsidR="002846AF" w:rsidRPr="002846AF">
        <w:rPr>
          <w:rFonts w:ascii="Arial" w:hAnsi="Arial" w:cs="Arial"/>
        </w:rPr>
        <w:t xml:space="preserve">n increase in oil price, </w:t>
      </w:r>
      <w:r w:rsidR="002846AF" w:rsidRPr="002846AF">
        <w:rPr>
          <w:rFonts w:ascii="Arial" w:hAnsi="Arial" w:cs="Arial"/>
        </w:rPr>
        <w:lastRenderedPageBreak/>
        <w:t>institutional quality and exchange rate ha</w:t>
      </w:r>
      <w:r w:rsidR="00C8014F">
        <w:rPr>
          <w:rFonts w:ascii="Arial" w:hAnsi="Arial" w:cs="Arial"/>
        </w:rPr>
        <w:t>ve</w:t>
      </w:r>
      <w:r w:rsidR="002846AF" w:rsidRPr="002846AF">
        <w:rPr>
          <w:rFonts w:ascii="Arial" w:hAnsi="Arial" w:cs="Arial"/>
        </w:rPr>
        <w:t xml:space="preserve"> an insignificant </w:t>
      </w:r>
      <w:r w:rsidR="00C8014F">
        <w:rPr>
          <w:rFonts w:ascii="Arial" w:hAnsi="Arial" w:cs="Arial"/>
        </w:rPr>
        <w:t>positive</w:t>
      </w:r>
      <w:r w:rsidR="002846AF" w:rsidRPr="002846AF">
        <w:rPr>
          <w:rFonts w:ascii="Arial" w:hAnsi="Arial" w:cs="Arial"/>
        </w:rPr>
        <w:t xml:space="preserve"> effect on well-being while an increase in people’s income has an insignificant </w:t>
      </w:r>
      <w:r w:rsidR="00C8014F">
        <w:rPr>
          <w:rFonts w:ascii="Arial" w:hAnsi="Arial" w:cs="Arial"/>
        </w:rPr>
        <w:t>negative</w:t>
      </w:r>
      <w:r w:rsidR="002846AF" w:rsidRPr="002846AF">
        <w:rPr>
          <w:rFonts w:ascii="Arial" w:hAnsi="Arial" w:cs="Arial"/>
        </w:rPr>
        <w:t xml:space="preserve"> impact on well-being. </w:t>
      </w:r>
    </w:p>
    <w:p w14:paraId="0BCBE23E" w14:textId="77777777" w:rsidR="002846AF" w:rsidRPr="002846AF" w:rsidRDefault="002846AF" w:rsidP="002846AF">
      <w:pPr>
        <w:pStyle w:val="Body"/>
        <w:spacing w:after="0"/>
        <w:rPr>
          <w:rFonts w:ascii="Arial" w:hAnsi="Arial" w:cs="Arial"/>
          <w:b/>
          <w:bCs/>
        </w:rPr>
      </w:pPr>
      <w:r w:rsidRPr="002846AF">
        <w:rPr>
          <w:rFonts w:ascii="Arial" w:hAnsi="Arial" w:cs="Arial"/>
          <w:b/>
          <w:bCs/>
        </w:rPr>
        <w:t xml:space="preserve"> Discussion of Findings</w:t>
      </w:r>
    </w:p>
    <w:p w14:paraId="27B32317" w14:textId="77777777" w:rsidR="002846AF" w:rsidRPr="002846AF" w:rsidRDefault="002846AF" w:rsidP="002846AF">
      <w:pPr>
        <w:pStyle w:val="Body"/>
        <w:spacing w:after="0"/>
        <w:rPr>
          <w:rFonts w:ascii="Arial" w:hAnsi="Arial" w:cs="Arial"/>
        </w:rPr>
      </w:pPr>
      <w:r w:rsidRPr="002846AF">
        <w:rPr>
          <w:rFonts w:ascii="Arial" w:hAnsi="Arial" w:cs="Arial"/>
        </w:rPr>
        <w:t xml:space="preserve">Bearing in mind that oil price impacts people’s well-being via some transmission mechanisms, the empirical outcomes corroborate the submissions of Abiodun et al (2020) who found a positive and significant relationship between Oil revenue and well-being in Nigeria. The findings also align with Al Sabah et al (2016) who stated that oil price increase sustained standard of living in Kuwait and Nwosu et al (2019) who found a positive relationship between increase in oil price and industrial production in Nigeria. Besides, Seun and Chijioke (2019) found that oil price significantly increased happiness in Nigeria while </w:t>
      </w:r>
      <w:proofErr w:type="spellStart"/>
      <w:r w:rsidRPr="002846AF">
        <w:rPr>
          <w:rFonts w:ascii="Arial" w:hAnsi="Arial" w:cs="Arial"/>
        </w:rPr>
        <w:t>Mamipour</w:t>
      </w:r>
      <w:proofErr w:type="spellEnd"/>
      <w:r w:rsidRPr="002846AF">
        <w:rPr>
          <w:rFonts w:ascii="Arial" w:hAnsi="Arial" w:cs="Arial"/>
        </w:rPr>
        <w:t xml:space="preserve"> et al (2022) found that oil price is the strongest exogenous factor that affects stock market turbulence in Iran. On the other hand, this study is at variance with the submissions of Vuong et al (2024) whose findings indicates a negative corporate profitability given oil price uncertainty and Carbone and Mckenzie (2016) who found that a 10 per cent decrease in oil price reduced people’s welfare by 90 per cent. </w:t>
      </w:r>
    </w:p>
    <w:p w14:paraId="1E55F689" w14:textId="50B31D70" w:rsidR="002846AF" w:rsidRPr="002846AF" w:rsidRDefault="002846AF" w:rsidP="002846AF">
      <w:pPr>
        <w:pStyle w:val="Body"/>
        <w:spacing w:after="0"/>
        <w:rPr>
          <w:rFonts w:ascii="Arial" w:hAnsi="Arial" w:cs="Arial"/>
        </w:rPr>
      </w:pPr>
      <w:r w:rsidRPr="002846AF">
        <w:rPr>
          <w:rFonts w:ascii="Arial" w:hAnsi="Arial" w:cs="Arial"/>
        </w:rPr>
        <w:t xml:space="preserve">The </w:t>
      </w:r>
      <w:r w:rsidR="00C8014F">
        <w:rPr>
          <w:rFonts w:ascii="Arial" w:hAnsi="Arial" w:cs="Arial"/>
        </w:rPr>
        <w:t>weak</w:t>
      </w:r>
      <w:r w:rsidRPr="002846AF">
        <w:rPr>
          <w:rFonts w:ascii="Arial" w:hAnsi="Arial" w:cs="Arial"/>
        </w:rPr>
        <w:t xml:space="preserve"> impact of oil prices on the well-being of oil-producing countries is justified by the low magnitude. The 25 per cent and 11 per cent improvement in the long and short run respectively implies that oil price is not a major determinant of well-being in those countries. The reason could be attributed to price instability and decrease in price between 2009 and 2022. Oil prices had remained below $100 per barrel and fluctuated between $67 and $94. Low oil prices can reduce the oil revenue of oil-producing countries and consequently reduce welfare </w:t>
      </w:r>
      <w:proofErr w:type="spellStart"/>
      <w:r w:rsidRPr="002846AF">
        <w:rPr>
          <w:rFonts w:ascii="Arial" w:hAnsi="Arial" w:cs="Arial"/>
        </w:rPr>
        <w:t>programmes</w:t>
      </w:r>
      <w:proofErr w:type="spellEnd"/>
      <w:r w:rsidRPr="002846AF">
        <w:rPr>
          <w:rFonts w:ascii="Arial" w:hAnsi="Arial" w:cs="Arial"/>
        </w:rPr>
        <w:t xml:space="preserve"> and packages. Directing oil revenue to none socio-economic </w:t>
      </w:r>
      <w:proofErr w:type="spellStart"/>
      <w:r w:rsidRPr="002846AF">
        <w:rPr>
          <w:rFonts w:ascii="Arial" w:hAnsi="Arial" w:cs="Arial"/>
        </w:rPr>
        <w:t>programmes</w:t>
      </w:r>
      <w:proofErr w:type="spellEnd"/>
      <w:r w:rsidRPr="002846AF">
        <w:rPr>
          <w:rFonts w:ascii="Arial" w:hAnsi="Arial" w:cs="Arial"/>
        </w:rPr>
        <w:t xml:space="preserve"> such as health, employment, political and deadweight projects and </w:t>
      </w:r>
      <w:proofErr w:type="spellStart"/>
      <w:r w:rsidRPr="002846AF">
        <w:rPr>
          <w:rFonts w:ascii="Arial" w:hAnsi="Arial" w:cs="Arial"/>
        </w:rPr>
        <w:t>programmes</w:t>
      </w:r>
      <w:proofErr w:type="spellEnd"/>
      <w:r w:rsidRPr="002846AF">
        <w:rPr>
          <w:rFonts w:ascii="Arial" w:hAnsi="Arial" w:cs="Arial"/>
        </w:rPr>
        <w:t xml:space="preserve"> can also contribute to the insignificant impact of oil prices on wellbeing.</w:t>
      </w:r>
    </w:p>
    <w:p w14:paraId="62DF9CB1" w14:textId="6F1D22B2" w:rsidR="002846AF" w:rsidRPr="002846AF" w:rsidRDefault="002846AF" w:rsidP="002846AF">
      <w:pPr>
        <w:pStyle w:val="Body"/>
        <w:spacing w:after="0"/>
        <w:rPr>
          <w:rFonts w:ascii="Arial" w:hAnsi="Arial" w:cs="Arial"/>
        </w:rPr>
      </w:pPr>
      <w:r w:rsidRPr="002846AF">
        <w:rPr>
          <w:rFonts w:ascii="Arial" w:hAnsi="Arial" w:cs="Arial"/>
        </w:rPr>
        <w:t xml:space="preserve">For institutional quality, the outcome of this study is expected and in tandem with Henri (2019) who found governance quality to have improved happiness in 31 countries of Africa. Haung (2016) found in a total of 101 countries a positive and significant relationship between domestic quality and happiness in developed countries and insignificant relations in developing countries. The </w:t>
      </w:r>
      <w:r w:rsidR="00C8014F">
        <w:rPr>
          <w:rFonts w:ascii="Arial" w:hAnsi="Arial" w:cs="Arial"/>
        </w:rPr>
        <w:t>weak impact</w:t>
      </w:r>
      <w:r w:rsidRPr="002846AF">
        <w:rPr>
          <w:rFonts w:ascii="Arial" w:hAnsi="Arial" w:cs="Arial"/>
        </w:rPr>
        <w:t xml:space="preserve"> of institutional quality in the well-being of these countries could be attributed to the poor-quality institutions of the majority of the developing countries</w:t>
      </w:r>
      <w:r w:rsidR="00C8014F">
        <w:rPr>
          <w:rFonts w:ascii="Arial" w:hAnsi="Arial" w:cs="Arial"/>
        </w:rPr>
        <w:t xml:space="preserve"> </w:t>
      </w:r>
      <w:r w:rsidR="00C8014F" w:rsidRPr="002730FB">
        <w:rPr>
          <w:rFonts w:ascii="Arial" w:hAnsi="Arial" w:cs="Arial"/>
        </w:rPr>
        <w:t xml:space="preserve">where </w:t>
      </w:r>
      <w:r w:rsidR="002730FB">
        <w:rPr>
          <w:rFonts w:ascii="Arial" w:hAnsi="Arial" w:cs="Arial"/>
        </w:rPr>
        <w:t xml:space="preserve">there is lack of </w:t>
      </w:r>
      <w:r w:rsidR="002730FB" w:rsidRPr="002730FB">
        <w:rPr>
          <w:rFonts w:ascii="Arial" w:hAnsi="Arial" w:cs="Arial"/>
        </w:rPr>
        <w:t xml:space="preserve">rule of law, </w:t>
      </w:r>
      <w:r w:rsidR="002730FB">
        <w:rPr>
          <w:rFonts w:ascii="Arial" w:hAnsi="Arial" w:cs="Arial"/>
        </w:rPr>
        <w:t>un</w:t>
      </w:r>
      <w:r w:rsidR="002730FB" w:rsidRPr="002730FB">
        <w:rPr>
          <w:rFonts w:ascii="Arial" w:hAnsi="Arial" w:cs="Arial"/>
        </w:rPr>
        <w:t xml:space="preserve">stable political system, </w:t>
      </w:r>
      <w:r w:rsidR="002730FB">
        <w:rPr>
          <w:rFonts w:ascii="Arial" w:hAnsi="Arial" w:cs="Arial"/>
        </w:rPr>
        <w:t>high</w:t>
      </w:r>
      <w:r w:rsidR="002730FB" w:rsidRPr="002730FB">
        <w:rPr>
          <w:rFonts w:ascii="Arial" w:hAnsi="Arial" w:cs="Arial"/>
        </w:rPr>
        <w:t xml:space="preserve"> incidences of corruption and government </w:t>
      </w:r>
      <w:r w:rsidR="002730FB">
        <w:rPr>
          <w:rFonts w:ascii="Arial" w:hAnsi="Arial" w:cs="Arial"/>
        </w:rPr>
        <w:t>in</w:t>
      </w:r>
      <w:r w:rsidR="002730FB" w:rsidRPr="002730FB">
        <w:rPr>
          <w:rFonts w:ascii="Arial" w:hAnsi="Arial" w:cs="Arial"/>
        </w:rPr>
        <w:t>effectiveness</w:t>
      </w:r>
      <w:r w:rsidRPr="002846AF">
        <w:rPr>
          <w:rFonts w:ascii="Arial" w:hAnsi="Arial" w:cs="Arial"/>
        </w:rPr>
        <w:t xml:space="preserve">. Except for Canada, the USA and Norway, the rest of the 16 countries exhibit relatively low institutional quality. Institutional quality dimensions such as political stability and absence of violence, corruption control, and government ineffectiveness are detrimental to all policies and </w:t>
      </w:r>
      <w:proofErr w:type="spellStart"/>
      <w:r w:rsidRPr="002846AF">
        <w:rPr>
          <w:rFonts w:ascii="Arial" w:hAnsi="Arial" w:cs="Arial"/>
        </w:rPr>
        <w:t>programmes</w:t>
      </w:r>
      <w:proofErr w:type="spellEnd"/>
      <w:r w:rsidRPr="002846AF">
        <w:rPr>
          <w:rFonts w:ascii="Arial" w:hAnsi="Arial" w:cs="Arial"/>
        </w:rPr>
        <w:t xml:space="preserve"> that can guarantee quality of life. </w:t>
      </w:r>
    </w:p>
    <w:p w14:paraId="378B119C" w14:textId="77777777" w:rsidR="002846AF" w:rsidRPr="002846AF" w:rsidRDefault="002846AF" w:rsidP="002846AF">
      <w:pPr>
        <w:pStyle w:val="Body"/>
        <w:spacing w:after="0"/>
        <w:rPr>
          <w:rFonts w:ascii="Arial" w:hAnsi="Arial" w:cs="Arial"/>
        </w:rPr>
      </w:pPr>
      <w:r w:rsidRPr="002846AF">
        <w:rPr>
          <w:rFonts w:ascii="Arial" w:hAnsi="Arial" w:cs="Arial"/>
        </w:rPr>
        <w:t>Our findings on gross domestic product per capita contravene theoretical expectations but align with Seun and Chijioke (2019). In both studies, increased gross domestic product negatively impacted happiness or well-being. Many oil-producing countries are oil and import-dependent. The 0.75 per cent decrease in well-being as income increased suggests that the GDP per capita did not trickle down to the people. It could also be that the income was eaten up by inflation and other harsh socio-economic conditions such as wars, insecurity and high cost of importation.</w:t>
      </w:r>
    </w:p>
    <w:p w14:paraId="1F4DEBFD" w14:textId="77777777" w:rsidR="002846AF" w:rsidRDefault="002846AF" w:rsidP="00441B6F">
      <w:pPr>
        <w:pStyle w:val="Body"/>
        <w:spacing w:after="0"/>
        <w:rPr>
          <w:rFonts w:ascii="Arial" w:hAnsi="Arial" w:cs="Arial"/>
        </w:rPr>
      </w:pPr>
    </w:p>
    <w:p w14:paraId="4C27643B" w14:textId="24CBFEF9" w:rsidR="00927834" w:rsidRDefault="00927834" w:rsidP="00441B6F">
      <w:pPr>
        <w:autoSpaceDE w:val="0"/>
        <w:autoSpaceDN w:val="0"/>
        <w:adjustRightInd w:val="0"/>
        <w:jc w:val="both"/>
        <w:rPr>
          <w:rFonts w:ascii="Arial" w:hAnsi="Arial" w:cs="Arial"/>
          <w:b/>
          <w:bCs/>
          <w:sz w:val="22"/>
          <w:szCs w:val="22"/>
        </w:rPr>
      </w:pPr>
    </w:p>
    <w:p w14:paraId="2B0BF002" w14:textId="77777777" w:rsidR="00790ADA" w:rsidRPr="00FB3A86" w:rsidRDefault="00790ADA" w:rsidP="00441B6F">
      <w:pPr>
        <w:pStyle w:val="Body"/>
        <w:spacing w:after="0"/>
        <w:rPr>
          <w:rFonts w:ascii="Arial" w:hAnsi="Arial" w:cs="Arial"/>
        </w:rPr>
      </w:pPr>
    </w:p>
    <w:p w14:paraId="0403531F" w14:textId="7DBB75A5" w:rsidR="00B01FCD" w:rsidRDefault="002846AF"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0E98904D" w14:textId="77777777" w:rsidR="00790ADA" w:rsidRPr="00FB3A86" w:rsidRDefault="00790ADA" w:rsidP="00441B6F">
      <w:pPr>
        <w:pStyle w:val="ConcHead"/>
        <w:spacing w:after="0"/>
        <w:jc w:val="both"/>
        <w:rPr>
          <w:rFonts w:ascii="Arial" w:hAnsi="Arial" w:cs="Arial"/>
        </w:rPr>
      </w:pPr>
    </w:p>
    <w:p w14:paraId="1F00461D" w14:textId="77777777" w:rsidR="00061B07" w:rsidRPr="00061B07" w:rsidRDefault="00061B07" w:rsidP="00061B07">
      <w:pPr>
        <w:pStyle w:val="Body"/>
        <w:numPr>
          <w:ilvl w:val="0"/>
          <w:numId w:val="31"/>
        </w:numPr>
        <w:spacing w:after="0"/>
        <w:rPr>
          <w:rFonts w:ascii="Arial" w:hAnsi="Arial" w:cs="Arial"/>
          <w:b/>
          <w:bCs/>
        </w:rPr>
      </w:pPr>
      <w:r w:rsidRPr="00061B07">
        <w:rPr>
          <w:rFonts w:ascii="Arial" w:hAnsi="Arial" w:cs="Arial"/>
          <w:b/>
          <w:bCs/>
        </w:rPr>
        <w:t>Conclusion and Policy Prescriptions</w:t>
      </w:r>
    </w:p>
    <w:p w14:paraId="688E8938" w14:textId="77777777" w:rsidR="00061B07" w:rsidRPr="00061B07" w:rsidRDefault="00061B07" w:rsidP="00061B07">
      <w:pPr>
        <w:pStyle w:val="Body"/>
        <w:spacing w:after="0"/>
        <w:rPr>
          <w:rFonts w:ascii="Arial" w:hAnsi="Arial" w:cs="Arial"/>
        </w:rPr>
      </w:pPr>
      <w:r w:rsidRPr="00061B07">
        <w:rPr>
          <w:rFonts w:ascii="Arial" w:hAnsi="Arial" w:cs="Arial"/>
        </w:rPr>
        <w:t>The UN 66/281 Declaration on Happiness prompted heads of governments and policy handlers to treat happiness or well-being as a measure of economic efficiency. Though several studies have been done on the subject, this current study deviates from previous ones. It captures oil-producing countries from Europe, America, Asia, Africa, the Middle East and South America estimating the simultaneous impact of oil price and institutional quality on well-being. It further conceptualized institutional quality as the average of all dimensions of governance indicators.  Key findings include (1) the positive impact of oil price and institutional qualities on the well-being of oil-producing countries in the long run and short run and (2) both oil price and institutional quality do not contain sufficient information to cause significant change in well-being. (3) GDPC is a decreasing function of well-being in both the long run and short analysis of oil-producing economies. (4) Well-being decrease is stronger in the long run than in the short run. This study concludes that oil price and institutional quality added insignificant value to well-being of oil-producing countries in both the long run and short run. People’s well-being decreased with an increase in gross domestic product per capita.</w:t>
      </w:r>
    </w:p>
    <w:p w14:paraId="3F331C82" w14:textId="5D8AC310" w:rsidR="00061B07" w:rsidRDefault="00061B07" w:rsidP="00061B07">
      <w:pPr>
        <w:pStyle w:val="Body"/>
        <w:spacing w:after="0"/>
        <w:rPr>
          <w:rFonts w:ascii="Arial" w:hAnsi="Arial" w:cs="Arial"/>
        </w:rPr>
      </w:pPr>
      <w:r w:rsidRPr="00061B07">
        <w:rPr>
          <w:rFonts w:ascii="Arial" w:hAnsi="Arial" w:cs="Arial"/>
        </w:rPr>
        <w:t>For oil prices to add significant value to the well-being of individuals, governments of oil-producing nations will have to appropriate oil revenue to wellbeing-enhancing programs and projects. A concerted effort should be made to provide adequate healthcare, freedom, good life, employment opportunities and social welfare packages to directly impact the people. The imperativeness of strong institutions in developing countries of oil nations is of the essence. For violent-free countries, government effectiveness, control of corruption, accountability, rule of law and regulatory quality should take preeminence. An appropriate mix and sufficient doses of these indicators is expected to ensure optimal welfare among the populace.</w:t>
      </w:r>
    </w:p>
    <w:p w14:paraId="2F6A2C9C" w14:textId="173E2774" w:rsidR="006D6C86" w:rsidRDefault="006D6C86" w:rsidP="00061B07">
      <w:pPr>
        <w:pStyle w:val="Body"/>
        <w:spacing w:after="0"/>
        <w:rPr>
          <w:rFonts w:ascii="Arial" w:hAnsi="Arial" w:cs="Arial"/>
        </w:rPr>
      </w:pPr>
    </w:p>
    <w:p w14:paraId="52B9EC27" w14:textId="77777777" w:rsidR="006D6C86" w:rsidRPr="002E54ED" w:rsidRDefault="006D6C86" w:rsidP="006D6C86">
      <w:pPr>
        <w:spacing w:after="200" w:line="276" w:lineRule="auto"/>
        <w:rPr>
          <w:rFonts w:ascii="Calibri" w:eastAsia="Calibri" w:hAnsi="Calibri"/>
          <w:kern w:val="2"/>
          <w:sz w:val="22"/>
          <w:szCs w:val="22"/>
          <w14:ligatures w14:val="standardContextual"/>
        </w:rPr>
      </w:pPr>
      <w:r w:rsidRPr="002E54ED">
        <w:rPr>
          <w:rFonts w:ascii="Calibri" w:eastAsia="Calibri" w:hAnsi="Calibri"/>
          <w:kern w:val="2"/>
          <w:sz w:val="22"/>
          <w:szCs w:val="22"/>
          <w14:ligatures w14:val="standardContextual"/>
        </w:rPr>
        <w:t>Disclaimer (Artificial intelligence)</w:t>
      </w:r>
    </w:p>
    <w:p w14:paraId="41A5665D" w14:textId="77777777" w:rsidR="006D6C86" w:rsidRPr="002E54ED" w:rsidRDefault="006D6C86" w:rsidP="006D6C86">
      <w:pPr>
        <w:spacing w:after="200" w:line="276" w:lineRule="auto"/>
        <w:rPr>
          <w:rFonts w:ascii="Calibri" w:eastAsia="Calibri" w:hAnsi="Calibri"/>
          <w:kern w:val="2"/>
          <w:sz w:val="22"/>
          <w:szCs w:val="22"/>
          <w14:ligatures w14:val="standardContextual"/>
        </w:rPr>
      </w:pPr>
      <w:r w:rsidRPr="002E54ED">
        <w:rPr>
          <w:rFonts w:ascii="Calibri" w:eastAsia="Calibri" w:hAnsi="Calibri"/>
          <w:kern w:val="2"/>
          <w:sz w:val="22"/>
          <w:szCs w:val="22"/>
          <w14:ligatures w14:val="standardContextual"/>
        </w:rPr>
        <w:lastRenderedPageBreak/>
        <w:t xml:space="preserve">Option 1: </w:t>
      </w:r>
    </w:p>
    <w:p w14:paraId="0154E198" w14:textId="77777777" w:rsidR="006D6C86" w:rsidRPr="002E54ED" w:rsidRDefault="006D6C86" w:rsidP="006D6C86">
      <w:pPr>
        <w:spacing w:after="200" w:line="276" w:lineRule="auto"/>
        <w:rPr>
          <w:rFonts w:ascii="Calibri" w:eastAsia="Calibri" w:hAnsi="Calibri"/>
          <w:kern w:val="2"/>
          <w:sz w:val="22"/>
          <w:szCs w:val="22"/>
          <w14:ligatures w14:val="standardContextual"/>
        </w:rPr>
      </w:pPr>
      <w:r w:rsidRPr="002E54ED">
        <w:rPr>
          <w:rFonts w:ascii="Calibri" w:eastAsia="Calibri" w:hAnsi="Calibri"/>
          <w:kern w:val="2"/>
          <w:sz w:val="22"/>
          <w:szCs w:val="22"/>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16F5EB2D" w14:textId="77777777" w:rsidR="00061B07" w:rsidRDefault="00061B07" w:rsidP="00441B6F">
      <w:pPr>
        <w:pStyle w:val="ReferHead"/>
        <w:spacing w:after="0"/>
        <w:jc w:val="both"/>
        <w:rPr>
          <w:rFonts w:ascii="Arial" w:hAnsi="Arial" w:cs="Arial"/>
          <w:bCs/>
        </w:rPr>
      </w:pPr>
    </w:p>
    <w:p w14:paraId="2D462429" w14:textId="77777777" w:rsidR="002B685A" w:rsidRDefault="002B685A" w:rsidP="00441B6F">
      <w:pPr>
        <w:pStyle w:val="ReferHead"/>
        <w:spacing w:after="0"/>
        <w:jc w:val="both"/>
        <w:rPr>
          <w:rFonts w:ascii="Arial" w:hAnsi="Arial" w:cs="Arial"/>
          <w:b w:val="0"/>
          <w:caps w:val="0"/>
          <w:sz w:val="20"/>
        </w:rPr>
      </w:pPr>
    </w:p>
    <w:p w14:paraId="13DA0241" w14:textId="77777777" w:rsidR="007E613C" w:rsidRDefault="007E613C" w:rsidP="00441B6F">
      <w:pPr>
        <w:pStyle w:val="ReferHead"/>
        <w:spacing w:after="0"/>
        <w:jc w:val="both"/>
        <w:rPr>
          <w:rFonts w:ascii="Arial" w:hAnsi="Arial" w:cs="Arial"/>
          <w:b w:val="0"/>
          <w:caps w:val="0"/>
          <w:sz w:val="20"/>
        </w:rPr>
      </w:pPr>
    </w:p>
    <w:p w14:paraId="7F795168" w14:textId="77777777" w:rsidR="00860000" w:rsidRDefault="00860000" w:rsidP="00441B6F">
      <w:pPr>
        <w:pStyle w:val="ReferHead"/>
        <w:spacing w:after="0"/>
        <w:jc w:val="both"/>
        <w:rPr>
          <w:rFonts w:ascii="Arial" w:hAnsi="Arial" w:cs="Arial"/>
        </w:rPr>
      </w:pPr>
    </w:p>
    <w:p w14:paraId="6C34FCC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7D1B9F4" w14:textId="77777777" w:rsidR="00790ADA" w:rsidRPr="00FB3A86" w:rsidRDefault="00790ADA" w:rsidP="00441B6F">
      <w:pPr>
        <w:pStyle w:val="ReferHead"/>
        <w:spacing w:after="0"/>
        <w:jc w:val="both"/>
        <w:rPr>
          <w:rFonts w:ascii="Arial" w:hAnsi="Arial" w:cs="Arial"/>
        </w:rPr>
      </w:pPr>
    </w:p>
    <w:p w14:paraId="32B74392" w14:textId="77777777" w:rsidR="000B0724" w:rsidRPr="000B0724" w:rsidRDefault="000B0724" w:rsidP="000B0724">
      <w:pPr>
        <w:jc w:val="both"/>
        <w:rPr>
          <w:rFonts w:ascii="Arial" w:hAnsi="Arial" w:cs="Arial"/>
        </w:rPr>
      </w:pPr>
      <w:r w:rsidRPr="000B0724">
        <w:rPr>
          <w:rFonts w:ascii="Arial" w:hAnsi="Arial" w:cs="Arial"/>
        </w:rPr>
        <w:t xml:space="preserve">Abiodun, E. A., Emmanuel, O., </w:t>
      </w:r>
      <w:proofErr w:type="spellStart"/>
      <w:r w:rsidRPr="000B0724">
        <w:rPr>
          <w:rFonts w:ascii="Arial" w:hAnsi="Arial" w:cs="Arial"/>
        </w:rPr>
        <w:t>Oguwuike</w:t>
      </w:r>
      <w:proofErr w:type="spellEnd"/>
      <w:r w:rsidRPr="000B0724">
        <w:rPr>
          <w:rFonts w:ascii="Arial" w:hAnsi="Arial" w:cs="Arial"/>
        </w:rPr>
        <w:t xml:space="preserve">, M. E., </w:t>
      </w:r>
      <w:proofErr w:type="spellStart"/>
      <w:r w:rsidRPr="000B0724">
        <w:rPr>
          <w:rFonts w:ascii="Arial" w:hAnsi="Arial" w:cs="Arial"/>
        </w:rPr>
        <w:t>Uwazie</w:t>
      </w:r>
      <w:proofErr w:type="spellEnd"/>
      <w:r w:rsidRPr="000B0724">
        <w:rPr>
          <w:rFonts w:ascii="Arial" w:hAnsi="Arial" w:cs="Arial"/>
        </w:rPr>
        <w:t xml:space="preserve">, I., </w:t>
      </w:r>
      <w:proofErr w:type="spellStart"/>
      <w:r w:rsidRPr="000B0724">
        <w:rPr>
          <w:rFonts w:ascii="Arial" w:hAnsi="Arial" w:cs="Arial"/>
        </w:rPr>
        <w:t>Uwazie</w:t>
      </w:r>
      <w:proofErr w:type="spellEnd"/>
      <w:r w:rsidRPr="000B0724">
        <w:rPr>
          <w:rFonts w:ascii="Arial" w:hAnsi="Arial" w:cs="Arial"/>
        </w:rPr>
        <w:t xml:space="preserve">, C., Paul, O., Nwanja, </w:t>
      </w:r>
    </w:p>
    <w:p w14:paraId="3BA80BBC" w14:textId="77777777" w:rsidR="000B0724" w:rsidRPr="000B0724" w:rsidRDefault="000B0724" w:rsidP="000B0724">
      <w:pPr>
        <w:ind w:left="720"/>
        <w:jc w:val="both"/>
        <w:rPr>
          <w:rFonts w:ascii="Arial" w:hAnsi="Arial" w:cs="Arial"/>
        </w:rPr>
      </w:pPr>
      <w:r w:rsidRPr="000B0724">
        <w:rPr>
          <w:rFonts w:ascii="Arial" w:hAnsi="Arial" w:cs="Arial"/>
        </w:rPr>
        <w:t xml:space="preserve">J.C., Chibuzo, G. A., Clara, K. A., Uche, S. A., &amp; Adeola, S. O. (2020). Oil Price Shocks and Oil Revenue: Investigating the Propositions for Well-being in Nigeria. </w:t>
      </w:r>
      <w:r w:rsidRPr="000B0724">
        <w:rPr>
          <w:rFonts w:ascii="Arial" w:hAnsi="Arial" w:cs="Arial"/>
          <w:i/>
          <w:iCs/>
        </w:rPr>
        <w:t>International Journal of Energy Economics and Policy</w:t>
      </w:r>
      <w:r w:rsidRPr="000B0724">
        <w:rPr>
          <w:rFonts w:ascii="Arial" w:hAnsi="Arial" w:cs="Arial"/>
        </w:rPr>
        <w:t>. 11(5), 59-65</w:t>
      </w:r>
    </w:p>
    <w:p w14:paraId="38D70104" w14:textId="77777777" w:rsidR="000B0724" w:rsidRPr="000B0724" w:rsidRDefault="000B0724" w:rsidP="000B0724">
      <w:pPr>
        <w:ind w:left="720"/>
        <w:jc w:val="both"/>
        <w:rPr>
          <w:rFonts w:ascii="Arial" w:hAnsi="Arial" w:cs="Arial"/>
        </w:rPr>
      </w:pPr>
    </w:p>
    <w:p w14:paraId="2B4EC880" w14:textId="77777777" w:rsidR="000B0724" w:rsidRPr="000B0724" w:rsidRDefault="000B0724" w:rsidP="000B0724">
      <w:pPr>
        <w:pStyle w:val="Default"/>
        <w:rPr>
          <w:rFonts w:ascii="Arial" w:hAnsi="Arial" w:cs="Arial"/>
          <w:i/>
          <w:iCs/>
          <w:sz w:val="20"/>
          <w:szCs w:val="20"/>
        </w:rPr>
      </w:pPr>
      <w:r w:rsidRPr="000B0724">
        <w:rPr>
          <w:rFonts w:ascii="Arial" w:hAnsi="Arial" w:cs="Arial"/>
          <w:sz w:val="20"/>
          <w:szCs w:val="20"/>
        </w:rPr>
        <w:t xml:space="preserve">Aimer, N. M. M (2017). Crude oil price and economic development in Libya. </w:t>
      </w:r>
      <w:r w:rsidRPr="000B0724">
        <w:rPr>
          <w:rFonts w:ascii="Arial" w:hAnsi="Arial" w:cs="Arial"/>
          <w:i/>
          <w:iCs/>
          <w:sz w:val="20"/>
          <w:szCs w:val="20"/>
        </w:rPr>
        <w:t xml:space="preserve">Energy Economics </w:t>
      </w:r>
    </w:p>
    <w:p w14:paraId="086EAC5F" w14:textId="77777777" w:rsidR="000B0724" w:rsidRPr="000B0724" w:rsidRDefault="000B0724" w:rsidP="000B0724">
      <w:pPr>
        <w:pStyle w:val="Default"/>
        <w:ind w:firstLine="720"/>
        <w:rPr>
          <w:rFonts w:ascii="Arial" w:hAnsi="Arial" w:cs="Arial"/>
          <w:sz w:val="20"/>
          <w:szCs w:val="20"/>
        </w:rPr>
      </w:pPr>
      <w:r w:rsidRPr="000B0724">
        <w:rPr>
          <w:rFonts w:ascii="Arial" w:hAnsi="Arial" w:cs="Arial"/>
          <w:i/>
          <w:iCs/>
          <w:sz w:val="20"/>
          <w:szCs w:val="20"/>
        </w:rPr>
        <w:t>Letters</w:t>
      </w:r>
      <w:r w:rsidRPr="000B0724">
        <w:rPr>
          <w:rFonts w:ascii="Arial" w:hAnsi="Arial" w:cs="Arial"/>
          <w:sz w:val="20"/>
          <w:szCs w:val="20"/>
        </w:rPr>
        <w:t>. 3(3), 30-41. DOI: 10.18488/journal.82/2016.3.3/82.3.30.41</w:t>
      </w:r>
    </w:p>
    <w:p w14:paraId="18D77222" w14:textId="77777777" w:rsidR="000B0724" w:rsidRPr="000B0724" w:rsidRDefault="000B0724" w:rsidP="000B0724">
      <w:pPr>
        <w:pStyle w:val="Default"/>
        <w:ind w:firstLine="720"/>
        <w:rPr>
          <w:rFonts w:ascii="Arial" w:hAnsi="Arial" w:cs="Arial"/>
          <w:sz w:val="20"/>
          <w:szCs w:val="20"/>
        </w:rPr>
      </w:pPr>
    </w:p>
    <w:p w14:paraId="1C424FFB" w14:textId="77777777" w:rsidR="000B0724" w:rsidRPr="000B0724" w:rsidRDefault="000B0724" w:rsidP="000B0724">
      <w:pPr>
        <w:pStyle w:val="Default"/>
        <w:rPr>
          <w:rFonts w:ascii="Arial" w:hAnsi="Arial" w:cs="Arial"/>
          <w:sz w:val="20"/>
          <w:szCs w:val="20"/>
        </w:rPr>
      </w:pPr>
      <w:r w:rsidRPr="000B0724">
        <w:rPr>
          <w:rFonts w:ascii="Arial" w:hAnsi="Arial" w:cs="Arial"/>
          <w:sz w:val="20"/>
          <w:szCs w:val="20"/>
        </w:rPr>
        <w:t xml:space="preserve">Ali, A (2012). Volatility of Oil Prices and Public Spending in Saudi Arabia: Sensitivity and </w:t>
      </w:r>
    </w:p>
    <w:p w14:paraId="37030A8E" w14:textId="77777777" w:rsidR="000B0724" w:rsidRPr="000B0724" w:rsidRDefault="000B0724" w:rsidP="000B0724">
      <w:pPr>
        <w:pStyle w:val="Default"/>
        <w:ind w:left="720"/>
        <w:rPr>
          <w:rFonts w:ascii="Arial" w:hAnsi="Arial" w:cs="Arial"/>
          <w:sz w:val="20"/>
          <w:szCs w:val="20"/>
        </w:rPr>
      </w:pPr>
      <w:r w:rsidRPr="000B0724">
        <w:rPr>
          <w:rFonts w:ascii="Arial" w:hAnsi="Arial" w:cs="Arial"/>
          <w:sz w:val="20"/>
          <w:szCs w:val="20"/>
        </w:rPr>
        <w:t xml:space="preserve">Trend Analysis.  </w:t>
      </w:r>
      <w:r w:rsidRPr="000B0724">
        <w:rPr>
          <w:rFonts w:ascii="Arial" w:hAnsi="Arial" w:cs="Arial"/>
          <w:i/>
          <w:iCs/>
          <w:sz w:val="20"/>
          <w:szCs w:val="20"/>
        </w:rPr>
        <w:t>Journal of Energy Economics and Policy</w:t>
      </w:r>
      <w:r w:rsidRPr="000B0724">
        <w:rPr>
          <w:rFonts w:ascii="Arial" w:hAnsi="Arial" w:cs="Arial"/>
          <w:sz w:val="20"/>
          <w:szCs w:val="20"/>
        </w:rPr>
        <w:t xml:space="preserve"> 11(1), 165-172. DOI: </w:t>
      </w:r>
      <w:hyperlink r:id="rId33" w:history="1">
        <w:r w:rsidRPr="000B0724">
          <w:rPr>
            <w:rStyle w:val="Hyperlink"/>
            <w:rFonts w:ascii="Arial" w:hAnsi="Arial" w:cs="Arial"/>
            <w:sz w:val="20"/>
            <w:szCs w:val="20"/>
          </w:rPr>
          <w:t>https://doi.org/10.32479/ijeep.10601</w:t>
        </w:r>
      </w:hyperlink>
    </w:p>
    <w:p w14:paraId="0AB8B02C" w14:textId="77777777" w:rsidR="000B0724" w:rsidRPr="000B0724" w:rsidRDefault="000B0724" w:rsidP="000B0724">
      <w:pPr>
        <w:pStyle w:val="Default"/>
        <w:ind w:left="720"/>
        <w:rPr>
          <w:rFonts w:ascii="Arial" w:hAnsi="Arial" w:cs="Arial"/>
          <w:sz w:val="20"/>
          <w:szCs w:val="20"/>
        </w:rPr>
      </w:pPr>
    </w:p>
    <w:p w14:paraId="6A4B3F81" w14:textId="77777777" w:rsidR="000B0724" w:rsidRPr="000B0724" w:rsidRDefault="000B0724" w:rsidP="000B0724">
      <w:pPr>
        <w:autoSpaceDE w:val="0"/>
        <w:autoSpaceDN w:val="0"/>
        <w:adjustRightInd w:val="0"/>
        <w:jc w:val="both"/>
        <w:rPr>
          <w:rFonts w:ascii="Arial" w:hAnsi="Arial" w:cs="Arial"/>
        </w:rPr>
      </w:pPr>
      <w:r w:rsidRPr="000B0724">
        <w:rPr>
          <w:rFonts w:ascii="Arial" w:hAnsi="Arial" w:cs="Arial"/>
        </w:rPr>
        <w:t xml:space="preserve">Al Sabah, K. J., </w:t>
      </w:r>
      <w:proofErr w:type="spellStart"/>
      <w:r w:rsidRPr="000B0724">
        <w:rPr>
          <w:rFonts w:ascii="Arial" w:hAnsi="Arial" w:cs="Arial"/>
        </w:rPr>
        <w:t>Pallaim</w:t>
      </w:r>
      <w:proofErr w:type="spellEnd"/>
      <w:r w:rsidRPr="000B0724">
        <w:rPr>
          <w:rFonts w:ascii="Arial" w:hAnsi="Arial" w:cs="Arial"/>
        </w:rPr>
        <w:t xml:space="preserve">, R. &amp; Al Salem, A. (2016). Sustaining Standard of Living Amidst </w:t>
      </w:r>
    </w:p>
    <w:p w14:paraId="63D0288E" w14:textId="77777777" w:rsidR="000B0724" w:rsidRPr="000B0724" w:rsidRDefault="000B0724" w:rsidP="000B0724">
      <w:pPr>
        <w:autoSpaceDE w:val="0"/>
        <w:autoSpaceDN w:val="0"/>
        <w:adjustRightInd w:val="0"/>
        <w:ind w:left="720"/>
        <w:jc w:val="both"/>
        <w:rPr>
          <w:rFonts w:ascii="Arial" w:hAnsi="Arial" w:cs="Arial"/>
        </w:rPr>
      </w:pPr>
      <w:r w:rsidRPr="000B0724">
        <w:rPr>
          <w:rFonts w:ascii="Arial" w:hAnsi="Arial" w:cs="Arial"/>
        </w:rPr>
        <w:t xml:space="preserve">Volatile Oil Prices – Lessons from the Gulf Countries. </w:t>
      </w:r>
      <w:r w:rsidRPr="000B0724">
        <w:rPr>
          <w:rFonts w:ascii="Arial" w:hAnsi="Arial" w:cs="Arial"/>
          <w:i/>
          <w:iCs/>
        </w:rPr>
        <w:t>The Journal of Sustainable Development</w:t>
      </w:r>
    </w:p>
    <w:p w14:paraId="43B0B09E" w14:textId="77777777" w:rsidR="000B0724" w:rsidRPr="000B0724" w:rsidRDefault="000B0724" w:rsidP="000B0724">
      <w:pPr>
        <w:autoSpaceDE w:val="0"/>
        <w:autoSpaceDN w:val="0"/>
        <w:adjustRightInd w:val="0"/>
        <w:ind w:firstLine="720"/>
        <w:jc w:val="both"/>
        <w:rPr>
          <w:rFonts w:ascii="Arial" w:hAnsi="Arial" w:cs="Arial"/>
        </w:rPr>
      </w:pPr>
      <w:r w:rsidRPr="000B0724">
        <w:rPr>
          <w:rFonts w:ascii="Arial" w:hAnsi="Arial" w:cs="Arial"/>
        </w:rPr>
        <w:t xml:space="preserve"> 15(1),101-118</w:t>
      </w:r>
    </w:p>
    <w:p w14:paraId="6C747FDA" w14:textId="77777777" w:rsidR="000B0724" w:rsidRPr="000B0724" w:rsidRDefault="000B0724" w:rsidP="000B0724">
      <w:pPr>
        <w:autoSpaceDE w:val="0"/>
        <w:autoSpaceDN w:val="0"/>
        <w:adjustRightInd w:val="0"/>
        <w:ind w:firstLine="720"/>
        <w:jc w:val="both"/>
        <w:rPr>
          <w:rFonts w:ascii="Arial" w:hAnsi="Arial" w:cs="Arial"/>
        </w:rPr>
      </w:pPr>
    </w:p>
    <w:p w14:paraId="4C59C1F6" w14:textId="77777777" w:rsidR="000B0724" w:rsidRPr="000B0724" w:rsidRDefault="000B0724" w:rsidP="000B0724">
      <w:pPr>
        <w:autoSpaceDE w:val="0"/>
        <w:autoSpaceDN w:val="0"/>
        <w:adjustRightInd w:val="0"/>
        <w:rPr>
          <w:rFonts w:ascii="Arial" w:hAnsi="Arial" w:cs="Arial"/>
        </w:rPr>
      </w:pPr>
      <w:r w:rsidRPr="000B0724">
        <w:rPr>
          <w:rFonts w:ascii="Arial" w:hAnsi="Arial" w:cs="Arial"/>
        </w:rPr>
        <w:t xml:space="preserve">Amei, B., </w:t>
      </w:r>
      <w:proofErr w:type="spellStart"/>
      <w:r w:rsidRPr="000B0724">
        <w:rPr>
          <w:rFonts w:ascii="Arial" w:hAnsi="Arial" w:cs="Arial"/>
        </w:rPr>
        <w:t>Abderrazek</w:t>
      </w:r>
      <w:proofErr w:type="spellEnd"/>
      <w:r w:rsidRPr="000B0724">
        <w:rPr>
          <w:rFonts w:ascii="Arial" w:hAnsi="Arial" w:cs="Arial"/>
        </w:rPr>
        <w:t xml:space="preserve">, B. M., &amp; Mohamed, B. T. (2024). The dynamic impact of oil shocks on </w:t>
      </w:r>
    </w:p>
    <w:p w14:paraId="2A72C645" w14:textId="77777777" w:rsidR="000B0724" w:rsidRPr="000B0724" w:rsidRDefault="000B0724" w:rsidP="000B0724">
      <w:pPr>
        <w:autoSpaceDE w:val="0"/>
        <w:autoSpaceDN w:val="0"/>
        <w:adjustRightInd w:val="0"/>
        <w:ind w:left="720"/>
        <w:rPr>
          <w:rFonts w:ascii="Arial" w:hAnsi="Arial" w:cs="Arial"/>
        </w:rPr>
      </w:pPr>
      <w:r w:rsidRPr="000B0724">
        <w:rPr>
          <w:rFonts w:ascii="Arial" w:hAnsi="Arial" w:cs="Arial"/>
        </w:rPr>
        <w:t xml:space="preserve">the Saudi stock market: New evidence through dynamic simulated ARDL approach. </w:t>
      </w:r>
      <w:r w:rsidRPr="000B0724">
        <w:rPr>
          <w:rFonts w:ascii="Arial" w:hAnsi="Arial" w:cs="Arial"/>
          <w:i/>
          <w:iCs/>
        </w:rPr>
        <w:t>The Journal of risk finance</w:t>
      </w:r>
      <w:r w:rsidRPr="000B0724">
        <w:rPr>
          <w:rFonts w:ascii="Arial" w:hAnsi="Arial" w:cs="Arial"/>
        </w:rPr>
        <w:t>. 25(1), 11-129. DOI 10.1108/JRF-04-2023-0091</w:t>
      </w:r>
    </w:p>
    <w:p w14:paraId="102D1EFC" w14:textId="77777777" w:rsidR="000B0724" w:rsidRPr="000B0724" w:rsidRDefault="000B0724" w:rsidP="000B0724">
      <w:pPr>
        <w:autoSpaceDE w:val="0"/>
        <w:autoSpaceDN w:val="0"/>
        <w:adjustRightInd w:val="0"/>
        <w:ind w:left="720"/>
        <w:rPr>
          <w:rFonts w:ascii="Arial" w:hAnsi="Arial" w:cs="Arial"/>
        </w:rPr>
      </w:pPr>
    </w:p>
    <w:p w14:paraId="2E0A5BD3" w14:textId="77777777" w:rsidR="000B0724" w:rsidRPr="000B0724" w:rsidRDefault="000B0724" w:rsidP="000B0724">
      <w:pPr>
        <w:autoSpaceDE w:val="0"/>
        <w:autoSpaceDN w:val="0"/>
        <w:adjustRightInd w:val="0"/>
        <w:rPr>
          <w:rFonts w:ascii="Arial" w:hAnsi="Arial" w:cs="Arial"/>
        </w:rPr>
      </w:pPr>
      <w:r w:rsidRPr="000B0724">
        <w:rPr>
          <w:rFonts w:ascii="Arial" w:hAnsi="Arial" w:cs="Arial"/>
        </w:rPr>
        <w:t xml:space="preserve">Araki, S. (2022). Does Education Make People Happy? Spotlighting the Overlooked Societal </w:t>
      </w:r>
    </w:p>
    <w:p w14:paraId="5E7182EB" w14:textId="77777777" w:rsidR="000B0724" w:rsidRPr="000B0724" w:rsidRDefault="000B0724" w:rsidP="000B0724">
      <w:pPr>
        <w:autoSpaceDE w:val="0"/>
        <w:autoSpaceDN w:val="0"/>
        <w:adjustRightInd w:val="0"/>
        <w:ind w:left="720"/>
        <w:rPr>
          <w:rFonts w:ascii="Arial" w:hAnsi="Arial" w:cs="Arial"/>
        </w:rPr>
      </w:pPr>
      <w:r w:rsidRPr="000B0724">
        <w:rPr>
          <w:rFonts w:ascii="Arial" w:hAnsi="Arial" w:cs="Arial"/>
        </w:rPr>
        <w:t xml:space="preserve">Condition. </w:t>
      </w:r>
      <w:r w:rsidRPr="000B0724">
        <w:rPr>
          <w:rFonts w:ascii="Arial" w:hAnsi="Arial" w:cs="Arial"/>
          <w:i/>
          <w:iCs/>
        </w:rPr>
        <w:t>Journal of Happiness Studies</w:t>
      </w:r>
      <w:r w:rsidRPr="000B0724">
        <w:rPr>
          <w:rFonts w:ascii="Arial" w:hAnsi="Arial" w:cs="Arial"/>
        </w:rPr>
        <w:t xml:space="preserve">. 23, 587–629 </w:t>
      </w:r>
      <w:hyperlink r:id="rId34" w:history="1">
        <w:r w:rsidRPr="000B0724">
          <w:rPr>
            <w:rStyle w:val="Hyperlink"/>
            <w:rFonts w:ascii="Arial" w:hAnsi="Arial" w:cs="Arial"/>
          </w:rPr>
          <w:t>https://doi.org/10.1007/s10902-021-00416-y</w:t>
        </w:r>
      </w:hyperlink>
    </w:p>
    <w:p w14:paraId="43B86656" w14:textId="77777777" w:rsidR="000B0724" w:rsidRPr="000B0724" w:rsidRDefault="000B0724" w:rsidP="000B0724">
      <w:pPr>
        <w:autoSpaceDE w:val="0"/>
        <w:autoSpaceDN w:val="0"/>
        <w:adjustRightInd w:val="0"/>
        <w:ind w:left="720"/>
        <w:rPr>
          <w:rStyle w:val="Hyperlink"/>
          <w:rFonts w:ascii="Arial" w:hAnsi="Arial" w:cs="Arial"/>
        </w:rPr>
      </w:pPr>
    </w:p>
    <w:p w14:paraId="143AB97A" w14:textId="77777777" w:rsidR="000B0724" w:rsidRPr="000B0724" w:rsidRDefault="000B0724" w:rsidP="000B0724">
      <w:pPr>
        <w:autoSpaceDE w:val="0"/>
        <w:autoSpaceDN w:val="0"/>
        <w:adjustRightInd w:val="0"/>
        <w:jc w:val="both"/>
        <w:rPr>
          <w:rFonts w:ascii="Arial" w:hAnsi="Arial" w:cs="Arial"/>
          <w:i/>
          <w:iCs/>
        </w:rPr>
      </w:pPr>
      <w:r w:rsidRPr="000B0724">
        <w:rPr>
          <w:rFonts w:ascii="Arial" w:hAnsi="Arial" w:cs="Arial"/>
        </w:rPr>
        <w:t>Beser, N. O (2019). How oil prices impact the economic growth of Venezuela</w:t>
      </w:r>
      <w:r w:rsidRPr="000B0724">
        <w:rPr>
          <w:rFonts w:ascii="Arial" w:hAnsi="Arial" w:cs="Arial"/>
          <w:i/>
          <w:iCs/>
        </w:rPr>
        <w:t xml:space="preserve">. Economics, </w:t>
      </w:r>
    </w:p>
    <w:p w14:paraId="2BEA34B2" w14:textId="77777777" w:rsidR="000B0724" w:rsidRPr="000B0724" w:rsidRDefault="000B0724" w:rsidP="000B0724">
      <w:pPr>
        <w:autoSpaceDE w:val="0"/>
        <w:autoSpaceDN w:val="0"/>
        <w:adjustRightInd w:val="0"/>
        <w:ind w:firstLine="720"/>
        <w:jc w:val="both"/>
        <w:rPr>
          <w:rFonts w:ascii="Arial" w:hAnsi="Arial" w:cs="Arial"/>
        </w:rPr>
      </w:pPr>
      <w:r w:rsidRPr="000B0724">
        <w:rPr>
          <w:rFonts w:ascii="Arial" w:hAnsi="Arial" w:cs="Arial"/>
          <w:i/>
          <w:iCs/>
        </w:rPr>
        <w:t>Finance, Politics.</w:t>
      </w:r>
      <w:r w:rsidRPr="000B0724">
        <w:rPr>
          <w:rFonts w:ascii="Arial" w:hAnsi="Arial" w:cs="Arial"/>
        </w:rPr>
        <w:t xml:space="preserve"> 14(2), 395-406 DOI: 10.29228/TurkishStudies.22939</w:t>
      </w:r>
    </w:p>
    <w:p w14:paraId="52F44D0E" w14:textId="77777777" w:rsidR="000B0724" w:rsidRPr="000B0724" w:rsidRDefault="000B0724" w:rsidP="000B0724">
      <w:pPr>
        <w:autoSpaceDE w:val="0"/>
        <w:autoSpaceDN w:val="0"/>
        <w:adjustRightInd w:val="0"/>
        <w:ind w:firstLine="720"/>
        <w:jc w:val="both"/>
        <w:rPr>
          <w:rFonts w:ascii="Arial" w:hAnsi="Arial" w:cs="Arial"/>
        </w:rPr>
      </w:pPr>
    </w:p>
    <w:p w14:paraId="013CFB5D" w14:textId="77777777" w:rsidR="000B0724" w:rsidRPr="000B0724" w:rsidRDefault="000B0724" w:rsidP="000B0724">
      <w:pPr>
        <w:jc w:val="both"/>
        <w:rPr>
          <w:rFonts w:ascii="Arial" w:hAnsi="Arial" w:cs="Arial"/>
        </w:rPr>
      </w:pPr>
      <w:r w:rsidRPr="000B0724">
        <w:rPr>
          <w:rFonts w:ascii="Arial" w:hAnsi="Arial" w:cs="Arial"/>
        </w:rPr>
        <w:t xml:space="preserve">Bilal, M., Aamir, M., Abdullah, S. &amp; Khan, F. (2024). Impacts of crude oil market on global </w:t>
      </w:r>
    </w:p>
    <w:p w14:paraId="1B83DA22" w14:textId="77777777" w:rsidR="000B0724" w:rsidRPr="000B0724" w:rsidRDefault="000B0724" w:rsidP="000B0724">
      <w:pPr>
        <w:ind w:left="720"/>
        <w:jc w:val="both"/>
        <w:rPr>
          <w:rFonts w:ascii="Arial" w:hAnsi="Arial" w:cs="Arial"/>
        </w:rPr>
      </w:pPr>
      <w:r w:rsidRPr="000B0724">
        <w:rPr>
          <w:rFonts w:ascii="Arial" w:hAnsi="Arial" w:cs="Arial"/>
        </w:rPr>
        <w:t xml:space="preserve">economy: Evidence from the Ukraine-Russia conflict via fuzzy models. </w:t>
      </w:r>
      <w:proofErr w:type="spellStart"/>
      <w:r w:rsidRPr="000B0724">
        <w:rPr>
          <w:rFonts w:ascii="Arial" w:hAnsi="Arial" w:cs="Arial"/>
          <w:i/>
          <w:iCs/>
        </w:rPr>
        <w:t>Heliyon</w:t>
      </w:r>
      <w:proofErr w:type="spellEnd"/>
      <w:r w:rsidRPr="000B0724">
        <w:rPr>
          <w:rFonts w:ascii="Arial" w:hAnsi="Arial" w:cs="Arial"/>
        </w:rPr>
        <w:t xml:space="preserve"> 10. 623874. </w:t>
      </w:r>
      <w:hyperlink r:id="rId35" w:history="1">
        <w:r w:rsidRPr="000B0724">
          <w:rPr>
            <w:rStyle w:val="Hyperlink"/>
            <w:rFonts w:ascii="Arial" w:hAnsi="Arial" w:cs="Arial"/>
          </w:rPr>
          <w:t>https://doi.org/10.1016/j.heliyon.2023.e23874</w:t>
        </w:r>
      </w:hyperlink>
    </w:p>
    <w:p w14:paraId="2C53F86F" w14:textId="77777777" w:rsidR="000B0724" w:rsidRPr="000B0724" w:rsidRDefault="000B0724" w:rsidP="000B0724">
      <w:pPr>
        <w:ind w:left="720"/>
        <w:jc w:val="both"/>
        <w:rPr>
          <w:rFonts w:ascii="Arial" w:hAnsi="Arial" w:cs="Arial"/>
        </w:rPr>
      </w:pPr>
    </w:p>
    <w:p w14:paraId="2C6E9480" w14:textId="77777777" w:rsidR="000B0724" w:rsidRPr="000B0724" w:rsidRDefault="000B0724" w:rsidP="000B0724">
      <w:pPr>
        <w:autoSpaceDE w:val="0"/>
        <w:autoSpaceDN w:val="0"/>
        <w:adjustRightInd w:val="0"/>
        <w:rPr>
          <w:rFonts w:ascii="Arial" w:hAnsi="Arial" w:cs="Arial"/>
        </w:rPr>
      </w:pPr>
      <w:proofErr w:type="spellStart"/>
      <w:r w:rsidRPr="000B0724">
        <w:rPr>
          <w:rFonts w:ascii="Arial" w:hAnsi="Arial" w:cs="Arial"/>
        </w:rPr>
        <w:t>Bjørnland</w:t>
      </w:r>
      <w:proofErr w:type="spellEnd"/>
      <w:r w:rsidRPr="000B0724">
        <w:rPr>
          <w:rFonts w:ascii="Arial" w:hAnsi="Arial" w:cs="Arial"/>
        </w:rPr>
        <w:t xml:space="preserve">, H. C (2009). Oil Price Shocks and stock market booms in an oil exporting country. </w:t>
      </w:r>
    </w:p>
    <w:p w14:paraId="2943D059" w14:textId="77777777" w:rsidR="000B0724" w:rsidRPr="000B0724" w:rsidRDefault="000B0724" w:rsidP="000B0724">
      <w:pPr>
        <w:autoSpaceDE w:val="0"/>
        <w:autoSpaceDN w:val="0"/>
        <w:adjustRightInd w:val="0"/>
        <w:ind w:firstLine="720"/>
        <w:rPr>
          <w:rFonts w:ascii="Arial" w:hAnsi="Arial" w:cs="Arial"/>
        </w:rPr>
      </w:pPr>
      <w:r w:rsidRPr="000B0724">
        <w:rPr>
          <w:rFonts w:ascii="Arial" w:hAnsi="Arial" w:cs="Arial"/>
          <w:i/>
          <w:iCs/>
        </w:rPr>
        <w:t>Scott Journal of Political Economics</w:t>
      </w:r>
      <w:r w:rsidRPr="000B0724">
        <w:rPr>
          <w:rFonts w:ascii="Arial" w:hAnsi="Arial" w:cs="Arial"/>
        </w:rPr>
        <w:t xml:space="preserve"> 56(2), 232–254</w:t>
      </w:r>
    </w:p>
    <w:p w14:paraId="299CC05C" w14:textId="77777777" w:rsidR="000B0724" w:rsidRPr="000B0724" w:rsidRDefault="000B0724" w:rsidP="000B0724">
      <w:pPr>
        <w:autoSpaceDE w:val="0"/>
        <w:autoSpaceDN w:val="0"/>
        <w:adjustRightInd w:val="0"/>
        <w:ind w:firstLine="720"/>
        <w:rPr>
          <w:rFonts w:ascii="Arial" w:hAnsi="Arial" w:cs="Arial"/>
        </w:rPr>
      </w:pPr>
    </w:p>
    <w:p w14:paraId="7D8C5954" w14:textId="77777777" w:rsidR="000B0724" w:rsidRPr="000B0724" w:rsidRDefault="000B0724" w:rsidP="000B0724">
      <w:pPr>
        <w:autoSpaceDE w:val="0"/>
        <w:autoSpaceDN w:val="0"/>
        <w:adjustRightInd w:val="0"/>
        <w:jc w:val="both"/>
        <w:rPr>
          <w:rFonts w:ascii="Arial" w:hAnsi="Arial" w:cs="Arial"/>
        </w:rPr>
      </w:pPr>
      <w:r w:rsidRPr="000B0724">
        <w:rPr>
          <w:rFonts w:ascii="Arial" w:hAnsi="Arial" w:cs="Arial"/>
        </w:rPr>
        <w:t xml:space="preserve">Carbone, J. C &amp; Mckenzie, K. J (2016). Going Dutch? The Impact of Falling Oil Prices on the </w:t>
      </w:r>
    </w:p>
    <w:p w14:paraId="0C4BF427" w14:textId="77777777" w:rsidR="000B0724" w:rsidRPr="000B0724" w:rsidRDefault="000B0724" w:rsidP="000B0724">
      <w:pPr>
        <w:autoSpaceDE w:val="0"/>
        <w:autoSpaceDN w:val="0"/>
        <w:adjustRightInd w:val="0"/>
        <w:ind w:firstLine="720"/>
        <w:jc w:val="both"/>
        <w:rPr>
          <w:rFonts w:ascii="Arial" w:hAnsi="Arial" w:cs="Arial"/>
        </w:rPr>
      </w:pPr>
      <w:r w:rsidRPr="000B0724">
        <w:rPr>
          <w:rFonts w:ascii="Arial" w:hAnsi="Arial" w:cs="Arial"/>
        </w:rPr>
        <w:t xml:space="preserve">Canadian Economy. </w:t>
      </w:r>
      <w:r w:rsidRPr="000B0724">
        <w:rPr>
          <w:rFonts w:ascii="Arial" w:hAnsi="Arial" w:cs="Arial"/>
          <w:i/>
          <w:iCs/>
        </w:rPr>
        <w:t>Canadian Public Policy</w:t>
      </w:r>
      <w:r w:rsidRPr="000B0724">
        <w:rPr>
          <w:rFonts w:ascii="Arial" w:hAnsi="Arial" w:cs="Arial"/>
        </w:rPr>
        <w:t>, 169-181 doi:10.3138/cpp.2015-045</w:t>
      </w:r>
    </w:p>
    <w:p w14:paraId="58E22501" w14:textId="77777777" w:rsidR="000B0724" w:rsidRPr="000B0724" w:rsidRDefault="000B0724" w:rsidP="000B0724">
      <w:pPr>
        <w:autoSpaceDE w:val="0"/>
        <w:autoSpaceDN w:val="0"/>
        <w:adjustRightInd w:val="0"/>
        <w:ind w:firstLine="720"/>
        <w:jc w:val="both"/>
        <w:rPr>
          <w:rFonts w:ascii="Arial" w:hAnsi="Arial" w:cs="Arial"/>
        </w:rPr>
      </w:pPr>
    </w:p>
    <w:p w14:paraId="76B270F9" w14:textId="77777777" w:rsidR="000B0724" w:rsidRPr="000B0724" w:rsidRDefault="000B0724" w:rsidP="000B0724">
      <w:pPr>
        <w:jc w:val="both"/>
        <w:rPr>
          <w:rFonts w:ascii="Arial" w:hAnsi="Arial" w:cs="Arial"/>
        </w:rPr>
      </w:pPr>
      <w:proofErr w:type="spellStart"/>
      <w:r w:rsidRPr="000B0724">
        <w:rPr>
          <w:rFonts w:ascii="Arial" w:hAnsi="Arial" w:cs="Arial"/>
        </w:rPr>
        <w:t>Deyshappriya</w:t>
      </w:r>
      <w:proofErr w:type="spellEnd"/>
      <w:r w:rsidRPr="000B0724">
        <w:rPr>
          <w:rFonts w:ascii="Arial" w:hAnsi="Arial" w:cs="Arial"/>
        </w:rPr>
        <w:t xml:space="preserve">, N.P.R.; </w:t>
      </w:r>
      <w:proofErr w:type="spellStart"/>
      <w:r w:rsidRPr="000B0724">
        <w:rPr>
          <w:rFonts w:ascii="Arial" w:hAnsi="Arial" w:cs="Arial"/>
        </w:rPr>
        <w:t>Rukshan</w:t>
      </w:r>
      <w:proofErr w:type="spellEnd"/>
      <w:r w:rsidRPr="000B0724">
        <w:rPr>
          <w:rFonts w:ascii="Arial" w:hAnsi="Arial" w:cs="Arial"/>
        </w:rPr>
        <w:t xml:space="preserve">, I.A.D.D.W.; </w:t>
      </w:r>
      <w:proofErr w:type="spellStart"/>
      <w:r w:rsidRPr="000B0724">
        <w:rPr>
          <w:rFonts w:ascii="Arial" w:hAnsi="Arial" w:cs="Arial"/>
        </w:rPr>
        <w:t>Padmakanthi</w:t>
      </w:r>
      <w:proofErr w:type="spellEnd"/>
      <w:r w:rsidRPr="000B0724">
        <w:rPr>
          <w:rFonts w:ascii="Arial" w:hAnsi="Arial" w:cs="Arial"/>
        </w:rPr>
        <w:t xml:space="preserve">, N.P.D. Impact of Oil Price on </w:t>
      </w:r>
    </w:p>
    <w:p w14:paraId="36A509F4" w14:textId="77777777" w:rsidR="000B0724" w:rsidRPr="000B0724" w:rsidRDefault="000B0724" w:rsidP="000B0724">
      <w:pPr>
        <w:ind w:left="720"/>
        <w:jc w:val="both"/>
        <w:rPr>
          <w:rFonts w:ascii="Arial" w:hAnsi="Arial" w:cs="Arial"/>
        </w:rPr>
      </w:pPr>
      <w:r w:rsidRPr="000B0724">
        <w:rPr>
          <w:rFonts w:ascii="Arial" w:hAnsi="Arial" w:cs="Arial"/>
        </w:rPr>
        <w:t xml:space="preserve">Economic Growth of OECD Countries: A Dynamic Panel Data Analysis. </w:t>
      </w:r>
      <w:r w:rsidRPr="000B0724">
        <w:rPr>
          <w:rFonts w:ascii="Arial" w:hAnsi="Arial" w:cs="Arial"/>
          <w:i/>
          <w:iCs/>
        </w:rPr>
        <w:t>Sustainability</w:t>
      </w:r>
      <w:r w:rsidRPr="000B0724">
        <w:rPr>
          <w:rFonts w:ascii="Arial" w:hAnsi="Arial" w:cs="Arial"/>
        </w:rPr>
        <w:t xml:space="preserve"> 15, 4888. </w:t>
      </w:r>
      <w:hyperlink r:id="rId36" w:history="1">
        <w:r w:rsidRPr="000B0724">
          <w:rPr>
            <w:rStyle w:val="Hyperlink"/>
            <w:rFonts w:ascii="Arial" w:hAnsi="Arial" w:cs="Arial"/>
          </w:rPr>
          <w:t>https://doi.org/10.3390/su15064888</w:t>
        </w:r>
      </w:hyperlink>
    </w:p>
    <w:p w14:paraId="747B951A" w14:textId="77777777" w:rsidR="000B0724" w:rsidRPr="000B0724" w:rsidRDefault="000B0724" w:rsidP="000B0724">
      <w:pPr>
        <w:ind w:left="720"/>
        <w:jc w:val="both"/>
        <w:rPr>
          <w:rFonts w:ascii="Arial" w:hAnsi="Arial" w:cs="Arial"/>
        </w:rPr>
      </w:pPr>
    </w:p>
    <w:p w14:paraId="441400E1" w14:textId="77777777" w:rsidR="000B0724" w:rsidRPr="000B0724" w:rsidRDefault="000B0724" w:rsidP="000B0724">
      <w:pPr>
        <w:jc w:val="both"/>
        <w:rPr>
          <w:rFonts w:ascii="Arial" w:hAnsi="Arial" w:cs="Arial"/>
        </w:rPr>
      </w:pPr>
      <w:r w:rsidRPr="000B0724">
        <w:rPr>
          <w:rFonts w:ascii="Arial" w:hAnsi="Arial" w:cs="Arial"/>
        </w:rPr>
        <w:t xml:space="preserve">Diener, E. (1984). Subjective well-being. </w:t>
      </w:r>
      <w:r w:rsidRPr="000B0724">
        <w:rPr>
          <w:rFonts w:ascii="Arial" w:hAnsi="Arial" w:cs="Arial"/>
          <w:i/>
          <w:iCs/>
        </w:rPr>
        <w:t>Psychological Bulletin.</w:t>
      </w:r>
      <w:r w:rsidRPr="000B0724">
        <w:rPr>
          <w:rFonts w:ascii="Arial" w:hAnsi="Arial" w:cs="Arial"/>
        </w:rPr>
        <w:t xml:space="preserve"> 95(3), 542–575.</w:t>
      </w:r>
    </w:p>
    <w:p w14:paraId="4E728A15" w14:textId="77777777" w:rsidR="000B0724" w:rsidRPr="000B0724" w:rsidRDefault="000B0724" w:rsidP="000B0724">
      <w:pPr>
        <w:jc w:val="both"/>
        <w:rPr>
          <w:rFonts w:ascii="Arial" w:hAnsi="Arial" w:cs="Arial"/>
        </w:rPr>
      </w:pPr>
      <w:r w:rsidRPr="000B0724">
        <w:rPr>
          <w:rFonts w:ascii="Arial" w:hAnsi="Arial" w:cs="Arial"/>
        </w:rPr>
        <w:t xml:space="preserve">Diener, E. (1985). The Satisfaction with Life Scale. </w:t>
      </w:r>
      <w:r w:rsidRPr="000B0724">
        <w:rPr>
          <w:rFonts w:ascii="Arial" w:hAnsi="Arial" w:cs="Arial"/>
          <w:i/>
          <w:iCs/>
        </w:rPr>
        <w:t>Journal of Personality Assessment.</w:t>
      </w:r>
      <w:r w:rsidRPr="000B0724">
        <w:rPr>
          <w:rFonts w:ascii="Arial" w:hAnsi="Arial" w:cs="Arial"/>
        </w:rPr>
        <w:t xml:space="preserve"> 49(1): 71-90</w:t>
      </w:r>
    </w:p>
    <w:p w14:paraId="1B28395F" w14:textId="77777777" w:rsidR="000B0724" w:rsidRPr="000B0724" w:rsidRDefault="000B0724" w:rsidP="000B0724">
      <w:pPr>
        <w:ind w:left="720" w:hanging="720"/>
        <w:jc w:val="both"/>
        <w:rPr>
          <w:rFonts w:ascii="Arial" w:hAnsi="Arial" w:cs="Arial"/>
        </w:rPr>
      </w:pPr>
      <w:r w:rsidRPr="000B0724">
        <w:rPr>
          <w:rFonts w:ascii="Arial" w:hAnsi="Arial" w:cs="Arial"/>
        </w:rPr>
        <w:t xml:space="preserve">Diener, E. (1999). Subjective well-being: Three decades of progress. </w:t>
      </w:r>
      <w:r w:rsidRPr="000B0724">
        <w:rPr>
          <w:rFonts w:ascii="Arial" w:hAnsi="Arial" w:cs="Arial"/>
          <w:i/>
          <w:iCs/>
        </w:rPr>
        <w:t>Psychological Bulletin</w:t>
      </w:r>
      <w:r w:rsidRPr="000B0724">
        <w:rPr>
          <w:rFonts w:ascii="Arial" w:hAnsi="Arial" w:cs="Arial"/>
        </w:rPr>
        <w:t>.125(2),276–302.</w:t>
      </w:r>
    </w:p>
    <w:p w14:paraId="712DC102" w14:textId="77777777" w:rsidR="000B0724" w:rsidRPr="000B0724" w:rsidRDefault="000B0724" w:rsidP="000B0724">
      <w:pPr>
        <w:jc w:val="both"/>
        <w:rPr>
          <w:rFonts w:ascii="Arial" w:hAnsi="Arial" w:cs="Arial"/>
        </w:rPr>
      </w:pPr>
      <w:r w:rsidRPr="000B0724">
        <w:rPr>
          <w:rFonts w:ascii="Arial" w:hAnsi="Arial" w:cs="Arial"/>
        </w:rPr>
        <w:t xml:space="preserve">Easterlin, R. A.  (2010). The happiness–income paradox revisited. </w:t>
      </w:r>
      <w:r w:rsidRPr="000B0724">
        <w:rPr>
          <w:rFonts w:ascii="Arial" w:hAnsi="Arial" w:cs="Arial"/>
          <w:i/>
          <w:iCs/>
        </w:rPr>
        <w:t>The National Academy of Sciences.</w:t>
      </w:r>
      <w:r w:rsidRPr="000B0724">
        <w:rPr>
          <w:rFonts w:ascii="Arial" w:hAnsi="Arial" w:cs="Arial"/>
        </w:rPr>
        <w:t xml:space="preserve"> 107(52), 22463–22468.</w:t>
      </w:r>
    </w:p>
    <w:p w14:paraId="03525F38" w14:textId="77777777" w:rsidR="000B0724" w:rsidRPr="000B0724" w:rsidRDefault="000B0724" w:rsidP="000B0724">
      <w:pPr>
        <w:jc w:val="both"/>
        <w:rPr>
          <w:rFonts w:ascii="Arial" w:hAnsi="Arial" w:cs="Arial"/>
        </w:rPr>
      </w:pPr>
    </w:p>
    <w:p w14:paraId="0A1B93A1" w14:textId="77777777" w:rsidR="000B0724" w:rsidRPr="000B0724" w:rsidRDefault="000B0724" w:rsidP="000B0724">
      <w:pPr>
        <w:jc w:val="both"/>
        <w:rPr>
          <w:rFonts w:ascii="Arial" w:hAnsi="Arial" w:cs="Arial"/>
        </w:rPr>
      </w:pPr>
      <w:r w:rsidRPr="000B0724">
        <w:rPr>
          <w:rFonts w:ascii="Arial" w:hAnsi="Arial" w:cs="Arial"/>
        </w:rPr>
        <w:t xml:space="preserve">Edwin, A. H. G., Fabrice, G &amp;Velez-Ocampo, J. (2021). Understanding the impact of wellbeing </w:t>
      </w:r>
    </w:p>
    <w:p w14:paraId="5EFB4861" w14:textId="77777777" w:rsidR="000B0724" w:rsidRPr="000B0724" w:rsidRDefault="000B0724" w:rsidP="000B0724">
      <w:pPr>
        <w:ind w:left="720"/>
        <w:jc w:val="both"/>
        <w:rPr>
          <w:rFonts w:ascii="Arial" w:hAnsi="Arial" w:cs="Arial"/>
        </w:rPr>
      </w:pPr>
      <w:r w:rsidRPr="000B0724">
        <w:rPr>
          <w:rFonts w:ascii="Arial" w:hAnsi="Arial" w:cs="Arial"/>
        </w:rPr>
        <w:lastRenderedPageBreak/>
        <w:t xml:space="preserve">on entrepreneurship in the context of emerging economies. </w:t>
      </w:r>
      <w:r w:rsidRPr="000B0724">
        <w:rPr>
          <w:rFonts w:ascii="Arial" w:hAnsi="Arial" w:cs="Arial"/>
          <w:i/>
          <w:iCs/>
        </w:rPr>
        <w:t>Journal of Entrepreneurship in Emerging Economies</w:t>
      </w:r>
      <w:r w:rsidRPr="000B0724">
        <w:rPr>
          <w:rFonts w:ascii="Arial" w:hAnsi="Arial" w:cs="Arial"/>
        </w:rPr>
        <w:t>. 2053-4604. DOI 10.1108/JEEE-08-2020-0314</w:t>
      </w:r>
    </w:p>
    <w:p w14:paraId="6914873F" w14:textId="77777777" w:rsidR="000B0724" w:rsidRPr="000B0724" w:rsidRDefault="000B0724" w:rsidP="000B0724">
      <w:pPr>
        <w:jc w:val="both"/>
        <w:rPr>
          <w:rFonts w:ascii="Arial" w:hAnsi="Arial" w:cs="Arial"/>
        </w:rPr>
      </w:pPr>
    </w:p>
    <w:p w14:paraId="53955A85" w14:textId="77777777" w:rsidR="000B0724" w:rsidRPr="000B0724" w:rsidRDefault="000B0724" w:rsidP="000B0724">
      <w:pPr>
        <w:jc w:val="both"/>
        <w:rPr>
          <w:rFonts w:ascii="Arial" w:hAnsi="Arial" w:cs="Arial"/>
        </w:rPr>
      </w:pPr>
      <w:r w:rsidRPr="000B0724">
        <w:rPr>
          <w:rFonts w:ascii="Arial" w:hAnsi="Arial" w:cs="Arial"/>
        </w:rPr>
        <w:t xml:space="preserve">Emmanuel, M. O., Adetayo, Ak. S., &amp; </w:t>
      </w:r>
      <w:proofErr w:type="spellStart"/>
      <w:r w:rsidRPr="000B0724">
        <w:rPr>
          <w:rFonts w:ascii="Arial" w:hAnsi="Arial" w:cs="Arial"/>
        </w:rPr>
        <w:t>Oyelade</w:t>
      </w:r>
      <w:proofErr w:type="spellEnd"/>
      <w:r w:rsidRPr="000B0724">
        <w:rPr>
          <w:rFonts w:ascii="Arial" w:hAnsi="Arial" w:cs="Arial"/>
        </w:rPr>
        <w:t xml:space="preserve">, a. o (2018). Impact of petroleum product </w:t>
      </w:r>
    </w:p>
    <w:p w14:paraId="23BE89F8" w14:textId="77777777" w:rsidR="000B0724" w:rsidRPr="000B0724" w:rsidRDefault="000B0724" w:rsidP="000B0724">
      <w:pPr>
        <w:ind w:left="1440"/>
        <w:jc w:val="both"/>
        <w:rPr>
          <w:rFonts w:ascii="Arial" w:hAnsi="Arial" w:cs="Arial"/>
        </w:rPr>
      </w:pPr>
      <w:r w:rsidRPr="000B0724">
        <w:rPr>
          <w:rFonts w:ascii="Arial" w:hAnsi="Arial" w:cs="Arial"/>
        </w:rPr>
        <w:t xml:space="preserve">price on human welfare in Nigeria. </w:t>
      </w:r>
      <w:proofErr w:type="spellStart"/>
      <w:r w:rsidRPr="000B0724">
        <w:rPr>
          <w:rFonts w:ascii="Arial" w:hAnsi="Arial" w:cs="Arial"/>
          <w:i/>
          <w:iCs/>
        </w:rPr>
        <w:t>Periodyk</w:t>
      </w:r>
      <w:proofErr w:type="spellEnd"/>
      <w:r w:rsidRPr="000B0724">
        <w:rPr>
          <w:rFonts w:ascii="Arial" w:hAnsi="Arial" w:cs="Arial"/>
          <w:i/>
          <w:iCs/>
        </w:rPr>
        <w:t xml:space="preserve"> </w:t>
      </w:r>
      <w:proofErr w:type="spellStart"/>
      <w:r w:rsidRPr="000B0724">
        <w:rPr>
          <w:rFonts w:ascii="Arial" w:hAnsi="Arial" w:cs="Arial"/>
          <w:i/>
          <w:iCs/>
        </w:rPr>
        <w:t>naukowy</w:t>
      </w:r>
      <w:proofErr w:type="spellEnd"/>
      <w:r w:rsidRPr="000B0724">
        <w:rPr>
          <w:rFonts w:ascii="Arial" w:hAnsi="Arial" w:cs="Arial"/>
          <w:i/>
          <w:iCs/>
        </w:rPr>
        <w:t xml:space="preserve"> </w:t>
      </w:r>
      <w:proofErr w:type="spellStart"/>
      <w:r w:rsidRPr="000B0724">
        <w:rPr>
          <w:rFonts w:ascii="Arial" w:hAnsi="Arial" w:cs="Arial"/>
          <w:i/>
          <w:iCs/>
        </w:rPr>
        <w:t>akademii</w:t>
      </w:r>
      <w:proofErr w:type="spellEnd"/>
      <w:r w:rsidRPr="000B0724">
        <w:rPr>
          <w:rFonts w:ascii="Arial" w:hAnsi="Arial" w:cs="Arial"/>
          <w:i/>
          <w:iCs/>
        </w:rPr>
        <w:t xml:space="preserve"> </w:t>
      </w:r>
      <w:proofErr w:type="spellStart"/>
      <w:r w:rsidRPr="000B0724">
        <w:rPr>
          <w:rFonts w:ascii="Arial" w:hAnsi="Arial" w:cs="Arial"/>
          <w:i/>
          <w:iCs/>
        </w:rPr>
        <w:t>polonijne.j</w:t>
      </w:r>
      <w:proofErr w:type="spellEnd"/>
      <w:r w:rsidRPr="000B0724">
        <w:rPr>
          <w:rFonts w:ascii="Arial" w:hAnsi="Arial" w:cs="Arial"/>
        </w:rPr>
        <w:t xml:space="preserve"> 29(4). DOI: http://dx.doi.org/10.23856/2903</w:t>
      </w:r>
    </w:p>
    <w:p w14:paraId="5FBFA6EA" w14:textId="77777777" w:rsidR="000B0724" w:rsidRPr="000B0724" w:rsidRDefault="000B0724" w:rsidP="000B0724">
      <w:pPr>
        <w:autoSpaceDE w:val="0"/>
        <w:autoSpaceDN w:val="0"/>
        <w:adjustRightInd w:val="0"/>
        <w:rPr>
          <w:rFonts w:ascii="Arial" w:hAnsi="Arial" w:cs="Arial"/>
        </w:rPr>
      </w:pPr>
    </w:p>
    <w:p w14:paraId="56734535" w14:textId="77777777" w:rsidR="000B0724" w:rsidRPr="000B0724" w:rsidRDefault="000B0724" w:rsidP="000B0724">
      <w:pPr>
        <w:autoSpaceDE w:val="0"/>
        <w:autoSpaceDN w:val="0"/>
        <w:adjustRightInd w:val="0"/>
        <w:rPr>
          <w:rFonts w:ascii="Arial" w:hAnsi="Arial" w:cs="Arial"/>
        </w:rPr>
      </w:pPr>
      <w:proofErr w:type="spellStart"/>
      <w:r w:rsidRPr="000B0724">
        <w:rPr>
          <w:rFonts w:ascii="Arial" w:hAnsi="Arial" w:cs="Arial"/>
        </w:rPr>
        <w:t>Degiannakis</w:t>
      </w:r>
      <w:proofErr w:type="spellEnd"/>
      <w:r w:rsidRPr="000B0724">
        <w:rPr>
          <w:rFonts w:ascii="Arial" w:hAnsi="Arial" w:cs="Arial"/>
        </w:rPr>
        <w:t xml:space="preserve">, S., Filis, G. &amp; Arora, V. (2018), Oil prices and stock markets: a review of the </w:t>
      </w:r>
    </w:p>
    <w:p w14:paraId="1F32F92B" w14:textId="77777777" w:rsidR="000B0724" w:rsidRPr="000B0724" w:rsidRDefault="000B0724" w:rsidP="000B0724">
      <w:pPr>
        <w:autoSpaceDE w:val="0"/>
        <w:autoSpaceDN w:val="0"/>
        <w:adjustRightInd w:val="0"/>
        <w:ind w:left="720"/>
        <w:rPr>
          <w:rFonts w:ascii="Arial" w:hAnsi="Arial" w:cs="Arial"/>
        </w:rPr>
      </w:pPr>
      <w:proofErr w:type="spellStart"/>
      <w:r w:rsidRPr="000B0724">
        <w:rPr>
          <w:rFonts w:ascii="Arial" w:hAnsi="Arial" w:cs="Arial"/>
        </w:rPr>
        <w:t>theoryand</w:t>
      </w:r>
      <w:proofErr w:type="spellEnd"/>
      <w:r w:rsidRPr="000B0724">
        <w:rPr>
          <w:rFonts w:ascii="Arial" w:hAnsi="Arial" w:cs="Arial"/>
        </w:rPr>
        <w:t xml:space="preserve"> empirical evidence. </w:t>
      </w:r>
      <w:r w:rsidRPr="000B0724">
        <w:rPr>
          <w:rFonts w:ascii="Arial" w:hAnsi="Arial" w:cs="Arial"/>
          <w:i/>
          <w:iCs/>
        </w:rPr>
        <w:t>The Energy Journal</w:t>
      </w:r>
      <w:r w:rsidRPr="000B0724">
        <w:rPr>
          <w:rFonts w:ascii="Arial" w:hAnsi="Arial" w:cs="Arial"/>
        </w:rPr>
        <w:t xml:space="preserve">. 39(5) 85-130, </w:t>
      </w:r>
      <w:proofErr w:type="spellStart"/>
      <w:r w:rsidRPr="000B0724">
        <w:rPr>
          <w:rFonts w:ascii="Arial" w:hAnsi="Arial" w:cs="Arial"/>
        </w:rPr>
        <w:t>doi</w:t>
      </w:r>
      <w:proofErr w:type="spellEnd"/>
      <w:r w:rsidRPr="000B0724">
        <w:rPr>
          <w:rFonts w:ascii="Arial" w:hAnsi="Arial" w:cs="Arial"/>
        </w:rPr>
        <w:t>: 10.5547/01956574.39.5.sdeg</w:t>
      </w:r>
    </w:p>
    <w:p w14:paraId="018DA437" w14:textId="77777777" w:rsidR="000B0724" w:rsidRPr="000B0724" w:rsidRDefault="000B0724" w:rsidP="000B0724">
      <w:pPr>
        <w:autoSpaceDE w:val="0"/>
        <w:autoSpaceDN w:val="0"/>
        <w:adjustRightInd w:val="0"/>
        <w:ind w:left="720"/>
        <w:rPr>
          <w:rFonts w:ascii="Arial" w:hAnsi="Arial" w:cs="Arial"/>
        </w:rPr>
      </w:pPr>
    </w:p>
    <w:p w14:paraId="31E1914C" w14:textId="77777777" w:rsidR="000B0724" w:rsidRPr="000B0724" w:rsidRDefault="000B0724" w:rsidP="000B0724">
      <w:pPr>
        <w:autoSpaceDE w:val="0"/>
        <w:autoSpaceDN w:val="0"/>
        <w:adjustRightInd w:val="0"/>
        <w:rPr>
          <w:rFonts w:ascii="Arial" w:hAnsi="Arial" w:cs="Arial"/>
          <w:color w:val="000000"/>
        </w:rPr>
      </w:pPr>
      <w:r w:rsidRPr="000B0724">
        <w:rPr>
          <w:rFonts w:ascii="Arial" w:hAnsi="Arial" w:cs="Arial"/>
          <w:color w:val="000000"/>
        </w:rPr>
        <w:t xml:space="preserve">Frey, B. S. &amp; Stutzer, A. (2002). The economics of happiness. </w:t>
      </w:r>
      <w:r w:rsidRPr="000B0724">
        <w:rPr>
          <w:rFonts w:ascii="Arial" w:hAnsi="Arial" w:cs="Arial"/>
          <w:i/>
          <w:iCs/>
          <w:color w:val="000000"/>
        </w:rPr>
        <w:t>World Economics</w:t>
      </w:r>
      <w:r w:rsidRPr="000B0724">
        <w:rPr>
          <w:rFonts w:ascii="Arial" w:hAnsi="Arial" w:cs="Arial"/>
          <w:color w:val="000000"/>
        </w:rPr>
        <w:t>, 3:25–41.</w:t>
      </w:r>
    </w:p>
    <w:p w14:paraId="358FD6BF" w14:textId="77777777" w:rsidR="000B0724" w:rsidRPr="000B0724" w:rsidRDefault="000B0724" w:rsidP="000B0724">
      <w:pPr>
        <w:autoSpaceDE w:val="0"/>
        <w:autoSpaceDN w:val="0"/>
        <w:adjustRightInd w:val="0"/>
        <w:rPr>
          <w:rFonts w:ascii="Arial" w:hAnsi="Arial" w:cs="Arial"/>
          <w:color w:val="000000"/>
        </w:rPr>
      </w:pPr>
    </w:p>
    <w:p w14:paraId="6A2E1CF6" w14:textId="77777777" w:rsidR="000B0724" w:rsidRPr="000B0724" w:rsidRDefault="000B0724" w:rsidP="000B0724">
      <w:pPr>
        <w:autoSpaceDE w:val="0"/>
        <w:autoSpaceDN w:val="0"/>
        <w:adjustRightInd w:val="0"/>
        <w:rPr>
          <w:rFonts w:ascii="Arial" w:hAnsi="Arial" w:cs="Arial"/>
          <w:i/>
          <w:iCs/>
          <w:color w:val="000000"/>
        </w:rPr>
      </w:pPr>
      <w:r w:rsidRPr="000B0724">
        <w:rPr>
          <w:rFonts w:ascii="Arial" w:hAnsi="Arial" w:cs="Arial"/>
          <w:color w:val="000000"/>
        </w:rPr>
        <w:t xml:space="preserve">Frey, B. S. &amp; Stutzer, A. (2005). Beyond outcomes: measuring procedural utility. </w:t>
      </w:r>
      <w:r w:rsidRPr="000B0724">
        <w:rPr>
          <w:rFonts w:ascii="Arial" w:hAnsi="Arial" w:cs="Arial"/>
          <w:i/>
          <w:iCs/>
          <w:color w:val="000000"/>
        </w:rPr>
        <w:t>Oxford</w:t>
      </w:r>
    </w:p>
    <w:p w14:paraId="0619FB1D" w14:textId="77777777" w:rsidR="000B0724" w:rsidRPr="000B0724" w:rsidRDefault="000B0724" w:rsidP="000B0724">
      <w:pPr>
        <w:autoSpaceDE w:val="0"/>
        <w:autoSpaceDN w:val="0"/>
        <w:adjustRightInd w:val="0"/>
        <w:ind w:firstLine="720"/>
        <w:rPr>
          <w:rFonts w:ascii="Arial" w:hAnsi="Arial" w:cs="Arial"/>
          <w:color w:val="000000"/>
        </w:rPr>
      </w:pPr>
      <w:r w:rsidRPr="000B0724">
        <w:rPr>
          <w:rFonts w:ascii="Arial" w:hAnsi="Arial" w:cs="Arial"/>
          <w:i/>
          <w:iCs/>
          <w:color w:val="000000"/>
        </w:rPr>
        <w:t>Economic Papers</w:t>
      </w:r>
      <w:r w:rsidRPr="000B0724">
        <w:rPr>
          <w:rFonts w:ascii="Arial" w:hAnsi="Arial" w:cs="Arial"/>
          <w:color w:val="000000"/>
        </w:rPr>
        <w:t xml:space="preserve">, 57(1),90–111. </w:t>
      </w:r>
    </w:p>
    <w:p w14:paraId="2DC330AC" w14:textId="77777777" w:rsidR="000B0724" w:rsidRPr="000B0724" w:rsidRDefault="000B0724" w:rsidP="000B0724">
      <w:pPr>
        <w:autoSpaceDE w:val="0"/>
        <w:autoSpaceDN w:val="0"/>
        <w:adjustRightInd w:val="0"/>
        <w:ind w:firstLine="720"/>
        <w:rPr>
          <w:rFonts w:ascii="Arial" w:hAnsi="Arial" w:cs="Arial"/>
        </w:rPr>
      </w:pPr>
    </w:p>
    <w:p w14:paraId="342F059C" w14:textId="77777777" w:rsidR="000B0724" w:rsidRPr="000B0724" w:rsidRDefault="000B0724" w:rsidP="000B0724">
      <w:pPr>
        <w:jc w:val="both"/>
        <w:rPr>
          <w:rFonts w:ascii="Arial" w:hAnsi="Arial" w:cs="Arial"/>
        </w:rPr>
      </w:pPr>
      <w:r w:rsidRPr="000B0724">
        <w:rPr>
          <w:rFonts w:ascii="Arial" w:hAnsi="Arial" w:cs="Arial"/>
        </w:rPr>
        <w:t xml:space="preserve">Gulaliyev, M. G., Nuraliyeva, R. N., Huseynova, R. A., Hatamov, F. E., </w:t>
      </w:r>
      <w:proofErr w:type="spellStart"/>
      <w:r w:rsidRPr="000B0724">
        <w:rPr>
          <w:rFonts w:ascii="Arial" w:hAnsi="Arial" w:cs="Arial"/>
        </w:rPr>
        <w:t>Yegana</w:t>
      </w:r>
      <w:proofErr w:type="spellEnd"/>
      <w:r w:rsidRPr="000B0724">
        <w:rPr>
          <w:rFonts w:ascii="Arial" w:hAnsi="Arial" w:cs="Arial"/>
        </w:rPr>
        <w:t xml:space="preserve">, A. S., &amp; </w:t>
      </w:r>
    </w:p>
    <w:p w14:paraId="0AF70452" w14:textId="77777777" w:rsidR="000B0724" w:rsidRPr="000B0724" w:rsidRDefault="000B0724" w:rsidP="000B0724">
      <w:pPr>
        <w:ind w:left="720"/>
        <w:jc w:val="both"/>
        <w:rPr>
          <w:rFonts w:ascii="Arial" w:hAnsi="Arial" w:cs="Arial"/>
        </w:rPr>
      </w:pPr>
      <w:proofErr w:type="spellStart"/>
      <w:r w:rsidRPr="000B0724">
        <w:rPr>
          <w:rFonts w:ascii="Arial" w:hAnsi="Arial" w:cs="Arial"/>
        </w:rPr>
        <w:t>Abudullayev</w:t>
      </w:r>
      <w:proofErr w:type="spellEnd"/>
      <w:r w:rsidRPr="000B0724">
        <w:rPr>
          <w:rFonts w:ascii="Arial" w:hAnsi="Arial" w:cs="Arial"/>
        </w:rPr>
        <w:t xml:space="preserve">, E. S. (2022). Assessing the Impact of the Oil Price Shocks on Economic Growth in Oil-Exporting Arab Countries. </w:t>
      </w:r>
      <w:r w:rsidRPr="000B0724">
        <w:rPr>
          <w:rFonts w:ascii="Arial" w:hAnsi="Arial" w:cs="Arial"/>
          <w:i/>
          <w:iCs/>
        </w:rPr>
        <w:t>WSEAS transactions on business and economics</w:t>
      </w:r>
      <w:r w:rsidRPr="000B0724">
        <w:rPr>
          <w:rFonts w:ascii="Arial" w:hAnsi="Arial" w:cs="Arial"/>
        </w:rPr>
        <w:t xml:space="preserve"> DOI: 10.37394/23207.2022.19.42</w:t>
      </w:r>
    </w:p>
    <w:p w14:paraId="416D7EAD" w14:textId="77777777" w:rsidR="000B0724" w:rsidRPr="000B0724" w:rsidRDefault="000B0724" w:rsidP="000B0724">
      <w:pPr>
        <w:ind w:left="720"/>
        <w:jc w:val="both"/>
        <w:rPr>
          <w:rFonts w:ascii="Arial" w:hAnsi="Arial" w:cs="Arial"/>
        </w:rPr>
      </w:pPr>
    </w:p>
    <w:p w14:paraId="20A1983A" w14:textId="77777777" w:rsidR="000B0724" w:rsidRPr="000B0724" w:rsidRDefault="000B0724" w:rsidP="000B0724">
      <w:pPr>
        <w:autoSpaceDE w:val="0"/>
        <w:autoSpaceDN w:val="0"/>
        <w:adjustRightInd w:val="0"/>
        <w:rPr>
          <w:rFonts w:ascii="Arial" w:hAnsi="Arial" w:cs="Arial"/>
        </w:rPr>
      </w:pPr>
      <w:r w:rsidRPr="000B0724">
        <w:rPr>
          <w:rFonts w:ascii="Arial" w:hAnsi="Arial" w:cs="Arial"/>
        </w:rPr>
        <w:t xml:space="preserve">Haung, C. (2016). The impact of governance on happiness. Evidence from quantile regressions. </w:t>
      </w:r>
    </w:p>
    <w:p w14:paraId="7259B9B1" w14:textId="77777777" w:rsidR="000B0724" w:rsidRPr="000B0724" w:rsidRDefault="000B0724" w:rsidP="000B0724">
      <w:pPr>
        <w:autoSpaceDE w:val="0"/>
        <w:autoSpaceDN w:val="0"/>
        <w:adjustRightInd w:val="0"/>
        <w:ind w:firstLine="720"/>
        <w:rPr>
          <w:rFonts w:ascii="Arial" w:hAnsi="Arial" w:cs="Arial"/>
        </w:rPr>
      </w:pPr>
      <w:r w:rsidRPr="000B0724">
        <w:rPr>
          <w:rFonts w:ascii="Arial" w:hAnsi="Arial" w:cs="Arial"/>
          <w:i/>
          <w:iCs/>
        </w:rPr>
        <w:t>International Journal of Economics and management engineering</w:t>
      </w:r>
      <w:r w:rsidRPr="000B0724">
        <w:rPr>
          <w:rFonts w:ascii="Arial" w:hAnsi="Arial" w:cs="Arial"/>
        </w:rPr>
        <w:t>,10(7),45-65</w:t>
      </w:r>
    </w:p>
    <w:p w14:paraId="7735A638" w14:textId="77777777" w:rsidR="000B0724" w:rsidRPr="000B0724" w:rsidRDefault="000B0724" w:rsidP="000B0724">
      <w:pPr>
        <w:autoSpaceDE w:val="0"/>
        <w:autoSpaceDN w:val="0"/>
        <w:adjustRightInd w:val="0"/>
        <w:ind w:firstLine="720"/>
        <w:rPr>
          <w:rFonts w:ascii="Arial" w:hAnsi="Arial" w:cs="Arial"/>
        </w:rPr>
      </w:pPr>
    </w:p>
    <w:p w14:paraId="6036BA56" w14:textId="77777777" w:rsidR="000B0724" w:rsidRPr="000B0724" w:rsidRDefault="000B0724" w:rsidP="000B0724">
      <w:pPr>
        <w:jc w:val="both"/>
        <w:rPr>
          <w:rFonts w:ascii="Arial" w:hAnsi="Arial" w:cs="Arial"/>
        </w:rPr>
      </w:pPr>
      <w:r w:rsidRPr="000B0724">
        <w:rPr>
          <w:rFonts w:ascii="Arial" w:hAnsi="Arial" w:cs="Arial"/>
        </w:rPr>
        <w:t xml:space="preserve">Henri, N (2019). Governance and Happiness in African countries. Munich Personal </w:t>
      </w:r>
      <w:proofErr w:type="spellStart"/>
      <w:r w:rsidRPr="000B0724">
        <w:rPr>
          <w:rFonts w:ascii="Arial" w:hAnsi="Arial" w:cs="Arial"/>
        </w:rPr>
        <w:t>RePEc</w:t>
      </w:r>
      <w:proofErr w:type="spellEnd"/>
      <w:r w:rsidRPr="000B0724">
        <w:rPr>
          <w:rFonts w:ascii="Arial" w:hAnsi="Arial" w:cs="Arial"/>
        </w:rPr>
        <w:t xml:space="preserve"> </w:t>
      </w:r>
    </w:p>
    <w:p w14:paraId="2E976928" w14:textId="77777777" w:rsidR="000B0724" w:rsidRPr="000B0724" w:rsidRDefault="000B0724" w:rsidP="000B0724">
      <w:pPr>
        <w:ind w:firstLine="720"/>
        <w:jc w:val="both"/>
        <w:rPr>
          <w:rFonts w:ascii="Arial" w:hAnsi="Arial" w:cs="Arial"/>
        </w:rPr>
      </w:pPr>
      <w:r w:rsidRPr="000B0724">
        <w:rPr>
          <w:rFonts w:ascii="Arial" w:hAnsi="Arial" w:cs="Arial"/>
        </w:rPr>
        <w:t>Archive (MPRA). t https://mpra.ub.uni-muenchen.de/94361/</w:t>
      </w:r>
    </w:p>
    <w:p w14:paraId="01A9FD4D" w14:textId="77777777" w:rsidR="000B0724" w:rsidRPr="000B0724" w:rsidRDefault="000B0724" w:rsidP="000B0724">
      <w:pPr>
        <w:autoSpaceDE w:val="0"/>
        <w:autoSpaceDN w:val="0"/>
        <w:adjustRightInd w:val="0"/>
        <w:rPr>
          <w:rFonts w:ascii="Arial" w:hAnsi="Arial" w:cs="Arial"/>
        </w:rPr>
      </w:pPr>
    </w:p>
    <w:p w14:paraId="7167174F" w14:textId="77777777" w:rsidR="000B0724" w:rsidRPr="000B0724" w:rsidRDefault="000B0724" w:rsidP="000B0724">
      <w:pPr>
        <w:autoSpaceDE w:val="0"/>
        <w:autoSpaceDN w:val="0"/>
        <w:adjustRightInd w:val="0"/>
        <w:rPr>
          <w:rFonts w:ascii="Arial" w:hAnsi="Arial" w:cs="Arial"/>
        </w:rPr>
      </w:pPr>
      <w:r w:rsidRPr="000B0724">
        <w:rPr>
          <w:rFonts w:ascii="Arial" w:hAnsi="Arial" w:cs="Arial"/>
        </w:rPr>
        <w:t>International Energy Agency (2020). The IEA Oil Market Report (OMR) - April 2020.</w:t>
      </w:r>
    </w:p>
    <w:p w14:paraId="1AF63594" w14:textId="77777777" w:rsidR="000B0724" w:rsidRPr="000B0724" w:rsidRDefault="00F60847" w:rsidP="000B0724">
      <w:pPr>
        <w:autoSpaceDE w:val="0"/>
        <w:autoSpaceDN w:val="0"/>
        <w:adjustRightInd w:val="0"/>
        <w:ind w:firstLine="720"/>
        <w:rPr>
          <w:rFonts w:ascii="Arial" w:hAnsi="Arial" w:cs="Arial"/>
        </w:rPr>
      </w:pPr>
      <w:hyperlink r:id="rId37" w:history="1">
        <w:r w:rsidR="000B0724" w:rsidRPr="000B0724">
          <w:rPr>
            <w:rStyle w:val="Hyperlink"/>
            <w:rFonts w:ascii="Arial" w:hAnsi="Arial" w:cs="Arial"/>
          </w:rPr>
          <w:t>https://www.iea.org/reports/oil-market-report-april-2020</w:t>
        </w:r>
      </w:hyperlink>
      <w:r w:rsidR="000B0724" w:rsidRPr="000B0724">
        <w:rPr>
          <w:rFonts w:ascii="Arial" w:hAnsi="Arial" w:cs="Arial"/>
        </w:rPr>
        <w:t>.</w:t>
      </w:r>
    </w:p>
    <w:p w14:paraId="727221CA" w14:textId="77777777" w:rsidR="000B0724" w:rsidRPr="000B0724" w:rsidRDefault="000B0724" w:rsidP="000B0724">
      <w:pPr>
        <w:autoSpaceDE w:val="0"/>
        <w:autoSpaceDN w:val="0"/>
        <w:adjustRightInd w:val="0"/>
        <w:ind w:firstLine="720"/>
        <w:rPr>
          <w:rFonts w:ascii="Arial" w:hAnsi="Arial" w:cs="Arial"/>
        </w:rPr>
      </w:pPr>
    </w:p>
    <w:p w14:paraId="1F8736F9" w14:textId="77777777" w:rsidR="000B0724" w:rsidRPr="000B0724" w:rsidRDefault="000B0724" w:rsidP="000B0724">
      <w:pPr>
        <w:autoSpaceDE w:val="0"/>
        <w:autoSpaceDN w:val="0"/>
        <w:adjustRightInd w:val="0"/>
        <w:rPr>
          <w:rFonts w:ascii="Arial" w:hAnsi="Arial" w:cs="Arial"/>
        </w:rPr>
      </w:pPr>
      <w:r w:rsidRPr="000B0724">
        <w:rPr>
          <w:rFonts w:ascii="Arial" w:hAnsi="Arial" w:cs="Arial"/>
        </w:rPr>
        <w:t>Lyubomirsky, S., King, L. and Diener, E. (2005). The Benefits of Frequent Positive Affect: Does</w:t>
      </w:r>
      <w:r w:rsidRPr="000B0724">
        <w:rPr>
          <w:rFonts w:ascii="Arial" w:hAnsi="Arial" w:cs="Arial"/>
        </w:rPr>
        <w:tab/>
        <w:t xml:space="preserve">Happiness Lead to Success? </w:t>
      </w:r>
      <w:r w:rsidRPr="000B0724">
        <w:rPr>
          <w:rFonts w:ascii="Arial" w:hAnsi="Arial" w:cs="Arial"/>
          <w:i/>
          <w:iCs/>
        </w:rPr>
        <w:t>Psychological bulletin.</w:t>
      </w:r>
      <w:r w:rsidRPr="000B0724">
        <w:rPr>
          <w:rFonts w:ascii="Arial" w:hAnsi="Arial" w:cs="Arial"/>
        </w:rPr>
        <w:t xml:space="preserve"> 131(6), 803-820</w:t>
      </w:r>
    </w:p>
    <w:p w14:paraId="2154BA36" w14:textId="77777777" w:rsidR="000B0724" w:rsidRPr="000B0724" w:rsidRDefault="000B0724" w:rsidP="000B0724">
      <w:pPr>
        <w:autoSpaceDE w:val="0"/>
        <w:autoSpaceDN w:val="0"/>
        <w:adjustRightInd w:val="0"/>
        <w:rPr>
          <w:rFonts w:ascii="Arial" w:hAnsi="Arial" w:cs="Arial"/>
        </w:rPr>
      </w:pPr>
    </w:p>
    <w:p w14:paraId="4A787598" w14:textId="77777777" w:rsidR="000B0724" w:rsidRPr="000B0724" w:rsidRDefault="000B0724" w:rsidP="000B0724">
      <w:pPr>
        <w:autoSpaceDE w:val="0"/>
        <w:autoSpaceDN w:val="0"/>
        <w:adjustRightInd w:val="0"/>
        <w:jc w:val="both"/>
        <w:rPr>
          <w:rFonts w:ascii="Arial" w:hAnsi="Arial" w:cs="Arial"/>
        </w:rPr>
      </w:pPr>
      <w:proofErr w:type="spellStart"/>
      <w:r w:rsidRPr="000B0724">
        <w:rPr>
          <w:rFonts w:ascii="Arial" w:hAnsi="Arial" w:cs="Arial"/>
        </w:rPr>
        <w:t>Mamipour</w:t>
      </w:r>
      <w:proofErr w:type="spellEnd"/>
      <w:r w:rsidRPr="000B0724">
        <w:rPr>
          <w:rFonts w:ascii="Arial" w:hAnsi="Arial" w:cs="Arial"/>
        </w:rPr>
        <w:t xml:space="preserve">, S., Yazdani, S. </w:t>
      </w:r>
      <w:proofErr w:type="gramStart"/>
      <w:r w:rsidRPr="000B0724">
        <w:rPr>
          <w:rFonts w:ascii="Arial" w:hAnsi="Arial" w:cs="Arial"/>
        </w:rPr>
        <w:t>&amp;  Sepehri</w:t>
      </w:r>
      <w:proofErr w:type="gramEnd"/>
      <w:r w:rsidRPr="000B0724">
        <w:rPr>
          <w:rFonts w:ascii="Arial" w:hAnsi="Arial" w:cs="Arial"/>
        </w:rPr>
        <w:t xml:space="preserve">, E. (2022). Examining the spillover effects of volatile </w:t>
      </w:r>
    </w:p>
    <w:p w14:paraId="0A44291B" w14:textId="77777777" w:rsidR="000B0724" w:rsidRPr="000B0724" w:rsidRDefault="000B0724" w:rsidP="000B0724">
      <w:pPr>
        <w:autoSpaceDE w:val="0"/>
        <w:autoSpaceDN w:val="0"/>
        <w:adjustRightInd w:val="0"/>
        <w:ind w:firstLine="720"/>
        <w:jc w:val="both"/>
        <w:rPr>
          <w:rFonts w:ascii="Arial" w:hAnsi="Arial" w:cs="Arial"/>
        </w:rPr>
      </w:pPr>
      <w:r w:rsidRPr="000B0724">
        <w:rPr>
          <w:rFonts w:ascii="Arial" w:hAnsi="Arial" w:cs="Arial"/>
        </w:rPr>
        <w:t>oil prices on Iran’s stock market using wavelet</w:t>
      </w:r>
      <w:r w:rsidRPr="000B0724">
        <w:rPr>
          <w:rFonts w:ascii="Cambria Math" w:hAnsi="Cambria Math" w:cs="Cambria Math"/>
        </w:rPr>
        <w:t>‑</w:t>
      </w:r>
      <w:r w:rsidRPr="000B0724">
        <w:rPr>
          <w:rFonts w:ascii="Arial" w:hAnsi="Arial" w:cs="Arial"/>
        </w:rPr>
        <w:t>based multivariate GARCH</w:t>
      </w:r>
    </w:p>
    <w:p w14:paraId="73E99EF6" w14:textId="77777777" w:rsidR="000B0724" w:rsidRPr="000B0724" w:rsidRDefault="000B0724" w:rsidP="000B0724">
      <w:pPr>
        <w:autoSpaceDE w:val="0"/>
        <w:autoSpaceDN w:val="0"/>
        <w:adjustRightInd w:val="0"/>
        <w:ind w:left="720"/>
        <w:jc w:val="both"/>
        <w:rPr>
          <w:rFonts w:ascii="Arial" w:hAnsi="Arial" w:cs="Arial"/>
        </w:rPr>
      </w:pPr>
      <w:r w:rsidRPr="000B0724">
        <w:rPr>
          <w:rFonts w:ascii="Arial" w:hAnsi="Arial" w:cs="Arial"/>
        </w:rPr>
        <w:t xml:space="preserve">model. </w:t>
      </w:r>
      <w:r w:rsidRPr="000B0724">
        <w:rPr>
          <w:rFonts w:ascii="Arial" w:hAnsi="Arial" w:cs="Arial"/>
          <w:i/>
          <w:iCs/>
        </w:rPr>
        <w:t xml:space="preserve">Journal of Economics and Finance. </w:t>
      </w:r>
      <w:r w:rsidRPr="000B0724">
        <w:rPr>
          <w:rFonts w:ascii="Arial" w:hAnsi="Arial" w:cs="Arial"/>
        </w:rPr>
        <w:t xml:space="preserve">46:785–801. </w:t>
      </w:r>
      <w:hyperlink r:id="rId38" w:history="1">
        <w:r w:rsidRPr="000B0724">
          <w:rPr>
            <w:rStyle w:val="Hyperlink"/>
            <w:rFonts w:ascii="Arial" w:hAnsi="Arial" w:cs="Arial"/>
          </w:rPr>
          <w:t>https://doi.org/10.1007/s12197-022-09587-7</w:t>
        </w:r>
      </w:hyperlink>
    </w:p>
    <w:p w14:paraId="64843F5F" w14:textId="77777777" w:rsidR="000B0724" w:rsidRPr="000B0724" w:rsidRDefault="000B0724" w:rsidP="000B0724">
      <w:pPr>
        <w:autoSpaceDE w:val="0"/>
        <w:autoSpaceDN w:val="0"/>
        <w:adjustRightInd w:val="0"/>
        <w:ind w:left="720"/>
        <w:jc w:val="both"/>
        <w:rPr>
          <w:rFonts w:ascii="Arial" w:hAnsi="Arial" w:cs="Arial"/>
        </w:rPr>
      </w:pPr>
    </w:p>
    <w:p w14:paraId="40801107" w14:textId="77777777" w:rsidR="000B0724" w:rsidRPr="000B0724" w:rsidRDefault="000B0724" w:rsidP="000B0724">
      <w:pPr>
        <w:autoSpaceDE w:val="0"/>
        <w:autoSpaceDN w:val="0"/>
        <w:adjustRightInd w:val="0"/>
        <w:rPr>
          <w:rFonts w:ascii="Arial" w:hAnsi="Arial" w:cs="Arial"/>
        </w:rPr>
      </w:pPr>
      <w:r w:rsidRPr="000B0724">
        <w:rPr>
          <w:rFonts w:ascii="Arial" w:hAnsi="Arial" w:cs="Arial"/>
        </w:rPr>
        <w:t xml:space="preserve">Mochon (2018). Happiness and Technology: Special Consideration of Digital Technology and </w:t>
      </w:r>
    </w:p>
    <w:p w14:paraId="0C1A1A81" w14:textId="77777777" w:rsidR="000B0724" w:rsidRPr="000B0724" w:rsidRDefault="000B0724" w:rsidP="000B0724">
      <w:pPr>
        <w:autoSpaceDE w:val="0"/>
        <w:autoSpaceDN w:val="0"/>
        <w:adjustRightInd w:val="0"/>
        <w:ind w:firstLine="720"/>
        <w:rPr>
          <w:rFonts w:ascii="Arial" w:hAnsi="Arial" w:cs="Arial"/>
        </w:rPr>
      </w:pPr>
      <w:r w:rsidRPr="000B0724">
        <w:rPr>
          <w:rFonts w:ascii="Arial" w:hAnsi="Arial" w:cs="Arial"/>
        </w:rPr>
        <w:t xml:space="preserve">Internet. </w:t>
      </w:r>
      <w:r w:rsidRPr="000B0724">
        <w:rPr>
          <w:rFonts w:ascii="Arial" w:hAnsi="Arial" w:cs="Arial"/>
          <w:i/>
          <w:iCs/>
        </w:rPr>
        <w:t>International Journal of Interactive Multimedia and Artificial Intelligence</w:t>
      </w:r>
      <w:r w:rsidRPr="000B0724">
        <w:rPr>
          <w:rFonts w:ascii="Arial" w:hAnsi="Arial" w:cs="Arial"/>
        </w:rPr>
        <w:t>, 5(3),278-292</w:t>
      </w:r>
    </w:p>
    <w:p w14:paraId="60777BFC" w14:textId="77777777" w:rsidR="000B0724" w:rsidRPr="000B0724" w:rsidRDefault="000B0724" w:rsidP="000B0724">
      <w:pPr>
        <w:autoSpaceDE w:val="0"/>
        <w:autoSpaceDN w:val="0"/>
        <w:adjustRightInd w:val="0"/>
        <w:ind w:firstLine="720"/>
        <w:rPr>
          <w:rFonts w:ascii="Arial" w:hAnsi="Arial" w:cs="Arial"/>
        </w:rPr>
      </w:pPr>
    </w:p>
    <w:p w14:paraId="62DC6A6E" w14:textId="77777777" w:rsidR="000B0724" w:rsidRPr="000B0724" w:rsidRDefault="000B0724" w:rsidP="000B0724">
      <w:pPr>
        <w:rPr>
          <w:rFonts w:ascii="Arial" w:hAnsi="Arial" w:cs="Arial"/>
        </w:rPr>
      </w:pPr>
      <w:proofErr w:type="spellStart"/>
      <w:r w:rsidRPr="000B0724">
        <w:rPr>
          <w:rFonts w:ascii="Arial" w:hAnsi="Arial" w:cs="Arial"/>
        </w:rPr>
        <w:t>Mignamissi</w:t>
      </w:r>
      <w:proofErr w:type="spellEnd"/>
      <w:r w:rsidRPr="000B0724">
        <w:rPr>
          <w:rFonts w:ascii="Arial" w:hAnsi="Arial" w:cs="Arial"/>
        </w:rPr>
        <w:t xml:space="preserve">, D. &amp; Kuete, Y. F. (2020). What makes Africans happy? Munich Personal </w:t>
      </w:r>
      <w:proofErr w:type="spellStart"/>
      <w:r w:rsidRPr="000B0724">
        <w:rPr>
          <w:rFonts w:ascii="Arial" w:hAnsi="Arial" w:cs="Arial"/>
        </w:rPr>
        <w:t>RePEc</w:t>
      </w:r>
      <w:proofErr w:type="spellEnd"/>
      <w:r w:rsidRPr="000B0724">
        <w:rPr>
          <w:rFonts w:ascii="Arial" w:hAnsi="Arial" w:cs="Arial"/>
        </w:rPr>
        <w:t xml:space="preserve"> </w:t>
      </w:r>
    </w:p>
    <w:p w14:paraId="3CEBEFC7" w14:textId="77777777" w:rsidR="000B0724" w:rsidRPr="000B0724" w:rsidRDefault="000B0724" w:rsidP="000B0724">
      <w:pPr>
        <w:autoSpaceDE w:val="0"/>
        <w:autoSpaceDN w:val="0"/>
        <w:adjustRightInd w:val="0"/>
        <w:ind w:firstLine="720"/>
        <w:rPr>
          <w:rFonts w:ascii="Arial" w:hAnsi="Arial" w:cs="Arial"/>
        </w:rPr>
      </w:pPr>
      <w:r w:rsidRPr="000B0724">
        <w:rPr>
          <w:rFonts w:ascii="Arial" w:hAnsi="Arial" w:cs="Arial"/>
        </w:rPr>
        <w:t>Archive (MPRA). t https://mpra.ub.uni-muenchen.de/99016/ MPRA Paper No. 99016</w:t>
      </w:r>
    </w:p>
    <w:p w14:paraId="425A7BC3" w14:textId="77777777" w:rsidR="000B0724" w:rsidRPr="000B0724" w:rsidRDefault="000B0724" w:rsidP="000B0724">
      <w:pPr>
        <w:autoSpaceDE w:val="0"/>
        <w:autoSpaceDN w:val="0"/>
        <w:adjustRightInd w:val="0"/>
        <w:ind w:firstLine="720"/>
        <w:rPr>
          <w:rFonts w:ascii="Arial" w:hAnsi="Arial" w:cs="Arial"/>
        </w:rPr>
      </w:pPr>
    </w:p>
    <w:p w14:paraId="244AB2D8" w14:textId="77777777" w:rsidR="000B0724" w:rsidRPr="000B0724" w:rsidRDefault="000B0724" w:rsidP="000B0724">
      <w:pPr>
        <w:autoSpaceDE w:val="0"/>
        <w:autoSpaceDN w:val="0"/>
        <w:adjustRightInd w:val="0"/>
        <w:rPr>
          <w:rFonts w:ascii="Arial" w:hAnsi="Arial" w:cs="Arial"/>
        </w:rPr>
      </w:pPr>
      <w:bookmarkStart w:id="21" w:name="_Hlk167633246"/>
      <w:r w:rsidRPr="000B0724">
        <w:rPr>
          <w:rFonts w:ascii="Arial" w:hAnsi="Arial" w:cs="Arial"/>
        </w:rPr>
        <w:t xml:space="preserve">Noubissi, B. E. &amp; </w:t>
      </w:r>
      <w:proofErr w:type="spellStart"/>
      <w:r w:rsidRPr="000B0724">
        <w:rPr>
          <w:rFonts w:ascii="Arial" w:hAnsi="Arial" w:cs="Arial"/>
        </w:rPr>
        <w:t>Poumie</w:t>
      </w:r>
      <w:proofErr w:type="spellEnd"/>
      <w:r w:rsidRPr="000B0724">
        <w:rPr>
          <w:rFonts w:ascii="Arial" w:hAnsi="Arial" w:cs="Arial"/>
        </w:rPr>
        <w:t>, B. (2019). National happiness and Environment</w:t>
      </w:r>
    </w:p>
    <w:bookmarkEnd w:id="21"/>
    <w:p w14:paraId="60BBDB7D" w14:textId="77777777" w:rsidR="000B0724" w:rsidRPr="000B0724" w:rsidRDefault="000B0724" w:rsidP="000B0724">
      <w:pPr>
        <w:autoSpaceDE w:val="0"/>
        <w:autoSpaceDN w:val="0"/>
        <w:adjustRightInd w:val="0"/>
        <w:ind w:left="720"/>
        <w:rPr>
          <w:rFonts w:ascii="Arial" w:hAnsi="Arial" w:cs="Arial"/>
        </w:rPr>
      </w:pPr>
      <w:r w:rsidRPr="000B0724">
        <w:rPr>
          <w:rFonts w:ascii="Arial" w:hAnsi="Arial" w:cs="Arial"/>
        </w:rPr>
        <w:t xml:space="preserve">quality in Africa. Munich Personal </w:t>
      </w:r>
      <w:proofErr w:type="spellStart"/>
      <w:r w:rsidRPr="000B0724">
        <w:rPr>
          <w:rFonts w:ascii="Arial" w:hAnsi="Arial" w:cs="Arial"/>
        </w:rPr>
        <w:t>RePEc</w:t>
      </w:r>
      <w:proofErr w:type="spellEnd"/>
      <w:r w:rsidRPr="000B0724">
        <w:rPr>
          <w:rFonts w:ascii="Arial" w:hAnsi="Arial" w:cs="Arial"/>
        </w:rPr>
        <w:t xml:space="preserve"> Archive. </w:t>
      </w:r>
      <w:hyperlink r:id="rId39" w:history="1">
        <w:r w:rsidRPr="000B0724">
          <w:rPr>
            <w:rStyle w:val="Hyperlink"/>
            <w:rFonts w:ascii="Arial" w:hAnsi="Arial" w:cs="Arial"/>
          </w:rPr>
          <w:t>https://mpra.ub.uni-muenchen.de/96580/MPRA Paper No. 96580</w:t>
        </w:r>
      </w:hyperlink>
      <w:r w:rsidRPr="000B0724">
        <w:rPr>
          <w:rFonts w:ascii="Arial" w:hAnsi="Arial" w:cs="Arial"/>
        </w:rPr>
        <w:t>.</w:t>
      </w:r>
    </w:p>
    <w:p w14:paraId="21E02E24" w14:textId="77777777" w:rsidR="000B0724" w:rsidRPr="000B0724" w:rsidRDefault="000B0724" w:rsidP="000B0724">
      <w:pPr>
        <w:autoSpaceDE w:val="0"/>
        <w:autoSpaceDN w:val="0"/>
        <w:adjustRightInd w:val="0"/>
        <w:ind w:left="720"/>
        <w:rPr>
          <w:rFonts w:ascii="Arial" w:hAnsi="Arial" w:cs="Arial"/>
        </w:rPr>
      </w:pPr>
    </w:p>
    <w:p w14:paraId="3056EBDA" w14:textId="77777777" w:rsidR="000B0724" w:rsidRPr="000B0724" w:rsidRDefault="000B0724" w:rsidP="000B0724">
      <w:pPr>
        <w:autoSpaceDE w:val="0"/>
        <w:autoSpaceDN w:val="0"/>
        <w:adjustRightInd w:val="0"/>
        <w:ind w:left="720" w:hanging="720"/>
        <w:rPr>
          <w:rFonts w:ascii="Arial" w:hAnsi="Arial" w:cs="Arial"/>
        </w:rPr>
      </w:pPr>
      <w:r w:rsidRPr="000B0724">
        <w:rPr>
          <w:rFonts w:ascii="Arial" w:hAnsi="Arial" w:cs="Arial"/>
        </w:rPr>
        <w:t xml:space="preserve">Nwosu, C.A. (2019). State-Space Analysis of Oil Prices and Consumer Price Index in Nigeria. </w:t>
      </w:r>
      <w:r w:rsidRPr="000B0724">
        <w:rPr>
          <w:rFonts w:ascii="Arial" w:hAnsi="Arial" w:cs="Arial"/>
          <w:i/>
          <w:iCs/>
        </w:rPr>
        <w:t>International Journal of Innovative Finance and Economics Research</w:t>
      </w:r>
      <w:r w:rsidRPr="000B0724">
        <w:rPr>
          <w:rFonts w:ascii="Arial" w:hAnsi="Arial" w:cs="Arial"/>
        </w:rPr>
        <w:t xml:space="preserve"> 7(2):130-141</w:t>
      </w:r>
    </w:p>
    <w:p w14:paraId="11A2DCB2" w14:textId="77777777" w:rsidR="000B0724" w:rsidRPr="000B0724" w:rsidRDefault="000B0724" w:rsidP="000B0724">
      <w:pPr>
        <w:autoSpaceDE w:val="0"/>
        <w:autoSpaceDN w:val="0"/>
        <w:adjustRightInd w:val="0"/>
        <w:ind w:left="720" w:hanging="720"/>
        <w:rPr>
          <w:rFonts w:ascii="Arial" w:hAnsi="Arial" w:cs="Arial"/>
        </w:rPr>
      </w:pPr>
    </w:p>
    <w:p w14:paraId="2FF94B9E" w14:textId="77777777" w:rsidR="000B0724" w:rsidRPr="000B0724" w:rsidRDefault="000B0724" w:rsidP="000B0724">
      <w:pPr>
        <w:autoSpaceDE w:val="0"/>
        <w:autoSpaceDN w:val="0"/>
        <w:adjustRightInd w:val="0"/>
        <w:ind w:left="720" w:hanging="720"/>
        <w:rPr>
          <w:rFonts w:ascii="Arial" w:hAnsi="Arial" w:cs="Arial"/>
        </w:rPr>
      </w:pPr>
      <w:r w:rsidRPr="000B0724">
        <w:rPr>
          <w:rFonts w:ascii="Arial" w:hAnsi="Arial" w:cs="Arial"/>
        </w:rPr>
        <w:t xml:space="preserve">Nwosu, C. A., </w:t>
      </w:r>
      <w:proofErr w:type="spellStart"/>
      <w:r w:rsidRPr="000B0724">
        <w:rPr>
          <w:rFonts w:ascii="Arial" w:hAnsi="Arial" w:cs="Arial"/>
        </w:rPr>
        <w:t>Ihugba</w:t>
      </w:r>
      <w:proofErr w:type="spellEnd"/>
      <w:r w:rsidRPr="000B0724">
        <w:rPr>
          <w:rFonts w:ascii="Arial" w:hAnsi="Arial" w:cs="Arial"/>
        </w:rPr>
        <w:t xml:space="preserve">, O. A., &amp; Okonkwo, O. N. (2019). Relating Oil Price Differentials </w:t>
      </w:r>
      <w:proofErr w:type="gramStart"/>
      <w:r w:rsidRPr="000B0724">
        <w:rPr>
          <w:rFonts w:ascii="Arial" w:hAnsi="Arial" w:cs="Arial"/>
        </w:rPr>
        <w:t>To</w:t>
      </w:r>
      <w:proofErr w:type="gramEnd"/>
      <w:r w:rsidRPr="000B0724">
        <w:rPr>
          <w:rFonts w:ascii="Arial" w:hAnsi="Arial" w:cs="Arial"/>
        </w:rPr>
        <w:t xml:space="preserve"> Industrial Production In Nigeria: BVAR Approach. </w:t>
      </w:r>
      <w:r w:rsidRPr="000B0724">
        <w:rPr>
          <w:rFonts w:ascii="Arial" w:hAnsi="Arial" w:cs="Arial"/>
          <w:i/>
          <w:iCs/>
        </w:rPr>
        <w:t xml:space="preserve">Journal </w:t>
      </w:r>
      <w:proofErr w:type="gramStart"/>
      <w:r w:rsidRPr="000B0724">
        <w:rPr>
          <w:rFonts w:ascii="Arial" w:hAnsi="Arial" w:cs="Arial"/>
          <w:i/>
          <w:iCs/>
        </w:rPr>
        <w:t>Of</w:t>
      </w:r>
      <w:proofErr w:type="gramEnd"/>
      <w:r w:rsidRPr="000B0724">
        <w:rPr>
          <w:rFonts w:ascii="Arial" w:hAnsi="Arial" w:cs="Arial"/>
          <w:i/>
          <w:iCs/>
        </w:rPr>
        <w:t xml:space="preserve"> Economics And Allied Research</w:t>
      </w:r>
      <w:r w:rsidRPr="000B0724">
        <w:rPr>
          <w:rFonts w:ascii="Arial" w:hAnsi="Arial" w:cs="Arial"/>
        </w:rPr>
        <w:t>, </w:t>
      </w:r>
      <w:r w:rsidRPr="000B0724">
        <w:rPr>
          <w:rFonts w:ascii="Arial" w:hAnsi="Arial" w:cs="Arial"/>
          <w:i/>
          <w:iCs/>
        </w:rPr>
        <w:t>3</w:t>
      </w:r>
      <w:r w:rsidRPr="000B0724">
        <w:rPr>
          <w:rFonts w:ascii="Arial" w:hAnsi="Arial" w:cs="Arial"/>
        </w:rPr>
        <w:t xml:space="preserve">(1), 61–74. Retrieved from </w:t>
      </w:r>
      <w:hyperlink r:id="rId40" w:history="1">
        <w:r w:rsidRPr="000B0724">
          <w:rPr>
            <w:rStyle w:val="Hyperlink"/>
            <w:rFonts w:ascii="Arial" w:hAnsi="Arial" w:cs="Arial"/>
          </w:rPr>
          <w:t>https://jearecons.com/index.php/jearecons/article/view/22</w:t>
        </w:r>
      </w:hyperlink>
    </w:p>
    <w:p w14:paraId="09D6B3A9" w14:textId="77777777" w:rsidR="000B0724" w:rsidRPr="000B0724" w:rsidRDefault="000B0724" w:rsidP="000B0724">
      <w:pPr>
        <w:autoSpaceDE w:val="0"/>
        <w:autoSpaceDN w:val="0"/>
        <w:adjustRightInd w:val="0"/>
        <w:ind w:left="720" w:hanging="720"/>
        <w:rPr>
          <w:rFonts w:ascii="Arial" w:hAnsi="Arial" w:cs="Arial"/>
        </w:rPr>
      </w:pPr>
    </w:p>
    <w:p w14:paraId="0CB703E9" w14:textId="77777777" w:rsidR="000B0724" w:rsidRPr="000B0724" w:rsidRDefault="000B0724" w:rsidP="000B0724">
      <w:pPr>
        <w:jc w:val="both"/>
        <w:rPr>
          <w:rFonts w:ascii="Arial" w:hAnsi="Arial" w:cs="Arial"/>
        </w:rPr>
      </w:pPr>
      <w:proofErr w:type="spellStart"/>
      <w:r w:rsidRPr="000B0724">
        <w:rPr>
          <w:rFonts w:ascii="Arial" w:hAnsi="Arial" w:cs="Arial"/>
        </w:rPr>
        <w:t>Oduyemi</w:t>
      </w:r>
      <w:proofErr w:type="spellEnd"/>
      <w:r w:rsidRPr="000B0724">
        <w:rPr>
          <w:rFonts w:ascii="Arial" w:hAnsi="Arial" w:cs="Arial"/>
        </w:rPr>
        <w:t xml:space="preserve">, G. &amp; Owoeye, T. (2020). Oil price fluctuation and health outcomes in an oil exporting </w:t>
      </w:r>
    </w:p>
    <w:p w14:paraId="641DA6E2" w14:textId="77777777" w:rsidR="000B0724" w:rsidRPr="000B0724" w:rsidRDefault="000B0724" w:rsidP="000B0724">
      <w:pPr>
        <w:ind w:left="720"/>
        <w:jc w:val="both"/>
        <w:rPr>
          <w:rFonts w:ascii="Arial" w:hAnsi="Arial" w:cs="Arial"/>
        </w:rPr>
      </w:pPr>
      <w:r w:rsidRPr="000B0724">
        <w:rPr>
          <w:rFonts w:ascii="Arial" w:hAnsi="Arial" w:cs="Arial"/>
        </w:rPr>
        <w:t xml:space="preserve">country: evidence from Nigeria. In: </w:t>
      </w:r>
      <w:r w:rsidRPr="000B0724">
        <w:rPr>
          <w:rFonts w:ascii="Arial" w:hAnsi="Arial" w:cs="Arial"/>
          <w:i/>
          <w:iCs/>
        </w:rPr>
        <w:t>International Journal of Energy Economics and Policy</w:t>
      </w:r>
      <w:r w:rsidRPr="000B0724">
        <w:rPr>
          <w:rFonts w:ascii="Arial" w:hAnsi="Arial" w:cs="Arial"/>
        </w:rPr>
        <w:t xml:space="preserve"> 10(4)212-220. http://www.econjournals.com/index.php/ijeep/article/download/9266</w:t>
      </w:r>
    </w:p>
    <w:p w14:paraId="60981081" w14:textId="77777777" w:rsidR="000B0724" w:rsidRPr="000B0724" w:rsidRDefault="000B0724" w:rsidP="000B0724">
      <w:pPr>
        <w:ind w:left="720"/>
        <w:jc w:val="both"/>
        <w:rPr>
          <w:rFonts w:ascii="Arial" w:hAnsi="Arial" w:cs="Arial"/>
        </w:rPr>
      </w:pPr>
      <w:r w:rsidRPr="000B0724">
        <w:rPr>
          <w:rFonts w:ascii="Arial" w:hAnsi="Arial" w:cs="Arial"/>
        </w:rPr>
        <w:t>/5123.doi.10.32479/ijeep.9266</w:t>
      </w:r>
    </w:p>
    <w:p w14:paraId="44BE0DFD" w14:textId="77777777" w:rsidR="000B0724" w:rsidRPr="000B0724" w:rsidRDefault="000B0724" w:rsidP="000B0724">
      <w:pPr>
        <w:ind w:left="720"/>
        <w:jc w:val="both"/>
        <w:rPr>
          <w:rFonts w:ascii="Arial" w:hAnsi="Arial" w:cs="Arial"/>
        </w:rPr>
      </w:pPr>
    </w:p>
    <w:p w14:paraId="4A2B76AE" w14:textId="77777777" w:rsidR="000B0724" w:rsidRPr="000B0724" w:rsidRDefault="000B0724" w:rsidP="000B0724">
      <w:pPr>
        <w:autoSpaceDE w:val="0"/>
        <w:autoSpaceDN w:val="0"/>
        <w:adjustRightInd w:val="0"/>
        <w:rPr>
          <w:rFonts w:ascii="Arial" w:hAnsi="Arial" w:cs="Arial"/>
          <w:shd w:val="clear" w:color="auto" w:fill="FFFFFF"/>
        </w:rPr>
      </w:pPr>
      <w:r w:rsidRPr="000B0724">
        <w:rPr>
          <w:rFonts w:ascii="Arial" w:hAnsi="Arial" w:cs="Arial"/>
        </w:rPr>
        <w:t xml:space="preserve">OECD (2011). How’s life? measuring well-being. </w:t>
      </w:r>
      <w:hyperlink r:id="rId41" w:history="1">
        <w:r w:rsidRPr="000B0724">
          <w:rPr>
            <w:rStyle w:val="Hyperlink"/>
            <w:rFonts w:ascii="Arial" w:hAnsi="Arial" w:cs="Arial"/>
            <w:shd w:val="clear" w:color="auto" w:fill="FFFFFF"/>
          </w:rPr>
          <w:t>https://www.oecd-ilibrary.org/economics/how-s-life_9789264121164-e</w:t>
        </w:r>
      </w:hyperlink>
    </w:p>
    <w:p w14:paraId="0074CDE7" w14:textId="77777777" w:rsidR="000B0724" w:rsidRPr="000B0724" w:rsidRDefault="000B0724" w:rsidP="000B0724">
      <w:pPr>
        <w:autoSpaceDE w:val="0"/>
        <w:autoSpaceDN w:val="0"/>
        <w:adjustRightInd w:val="0"/>
        <w:rPr>
          <w:rFonts w:ascii="Arial" w:hAnsi="Arial" w:cs="Arial"/>
          <w:shd w:val="clear" w:color="auto" w:fill="FFFFFF"/>
        </w:rPr>
      </w:pPr>
    </w:p>
    <w:p w14:paraId="1C0BBE7C" w14:textId="77777777" w:rsidR="000B0724" w:rsidRPr="000B0724" w:rsidRDefault="000B0724" w:rsidP="000B0724">
      <w:pPr>
        <w:autoSpaceDE w:val="0"/>
        <w:autoSpaceDN w:val="0"/>
        <w:adjustRightInd w:val="0"/>
        <w:rPr>
          <w:rFonts w:ascii="Arial" w:hAnsi="Arial" w:cs="Arial"/>
          <w:color w:val="000000"/>
        </w:rPr>
      </w:pPr>
      <w:r w:rsidRPr="000B0724">
        <w:rPr>
          <w:rFonts w:ascii="Arial" w:hAnsi="Arial" w:cs="Arial"/>
          <w:color w:val="000000"/>
        </w:rPr>
        <w:t>Ott, J. (2013). Greater happiness for a greater number: Some non-controversial options for</w:t>
      </w:r>
    </w:p>
    <w:p w14:paraId="09974AEE" w14:textId="77777777" w:rsidR="000B0724" w:rsidRPr="000B0724" w:rsidRDefault="000B0724" w:rsidP="000B0724">
      <w:pPr>
        <w:autoSpaceDE w:val="0"/>
        <w:autoSpaceDN w:val="0"/>
        <w:adjustRightInd w:val="0"/>
        <w:ind w:firstLine="720"/>
        <w:rPr>
          <w:rFonts w:ascii="Arial" w:hAnsi="Arial" w:cs="Arial"/>
          <w:color w:val="000000"/>
        </w:rPr>
      </w:pPr>
      <w:r w:rsidRPr="000B0724">
        <w:rPr>
          <w:rFonts w:ascii="Arial" w:hAnsi="Arial" w:cs="Arial"/>
          <w:color w:val="000000"/>
        </w:rPr>
        <w:lastRenderedPageBreak/>
        <w:t xml:space="preserve">governments. In the Exploration of Happiness, </w:t>
      </w:r>
      <w:r w:rsidRPr="000B0724">
        <w:rPr>
          <w:rFonts w:ascii="Arial" w:hAnsi="Arial" w:cs="Arial"/>
        </w:rPr>
        <w:t xml:space="preserve">1 (3), </w:t>
      </w:r>
      <w:r w:rsidRPr="000B0724">
        <w:rPr>
          <w:rFonts w:ascii="Arial" w:hAnsi="Arial" w:cs="Arial"/>
          <w:color w:val="000000"/>
        </w:rPr>
        <w:t xml:space="preserve">321–340.  </w:t>
      </w:r>
    </w:p>
    <w:p w14:paraId="0C224E10" w14:textId="77777777" w:rsidR="000B0724" w:rsidRPr="000B0724" w:rsidRDefault="000B0724" w:rsidP="000B0724">
      <w:pPr>
        <w:autoSpaceDE w:val="0"/>
        <w:autoSpaceDN w:val="0"/>
        <w:adjustRightInd w:val="0"/>
        <w:ind w:firstLine="720"/>
        <w:rPr>
          <w:rFonts w:ascii="Arial" w:hAnsi="Arial" w:cs="Arial"/>
          <w:color w:val="000000"/>
        </w:rPr>
      </w:pPr>
    </w:p>
    <w:p w14:paraId="1B19837C" w14:textId="77777777" w:rsidR="000B0724" w:rsidRPr="000B0724" w:rsidRDefault="000B0724" w:rsidP="000B0724">
      <w:pPr>
        <w:autoSpaceDE w:val="0"/>
        <w:autoSpaceDN w:val="0"/>
        <w:adjustRightInd w:val="0"/>
        <w:rPr>
          <w:rFonts w:ascii="Arial" w:hAnsi="Arial" w:cs="Arial"/>
        </w:rPr>
      </w:pPr>
      <w:r w:rsidRPr="000B0724">
        <w:rPr>
          <w:rFonts w:ascii="Arial" w:hAnsi="Arial" w:cs="Arial"/>
        </w:rPr>
        <w:t xml:space="preserve">Ott, J. C. (2010). Good Governance and Happiness in Nations: Technical Quality Precedes </w:t>
      </w:r>
    </w:p>
    <w:p w14:paraId="3CD5E8B4" w14:textId="77777777" w:rsidR="000B0724" w:rsidRPr="000B0724" w:rsidRDefault="000B0724" w:rsidP="000B0724">
      <w:pPr>
        <w:autoSpaceDE w:val="0"/>
        <w:autoSpaceDN w:val="0"/>
        <w:adjustRightInd w:val="0"/>
        <w:ind w:left="720"/>
        <w:rPr>
          <w:rFonts w:ascii="Arial" w:hAnsi="Arial" w:cs="Arial"/>
        </w:rPr>
      </w:pPr>
      <w:r w:rsidRPr="000B0724">
        <w:rPr>
          <w:rFonts w:ascii="Arial" w:hAnsi="Arial" w:cs="Arial"/>
        </w:rPr>
        <w:t xml:space="preserve">Democracy and Quality Beats Size. </w:t>
      </w:r>
      <w:r w:rsidRPr="000B0724">
        <w:rPr>
          <w:rFonts w:ascii="Arial" w:hAnsi="Arial" w:cs="Arial"/>
          <w:i/>
          <w:iCs/>
        </w:rPr>
        <w:t xml:space="preserve">Journal of Happiness Studies. </w:t>
      </w:r>
      <w:r w:rsidRPr="000B0724">
        <w:rPr>
          <w:rFonts w:ascii="Arial" w:hAnsi="Arial" w:cs="Arial"/>
        </w:rPr>
        <w:t>11:353–368. DOI. 10.1007/s10902-009-9144-7</w:t>
      </w:r>
    </w:p>
    <w:p w14:paraId="754D0982" w14:textId="77777777" w:rsidR="000B0724" w:rsidRPr="000B0724" w:rsidRDefault="000B0724" w:rsidP="000B0724">
      <w:pPr>
        <w:autoSpaceDE w:val="0"/>
        <w:autoSpaceDN w:val="0"/>
        <w:adjustRightInd w:val="0"/>
        <w:ind w:left="720"/>
        <w:rPr>
          <w:rFonts w:ascii="Arial" w:hAnsi="Arial" w:cs="Arial"/>
        </w:rPr>
      </w:pPr>
    </w:p>
    <w:p w14:paraId="2772A6BB" w14:textId="77777777" w:rsidR="000B0724" w:rsidRPr="000B0724" w:rsidRDefault="000B0724" w:rsidP="000B0724">
      <w:pPr>
        <w:autoSpaceDE w:val="0"/>
        <w:autoSpaceDN w:val="0"/>
        <w:adjustRightInd w:val="0"/>
        <w:jc w:val="both"/>
        <w:rPr>
          <w:rFonts w:ascii="Arial" w:hAnsi="Arial" w:cs="Arial"/>
        </w:rPr>
      </w:pPr>
      <w:r w:rsidRPr="000B0724">
        <w:rPr>
          <w:rFonts w:ascii="Arial" w:hAnsi="Arial" w:cs="Arial"/>
        </w:rPr>
        <w:t xml:space="preserve">Qing, L., Kang, S., </w:t>
      </w:r>
      <w:proofErr w:type="spellStart"/>
      <w:r w:rsidRPr="000B0724">
        <w:rPr>
          <w:rFonts w:ascii="Arial" w:hAnsi="Arial" w:cs="Arial"/>
        </w:rPr>
        <w:t>Zhouheng</w:t>
      </w:r>
      <w:proofErr w:type="spellEnd"/>
      <w:r w:rsidRPr="000B0724">
        <w:rPr>
          <w:rFonts w:ascii="Arial" w:hAnsi="Arial" w:cs="Arial"/>
        </w:rPr>
        <w:t xml:space="preserve">, Wu &amp; </w:t>
      </w:r>
      <w:proofErr w:type="spellStart"/>
      <w:r w:rsidRPr="000B0724">
        <w:rPr>
          <w:rFonts w:ascii="Arial" w:hAnsi="Arial" w:cs="Arial"/>
        </w:rPr>
        <w:t>Juanyi</w:t>
      </w:r>
      <w:proofErr w:type="spellEnd"/>
      <w:r w:rsidRPr="000B0724">
        <w:rPr>
          <w:rFonts w:ascii="Arial" w:hAnsi="Arial" w:cs="Arial"/>
        </w:rPr>
        <w:t xml:space="preserve">, X (2014).  Oil price stabilization and global </w:t>
      </w:r>
    </w:p>
    <w:p w14:paraId="747319FD" w14:textId="77777777" w:rsidR="000B0724" w:rsidRPr="000B0724" w:rsidRDefault="000B0724" w:rsidP="000B0724">
      <w:pPr>
        <w:autoSpaceDE w:val="0"/>
        <w:autoSpaceDN w:val="0"/>
        <w:adjustRightInd w:val="0"/>
        <w:ind w:left="720"/>
        <w:jc w:val="both"/>
        <w:rPr>
          <w:rFonts w:ascii="Arial" w:hAnsi="Arial" w:cs="Arial"/>
        </w:rPr>
      </w:pPr>
      <w:r w:rsidRPr="000B0724">
        <w:rPr>
          <w:rFonts w:ascii="Arial" w:hAnsi="Arial" w:cs="Arial"/>
        </w:rPr>
        <w:t xml:space="preserve">welfare. </w:t>
      </w:r>
      <w:r w:rsidRPr="000B0724">
        <w:rPr>
          <w:rFonts w:ascii="Arial" w:hAnsi="Arial" w:cs="Arial"/>
          <w:i/>
          <w:iCs/>
        </w:rPr>
        <w:t>Journal</w:t>
      </w:r>
      <w:r w:rsidRPr="000B0724">
        <w:rPr>
          <w:rFonts w:ascii="Arial" w:hAnsi="Arial" w:cs="Arial"/>
          <w:i/>
          <w:iCs/>
        </w:rPr>
        <w:tab/>
        <w:t xml:space="preserve"> of</w:t>
      </w:r>
      <w:r w:rsidRPr="000B0724">
        <w:rPr>
          <w:rFonts w:ascii="Arial" w:hAnsi="Arial" w:cs="Arial"/>
          <w:i/>
          <w:iCs/>
        </w:rPr>
        <w:tab/>
        <w:t>Development</w:t>
      </w:r>
      <w:r w:rsidRPr="000B0724">
        <w:rPr>
          <w:rFonts w:ascii="Arial" w:hAnsi="Arial" w:cs="Arial"/>
          <w:i/>
          <w:iCs/>
        </w:rPr>
        <w:tab/>
        <w:t>Economics</w:t>
      </w:r>
      <w:r w:rsidRPr="000B0724">
        <w:rPr>
          <w:rFonts w:ascii="Arial" w:hAnsi="Arial" w:cs="Arial"/>
        </w:rPr>
        <w:t xml:space="preserve">.111:246–260. </w:t>
      </w:r>
      <w:hyperlink r:id="rId42" w:history="1">
        <w:r w:rsidRPr="000B0724">
          <w:rPr>
            <w:rStyle w:val="Hyperlink"/>
            <w:rFonts w:ascii="Arial" w:hAnsi="Arial" w:cs="Arial"/>
          </w:rPr>
          <w:t>http://dx.doi.org/10.1016/j.jdeveco.2013</w:t>
        </w:r>
      </w:hyperlink>
      <w:r w:rsidRPr="000B0724">
        <w:rPr>
          <w:rFonts w:ascii="Arial" w:hAnsi="Arial" w:cs="Arial"/>
        </w:rPr>
        <w:t>.</w:t>
      </w:r>
    </w:p>
    <w:p w14:paraId="7EB8F8BD" w14:textId="77777777" w:rsidR="000B0724" w:rsidRPr="000B0724" w:rsidRDefault="000B0724" w:rsidP="000B0724">
      <w:pPr>
        <w:autoSpaceDE w:val="0"/>
        <w:autoSpaceDN w:val="0"/>
        <w:adjustRightInd w:val="0"/>
        <w:ind w:left="720"/>
        <w:jc w:val="both"/>
        <w:rPr>
          <w:rFonts w:ascii="Arial" w:hAnsi="Arial" w:cs="Arial"/>
        </w:rPr>
      </w:pPr>
    </w:p>
    <w:p w14:paraId="192B785A" w14:textId="77777777" w:rsidR="000B0724" w:rsidRPr="000B0724" w:rsidRDefault="000B0724" w:rsidP="000B0724">
      <w:pPr>
        <w:autoSpaceDE w:val="0"/>
        <w:autoSpaceDN w:val="0"/>
        <w:adjustRightInd w:val="0"/>
        <w:jc w:val="both"/>
        <w:rPr>
          <w:rFonts w:ascii="Arial" w:hAnsi="Arial" w:cs="Arial"/>
        </w:rPr>
      </w:pPr>
      <w:r w:rsidRPr="000B0724">
        <w:rPr>
          <w:rFonts w:ascii="Arial" w:hAnsi="Arial" w:cs="Arial"/>
          <w:color w:val="000000"/>
        </w:rPr>
        <w:t xml:space="preserve">Richard. A. K. (2021). </w:t>
      </w:r>
      <w:r w:rsidRPr="000B0724">
        <w:rPr>
          <w:rFonts w:ascii="Arial" w:hAnsi="Arial" w:cs="Arial"/>
        </w:rPr>
        <w:t xml:space="preserve">The asymmetry effect of oil price changes on inflation, and the welfare </w:t>
      </w:r>
    </w:p>
    <w:p w14:paraId="33B4DAC1" w14:textId="77777777" w:rsidR="000B0724" w:rsidRPr="000B0724" w:rsidRDefault="000B0724" w:rsidP="000B0724">
      <w:pPr>
        <w:autoSpaceDE w:val="0"/>
        <w:autoSpaceDN w:val="0"/>
        <w:adjustRightInd w:val="0"/>
        <w:ind w:left="720"/>
        <w:jc w:val="both"/>
        <w:rPr>
          <w:rFonts w:ascii="Arial" w:hAnsi="Arial" w:cs="Arial"/>
        </w:rPr>
      </w:pPr>
      <w:r w:rsidRPr="000B0724">
        <w:rPr>
          <w:rFonts w:ascii="Arial" w:hAnsi="Arial" w:cs="Arial"/>
        </w:rPr>
        <w:t xml:space="preserve">implication for Ghana. </w:t>
      </w:r>
      <w:r w:rsidRPr="000B0724">
        <w:rPr>
          <w:rFonts w:ascii="Arial" w:hAnsi="Arial" w:cs="Arial"/>
          <w:i/>
          <w:iCs/>
        </w:rPr>
        <w:t xml:space="preserve">African Journal of Economic and </w:t>
      </w:r>
      <w:r w:rsidRPr="000B0724">
        <w:rPr>
          <w:rFonts w:ascii="Arial" w:hAnsi="Arial" w:cs="Arial"/>
          <w:i/>
          <w:iCs/>
          <w:color w:val="000000"/>
        </w:rPr>
        <w:t>Management Studies</w:t>
      </w:r>
      <w:r w:rsidRPr="000B0724">
        <w:rPr>
          <w:rFonts w:ascii="Arial" w:hAnsi="Arial" w:cs="Arial"/>
          <w:color w:val="000000"/>
        </w:rPr>
        <w:t>. 12 (1) 55-70.</w:t>
      </w:r>
      <w:r w:rsidRPr="000B0724">
        <w:rPr>
          <w:rFonts w:ascii="Arial" w:hAnsi="Arial" w:cs="Arial"/>
        </w:rPr>
        <w:t xml:space="preserve"> DOI 10.1108/AJEMS-01-2020-0009</w:t>
      </w:r>
    </w:p>
    <w:p w14:paraId="3C38F195" w14:textId="77777777" w:rsidR="000B0724" w:rsidRPr="000B0724" w:rsidRDefault="000B0724" w:rsidP="000B0724">
      <w:pPr>
        <w:autoSpaceDE w:val="0"/>
        <w:autoSpaceDN w:val="0"/>
        <w:adjustRightInd w:val="0"/>
        <w:ind w:left="720"/>
        <w:jc w:val="both"/>
        <w:rPr>
          <w:rFonts w:ascii="Arial" w:hAnsi="Arial" w:cs="Arial"/>
        </w:rPr>
      </w:pPr>
    </w:p>
    <w:p w14:paraId="6F98C84D" w14:textId="77777777" w:rsidR="000B0724" w:rsidRPr="000B0724" w:rsidRDefault="000B0724" w:rsidP="000B0724">
      <w:pPr>
        <w:rPr>
          <w:rFonts w:ascii="Arial" w:hAnsi="Arial" w:cs="Arial"/>
        </w:rPr>
      </w:pPr>
      <w:r w:rsidRPr="000B0724">
        <w:rPr>
          <w:rFonts w:ascii="Arial" w:hAnsi="Arial" w:cs="Arial"/>
        </w:rPr>
        <w:t xml:space="preserve">Salisu &amp; Isah (2017). Revisiting the oil price and stock market nexus: A nonlinear Panel ARDL </w:t>
      </w:r>
    </w:p>
    <w:p w14:paraId="534936BF" w14:textId="77777777" w:rsidR="000B0724" w:rsidRPr="000B0724" w:rsidRDefault="000B0724" w:rsidP="000B0724">
      <w:pPr>
        <w:ind w:firstLine="720"/>
        <w:rPr>
          <w:rFonts w:ascii="Arial" w:hAnsi="Arial" w:cs="Arial"/>
        </w:rPr>
      </w:pPr>
      <w:r w:rsidRPr="000B0724">
        <w:rPr>
          <w:rFonts w:ascii="Arial" w:hAnsi="Arial" w:cs="Arial"/>
        </w:rPr>
        <w:t xml:space="preserve">approach. </w:t>
      </w:r>
      <w:r w:rsidRPr="000B0724">
        <w:rPr>
          <w:rFonts w:ascii="Arial" w:hAnsi="Arial" w:cs="Arial"/>
          <w:i/>
          <w:iCs/>
        </w:rPr>
        <w:t>Economic Modelling.</w:t>
      </w:r>
      <w:r w:rsidRPr="000B0724">
        <w:rPr>
          <w:rFonts w:ascii="Arial" w:hAnsi="Arial" w:cs="Arial"/>
        </w:rPr>
        <w:t xml:space="preserve"> 66; 258–271. Doi.org 10.1016/j.econmode.2017.07.010</w:t>
      </w:r>
    </w:p>
    <w:p w14:paraId="3AC61222" w14:textId="77777777" w:rsidR="000B0724" w:rsidRPr="000B0724" w:rsidRDefault="000B0724" w:rsidP="000B0724">
      <w:pPr>
        <w:autoSpaceDE w:val="0"/>
        <w:autoSpaceDN w:val="0"/>
        <w:adjustRightInd w:val="0"/>
        <w:rPr>
          <w:rFonts w:ascii="Arial" w:hAnsi="Arial" w:cs="Arial"/>
        </w:rPr>
      </w:pPr>
    </w:p>
    <w:p w14:paraId="5BB26689" w14:textId="77777777" w:rsidR="000B0724" w:rsidRPr="000B0724" w:rsidRDefault="000B0724" w:rsidP="000B0724">
      <w:pPr>
        <w:autoSpaceDE w:val="0"/>
        <w:autoSpaceDN w:val="0"/>
        <w:adjustRightInd w:val="0"/>
        <w:rPr>
          <w:rFonts w:ascii="Arial" w:hAnsi="Arial" w:cs="Arial"/>
        </w:rPr>
      </w:pPr>
    </w:p>
    <w:p w14:paraId="66147AD9" w14:textId="77777777" w:rsidR="000B0724" w:rsidRPr="000B0724" w:rsidRDefault="000B0724" w:rsidP="000B0724">
      <w:pPr>
        <w:autoSpaceDE w:val="0"/>
        <w:autoSpaceDN w:val="0"/>
        <w:adjustRightInd w:val="0"/>
        <w:rPr>
          <w:rFonts w:ascii="Arial" w:hAnsi="Arial" w:cs="Arial"/>
        </w:rPr>
      </w:pPr>
      <w:r w:rsidRPr="000B0724">
        <w:rPr>
          <w:rFonts w:ascii="Arial" w:hAnsi="Arial" w:cs="Arial"/>
        </w:rPr>
        <w:t>Seun, S. O. &amp; Chijioke, N (2019). Does Oil Rent Increase Happiness? A Partial Efficiency</w:t>
      </w:r>
    </w:p>
    <w:p w14:paraId="3AB9B1F2" w14:textId="77777777" w:rsidR="000B0724" w:rsidRPr="000B0724" w:rsidRDefault="000B0724" w:rsidP="000B0724">
      <w:pPr>
        <w:autoSpaceDE w:val="0"/>
        <w:autoSpaceDN w:val="0"/>
        <w:adjustRightInd w:val="0"/>
        <w:ind w:left="720"/>
        <w:rPr>
          <w:rFonts w:ascii="Arial" w:hAnsi="Arial" w:cs="Arial"/>
        </w:rPr>
      </w:pPr>
      <w:r w:rsidRPr="000B0724">
        <w:rPr>
          <w:rFonts w:ascii="Arial" w:hAnsi="Arial" w:cs="Arial"/>
        </w:rPr>
        <w:t xml:space="preserve">Analysis of Selected African Countries. </w:t>
      </w:r>
      <w:r w:rsidRPr="000B0724">
        <w:rPr>
          <w:rFonts w:ascii="Arial" w:hAnsi="Arial" w:cs="Arial"/>
          <w:i/>
          <w:iCs/>
        </w:rPr>
        <w:t>Trends economics and management</w:t>
      </w:r>
      <w:r w:rsidRPr="000B0724">
        <w:rPr>
          <w:rFonts w:ascii="Arial" w:hAnsi="Arial" w:cs="Arial"/>
        </w:rPr>
        <w:t xml:space="preserve">, 34(2): 97–111. DOI: </w:t>
      </w:r>
      <w:hyperlink r:id="rId43" w:history="1">
        <w:r w:rsidRPr="000B0724">
          <w:rPr>
            <w:rStyle w:val="Hyperlink"/>
            <w:rFonts w:ascii="Arial" w:hAnsi="Arial" w:cs="Arial"/>
          </w:rPr>
          <w:t>http://dx.doi.org/10.13164/trends.2019.34.97</w:t>
        </w:r>
      </w:hyperlink>
    </w:p>
    <w:p w14:paraId="00EC65F6" w14:textId="77777777" w:rsidR="000B0724" w:rsidRPr="000B0724" w:rsidRDefault="000B0724" w:rsidP="000B0724">
      <w:pPr>
        <w:autoSpaceDE w:val="0"/>
        <w:autoSpaceDN w:val="0"/>
        <w:adjustRightInd w:val="0"/>
        <w:ind w:left="720"/>
        <w:rPr>
          <w:rStyle w:val="Hyperlink"/>
          <w:rFonts w:ascii="Arial" w:hAnsi="Arial" w:cs="Arial"/>
        </w:rPr>
      </w:pPr>
    </w:p>
    <w:p w14:paraId="08104811" w14:textId="77777777" w:rsidR="000B0724" w:rsidRPr="000B0724" w:rsidRDefault="000B0724" w:rsidP="000B0724">
      <w:pPr>
        <w:autoSpaceDE w:val="0"/>
        <w:autoSpaceDN w:val="0"/>
        <w:adjustRightInd w:val="0"/>
        <w:rPr>
          <w:rFonts w:ascii="Arial" w:hAnsi="Arial" w:cs="Arial"/>
        </w:rPr>
      </w:pPr>
      <w:r w:rsidRPr="000B0724">
        <w:rPr>
          <w:rFonts w:ascii="Arial" w:hAnsi="Arial" w:cs="Arial"/>
        </w:rPr>
        <w:t xml:space="preserve">Sui, M., Ding, H., Xu, B. &amp; Zhou, M (2022). The Impact of Internet Use on the Happiness of </w:t>
      </w:r>
    </w:p>
    <w:p w14:paraId="73A96268" w14:textId="77777777" w:rsidR="000B0724" w:rsidRPr="000B0724" w:rsidRDefault="000B0724" w:rsidP="000B0724">
      <w:pPr>
        <w:autoSpaceDE w:val="0"/>
        <w:autoSpaceDN w:val="0"/>
        <w:adjustRightInd w:val="0"/>
        <w:ind w:left="720"/>
        <w:rPr>
          <w:rFonts w:ascii="Arial" w:hAnsi="Arial" w:cs="Arial"/>
        </w:rPr>
      </w:pPr>
      <w:r w:rsidRPr="000B0724">
        <w:rPr>
          <w:rFonts w:ascii="Arial" w:hAnsi="Arial" w:cs="Arial"/>
        </w:rPr>
        <w:t xml:space="preserve">Chinese Civil Servants: A Mediation Analysis Based on Self-Rated Health. </w:t>
      </w:r>
      <w:r w:rsidRPr="000B0724">
        <w:rPr>
          <w:rFonts w:ascii="Arial" w:hAnsi="Arial" w:cs="Arial"/>
          <w:i/>
          <w:iCs/>
        </w:rPr>
        <w:t>International Journal of Environmental Resources and Public Health</w:t>
      </w:r>
      <w:r w:rsidRPr="000B0724">
        <w:rPr>
          <w:rFonts w:ascii="Arial" w:hAnsi="Arial" w:cs="Arial"/>
        </w:rPr>
        <w:t xml:space="preserve">. 19, 130 -142. </w:t>
      </w:r>
      <w:hyperlink r:id="rId44" w:history="1">
        <w:r w:rsidRPr="000B0724">
          <w:rPr>
            <w:rStyle w:val="Hyperlink"/>
            <w:rFonts w:ascii="Arial" w:hAnsi="Arial" w:cs="Arial"/>
          </w:rPr>
          <w:t>https://doi.org/10.3390/ijerph192013142</w:t>
        </w:r>
      </w:hyperlink>
    </w:p>
    <w:p w14:paraId="443117E5" w14:textId="77777777" w:rsidR="000B0724" w:rsidRPr="000B0724" w:rsidRDefault="000B0724" w:rsidP="000B0724">
      <w:pPr>
        <w:autoSpaceDE w:val="0"/>
        <w:autoSpaceDN w:val="0"/>
        <w:adjustRightInd w:val="0"/>
        <w:ind w:left="720"/>
        <w:rPr>
          <w:rFonts w:ascii="Arial" w:hAnsi="Arial" w:cs="Arial"/>
        </w:rPr>
      </w:pPr>
    </w:p>
    <w:p w14:paraId="2A6E81D6" w14:textId="77777777" w:rsidR="000B0724" w:rsidRPr="000B0724" w:rsidRDefault="000B0724" w:rsidP="000B0724">
      <w:pPr>
        <w:autoSpaceDE w:val="0"/>
        <w:autoSpaceDN w:val="0"/>
        <w:adjustRightInd w:val="0"/>
        <w:rPr>
          <w:rFonts w:ascii="Arial" w:hAnsi="Arial" w:cs="Arial"/>
        </w:rPr>
      </w:pPr>
      <w:proofErr w:type="spellStart"/>
      <w:r w:rsidRPr="000B0724">
        <w:rPr>
          <w:rFonts w:ascii="Arial" w:hAnsi="Arial" w:cs="Arial"/>
        </w:rPr>
        <w:t>Taherizadeh</w:t>
      </w:r>
      <w:proofErr w:type="spellEnd"/>
      <w:r w:rsidRPr="000B0724">
        <w:rPr>
          <w:rFonts w:ascii="Arial" w:hAnsi="Arial" w:cs="Arial"/>
        </w:rPr>
        <w:t xml:space="preserve"> </w:t>
      </w:r>
      <w:proofErr w:type="spellStart"/>
      <w:r w:rsidRPr="000B0724">
        <w:rPr>
          <w:rFonts w:ascii="Arial" w:hAnsi="Arial" w:cs="Arial"/>
        </w:rPr>
        <w:t>Anaripour</w:t>
      </w:r>
      <w:proofErr w:type="spellEnd"/>
      <w:r w:rsidRPr="000B0724">
        <w:rPr>
          <w:rFonts w:ascii="Arial" w:hAnsi="Arial" w:cs="Arial"/>
        </w:rPr>
        <w:t xml:space="preserve">, J., Monsef, A. A., Moalemi, M., </w:t>
      </w:r>
      <w:proofErr w:type="spellStart"/>
      <w:r w:rsidRPr="000B0724">
        <w:rPr>
          <w:rFonts w:ascii="Arial" w:hAnsi="Arial" w:cs="Arial"/>
        </w:rPr>
        <w:t>Biyabani</w:t>
      </w:r>
      <w:proofErr w:type="spellEnd"/>
      <w:r w:rsidRPr="000B0724">
        <w:rPr>
          <w:rFonts w:ascii="Arial" w:hAnsi="Arial" w:cs="Arial"/>
        </w:rPr>
        <w:t xml:space="preserve">, J., &amp; </w:t>
      </w:r>
      <w:proofErr w:type="spellStart"/>
      <w:r w:rsidRPr="000B0724">
        <w:rPr>
          <w:rFonts w:ascii="Arial" w:hAnsi="Arial" w:cs="Arial"/>
        </w:rPr>
        <w:t>Nejati</w:t>
      </w:r>
      <w:proofErr w:type="spellEnd"/>
      <w:r w:rsidRPr="000B0724">
        <w:rPr>
          <w:rFonts w:ascii="Arial" w:hAnsi="Arial" w:cs="Arial"/>
        </w:rPr>
        <w:t xml:space="preserve">, M. (2023). The </w:t>
      </w:r>
    </w:p>
    <w:p w14:paraId="6C77B9D1" w14:textId="77777777" w:rsidR="000B0724" w:rsidRPr="000B0724" w:rsidRDefault="000B0724" w:rsidP="000B0724">
      <w:pPr>
        <w:autoSpaceDE w:val="0"/>
        <w:autoSpaceDN w:val="0"/>
        <w:adjustRightInd w:val="0"/>
        <w:ind w:left="720"/>
        <w:rPr>
          <w:rFonts w:ascii="Arial" w:hAnsi="Arial" w:cs="Arial"/>
        </w:rPr>
      </w:pPr>
      <w:r w:rsidRPr="000B0724">
        <w:rPr>
          <w:rFonts w:ascii="Arial" w:hAnsi="Arial" w:cs="Arial"/>
        </w:rPr>
        <w:t xml:space="preserve">effect of inflation uncertainty on happiness in developed and developing countries. </w:t>
      </w:r>
      <w:r w:rsidRPr="000B0724">
        <w:rPr>
          <w:rFonts w:ascii="Arial" w:hAnsi="Arial" w:cs="Arial"/>
          <w:i/>
          <w:iCs/>
        </w:rPr>
        <w:t>Journal of Development and Capital</w:t>
      </w:r>
      <w:r w:rsidRPr="000B0724">
        <w:rPr>
          <w:rFonts w:ascii="Arial" w:hAnsi="Arial" w:cs="Arial"/>
        </w:rPr>
        <w:t>, 8(2), 1-29</w:t>
      </w:r>
    </w:p>
    <w:p w14:paraId="48208747" w14:textId="77777777" w:rsidR="000B0724" w:rsidRPr="000B0724" w:rsidRDefault="000B0724" w:rsidP="000B0724">
      <w:pPr>
        <w:autoSpaceDE w:val="0"/>
        <w:autoSpaceDN w:val="0"/>
        <w:adjustRightInd w:val="0"/>
        <w:ind w:left="720"/>
        <w:rPr>
          <w:rFonts w:ascii="Arial" w:hAnsi="Arial" w:cs="Arial"/>
        </w:rPr>
      </w:pPr>
    </w:p>
    <w:p w14:paraId="22F28E7A" w14:textId="77777777" w:rsidR="000B0724" w:rsidRPr="000B0724" w:rsidRDefault="000B0724" w:rsidP="000B0724">
      <w:pPr>
        <w:autoSpaceDE w:val="0"/>
        <w:autoSpaceDN w:val="0"/>
        <w:adjustRightInd w:val="0"/>
        <w:rPr>
          <w:rFonts w:ascii="Arial" w:hAnsi="Arial" w:cs="Arial"/>
        </w:rPr>
      </w:pPr>
      <w:proofErr w:type="spellStart"/>
      <w:r w:rsidRPr="000B0724">
        <w:rPr>
          <w:rFonts w:ascii="Arial" w:hAnsi="Arial" w:cs="Arial"/>
        </w:rPr>
        <w:t>Thi</w:t>
      </w:r>
      <w:proofErr w:type="spellEnd"/>
      <w:r w:rsidRPr="000B0724">
        <w:rPr>
          <w:rFonts w:ascii="Arial" w:hAnsi="Arial" w:cs="Arial"/>
        </w:rPr>
        <w:t xml:space="preserve"> </w:t>
      </w:r>
      <w:proofErr w:type="spellStart"/>
      <w:r w:rsidRPr="000B0724">
        <w:rPr>
          <w:rFonts w:ascii="Arial" w:hAnsi="Arial" w:cs="Arial"/>
        </w:rPr>
        <w:t>Huong</w:t>
      </w:r>
      <w:proofErr w:type="spellEnd"/>
      <w:r w:rsidRPr="000B0724">
        <w:rPr>
          <w:rFonts w:ascii="Arial" w:hAnsi="Arial" w:cs="Arial"/>
        </w:rPr>
        <w:t xml:space="preserve"> </w:t>
      </w:r>
      <w:proofErr w:type="spellStart"/>
      <w:r w:rsidRPr="000B0724">
        <w:rPr>
          <w:rFonts w:ascii="Arial" w:hAnsi="Arial" w:cs="Arial"/>
        </w:rPr>
        <w:t>Vuong</w:t>
      </w:r>
      <w:proofErr w:type="spellEnd"/>
      <w:r w:rsidRPr="000B0724">
        <w:rPr>
          <w:rFonts w:ascii="Arial" w:hAnsi="Arial" w:cs="Arial"/>
        </w:rPr>
        <w:t xml:space="preserve">, G., Nguyen M. H &amp; Hoang, K (2024) Oil price uncertainty, oil pricing </w:t>
      </w:r>
    </w:p>
    <w:p w14:paraId="4E50B66F" w14:textId="77777777" w:rsidR="000B0724" w:rsidRPr="000B0724" w:rsidRDefault="000B0724" w:rsidP="000B0724">
      <w:pPr>
        <w:autoSpaceDE w:val="0"/>
        <w:autoSpaceDN w:val="0"/>
        <w:adjustRightInd w:val="0"/>
        <w:ind w:left="720"/>
        <w:rPr>
          <w:rFonts w:ascii="Arial" w:hAnsi="Arial" w:cs="Arial"/>
        </w:rPr>
      </w:pPr>
      <w:proofErr w:type="spellStart"/>
      <w:proofErr w:type="gramStart"/>
      <w:r w:rsidRPr="000B0724">
        <w:rPr>
          <w:rFonts w:ascii="Arial" w:hAnsi="Arial" w:cs="Arial"/>
        </w:rPr>
        <w:t>reform,</w:t>
      </w:r>
      <w:proofErr w:type="gramEnd"/>
      <w:r w:rsidRPr="000B0724">
        <w:rPr>
          <w:rFonts w:ascii="Arial" w:hAnsi="Arial" w:cs="Arial"/>
        </w:rPr>
        <w:t>and</w:t>
      </w:r>
      <w:proofErr w:type="spellEnd"/>
      <w:r w:rsidRPr="000B0724">
        <w:rPr>
          <w:rFonts w:ascii="Arial" w:hAnsi="Arial" w:cs="Arial"/>
        </w:rPr>
        <w:t xml:space="preserve"> corporate profitability: The case of China. </w:t>
      </w:r>
      <w:proofErr w:type="spellStart"/>
      <w:r w:rsidRPr="000B0724">
        <w:rPr>
          <w:rFonts w:ascii="Arial" w:hAnsi="Arial" w:cs="Arial"/>
          <w:i/>
          <w:iCs/>
        </w:rPr>
        <w:t>PLoSONE</w:t>
      </w:r>
      <w:proofErr w:type="spellEnd"/>
      <w:r w:rsidRPr="000B0724">
        <w:rPr>
          <w:rFonts w:ascii="Arial" w:hAnsi="Arial" w:cs="Arial"/>
        </w:rPr>
        <w:t xml:space="preserve">. 19(2): e0297554. </w:t>
      </w:r>
      <w:hyperlink r:id="rId45" w:history="1">
        <w:r w:rsidRPr="000B0724">
          <w:rPr>
            <w:rStyle w:val="Hyperlink"/>
            <w:rFonts w:ascii="Arial" w:hAnsi="Arial" w:cs="Arial"/>
          </w:rPr>
          <w:t>https://doi.org/10.1371/journal.pone.0297554</w:t>
        </w:r>
      </w:hyperlink>
    </w:p>
    <w:p w14:paraId="0973B18B" w14:textId="77777777" w:rsidR="000B0724" w:rsidRPr="000B0724" w:rsidRDefault="000B0724" w:rsidP="000B0724">
      <w:pPr>
        <w:autoSpaceDE w:val="0"/>
        <w:autoSpaceDN w:val="0"/>
        <w:adjustRightInd w:val="0"/>
        <w:ind w:left="720"/>
        <w:rPr>
          <w:rFonts w:ascii="Arial" w:hAnsi="Arial" w:cs="Arial"/>
        </w:rPr>
      </w:pPr>
    </w:p>
    <w:p w14:paraId="366EE695" w14:textId="77777777" w:rsidR="000B0724" w:rsidRPr="000B0724" w:rsidRDefault="000B0724" w:rsidP="000B0724">
      <w:pPr>
        <w:jc w:val="both"/>
        <w:rPr>
          <w:rFonts w:ascii="Arial" w:hAnsi="Arial" w:cs="Arial"/>
          <w:color w:val="000000" w:themeColor="text1"/>
        </w:rPr>
      </w:pPr>
      <w:proofErr w:type="spellStart"/>
      <w:r w:rsidRPr="000B0724">
        <w:rPr>
          <w:rFonts w:ascii="Arial" w:hAnsi="Arial" w:cs="Arial"/>
          <w:color w:val="000000" w:themeColor="text1"/>
        </w:rPr>
        <w:t>Uche</w:t>
      </w:r>
      <w:proofErr w:type="spellEnd"/>
      <w:r w:rsidRPr="000B0724">
        <w:rPr>
          <w:rFonts w:ascii="Arial" w:hAnsi="Arial" w:cs="Arial"/>
          <w:color w:val="000000" w:themeColor="text1"/>
        </w:rPr>
        <w:t xml:space="preserve"> &amp; </w:t>
      </w:r>
      <w:proofErr w:type="spellStart"/>
      <w:r w:rsidRPr="000B0724">
        <w:rPr>
          <w:rFonts w:ascii="Arial" w:hAnsi="Arial" w:cs="Arial"/>
          <w:color w:val="000000" w:themeColor="text1"/>
        </w:rPr>
        <w:t>Ngepa</w:t>
      </w:r>
      <w:proofErr w:type="spellEnd"/>
      <w:r w:rsidRPr="000B0724">
        <w:rPr>
          <w:rFonts w:ascii="Arial" w:hAnsi="Arial" w:cs="Arial"/>
          <w:color w:val="000000" w:themeColor="text1"/>
        </w:rPr>
        <w:t xml:space="preserve"> (2024). Improving household well-being through entrepreneurship and inclusive </w:t>
      </w:r>
    </w:p>
    <w:p w14:paraId="5790A7BC" w14:textId="77777777" w:rsidR="000B0724" w:rsidRPr="000B0724" w:rsidRDefault="000B0724" w:rsidP="000B0724">
      <w:pPr>
        <w:ind w:left="720"/>
        <w:jc w:val="both"/>
        <w:rPr>
          <w:rFonts w:ascii="Arial" w:hAnsi="Arial" w:cs="Arial"/>
        </w:rPr>
      </w:pPr>
      <w:r w:rsidRPr="000B0724">
        <w:rPr>
          <w:rFonts w:ascii="Arial" w:hAnsi="Arial" w:cs="Arial"/>
          <w:color w:val="000000" w:themeColor="text1"/>
        </w:rPr>
        <w:t xml:space="preserve">finance in the context of the Next-11 countries. </w:t>
      </w:r>
      <w:r w:rsidRPr="000B0724">
        <w:rPr>
          <w:rFonts w:ascii="Arial" w:hAnsi="Arial" w:cs="Arial"/>
          <w:i/>
          <w:iCs/>
          <w:color w:val="000000" w:themeColor="text1"/>
        </w:rPr>
        <w:t>International Social Science Journal</w:t>
      </w:r>
      <w:r w:rsidRPr="000B0724">
        <w:rPr>
          <w:rFonts w:ascii="Arial" w:hAnsi="Arial" w:cs="Arial"/>
          <w:color w:val="000000" w:themeColor="text1"/>
        </w:rPr>
        <w:t xml:space="preserve">. </w:t>
      </w:r>
      <w:hyperlink r:id="rId46" w:history="1">
        <w:r w:rsidRPr="000B0724">
          <w:rPr>
            <w:rStyle w:val="Hyperlink"/>
            <w:rFonts w:ascii="Arial" w:hAnsi="Arial" w:cs="Arial"/>
            <w:color w:val="000000" w:themeColor="text1"/>
          </w:rPr>
          <w:t>https://doi.org/10.1111/issj.12501</w:t>
        </w:r>
      </w:hyperlink>
    </w:p>
    <w:p w14:paraId="637FCDAF" w14:textId="77777777" w:rsidR="000B0724" w:rsidRPr="000B0724" w:rsidRDefault="000B0724" w:rsidP="000B0724">
      <w:pPr>
        <w:ind w:left="720"/>
        <w:jc w:val="both"/>
        <w:rPr>
          <w:rFonts w:ascii="Arial" w:hAnsi="Arial" w:cs="Arial"/>
          <w:color w:val="000000" w:themeColor="text1"/>
        </w:rPr>
      </w:pPr>
    </w:p>
    <w:p w14:paraId="39028C1D" w14:textId="77777777" w:rsidR="000B0724" w:rsidRPr="000B0724" w:rsidRDefault="000B0724" w:rsidP="000B0724">
      <w:pPr>
        <w:autoSpaceDE w:val="0"/>
        <w:autoSpaceDN w:val="0"/>
        <w:adjustRightInd w:val="0"/>
        <w:rPr>
          <w:rFonts w:ascii="Arial" w:hAnsi="Arial" w:cs="Arial"/>
        </w:rPr>
      </w:pPr>
      <w:r w:rsidRPr="000B0724">
        <w:rPr>
          <w:rFonts w:ascii="Arial" w:hAnsi="Arial" w:cs="Arial"/>
        </w:rPr>
        <w:t xml:space="preserve">Yang D, Zheng G, Wang H &amp; Li M (2022). Education, Income, and Happiness: Evidence From </w:t>
      </w:r>
    </w:p>
    <w:p w14:paraId="31C610B3" w14:textId="77777777" w:rsidR="000B0724" w:rsidRPr="000B0724" w:rsidRDefault="000B0724" w:rsidP="000B0724">
      <w:pPr>
        <w:autoSpaceDE w:val="0"/>
        <w:autoSpaceDN w:val="0"/>
        <w:adjustRightInd w:val="0"/>
        <w:ind w:firstLine="720"/>
        <w:rPr>
          <w:rFonts w:ascii="Arial" w:hAnsi="Arial" w:cs="Arial"/>
        </w:rPr>
      </w:pPr>
      <w:r w:rsidRPr="000B0724">
        <w:rPr>
          <w:rFonts w:ascii="Arial" w:hAnsi="Arial" w:cs="Arial"/>
        </w:rPr>
        <w:t xml:space="preserve">China. Front. </w:t>
      </w:r>
      <w:r w:rsidRPr="000B0724">
        <w:rPr>
          <w:rFonts w:ascii="Arial" w:hAnsi="Arial" w:cs="Arial"/>
          <w:i/>
          <w:iCs/>
        </w:rPr>
        <w:t>Public Health.</w:t>
      </w:r>
      <w:r w:rsidRPr="000B0724">
        <w:rPr>
          <w:rFonts w:ascii="Arial" w:hAnsi="Arial" w:cs="Arial"/>
        </w:rPr>
        <w:t xml:space="preserve"> 10:855327. </w:t>
      </w:r>
      <w:proofErr w:type="spellStart"/>
      <w:r w:rsidRPr="000B0724">
        <w:rPr>
          <w:rFonts w:ascii="Arial" w:hAnsi="Arial" w:cs="Arial"/>
        </w:rPr>
        <w:t>doi</w:t>
      </w:r>
      <w:proofErr w:type="spellEnd"/>
      <w:r w:rsidRPr="000B0724">
        <w:rPr>
          <w:rFonts w:ascii="Arial" w:hAnsi="Arial" w:cs="Arial"/>
        </w:rPr>
        <w:t>: 10.3389/fpubh.2022.855327</w:t>
      </w:r>
    </w:p>
    <w:p w14:paraId="167B668A" w14:textId="77777777" w:rsidR="000B0724" w:rsidRPr="000B0724" w:rsidRDefault="000B0724" w:rsidP="000B0724">
      <w:pPr>
        <w:autoSpaceDE w:val="0"/>
        <w:autoSpaceDN w:val="0"/>
        <w:adjustRightInd w:val="0"/>
        <w:ind w:firstLine="720"/>
        <w:rPr>
          <w:rFonts w:ascii="Arial" w:hAnsi="Arial" w:cs="Arial"/>
        </w:rPr>
      </w:pPr>
    </w:p>
    <w:p w14:paraId="171988DD" w14:textId="77777777" w:rsidR="000B0724" w:rsidRPr="000B0724" w:rsidRDefault="000B0724" w:rsidP="000B0724">
      <w:pPr>
        <w:autoSpaceDE w:val="0"/>
        <w:autoSpaceDN w:val="0"/>
        <w:adjustRightInd w:val="0"/>
        <w:rPr>
          <w:rFonts w:ascii="Arial" w:hAnsi="Arial" w:cs="Arial"/>
        </w:rPr>
      </w:pPr>
      <w:r w:rsidRPr="000B0724">
        <w:rPr>
          <w:rFonts w:ascii="Arial" w:hAnsi="Arial" w:cs="Arial"/>
        </w:rPr>
        <w:t>Zeqiri, G (2020). Empirical Association between Education and Happiness in a Social</w:t>
      </w:r>
    </w:p>
    <w:p w14:paraId="49A439C3" w14:textId="77777777" w:rsidR="000B0724" w:rsidRPr="000B0724" w:rsidRDefault="000B0724" w:rsidP="000B0724">
      <w:pPr>
        <w:autoSpaceDE w:val="0"/>
        <w:autoSpaceDN w:val="0"/>
        <w:adjustRightInd w:val="0"/>
        <w:ind w:firstLine="720"/>
        <w:rPr>
          <w:rFonts w:ascii="Arial" w:hAnsi="Arial" w:cs="Arial"/>
          <w:color w:val="1F497D"/>
        </w:rPr>
      </w:pPr>
      <w:r w:rsidRPr="000B0724">
        <w:rPr>
          <w:rFonts w:ascii="Arial" w:hAnsi="Arial" w:cs="Arial"/>
        </w:rPr>
        <w:t xml:space="preserve">Context. </w:t>
      </w:r>
      <w:proofErr w:type="spellStart"/>
      <w:r w:rsidRPr="000B0724">
        <w:rPr>
          <w:rFonts w:ascii="Arial" w:hAnsi="Arial" w:cs="Arial"/>
        </w:rPr>
        <w:t>Traektoriâ</w:t>
      </w:r>
      <w:proofErr w:type="spellEnd"/>
      <w:r w:rsidRPr="000B0724">
        <w:rPr>
          <w:rFonts w:ascii="Arial" w:hAnsi="Arial" w:cs="Arial"/>
        </w:rPr>
        <w:t xml:space="preserve"> </w:t>
      </w:r>
      <w:proofErr w:type="spellStart"/>
      <w:r w:rsidRPr="000B0724">
        <w:rPr>
          <w:rFonts w:ascii="Arial" w:hAnsi="Arial" w:cs="Arial"/>
        </w:rPr>
        <w:t>Nauki</w:t>
      </w:r>
      <w:proofErr w:type="spellEnd"/>
      <w:r w:rsidRPr="000B0724">
        <w:rPr>
          <w:rFonts w:ascii="Arial" w:hAnsi="Arial" w:cs="Arial"/>
        </w:rPr>
        <w:t xml:space="preserve"> Path of Science. 6 (8) </w:t>
      </w:r>
      <w:r w:rsidRPr="000B0724">
        <w:rPr>
          <w:rFonts w:ascii="Arial" w:hAnsi="Arial" w:cs="Arial"/>
          <w:color w:val="000000"/>
        </w:rPr>
        <w:t xml:space="preserve">DOI: </w:t>
      </w:r>
      <w:r w:rsidRPr="000B0724">
        <w:rPr>
          <w:rFonts w:ascii="Arial" w:hAnsi="Arial" w:cs="Arial"/>
          <w:color w:val="1F497D"/>
        </w:rPr>
        <w:t>10.22178/pos.61-4</w:t>
      </w:r>
    </w:p>
    <w:p w14:paraId="5FFA3AAD" w14:textId="77777777" w:rsidR="00B01FCD" w:rsidRPr="00FB3A86" w:rsidRDefault="00B01FCD" w:rsidP="00441B6F">
      <w:pPr>
        <w:pStyle w:val="Appendix"/>
        <w:spacing w:after="0"/>
        <w:jc w:val="both"/>
        <w:rPr>
          <w:rFonts w:ascii="Arial" w:hAnsi="Arial" w:cs="Arial"/>
          <w:b w:val="0"/>
        </w:rPr>
      </w:pPr>
    </w:p>
    <w:sectPr w:rsidR="00B01FCD" w:rsidRPr="00FB3A86" w:rsidSect="007E613C">
      <w:headerReference w:type="even" r:id="rId47"/>
      <w:headerReference w:type="default" r:id="rId48"/>
      <w:footerReference w:type="default" r:id="rId49"/>
      <w:headerReference w:type="first" r:id="rId5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E75F3" w14:textId="77777777" w:rsidR="00F60847" w:rsidRDefault="00F60847" w:rsidP="00C37E61">
      <w:r>
        <w:separator/>
      </w:r>
    </w:p>
  </w:endnote>
  <w:endnote w:type="continuationSeparator" w:id="0">
    <w:p w14:paraId="62DA2E30" w14:textId="77777777" w:rsidR="00F60847" w:rsidRDefault="00F6084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DE11B" w14:textId="77777777" w:rsidR="00AD2D0E" w:rsidRDefault="00AD2D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2AC38" w14:textId="77777777" w:rsidR="00AD2D0E" w:rsidRDefault="00AD2D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BC1DE" w14:textId="2D952F5D" w:rsidR="00754C9A" w:rsidRPr="007E613C" w:rsidRDefault="00754C9A" w:rsidP="007E61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7968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F781C" w14:textId="77777777" w:rsidR="00F60847" w:rsidRDefault="00F60847" w:rsidP="00C37E61">
      <w:r>
        <w:separator/>
      </w:r>
    </w:p>
  </w:footnote>
  <w:footnote w:type="continuationSeparator" w:id="0">
    <w:p w14:paraId="6DE3CE5B" w14:textId="77777777" w:rsidR="00F60847" w:rsidRDefault="00F6084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5A413" w14:textId="6323265E" w:rsidR="00AD2D0E" w:rsidRDefault="00F60847">
    <w:pPr>
      <w:pStyle w:val="Header"/>
    </w:pPr>
    <w:r>
      <w:rPr>
        <w:noProof/>
      </w:rPr>
      <w:pict w14:anchorId="3AEE4D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57172"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1563C" w14:textId="753537F7" w:rsidR="00AD2D0E" w:rsidRDefault="00F60847">
    <w:pPr>
      <w:pStyle w:val="Header"/>
    </w:pPr>
    <w:r>
      <w:rPr>
        <w:noProof/>
      </w:rPr>
      <w:pict w14:anchorId="415858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57173"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2D1F0" w14:textId="190D9B5C" w:rsidR="00296529" w:rsidRPr="00296529" w:rsidRDefault="00F60847" w:rsidP="00296529">
    <w:pPr>
      <w:ind w:left="2160"/>
      <w:jc w:val="center"/>
      <w:rPr>
        <w:rFonts w:ascii="Times New Roman" w:eastAsia="Calibri" w:hAnsi="Times New Roman"/>
        <w:i/>
        <w:sz w:val="18"/>
        <w:szCs w:val="22"/>
      </w:rPr>
    </w:pPr>
    <w:r>
      <w:rPr>
        <w:noProof/>
      </w:rPr>
      <w:pict w14:anchorId="2F84E9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57171"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DFCB2A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25DF7D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9FB0BF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F07CAE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900635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EEF4BB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BDE50" w14:textId="11BBEEAD" w:rsidR="00AD2D0E" w:rsidRDefault="00F60847">
    <w:pPr>
      <w:pStyle w:val="Header"/>
    </w:pPr>
    <w:r>
      <w:rPr>
        <w:noProof/>
      </w:rPr>
      <w:pict w14:anchorId="4CB9DF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57175"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C8541" w14:textId="532925EA" w:rsidR="00AD2D0E" w:rsidRDefault="00F60847">
    <w:pPr>
      <w:pStyle w:val="Header"/>
    </w:pPr>
    <w:r>
      <w:rPr>
        <w:noProof/>
      </w:rPr>
      <w:pict w14:anchorId="114D07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57176"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7D2BB" w14:textId="2EADEC7E" w:rsidR="00AD2D0E" w:rsidRDefault="00F60847">
    <w:pPr>
      <w:pStyle w:val="Header"/>
    </w:pPr>
    <w:r>
      <w:rPr>
        <w:noProof/>
      </w:rPr>
      <w:pict w14:anchorId="724A7D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57174"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B0437BC"/>
    <w:multiLevelType w:val="hybridMultilevel"/>
    <w:tmpl w:val="52F037A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16A70"/>
    <w:rsid w:val="00030174"/>
    <w:rsid w:val="0004579C"/>
    <w:rsid w:val="00061B07"/>
    <w:rsid w:val="0006330B"/>
    <w:rsid w:val="0009026C"/>
    <w:rsid w:val="000A47FA"/>
    <w:rsid w:val="000A65D3"/>
    <w:rsid w:val="000B0724"/>
    <w:rsid w:val="000B1E33"/>
    <w:rsid w:val="000C10AB"/>
    <w:rsid w:val="000D689F"/>
    <w:rsid w:val="000E7B7B"/>
    <w:rsid w:val="000E7D62"/>
    <w:rsid w:val="00103357"/>
    <w:rsid w:val="001138D4"/>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245E7"/>
    <w:rsid w:val="00231920"/>
    <w:rsid w:val="0023195C"/>
    <w:rsid w:val="0024282C"/>
    <w:rsid w:val="002460DC"/>
    <w:rsid w:val="00250985"/>
    <w:rsid w:val="002556F6"/>
    <w:rsid w:val="002730FB"/>
    <w:rsid w:val="00283105"/>
    <w:rsid w:val="002846AF"/>
    <w:rsid w:val="00284C4C"/>
    <w:rsid w:val="00287E68"/>
    <w:rsid w:val="00296529"/>
    <w:rsid w:val="002A66EC"/>
    <w:rsid w:val="002B27FB"/>
    <w:rsid w:val="002B685A"/>
    <w:rsid w:val="002C57D2"/>
    <w:rsid w:val="002E0D56"/>
    <w:rsid w:val="002E54ED"/>
    <w:rsid w:val="002F2B14"/>
    <w:rsid w:val="003003DE"/>
    <w:rsid w:val="003049DA"/>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2AAA"/>
    <w:rsid w:val="00423789"/>
    <w:rsid w:val="00431140"/>
    <w:rsid w:val="00440F43"/>
    <w:rsid w:val="00441B6F"/>
    <w:rsid w:val="00446221"/>
    <w:rsid w:val="00450E62"/>
    <w:rsid w:val="004539DB"/>
    <w:rsid w:val="00471A80"/>
    <w:rsid w:val="004D305E"/>
    <w:rsid w:val="004D4277"/>
    <w:rsid w:val="00502516"/>
    <w:rsid w:val="00505F06"/>
    <w:rsid w:val="00506828"/>
    <w:rsid w:val="0053056E"/>
    <w:rsid w:val="00554FDA"/>
    <w:rsid w:val="00562BB3"/>
    <w:rsid w:val="005C784C"/>
    <w:rsid w:val="005D17F6"/>
    <w:rsid w:val="005E5539"/>
    <w:rsid w:val="00602BF5"/>
    <w:rsid w:val="00617FDD"/>
    <w:rsid w:val="00633614"/>
    <w:rsid w:val="00633F68"/>
    <w:rsid w:val="00636EB2"/>
    <w:rsid w:val="006375B8"/>
    <w:rsid w:val="00661EC9"/>
    <w:rsid w:val="0066510A"/>
    <w:rsid w:val="00673F9F"/>
    <w:rsid w:val="00686953"/>
    <w:rsid w:val="00687DEA"/>
    <w:rsid w:val="00687E67"/>
    <w:rsid w:val="006967F7"/>
    <w:rsid w:val="006A250C"/>
    <w:rsid w:val="006B21D3"/>
    <w:rsid w:val="006B57D0"/>
    <w:rsid w:val="006C208D"/>
    <w:rsid w:val="006D30FF"/>
    <w:rsid w:val="006D6940"/>
    <w:rsid w:val="006D6C86"/>
    <w:rsid w:val="006F11EC"/>
    <w:rsid w:val="0070082C"/>
    <w:rsid w:val="007369E6"/>
    <w:rsid w:val="00746E59"/>
    <w:rsid w:val="00754C9A"/>
    <w:rsid w:val="0075599A"/>
    <w:rsid w:val="00761D52"/>
    <w:rsid w:val="0077749E"/>
    <w:rsid w:val="00790ADA"/>
    <w:rsid w:val="007C21B2"/>
    <w:rsid w:val="007D2288"/>
    <w:rsid w:val="007E088F"/>
    <w:rsid w:val="007E613C"/>
    <w:rsid w:val="007F7B32"/>
    <w:rsid w:val="00804BC2"/>
    <w:rsid w:val="0081431A"/>
    <w:rsid w:val="0083216F"/>
    <w:rsid w:val="00860000"/>
    <w:rsid w:val="00863BD3"/>
    <w:rsid w:val="008641ED"/>
    <w:rsid w:val="0086638B"/>
    <w:rsid w:val="00866D66"/>
    <w:rsid w:val="008671C6"/>
    <w:rsid w:val="00875803"/>
    <w:rsid w:val="00883C10"/>
    <w:rsid w:val="008B459E"/>
    <w:rsid w:val="008E13AE"/>
    <w:rsid w:val="008E1506"/>
    <w:rsid w:val="008E3F6E"/>
    <w:rsid w:val="008E710C"/>
    <w:rsid w:val="008F69D6"/>
    <w:rsid w:val="00902823"/>
    <w:rsid w:val="00915CA6"/>
    <w:rsid w:val="00927834"/>
    <w:rsid w:val="009500A6"/>
    <w:rsid w:val="00957C18"/>
    <w:rsid w:val="009659BA"/>
    <w:rsid w:val="00975D9F"/>
    <w:rsid w:val="00983040"/>
    <w:rsid w:val="009B3FB9"/>
    <w:rsid w:val="009C2465"/>
    <w:rsid w:val="009D35A0"/>
    <w:rsid w:val="009D77AD"/>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079F"/>
    <w:rsid w:val="00AC6BB8"/>
    <w:rsid w:val="00AD2D0E"/>
    <w:rsid w:val="00AE008F"/>
    <w:rsid w:val="00B002B5"/>
    <w:rsid w:val="00B01FCD"/>
    <w:rsid w:val="00B1776C"/>
    <w:rsid w:val="00B52583"/>
    <w:rsid w:val="00B52896"/>
    <w:rsid w:val="00B81434"/>
    <w:rsid w:val="00B87A08"/>
    <w:rsid w:val="00B95236"/>
    <w:rsid w:val="00B96BD9"/>
    <w:rsid w:val="00BA1B01"/>
    <w:rsid w:val="00BA2641"/>
    <w:rsid w:val="00BA432D"/>
    <w:rsid w:val="00BB37AA"/>
    <w:rsid w:val="00BC53A0"/>
    <w:rsid w:val="00BE62AD"/>
    <w:rsid w:val="00BF121F"/>
    <w:rsid w:val="00BF1F80"/>
    <w:rsid w:val="00C10DCC"/>
    <w:rsid w:val="00C166EF"/>
    <w:rsid w:val="00C17EB0"/>
    <w:rsid w:val="00C20273"/>
    <w:rsid w:val="00C27F5F"/>
    <w:rsid w:val="00C30A0F"/>
    <w:rsid w:val="00C37E61"/>
    <w:rsid w:val="00C70F1B"/>
    <w:rsid w:val="00C71A47"/>
    <w:rsid w:val="00C7464C"/>
    <w:rsid w:val="00C74CD7"/>
    <w:rsid w:val="00C8014F"/>
    <w:rsid w:val="00C85588"/>
    <w:rsid w:val="00CC7CDD"/>
    <w:rsid w:val="00CD6755"/>
    <w:rsid w:val="00CD6856"/>
    <w:rsid w:val="00CE0089"/>
    <w:rsid w:val="00CE793C"/>
    <w:rsid w:val="00CF193C"/>
    <w:rsid w:val="00D173F1"/>
    <w:rsid w:val="00D74CB0"/>
    <w:rsid w:val="00D8295D"/>
    <w:rsid w:val="00DC2A65"/>
    <w:rsid w:val="00DC64E5"/>
    <w:rsid w:val="00DD7889"/>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7185"/>
    <w:rsid w:val="00EA012C"/>
    <w:rsid w:val="00EC6A55"/>
    <w:rsid w:val="00ED0288"/>
    <w:rsid w:val="00EE52CB"/>
    <w:rsid w:val="00EF581D"/>
    <w:rsid w:val="00EF7FD8"/>
    <w:rsid w:val="00F06F59"/>
    <w:rsid w:val="00F17988"/>
    <w:rsid w:val="00F469F0"/>
    <w:rsid w:val="00F53273"/>
    <w:rsid w:val="00F60847"/>
    <w:rsid w:val="00F755E4"/>
    <w:rsid w:val="00F77D02"/>
    <w:rsid w:val="00F84D8D"/>
    <w:rsid w:val="00FA2FC2"/>
    <w:rsid w:val="00FB17EF"/>
    <w:rsid w:val="00FB3A86"/>
    <w:rsid w:val="00FC479F"/>
    <w:rsid w:val="00FD36C8"/>
    <w:rsid w:val="00FE4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66B10B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61EC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customStyle="1" w:styleId="Default">
    <w:name w:val="Default"/>
    <w:rsid w:val="000B0724"/>
    <w:pPr>
      <w:autoSpaceDE w:val="0"/>
      <w:autoSpaceDN w:val="0"/>
      <w:adjustRightInd w:val="0"/>
    </w:pPr>
    <w:rPr>
      <w:rFonts w:eastAsiaTheme="minorHAnsi"/>
      <w:color w:val="000000"/>
      <w:sz w:val="24"/>
      <w:szCs w:val="24"/>
    </w:rPr>
  </w:style>
  <w:style w:type="character" w:customStyle="1" w:styleId="Heading3Char">
    <w:name w:val="Heading 3 Char"/>
    <w:basedOn w:val="DefaultParagraphFont"/>
    <w:link w:val="Heading3"/>
    <w:semiHidden/>
    <w:rsid w:val="00661EC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1056279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hyperlink" Target="https://mpra.ub.uni-muenchen.de/96580/MPRA%20Paper%20No.%2096580" TargetMode="External"/><Relationship Id="rId21" Type="http://schemas.openxmlformats.org/officeDocument/2006/relationships/oleObject" Target="embeddings/oleObject4.bin"/><Relationship Id="rId34" Type="http://schemas.openxmlformats.org/officeDocument/2006/relationships/hyperlink" Target="https://doi.org/10.1007/s10902-021-00416-y" TargetMode="External"/><Relationship Id="rId42" Type="http://schemas.openxmlformats.org/officeDocument/2006/relationships/hyperlink" Target="http://dx.doi.org/10.1016/j.jdeveco.2013" TargetMode="External"/><Relationship Id="rId47" Type="http://schemas.openxmlformats.org/officeDocument/2006/relationships/header" Target="header4.xml"/><Relationship Id="rId50"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oleObject" Target="embeddings/oleObject8.bin"/><Relationship Id="rId11" Type="http://schemas.openxmlformats.org/officeDocument/2006/relationships/footer" Target="footer2.xml"/><Relationship Id="rId24" Type="http://schemas.openxmlformats.org/officeDocument/2006/relationships/image" Target="media/image6.wmf"/><Relationship Id="rId32" Type="http://schemas.openxmlformats.org/officeDocument/2006/relationships/image" Target="media/image10.png"/><Relationship Id="rId37" Type="http://schemas.openxmlformats.org/officeDocument/2006/relationships/hyperlink" Target="https://www.iea.org/reports/oil-market-report-april-2020" TargetMode="External"/><Relationship Id="rId40" Type="http://schemas.openxmlformats.org/officeDocument/2006/relationships/hyperlink" Target="https://jearecons.com/index.php/jearecons/article/view/22" TargetMode="External"/><Relationship Id="rId45" Type="http://schemas.openxmlformats.org/officeDocument/2006/relationships/hyperlink" Target="https://doi.org/10.1371/journal.pone.0297554" TargetMode="Externa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hyperlink" Target="https://doi.org/10.3390/su15064888" TargetMode="External"/><Relationship Id="rId49" Type="http://schemas.openxmlformats.org/officeDocument/2006/relationships/footer" Target="footer4.xml"/><Relationship Id="rId10" Type="http://schemas.openxmlformats.org/officeDocument/2006/relationships/footer" Target="footer1.xm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hyperlink" Target="https://doi.org/10.3390/ijerph192013142"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9.wmf"/><Relationship Id="rId35" Type="http://schemas.openxmlformats.org/officeDocument/2006/relationships/hyperlink" Target="https://doi.org/10.1016/j.heliyon.2023.e23874" TargetMode="External"/><Relationship Id="rId43" Type="http://schemas.openxmlformats.org/officeDocument/2006/relationships/hyperlink" Target="http://dx.doi.org/10.13164/trends.2019.34.97" TargetMode="External"/><Relationship Id="rId48" Type="http://schemas.openxmlformats.org/officeDocument/2006/relationships/header" Target="header5.xm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hyperlink" Target="https://doi.org/10.32479/ijeep.10601" TargetMode="External"/><Relationship Id="rId38" Type="http://schemas.openxmlformats.org/officeDocument/2006/relationships/hyperlink" Target="https://doi.org/10.1007/s12197-022-09587-7" TargetMode="External"/><Relationship Id="rId46" Type="http://schemas.openxmlformats.org/officeDocument/2006/relationships/hyperlink" Target="https://doi.org/10.1111/issj.12501" TargetMode="External"/><Relationship Id="rId20" Type="http://schemas.openxmlformats.org/officeDocument/2006/relationships/image" Target="media/image4.wmf"/><Relationship Id="rId41" Type="http://schemas.openxmlformats.org/officeDocument/2006/relationships/hyperlink" Target="https://www.oecd-ilibrary.org/economics/how-s-life_9789264121164-e"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CAA76-9EA8-494B-BF02-30C934D85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83</TotalTime>
  <Pages>12</Pages>
  <Words>7018</Words>
  <Characters>40009</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46934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1127</cp:lastModifiedBy>
  <cp:revision>18</cp:revision>
  <cp:lastPrinted>1999-07-06T11:00:00Z</cp:lastPrinted>
  <dcterms:created xsi:type="dcterms:W3CDTF">2025-04-30T16:17:00Z</dcterms:created>
  <dcterms:modified xsi:type="dcterms:W3CDTF">2025-05-06T05:35:00Z</dcterms:modified>
</cp:coreProperties>
</file>