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DEA3B" w14:textId="2A987C30" w:rsidR="00724FC2" w:rsidRDefault="00F014E0" w:rsidP="00A16EC7">
      <w:pPr>
        <w:pStyle w:val="jbd-alamat"/>
        <w:jc w:val="center"/>
        <w:rPr>
          <w:b/>
          <w:bCs/>
          <w:sz w:val="28"/>
          <w:szCs w:val="28"/>
          <w:lang w:val="en-GB"/>
        </w:rPr>
      </w:pPr>
      <w:bookmarkStart w:id="0" w:name="_GoBack"/>
      <w:bookmarkEnd w:id="0"/>
      <w:r w:rsidRPr="00827D73">
        <w:rPr>
          <w:b/>
          <w:bCs/>
          <w:sz w:val="28"/>
          <w:szCs w:val="28"/>
          <w:lang w:val="en-GB"/>
        </w:rPr>
        <w:t>Cosmetic Fillers and Immune Responses: A Clinical Perspective</w:t>
      </w:r>
    </w:p>
    <w:p w14:paraId="36E0FF00" w14:textId="77777777" w:rsidR="00A16EC7" w:rsidRPr="00A16EC7" w:rsidRDefault="00A16EC7" w:rsidP="00A16EC7">
      <w:pPr>
        <w:pStyle w:val="jbd-alamat"/>
        <w:jc w:val="center"/>
        <w:rPr>
          <w:b/>
          <w:bCs/>
          <w:sz w:val="28"/>
          <w:szCs w:val="28"/>
          <w:lang w:val="en-GB"/>
        </w:rPr>
      </w:pPr>
    </w:p>
    <w:p w14:paraId="753FC687" w14:textId="77777777" w:rsidR="00A62BA3" w:rsidRPr="005873C3" w:rsidRDefault="004E3F64" w:rsidP="004D6FA0">
      <w:pPr>
        <w:pStyle w:val="jbd-alamat"/>
        <w:rPr>
          <w:b/>
          <w:bCs/>
          <w:color w:val="000000" w:themeColor="text1"/>
          <w:sz w:val="22"/>
          <w:szCs w:val="22"/>
          <w:lang w:val="en-GB"/>
        </w:rPr>
      </w:pPr>
      <w:r w:rsidRPr="005873C3">
        <w:rPr>
          <w:b/>
          <w:bCs/>
          <w:color w:val="000000" w:themeColor="text1"/>
          <w:sz w:val="22"/>
          <w:szCs w:val="22"/>
          <w:lang w:val="en-GB"/>
        </w:rPr>
        <w:t>ABSTRACT</w:t>
      </w:r>
    </w:p>
    <w:p w14:paraId="2AB02341" w14:textId="2538D19A" w:rsidR="00DB2C31" w:rsidRDefault="00A62BA3" w:rsidP="00C96E87">
      <w:pPr>
        <w:pStyle w:val="jbd-alamat"/>
        <w:rPr>
          <w:sz w:val="21"/>
          <w:szCs w:val="21"/>
          <w:lang w:val="en-GB"/>
        </w:rPr>
      </w:pPr>
      <w:r w:rsidRPr="005873C3">
        <w:rPr>
          <w:sz w:val="21"/>
          <w:szCs w:val="21"/>
          <w:lang w:val="en-GB"/>
        </w:rPr>
        <w:t xml:space="preserve">Understanding the immunological responses to hyaluronic acid (HA) </w:t>
      </w:r>
      <w:r w:rsidR="00B87B58">
        <w:rPr>
          <w:sz w:val="21"/>
          <w:szCs w:val="21"/>
          <w:lang w:val="en-GB"/>
        </w:rPr>
        <w:t>as cosmetic</w:t>
      </w:r>
      <w:r w:rsidRPr="005873C3">
        <w:rPr>
          <w:sz w:val="21"/>
          <w:szCs w:val="21"/>
          <w:lang w:val="en-GB"/>
        </w:rPr>
        <w:t xml:space="preserve"> fillers is essential for optimizing patient safety and outcomes.</w:t>
      </w:r>
      <w:r w:rsidR="00B04AF5">
        <w:rPr>
          <w:sz w:val="21"/>
          <w:szCs w:val="21"/>
          <w:lang w:val="en-GB"/>
        </w:rPr>
        <w:t xml:space="preserve"> </w:t>
      </w:r>
      <w:r w:rsidRPr="005873C3">
        <w:rPr>
          <w:sz w:val="21"/>
          <w:szCs w:val="21"/>
          <w:lang w:val="en-GB"/>
        </w:rPr>
        <w:t xml:space="preserve">Although HA closely resembles endogenous human HA, variations in molecular size, source, and potential contaminants can provoke both innate and adaptive immune </w:t>
      </w:r>
      <w:r w:rsidR="00B87B58">
        <w:rPr>
          <w:sz w:val="21"/>
          <w:szCs w:val="21"/>
          <w:lang w:val="en-GB"/>
        </w:rPr>
        <w:t xml:space="preserve">response. </w:t>
      </w:r>
      <w:r w:rsidR="00702D39" w:rsidRPr="00BD55A6">
        <w:rPr>
          <w:color w:val="0432FF"/>
          <w:sz w:val="21"/>
          <w:szCs w:val="21"/>
          <w:lang w:val="en-GB"/>
        </w:rPr>
        <w:t>HA</w:t>
      </w:r>
      <w:r w:rsidR="00F627C8" w:rsidRPr="00BD55A6">
        <w:rPr>
          <w:color w:val="0432FF"/>
          <w:sz w:val="21"/>
          <w:szCs w:val="21"/>
          <w:lang w:val="en-GB"/>
        </w:rPr>
        <w:t xml:space="preserve"> injections have the potential to activate both short-term and long-term immune system reactions.</w:t>
      </w:r>
      <w:r w:rsidR="00C96E87">
        <w:rPr>
          <w:sz w:val="21"/>
          <w:szCs w:val="21"/>
          <w:lang w:val="en-GB"/>
        </w:rPr>
        <w:t xml:space="preserve"> </w:t>
      </w:r>
      <w:r w:rsidR="00B87B58">
        <w:rPr>
          <w:sz w:val="21"/>
          <w:szCs w:val="21"/>
          <w:lang w:val="en-GB"/>
        </w:rPr>
        <w:t>The immune reaction</w:t>
      </w:r>
      <w:r w:rsidRPr="005873C3">
        <w:rPr>
          <w:sz w:val="21"/>
          <w:szCs w:val="21"/>
          <w:lang w:val="en-GB"/>
        </w:rPr>
        <w:t xml:space="preserve"> ranging from mild, self-limited swelling to severe delayed inflammatory responses.</w:t>
      </w:r>
      <w:r w:rsidR="00B04AF5">
        <w:rPr>
          <w:sz w:val="21"/>
          <w:szCs w:val="21"/>
          <w:lang w:val="en-GB"/>
        </w:rPr>
        <w:t xml:space="preserve"> </w:t>
      </w:r>
      <w:r w:rsidRPr="005873C3">
        <w:rPr>
          <w:sz w:val="21"/>
          <w:szCs w:val="21"/>
          <w:lang w:val="en-GB"/>
        </w:rPr>
        <w:t xml:space="preserve">The biofilm-forming skin bacteria and the proinflammatory properties of low-molecular-weight HA </w:t>
      </w:r>
      <w:r w:rsidR="0094538F">
        <w:rPr>
          <w:sz w:val="21"/>
          <w:szCs w:val="21"/>
          <w:lang w:val="en-GB"/>
        </w:rPr>
        <w:t xml:space="preserve">can </w:t>
      </w:r>
      <w:r w:rsidRPr="005873C3">
        <w:rPr>
          <w:sz w:val="21"/>
          <w:szCs w:val="21"/>
          <w:lang w:val="en-GB"/>
        </w:rPr>
        <w:t>complicate the clinical picture.</w:t>
      </w:r>
      <w:r w:rsidR="00B04AF5">
        <w:rPr>
          <w:sz w:val="21"/>
          <w:szCs w:val="21"/>
          <w:lang w:val="en-GB"/>
        </w:rPr>
        <w:t xml:space="preserve"> </w:t>
      </w:r>
      <w:r w:rsidRPr="005873C3">
        <w:rPr>
          <w:sz w:val="21"/>
          <w:szCs w:val="21"/>
          <w:lang w:val="en-GB"/>
        </w:rPr>
        <w:t>Therefore, careful patient selection, pre-injection sensitivity assessment, and adherence to meticulous injection techniques by trained specialists are crucial.</w:t>
      </w:r>
      <w:r w:rsidR="00B04AF5">
        <w:rPr>
          <w:sz w:val="21"/>
          <w:szCs w:val="21"/>
          <w:lang w:val="en-GB"/>
        </w:rPr>
        <w:t xml:space="preserve"> </w:t>
      </w:r>
      <w:r w:rsidRPr="005873C3">
        <w:rPr>
          <w:sz w:val="21"/>
          <w:szCs w:val="21"/>
          <w:lang w:val="en-GB"/>
        </w:rPr>
        <w:t>Ongoing research into the mechanisms of immune activation and improved diagnostic strategies will enhance the safe use of cosmetic fillers and help clinicians effectively manage and prevent adverse reactions.</w:t>
      </w:r>
      <w:r w:rsidR="00B04AF5">
        <w:rPr>
          <w:sz w:val="21"/>
          <w:szCs w:val="21"/>
          <w:lang w:val="en-GB"/>
        </w:rPr>
        <w:t xml:space="preserve"> </w:t>
      </w:r>
      <w:r w:rsidR="00AB1BD9" w:rsidRPr="005873C3">
        <w:rPr>
          <w:sz w:val="21"/>
          <w:szCs w:val="21"/>
          <w:lang w:val="en-GB"/>
        </w:rPr>
        <w:t xml:space="preserve">Hyaluronic acid fillers closely resemble natural HA </w:t>
      </w:r>
      <w:r w:rsidR="00AB1BD9" w:rsidRPr="002D44B1">
        <w:rPr>
          <w:color w:val="0432FF"/>
          <w:sz w:val="21"/>
          <w:szCs w:val="21"/>
          <w:lang w:val="en-GB"/>
        </w:rPr>
        <w:t xml:space="preserve">but can still trigger serious immune </w:t>
      </w:r>
      <w:r w:rsidR="00B04AF5" w:rsidRPr="002D44B1">
        <w:rPr>
          <w:color w:val="0432FF"/>
          <w:sz w:val="21"/>
          <w:szCs w:val="21"/>
          <w:lang w:val="en-GB"/>
        </w:rPr>
        <w:t>responses</w:t>
      </w:r>
      <w:r w:rsidR="006A43E7" w:rsidRPr="002D44B1">
        <w:rPr>
          <w:color w:val="0432FF"/>
          <w:sz w:val="21"/>
          <w:szCs w:val="21"/>
          <w:lang w:val="en-GB"/>
        </w:rPr>
        <w:t xml:space="preserve"> but the delayed-type hypersensitivity reported to be the most common consequences.</w:t>
      </w:r>
      <w:r w:rsidR="00B04AF5">
        <w:rPr>
          <w:sz w:val="21"/>
          <w:szCs w:val="21"/>
          <w:lang w:val="en-GB"/>
        </w:rPr>
        <w:t xml:space="preserve"> </w:t>
      </w:r>
      <w:r w:rsidR="00017BA6">
        <w:rPr>
          <w:sz w:val="21"/>
          <w:szCs w:val="21"/>
          <w:lang w:val="en-GB"/>
        </w:rPr>
        <w:t xml:space="preserve">To </w:t>
      </w:r>
      <w:r w:rsidR="00017BA6" w:rsidRPr="005873C3">
        <w:rPr>
          <w:sz w:val="21"/>
          <w:szCs w:val="21"/>
          <w:lang w:val="en-GB"/>
        </w:rPr>
        <w:t>minimize risks and ensure patient safety</w:t>
      </w:r>
      <w:r w:rsidR="00017BA6">
        <w:rPr>
          <w:sz w:val="21"/>
          <w:szCs w:val="21"/>
          <w:lang w:val="en-GB"/>
        </w:rPr>
        <w:t>, s</w:t>
      </w:r>
      <w:r w:rsidR="00B04AF5">
        <w:rPr>
          <w:sz w:val="21"/>
          <w:szCs w:val="21"/>
          <w:lang w:val="en-GB"/>
        </w:rPr>
        <w:t>pecialists should perform injections</w:t>
      </w:r>
      <w:r w:rsidR="00AB1BD9" w:rsidRPr="005873C3">
        <w:rPr>
          <w:sz w:val="21"/>
          <w:szCs w:val="21"/>
          <w:lang w:val="en-GB"/>
        </w:rPr>
        <w:t xml:space="preserve"> with prior sensitivity testing.</w:t>
      </w:r>
      <w:r w:rsidR="00B04AF5">
        <w:rPr>
          <w:sz w:val="21"/>
          <w:szCs w:val="21"/>
          <w:lang w:val="en-GB"/>
        </w:rPr>
        <w:t xml:space="preserve"> </w:t>
      </w:r>
    </w:p>
    <w:p w14:paraId="424531FB" w14:textId="77777777" w:rsidR="008E3F4C" w:rsidRDefault="008E3F4C" w:rsidP="007F233B">
      <w:pPr>
        <w:pStyle w:val="jbd-alamat"/>
        <w:rPr>
          <w:sz w:val="21"/>
          <w:szCs w:val="21"/>
          <w:lang w:val="en-GB"/>
        </w:rPr>
      </w:pPr>
    </w:p>
    <w:p w14:paraId="739B3AF4" w14:textId="77777777" w:rsidR="004D6FA0" w:rsidRPr="00DB2C31" w:rsidRDefault="00383A41" w:rsidP="00DB2C31">
      <w:pPr>
        <w:pStyle w:val="jbd-alamat"/>
        <w:rPr>
          <w:sz w:val="21"/>
          <w:szCs w:val="21"/>
          <w:lang w:val="en-GB"/>
        </w:rPr>
      </w:pPr>
      <w:r w:rsidRPr="005873C3">
        <w:rPr>
          <w:b/>
          <w:bCs/>
          <w:iCs/>
          <w:sz w:val="20"/>
          <w:szCs w:val="20"/>
          <w:lang w:val="en-GB"/>
        </w:rPr>
        <w:t>Keywords:</w:t>
      </w:r>
      <w:r w:rsidRPr="005873C3">
        <w:rPr>
          <w:iCs/>
          <w:sz w:val="20"/>
          <w:szCs w:val="20"/>
          <w:lang w:val="en-GB"/>
        </w:rPr>
        <w:t xml:space="preserve"> </w:t>
      </w:r>
      <w:r w:rsidR="000615BE" w:rsidRPr="005873C3">
        <w:rPr>
          <w:sz w:val="20"/>
          <w:szCs w:val="20"/>
          <w:lang w:val="en-GB"/>
        </w:rPr>
        <w:t>hyaluronic acid, innate, adaptive, immune response, inflammation, pathogens.</w:t>
      </w:r>
    </w:p>
    <w:p w14:paraId="25319B80" w14:textId="77777777" w:rsidR="00123544" w:rsidRPr="00DB2C31" w:rsidRDefault="00123544" w:rsidP="00383A41">
      <w:pPr>
        <w:pStyle w:val="Body"/>
        <w:spacing w:after="0"/>
        <w:rPr>
          <w:rFonts w:ascii="Arial" w:hAnsi="Arial" w:cs="Arial"/>
          <w:iCs/>
          <w:lang w:val="en-GB"/>
        </w:rPr>
      </w:pPr>
    </w:p>
    <w:p w14:paraId="7B2756E3" w14:textId="77777777" w:rsidR="00DB2C31" w:rsidRDefault="00AF50A2" w:rsidP="00DB2C31">
      <w:pPr>
        <w:pStyle w:val="jbd-alamat"/>
        <w:rPr>
          <w:b/>
          <w:bCs/>
          <w:color w:val="000000" w:themeColor="text1"/>
          <w:sz w:val="22"/>
          <w:szCs w:val="22"/>
          <w:lang w:val="en-GB"/>
        </w:rPr>
      </w:pPr>
      <w:r w:rsidRPr="005873C3">
        <w:rPr>
          <w:b/>
          <w:bCs/>
          <w:color w:val="000000" w:themeColor="text1"/>
          <w:sz w:val="22"/>
          <w:szCs w:val="22"/>
          <w:lang w:val="en-GB"/>
        </w:rPr>
        <w:t>INTRODUCTION</w:t>
      </w:r>
    </w:p>
    <w:p w14:paraId="2F3D370E" w14:textId="177DA7FC" w:rsidR="00D0645C" w:rsidRPr="00DB2C31" w:rsidRDefault="00B514A1" w:rsidP="00DB2C31">
      <w:pPr>
        <w:pStyle w:val="jbd-alamat"/>
        <w:rPr>
          <w:b/>
          <w:bCs/>
          <w:color w:val="000000" w:themeColor="text1"/>
          <w:sz w:val="22"/>
          <w:szCs w:val="22"/>
          <w:lang w:val="en-GB"/>
        </w:rPr>
      </w:pPr>
      <w:r w:rsidRPr="005873C3">
        <w:rPr>
          <w:lang w:val="en-GB"/>
        </w:rPr>
        <w:t xml:space="preserve">The </w:t>
      </w:r>
      <w:r w:rsidR="000E6316" w:rsidRPr="005873C3">
        <w:rPr>
          <w:lang w:val="en-GB"/>
        </w:rPr>
        <w:t xml:space="preserve">human </w:t>
      </w:r>
      <w:r w:rsidRPr="005873C3">
        <w:rPr>
          <w:lang w:val="en-GB"/>
        </w:rPr>
        <w:t xml:space="preserve">immune system is an intricate network of </w:t>
      </w:r>
      <w:r w:rsidR="00EC3EFB">
        <w:rPr>
          <w:lang w:val="en-GB"/>
        </w:rPr>
        <w:t xml:space="preserve">lymphoid </w:t>
      </w:r>
      <w:r w:rsidRPr="005873C3">
        <w:rPr>
          <w:lang w:val="en-GB"/>
        </w:rPr>
        <w:t xml:space="preserve">organs, </w:t>
      </w:r>
      <w:r w:rsidR="00196BBA">
        <w:rPr>
          <w:lang w:val="en-GB"/>
        </w:rPr>
        <w:t>immune</w:t>
      </w:r>
      <w:r w:rsidRPr="005873C3">
        <w:rPr>
          <w:lang w:val="en-GB"/>
        </w:rPr>
        <w:t xml:space="preserve"> cells, </w:t>
      </w:r>
      <w:r w:rsidR="00656E0B">
        <w:rPr>
          <w:lang w:val="en-GB"/>
        </w:rPr>
        <w:t xml:space="preserve">immune </w:t>
      </w:r>
      <w:r w:rsidRPr="005873C3">
        <w:rPr>
          <w:lang w:val="en-GB"/>
        </w:rPr>
        <w:t>proteins, and chemical</w:t>
      </w:r>
      <w:r w:rsidR="003233F0">
        <w:rPr>
          <w:lang w:val="en-GB"/>
        </w:rPr>
        <w:t xml:space="preserve"> products</w:t>
      </w:r>
      <w:r w:rsidRPr="005873C3">
        <w:rPr>
          <w:lang w:val="en-GB"/>
        </w:rPr>
        <w:t xml:space="preserve"> that work together to </w:t>
      </w:r>
      <w:r w:rsidR="006062CC">
        <w:rPr>
          <w:lang w:val="en-GB"/>
        </w:rPr>
        <w:t>protect</w:t>
      </w:r>
      <w:r w:rsidRPr="005873C3">
        <w:rPr>
          <w:lang w:val="en-GB"/>
        </w:rPr>
        <w:t xml:space="preserve"> the body against </w:t>
      </w:r>
      <w:r w:rsidR="00831044">
        <w:rPr>
          <w:lang w:val="en-GB"/>
        </w:rPr>
        <w:t xml:space="preserve">microbial </w:t>
      </w:r>
      <w:r w:rsidR="0010313D">
        <w:rPr>
          <w:lang w:val="en-GB"/>
        </w:rPr>
        <w:t>invasion</w:t>
      </w:r>
      <w:r w:rsidRPr="005873C3">
        <w:rPr>
          <w:lang w:val="en-GB"/>
        </w:rPr>
        <w:t xml:space="preserve"> </w:t>
      </w:r>
      <w:r w:rsidR="00831044">
        <w:rPr>
          <w:lang w:val="en-GB"/>
        </w:rPr>
        <w:t>such as</w:t>
      </w:r>
      <w:r w:rsidRPr="005873C3">
        <w:rPr>
          <w:lang w:val="en-GB"/>
        </w:rPr>
        <w:t xml:space="preserve"> bacteria, viruses, and parasites, </w:t>
      </w:r>
      <w:r w:rsidR="004E1FDD" w:rsidRPr="005873C3">
        <w:rPr>
          <w:color w:val="000000" w:themeColor="text1"/>
          <w:lang w:val="en-GB"/>
        </w:rPr>
        <w:t>and their toxic effects</w:t>
      </w:r>
      <w:r w:rsidR="004E1FDD" w:rsidRPr="005873C3">
        <w:rPr>
          <w:lang w:val="en-GB"/>
        </w:rPr>
        <w:t xml:space="preserve"> </w:t>
      </w:r>
      <w:r w:rsidRPr="005873C3">
        <w:rPr>
          <w:lang w:val="en-GB"/>
        </w:rPr>
        <w:t xml:space="preserve">as well as abnormal cells such as </w:t>
      </w:r>
      <w:r w:rsidR="00831044" w:rsidRPr="005873C3">
        <w:rPr>
          <w:lang w:val="en-GB"/>
        </w:rPr>
        <w:t>tumours</w:t>
      </w:r>
      <w:r w:rsidRPr="005873C3">
        <w:rPr>
          <w:lang w:val="en-GB"/>
        </w:rPr>
        <w:t xml:space="preserve"> and transplanted tissues</w:t>
      </w:r>
      <w:r w:rsidR="00124BB1">
        <w:rPr>
          <w:lang w:val="en-GB"/>
        </w:rPr>
        <w:t xml:space="preserve"> </w:t>
      </w:r>
      <w:r w:rsidR="00124BB1">
        <w:rPr>
          <w:lang w:val="en-GB"/>
        </w:rPr>
        <w:fldChar w:fldCharType="begin"/>
      </w:r>
      <w:r w:rsidR="00124BB1">
        <w:rPr>
          <w:lang w:val="en-GB"/>
        </w:rPr>
        <w:instrText xml:space="preserve"> ADDIN ZOTERO_ITEM CSL_CITATION {"citationID":"lSf1vw7L","properties":{"formattedCitation":"(Kivity et al., 2009)","plainCitation":"(Kivity et al., 2009)","noteIndex":0},"citationItems":[{"id":7744,"uris":["http://zotero.org/users/2543086/items/67Z758X4"],"itemData":{"id":7744,"type":"article-journal","abstract":"Autoimmunity can be triggered by many environmental factors, among which infectious agents are pivotal. Here, we summarize current knowledge of the relationship between infection and autoimmunity. An autoimmune disease can be induced or triggered by infectious agents, which can also determine its clinical manifestations. Most infectious agents, such as viruses, bacteria and parasites, can induce autoimmunity via different mechanisms. In many cases, it is not a single infection but rather the ‘burden of infections’ from childhood that is responsible for the induction of autoimmunity. The development of an autoimmune disease after infection tends to occur in genetically susceptible individuals. By contrast, some infections can protect individuals from specific autoimmune diseases (i.e. the hygiene hypothesis).","container-title":"Trends in Immunology","DOI":"10.1016/j.it.2009.05.005","ISSN":"1471-4906","issue":"8","journalAbbreviation":"Trends in Immunology","page":"409-414","source":"ScienceDirect","title":"Infections and autoimmunity – friends or foes?","volume":"30","author":[{"family":"Kivity","given":"Shaye"},{"family":"Agmon-Levin","given":"Nancy"},{"family":"Blank","given":"Miri"},{"family":"Shoenfeld","given":"Yehuda"}],"issued":{"date-parts":[["2009",8,1]]}}}],"schema":"https://github.com/citation-style-language/schema/raw/master/csl-citation.json"} </w:instrText>
      </w:r>
      <w:r w:rsidR="00124BB1">
        <w:rPr>
          <w:lang w:val="en-GB"/>
        </w:rPr>
        <w:fldChar w:fldCharType="separate"/>
      </w:r>
      <w:r w:rsidR="00124BB1">
        <w:rPr>
          <w:noProof/>
          <w:lang w:val="en-GB"/>
        </w:rPr>
        <w:t>(Kivity et al., 2009)</w:t>
      </w:r>
      <w:r w:rsidR="00124BB1">
        <w:rPr>
          <w:lang w:val="en-GB"/>
        </w:rPr>
        <w:fldChar w:fldCharType="end"/>
      </w:r>
      <w:r w:rsidRPr="005873C3">
        <w:rPr>
          <w:lang w:val="en-GB"/>
        </w:rPr>
        <w:t>.</w:t>
      </w:r>
      <w:r w:rsidR="00B04AF5">
        <w:rPr>
          <w:lang w:val="en-GB"/>
        </w:rPr>
        <w:t xml:space="preserve"> </w:t>
      </w:r>
      <w:r w:rsidRPr="005873C3">
        <w:rPr>
          <w:lang w:val="en-GB"/>
        </w:rPr>
        <w:t xml:space="preserve">These components coordinate to recognize the </w:t>
      </w:r>
      <w:r w:rsidR="00755B66">
        <w:rPr>
          <w:lang w:val="en-GB"/>
        </w:rPr>
        <w:t>body's</w:t>
      </w:r>
      <w:r w:rsidRPr="005873C3">
        <w:rPr>
          <w:lang w:val="en-GB"/>
        </w:rPr>
        <w:t xml:space="preserve"> own cells and minimize self-damage while mounting protective responses.</w:t>
      </w:r>
      <w:r w:rsidR="00B04AF5">
        <w:rPr>
          <w:lang w:val="en-GB"/>
        </w:rPr>
        <w:t xml:space="preserve"> </w:t>
      </w:r>
      <w:r w:rsidRPr="005873C3">
        <w:rPr>
          <w:lang w:val="en-GB"/>
        </w:rPr>
        <w:t xml:space="preserve">Effective immunity relies on the </w:t>
      </w:r>
      <w:r w:rsidR="00651DFF" w:rsidRPr="00651DFF">
        <w:rPr>
          <w:color w:val="0432FF"/>
          <w:lang w:val="en-GB"/>
        </w:rPr>
        <w:t>interaction</w:t>
      </w:r>
      <w:r w:rsidRPr="00651DFF">
        <w:rPr>
          <w:color w:val="0432FF"/>
          <w:lang w:val="en-GB"/>
        </w:rPr>
        <w:t xml:space="preserve"> </w:t>
      </w:r>
      <w:r w:rsidRPr="005873C3">
        <w:rPr>
          <w:lang w:val="en-GB"/>
        </w:rPr>
        <w:t xml:space="preserve">between the innate and adaptive </w:t>
      </w:r>
      <w:r w:rsidR="00046D39">
        <w:rPr>
          <w:lang w:val="en-GB"/>
        </w:rPr>
        <w:t>immune systems</w:t>
      </w:r>
      <w:r w:rsidRPr="005873C3">
        <w:rPr>
          <w:lang w:val="en-GB"/>
        </w:rPr>
        <w:t>.</w:t>
      </w:r>
      <w:r w:rsidR="00B04AF5">
        <w:rPr>
          <w:lang w:val="en-GB"/>
        </w:rPr>
        <w:t xml:space="preserve"> </w:t>
      </w:r>
      <w:r w:rsidRPr="005873C3">
        <w:rPr>
          <w:lang w:val="en-GB"/>
        </w:rPr>
        <w:t xml:space="preserve">The innate immune </w:t>
      </w:r>
      <w:r w:rsidRPr="005873C3">
        <w:rPr>
          <w:lang w:val="en-GB"/>
        </w:rPr>
        <w:lastRenderedPageBreak/>
        <w:t xml:space="preserve">system, present from birth, provides immediate, non-specific </w:t>
      </w:r>
      <w:r w:rsidR="00831044" w:rsidRPr="005873C3">
        <w:rPr>
          <w:lang w:val="en-GB"/>
        </w:rPr>
        <w:t>defence</w:t>
      </w:r>
      <w:r w:rsidRPr="005873C3">
        <w:rPr>
          <w:lang w:val="en-GB"/>
        </w:rPr>
        <w:t xml:space="preserve"> and does not adapt to specific pathogens during infection.</w:t>
      </w:r>
      <w:r w:rsidR="00B04AF5">
        <w:rPr>
          <w:lang w:val="en-GB"/>
        </w:rPr>
        <w:t xml:space="preserve"> </w:t>
      </w:r>
      <w:r w:rsidRPr="005873C3">
        <w:rPr>
          <w:lang w:val="en-GB"/>
        </w:rPr>
        <w:t xml:space="preserve">In contrast, adaptive immunity is characterized by the ability of specialized cells-mainly T and B </w:t>
      </w:r>
      <w:r w:rsidR="00755B66">
        <w:rPr>
          <w:lang w:val="en-GB"/>
        </w:rPr>
        <w:t>lymphocytes</w:t>
      </w:r>
      <w:r w:rsidRPr="005873C3">
        <w:rPr>
          <w:lang w:val="en-GB"/>
        </w:rPr>
        <w:t xml:space="preserve"> undergo genetic changes in response to particular antigens, allowing for a targeted and memory-based response</w:t>
      </w:r>
      <w:r w:rsidR="002D01C6">
        <w:rPr>
          <w:lang w:val="en-GB"/>
        </w:rPr>
        <w:t xml:space="preserve"> </w:t>
      </w:r>
      <w:r w:rsidR="002D01C6">
        <w:rPr>
          <w:lang w:val="en-GB"/>
        </w:rPr>
        <w:fldChar w:fldCharType="begin"/>
      </w:r>
      <w:r w:rsidR="002D01C6">
        <w:rPr>
          <w:lang w:val="en-GB"/>
        </w:rPr>
        <w:instrText xml:space="preserve"> ADDIN ZOTERO_ITEM CSL_CITATION {"citationID":"03opE5Rh","properties":{"formattedCitation":"(Abbas et al., 2017)","plainCitation":"(Abbas et al., 2017)","noteIndex":0},"citationItems":[{"id":2894,"uris":["http://zotero.org/users/2543086/items/QA4U7THW"],"itemData":{"id":2894,"type":"book","edition":"9th","publisher":"West B. Saunders Company","title":"Cellular and molecular immunology","title-short":"Cellular and molecular immunology","author":[{"family":"Abbas","given":"AK"},{"family":"Lichtman","given":"AH"},{"family":"Pillai","given":"S"}],"issued":{"date-parts":[["2017"]]}}}],"schema":"https://github.com/citation-style-language/schema/raw/master/csl-citation.json"} </w:instrText>
      </w:r>
      <w:r w:rsidR="002D01C6">
        <w:rPr>
          <w:lang w:val="en-GB"/>
        </w:rPr>
        <w:fldChar w:fldCharType="separate"/>
      </w:r>
      <w:r w:rsidR="002D01C6">
        <w:rPr>
          <w:noProof/>
          <w:lang w:val="en-GB"/>
        </w:rPr>
        <w:t>(Abbas et al., 2017)</w:t>
      </w:r>
      <w:r w:rsidR="002D01C6">
        <w:rPr>
          <w:lang w:val="en-GB"/>
        </w:rPr>
        <w:fldChar w:fldCharType="end"/>
      </w:r>
      <w:r w:rsidRPr="005873C3">
        <w:rPr>
          <w:lang w:val="en-GB"/>
        </w:rPr>
        <w:t>.</w:t>
      </w:r>
      <w:r w:rsidR="00B04AF5">
        <w:rPr>
          <w:color w:val="000000" w:themeColor="text1"/>
          <w:lang w:val="en-GB"/>
        </w:rPr>
        <w:t xml:space="preserve"> </w:t>
      </w:r>
      <w:r w:rsidR="00D0645C" w:rsidRPr="005873C3">
        <w:rPr>
          <w:color w:val="000000" w:themeColor="text1"/>
          <w:lang w:val="en-GB"/>
        </w:rPr>
        <w:t>Antigen can be defined as any molecular structure that can bind to a specific antibody or T-cell receptor.</w:t>
      </w:r>
      <w:r w:rsidR="00B04AF5">
        <w:rPr>
          <w:color w:val="000000" w:themeColor="text1"/>
          <w:lang w:val="en-GB"/>
        </w:rPr>
        <w:t xml:space="preserve"> </w:t>
      </w:r>
      <w:r w:rsidR="00D0645C" w:rsidRPr="005873C3">
        <w:rPr>
          <w:color w:val="000000" w:themeColor="text1"/>
          <w:lang w:val="en-GB"/>
        </w:rPr>
        <w:t xml:space="preserve">Antigens can be proteins, peptides, polysaccharides, lipids, or nucleic acids </w:t>
      </w:r>
      <w:r w:rsidR="00D0645C" w:rsidRPr="005873C3">
        <w:rPr>
          <w:color w:val="000000" w:themeColor="text1"/>
          <w:lang w:val="en-GB"/>
        </w:rPr>
        <w:fldChar w:fldCharType="begin"/>
      </w:r>
      <w:r w:rsidR="00D0645C" w:rsidRPr="005873C3">
        <w:rPr>
          <w:color w:val="000000" w:themeColor="text1"/>
          <w:lang w:val="en-GB"/>
        </w:rPr>
        <w:instrText xml:space="preserve"> ADDIN ZOTERO_ITEM CSL_CITATION {"citationID":"jbVYrqSD","properties":{"formattedCitation":"(Aristiz\\uc0\\u225{}bal &amp; Gonz\\uc0\\u225{}lez, 2013)","plainCitation":"(Aristizábal &amp; González, 2013)","noteIndex":0},"citationItems":[{"id":2749,"uris":["http://zotero.org/users/2543086/items/X9V7ENEV"],"itemData":{"id":2749,"type":"book","abstract":"The innate immune response is the first mechanism for host defense found in all multicellular organisms. The innate immune system is more ancient than the acquired or adaptive immune response, and it has developed and evolved to protect the host from the surrounding environment in which a variety of toxins and infectious agents including bacteria, fungi, viruses and parasites are found (1).","language":"en","note":"container-title: Autoimmunity: From Bench to Bedside [Internet]","publisher":"El Rosario University Press","source":"www.ncbi.nlm.nih.gov","title":"Innate immune system","URL":"https://www.ncbi.nlm.nih.gov/books/NBK459455/","author":[{"family":"Aristizábal","given":"Beatriz"},{"family":"González","given":"Ángel"}],"accessed":{"date-parts":[["2022",6,25]]},"issued":{"date-parts":[["2013",7,18]]}}}],"schema":"https://github.com/citation-style-language/schema/raw/master/csl-citation.json"} </w:instrText>
      </w:r>
      <w:r w:rsidR="00D0645C" w:rsidRPr="005873C3">
        <w:rPr>
          <w:color w:val="000000" w:themeColor="text1"/>
          <w:lang w:val="en-GB"/>
        </w:rPr>
        <w:fldChar w:fldCharType="separate"/>
      </w:r>
      <w:r w:rsidR="00D0645C" w:rsidRPr="005873C3">
        <w:rPr>
          <w:lang w:val="en-GB"/>
        </w:rPr>
        <w:t>(Aristizábal &amp; González, 2013)</w:t>
      </w:r>
      <w:r w:rsidR="00D0645C" w:rsidRPr="005873C3">
        <w:rPr>
          <w:color w:val="000000" w:themeColor="text1"/>
          <w:lang w:val="en-GB"/>
        </w:rPr>
        <w:fldChar w:fldCharType="end"/>
      </w:r>
      <w:r w:rsidR="00D0645C" w:rsidRPr="005873C3">
        <w:rPr>
          <w:color w:val="000000" w:themeColor="text1"/>
          <w:lang w:val="en-GB"/>
        </w:rPr>
        <w:t>.</w:t>
      </w:r>
      <w:r w:rsidR="00B04AF5">
        <w:rPr>
          <w:color w:val="000000" w:themeColor="text1"/>
          <w:lang w:val="en-GB"/>
        </w:rPr>
        <w:t xml:space="preserve"> </w:t>
      </w:r>
      <w:r w:rsidR="005C1411" w:rsidRPr="005C1411">
        <w:rPr>
          <w:color w:val="000000" w:themeColor="text1"/>
          <w:lang w:val="en-GB"/>
        </w:rPr>
        <w:t xml:space="preserve">Antigens activate the immune </w:t>
      </w:r>
      <w:r w:rsidR="009235A1">
        <w:rPr>
          <w:color w:val="000000" w:themeColor="text1"/>
          <w:lang w:val="en-GB"/>
        </w:rPr>
        <w:t>response</w:t>
      </w:r>
      <w:r w:rsidR="005C1411" w:rsidRPr="005C1411">
        <w:rPr>
          <w:color w:val="000000" w:themeColor="text1"/>
          <w:lang w:val="en-GB"/>
        </w:rPr>
        <w:t xml:space="preserve"> through two distinct receptor pathways</w:t>
      </w:r>
      <w:r w:rsidR="00F01B4C">
        <w:rPr>
          <w:color w:val="000000" w:themeColor="text1"/>
          <w:lang w:val="en-GB"/>
        </w:rPr>
        <w:t>,</w:t>
      </w:r>
      <w:r w:rsidR="005C1411" w:rsidRPr="005C1411">
        <w:rPr>
          <w:color w:val="000000" w:themeColor="text1"/>
          <w:lang w:val="en-GB"/>
        </w:rPr>
        <w:t xml:space="preserve"> pattern recognition receptors (PRRs)</w:t>
      </w:r>
      <w:r w:rsidR="00F01B4C">
        <w:rPr>
          <w:color w:val="000000" w:themeColor="text1"/>
          <w:lang w:val="en-GB"/>
        </w:rPr>
        <w:t>,</w:t>
      </w:r>
      <w:r w:rsidR="005C1411" w:rsidRPr="005C1411">
        <w:rPr>
          <w:color w:val="000000" w:themeColor="text1"/>
          <w:lang w:val="en-GB"/>
        </w:rPr>
        <w:t xml:space="preserve"> that initiate innate immune responses, and antigen-specific receptors </w:t>
      </w:r>
      <w:r w:rsidR="00953EB9">
        <w:rPr>
          <w:color w:val="000000" w:themeColor="text1"/>
          <w:lang w:val="en-GB"/>
        </w:rPr>
        <w:t xml:space="preserve">including </w:t>
      </w:r>
      <w:r w:rsidR="005C1411" w:rsidRPr="005C1411">
        <w:rPr>
          <w:color w:val="000000" w:themeColor="text1"/>
          <w:lang w:val="en-GB"/>
        </w:rPr>
        <w:t>B-cell</w:t>
      </w:r>
      <w:r w:rsidR="00953EB9">
        <w:rPr>
          <w:color w:val="000000" w:themeColor="text1"/>
          <w:lang w:val="en-GB"/>
        </w:rPr>
        <w:t xml:space="preserve"> and </w:t>
      </w:r>
      <w:r w:rsidR="005C1411" w:rsidRPr="005C1411">
        <w:rPr>
          <w:color w:val="000000" w:themeColor="text1"/>
          <w:lang w:val="en-GB"/>
        </w:rPr>
        <w:t>T-cell receptors produced via gene rearrangement after antigen exposure, which mediate adaptive</w:t>
      </w:r>
      <w:r w:rsidR="00563C79">
        <w:rPr>
          <w:color w:val="000000" w:themeColor="text1"/>
          <w:lang w:val="en-GB"/>
        </w:rPr>
        <w:t xml:space="preserve"> </w:t>
      </w:r>
      <w:r w:rsidR="005C1411" w:rsidRPr="005C1411">
        <w:rPr>
          <w:color w:val="000000" w:themeColor="text1"/>
          <w:lang w:val="en-GB"/>
        </w:rPr>
        <w:t>immunity</w:t>
      </w:r>
      <w:r w:rsidR="00962BED">
        <w:rPr>
          <w:rFonts w:eastAsia="Helvetica"/>
          <w:color w:val="000000" w:themeColor="text1"/>
          <w:lang w:val="en-GB"/>
        </w:rPr>
        <w:t xml:space="preserve"> </w:t>
      </w:r>
      <w:r w:rsidR="00962BED">
        <w:rPr>
          <w:rFonts w:eastAsia="Helvetica"/>
          <w:color w:val="000000" w:themeColor="text1"/>
          <w:lang w:val="en-GB"/>
        </w:rPr>
        <w:fldChar w:fldCharType="begin"/>
      </w:r>
      <w:r w:rsidR="00962BED">
        <w:rPr>
          <w:rFonts w:eastAsia="Helvetica"/>
          <w:color w:val="000000" w:themeColor="text1"/>
          <w:lang w:val="en-GB"/>
        </w:rPr>
        <w:instrText xml:space="preserve"> ADDIN ZOTERO_ITEM CSL_CITATION {"citationID":"POZcFec0","properties":{"formattedCitation":"(Li &amp; Wu, 2021)","plainCitation":"(Li &amp; Wu, 2021)","noteIndex":0},"citationItems":[{"id":2750,"uris":["http://zotero.org/users/2543086/items/9YXN9B28"],"itemData":{"id":2750,"type":"article-journal","abstract":"Pattern recognition receptors (PRRs) are a class of receptors that can directly recognize the specific molecular structures on the surface of pathogens, apoptotic host cells, and damaged senescent cells. PRRs bridge nonspecific immunity and specific immunity. Through the recognition and binding of ligands, PRRs can produce nonspecific anti-infection, antitumor, and other immunoprotective effects. Most PRRs in the innate immune system of vertebrates can be classified into the following five types based on protein domain homology: Toll-like receptors (TLRs), nucleotide oligomerization domain (NOD)-like receptors (NLRs), retinoic acid-inducible gene-I (RIG-I)-like receptors (RLRs), C-type lectin receptors (CLRs), and absent in melanoma-2 (AIM2)-like receptors (ALRs). PRRs are basically composed of ligand recognition domains, intermediate domains, and effector domains. PRRs recognize and bind their respective ligands and recruit adaptor molecules with the same structure through their effector domains, initiating downstream signaling pathways to exert effects. In recent years, the increased researches on the recognition and binding of PRRs and their ligands have greatly promoted the understanding of different PRRs signaling pathways and provided ideas for the treatment of immune-related diseases and even tumors. This review describes in detail the history, the structural characteristics, ligand recognition mechanism, the signaling pathway, the related disease, new drugs in clinical trials and clinical therapy of different types of PRRs, and discusses the significance of the research on pattern recognition mechanism for the treatment of PRR-related diseases.","container-title":"Signal Transduction and Targeted Therapy","DOI":"10.1038/s41392-021-00687-0","ISSN":"2059-3635","issue":"1","journalAbbreviation":"Sig Transduct Target Ther","language":"en","license":"2021 The Author(s)","note":"number: 1\npublisher: Nature Publishing Group","page":"1-24","source":"www.nature.com","title":"Pattern recognition receptors in health and diseases","volume":"6","author":[{"family":"Li","given":"Danyang"},{"family":"Wu","given":"Minghua"}],"issued":{"date-parts":[["2021",8,4]]}}}],"schema":"https://github.com/citation-style-language/schema/raw/master/csl-citation.json"} </w:instrText>
      </w:r>
      <w:r w:rsidR="00962BED">
        <w:rPr>
          <w:rFonts w:eastAsia="Helvetica"/>
          <w:color w:val="000000" w:themeColor="text1"/>
          <w:lang w:val="en-GB"/>
        </w:rPr>
        <w:fldChar w:fldCharType="separate"/>
      </w:r>
      <w:r w:rsidR="00962BED">
        <w:rPr>
          <w:rFonts w:eastAsia="Helvetica"/>
          <w:noProof/>
          <w:color w:val="000000" w:themeColor="text1"/>
          <w:lang w:val="en-GB"/>
        </w:rPr>
        <w:t>(Li &amp; Wu, 2021)</w:t>
      </w:r>
      <w:r w:rsidR="00962BED">
        <w:rPr>
          <w:rFonts w:eastAsia="Helvetica"/>
          <w:color w:val="000000" w:themeColor="text1"/>
          <w:lang w:val="en-GB"/>
        </w:rPr>
        <w:fldChar w:fldCharType="end"/>
      </w:r>
      <w:r w:rsidR="000C1C63" w:rsidRPr="000C1C63">
        <w:rPr>
          <w:rFonts w:eastAsia="Helvetica"/>
          <w:color w:val="000000" w:themeColor="text1"/>
          <w:lang w:val="en-GB"/>
        </w:rPr>
        <w:t>.</w:t>
      </w:r>
      <w:r w:rsidR="00B04AF5">
        <w:rPr>
          <w:rFonts w:eastAsia="Helvetica"/>
          <w:color w:val="000000" w:themeColor="text1"/>
          <w:lang w:val="en-GB"/>
        </w:rPr>
        <w:t xml:space="preserve"> </w:t>
      </w:r>
      <w:r w:rsidR="00360A9A" w:rsidRPr="00360A9A">
        <w:rPr>
          <w:rFonts w:eastAsia="Helvetica"/>
          <w:color w:val="000000" w:themeColor="text1"/>
          <w:lang w:val="en-GB"/>
        </w:rPr>
        <w:t xml:space="preserve">The immune responses activated by pattern recognition receptors (PRRs), such as Toll-like receptors (TLRs), synergize with those triggered by antigen-specific receptors </w:t>
      </w:r>
      <w:r w:rsidR="006E3037">
        <w:rPr>
          <w:rFonts w:eastAsia="Helvetica"/>
          <w:color w:val="000000" w:themeColor="text1"/>
          <w:lang w:val="en-GB"/>
        </w:rPr>
        <w:t>such as</w:t>
      </w:r>
      <w:r w:rsidR="00360A9A" w:rsidRPr="00360A9A">
        <w:rPr>
          <w:rFonts w:eastAsia="Helvetica"/>
          <w:color w:val="000000" w:themeColor="text1"/>
          <w:lang w:val="en-GB"/>
        </w:rPr>
        <w:t xml:space="preserve"> T-cell receptors. This interplay is epitomized by dendritic cells, which depend on PRR-mediated signals to mature. Once matured, these cells prime lymphocytes by presenting antigens via their antigen-specific receptors, bridging innate and adaptive immunity</w:t>
      </w:r>
      <w:r w:rsidR="002F5EA8">
        <w:rPr>
          <w:rFonts w:eastAsia="Helvetica"/>
          <w:color w:val="000000" w:themeColor="text1"/>
          <w:lang w:val="en-GB"/>
        </w:rPr>
        <w:t xml:space="preserve"> </w:t>
      </w:r>
      <w:r w:rsidR="002F5EA8">
        <w:rPr>
          <w:rFonts w:eastAsia="Helvetica"/>
          <w:color w:val="000000" w:themeColor="text1"/>
          <w:lang w:val="en-GB"/>
        </w:rPr>
        <w:fldChar w:fldCharType="begin"/>
      </w:r>
      <w:r w:rsidR="002F5EA8">
        <w:rPr>
          <w:rFonts w:eastAsia="Helvetica"/>
          <w:color w:val="000000" w:themeColor="text1"/>
          <w:lang w:val="en-GB"/>
        </w:rPr>
        <w:instrText xml:space="preserve"> ADDIN ZOTERO_ITEM CSL_CITATION {"citationID":"ocEJTMzo","properties":{"formattedCitation":"(Takeuchi &amp; Akira, 2010)","plainCitation":"(Takeuchi &amp; Akira, 2010)","noteIndex":0},"citationItems":[{"id":7748,"uris":["http://zotero.org/users/2543086/items/74TWNYHX"],"itemData":{"id":7748,"type":"article-journal","abstract":"&lt;p&gt;Infection of cells by microorganisms activates the inflammatory response. The initial sensing of infection is mediated by innate pattern recognition receptors (PRRs), which include Toll-like receptors, RIG-I-like receptors, NOD-like receptors, and C-type lectin receptors. The intracellular signaling cascades triggered by these PRRs lead to transcriptional expression of inflammatory mediators that coordinate the elimination of pathogens and infected cells. However, aberrant activation of this system leads to immunodeficiency, septic shock, or induction of autoimmunity. In this Review, we discuss the role of PRRs, their signaling pathways, and how they control inflammatory responses.&lt;/p&gt;","container-title":"Cell","DOI":"10.1016/j.cell.2010.01.022","ISSN":"0092-8674, 1097-4172","issue":"6","journalAbbreviation":"Cell","language":"English","note":"publisher: Elsevier\nPMID: 20303872","page":"805-820","source":"www.cell.com","title":"Pattern Recognition Receptors and Inflammation","volume":"140","author":[{"family":"Takeuchi","given":"Osamu"},{"family":"Akira","given":"Shizuo"}],"issued":{"date-parts":[["2010",3,19]]}}}],"schema":"https://github.com/citation-style-language/schema/raw/master/csl-citation.json"} </w:instrText>
      </w:r>
      <w:r w:rsidR="002F5EA8">
        <w:rPr>
          <w:rFonts w:eastAsia="Helvetica"/>
          <w:color w:val="000000" w:themeColor="text1"/>
          <w:lang w:val="en-GB"/>
        </w:rPr>
        <w:fldChar w:fldCharType="separate"/>
      </w:r>
      <w:r w:rsidR="002F5EA8">
        <w:rPr>
          <w:rFonts w:eastAsia="Helvetica"/>
          <w:noProof/>
          <w:color w:val="000000" w:themeColor="text1"/>
          <w:lang w:val="en-GB"/>
        </w:rPr>
        <w:t>(Takeuchi &amp; Akira, 2010)</w:t>
      </w:r>
      <w:r w:rsidR="002F5EA8">
        <w:rPr>
          <w:rFonts w:eastAsia="Helvetica"/>
          <w:color w:val="000000" w:themeColor="text1"/>
          <w:lang w:val="en-GB"/>
        </w:rPr>
        <w:fldChar w:fldCharType="end"/>
      </w:r>
      <w:r w:rsidR="000C1C63" w:rsidRPr="000C1C63">
        <w:rPr>
          <w:rFonts w:eastAsia="Helvetica"/>
          <w:color w:val="000000" w:themeColor="text1"/>
          <w:lang w:val="en-GB"/>
        </w:rPr>
        <w:t xml:space="preserve">. </w:t>
      </w:r>
    </w:p>
    <w:p w14:paraId="5A75DFD6" w14:textId="77777777" w:rsidR="00D0645C" w:rsidRPr="00085D85" w:rsidRDefault="00D0645C" w:rsidP="00085D85">
      <w:pPr>
        <w:pStyle w:val="jbd-alamat"/>
        <w:rPr>
          <w:color w:val="000000" w:themeColor="text1"/>
        </w:rPr>
      </w:pPr>
      <w:r w:rsidRPr="005873C3">
        <w:rPr>
          <w:lang w:val="en-GB"/>
        </w:rPr>
        <w:lastRenderedPageBreak/>
        <w:fldChar w:fldCharType="begin"/>
      </w:r>
      <w:r w:rsidRPr="005873C3">
        <w:rPr>
          <w:lang w:val="en-GB"/>
        </w:rPr>
        <w:instrText xml:space="preserve"> INCLUDEPICTURE "https://media.springernature.com/lw685/springer-static/image/chp%3A10.1007%2F978-3-319-69892-2_68-1/MediaObjects/456413_0_En_68-1_Fig1_HTML.png" \* MERGEFORMATINET </w:instrText>
      </w:r>
      <w:r w:rsidRPr="005873C3">
        <w:rPr>
          <w:lang w:val="en-GB"/>
        </w:rPr>
        <w:fldChar w:fldCharType="separate"/>
      </w:r>
      <w:r w:rsidRPr="005873C3">
        <w:rPr>
          <w:noProof/>
        </w:rPr>
        <w:drawing>
          <wp:inline distT="0" distB="0" distL="0" distR="0" wp14:anchorId="14D0B93A" wp14:editId="265EAED4">
            <wp:extent cx="5727700" cy="5069205"/>
            <wp:effectExtent l="0" t="0" r="0" b="0"/>
            <wp:docPr id="1006652058" name="Picture 2" descr="Human Immune System in Aging | Spring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man Immune System in Aging | SpringerLin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5069205"/>
                    </a:xfrm>
                    <a:prstGeom prst="rect">
                      <a:avLst/>
                    </a:prstGeom>
                    <a:noFill/>
                    <a:ln>
                      <a:noFill/>
                    </a:ln>
                  </pic:spPr>
                </pic:pic>
              </a:graphicData>
            </a:graphic>
          </wp:inline>
        </w:drawing>
      </w:r>
      <w:r w:rsidRPr="005873C3">
        <w:rPr>
          <w:lang w:val="en-GB"/>
        </w:rPr>
        <w:fldChar w:fldCharType="end"/>
      </w:r>
    </w:p>
    <w:p w14:paraId="77190714" w14:textId="77777777" w:rsidR="00D0645C" w:rsidRPr="005873C3" w:rsidRDefault="00C33F00" w:rsidP="004D6FA0">
      <w:pPr>
        <w:pStyle w:val="jbd-alamat"/>
        <w:rPr>
          <w:color w:val="000000" w:themeColor="text1"/>
          <w:lang w:val="en-GB"/>
        </w:rPr>
      </w:pPr>
      <w:r w:rsidRPr="00C33F00">
        <w:rPr>
          <w:b/>
          <w:bCs/>
          <w:caps/>
          <w:color w:val="000000" w:themeColor="text1"/>
          <w:lang w:val="en-GB"/>
        </w:rPr>
        <w:t>F</w:t>
      </w:r>
      <w:r w:rsidRPr="00C33F00">
        <w:rPr>
          <w:b/>
          <w:bCs/>
          <w:color w:val="000000" w:themeColor="text1"/>
          <w:lang w:val="en-GB"/>
        </w:rPr>
        <w:t>igure</w:t>
      </w:r>
      <w:r w:rsidR="00D0645C" w:rsidRPr="00C33F00">
        <w:rPr>
          <w:b/>
          <w:bCs/>
          <w:caps/>
          <w:color w:val="000000" w:themeColor="text1"/>
          <w:lang w:val="en-GB"/>
        </w:rPr>
        <w:t xml:space="preserve"> 1</w:t>
      </w:r>
      <w:r w:rsidR="00D0645C" w:rsidRPr="005873C3">
        <w:rPr>
          <w:caps/>
          <w:color w:val="000000" w:themeColor="text1"/>
          <w:lang w:val="en-GB"/>
        </w:rPr>
        <w:t>.</w:t>
      </w:r>
      <w:r w:rsidR="00B04AF5">
        <w:rPr>
          <w:caps/>
          <w:color w:val="000000" w:themeColor="text1"/>
          <w:lang w:val="en-GB"/>
        </w:rPr>
        <w:t xml:space="preserve"> </w:t>
      </w:r>
      <w:r w:rsidR="008A12B0">
        <w:rPr>
          <w:caps/>
          <w:color w:val="000000" w:themeColor="text1"/>
          <w:lang w:val="en-GB"/>
        </w:rPr>
        <w:t>T</w:t>
      </w:r>
      <w:r w:rsidR="008A12B0">
        <w:rPr>
          <w:color w:val="000000" w:themeColor="text1"/>
          <w:lang w:val="en-GB"/>
        </w:rPr>
        <w:t>he</w:t>
      </w:r>
      <w:r w:rsidR="008A12B0">
        <w:rPr>
          <w:caps/>
          <w:color w:val="000000" w:themeColor="text1"/>
          <w:lang w:val="en-GB"/>
        </w:rPr>
        <w:t xml:space="preserve"> </w:t>
      </w:r>
      <w:r w:rsidR="008A12B0">
        <w:rPr>
          <w:color w:val="000000" w:themeColor="text1"/>
          <w:lang w:val="en-GB"/>
        </w:rPr>
        <w:t>human</w:t>
      </w:r>
      <w:r w:rsidR="008A12B0">
        <w:rPr>
          <w:caps/>
          <w:color w:val="000000" w:themeColor="text1"/>
          <w:lang w:val="en-GB"/>
        </w:rPr>
        <w:t xml:space="preserve"> </w:t>
      </w:r>
      <w:r w:rsidR="008A12B0">
        <w:rPr>
          <w:color w:val="000000" w:themeColor="text1"/>
          <w:lang w:val="en-GB"/>
        </w:rPr>
        <w:t>immune</w:t>
      </w:r>
      <w:r w:rsidR="008A12B0">
        <w:rPr>
          <w:caps/>
          <w:color w:val="000000" w:themeColor="text1"/>
          <w:lang w:val="en-GB"/>
        </w:rPr>
        <w:t xml:space="preserve"> </w:t>
      </w:r>
      <w:r w:rsidR="008A12B0">
        <w:rPr>
          <w:color w:val="000000" w:themeColor="text1"/>
          <w:lang w:val="en-GB"/>
        </w:rPr>
        <w:t>system</w:t>
      </w:r>
      <w:r w:rsidR="008A12B0">
        <w:rPr>
          <w:caps/>
          <w:color w:val="000000" w:themeColor="text1"/>
          <w:lang w:val="en-GB"/>
        </w:rPr>
        <w:t xml:space="preserve"> </w:t>
      </w:r>
      <w:r w:rsidR="008A12B0">
        <w:rPr>
          <w:color w:val="000000" w:themeColor="text1"/>
          <w:lang w:val="en-GB"/>
        </w:rPr>
        <w:t xml:space="preserve">composition </w:t>
      </w:r>
      <w:r w:rsidR="00D0645C" w:rsidRPr="005873C3">
        <w:rPr>
          <w:color w:val="000000" w:themeColor="text1"/>
          <w:lang w:val="en-GB"/>
        </w:rPr>
        <w:fldChar w:fldCharType="begin"/>
      </w:r>
      <w:r w:rsidR="00D0645C" w:rsidRPr="005873C3">
        <w:rPr>
          <w:color w:val="000000" w:themeColor="text1"/>
          <w:lang w:val="en-GB"/>
        </w:rPr>
        <w:instrText xml:space="preserve"> ADDIN ZOTERO_ITEM CSL_CITATION {"citationID":"cVzG4x1G","properties":{"formattedCitation":"(Ernst et al., 2021)","plainCitation":"(Ernst et al., 2021)","noteIndex":0},"citationItems":[{"id":5403,"uris":["http://zotero.org/users/2543086/items/CMMWMBVN"],"itemData":{"id":5403,"type":"article-journal","abstract":"The immune system contributes to maintaining the body’s functional integrity through its two main functions: recognizing and destroying foreign external agents (invading microorganisms) and identifying and eliminating senescent cells and damaged or abnormal endogenous entities (such as cellular debris or misfolded/degraded proteins). Accordingly, the immune system can detect molecular and cellular structures with a spatial resolution of a few nm, which allows for detecting molecular patterns expressed in a great variety of pathogens, including viral and bacterial proteins and bacterial nucleic acid sequences. Such patterns are also expressed in abnormal cells. In this context, it is expected that nanostructured materials in the size range of proteins, protein aggregates, and viruses with different molecular coatings can engage in a sophisticated interaction with the immune system. Nanoparticles can be recognized or passed undetected by the immune system. Once detected, they can be tolerated or induce defensive (inflammatory) or anti-inflammatory responses. This paper describes the different modes of interaction between nanoparticles, especially inorganic nanoparticles, and the immune system, especially the innate immune system. This perspective should help to propose a set of selection rules for nanosafety-by-design and medical nanoparticle design.","container-title":"Nanomaterials","DOI":"10.3390/nano11112991","ISSN":"2079-4991","issue":"11","language":"en","license":"http://creativecommons.org/licenses/by/3.0/","note":"number: 11\npublisher: Multidisciplinary Digital Publishing Institute","page":"2991","source":"www.mdpi.com","title":"The Interactions between Nanoparticles and the Innate Immune System from a Nanotechnologist Perspective","volume":"11","author":[{"family":"Ernst","given":"Lena M."},{"family":"Casals","given":"Eudald"},{"family":"Italiani","given":"Paola"},{"family":"Boraschi","given":"Diana"},{"family":"Puntes","given":"Victor"}],"issued":{"date-parts":[["2021",11]]}}}],"schema":"https://github.com/citation-style-language/schema/raw/master/csl-citation.json"} </w:instrText>
      </w:r>
      <w:r w:rsidR="00D0645C" w:rsidRPr="005873C3">
        <w:rPr>
          <w:color w:val="000000" w:themeColor="text1"/>
          <w:lang w:val="en-GB"/>
        </w:rPr>
        <w:fldChar w:fldCharType="separate"/>
      </w:r>
      <w:r w:rsidR="00D0645C" w:rsidRPr="005873C3">
        <w:rPr>
          <w:noProof/>
          <w:color w:val="000000" w:themeColor="text1"/>
          <w:lang w:val="en-GB"/>
        </w:rPr>
        <w:t>(Ernst et al., 2021)</w:t>
      </w:r>
      <w:r w:rsidR="00D0645C" w:rsidRPr="005873C3">
        <w:rPr>
          <w:color w:val="000000" w:themeColor="text1"/>
          <w:lang w:val="en-GB"/>
        </w:rPr>
        <w:fldChar w:fldCharType="end"/>
      </w:r>
    </w:p>
    <w:p w14:paraId="16319184" w14:textId="77777777" w:rsidR="00D0645C" w:rsidRPr="005873C3" w:rsidRDefault="00D0645C" w:rsidP="004D6FA0">
      <w:pPr>
        <w:pStyle w:val="jbd-alamat"/>
        <w:rPr>
          <w:color w:val="000000" w:themeColor="text1"/>
          <w:lang w:val="en-GB"/>
        </w:rPr>
      </w:pPr>
    </w:p>
    <w:p w14:paraId="06A82330" w14:textId="77777777" w:rsidR="00D0645C" w:rsidRPr="006474E9" w:rsidRDefault="00D0645C" w:rsidP="004D6FA0">
      <w:pPr>
        <w:pStyle w:val="jbd-alamat"/>
        <w:rPr>
          <w:rFonts w:eastAsia="Geeza Pro Regular"/>
          <w:b/>
          <w:bCs/>
          <w:color w:val="000000" w:themeColor="text1"/>
          <w:lang w:val="en-GB"/>
        </w:rPr>
      </w:pPr>
      <w:r w:rsidRPr="006474E9">
        <w:rPr>
          <w:rFonts w:eastAsia="Geeza Pro Regular"/>
          <w:b/>
          <w:bCs/>
          <w:color w:val="000000" w:themeColor="text1"/>
          <w:lang w:val="en-GB"/>
        </w:rPr>
        <w:t>Cosmetic Hyaluronic Fillers</w:t>
      </w:r>
    </w:p>
    <w:p w14:paraId="7B5A9EAF" w14:textId="77777777" w:rsidR="00D0645C" w:rsidRPr="005873C3" w:rsidRDefault="008D1EAA" w:rsidP="004D6FA0">
      <w:pPr>
        <w:pStyle w:val="jbd-alamat"/>
        <w:rPr>
          <w:rFonts w:eastAsia="Helvetica"/>
          <w:color w:val="000000" w:themeColor="text1"/>
          <w:lang w:val="en-GB"/>
        </w:rPr>
      </w:pPr>
      <w:r w:rsidRPr="008D1EAA">
        <w:rPr>
          <w:color w:val="000000" w:themeColor="text1"/>
          <w:lang w:val="en-GB"/>
        </w:rPr>
        <w:t>Over time, the human face naturally reveals signs of aging due to gravity, sun exposure, and repeated facial movements such as smiling, chewing, and squinting.</w:t>
      </w:r>
      <w:r w:rsidR="00B04AF5">
        <w:rPr>
          <w:color w:val="000000" w:themeColor="text1"/>
          <w:lang w:val="en-GB"/>
        </w:rPr>
        <w:t xml:space="preserve"> </w:t>
      </w:r>
      <w:r w:rsidRPr="008D1EAA">
        <w:rPr>
          <w:color w:val="000000" w:themeColor="text1"/>
          <w:lang w:val="en-GB"/>
        </w:rPr>
        <w:t>These visible changes often motivate individuals to seek ways to enhance their appearance and maintain youthful-looking skin.</w:t>
      </w:r>
      <w:r w:rsidR="00B04AF5">
        <w:rPr>
          <w:color w:val="000000" w:themeColor="text1"/>
          <w:lang w:val="en-GB"/>
        </w:rPr>
        <w:t xml:space="preserve"> </w:t>
      </w:r>
      <w:r w:rsidR="00D0645C" w:rsidRPr="005873C3">
        <w:rPr>
          <w:color w:val="000000" w:themeColor="text1"/>
          <w:lang w:val="en-GB"/>
        </w:rPr>
        <w:t>This might require cosmetic surgery or dermal injections.</w:t>
      </w:r>
      <w:r w:rsidR="00B04AF5">
        <w:rPr>
          <w:color w:val="000000" w:themeColor="text1"/>
          <w:lang w:val="en-GB"/>
        </w:rPr>
        <w:t xml:space="preserve"> </w:t>
      </w:r>
      <w:r w:rsidR="00D0645C" w:rsidRPr="005873C3">
        <w:rPr>
          <w:color w:val="000000" w:themeColor="text1"/>
          <w:lang w:val="en-GB"/>
        </w:rPr>
        <w:t xml:space="preserve">In terms of chemical composition, the molecule of HA </w:t>
      </w:r>
      <w:r w:rsidR="00755B66">
        <w:rPr>
          <w:color w:val="000000" w:themeColor="text1"/>
          <w:lang w:val="en-GB"/>
        </w:rPr>
        <w:t>consists</w:t>
      </w:r>
      <w:r w:rsidR="00D0645C" w:rsidRPr="005873C3">
        <w:rPr>
          <w:color w:val="000000" w:themeColor="text1"/>
          <w:lang w:val="en-GB"/>
        </w:rPr>
        <w:t xml:space="preserve"> of alternating units of N-acetyl-D-glucosamine and glucuronic acid</w:t>
      </w:r>
      <w:r w:rsidR="00755B66">
        <w:rPr>
          <w:color w:val="000000" w:themeColor="text1"/>
          <w:lang w:val="en-GB"/>
        </w:rPr>
        <w:t>,</w:t>
      </w:r>
      <w:r w:rsidR="00D0645C" w:rsidRPr="005873C3">
        <w:rPr>
          <w:color w:val="000000" w:themeColor="text1"/>
          <w:lang w:val="en-GB"/>
        </w:rPr>
        <w:t xml:space="preserve"> which are members of the polysaccharides family that is a part of almost every tissue in vertebrates</w:t>
      </w:r>
      <w:r w:rsidR="00755B66">
        <w:rPr>
          <w:color w:val="000000" w:themeColor="text1"/>
          <w:lang w:val="en-GB"/>
        </w:rPr>
        <w:t>,</w:t>
      </w:r>
      <w:r w:rsidR="00D0645C" w:rsidRPr="005873C3">
        <w:rPr>
          <w:color w:val="000000" w:themeColor="text1"/>
          <w:lang w:val="en-GB"/>
        </w:rPr>
        <w:t xml:space="preserve"> as </w:t>
      </w:r>
      <w:r w:rsidR="00D0645C" w:rsidRPr="005873C3">
        <w:rPr>
          <w:color w:val="000000" w:themeColor="text1"/>
          <w:lang w:val="en-GB"/>
        </w:rPr>
        <w:lastRenderedPageBreak/>
        <w:t xml:space="preserve">shown in </w:t>
      </w:r>
      <w:r w:rsidR="00D0645C" w:rsidRPr="005A37C0">
        <w:rPr>
          <w:b/>
          <w:bCs/>
          <w:color w:val="000000" w:themeColor="text1"/>
          <w:lang w:val="en-GB"/>
        </w:rPr>
        <w:t>Figure 2</w:t>
      </w:r>
      <w:r w:rsidR="00D0645C" w:rsidRPr="005873C3">
        <w:rPr>
          <w:color w:val="000000" w:themeColor="text1"/>
          <w:lang w:val="en-GB"/>
        </w:rPr>
        <w:t xml:space="preserve"> </w:t>
      </w:r>
      <w:r w:rsidR="00D0645C" w:rsidRPr="005873C3">
        <w:rPr>
          <w:color w:val="000000" w:themeColor="text1"/>
          <w:lang w:val="en-GB"/>
        </w:rPr>
        <w:fldChar w:fldCharType="begin"/>
      </w:r>
      <w:r w:rsidR="00D0645C" w:rsidRPr="005873C3">
        <w:rPr>
          <w:color w:val="000000" w:themeColor="text1"/>
          <w:lang w:val="en-GB"/>
        </w:rPr>
        <w:instrText xml:space="preserve"> ADDIN ZOTERO_ITEM CSL_CITATION {"citationID":"t62T7enr","properties":{"formattedCitation":"(Sodhi &amp; Panitch, 2021)","plainCitation":"(Sodhi &amp; Panitch, 2021)","noteIndex":0},"citationItems":[{"id":5405,"uris":["http://zotero.org/users/2543086/items/P3VAGCP4"],"itemData":{"id":5405,"type":"article-journal","abstract":"Glycosaminoglycans are native components of the extracellular matrix that drive cell behavior and control the microenvironment surrounding cells, making them promising therapeutic targets for a myriad of diseases. Recent studies have shown that recapitulation of cell interactions with the extracellular matrix are key in tissue engineering, where the aim is to mimic and regenerate endogenous tissues. Because of this, incorporation of glycosaminoglycans to drive stem cell fate and promote cell proliferation in engineered tissues has gained increasing attention. This review summarizes the role glycosaminoglycans can play in tissue engineering and the recent advances in their use in these constructs. We also evaluate the general trend of research in this niche and provide insight into its future directions.","container-title":"Biomolecules","DOI":"10.3390/biom11010029","ISSN":"2218-273X","issue":"1","language":"en","license":"http://creativecommons.org/licenses/by/3.0/","note":"number: 1\npublisher: Multidisciplinary Digital Publishing Institute","page":"29","source":"www.mdpi.com","title":"Glycosaminoglycans in Tissue Engineering: A Review","title-short":"Glycosaminoglycans in Tissue Engineering","volume":"11","author":[{"family":"Sodhi","given":"Harkanwalpreet"},{"family":"Panitch","given":"Alyssa"}],"issued":{"date-parts":[["2021",1]]}}}],"schema":"https://github.com/citation-style-language/schema/raw/master/csl-citation.json"} </w:instrText>
      </w:r>
      <w:r w:rsidR="00D0645C" w:rsidRPr="005873C3">
        <w:rPr>
          <w:color w:val="000000" w:themeColor="text1"/>
          <w:lang w:val="en-GB"/>
        </w:rPr>
        <w:fldChar w:fldCharType="separate"/>
      </w:r>
      <w:r w:rsidR="00D0645C" w:rsidRPr="005873C3">
        <w:rPr>
          <w:noProof/>
          <w:color w:val="000000" w:themeColor="text1"/>
          <w:lang w:val="en-GB"/>
        </w:rPr>
        <w:t>(Sodhi &amp; Panitch, 2021)</w:t>
      </w:r>
      <w:r w:rsidR="00D0645C" w:rsidRPr="005873C3">
        <w:rPr>
          <w:color w:val="000000" w:themeColor="text1"/>
          <w:lang w:val="en-GB"/>
        </w:rPr>
        <w:fldChar w:fldCharType="end"/>
      </w:r>
      <w:r w:rsidR="00D0645C" w:rsidRPr="005873C3">
        <w:rPr>
          <w:color w:val="000000" w:themeColor="text1"/>
          <w:lang w:val="en-GB"/>
        </w:rPr>
        <w:t>.</w:t>
      </w:r>
      <w:r w:rsidR="00B04AF5">
        <w:rPr>
          <w:color w:val="000000" w:themeColor="text1"/>
          <w:lang w:val="en-GB"/>
        </w:rPr>
        <w:t xml:space="preserve"> </w:t>
      </w:r>
      <w:r w:rsidR="00ED6B16">
        <w:rPr>
          <w:color w:val="000000" w:themeColor="text1"/>
          <w:lang w:val="en-GB"/>
        </w:rPr>
        <w:t xml:space="preserve">Naturally, </w:t>
      </w:r>
      <w:r w:rsidR="00D0645C" w:rsidRPr="005873C3">
        <w:rPr>
          <w:color w:val="000000" w:themeColor="text1"/>
          <w:lang w:val="en-GB"/>
        </w:rPr>
        <w:t xml:space="preserve">HA is found in human tissue but the injectable </w:t>
      </w:r>
      <w:r w:rsidR="00502795">
        <w:rPr>
          <w:color w:val="000000" w:themeColor="text1"/>
          <w:lang w:val="en-GB"/>
        </w:rPr>
        <w:t>HA</w:t>
      </w:r>
      <w:r w:rsidR="00D0645C" w:rsidRPr="005873C3">
        <w:rPr>
          <w:color w:val="000000" w:themeColor="text1"/>
          <w:lang w:val="en-GB"/>
        </w:rPr>
        <w:t xml:space="preserve"> are obtained from </w:t>
      </w:r>
      <w:r w:rsidR="004F1467">
        <w:rPr>
          <w:color w:val="000000" w:themeColor="text1"/>
          <w:lang w:val="en-GB"/>
        </w:rPr>
        <w:t xml:space="preserve">different sources such as </w:t>
      </w:r>
      <w:r w:rsidR="00D0645C" w:rsidRPr="005873C3">
        <w:rPr>
          <w:color w:val="000000" w:themeColor="text1"/>
          <w:lang w:val="en-GB"/>
        </w:rPr>
        <w:t xml:space="preserve">animal or bacterial. </w:t>
      </w:r>
      <w:r w:rsidR="00361379">
        <w:rPr>
          <w:color w:val="000000" w:themeColor="text1"/>
          <w:lang w:val="en-GB"/>
        </w:rPr>
        <w:br/>
      </w:r>
      <w:r w:rsidR="00D0645C" w:rsidRPr="005873C3">
        <w:rPr>
          <w:color w:val="000000" w:themeColor="text1"/>
          <w:lang w:val="en-GB"/>
        </w:rPr>
        <w:t xml:space="preserve">At physiologic pH, HA binds water extensively, providing fullness in the </w:t>
      </w:r>
      <w:r w:rsidR="00EB1890">
        <w:rPr>
          <w:color w:val="000000" w:themeColor="text1"/>
          <w:lang w:val="en-GB"/>
        </w:rPr>
        <w:t xml:space="preserve">injected </w:t>
      </w:r>
      <w:r w:rsidR="00D0645C" w:rsidRPr="005873C3">
        <w:rPr>
          <w:color w:val="000000" w:themeColor="text1"/>
          <w:lang w:val="en-GB"/>
        </w:rPr>
        <w:t xml:space="preserve">tissue </w:t>
      </w:r>
      <w:r w:rsidR="00361379">
        <w:rPr>
          <w:color w:val="000000" w:themeColor="text1"/>
          <w:lang w:val="en-GB"/>
        </w:rPr>
        <w:br/>
      </w:r>
      <w:r w:rsidR="00D0645C" w:rsidRPr="005873C3">
        <w:rPr>
          <w:color w:val="000000" w:themeColor="text1"/>
          <w:lang w:val="en-GB"/>
        </w:rPr>
        <w:fldChar w:fldCharType="begin"/>
      </w:r>
      <w:r w:rsidR="00124BB1">
        <w:rPr>
          <w:color w:val="000000" w:themeColor="text1"/>
          <w:lang w:val="en-GB"/>
        </w:rPr>
        <w:instrText xml:space="preserve"> ADDIN ZOTERO_ITEM CSL_CITATION {"citationID":"i5d8cVF3","properties":{"formattedCitation":"(Ucm et al., n.d.)","plainCitation":"(Ucm et al., n.d.)","dontUpdate":true,"noteIndex":0},"citationItems":[{"id":5407,"uris":["http://zotero.org/users/2543086/items/CTWTFXAB"],"itemData":{"id":5407,"type":"article-journal","abstract":"The growing, existing demand for low-cost and high-quality hyaluronic acid (HA) needs an outlook of different possible production strategies from renewable resources with the reduced possibility of cross-infections. Recently, the possibility of producing HA from harmless microorganisms appeared, which offers the opportunity to make HA more economical, without raw material limitations, and environmentally friendly. HA production is mainly reported with Lancefield Streptococci A and C, particularly from S. equi and S. zooepidemicus. Various modes of fermentation such as batch, repeated batch, fed-batch, and continuous culture have been investigated to optimize HA production, particularly from S. zooepidemicus, obtaining a HA yield of 2.5 g L−1 – 7.0 g L−1. Among the different utilized DSP approaches of HA production, recovery with cold ethanol (4°C) and cetylpyridinium chloride is the ideal strategy for lab-scale HA production. On the industrial scale, besides using isopropanol, filtration (0.22 um), ultrafiltration (100 kDa), and activated carbon absorption are employed to obtain HA of low molecular weight and additional ultrafiltration to purify HA of higher MW. Even though mature technologies have already been developed for the industrial production of HA, the projections of increased sales volume and the expansion of application possibilities require new processes to obtain HA with higher productivity, purity, and specific molecular weights. In this review, we have put forth the progress of HA technological research by discussing the microbial biosynthetic aspects, fermentation and downstream strategies, industrial-scale scenarios of HA, and the prospects of HA production to meet the current and ongoing market demands.","container-title":"Bioengineered","DOI":"10.1080/21655979.2022.2057760","ISSN":"2165-5979","issue":"4","journalAbbreviation":"Bioengineered","note":"PMID: 35436410\nPMCID: PMC9161949","page":"9645-9661","source":"PubMed Central","title":"Comprehensive review on biotechnological production of hyaluronic acid: status, innovation, market and applications","title-short":"Comprehensive review on biotechnological production of hyaluronic acid","volume":"13","author":[{"family":"Ucm","given":"Ruschoni"},{"family":"Aem","given":"Mera"},{"family":"Lhb","given":"Zamudio"},{"family":"Kumar","given":"Vinod"},{"family":"Taherzadeh","given":"Mohammad J."},{"family":"Garlapati","given":"Vijay Kumar"},{"family":"Chandel","given":"Anuj Kumar"}],"issued":{"date-parts":[["2022"]]}}}],"schema":"https://github.com/citation-style-language/schema/raw/master/csl-citation.json"} </w:instrText>
      </w:r>
      <w:r w:rsidR="00D0645C" w:rsidRPr="005873C3">
        <w:rPr>
          <w:color w:val="000000" w:themeColor="text1"/>
          <w:lang w:val="en-GB"/>
        </w:rPr>
        <w:fldChar w:fldCharType="separate"/>
      </w:r>
      <w:r w:rsidR="00D0645C" w:rsidRPr="005873C3">
        <w:rPr>
          <w:noProof/>
          <w:color w:val="000000" w:themeColor="text1"/>
          <w:lang w:val="en-GB"/>
        </w:rPr>
        <w:t>(Ucm et al., 2022)</w:t>
      </w:r>
      <w:r w:rsidR="00D0645C" w:rsidRPr="005873C3">
        <w:rPr>
          <w:color w:val="000000" w:themeColor="text1"/>
          <w:lang w:val="en-GB"/>
        </w:rPr>
        <w:fldChar w:fldCharType="end"/>
      </w:r>
      <w:r w:rsidR="00D0645C" w:rsidRPr="005873C3">
        <w:rPr>
          <w:color w:val="000000" w:themeColor="text1"/>
          <w:lang w:val="en-GB"/>
        </w:rPr>
        <w:t>.</w:t>
      </w:r>
      <w:r w:rsidR="00B04AF5">
        <w:rPr>
          <w:color w:val="000000" w:themeColor="text1"/>
          <w:lang w:val="en-GB"/>
        </w:rPr>
        <w:t xml:space="preserve"> </w:t>
      </w:r>
      <w:r w:rsidR="00D0645C" w:rsidRPr="005873C3">
        <w:rPr>
          <w:color w:val="000000" w:themeColor="text1"/>
          <w:lang w:val="en-GB"/>
        </w:rPr>
        <w:t>HA</w:t>
      </w:r>
      <w:r w:rsidR="00897A1E" w:rsidRPr="00897A1E">
        <w:rPr>
          <w:color w:val="000000" w:themeColor="text1"/>
          <w:lang w:val="en-GB"/>
        </w:rPr>
        <w:t xml:space="preserve"> fillers are often chemically cross-linked to enhance structural integrity, improving resistance to mechanical stress and slowing enzymatic breakdown in the body. This cross-linking prolongs the filler’s duration by delaying degradation. However, while products specify HA concentration, the ratio of soluble (unbound) HA to cross-linked (insoluble) HA varies across products</w:t>
      </w:r>
      <w:r w:rsidR="0088473C">
        <w:rPr>
          <w:color w:val="000000" w:themeColor="text1"/>
          <w:lang w:val="en-GB"/>
        </w:rPr>
        <w:t xml:space="preserve"> </w:t>
      </w:r>
      <w:r w:rsidR="00D0645C" w:rsidRPr="005873C3">
        <w:rPr>
          <w:color w:val="000000" w:themeColor="text1"/>
          <w:lang w:val="en-GB"/>
        </w:rPr>
        <w:fldChar w:fldCharType="begin"/>
      </w:r>
      <w:r w:rsidR="00D0645C" w:rsidRPr="005873C3">
        <w:rPr>
          <w:color w:val="000000" w:themeColor="text1"/>
          <w:lang w:val="en-GB"/>
        </w:rPr>
        <w:instrText xml:space="preserve"> ADDIN ZOTERO_ITEM CSL_CITATION {"citationID":"QQAIGGwL","properties":{"formattedCitation":"(Wongprasert et al., 2022)","plainCitation":"(Wongprasert et al., 2022)","noteIndex":0},"citationItems":[{"id":5410,"uris":["http://zotero.org/users/2543086/items/RIATHV7V"],"itemData":{"id":5410,"type":"article-journal","abstract":"Soft‐tissue augmentation has gained much popularity in recent years. Hyaluronic acid (HA) based dermal fillers; a non‐permanent injectable device, can restore volume loss, fill fine lines and wrinkles and add curves and contours. HA based dermal fillers entered the non‐surgical treatment market in the late 1990s, however there is a lack of data and literature comparing the range of products and detailing the complexities of these products and how it relates to tissue performance. Measuring the physico‐chemical properties of these dermal fillers provide key parameters to predict their performance after injection into the body. This article reviews the currently reported methods and parameters used to characterize dermal fillers. The review of these methods and data from the literature provides a useful guide to clinicians and injectors in selecting the optimal product suitable for the needs of each patient.","container-title":"Dermatologic Therapy","DOI":"10.1111/dth.15453","ISSN":"1396-0296","issue":"6","journalAbbreviation":"Dermatol Ther","note":"PMID: 35293660\nPMCID: PMC9285697","page":"e15453","source":"PubMed Central","title":"Evaluating hyaluronic acid dermal fillers: A critique of current characterization methods","title-short":"Evaluating hyaluronic acid dermal fillers","volume":"35","author":[{"family":"Wongprasert","given":"Ploymanee"},{"family":"Dreiss","given":"Cécile A."},{"family":"Murray","given":"Gillian"}],"issued":{"date-parts":[["2022",6]]}}}],"schema":"https://github.com/citation-style-language/schema/raw/master/csl-citation.json"} </w:instrText>
      </w:r>
      <w:r w:rsidR="00D0645C" w:rsidRPr="005873C3">
        <w:rPr>
          <w:color w:val="000000" w:themeColor="text1"/>
          <w:lang w:val="en-GB"/>
        </w:rPr>
        <w:fldChar w:fldCharType="separate"/>
      </w:r>
      <w:r w:rsidR="00D0645C" w:rsidRPr="005873C3">
        <w:rPr>
          <w:noProof/>
          <w:color w:val="000000" w:themeColor="text1"/>
          <w:lang w:val="en-GB"/>
        </w:rPr>
        <w:t>(Wongprasert et al., 2022)</w:t>
      </w:r>
      <w:r w:rsidR="00D0645C" w:rsidRPr="005873C3">
        <w:rPr>
          <w:color w:val="000000" w:themeColor="text1"/>
          <w:lang w:val="en-GB"/>
        </w:rPr>
        <w:fldChar w:fldCharType="end"/>
      </w:r>
      <w:r w:rsidR="00D0645C" w:rsidRPr="005873C3">
        <w:rPr>
          <w:color w:val="000000" w:themeColor="text1"/>
          <w:lang w:val="en-GB"/>
        </w:rPr>
        <w:t>.</w:t>
      </w:r>
      <w:r w:rsidR="00B04AF5">
        <w:rPr>
          <w:color w:val="000000" w:themeColor="text1"/>
          <w:lang w:val="en-GB"/>
        </w:rPr>
        <w:t xml:space="preserve"> </w:t>
      </w:r>
      <w:r w:rsidR="00234F79" w:rsidRPr="00234F79">
        <w:rPr>
          <w:color w:val="000000" w:themeColor="text1"/>
          <w:lang w:val="en-GB"/>
        </w:rPr>
        <w:t>Soluble HA, which is quickly degraded by hyaluronidases, does not sustain the filler’s volumizing effect. Consequently, the stated HA concentration may not accurately predict clinical outcomes, as only the insoluble fraction contributes meaningfully to long-term efficacy</w:t>
      </w:r>
      <w:r w:rsidR="00D0645C" w:rsidRPr="005873C3">
        <w:rPr>
          <w:color w:val="000000" w:themeColor="text1"/>
          <w:lang w:val="en-GB"/>
        </w:rPr>
        <w:t xml:space="preserve"> </w:t>
      </w:r>
      <w:r w:rsidR="00D0645C" w:rsidRPr="005873C3">
        <w:rPr>
          <w:color w:val="000000" w:themeColor="text1"/>
          <w:lang w:val="en-GB"/>
        </w:rPr>
        <w:fldChar w:fldCharType="begin"/>
      </w:r>
      <w:r w:rsidR="00D0645C" w:rsidRPr="005873C3">
        <w:rPr>
          <w:color w:val="000000" w:themeColor="text1"/>
          <w:lang w:val="en-GB"/>
        </w:rPr>
        <w:instrText xml:space="preserve"> ADDIN ZOTERO_ITEM CSL_CITATION {"citationID":"9clyFwoH","properties":{"formattedCitation":"(Rohrich et al., 2019)","plainCitation":"(Rohrich et al., 2019)","noteIndex":0},"citationItems":[{"id":5413,"uris":["http://zotero.org/users/2543086/items/ADAXTCCY"],"itemData":{"id":5413,"type":"article-journal","abstract":"Supplemental Digital Content is available in the text., Soft-tissue filler use has grown considerably related to the increasing popularity of minimally invasive cosmetic procedures. Hyaluronic acid products are currently the most utilized soft-tissue fillers. Proper working knowledge of individual products, limitations to use, and anatomic principles can improve outcomes. Prevention is key to minimize complications; however, when present, complications must be managed methodically. Complications are categorized based on the timing of presentation and include early, late, and delayed. Vascular compromise and tissue necrosis are among the most devastating complications seen with filler use. Nodules can be related to an inflammatory or infectious etiology but should be distinguished as treatment varies. Hyaluronidase is mandatory to have available as a reversal agent for hyaluronic acid products and can be used in treatment for many complications and untoward sequela.","container-title":"Plastic and Reconstructive Surgery Global Open","DOI":"10.1097/GOX.0000000000002172","ISSN":"2169-7574","issue":"6","journalAbbreviation":"Plast Reconstr Surg Glob Open","note":"PMID: 31624663\nPMCID: PMC6635180","page":"e2172","source":"PubMed Central","title":"Practical Approach and Safety of Hyaluronic Acid Fillers","volume":"7","author":[{"family":"Rohrich","given":"Rod J."},{"family":"Bartlett","given":"Erica L."},{"family":"Dayan","given":"Erez"}],"issued":{"date-parts":[["2019",6,14]]}}}],"schema":"https://github.com/citation-style-language/schema/raw/master/csl-citation.json"} </w:instrText>
      </w:r>
      <w:r w:rsidR="00D0645C" w:rsidRPr="005873C3">
        <w:rPr>
          <w:color w:val="000000" w:themeColor="text1"/>
          <w:lang w:val="en-GB"/>
        </w:rPr>
        <w:fldChar w:fldCharType="separate"/>
      </w:r>
      <w:r w:rsidR="00D0645C" w:rsidRPr="005873C3">
        <w:rPr>
          <w:noProof/>
          <w:color w:val="000000" w:themeColor="text1"/>
          <w:lang w:val="en-GB"/>
        </w:rPr>
        <w:t>(Rohrich et al., 2019)</w:t>
      </w:r>
      <w:r w:rsidR="00D0645C" w:rsidRPr="005873C3">
        <w:rPr>
          <w:color w:val="000000" w:themeColor="text1"/>
          <w:lang w:val="en-GB"/>
        </w:rPr>
        <w:fldChar w:fldCharType="end"/>
      </w:r>
      <w:r w:rsidR="00D0645C" w:rsidRPr="005873C3">
        <w:rPr>
          <w:color w:val="000000" w:themeColor="text1"/>
          <w:lang w:val="en-GB"/>
        </w:rPr>
        <w:t>.</w:t>
      </w:r>
    </w:p>
    <w:p w14:paraId="5E868CE5" w14:textId="77777777" w:rsidR="00D0645C" w:rsidRPr="005873C3" w:rsidRDefault="00D0645C" w:rsidP="004D6FA0">
      <w:pPr>
        <w:pStyle w:val="jbd-alamat"/>
        <w:bidi/>
        <w:rPr>
          <w:color w:val="000000" w:themeColor="text1"/>
          <w:rtl/>
          <w:lang w:val="en-GB"/>
        </w:rPr>
      </w:pPr>
    </w:p>
    <w:p w14:paraId="6AD807A1" w14:textId="77777777" w:rsidR="00D0645C" w:rsidRPr="005873C3" w:rsidRDefault="00D0645C" w:rsidP="00A83B7F">
      <w:pPr>
        <w:pStyle w:val="jbd-alamat"/>
        <w:jc w:val="center"/>
        <w:rPr>
          <w:color w:val="000000" w:themeColor="text1"/>
          <w:rtl/>
          <w:lang w:val="en-GB"/>
        </w:rPr>
      </w:pPr>
      <w:r w:rsidRPr="005873C3">
        <w:rPr>
          <w:noProof/>
          <w:color w:val="000000" w:themeColor="text1"/>
        </w:rPr>
        <w:drawing>
          <wp:inline distT="0" distB="0" distL="0" distR="0" wp14:anchorId="1965BCCE" wp14:editId="6F08F0BE">
            <wp:extent cx="4064448" cy="2671467"/>
            <wp:effectExtent l="12700" t="12700" r="12700" b="825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4974" cy="2698104"/>
                    </a:xfrm>
                    <a:prstGeom prst="rect">
                      <a:avLst/>
                    </a:prstGeom>
                    <a:noFill/>
                    <a:ln>
                      <a:solidFill>
                        <a:schemeClr val="tx1"/>
                      </a:solidFill>
                    </a:ln>
                  </pic:spPr>
                </pic:pic>
              </a:graphicData>
            </a:graphic>
          </wp:inline>
        </w:drawing>
      </w:r>
    </w:p>
    <w:p w14:paraId="7CA98E8A" w14:textId="77777777" w:rsidR="00D0645C" w:rsidRDefault="00A83B7F" w:rsidP="004D6FA0">
      <w:pPr>
        <w:pStyle w:val="jbd-alamat"/>
        <w:rPr>
          <w:color w:val="000000" w:themeColor="text1"/>
          <w:lang w:val="en-GB"/>
        </w:rPr>
      </w:pPr>
      <w:r w:rsidRPr="00A83B7F">
        <w:rPr>
          <w:b/>
          <w:bCs/>
          <w:color w:val="000000" w:themeColor="text1"/>
          <w:lang w:val="en-GB"/>
        </w:rPr>
        <w:t xml:space="preserve">Figure </w:t>
      </w:r>
      <w:r w:rsidR="00D0645C" w:rsidRPr="00A83B7F">
        <w:rPr>
          <w:b/>
          <w:bCs/>
          <w:color w:val="000000" w:themeColor="text1"/>
          <w:lang w:val="en-GB"/>
        </w:rPr>
        <w:t>2</w:t>
      </w:r>
      <w:r w:rsidR="00D0645C" w:rsidRPr="005873C3">
        <w:rPr>
          <w:color w:val="000000" w:themeColor="text1"/>
          <w:lang w:val="en-GB"/>
        </w:rPr>
        <w:t>.</w:t>
      </w:r>
      <w:r w:rsidR="00B04AF5">
        <w:rPr>
          <w:color w:val="000000" w:themeColor="text1"/>
          <w:lang w:val="en-GB"/>
        </w:rPr>
        <w:t xml:space="preserve"> </w:t>
      </w:r>
      <w:r w:rsidR="00D0645C" w:rsidRPr="005873C3">
        <w:rPr>
          <w:color w:val="000000" w:themeColor="text1"/>
          <w:lang w:val="en-GB"/>
        </w:rPr>
        <w:t xml:space="preserve">The structure of </w:t>
      </w:r>
      <w:r w:rsidR="00755B66">
        <w:rPr>
          <w:color w:val="000000" w:themeColor="text1"/>
          <w:lang w:val="en-GB"/>
        </w:rPr>
        <w:t xml:space="preserve">the </w:t>
      </w:r>
      <w:r w:rsidR="00D0645C" w:rsidRPr="005873C3">
        <w:rPr>
          <w:color w:val="000000" w:themeColor="text1"/>
          <w:lang w:val="en-GB"/>
        </w:rPr>
        <w:t xml:space="preserve">disaccharide repeating unit of HA </w:t>
      </w:r>
      <w:r w:rsidR="00D0645C" w:rsidRPr="005873C3">
        <w:rPr>
          <w:color w:val="000000" w:themeColor="text1"/>
          <w:lang w:val="en-GB"/>
        </w:rPr>
        <w:fldChar w:fldCharType="begin"/>
      </w:r>
      <w:r w:rsidR="00D0645C" w:rsidRPr="005873C3">
        <w:rPr>
          <w:color w:val="000000" w:themeColor="text1"/>
          <w:lang w:val="en-GB"/>
        </w:rPr>
        <w:instrText xml:space="preserve"> ADDIN ZOTERO_ITEM CSL_CITATION {"citationID":"s19n8ocn","properties":{"formattedCitation":"(Sodhi &amp; Panitch, 2021)","plainCitation":"(Sodhi &amp; Panitch, 2021)","noteIndex":0},"citationItems":[{"id":5405,"uris":["http://zotero.org/users/2543086/items/P3VAGCP4"],"itemData":{"id":5405,"type":"article-journal","abstract":"Glycosaminoglycans are native components of the extracellular matrix that drive cell behavior and control the microenvironment surrounding cells, making them promising therapeutic targets for a myriad of diseases. Recent studies have shown that recapitulation of cell interactions with the extracellular matrix are key in tissue engineering, where the aim is to mimic and regenerate endogenous tissues. Because of this, incorporation of glycosaminoglycans to drive stem cell fate and promote cell proliferation in engineered tissues has gained increasing attention. This review summarizes the role glycosaminoglycans can play in tissue engineering and the recent advances in their use in these constructs. We also evaluate the general trend of research in this niche and provide insight into its future directions.","container-title":"Biomolecules","DOI":"10.3390/biom11010029","ISSN":"2218-273X","issue":"1","language":"en","license":"http://creativecommons.org/licenses/by/3.0/","note":"number: 1\npublisher: Multidisciplinary Digital Publishing Institute","page":"29","source":"www.mdpi.com","title":"Glycosaminoglycans in Tissue Engineering: A Review","title-short":"Glycosaminoglycans in Tissue Engineering","volume":"11","author":[{"family":"Sodhi","given":"Harkanwalpreet"},{"family":"Panitch","given":"Alyssa"}],"issued":{"date-parts":[["2021",1]]}}}],"schema":"https://github.com/citation-style-language/schema/raw/master/csl-citation.json"} </w:instrText>
      </w:r>
      <w:r w:rsidR="00D0645C" w:rsidRPr="005873C3">
        <w:rPr>
          <w:color w:val="000000" w:themeColor="text1"/>
          <w:lang w:val="en-GB"/>
        </w:rPr>
        <w:fldChar w:fldCharType="separate"/>
      </w:r>
      <w:r w:rsidR="00D0645C" w:rsidRPr="005873C3">
        <w:rPr>
          <w:noProof/>
          <w:color w:val="000000" w:themeColor="text1"/>
          <w:lang w:val="en-GB"/>
        </w:rPr>
        <w:t>(Sodhi &amp; Panitch, 2021)</w:t>
      </w:r>
      <w:r w:rsidR="00D0645C" w:rsidRPr="005873C3">
        <w:rPr>
          <w:color w:val="000000" w:themeColor="text1"/>
          <w:lang w:val="en-GB"/>
        </w:rPr>
        <w:fldChar w:fldCharType="end"/>
      </w:r>
      <w:r w:rsidR="00AE5F67">
        <w:rPr>
          <w:color w:val="000000" w:themeColor="text1"/>
          <w:lang w:val="en-GB"/>
        </w:rPr>
        <w:t>.</w:t>
      </w:r>
    </w:p>
    <w:p w14:paraId="0FCE496F" w14:textId="77777777" w:rsidR="00AE5F67" w:rsidRPr="005873C3" w:rsidRDefault="00AE5F67" w:rsidP="004D6FA0">
      <w:pPr>
        <w:pStyle w:val="jbd-alamat"/>
        <w:rPr>
          <w:color w:val="000000" w:themeColor="text1"/>
          <w:rtl/>
          <w:lang w:val="en-GB"/>
        </w:rPr>
      </w:pPr>
    </w:p>
    <w:p w14:paraId="77E3E031" w14:textId="77777777" w:rsidR="000F2F6E" w:rsidRDefault="000F2F6E" w:rsidP="004D6FA0">
      <w:pPr>
        <w:pStyle w:val="jbd-alamat"/>
        <w:rPr>
          <w:color w:val="000000" w:themeColor="text1"/>
          <w:lang w:val="en-GB"/>
        </w:rPr>
      </w:pPr>
    </w:p>
    <w:p w14:paraId="7C1CB2D4" w14:textId="77777777" w:rsidR="00D0645C" w:rsidRPr="00D62021" w:rsidRDefault="00D0645C" w:rsidP="00D62021">
      <w:pPr>
        <w:pStyle w:val="jbd-alamat"/>
        <w:rPr>
          <w:b/>
          <w:bCs/>
          <w:color w:val="000000" w:themeColor="text1"/>
          <w:lang w:val="en-GB"/>
        </w:rPr>
      </w:pPr>
      <w:r w:rsidRPr="00AE5F67">
        <w:rPr>
          <w:b/>
          <w:bCs/>
          <w:color w:val="000000" w:themeColor="text1"/>
          <w:lang w:val="en-GB"/>
        </w:rPr>
        <w:lastRenderedPageBreak/>
        <w:t>Immune Reaction to HA</w:t>
      </w:r>
    </w:p>
    <w:p w14:paraId="4125822B" w14:textId="7174AD27" w:rsidR="002D4DBD" w:rsidRPr="0088033C" w:rsidRDefault="00ED2990" w:rsidP="0088033C">
      <w:pPr>
        <w:pStyle w:val="jbd-alamat"/>
        <w:rPr>
          <w:color w:val="000000" w:themeColor="text1"/>
          <w:lang w:val="en-GB"/>
        </w:rPr>
      </w:pPr>
      <w:r w:rsidRPr="00ED2990">
        <w:rPr>
          <w:color w:val="000000" w:themeColor="text1"/>
          <w:lang w:val="en-GB"/>
        </w:rPr>
        <w:t xml:space="preserve">HA is typically synthesized through bacterial fermentation using strains like </w:t>
      </w:r>
      <w:r w:rsidRPr="001E2688">
        <w:rPr>
          <w:i/>
          <w:iCs/>
          <w:color w:val="000000" w:themeColor="text1"/>
          <w:lang w:val="en-GB"/>
        </w:rPr>
        <w:t>Streptococcus</w:t>
      </w:r>
      <w:r w:rsidRPr="00ED2990">
        <w:rPr>
          <w:color w:val="000000" w:themeColor="text1"/>
          <w:lang w:val="en-GB"/>
        </w:rPr>
        <w:t xml:space="preserve"> </w:t>
      </w:r>
      <w:proofErr w:type="spellStart"/>
      <w:r w:rsidRPr="001E2688">
        <w:rPr>
          <w:i/>
          <w:iCs/>
          <w:color w:val="000000" w:themeColor="text1"/>
          <w:lang w:val="en-GB"/>
        </w:rPr>
        <w:t>zooepidemicus</w:t>
      </w:r>
      <w:proofErr w:type="spellEnd"/>
      <w:r w:rsidRPr="00ED2990">
        <w:rPr>
          <w:color w:val="000000" w:themeColor="text1"/>
          <w:lang w:val="en-GB"/>
        </w:rPr>
        <w:t>. While this method lowers immunogenicity risks compared to older animal-derived sources, trace contaminants such as bacterial proteins, nucleic acids, or stabilizers may remain. These residual components can act as antigens, potentially triggering immune-mediated hypersensitivity reactions to HA-based products</w:t>
      </w:r>
      <w:r w:rsidR="00D0645C" w:rsidRPr="005873C3">
        <w:rPr>
          <w:color w:val="000000" w:themeColor="text1"/>
          <w:lang w:val="en-GB"/>
        </w:rPr>
        <w:t xml:space="preserve"> </w:t>
      </w:r>
      <w:r w:rsidR="00D0645C" w:rsidRPr="005873C3">
        <w:rPr>
          <w:color w:val="000000" w:themeColor="text1"/>
          <w:lang w:val="en-GB"/>
        </w:rPr>
        <w:fldChar w:fldCharType="begin"/>
      </w:r>
      <w:r w:rsidR="00D0645C" w:rsidRPr="005873C3">
        <w:rPr>
          <w:color w:val="000000" w:themeColor="text1"/>
          <w:lang w:val="en-GB"/>
        </w:rPr>
        <w:instrText xml:space="preserve"> ADDIN ZOTERO_ITEM CSL_CITATION {"citationID":"LvZAD2Lq","properties":{"formattedCitation":"(Owczarczyk-Saczonek et al., 2021)","plainCitation":"(Owczarczyk-Saczonek et al., 2021)","noteIndex":0},"citationItems":[{"id":5416,"uris":["http://zotero.org/users/2543086/items/ABU7VNLL"],"itemData":{"id":5416,"type":"article-journal","abstract":"Hyaluronic acid (HA) is a glycosaminoglycan, a natural component of the extracellular matrix. The identical structure of the molecule in all living organisms is its main advantage, as it translates into the minimal probability of immunogenicity. Therefore, it is the closest to the ideal preparation used as a filler, due to its biocompatibility and stability at the site of implantation. This paper includes the discussion of the potential mechanisms of adverse immune reactions to HA along with the mechanisms of reaction following vaccinations against SARS-CoV-2. Based on the literature, we tried to systematize adverse immune reactions with systemic manifestations to HA. The occurrence of unpredictable reactions to hyaluronic acid indicates that they may not be treated as neutral or non-allergenic. The modifications of the chemical structure of HA, additives and individual tendencies in a patient may be the cause of unpredictable reactions, leading to serious health consequences. Preparations of unknown origin, poorly purified, or including bacterial DNA are particularly dangerous. Therefore, long-lasting follow-up of the patient and the selection of a preparation approved by the FDA or EMA are of high importance. Patients are often unaware of the consequences of cheaper procedures performed by persons without suitable knowledge with the use of unregistered products, so the public should be educated and legal regulations should be introduced.","container-title":"Clinical, Cosmetic and Investigational Dermatology","DOI":"10.2147/CCID.S316352","ISSN":"1178-7015","journalAbbreviation":"Clin Cosmet Investig Dermatol","note":"PMID: 34295171\nPMCID: PMC8291382","page":"921-934","source":"PubMed Central","title":"The Immunogenicity of Hyaluronic Fillers and Its Consequences","volume":"14","author":[{"family":"Owczarczyk-Saczonek","given":"Agnieszka"},{"family":"Zdanowska","given":"Natalia"},{"family":"Wygonowska","given":"Ewa"},{"family":"Placek","given":"Waldemar"}],"issued":{"date-parts":[["2021",7,16]]}}}],"schema":"https://github.com/citation-style-language/schema/raw/master/csl-citation.json"} </w:instrText>
      </w:r>
      <w:r w:rsidR="00D0645C" w:rsidRPr="005873C3">
        <w:rPr>
          <w:color w:val="000000" w:themeColor="text1"/>
          <w:lang w:val="en-GB"/>
        </w:rPr>
        <w:fldChar w:fldCharType="separate"/>
      </w:r>
      <w:r w:rsidR="00D0645C" w:rsidRPr="005873C3">
        <w:rPr>
          <w:noProof/>
          <w:color w:val="000000" w:themeColor="text1"/>
          <w:lang w:val="en-GB"/>
        </w:rPr>
        <w:t>(Owczarczyk-Saczonek et al., 2021)</w:t>
      </w:r>
      <w:r w:rsidR="00D0645C" w:rsidRPr="005873C3">
        <w:rPr>
          <w:color w:val="000000" w:themeColor="text1"/>
          <w:lang w:val="en-GB"/>
        </w:rPr>
        <w:fldChar w:fldCharType="end"/>
      </w:r>
      <w:r w:rsidR="00D0645C" w:rsidRPr="005873C3">
        <w:rPr>
          <w:color w:val="000000" w:themeColor="text1"/>
          <w:lang w:val="en-GB"/>
        </w:rPr>
        <w:t xml:space="preserve">. </w:t>
      </w:r>
      <w:r w:rsidR="002D4DBD" w:rsidRPr="002D4DBD">
        <w:rPr>
          <w:color w:val="0432FF"/>
          <w:lang w:val="en-GB"/>
        </w:rPr>
        <w:t xml:space="preserve">Even if HA is considered as the safest synthetic filler, the number of complications after HA injection </w:t>
      </w:r>
      <w:r w:rsidR="00762963">
        <w:rPr>
          <w:color w:val="0432FF"/>
          <w:lang w:val="en-GB"/>
        </w:rPr>
        <w:t xml:space="preserve">were reported </w:t>
      </w:r>
      <w:r w:rsidR="002D4DBD" w:rsidRPr="002D4DBD">
        <w:rPr>
          <w:color w:val="0432FF"/>
          <w:lang w:val="en-GB"/>
        </w:rPr>
        <w:t xml:space="preserve">particularly severe complications requiring aggressive treatment and leaving permanent sequelae. </w:t>
      </w:r>
      <w:r w:rsidR="00507551">
        <w:rPr>
          <w:color w:val="0432FF"/>
          <w:lang w:val="en-GB"/>
        </w:rPr>
        <w:t>T</w:t>
      </w:r>
      <w:r w:rsidR="002D4DBD" w:rsidRPr="002D4DBD">
        <w:rPr>
          <w:color w:val="0432FF"/>
          <w:lang w:val="en-GB"/>
        </w:rPr>
        <w:t>he immune-mediated delayed hypersensitivity reactions were the most probable cause</w:t>
      </w:r>
      <w:r w:rsidR="00425BF1">
        <w:rPr>
          <w:color w:val="0432FF"/>
          <w:lang w:val="en-GB"/>
        </w:rPr>
        <w:t xml:space="preserve"> </w:t>
      </w:r>
      <w:r w:rsidR="006F3821">
        <w:rPr>
          <w:color w:val="0432FF"/>
          <w:lang w:val="en-GB"/>
        </w:rPr>
        <w:fldChar w:fldCharType="begin"/>
      </w:r>
      <w:r w:rsidR="006F3821">
        <w:rPr>
          <w:color w:val="0432FF"/>
          <w:lang w:val="en-GB"/>
        </w:rPr>
        <w:instrText xml:space="preserve"> ADDIN ZOTERO_ITEM CSL_CITATION {"citationID":"IaEsRADG","properties":{"formattedCitation":"(Homsy et al., 2017)","plainCitation":"(Homsy et al., 2017)","noteIndex":0},"citationItems":[{"id":7955,"uris":["http://zotero.org/users/2543086/items/U3T26VJ6"],"itemData":{"id":7955,"type":"article-journal","abstract":"We report two rare cases of inflammatory reactions with multiple subcutaneous facial painful collections after Hyaluronic acid injections, expose their management and discuss aetiologic hypothesis. Due to unfavourable evolution despite antibiotic treatment, surgical drainage was performed. Immune-mediated delayed hypersensitivity reactions were the most probable cause.","container-title":"Case Reports in Plastic Surgery and Hand Surgery","DOI":"10.1080/23320885.2017.1356202","ISSN":"null","issue":"1","note":"publisher: Taylor &amp; Francis\n_eprint: https://doi.org/10.1080/23320885.2017.1356202\nPMID: 28804742","page":"68-72","source":"Taylor and Francis+NEJM","title":"Immunological reaction after facial hyaluronic acid injection","volume":"4","author":[{"family":"Homsy","given":"Antoine"},{"family":"","given":"Rüegg ,Eva Meia"},{"family":"","given":"Jandus ,Peter"},{"family":"","given":"Pittet-Cuénod ,Brigitte"},{"family":"Modarressi","given":"Ali","non-dropping-particle":"and"}],"issued":{"date-parts":[["2017",1,1]]}}}],"schema":"https://github.com/citation-style-language/schema/raw/master/csl-citation.json"} </w:instrText>
      </w:r>
      <w:r w:rsidR="006F3821">
        <w:rPr>
          <w:color w:val="0432FF"/>
          <w:lang w:val="en-GB"/>
        </w:rPr>
        <w:fldChar w:fldCharType="separate"/>
      </w:r>
      <w:r w:rsidR="006F3821">
        <w:rPr>
          <w:noProof/>
          <w:color w:val="0432FF"/>
          <w:lang w:val="en-GB"/>
        </w:rPr>
        <w:t>(Homsy et al., 2017)</w:t>
      </w:r>
      <w:r w:rsidR="006F3821">
        <w:rPr>
          <w:color w:val="0432FF"/>
          <w:lang w:val="en-GB"/>
        </w:rPr>
        <w:fldChar w:fldCharType="end"/>
      </w:r>
      <w:r w:rsidR="006F3821">
        <w:rPr>
          <w:color w:val="0432FF"/>
          <w:lang w:val="en-GB"/>
        </w:rPr>
        <w:t>.</w:t>
      </w:r>
    </w:p>
    <w:p w14:paraId="32526178" w14:textId="49992C2F" w:rsidR="00F27565" w:rsidRDefault="00ED1749" w:rsidP="00EB36FC">
      <w:pPr>
        <w:pStyle w:val="jbd-alamat"/>
      </w:pPr>
      <w:r>
        <w:t>I</w:t>
      </w:r>
      <w:r w:rsidR="00535EEE" w:rsidRPr="00A320C8">
        <w:t>nject</w:t>
      </w:r>
      <w:r>
        <w:t>ed</w:t>
      </w:r>
      <w:r w:rsidR="00535EEE" w:rsidRPr="00A320C8">
        <w:t xml:space="preserve"> HA fillers </w:t>
      </w:r>
      <w:r w:rsidR="00FE51BC">
        <w:t>may</w:t>
      </w:r>
      <w:r w:rsidR="00535EEE" w:rsidRPr="00A320C8">
        <w:t xml:space="preserve"> </w:t>
      </w:r>
      <w:r w:rsidR="001C02FB">
        <w:t>stimulate</w:t>
      </w:r>
      <w:r w:rsidR="00535EEE" w:rsidRPr="00A320C8">
        <w:t xml:space="preserve"> both immediate and delayed immune responses.</w:t>
      </w:r>
      <w:r w:rsidR="00B04AF5">
        <w:t xml:space="preserve"> </w:t>
      </w:r>
      <w:r w:rsidR="00535EEE" w:rsidRPr="00A320C8">
        <w:t>Delayed-type hypersensitivity (type IV) reactions, mediated by T</w:t>
      </w:r>
      <w:r w:rsidR="005D2950">
        <w:t>-cells</w:t>
      </w:r>
      <w:r w:rsidR="00535EEE" w:rsidRPr="00A320C8">
        <w:t>, typically manifest days to months post-injection and may present as swelling, erythema, nodules, or granulomas</w:t>
      </w:r>
      <w:r w:rsidR="00885610">
        <w:t xml:space="preserve"> </w:t>
      </w:r>
      <w:r w:rsidR="00885610">
        <w:fldChar w:fldCharType="begin"/>
      </w:r>
      <w:r w:rsidR="00885610">
        <w:rPr>
          <w:rFonts w:hint="eastAsia"/>
        </w:rPr>
        <w:instrText xml:space="preserve"> ADDIN ZOTERO_ITEM CSL_CITATION {"citationID":"IeoiQgIN","properties":{"formattedCitation":"(Rowland\\uc0\\u8208{}Warmann, 2021; Wang &amp; Jung, 2023)","plainCitation":"(Rowland</w:instrText>
      </w:r>
      <w:r w:rsidR="00885610">
        <w:rPr>
          <w:rFonts w:hint="eastAsia"/>
        </w:rPr>
        <w:instrText>‐</w:instrText>
      </w:r>
      <w:r w:rsidR="00885610">
        <w:rPr>
          <w:rFonts w:hint="eastAsia"/>
        </w:rPr>
        <w:instrText>Warmann, 2021; Wang &amp; Jung, 2023)","noteIndex":0},"citationItems":[{"id":5419,"uris":["http://zotero.org/users/2543086/items/IFAN6M3V"],"itemData":{"id":5419,"type":"article-journal","abstract":"The incidence of hypersensitivity reactions to hyaluronic acid dermal fillers is between 0.3 and 4.25%, mediated by T</w:instrText>
      </w:r>
      <w:r w:rsidR="00885610">
        <w:rPr>
          <w:rFonts w:hint="eastAsia"/>
        </w:rPr>
        <w:instrText>‐</w:instrText>
      </w:r>
      <w:r w:rsidR="00885610">
        <w:rPr>
          <w:rFonts w:hint="eastAsia"/>
        </w:rPr>
        <w:instrText>lymphocytes. Flu</w:instrText>
      </w:r>
      <w:r w:rsidR="00885610">
        <w:rPr>
          <w:rFonts w:hint="eastAsia"/>
        </w:rPr>
        <w:instrText>‐</w:instrText>
      </w:r>
      <w:r w:rsidR="00885610">
        <w:rPr>
          <w:rFonts w:hint="eastAsia"/>
        </w:rPr>
        <w:instrText>like illness can trigger immunogenic reactions at the site of filler placement. Cases of SARS</w:instrText>
      </w:r>
      <w:r w:rsidR="00885610">
        <w:rPr>
          <w:rFonts w:hint="eastAsia"/>
        </w:rPr>
        <w:instrText>‐</w:instrText>
      </w:r>
      <w:r w:rsidR="00885610">
        <w:rPr>
          <w:rFonts w:hint="eastAsia"/>
        </w:rPr>
        <w:instrText>CoV</w:instrText>
      </w:r>
      <w:r w:rsidR="00885610">
        <w:rPr>
          <w:rFonts w:hint="eastAsia"/>
        </w:rPr>
        <w:instrText>‐</w:instrText>
      </w:r>
      <w:r w:rsidR="00885610">
        <w:rPr>
          <w:rFonts w:hint="eastAsia"/>
        </w:rPr>
        <w:instrText>2 are significant and pose a possible risk of inducing hypersensitivity. This case report is of a delayed</w:instrText>
      </w:r>
      <w:r w:rsidR="00885610">
        <w:rPr>
          <w:rFonts w:hint="eastAsia"/>
        </w:rPr>
        <w:instrText>‐</w:instrText>
      </w:r>
      <w:r w:rsidR="00885610">
        <w:rPr>
          <w:rFonts w:hint="eastAsia"/>
        </w:rPr>
        <w:instrText>type hypersensitivity after hyaluronic acid dermal filler treatment of the nose and subsequent infection with SARS</w:instrText>
      </w:r>
      <w:r w:rsidR="00885610">
        <w:rPr>
          <w:rFonts w:hint="eastAsia"/>
        </w:rPr>
        <w:instrText>‐</w:instrText>
      </w:r>
      <w:r w:rsidR="00885610">
        <w:rPr>
          <w:rFonts w:hint="eastAsia"/>
        </w:rPr>
        <w:instrText>CoV</w:instrText>
      </w:r>
      <w:r w:rsidR="00885610">
        <w:rPr>
          <w:rFonts w:hint="eastAsia"/>
        </w:rPr>
        <w:instrText>‐</w:instrText>
      </w:r>
      <w:r w:rsidR="00885610">
        <w:rPr>
          <w:rFonts w:hint="eastAsia"/>
        </w:rPr>
        <w:instrText>2. Risk factors for the development of such symptoms were identified as the presence of hyaluronic acid combined with flu</w:instrText>
      </w:r>
      <w:r w:rsidR="00885610">
        <w:rPr>
          <w:rFonts w:hint="eastAsia"/>
        </w:rPr>
        <w:instrText>‐</w:instrText>
      </w:r>
      <w:r w:rsidR="00885610">
        <w:rPr>
          <w:rFonts w:hint="eastAsia"/>
        </w:rPr>
        <w:instrText>like illness and repeated treatment of one area. The case resolved without intervention. Clinicians should be mindful of the risk posed by the interaction of hyaluronic acid dermal filler with SARS</w:instrText>
      </w:r>
      <w:r w:rsidR="00885610">
        <w:rPr>
          <w:rFonts w:hint="eastAsia"/>
        </w:rPr>
        <w:instrText>‐</w:instrText>
      </w:r>
      <w:r w:rsidR="00885610">
        <w:rPr>
          <w:rFonts w:hint="eastAsia"/>
        </w:rPr>
        <w:instrText>CoV</w:instrText>
      </w:r>
      <w:r w:rsidR="00885610">
        <w:rPr>
          <w:rFonts w:hint="eastAsia"/>
        </w:rPr>
        <w:instrText>‐</w:instrText>
      </w:r>
      <w:r w:rsidR="00885610">
        <w:rPr>
          <w:rFonts w:hint="eastAsia"/>
        </w:rPr>
        <w:instrText>2 in light of the pandemic.","container-title":"Journal of Cosmetic Dermatology","DOI":"10.1111/jocd.14074","ISSN":"1473-21</w:instrText>
      </w:r>
      <w:r w:rsidR="00885610">
        <w:instrText>30","issue":"5","journalAbbreviation":"J Cosmet Dermatol","note":"PMID: 33735503\nPMCID: PMC8251125","page":"1557-1562","source":"PubMed Central","title":"Hypersensitivity reaction to Hyaluronic Acid Dermal filler following novel Coronavirus infection – a</w:instrText>
      </w:r>
      <w:r w:rsidR="00885610">
        <w:rPr>
          <w:rFonts w:hint="eastAsia"/>
        </w:rPr>
        <w:instrText xml:space="preserve"> case report","volume":"20","author":[{"family":"Rowland</w:instrText>
      </w:r>
      <w:r w:rsidR="00885610">
        <w:rPr>
          <w:rFonts w:hint="eastAsia"/>
        </w:rPr>
        <w:instrText>‐</w:instrText>
      </w:r>
      <w:r w:rsidR="00885610">
        <w:rPr>
          <w:rFonts w:hint="eastAsia"/>
        </w:rPr>
        <w:instrText>Warmann","given":"MJ"}],"issued":{"date-parts":[["2021",5]]}}},{"id":7874,"uris":["http://zotero.org/users/2543086/items/6LSWAWXY"],"itemData":{"id":7874,"type":"article-journal","container-title":"</w:instrText>
      </w:r>
      <w:r w:rsidR="00885610">
        <w:instrText xml:space="preserve">Archives of Aesthetic Plastic Surgery","DOI":"10.14730/aaps.2022.00696","ISSN":"2234-0831, 2288-9337","issue":"1","journalAbbreviation":"Arch Aesthetic Plast Surg","language":"English","note":"publisher: Korean Society for Aesthetic Plastic Surgery","page":"55-58","source":"e-aaps.org","title":"Recurrent delayed hypersensitivity reaction to a hyaluronic acid soft-tissue filler following COVID-19 vaccination: a case report","title-short":"Recurrent delayed hypersensitivity reaction to a hyaluronic acid soft-tissue filler following COVID-19 vaccination","volume":"29","author":[{"family":"Wang","given":"Hyun"},{"family":"Jung","given":"Jae A."}],"issued":{"date-parts":[["2023",1,30]]}}}],"schema":"https://github.com/citation-style-language/schema/raw/master/csl-citation.json"} </w:instrText>
      </w:r>
      <w:r w:rsidR="00885610">
        <w:fldChar w:fldCharType="separate"/>
      </w:r>
      <w:r w:rsidR="00885610" w:rsidRPr="00885610">
        <w:t>(Rowland‐Warmann, 2021; Wang &amp; Jung, 2023)</w:t>
      </w:r>
      <w:r w:rsidR="00885610">
        <w:fldChar w:fldCharType="end"/>
      </w:r>
      <w:r w:rsidR="00885610">
        <w:t>.</w:t>
      </w:r>
      <w:r w:rsidR="00535EEE" w:rsidRPr="00A320C8">
        <w:t> </w:t>
      </w:r>
      <w:r w:rsidR="00375583">
        <w:t>Similar immune reactions</w:t>
      </w:r>
      <w:r w:rsidR="00535EEE" w:rsidRPr="00A320C8">
        <w:t xml:space="preserve"> have been reported following systemic triggers like viral infections or vaccinations, notably COVID-19 vaccines, which may activate immune memory cells primed by previous HA exposure</w:t>
      </w:r>
      <w:r w:rsidR="006C4E87">
        <w:t xml:space="preserve"> </w:t>
      </w:r>
      <w:r w:rsidR="006C4E87">
        <w:fldChar w:fldCharType="begin"/>
      </w:r>
      <w:r w:rsidR="006C4E87">
        <w:instrText xml:space="preserve"> ADDIN ZOTERO_ITEM CSL_CITATION {"citationID":"eLzgpe5y","properties":{"formattedCitation":"(Neamatallah, 2023)","plainCitation":"(Neamatallah, 2023)","noteIndex":0},"citationItems":[{"id":7876,"uris":["http://zotero.org/users/2543086/items/ER7JBXSG"],"itemData":{"id":7876,"type":"article-journal","abstract":"Hypersensitivity reactions can be a side effect to any vaccine, but they are usually rare. The COVID-19 vaccination may cause hypersensitivity, and several cases of delayed hypersensitivity (DH) to hyaluronic acid (HA) dermal filler have been documented. The current report presents a case of a 36-year-old female patient with DH to HA dermal filler after receiving the Pfizer-BioNTech COVID-19 vaccine. Symptoms, including dryness, swelling, and a painless nodule, appeared after the first and second doses of the vaccine. The patient was treated with intralesional hyaluronidase and triamcinolone in the outpatient clinic. Although HA is relatively safe and routinely used in aesthetic medicine, DH reactions must be considered. Therefore, an appropriate patient history should be obtained, and physicians should provide counselling on the potential reactions to avoid these adverse effects.","container-title":"Heliyon","DOI":"10.1016/j.heliyon.2023.e18274","ISSN":"2405-8440","issue":"7","journalAbbreviation":"Heliyon","note":"PMID: 37539264\nPMCID: PMC10395472","page":"e18274","source":"PubMed Central","title":"Delayed inflammatory reaction to hyaluronic acid lip filler after the Pfizer-BioNTech COVID-19 vaccine: A case report","title-short":"Delayed inflammatory reaction to hyaluronic acid lip filler after the Pfizer-BioNTech COVID-19 vaccine","volume":"9","author":[{"family":"Neamatallah","given":"Thikryat"}],"issued":{"date-parts":[["2023",7,17]]}}}],"schema":"https://github.com/citation-style-language/schema/raw/master/csl-citation.json"} </w:instrText>
      </w:r>
      <w:r w:rsidR="006C4E87">
        <w:fldChar w:fldCharType="separate"/>
      </w:r>
      <w:r w:rsidR="006C4E87">
        <w:rPr>
          <w:noProof/>
        </w:rPr>
        <w:t>(Neamatallah, 2023)</w:t>
      </w:r>
      <w:r w:rsidR="006C4E87">
        <w:fldChar w:fldCharType="end"/>
      </w:r>
      <w:r w:rsidR="00F27565">
        <w:t>.</w:t>
      </w:r>
      <w:r w:rsidR="00535EEE" w:rsidRPr="00A320C8">
        <w:t> </w:t>
      </w:r>
      <w:r w:rsidR="00F27565" w:rsidRPr="00F618DE">
        <w:rPr>
          <w:color w:val="0432FF"/>
          <w:lang w:val="en-GB"/>
        </w:rPr>
        <w:t xml:space="preserve">The Complication Assessment and Risk Evaluation (CARE) identified three etiological hypotheses </w:t>
      </w:r>
      <w:r w:rsidR="00F27565">
        <w:rPr>
          <w:color w:val="0432FF"/>
          <w:lang w:val="en-GB"/>
        </w:rPr>
        <w:t>that associated</w:t>
      </w:r>
      <w:r w:rsidR="00F27565" w:rsidRPr="00F618DE">
        <w:rPr>
          <w:color w:val="0432FF"/>
          <w:lang w:val="en-GB"/>
        </w:rPr>
        <w:t xml:space="preserve"> to rare late-onset reactions (LORs). Firstly, the physicochemical structure of the filler, particularly low molecular weight HA, which may trigger an immune response. Secondly, infection, potentially introduced during injection or by dormant biofilm activation. </w:t>
      </w:r>
      <w:r w:rsidR="00F27565">
        <w:rPr>
          <w:color w:val="0432FF"/>
          <w:lang w:val="en-GB"/>
        </w:rPr>
        <w:t>Finally</w:t>
      </w:r>
      <w:r w:rsidR="00F27565" w:rsidRPr="00F618DE">
        <w:rPr>
          <w:color w:val="0432FF"/>
          <w:lang w:val="en-GB"/>
        </w:rPr>
        <w:t xml:space="preserve">, an imbalance in the host immune system, caused by factors like autoimmune diseases or viral infections, may lead to extended foreign body </w:t>
      </w:r>
      <w:r w:rsidR="00F27565" w:rsidRPr="00F618DE">
        <w:rPr>
          <w:color w:val="0432FF"/>
          <w:lang w:val="en-GB"/>
        </w:rPr>
        <w:lastRenderedPageBreak/>
        <w:t>reactions, delayed type IV hypersensitivity, or adjuvant-based reactions</w:t>
      </w:r>
      <w:r w:rsidR="00F27565">
        <w:rPr>
          <w:color w:val="0432FF"/>
          <w:lang w:val="en-GB"/>
        </w:rPr>
        <w:t xml:space="preserve"> </w:t>
      </w:r>
      <w:r w:rsidR="00F27565">
        <w:rPr>
          <w:color w:val="0432FF"/>
          <w:lang w:val="en-GB"/>
        </w:rPr>
        <w:fldChar w:fldCharType="begin"/>
      </w:r>
      <w:r w:rsidR="00F27565">
        <w:rPr>
          <w:color w:val="0432FF"/>
          <w:lang w:val="en-GB"/>
        </w:rPr>
        <w:instrText xml:space="preserve"> ADDIN ZOTERO_ITEM CSL_CITATION {"citationID":"uNxrYaJP","properties":{"formattedCitation":"(Baranska-Rybak et al., 2024)","plainCitation":"(Baranska-Rybak et al., 2024)","noteIndex":0},"citationItems":[{"id":7953,"uris":["http://zotero.org/users/2543086/items/L73VF9YU"],"itemData":{"id":7953,"type":"article-journal","abstract":"Hyaluronic acid (HA) dermal fillers, generally considered low-risk, can lead to rare late-onset reactions (LORs) manifesting between 3 and 4 months postinjection, occasionally even as early as 24 h postinjection. The Complication Assessment and Risk Evaluation (CARE) board was established to review these reactions. In this publication, the authors aims to explore the etiological hypotheses underlying LORs, associated risk factors, prevention, and management approaches suggested by the CARE board. The CARE board identified three etiological hypotheses contributing to LORs. Firstly, the physicochemical structure of the filler, particularly low molecular weight HA, which may trigger an immune response. Secondly, infection, potentially introduced during injection or by dormant biofilm activation. Lastly, an imbalance in the host immune system, caused by factors like autoimmune diseases or viral infections, may lead to extended foreign body reactions, delayed type IV hypersensitivity, or adjuvant-based reactions. Based on these hypotheses, the board categorized various risk factors as patient-related (e.g., recent dental treatment, current medical status, active autoimmune disease), product-related (e.g., molecular weight), and procedure-related (e.g., aseptic technique and trauma). To reduce the risk of LORs, the CARE board recommends diligent patient selection, including comprehensive medical history assessment and informed consent. Practitioners should maintain an effective aseptic technique, and choose an appropriate product and injection depth for the anatomical location. Post-procedure, patients should receive education on proper filler care. Management of LORs depends on the suspected etiology, and the CARE board has proposed an algorithm to determine the most appropriate treatment. Hyaluronidase is recommended for noninflammatory reactions in the absence of active infection, while watchful waiting and/or steroid treatment may be preferred for inflammatory reactions. Hyaluronidase is not recommended as a first-line treatment for infections, which require drainage, bacterial culture, and antibiotic treatment. However, the board emphasizes the need for individualized evaluation and treatment in all cases.","container-title":"Dermatology and Therapy","DOI":"10.1007/s13555-024-01202-3","ISSN":"2190-9172","issue":"7","journalAbbreviation":"Dermatol Ther (Heidelb)","language":"en","page":"1767-1785","source":"Springer Link","title":"Late-Onset Reactions after Hyaluronic Acid Dermal Fillers: A Consensus Recommendation on Etiology, Prevention and Management","title-short":"Late-Onset Reactions after Hyaluronic Acid Dermal Fillers","volume":"14","author":[{"family":"Baranska-Rybak","given":"Wioletta"},{"family":"Lajo-Plaza","given":"José V."},{"family":"Walker","given":"Lee"},{"family":"Alizadeh","given":"Navid"}],"issued":{"date-parts":[["2024",7,1]]}}}],"schema":"https://github.com/citation-style-language/schema/raw/master/csl-citation.json"} </w:instrText>
      </w:r>
      <w:r w:rsidR="00F27565">
        <w:rPr>
          <w:color w:val="0432FF"/>
          <w:lang w:val="en-GB"/>
        </w:rPr>
        <w:fldChar w:fldCharType="separate"/>
      </w:r>
      <w:r w:rsidR="00F27565">
        <w:rPr>
          <w:noProof/>
          <w:color w:val="0432FF"/>
          <w:lang w:val="en-GB"/>
        </w:rPr>
        <w:t>(Baranska-Rybak et al., 2024)</w:t>
      </w:r>
      <w:r w:rsidR="00F27565">
        <w:rPr>
          <w:color w:val="0432FF"/>
          <w:lang w:val="en-GB"/>
        </w:rPr>
        <w:fldChar w:fldCharType="end"/>
      </w:r>
      <w:r w:rsidR="00F27565">
        <w:rPr>
          <w:color w:val="0432FF"/>
          <w:lang w:val="en-GB"/>
        </w:rPr>
        <w:t>.</w:t>
      </w:r>
    </w:p>
    <w:p w14:paraId="604EB15B" w14:textId="4DFB0743" w:rsidR="00D0645C" w:rsidRPr="005873C3" w:rsidRDefault="00535EEE" w:rsidP="003C2E37">
      <w:pPr>
        <w:pStyle w:val="jbd-alamat"/>
        <w:rPr>
          <w:color w:val="000000" w:themeColor="text1"/>
          <w:lang w:val="en-GB"/>
        </w:rPr>
      </w:pPr>
      <w:r w:rsidRPr="00A320C8">
        <w:t>The degradation of cross-linked HA into low-molecular-weight fragments can also promote proinflammatory signaling, further contributing to immune activation</w:t>
      </w:r>
      <w:r w:rsidR="00EB429B">
        <w:rPr>
          <w:rStyle w:val="whitespace-nowrap"/>
          <w:bdr w:val="single" w:sz="2" w:space="0" w:color="E5E7EB" w:frame="1"/>
        </w:rPr>
        <w:t xml:space="preserve"> </w:t>
      </w:r>
      <w:r w:rsidR="00EB429B">
        <w:rPr>
          <w:rStyle w:val="whitespace-nowrap"/>
          <w:bdr w:val="single" w:sz="2" w:space="0" w:color="E5E7EB" w:frame="1"/>
        </w:rPr>
        <w:fldChar w:fldCharType="begin"/>
      </w:r>
      <w:r w:rsidR="00EB429B">
        <w:rPr>
          <w:rStyle w:val="whitespace-nowrap"/>
          <w:bdr w:val="single" w:sz="2" w:space="0" w:color="E5E7EB" w:frame="1"/>
        </w:rPr>
        <w:instrText xml:space="preserve"> ADDIN ZOTERO_ITEM CSL_CITATION {"citationID":"2eyKySR7","properties":{"formattedCitation":"(Sanchez et al., 2023)","plainCitation":"(Sanchez et al., 2023)","noteIndex":0},"citationItems":[{"id":7878,"uris":["http://zotero.org/users/2543086/items/U2EB5DFA"],"itemData":{"id":7878,"type":"article-journal","abstract":"Hyaluronic acid (HA), used in a variety of medical applications, is associated in rare instances to long-term adverse effects. Although the aetiology of these events is unknown, a number of hypotheses have been proposed, including low molecular weight of HA (LMW-HA) in the filler products. We hypothesized that cross-linked HA and its degradation products, in a low-grade inflammatory microenvironment, could impact immune responses that could affect cell behaviours in the dermis. Using two different cross-linking technologies VYC-15L and HYC-24L+, and their hyaluronidase-induced degradation products, we observed for nondegraded HA, VYC-15L and HYC-24L+, a moderate and transient increase in IL-1β, TNF-α in M1 macrophages under low-grade inflammatory conditions. Endothelial cells and fibroblasts were preconditioned using inflammatory medium produced by M1 macrophages. 24 h after LMW-HA fragments and HA stimulation, no cytokine was released in these preconditioned cells. To further characterize HA responses, we used a novel in vivo murine model exhibiting a systemic low-grade inflammatory phenotype. The intradermal injection of VYC-15L and its degradation products induced an inflammation and cell infiltration into the skin that was more pronounced than those by HYC-24L+. This acute cutaneous inflammation was likely due to mechanical effects due to filler injection and tissue integration rather than its biological effects on inflammation. VYC-15L and its degradation product potentiated microvascular response to acetylcholine in the presence of a low-grade inflammation. The different responses with 2D cell models and mouse model using the two tested cross-linking HA technologies showed the importance to use integrative complex model to better understand the effects of HA products according to inflammatory state.","container-title":"International Journal of Inflammation","DOI":"10.1155/2023/3001080","ISSN":"2090-8040","journalAbbreviation":"Int J Inflam","note":"PMID: 37663889\nPMCID: PMC10474960","page":"3001080","source":"PubMed Central","title":"Skin Cell and Tissue Responses to Cross-Linked Hyaluronic Acid in Low-Grade Inflammatory Conditions","volume":"2023","author":[{"family":"Sanchez","given":"Benjamin"},{"family":"Ferraro","given":"Sandra"},{"family":"Josset-Lamaugarny","given":"Audrey"},{"family":"Pagnon","given":"Aurélie"},{"family":"Hee","given":"Charlie K."},{"family":"Nakab","given":"Lauren"},{"family":"Sigaudo-Roussel","given":"Dominique"},{"family":"Fromy","given":"Bérengère"}],"issued":{"date-parts":[["2023",8,26]]}}}],"schema":"https://github.com/citation-style-language/schema/raw/master/csl-citation.json"} </w:instrText>
      </w:r>
      <w:r w:rsidR="00EB429B">
        <w:rPr>
          <w:rStyle w:val="whitespace-nowrap"/>
          <w:bdr w:val="single" w:sz="2" w:space="0" w:color="E5E7EB" w:frame="1"/>
        </w:rPr>
        <w:fldChar w:fldCharType="separate"/>
      </w:r>
      <w:r w:rsidR="00EB429B">
        <w:rPr>
          <w:rStyle w:val="whitespace-nowrap"/>
          <w:noProof/>
          <w:bdr w:val="single" w:sz="2" w:space="0" w:color="E5E7EB" w:frame="1"/>
        </w:rPr>
        <w:t>(Sanchez et al., 2023)</w:t>
      </w:r>
      <w:r w:rsidR="00EB429B">
        <w:rPr>
          <w:rStyle w:val="whitespace-nowrap"/>
          <w:bdr w:val="single" w:sz="2" w:space="0" w:color="E5E7EB" w:frame="1"/>
        </w:rPr>
        <w:fldChar w:fldCharType="end"/>
      </w:r>
      <w:r w:rsidR="00EB429B">
        <w:rPr>
          <w:rStyle w:val="whitespace-nowrap"/>
          <w:bdr w:val="single" w:sz="2" w:space="0" w:color="E5E7EB" w:frame="1"/>
        </w:rPr>
        <w:t>.</w:t>
      </w:r>
      <w:r w:rsidR="00B04AF5">
        <w:rPr>
          <w:color w:val="000000" w:themeColor="text1"/>
          <w:lang w:val="en-GB"/>
        </w:rPr>
        <w:t xml:space="preserve"> </w:t>
      </w:r>
      <w:r w:rsidR="00C06E71" w:rsidRPr="00C06E71">
        <w:rPr>
          <w:color w:val="000000" w:themeColor="text1"/>
          <w:lang w:val="en-GB"/>
        </w:rPr>
        <w:t>The biological effects of HA vary significantly depending on its molecular weight. HA can exhibit both pro- and anti-inflammatory properties, stimulate or suppress cell migration, and either activate or inhibit cellular proliferation and differentiation. However, the scientific community lacks a standardized classification system for defining HA categories based on molecular size, leading to inconsistencies in research and clinical applications.</w:t>
      </w:r>
    </w:p>
    <w:p w14:paraId="28056A38" w14:textId="77777777" w:rsidR="000A4B39" w:rsidRPr="005873C3" w:rsidRDefault="000A4B39" w:rsidP="004D6FA0">
      <w:pPr>
        <w:pStyle w:val="jbd-alamat"/>
        <w:rPr>
          <w:rFonts w:eastAsia="Helvetica"/>
          <w:color w:val="000000" w:themeColor="text1"/>
          <w:lang w:val="en-GB"/>
        </w:rPr>
      </w:pPr>
    </w:p>
    <w:p w14:paraId="72C8B311" w14:textId="77777777" w:rsidR="00D0645C" w:rsidRPr="00747D56" w:rsidRDefault="00D0645C" w:rsidP="004D6FA0">
      <w:pPr>
        <w:pStyle w:val="jbd-alamat"/>
        <w:rPr>
          <w:rFonts w:eastAsia="Helvetica"/>
          <w:b/>
          <w:bCs/>
          <w:color w:val="000000" w:themeColor="text1"/>
          <w:lang w:val="en-GB"/>
        </w:rPr>
      </w:pPr>
      <w:r w:rsidRPr="00747D56">
        <w:rPr>
          <w:b/>
          <w:bCs/>
          <w:color w:val="000000" w:themeColor="text1"/>
          <w:lang w:val="en-GB"/>
        </w:rPr>
        <w:t>Size of the Molecule</w:t>
      </w:r>
    </w:p>
    <w:p w14:paraId="188A9361" w14:textId="77777777" w:rsidR="000F4BDD" w:rsidRDefault="00D0645C" w:rsidP="00082A47">
      <w:pPr>
        <w:pStyle w:val="jbd-alamat"/>
        <w:rPr>
          <w:color w:val="000000" w:themeColor="text1"/>
          <w:lang w:val="en-GB"/>
        </w:rPr>
      </w:pPr>
      <w:r w:rsidRPr="005873C3">
        <w:rPr>
          <w:color w:val="000000" w:themeColor="text1"/>
          <w:lang w:val="en-GB"/>
        </w:rPr>
        <w:t xml:space="preserve">In some situations, </w:t>
      </w:r>
      <w:r w:rsidR="00CE6C5E" w:rsidRPr="00CE6C5E">
        <w:rPr>
          <w:color w:val="000000" w:themeColor="text1"/>
          <w:lang w:val="en-GB"/>
        </w:rPr>
        <w:t>Low-molecular-weight hyaluronic acid (LMW-HA) exhibits proinflammatory properties and can trigger hypersensitivity reactions. It accumulates at sites of tissue breakdown, such as post-injury, where it activates Toll-like receptors (TLR2 and TLR4), initiating inflammatory responses. This activation stimulates dendritic cell maturation and promotes the secretion of proinflammatory cytokines-including IL-1β, IL-6, IL-12, TNF-α, and TGF-β-by various cell types</w:t>
      </w:r>
      <w:r w:rsidR="000B106C">
        <w:rPr>
          <w:color w:val="000000" w:themeColor="text1"/>
          <w:lang w:val="en-GB"/>
        </w:rPr>
        <w:t xml:space="preserve"> </w:t>
      </w:r>
      <w:r w:rsidR="000B106C">
        <w:rPr>
          <w:color w:val="000000" w:themeColor="text1"/>
          <w:lang w:val="en-GB"/>
        </w:rPr>
        <w:fldChar w:fldCharType="begin"/>
      </w:r>
      <w:r w:rsidR="000B106C">
        <w:rPr>
          <w:color w:val="000000" w:themeColor="text1"/>
          <w:lang w:val="en-GB"/>
        </w:rPr>
        <w:instrText xml:space="preserve"> ADDIN ZOTERO_ITEM CSL_CITATION {"citationID":"HuYbZWxi","properties":{"formattedCitation":"(Hoarau et al., 2022)","plainCitation":"(Hoarau et al., 2022)","noteIndex":0},"citationItems":[{"id":7925,"uris":["http://zotero.org/users/2543086/items/CAV2MWZQ"],"itemData":{"id":7925,"type":"article-journal","abstract":"Hyaluronic acid (HA) is a major component of the extracellular matrix. It is synthesized by hyaluronan synthases (HAS) into high-molecular-weight chains (HMW-HA) that exhibit anti-inflammatory and immunomodulatory functions. In damaged, infected, and/or inflamed tissues, HMW-HA are degraded by hyaluronidases (HYAL) or reactive oxygen species (ROS) to give rise to low-molecular-weight HAs (LMW-HAs) that are potent pro-inflammatory molecules. Therefore, the size of HA regulates the balance of anti- or pro-inflammatory functions. The activities of HA depend also on its interactions with hyaladherins. HA synthesis, degradation, and activities through HA/receptors interactions define the hyaluronasome. In this review, a short overview of the role of high and low-molecular-weight HA polymers in the lungs is provided. The involvement of LMW-HA in pulmonary innate immunity via the activation of neutrophils, macrophages, dendritic cells, and epithelial cells is described to highlight LMW-HA as a therapeutic target in inflammatory respiratory diseases. Finally, the possibilities to counter LMW-HA’s deleterious effects in the lungs are discussed.","container-title":"Biomolecules","DOI":"10.3390/biom12050658","ISSN":"2218-273X","issue":"5","language":"en","license":"http://creativecommons.org/licenses/by/3.0/","note":"number: 5\npublisher: Multidisciplinary Digital Publishing Institute","page":"658","source":"www.mdpi.com","title":"Lung Hyaluronasome: Involvement of Low Molecular Weight Ha (Lmw-Ha) in Innate Immunity","title-short":"Lung Hyaluronasome","volume":"12","author":[{"family":"Hoarau","given":"Antony"},{"family":"Polette","given":"Myriam"},{"family":"Coraux","given":"Christelle"}],"issued":{"date-parts":[["2022",5]]}}}],"schema":"https://github.com/citation-style-language/schema/raw/master/csl-citation.json"} </w:instrText>
      </w:r>
      <w:r w:rsidR="000B106C">
        <w:rPr>
          <w:color w:val="000000" w:themeColor="text1"/>
          <w:lang w:val="en-GB"/>
        </w:rPr>
        <w:fldChar w:fldCharType="separate"/>
      </w:r>
      <w:r w:rsidR="000B106C">
        <w:rPr>
          <w:noProof/>
          <w:color w:val="000000" w:themeColor="text1"/>
          <w:lang w:val="en-GB"/>
        </w:rPr>
        <w:t>(Hoarau et al., 2022)</w:t>
      </w:r>
      <w:r w:rsidR="000B106C">
        <w:rPr>
          <w:color w:val="000000" w:themeColor="text1"/>
          <w:lang w:val="en-GB"/>
        </w:rPr>
        <w:fldChar w:fldCharType="end"/>
      </w:r>
      <w:r w:rsidR="00CE6C5E" w:rsidRPr="00CE6C5E">
        <w:rPr>
          <w:color w:val="000000" w:themeColor="text1"/>
          <w:lang w:val="en-GB"/>
        </w:rPr>
        <w:t>. Additionally, LMW-HA modulates chemokine expression and cellular migration. Functioning as a danger-associated molecular pattern (DAMP), LMW-HA activates innate immunity pathways akin to bacterial proteins or heat-shock proteins</w:t>
      </w:r>
      <w:r w:rsidR="00916F80">
        <w:rPr>
          <w:color w:val="000000" w:themeColor="text1"/>
          <w:lang w:val="en-GB"/>
        </w:rPr>
        <w:t xml:space="preserve"> that </w:t>
      </w:r>
      <w:r w:rsidR="00916F80" w:rsidRPr="00916F80">
        <w:rPr>
          <w:color w:val="000000" w:themeColor="text1"/>
          <w:lang w:val="en-GB"/>
        </w:rPr>
        <w:t>initiating inflammatory cascades</w:t>
      </w:r>
      <w:r w:rsidR="000F4BDD">
        <w:rPr>
          <w:color w:val="000000" w:themeColor="text1"/>
          <w:lang w:val="en-GB"/>
        </w:rPr>
        <w:t xml:space="preserve"> </w:t>
      </w:r>
      <w:r w:rsidR="000F4BDD">
        <w:rPr>
          <w:color w:val="000000" w:themeColor="text1"/>
          <w:lang w:val="en-GB"/>
        </w:rPr>
        <w:fldChar w:fldCharType="begin"/>
      </w:r>
      <w:r w:rsidR="000F4BDD">
        <w:rPr>
          <w:color w:val="000000" w:themeColor="text1"/>
          <w:lang w:val="en-GB"/>
        </w:rPr>
        <w:instrText xml:space="preserve"> ADDIN ZOTERO_ITEM CSL_CITATION {"citationID":"CiB7eJfE","properties":{"formattedCitation":"(Ferreira et al., 2022)","plainCitation":"(Ferreira et al., 2022)","noteIndex":0},"citationItems":[{"id":7927,"uris":["http://zotero.org/users/2543086/items/FPGFSIWK"],"itemData":{"id":7927,"type":"article-journal","abstract":"The temporomandibular joint is responsible for fundamental functions. However, mechanical overload or microtraumas can cause temporomandibular disorders (TMD). In addition to external factors, it is known that these conditions are involved in complex biological mechanisms, such as activation of the immune system, activation of the inflammatory process, and degradation of extracellular matrix (ECM) components. The ECM is a non-cellular three-dimensional macromolecular network; its most studied components is hyaluronic acid (HA). HA is naturally found in many tissues, and most of it has a high molecular weight. HA has attributed an essential role in the viscoelastic properties of the synovial fluid and other tissues. Additionally, it has been shown that HA molecules can contribute to other mechanisms in the processes of injury and healing. It has been speculated that the degradation product of high molecular weight HA in healthy tissues during injury, a low molecular weight HA, may act as damage-associated molecular patterns (DAMPs). DAMPs are multifunctional and structurally diverse molecules that play critical intracellular roles in the absence of injury or infection. However, after cellular damage or stress, these molecules promote the activation of the immune response. Fragments from the degradation of HA can also act as immune response activators. Low molecular weight HA would have the ability to act as a pro-inflammatory marker, promoting the activation and maturation of dendritic cells, the release of pro-inflammatory cytokines such as interleukin 1 beta (IL-1β), and tumor necrosis factor α (TNF-α). It also increases the expression of chemokines and cell proliferation. Many of the pro-inflammatory effects of low molecular weight HA are attributed to its interactions with the activation of toll-like receptors (TLRs 2 and 4). In contrast, the high molecular weight HA found in healthy tissues would act as an anti-inflammatory, inhibiting cell growth and differentiation, decreasing the production of inflammatory cytokines, and reducing phagocytosis by macrophages. These anti-inflammatory effects are mainly attributed to the interaction of high-weight HA with the CD44 receptor. In this study, we review the action of the HA as a DAMP and its functions on pain control, more specifically in orofacial origin (e.g., TMD).","container-title":"Frontiers in Pain Research (Lausanne, Switzerland)","DOI":"10.3389/fpain.2022.852249","ISSN":"2673-561X","journalAbbreviation":"Front Pain Res (Lausanne)","language":"eng","note":"PMID: 35369538\nPMCID: PMC8971669","page":"852249","source":"PubMed","title":"Action of Hyaluronic Acid as a Damage-Associated Molecular Pattern Molecule and Its Function on the Treatment of Temporomandibular Disorders","volume":"3","author":[{"family":"Ferreira","given":"Natália Dos Reis"},{"family":"Sanz","given":"Carolina Kaminski"},{"family":"Raybolt","given":"Aline"},{"family":"Pereira","given":"Cláudia Maria"},{"family":"DosSantos","given":"Marcos Fabio"}],"issued":{"date-parts":[["2022"]]}}}],"schema":"https://github.com/citation-style-language/schema/raw/master/csl-citation.json"} </w:instrText>
      </w:r>
      <w:r w:rsidR="000F4BDD">
        <w:rPr>
          <w:color w:val="000000" w:themeColor="text1"/>
          <w:lang w:val="en-GB"/>
        </w:rPr>
        <w:fldChar w:fldCharType="separate"/>
      </w:r>
      <w:r w:rsidR="000F4BDD">
        <w:rPr>
          <w:noProof/>
          <w:color w:val="000000" w:themeColor="text1"/>
          <w:lang w:val="en-GB"/>
        </w:rPr>
        <w:t>(Ferreira et al., 2022)</w:t>
      </w:r>
      <w:r w:rsidR="000F4BDD">
        <w:rPr>
          <w:color w:val="000000" w:themeColor="text1"/>
          <w:lang w:val="en-GB"/>
        </w:rPr>
        <w:fldChar w:fldCharType="end"/>
      </w:r>
      <w:r w:rsidR="000F4BDD">
        <w:rPr>
          <w:color w:val="000000" w:themeColor="text1"/>
          <w:lang w:val="en-GB"/>
        </w:rPr>
        <w:t xml:space="preserve">. </w:t>
      </w:r>
    </w:p>
    <w:p w14:paraId="1744C1FD" w14:textId="77777777" w:rsidR="00D0645C" w:rsidRPr="005873C3" w:rsidRDefault="0090473C" w:rsidP="003A21AC">
      <w:pPr>
        <w:pStyle w:val="jbd-alamat"/>
        <w:rPr>
          <w:color w:val="000000" w:themeColor="text1"/>
          <w:lang w:val="en-GB"/>
        </w:rPr>
      </w:pPr>
      <w:r w:rsidRPr="0090473C">
        <w:rPr>
          <w:color w:val="000000" w:themeColor="text1"/>
          <w:lang w:val="en-GB"/>
        </w:rPr>
        <w:t>LMW-HA also interacts with CD44, a ubiquitous cell surface receptor involved in pattern recognition and immune regulation</w:t>
      </w:r>
      <w:r w:rsidR="005F40A7">
        <w:rPr>
          <w:color w:val="000000" w:themeColor="text1"/>
          <w:lang w:val="en-GB"/>
        </w:rPr>
        <w:t xml:space="preserve"> </w:t>
      </w:r>
      <w:r w:rsidR="005F40A7">
        <w:rPr>
          <w:color w:val="000000" w:themeColor="text1"/>
          <w:lang w:val="en-GB"/>
        </w:rPr>
        <w:fldChar w:fldCharType="begin"/>
      </w:r>
      <w:r w:rsidR="005F40A7">
        <w:rPr>
          <w:color w:val="000000" w:themeColor="text1"/>
          <w:lang w:val="en-GB"/>
        </w:rPr>
        <w:instrText xml:space="preserve"> ADDIN ZOTERO_ITEM CSL_CITATION {"citationID":"B41R3TTP","properties":{"formattedCitation":"(Chaudhry et al., 2021)","plainCitation":"(Chaudhry et al., 2021)","noteIndex":0},"citationItems":[{"id":7930,"uris":["http://zotero.org/users/2543086/items/PIRVSEP3"],"itemData":{"id":7930,"type":"article-journal","abstract":"Cancer is a complex mechanism involving a series of cellular events. The glycoproteins such as hyaluronan (HA) are a significant element of extracellular matrix (ECM), involve in the onset of cancer developmental process. The pivotal roles of HA in cancer progression depend on dysregulated expression in various cancer. HA, also gain attention due to consideration as a primary ligand of CD44 receptor. The CD44, complex transmembrane receptor protein, due to alternative splicing in the transcription process, various CD44 isoforms predominantly exist. The overexpression of distinct CD44 isoforms (CD44v) standard (CD44s) depends on the tumour type and stage. The receptor proteins, CD44 engage in a variety of biological processes, including cell growth, apoptosis, migration, and angiogenesis. HA-CD44 interaction trigger survival pathways that result in cell proliferation, invasion ultimately complex metastasis. The interaction and binding of ligand-receptor HA-CD44 regulate the downstream cytoskeleton pathways involve in cell survival or cell death. Thus, targeting HA, CD44 (variant and standard) isoform, and HA-CD44 binding consider as an attractive and useful approach towards cancer therapeutics. The use of various inhibitors of HA, hyaluronidases (HYALs), and utilizing targeted Nano-delivery of anticancer agents and antibodies against CD44, peptides gives promising results in vitro and in vivo. However, they are in clinical trials with favourable and unfavourable outcomes, which reflects the need for various modifications in targeting agents and a better understanding of potential targets in tumour progression pathways.","container-title":"Advanced Pharmaceutical Bulletin","DOI":"10.34172/apb.2021.050","ISSN":"2228-5881","issue":"3","journalAbbreviation":"Adv Pharm Bull","note":"PMID: 34513617\nPMCID: PMC8421618","page":"426-438","source":"PubMed Central","title":"Understanding Hyaluronan Receptor (CD44) Interaction, HA-CD44 Activated Potential Targets in Cancer Therapeutics","volume":"11","author":[{"family":"Chaudhry","given":"Gul-e-Saba"},{"family":"Akim","given":"Abdah"},{"family":"Naveed Zafar","given":"Muhammad"},{"family":"Safdar","given":"Naila"},{"family":"Sung","given":"Yeong Yik"},{"family":"Muhammad","given":"Tengku Sifzizul Tengku"}],"issued":{"date-parts":[["2021",6]]}}}],"schema":"https://github.com/citation-style-language/schema/raw/master/csl-citation.json"} </w:instrText>
      </w:r>
      <w:r w:rsidR="005F40A7">
        <w:rPr>
          <w:color w:val="000000" w:themeColor="text1"/>
          <w:lang w:val="en-GB"/>
        </w:rPr>
        <w:fldChar w:fldCharType="separate"/>
      </w:r>
      <w:r w:rsidR="005F40A7">
        <w:rPr>
          <w:noProof/>
          <w:color w:val="000000" w:themeColor="text1"/>
          <w:lang w:val="en-GB"/>
        </w:rPr>
        <w:t>(Chaudhry et al., 2021)</w:t>
      </w:r>
      <w:r w:rsidR="005F40A7">
        <w:rPr>
          <w:color w:val="000000" w:themeColor="text1"/>
          <w:lang w:val="en-GB"/>
        </w:rPr>
        <w:fldChar w:fldCharType="end"/>
      </w:r>
      <w:r w:rsidRPr="0090473C">
        <w:rPr>
          <w:color w:val="000000" w:themeColor="text1"/>
          <w:lang w:val="en-GB"/>
        </w:rPr>
        <w:t xml:space="preserve">. CD44 binds LMW-HA and other ligands </w:t>
      </w:r>
      <w:r w:rsidR="00DE6B6E">
        <w:rPr>
          <w:color w:val="000000" w:themeColor="text1"/>
          <w:lang w:val="en-GB"/>
        </w:rPr>
        <w:t>such as</w:t>
      </w:r>
      <w:r w:rsidRPr="0090473C">
        <w:rPr>
          <w:color w:val="000000" w:themeColor="text1"/>
          <w:lang w:val="en-GB"/>
        </w:rPr>
        <w:t xml:space="preserve"> </w:t>
      </w:r>
      <w:proofErr w:type="spellStart"/>
      <w:r w:rsidRPr="0090473C">
        <w:rPr>
          <w:color w:val="000000" w:themeColor="text1"/>
          <w:lang w:val="en-GB"/>
        </w:rPr>
        <w:t>osteopontin</w:t>
      </w:r>
      <w:proofErr w:type="spellEnd"/>
      <w:r w:rsidRPr="0090473C">
        <w:rPr>
          <w:color w:val="000000" w:themeColor="text1"/>
          <w:lang w:val="en-GB"/>
        </w:rPr>
        <w:t>, collagen</w:t>
      </w:r>
      <w:r w:rsidR="00E6308E">
        <w:rPr>
          <w:color w:val="000000" w:themeColor="text1"/>
          <w:lang w:val="en-GB"/>
        </w:rPr>
        <w:t xml:space="preserve"> and</w:t>
      </w:r>
      <w:r w:rsidRPr="0090473C">
        <w:rPr>
          <w:color w:val="000000" w:themeColor="text1"/>
          <w:lang w:val="en-GB"/>
        </w:rPr>
        <w:t xml:space="preserve"> matrix metalloproteinases </w:t>
      </w:r>
      <w:r w:rsidR="00425120">
        <w:rPr>
          <w:color w:val="000000" w:themeColor="text1"/>
          <w:lang w:val="en-GB"/>
        </w:rPr>
        <w:lastRenderedPageBreak/>
        <w:t>(</w:t>
      </w:r>
      <w:r w:rsidRPr="0090473C">
        <w:rPr>
          <w:color w:val="000000" w:themeColor="text1"/>
          <w:lang w:val="en-GB"/>
        </w:rPr>
        <w:t xml:space="preserve">MMPs), facilitating extracellular matrix (ECM) </w:t>
      </w:r>
      <w:r w:rsidR="0058578E" w:rsidRPr="0090473C">
        <w:rPr>
          <w:color w:val="000000" w:themeColor="text1"/>
          <w:lang w:val="en-GB"/>
        </w:rPr>
        <w:t>remodelling</w:t>
      </w:r>
      <w:r w:rsidRPr="0090473C">
        <w:rPr>
          <w:color w:val="000000" w:themeColor="text1"/>
          <w:lang w:val="en-GB"/>
        </w:rPr>
        <w:t xml:space="preserve"> and amplifying inflammation</w:t>
      </w:r>
      <w:r w:rsidR="00472617">
        <w:rPr>
          <w:color w:val="000000" w:themeColor="text1"/>
          <w:lang w:val="en-GB"/>
        </w:rPr>
        <w:t xml:space="preserve"> </w:t>
      </w:r>
      <w:r w:rsidR="00472617">
        <w:rPr>
          <w:color w:val="000000" w:themeColor="text1"/>
          <w:lang w:val="en-GB"/>
        </w:rPr>
        <w:fldChar w:fldCharType="begin"/>
      </w:r>
      <w:r w:rsidR="00472617">
        <w:rPr>
          <w:color w:val="000000" w:themeColor="text1"/>
          <w:lang w:val="en-GB"/>
        </w:rPr>
        <w:instrText xml:space="preserve"> ADDIN ZOTERO_ITEM CSL_CITATION {"citationID":"flopHDLn","properties":{"formattedCitation":"(Ruppert et al., 2014)","plainCitation":"(Ruppert et al., 2014)","noteIndex":0},"citationItems":[{"id":7932,"uris":["http://zotero.org/users/2543086/items/4BYTSIMX"],"itemData":{"id":7932,"type":"article-journal","abstract":"The extracellular matrix polysaccharide hyaluronan (HA) exerts size-dependent effects on leukocyte behavior. Low-molecular weight HA is abundant at sites of active tissue catabolism and promotes inflammation via effects on Toll-like receptor signaling. Conversely, high-molecular weight HA is prevalent in uninjured tissues and is anti-inflammatory. We propose that the ability of high-molecular weight but not low-molecular weight HA to cross-link CD44 functions as a novel form of pattern recognition that recognizes intact tissues and communicates “tissue integrity signals” that promote resolution of local immune responses.","container-title":"Immunologic research","DOI":"10.1007/s12026-014-8495-2","ISSN":"0257-277X","issue":"0","journalAbbreviation":"Immunol Res","note":"PMID: 24614953\nPMCID: PMC4106675","page":"186-192","source":"PubMed Central","title":"Tissue integrity signals communicated by high-molecular weight hyaluronan and the resolution of inflammation","volume":"58","author":[{"family":"Ruppert","given":"S. M."},{"family":"Hawn","given":"T. R."},{"family":"Arrigoni","given":"A."},{"family":"Wight","given":"T. N."},{"family":"Bollyky","given":"P. L."}],"issued":{"date-parts":[["2014",5]]}}}],"schema":"https://github.com/citation-style-language/schema/raw/master/csl-citation.json"} </w:instrText>
      </w:r>
      <w:r w:rsidR="00472617">
        <w:rPr>
          <w:color w:val="000000" w:themeColor="text1"/>
          <w:lang w:val="en-GB"/>
        </w:rPr>
        <w:fldChar w:fldCharType="separate"/>
      </w:r>
      <w:r w:rsidR="00472617">
        <w:rPr>
          <w:noProof/>
          <w:color w:val="000000" w:themeColor="text1"/>
          <w:lang w:val="en-GB"/>
        </w:rPr>
        <w:t>(Ruppert et al., 2014)</w:t>
      </w:r>
      <w:r w:rsidR="00472617">
        <w:rPr>
          <w:color w:val="000000" w:themeColor="text1"/>
          <w:lang w:val="en-GB"/>
        </w:rPr>
        <w:fldChar w:fldCharType="end"/>
      </w:r>
      <w:r w:rsidRPr="0090473C">
        <w:rPr>
          <w:color w:val="000000" w:themeColor="text1"/>
          <w:lang w:val="en-GB"/>
        </w:rPr>
        <w:t>. CD44-MMP interactions degrade collagen,</w:t>
      </w:r>
      <w:r w:rsidR="00560834">
        <w:rPr>
          <w:color w:val="000000" w:themeColor="text1"/>
          <w:lang w:val="en-GB"/>
        </w:rPr>
        <w:t xml:space="preserve"> </w:t>
      </w:r>
      <w:r w:rsidR="00560834" w:rsidRPr="0090473C">
        <w:rPr>
          <w:color w:val="000000" w:themeColor="text1"/>
          <w:lang w:val="en-GB"/>
        </w:rPr>
        <w:t>angiogenesis in chronic inflammation</w:t>
      </w:r>
      <w:r w:rsidR="00560834">
        <w:rPr>
          <w:color w:val="000000" w:themeColor="text1"/>
          <w:lang w:val="en-GB"/>
        </w:rPr>
        <w:t xml:space="preserve"> and</w:t>
      </w:r>
      <w:r w:rsidRPr="0090473C">
        <w:rPr>
          <w:color w:val="000000" w:themeColor="text1"/>
          <w:lang w:val="en-GB"/>
        </w:rPr>
        <w:t xml:space="preserve"> promoting tissue invasion. In </w:t>
      </w:r>
      <w:r w:rsidR="001708D1">
        <w:rPr>
          <w:color w:val="000000" w:themeColor="text1"/>
          <w:lang w:val="en-GB"/>
        </w:rPr>
        <w:t>contrast</w:t>
      </w:r>
      <w:r w:rsidR="00FE41F5">
        <w:rPr>
          <w:color w:val="000000" w:themeColor="text1"/>
          <w:lang w:val="en-GB"/>
        </w:rPr>
        <w:t>,</w:t>
      </w:r>
      <w:r w:rsidRPr="0090473C">
        <w:rPr>
          <w:color w:val="000000" w:themeColor="text1"/>
          <w:lang w:val="en-GB"/>
        </w:rPr>
        <w:t xml:space="preserve"> metabolic disorders, elevated circulating LMW-HA acts as a DAMP, activating TLR4/NF-</w:t>
      </w:r>
      <w:proofErr w:type="spellStart"/>
      <w:r w:rsidRPr="0090473C">
        <w:rPr>
          <w:color w:val="000000" w:themeColor="text1"/>
          <w:lang w:val="en-GB"/>
        </w:rPr>
        <w:t>κB</w:t>
      </w:r>
      <w:proofErr w:type="spellEnd"/>
      <w:r w:rsidRPr="0090473C">
        <w:rPr>
          <w:color w:val="000000" w:themeColor="text1"/>
          <w:lang w:val="en-GB"/>
        </w:rPr>
        <w:t xml:space="preserve"> pathways in leukocytes and driving inflammation</w:t>
      </w:r>
      <w:r w:rsidR="00210E62">
        <w:rPr>
          <w:color w:val="000000" w:themeColor="text1"/>
          <w:lang w:val="en-GB"/>
        </w:rPr>
        <w:t xml:space="preserve"> </w:t>
      </w:r>
      <w:r w:rsidR="00210E62">
        <w:rPr>
          <w:color w:val="000000" w:themeColor="text1"/>
          <w:lang w:val="en-GB"/>
        </w:rPr>
        <w:fldChar w:fldCharType="begin"/>
      </w:r>
      <w:r w:rsidR="00210E62">
        <w:rPr>
          <w:color w:val="000000" w:themeColor="text1"/>
          <w:lang w:val="en-GB"/>
        </w:rPr>
        <w:instrText xml:space="preserve"> ADDIN ZOTERO_ITEM CSL_CITATION {"citationID":"UbN2kKFw","properties":{"formattedCitation":"(Romo et al., 2022)","plainCitation":"(Romo et al., 2022)","noteIndex":0},"citationItems":[{"id":7934,"uris":["http://zotero.org/users/2543086/items/MN8AF34A"],"itemData":{"id":7934,"type":"article-journal","abstract":"Extracellular matrix (ECM) components released during excessive fat mass expansion are considered potential endogenous danger/alarm signals contributing to innate immune system activation. The aim of the current study was to specifically measure plasma levels of low molecular weight (LMW) hyaluronan (HA) and to evaluate its role as pro-inflammatory damage-associated molecular pattern (DAMP) on leukocyte response in the context of human obesity.","container-title":"International Journal of Obesity","DOI":"10.1038/s41366-022-01187-z","ISSN":"1476-5497","issue":"11","journalAbbreviation":"Int J Obes","language":"en","license":"2022 The Author(s)","note":"publisher: Nature Publishing Group","page":"1960-1969","source":"www.nature.com","title":"Small fragments of hyaluronan are increased in individuals with obesity and contribute to low-grade inflammation through TLR-mediated activation of innate immune cells","volume":"46","author":[{"family":"Romo","given":"Mònica"},{"family":"López-Vicario","given":"Cristina"},{"family":"Pérez-Romero","given":"Noelia"},{"family":"Casulleras","given":"Mireia"},{"family":"Martínez-Puchol","given":"Ana Isabel"},{"family":"Sánchez","given":"Belén"},{"family":"Flores-Costa","given":"Roger"},{"family":"Alcaraz-Quiles","given":"José"},{"family":"Duran-Güell","given":"Marta"},{"family":"Ibarzábal","given":"Ainitze"},{"family":"Espert","given":"Juan José"},{"family":"Clària","given":"Joan"},{"family":"Titos","given":"Esther"}],"issued":{"date-parts":[["2022",11]]}}}],"schema":"https://github.com/citation-style-language/schema/raw/master/csl-citation.json"} </w:instrText>
      </w:r>
      <w:r w:rsidR="00210E62">
        <w:rPr>
          <w:color w:val="000000" w:themeColor="text1"/>
          <w:lang w:val="en-GB"/>
        </w:rPr>
        <w:fldChar w:fldCharType="separate"/>
      </w:r>
      <w:r w:rsidR="00210E62">
        <w:rPr>
          <w:noProof/>
          <w:color w:val="000000" w:themeColor="text1"/>
          <w:lang w:val="en-GB"/>
        </w:rPr>
        <w:t>(Romo et al., 2022)</w:t>
      </w:r>
      <w:r w:rsidR="00210E62">
        <w:rPr>
          <w:color w:val="000000" w:themeColor="text1"/>
          <w:lang w:val="en-GB"/>
        </w:rPr>
        <w:fldChar w:fldCharType="end"/>
      </w:r>
      <w:r w:rsidRPr="0090473C">
        <w:rPr>
          <w:color w:val="000000" w:themeColor="text1"/>
          <w:lang w:val="en-GB"/>
        </w:rPr>
        <w:t>. Similarly, in psoriasis and dermatitis, LMW-HA fragments induce keratinocyte activation and β-defensin production via TLR2</w:t>
      </w:r>
      <w:r w:rsidR="00313139">
        <w:rPr>
          <w:color w:val="000000" w:themeColor="text1"/>
          <w:lang w:val="en-GB"/>
        </w:rPr>
        <w:t xml:space="preserve"> and TLR</w:t>
      </w:r>
      <w:r w:rsidRPr="0090473C">
        <w:rPr>
          <w:color w:val="000000" w:themeColor="text1"/>
          <w:lang w:val="en-GB"/>
        </w:rPr>
        <w:t xml:space="preserve">4 </w:t>
      </w:r>
      <w:r w:rsidR="003A21AC" w:rsidRPr="0090473C">
        <w:rPr>
          <w:color w:val="000000" w:themeColor="text1"/>
          <w:lang w:val="en-GB"/>
        </w:rPr>
        <w:t>signalling</w:t>
      </w:r>
      <w:r w:rsidR="003A21AC">
        <w:rPr>
          <w:color w:val="000000" w:themeColor="text1"/>
          <w:lang w:val="en-GB"/>
        </w:rPr>
        <w:t xml:space="preserve"> </w:t>
      </w:r>
      <w:r w:rsidR="006415AC">
        <w:rPr>
          <w:color w:val="000000" w:themeColor="text1"/>
          <w:lang w:val="en-GB"/>
        </w:rPr>
        <w:t xml:space="preserve">as a self defence mechanism against </w:t>
      </w:r>
      <w:r w:rsidR="006415AC" w:rsidRPr="0090473C">
        <w:rPr>
          <w:color w:val="000000" w:themeColor="text1"/>
          <w:lang w:val="en-GB"/>
        </w:rPr>
        <w:t xml:space="preserve">LMW-HA </w:t>
      </w:r>
      <w:r w:rsidR="00AC021D">
        <w:rPr>
          <w:color w:val="000000" w:themeColor="text1"/>
          <w:lang w:val="en-GB"/>
        </w:rPr>
        <w:t xml:space="preserve">fragments </w:t>
      </w:r>
      <w:r w:rsidR="003A21AC">
        <w:rPr>
          <w:color w:val="000000" w:themeColor="text1"/>
          <w:lang w:val="en-GB"/>
        </w:rPr>
        <w:fldChar w:fldCharType="begin"/>
      </w:r>
      <w:r w:rsidR="003A21AC">
        <w:rPr>
          <w:color w:val="000000" w:themeColor="text1"/>
          <w:lang w:val="en-GB"/>
        </w:rPr>
        <w:instrText xml:space="preserve"> ADDIN ZOTERO_ITEM CSL_CITATION {"citationID":"foxrwJ3y","properties":{"formattedCitation":"(Gariboldi et al., 2008)","plainCitation":"(Gariboldi et al., 2008)","noteIndex":0},"citationItems":[{"id":7937,"uris":["http://zotero.org/users/2543086/items/HV4LPA6A"],"itemData":{"id":7937,"type":"article-journal","abstract":"In sites of inflammation or tissue injury, hyaluronic acid (HA), ubiquitous in the extracellular matrix, is broken down into low m.w. HA (LMW-HA) fragments that have been reported to activate immunocompetent cells. We found that LMW-HA induces activation of keratinocytes, which respond by producing β-defensin 2. This production is mediated by TLR2 and TLR4 activation and involves a c-Fos-mediated, protein kinase C-dependent signaling pathway. LMW-HA-induced activation of keratinocytes seems not to be accompanied by an inflammatory response, because no production of IL-8, TNF-α, IL-1β, or IL-6 was observed. Ex vivo and in vivo treatments of murine skin with LMW-HA showed a release of mouse β-defensin 2 in all layers of the epidermal compartment. Therefore, the breakdown of extracellular matrix components, for example after injury, stimulates keratinocytes to release β-defensin 2, which protects cutaneous tissue at a time when it is particularly vulnerable to infection. In addition, our observation might be important to open new perspectives in the development of possible topical products containing LMW-HA to improve the release of β-defensins by keratinocytes, thus ameliorating the self-defense of the skin for the protection of cutaneous tissue from infection by microorganisms.","container-title":"The Journal of Immunology","DOI":"10.4049/jimmunol.181.3.2103","ISSN":"0022-1767","issue":"3","journalAbbreviation":"The Journal of Immunology","page":"2103-2110","source":"Silverchair","title":"Low Molecular Weight Hyaluronic Acid Increases the Self-Defense of Skin Epithelium by Induction of β-Defensin 2 via TLR2 and TLR4","volume":"181","author":[{"family":"Gariboldi","given":"Silvia"},{"family":"Palazzo","given":"Marco"},{"family":"Zanobbio","given":"Laura"},{"family":"Selleri","given":"Silvia"},{"family":"Sommariva","given":"Michele"},{"family":"Sfondrini","given":"Lucia"},{"family":"Cavicchini","given":"Stefano"},{"family":"Balsari","given":"Andrea"},{"family":"Rumio","given":"Cristiano"}],"issued":{"date-parts":[["2008",8,1]]}}}],"schema":"https://github.com/citation-style-language/schema/raw/master/csl-citation.json"} </w:instrText>
      </w:r>
      <w:r w:rsidR="003A21AC">
        <w:rPr>
          <w:color w:val="000000" w:themeColor="text1"/>
          <w:lang w:val="en-GB"/>
        </w:rPr>
        <w:fldChar w:fldCharType="separate"/>
      </w:r>
      <w:r w:rsidR="003A21AC">
        <w:rPr>
          <w:noProof/>
          <w:color w:val="000000" w:themeColor="text1"/>
          <w:lang w:val="en-GB"/>
        </w:rPr>
        <w:t>(Gariboldi et al., 2008)</w:t>
      </w:r>
      <w:r w:rsidR="003A21AC">
        <w:rPr>
          <w:color w:val="000000" w:themeColor="text1"/>
          <w:lang w:val="en-GB"/>
        </w:rPr>
        <w:fldChar w:fldCharType="end"/>
      </w:r>
      <w:r w:rsidR="00CE6C5E" w:rsidRPr="00CE6C5E">
        <w:rPr>
          <w:color w:val="000000" w:themeColor="text1"/>
          <w:lang w:val="en-GB"/>
        </w:rPr>
        <w:t xml:space="preserve"> </w:t>
      </w:r>
      <w:r w:rsidR="00D0645C" w:rsidRPr="005873C3">
        <w:rPr>
          <w:color w:val="000000" w:themeColor="text1"/>
          <w:lang w:val="en-GB"/>
        </w:rPr>
        <w:t xml:space="preserve">as shown in </w:t>
      </w:r>
      <w:r w:rsidR="00D0645C" w:rsidRPr="00361379">
        <w:rPr>
          <w:b/>
          <w:bCs/>
          <w:color w:val="000000" w:themeColor="text1"/>
          <w:lang w:val="en-GB"/>
        </w:rPr>
        <w:t>Figure 3</w:t>
      </w:r>
      <w:r w:rsidR="00D0645C" w:rsidRPr="005873C3">
        <w:rPr>
          <w:color w:val="000000" w:themeColor="text1"/>
          <w:lang w:val="en-GB"/>
        </w:rPr>
        <w:t>.</w:t>
      </w:r>
    </w:p>
    <w:p w14:paraId="43D2C0E8" w14:textId="77777777" w:rsidR="00D0645C" w:rsidRPr="005873C3" w:rsidRDefault="00D0645C" w:rsidP="004D6FA0">
      <w:pPr>
        <w:pStyle w:val="jbd-alamat"/>
        <w:rPr>
          <w:color w:val="000000" w:themeColor="text1"/>
          <w:lang w:val="en-GB"/>
        </w:rPr>
      </w:pPr>
    </w:p>
    <w:p w14:paraId="073F4E64" w14:textId="77777777" w:rsidR="00D0645C" w:rsidRPr="005873C3" w:rsidRDefault="00A905F6" w:rsidP="004D6FA0">
      <w:pPr>
        <w:pStyle w:val="jbd-alamat"/>
        <w:rPr>
          <w:lang w:val="en-GB"/>
        </w:rPr>
      </w:pPr>
      <w:r>
        <w:rPr>
          <w:noProof/>
          <w14:ligatures w14:val="standardContextual"/>
        </w:rPr>
        <w:drawing>
          <wp:inline distT="0" distB="0" distL="0" distR="0" wp14:anchorId="450894EC" wp14:editId="5D6155D1">
            <wp:extent cx="5727700" cy="3424555"/>
            <wp:effectExtent l="12700" t="12700" r="12700" b="17145"/>
            <wp:docPr id="2045679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679392" name="Picture 204567939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7700" cy="3424555"/>
                    </a:xfrm>
                    <a:prstGeom prst="rect">
                      <a:avLst/>
                    </a:prstGeom>
                    <a:ln>
                      <a:solidFill>
                        <a:schemeClr val="tx1"/>
                      </a:solidFill>
                    </a:ln>
                  </pic:spPr>
                </pic:pic>
              </a:graphicData>
            </a:graphic>
          </wp:inline>
        </w:drawing>
      </w:r>
    </w:p>
    <w:p w14:paraId="22AEF818" w14:textId="77777777" w:rsidR="00D0645C" w:rsidRPr="005873C3" w:rsidRDefault="005903E4" w:rsidP="004D6FA0">
      <w:pPr>
        <w:pStyle w:val="jbd-alamat"/>
        <w:rPr>
          <w:rFonts w:eastAsia="Helvetica"/>
          <w:color w:val="000000" w:themeColor="text1"/>
          <w:lang w:val="en-GB"/>
        </w:rPr>
      </w:pPr>
      <w:r w:rsidRPr="005903E4">
        <w:rPr>
          <w:b/>
          <w:bCs/>
          <w:color w:val="000000" w:themeColor="text1"/>
          <w:lang w:val="en-GB"/>
        </w:rPr>
        <w:t>Figure 3</w:t>
      </w:r>
      <w:r w:rsidR="00D0645C" w:rsidRPr="005873C3">
        <w:rPr>
          <w:color w:val="000000" w:themeColor="text1"/>
          <w:lang w:val="en-GB"/>
        </w:rPr>
        <w:t>. Immune Response to HA</w:t>
      </w:r>
      <w:r w:rsidR="00A905F6">
        <w:rPr>
          <w:color w:val="000000" w:themeColor="text1"/>
          <w:lang w:val="en-GB"/>
        </w:rPr>
        <w:t>.</w:t>
      </w:r>
    </w:p>
    <w:p w14:paraId="2D70792D" w14:textId="77777777" w:rsidR="00D0645C" w:rsidRPr="005873C3" w:rsidRDefault="00D0645C" w:rsidP="004D6FA0">
      <w:pPr>
        <w:pStyle w:val="jbd-alamat"/>
        <w:rPr>
          <w:color w:val="000000" w:themeColor="text1"/>
          <w:lang w:val="en-GB"/>
        </w:rPr>
      </w:pPr>
    </w:p>
    <w:p w14:paraId="4EE57FA0" w14:textId="77777777" w:rsidR="00AA4504" w:rsidRPr="00AA4504" w:rsidRDefault="00AA4504" w:rsidP="00AA45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480" w:lineRule="auto"/>
        <w:jc w:val="both"/>
        <w:rPr>
          <w:rFonts w:ascii="Arial" w:eastAsia="Times New Roman" w:hAnsi="Arial" w:cs="Arial"/>
          <w:bdr w:val="none" w:sz="0" w:space="0" w:color="auto"/>
          <w:lang w:eastAsia="en-GB"/>
        </w:rPr>
      </w:pPr>
      <w:r w:rsidRPr="00AA4504">
        <w:rPr>
          <w:rFonts w:ascii="Arial" w:eastAsia="Times New Roman" w:hAnsi="Arial" w:cs="Arial"/>
          <w:bdr w:val="none" w:sz="0" w:space="0" w:color="auto"/>
          <w:lang w:eastAsia="en-GB"/>
        </w:rPr>
        <w:t>Following the resolution of inflammation and macrophage-mediated clearance of tissue debris, LMW-HA fragments are removed via CD44-dependent endocytosis, a critical step in restoring tissue homeostasis</w:t>
      </w:r>
      <w:r w:rsidR="005A72D9">
        <w:rPr>
          <w:rFonts w:ascii="Arial" w:eastAsia="Times New Roman" w:hAnsi="Arial" w:cs="Arial"/>
          <w:bdr w:val="none" w:sz="0" w:space="0" w:color="auto"/>
          <w:lang w:eastAsia="en-GB"/>
        </w:rPr>
        <w:t>.</w:t>
      </w:r>
      <w:r w:rsidRPr="00AA4504">
        <w:rPr>
          <w:rFonts w:ascii="Arial" w:eastAsia="Times New Roman" w:hAnsi="Arial" w:cs="Arial"/>
          <w:bdr w:val="none" w:sz="0" w:space="0" w:color="auto"/>
          <w:lang w:eastAsia="en-GB"/>
        </w:rPr>
        <w:t xml:space="preserve"> Chronic inflammatory conditions are </w:t>
      </w:r>
      <w:r w:rsidRPr="00AA4504">
        <w:rPr>
          <w:rFonts w:ascii="Arial" w:eastAsia="Times New Roman" w:hAnsi="Arial" w:cs="Arial"/>
          <w:bdr w:val="none" w:sz="0" w:space="0" w:color="auto"/>
          <w:lang w:eastAsia="en-GB"/>
        </w:rPr>
        <w:lastRenderedPageBreak/>
        <w:t>characterized by persistent LMW-HA accumulation, positioning HA fragments as natural biosensors reflecting ongoing tissue damage</w:t>
      </w:r>
      <w:r w:rsidR="005A72D9">
        <w:rPr>
          <w:rFonts w:ascii="Arial" w:eastAsia="Times New Roman" w:hAnsi="Arial" w:cs="Arial"/>
          <w:bdr w:val="none" w:sz="0" w:space="0" w:color="auto"/>
          <w:lang w:eastAsia="en-GB"/>
        </w:rPr>
        <w:t xml:space="preserve">  </w:t>
      </w:r>
      <w:r w:rsidR="005A72D9">
        <w:rPr>
          <w:rFonts w:ascii="Arial" w:eastAsia="Times New Roman" w:hAnsi="Arial" w:cs="Arial"/>
          <w:bdr w:val="none" w:sz="0" w:space="0" w:color="auto"/>
          <w:lang w:eastAsia="en-GB"/>
        </w:rPr>
        <w:fldChar w:fldCharType="begin"/>
      </w:r>
      <w:r w:rsidR="005A72D9">
        <w:rPr>
          <w:rFonts w:ascii="Arial" w:eastAsia="Times New Roman" w:hAnsi="Arial" w:cs="Arial"/>
          <w:bdr w:val="none" w:sz="0" w:space="0" w:color="auto"/>
          <w:lang w:eastAsia="en-GB"/>
        </w:rPr>
        <w:instrText xml:space="preserve"> ADDIN ZOTERO_ITEM CSL_CITATION {"citationID":"xSdRYIum","properties":{"formattedCitation":"(Lee-Sayer et al., 2015)","plainCitation":"(Lee-Sayer et al., 2015)","noteIndex":0},"citationItems":[{"id":7940,"uris":["http://zotero.org/users/2543086/items/WKLYW6XY"],"itemData":{"id":7940,"type":"article-journal","abstract":"Hyaluronan is made and extruded from cells to form a pericellular or extracellular matrix (ECM) and is present in virtually all tissues in the body. The size and form of hyaluronan present in tissues are indicative of a healthy or inflamed tissue, and the interactions of hyaluronan with immune cells can influence their response. Thus, in order to understand how inflammation is regulated, it is necessary to understand these interactions and their consequences. Although there is a large turnover of hyaluronan in our bodies, the large molecular mass form of hyaluronan predominates in healthy tissues. Upon tissue damage and/or infection, the ECM and hyaluronan are broken down and an inflammatory response ensues. As inflammation is resolved, the ECM is restored, and high molecular mass hyaluronan predominates again. Immune cells encounter hyaluronan in the tissues and lymphoid organs and respond differently to high and low molecular mass forms. Immune cells differ in their ability to bind hyaluronan and this can vary with the cell type and their activation state. For example, peritoneal macrophages do not bind soluble hyaluronan but can be induced to bind after exposure to inflammatory stimuli. Likewise, naïve T cells, which typically express low levels of the hyaluronan receptor, CD44, do not bind hyaluronan until they undergo antigen-stimulated T cell proliferation and upregulate CD44. Despite substantial knowledge of where and when immune cells bind hyaluronan, why immune cells bind hyaluronan remains a major outstanding question. Here, we review what is currently known about the interactions of hyaluronan with immune cells in both healthy and inflamed tissues and discuss how hyaluronan binding by immune cells influences the inflammatory response.","container-title":"Frontiers in Immunology","DOI":"10.3389/fimmu.2015.00150","ISSN":"1664-3224","journalAbbreviation":"Front. Immunol.","language":"English","note":"publisher: Frontiers","source":"Frontiers","title":"The Where, When, How, and Why of Hyaluronan Binding by Immune Cells","URL":"https://www.frontiersin.orghttps://www.frontiersin.org/journals/immunology/articles/10.3389/fimmu.2015.00150/full","volume":"6","author":[{"family":"Lee-Sayer","given":"Sally S. M."},{"family":"Dong","given":"Yifei"},{"family":"Arif","given":"Arif A."},{"family":"Olsson","given":"Mia"},{"family":"Brown","given":"Kelly L."},{"family":"Johnson","given":"Pauline"}],"accessed":{"date-parts":[["2025",5,11]]},"issued":{"date-parts":[["2015",4,14]]}}}],"schema":"https://github.com/citation-style-language/schema/raw/master/csl-citation.json"} </w:instrText>
      </w:r>
      <w:r w:rsidR="005A72D9">
        <w:rPr>
          <w:rFonts w:ascii="Arial" w:eastAsia="Times New Roman" w:hAnsi="Arial" w:cs="Arial"/>
          <w:bdr w:val="none" w:sz="0" w:space="0" w:color="auto"/>
          <w:lang w:eastAsia="en-GB"/>
        </w:rPr>
        <w:fldChar w:fldCharType="separate"/>
      </w:r>
      <w:r w:rsidR="005A72D9">
        <w:rPr>
          <w:rFonts w:ascii="Arial" w:eastAsia="Times New Roman" w:hAnsi="Arial" w:cs="Arial"/>
          <w:noProof/>
          <w:bdr w:val="none" w:sz="0" w:space="0" w:color="auto"/>
          <w:lang w:eastAsia="en-GB"/>
        </w:rPr>
        <w:t>(Lee-Sayer et al., 2015)</w:t>
      </w:r>
      <w:r w:rsidR="005A72D9">
        <w:rPr>
          <w:rFonts w:ascii="Arial" w:eastAsia="Times New Roman" w:hAnsi="Arial" w:cs="Arial"/>
          <w:bdr w:val="none" w:sz="0" w:space="0" w:color="auto"/>
          <w:lang w:eastAsia="en-GB"/>
        </w:rPr>
        <w:fldChar w:fldCharType="end"/>
      </w:r>
      <w:r w:rsidR="005A72D9">
        <w:rPr>
          <w:rFonts w:ascii="Arial" w:eastAsia="Times New Roman" w:hAnsi="Arial" w:cs="Arial"/>
          <w:bdr w:val="none" w:sz="0" w:space="0" w:color="auto"/>
          <w:lang w:eastAsia="en-GB"/>
        </w:rPr>
        <w:t>.</w:t>
      </w:r>
      <w:r w:rsidRPr="00AA4504">
        <w:rPr>
          <w:rFonts w:ascii="Arial" w:eastAsia="Times New Roman" w:hAnsi="Arial" w:cs="Arial"/>
          <w:bdr w:val="none" w:sz="0" w:space="0" w:color="auto"/>
          <w:lang w:eastAsia="en-GB"/>
        </w:rPr>
        <w:t xml:space="preserve"> The pivotal role of CD44 in inflammation regulation is evident in </w:t>
      </w:r>
      <w:r w:rsidRPr="00AA4504">
        <w:rPr>
          <w:rFonts w:ascii="Arial" w:eastAsia="Times New Roman" w:hAnsi="Arial" w:cs="Arial"/>
          <w:i/>
          <w:iCs/>
          <w:bdr w:val="none" w:sz="0" w:space="0" w:color="auto"/>
          <w:lang w:eastAsia="en-GB"/>
        </w:rPr>
        <w:t>in vivo</w:t>
      </w:r>
      <w:r w:rsidRPr="00AA4504">
        <w:rPr>
          <w:rFonts w:ascii="Arial" w:eastAsia="Times New Roman" w:hAnsi="Arial" w:cs="Arial"/>
          <w:bdr w:val="none" w:sz="0" w:space="0" w:color="auto"/>
          <w:lang w:eastAsia="en-GB"/>
        </w:rPr>
        <w:t xml:space="preserve"> models: anti-CD44 interventions suppressed collagen-induced arthritis and ameliorated dermal lesions in murine atopic dermatitis, highlighting its therapeutic potential</w:t>
      </w:r>
      <w:r w:rsidR="00F65BD7">
        <w:rPr>
          <w:rFonts w:ascii="Arial" w:eastAsia="Times New Roman" w:hAnsi="Arial" w:cs="Arial"/>
          <w:bdr w:val="none" w:sz="0" w:space="0" w:color="auto"/>
          <w:lang w:eastAsia="en-GB"/>
        </w:rPr>
        <w:t>.</w:t>
      </w:r>
    </w:p>
    <w:p w14:paraId="555DF384" w14:textId="77777777" w:rsidR="00A6153B" w:rsidRPr="00AA4504" w:rsidRDefault="009C2C48" w:rsidP="00A615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480" w:lineRule="auto"/>
        <w:jc w:val="both"/>
        <w:rPr>
          <w:rFonts w:ascii="Arial" w:eastAsia="Times New Roman" w:hAnsi="Arial" w:cs="Arial"/>
          <w:bdr w:val="none" w:sz="0" w:space="0" w:color="auto"/>
          <w:lang w:eastAsia="en-GB"/>
        </w:rPr>
      </w:pPr>
      <w:r>
        <w:rPr>
          <w:rFonts w:ascii="Arial" w:eastAsia="Times New Roman" w:hAnsi="Arial" w:cs="Arial"/>
          <w:bdr w:val="none" w:sz="0" w:space="0" w:color="auto"/>
          <w:lang w:eastAsia="en-GB"/>
        </w:rPr>
        <w:t xml:space="preserve">After </w:t>
      </w:r>
      <w:r w:rsidR="00294ED0">
        <w:rPr>
          <w:rFonts w:ascii="Arial" w:eastAsia="Times New Roman" w:hAnsi="Arial" w:cs="Arial"/>
          <w:bdr w:val="none" w:sz="0" w:space="0" w:color="auto"/>
          <w:lang w:eastAsia="en-GB"/>
        </w:rPr>
        <w:t>injection</w:t>
      </w:r>
      <w:r>
        <w:rPr>
          <w:rFonts w:ascii="Arial" w:eastAsia="Times New Roman" w:hAnsi="Arial" w:cs="Arial"/>
          <w:bdr w:val="none" w:sz="0" w:space="0" w:color="auto"/>
          <w:lang w:eastAsia="en-GB"/>
        </w:rPr>
        <w:t xml:space="preserve"> i</w:t>
      </w:r>
      <w:r w:rsidR="00AA4504" w:rsidRPr="00AA4504">
        <w:rPr>
          <w:rFonts w:ascii="Arial" w:eastAsia="Times New Roman" w:hAnsi="Arial" w:cs="Arial"/>
          <w:bdr w:val="none" w:sz="0" w:space="0" w:color="auto"/>
          <w:lang w:eastAsia="en-GB"/>
        </w:rPr>
        <w:t xml:space="preserve">n healthy tissues, high-molecular-weight HA (HMW-HA) </w:t>
      </w:r>
      <w:r w:rsidR="00BF12D3">
        <w:rPr>
          <w:rFonts w:ascii="Arial" w:eastAsia="Times New Roman" w:hAnsi="Arial" w:cs="Arial"/>
          <w:bdr w:val="none" w:sz="0" w:space="0" w:color="auto"/>
          <w:lang w:eastAsia="en-GB"/>
        </w:rPr>
        <w:t>can lead to</w:t>
      </w:r>
      <w:r w:rsidR="00AA4504" w:rsidRPr="00AA4504">
        <w:rPr>
          <w:rFonts w:ascii="Arial" w:eastAsia="Times New Roman" w:hAnsi="Arial" w:cs="Arial"/>
          <w:bdr w:val="none" w:sz="0" w:space="0" w:color="auto"/>
          <w:lang w:eastAsia="en-GB"/>
        </w:rPr>
        <w:t xml:space="preserve"> potent anti-inflammatory effects. HMW-HA suppresses proinflammatory mediators such as IL-1β, IL-8, IL-17, TNF-α, and matrix metalloproteinases (MMPs) by inhibiting TLR </w:t>
      </w:r>
      <w:r w:rsidR="00DD3539" w:rsidRPr="00AA4504">
        <w:rPr>
          <w:rFonts w:ascii="Arial" w:eastAsia="Times New Roman" w:hAnsi="Arial" w:cs="Arial"/>
          <w:bdr w:val="none" w:sz="0" w:space="0" w:color="auto"/>
          <w:lang w:eastAsia="en-GB"/>
        </w:rPr>
        <w:t>signalling</w:t>
      </w:r>
      <w:r w:rsidR="00AA4504" w:rsidRPr="00AA4504">
        <w:rPr>
          <w:rFonts w:ascii="Arial" w:eastAsia="Times New Roman" w:hAnsi="Arial" w:cs="Arial"/>
          <w:bdr w:val="none" w:sz="0" w:space="0" w:color="auto"/>
          <w:lang w:eastAsia="en-GB"/>
        </w:rPr>
        <w:t xml:space="preserve"> and NF-</w:t>
      </w:r>
      <w:proofErr w:type="spellStart"/>
      <w:r w:rsidR="00AA4504" w:rsidRPr="00AA4504">
        <w:rPr>
          <w:rFonts w:ascii="Arial" w:eastAsia="Times New Roman" w:hAnsi="Arial" w:cs="Arial"/>
          <w:bdr w:val="none" w:sz="0" w:space="0" w:color="auto"/>
          <w:lang w:eastAsia="en-GB"/>
        </w:rPr>
        <w:t>κB</w:t>
      </w:r>
      <w:proofErr w:type="spellEnd"/>
      <w:r w:rsidR="00AA4504" w:rsidRPr="00AA4504">
        <w:rPr>
          <w:rFonts w:ascii="Arial" w:eastAsia="Times New Roman" w:hAnsi="Arial" w:cs="Arial"/>
          <w:bdr w:val="none" w:sz="0" w:space="0" w:color="auto"/>
          <w:lang w:eastAsia="en-GB"/>
        </w:rPr>
        <w:t xml:space="preserve"> activation</w:t>
      </w:r>
      <w:r w:rsidR="005825B4">
        <w:rPr>
          <w:rFonts w:ascii="Arial" w:eastAsia="Times New Roman" w:hAnsi="Arial" w:cs="Arial"/>
          <w:bdr w:val="none" w:sz="0" w:space="0" w:color="auto"/>
          <w:lang w:eastAsia="en-GB"/>
        </w:rPr>
        <w:t xml:space="preserve"> </w:t>
      </w:r>
      <w:r w:rsidR="005825B4">
        <w:rPr>
          <w:rFonts w:ascii="Arial" w:eastAsia="Times New Roman" w:hAnsi="Arial" w:cs="Arial"/>
          <w:bdr w:val="none" w:sz="0" w:space="0" w:color="auto"/>
          <w:lang w:eastAsia="en-GB"/>
        </w:rPr>
        <w:fldChar w:fldCharType="begin"/>
      </w:r>
      <w:r w:rsidR="005825B4">
        <w:rPr>
          <w:rFonts w:ascii="Arial" w:eastAsia="Times New Roman" w:hAnsi="Arial" w:cs="Arial"/>
          <w:bdr w:val="none" w:sz="0" w:space="0" w:color="auto"/>
          <w:lang w:eastAsia="en-GB"/>
        </w:rPr>
        <w:instrText xml:space="preserve"> ADDIN ZOTERO_ITEM CSL_CITATION {"citationID":"gu2HGrCn","properties":{"formattedCitation":"(Petrey &amp; de la Motte, 2014)","plainCitation":"(Petrey &amp; de la Motte, 2014)","noteIndex":0},"citationItems":[{"id":7942,"uris":["http://zotero.org/users/2543086/items/DEK6S3DG"],"itemData":{"id":7942,"type":"article-journal","abstract":"Hyaluronan (HA), a major component of the extracellular matrix (ECM), plays a key role in regulating inflammation. Inflammation is associated with accumulation and turnover of HA polymers by multiple cell types. Increasingly through the years, HA has become recognized as an active participant in inflammatory, angiogenic, fibrotic, and cancer promoting processes. HA and its binding proteins regulate the expression of inflammatory genes, the recruitment of inflammatory cells, the release of inflammatory cytokines, and can attenuate the course of inflammation, providing protection against tissue damage. A growing body of evidence suggests the cell responses are HA molecular weight dependent. HA fragments generated by multiple mechanisms throughout the course of inflammatory pathologies, elicit cellular responses distinct from intact HA. This review focuses on the role of HA in the promotion and resolution of inflammation.","container-title":"Frontiers in Immunology","DOI":"10.3389/fimmu.2014.00101","ISSN":"1664-3224","journalAbbreviation":"Front. Immunol.","language":"English","note":"publisher: Frontiers","source":"Frontiers","title":"Hyaluronan, a Crucial Regulator of Inflammation","URL":"https://www.frontiersin.orghttps://www.frontiersin.org/journals/immunology/articles/10.3389/fimmu.2014.00101/full","volume":"5","author":[{"family":"Petrey","given":"Aaron C."},{"family":"Motte","given":"Carol A.","non-dropping-particle":"de la"}],"accessed":{"date-parts":[["2025",5,11]]},"issued":{"date-parts":[["2014",3,11]]}}}],"schema":"https://github.com/citation-style-language/schema/raw/master/csl-citation.json"} </w:instrText>
      </w:r>
      <w:r w:rsidR="005825B4">
        <w:rPr>
          <w:rFonts w:ascii="Arial" w:eastAsia="Times New Roman" w:hAnsi="Arial" w:cs="Arial"/>
          <w:bdr w:val="none" w:sz="0" w:space="0" w:color="auto"/>
          <w:lang w:eastAsia="en-GB"/>
        </w:rPr>
        <w:fldChar w:fldCharType="separate"/>
      </w:r>
      <w:r w:rsidR="005825B4">
        <w:rPr>
          <w:rFonts w:ascii="Arial" w:eastAsia="Times New Roman" w:hAnsi="Arial" w:cs="Arial"/>
          <w:noProof/>
          <w:bdr w:val="none" w:sz="0" w:space="0" w:color="auto"/>
          <w:lang w:eastAsia="en-GB"/>
        </w:rPr>
        <w:t>(Petrey &amp; de la Motte, 2014)</w:t>
      </w:r>
      <w:r w:rsidR="005825B4">
        <w:rPr>
          <w:rFonts w:ascii="Arial" w:eastAsia="Times New Roman" w:hAnsi="Arial" w:cs="Arial"/>
          <w:bdr w:val="none" w:sz="0" w:space="0" w:color="auto"/>
          <w:lang w:eastAsia="en-GB"/>
        </w:rPr>
        <w:fldChar w:fldCharType="end"/>
      </w:r>
      <w:r w:rsidR="005825B4">
        <w:rPr>
          <w:rFonts w:ascii="Arial" w:eastAsia="Times New Roman" w:hAnsi="Arial" w:cs="Arial"/>
          <w:bdr w:val="none" w:sz="0" w:space="0" w:color="auto"/>
          <w:lang w:eastAsia="en-GB"/>
        </w:rPr>
        <w:t>.</w:t>
      </w:r>
      <w:r w:rsidR="00AA4504" w:rsidRPr="00AA4504">
        <w:rPr>
          <w:rFonts w:ascii="Arial" w:eastAsia="Times New Roman" w:hAnsi="Arial" w:cs="Arial"/>
          <w:bdr w:val="none" w:sz="0" w:space="0" w:color="auto"/>
          <w:lang w:eastAsia="en-GB"/>
        </w:rPr>
        <w:t xml:space="preserve"> It also modulates macrophage polarization, promoting an anti-inflammatory </w:t>
      </w:r>
      <w:r w:rsidR="003F6ABB">
        <w:rPr>
          <w:rFonts w:ascii="Arial" w:eastAsia="Times New Roman" w:hAnsi="Arial" w:cs="Arial"/>
          <w:bdr w:val="none" w:sz="0" w:space="0" w:color="auto"/>
          <w:lang w:eastAsia="en-GB"/>
        </w:rPr>
        <w:t>(</w:t>
      </w:r>
      <w:r w:rsidR="00AA4504" w:rsidRPr="00AA4504">
        <w:rPr>
          <w:rFonts w:ascii="Arial" w:eastAsia="Times New Roman" w:hAnsi="Arial" w:cs="Arial"/>
          <w:bdr w:val="none" w:sz="0" w:space="0" w:color="auto"/>
          <w:lang w:eastAsia="en-GB"/>
        </w:rPr>
        <w:t>M2</w:t>
      </w:r>
      <w:r w:rsidR="003F6ABB">
        <w:rPr>
          <w:rFonts w:ascii="Arial" w:eastAsia="Times New Roman" w:hAnsi="Arial" w:cs="Arial"/>
          <w:bdr w:val="none" w:sz="0" w:space="0" w:color="auto"/>
          <w:lang w:eastAsia="en-GB"/>
        </w:rPr>
        <w:t>)</w:t>
      </w:r>
      <w:r w:rsidR="00AA4504" w:rsidRPr="00AA4504">
        <w:rPr>
          <w:rFonts w:ascii="Arial" w:eastAsia="Times New Roman" w:hAnsi="Arial" w:cs="Arial"/>
          <w:bdr w:val="none" w:sz="0" w:space="0" w:color="auto"/>
          <w:lang w:eastAsia="en-GB"/>
        </w:rPr>
        <w:t xml:space="preserve"> phenotype characterized by reduced TNF-α and IL-6 secretion and enhanced tissue repair functions</w:t>
      </w:r>
      <w:r w:rsidR="00F74F5E">
        <w:rPr>
          <w:rFonts w:ascii="Arial" w:eastAsia="Times New Roman" w:hAnsi="Arial" w:cs="Arial"/>
          <w:bdr w:val="none" w:sz="0" w:space="0" w:color="auto"/>
          <w:lang w:eastAsia="en-GB"/>
        </w:rPr>
        <w:t>.</w:t>
      </w:r>
      <w:r w:rsidR="00AA4504" w:rsidRPr="00AA4504">
        <w:rPr>
          <w:rFonts w:ascii="Arial" w:eastAsia="Times New Roman" w:hAnsi="Arial" w:cs="Arial"/>
          <w:bdr w:val="none" w:sz="0" w:space="0" w:color="auto"/>
          <w:lang w:eastAsia="en-GB"/>
        </w:rPr>
        <w:t xml:space="preserve"> Conversely, LMW-HA fragments activate TLR4/MyD88 pathways, driving proinflammatory </w:t>
      </w:r>
      <w:r w:rsidR="00AE00E3">
        <w:rPr>
          <w:rFonts w:ascii="Arial" w:eastAsia="Times New Roman" w:hAnsi="Arial" w:cs="Arial"/>
          <w:bdr w:val="none" w:sz="0" w:space="0" w:color="auto"/>
          <w:lang w:eastAsia="en-GB"/>
        </w:rPr>
        <w:t>(</w:t>
      </w:r>
      <w:r w:rsidR="00AA4504" w:rsidRPr="00AA4504">
        <w:rPr>
          <w:rFonts w:ascii="Arial" w:eastAsia="Times New Roman" w:hAnsi="Arial" w:cs="Arial"/>
          <w:bdr w:val="none" w:sz="0" w:space="0" w:color="auto"/>
          <w:lang w:eastAsia="en-GB"/>
        </w:rPr>
        <w:t>M1</w:t>
      </w:r>
      <w:r w:rsidR="00AE00E3">
        <w:rPr>
          <w:rFonts w:ascii="Arial" w:eastAsia="Times New Roman" w:hAnsi="Arial" w:cs="Arial"/>
          <w:bdr w:val="none" w:sz="0" w:space="0" w:color="auto"/>
          <w:lang w:eastAsia="en-GB"/>
        </w:rPr>
        <w:t>)</w:t>
      </w:r>
      <w:r w:rsidR="00AA4504" w:rsidRPr="00AA4504">
        <w:rPr>
          <w:rFonts w:ascii="Arial" w:eastAsia="Times New Roman" w:hAnsi="Arial" w:cs="Arial"/>
          <w:bdr w:val="none" w:sz="0" w:space="0" w:color="auto"/>
          <w:lang w:eastAsia="en-GB"/>
        </w:rPr>
        <w:t xml:space="preserve"> macrophage activation and perpetuating inflammation</w:t>
      </w:r>
      <w:r w:rsidR="00A6153B">
        <w:rPr>
          <w:rFonts w:ascii="Arial" w:eastAsia="Times New Roman" w:hAnsi="Arial" w:cs="Arial"/>
          <w:bdr w:val="none" w:sz="0" w:space="0" w:color="auto"/>
          <w:lang w:eastAsia="en-GB"/>
        </w:rPr>
        <w:t>.</w:t>
      </w:r>
      <w:r w:rsidR="00E70F0C">
        <w:rPr>
          <w:rFonts w:ascii="Arial" w:eastAsia="Times New Roman" w:hAnsi="Arial" w:cs="Arial"/>
          <w:bdr w:val="none" w:sz="0" w:space="0" w:color="auto"/>
          <w:lang w:eastAsia="en-GB"/>
        </w:rPr>
        <w:t xml:space="preserve"> </w:t>
      </w:r>
      <w:r w:rsidR="00AA4504" w:rsidRPr="00AA4504">
        <w:rPr>
          <w:rFonts w:ascii="Arial" w:eastAsia="Times New Roman" w:hAnsi="Arial" w:cs="Arial"/>
          <w:bdr w:val="none" w:sz="0" w:space="0" w:color="auto"/>
          <w:lang w:eastAsia="en-GB"/>
        </w:rPr>
        <w:t>Thus, the balance between HMW-HA and LMW-HA is crucial for immune regulation. While HMW-HA maintains tissue integrity and resolves inflammation, LMW-HA accumulation signals tissue disruption and fuels chronic inflammatory responses</w:t>
      </w:r>
      <w:r w:rsidR="00A6153B">
        <w:rPr>
          <w:rFonts w:ascii="Arial" w:eastAsia="Times New Roman" w:hAnsi="Arial" w:cs="Arial"/>
          <w:bdr w:val="none" w:sz="0" w:space="0" w:color="auto"/>
          <w:lang w:eastAsia="en-GB"/>
        </w:rPr>
        <w:t xml:space="preserve"> </w:t>
      </w:r>
      <w:r w:rsidR="00A6153B">
        <w:rPr>
          <w:rFonts w:ascii="Arial" w:eastAsia="Times New Roman" w:hAnsi="Arial" w:cs="Arial"/>
          <w:bdr w:val="none" w:sz="0" w:space="0" w:color="auto"/>
          <w:lang w:eastAsia="en-GB"/>
        </w:rPr>
        <w:fldChar w:fldCharType="begin"/>
      </w:r>
      <w:r w:rsidR="00A6153B">
        <w:rPr>
          <w:rFonts w:ascii="Arial" w:eastAsia="Times New Roman" w:hAnsi="Arial" w:cs="Arial"/>
          <w:bdr w:val="none" w:sz="0" w:space="0" w:color="auto"/>
          <w:lang w:eastAsia="en-GB"/>
        </w:rPr>
        <w:instrText xml:space="preserve"> ADDIN ZOTERO_ITEM CSL_CITATION {"citationID":"h2SOMp0X","properties":{"formattedCitation":"(Oates et al., 2024)","plainCitation":"(Oates et al., 2024)","noteIndex":0},"citationItems":[{"id":7944,"uris":["http://zotero.org/users/2543086/items/AZ68KA8S"],"itemData":{"id":7944,"type":"article-journal","abstract":"Macrophages are key modulators of immunity, tissue homeostasis and disease development. As our understanding of macrophage biology and their tissue specific behaviors grow the necessity to model macrophages within a 3D biomimetic environment becomes increasingly apparent. Numerous hydrogels have been developed and explored for this purpose, extracellular matrix (ECM) mimicking hydrogels gaining a special interest. In this study, we present the use of such a hydrogel composed of collagen and hyaluronic acid (HA), two of the major ECM components, for the 3D culture of macrophages to model their role in different tissues and diseases. We demonstrate the ability to tailor the mechanical properties of the hydrogel through formulation modulation. Human macrophages retain morphology, viability, and expression of key cell surface markers when 3D cultured within the hydrogel. Interestingly, we demonstrate in this work, that independent of mechanical properties, by adjusting the composition of the hydrogel, specifically HA molecular weight, we can steer macrophage polarization towards either a pro-inflammatory or anti-inflammatory phenotype. This HA-dependent modulation of macrophage behavior is nullified if the HA is chemically crosslinked, shedding light on the impact of one of the most commonly used preparation methods for collagen-HA hydrogels on macrophage behavior.\nDownload figureOpen in new tabGraphical abstractHyaluronic acid (HA) is an extracellular matrix component, which can modulate the polarization of macrophages. The chemical crosslinking of HA to hydrogel scaffolds counteracts the cell signaling role of this molecule, preventing HA from modulating the immune polarization of macrophages within the model.\nKey pointsCollagen-HA hydrogels form suitable biomimetic niches for the 3D culture of human macrophages in which hydrogel composition modulates macrophage phenotype, specifically the presence and molecular weight of HA.Polarization of macrophage phenotype by HA is nullified if HA is chemically cross-linked within the hydrogel.","DOI":"10.1101/2024.04.10.588451","language":"en","license":"© 2024, Posted by Cold Spring Harbor Laboratory. The copyright holder for this pre-print is the author. All rights reserved. The material may not be redistributed, re-used or adapted without the author's permission.","note":"page: 2024.04.10.588451\nsection: New Results","source":"bioRxiv","title":"The Immobilization of Hyaluronic Acid in 3D Hydrogel Scaffolds Modulates Macrophage Polarization","URL":"https://www.biorxiv.org/content/10.1101/2024.04.10.588451v1","author":[{"family":"Oates","given":"Tiah CL"},{"family":"Boyd","given":"Jasmin"},{"family":"Dolan","given":"Louise"},{"family":"Kergariou","given":"C.","dropping-particle":"de"},{"family":"Toye","given":"Ash"},{"family":"Perriman","given":"Adam W."},{"family":"Boussahel","given":"Asme"}],"accessed":{"date-parts":[["2025",5,11]]},"issued":{"date-parts":[["2024",4,13]]}}}],"schema":"https://github.com/citation-style-language/schema/raw/master/csl-citation.json"} </w:instrText>
      </w:r>
      <w:r w:rsidR="00A6153B">
        <w:rPr>
          <w:rFonts w:ascii="Arial" w:eastAsia="Times New Roman" w:hAnsi="Arial" w:cs="Arial"/>
          <w:bdr w:val="none" w:sz="0" w:space="0" w:color="auto"/>
          <w:lang w:eastAsia="en-GB"/>
        </w:rPr>
        <w:fldChar w:fldCharType="separate"/>
      </w:r>
      <w:r w:rsidR="00A6153B">
        <w:rPr>
          <w:rFonts w:ascii="Arial" w:eastAsia="Times New Roman" w:hAnsi="Arial" w:cs="Arial"/>
          <w:noProof/>
          <w:bdr w:val="none" w:sz="0" w:space="0" w:color="auto"/>
          <w:lang w:eastAsia="en-GB"/>
        </w:rPr>
        <w:t>(Oates et al., 2024)</w:t>
      </w:r>
      <w:r w:rsidR="00A6153B">
        <w:rPr>
          <w:rFonts w:ascii="Arial" w:eastAsia="Times New Roman" w:hAnsi="Arial" w:cs="Arial"/>
          <w:bdr w:val="none" w:sz="0" w:space="0" w:color="auto"/>
          <w:lang w:eastAsia="en-GB"/>
        </w:rPr>
        <w:fldChar w:fldCharType="end"/>
      </w:r>
      <w:r w:rsidR="00A6153B">
        <w:rPr>
          <w:rFonts w:ascii="Arial" w:eastAsia="Times New Roman" w:hAnsi="Arial" w:cs="Arial"/>
          <w:bdr w:val="none" w:sz="0" w:space="0" w:color="auto"/>
          <w:lang w:eastAsia="en-GB"/>
        </w:rPr>
        <w:t>.</w:t>
      </w:r>
    </w:p>
    <w:p w14:paraId="1053F95B" w14:textId="77777777" w:rsidR="003A035D" w:rsidRPr="00AA4504" w:rsidRDefault="003A035D" w:rsidP="00087079">
      <w:pPr>
        <w:pStyle w:val="jbd-alamat"/>
        <w:rPr>
          <w:rFonts w:eastAsia="Helvetica"/>
          <w:color w:val="000000" w:themeColor="text1"/>
          <w:lang w:val="en-GB"/>
        </w:rPr>
      </w:pPr>
    </w:p>
    <w:p w14:paraId="0091C8D7" w14:textId="77777777" w:rsidR="00D0645C" w:rsidRPr="00662E86" w:rsidRDefault="00D0645C" w:rsidP="004D6FA0">
      <w:pPr>
        <w:pStyle w:val="jbd-alamat"/>
        <w:rPr>
          <w:rFonts w:eastAsia="Helvetica"/>
          <w:b/>
          <w:bCs/>
          <w:color w:val="000000" w:themeColor="text1"/>
          <w:lang w:val="en-GB"/>
        </w:rPr>
      </w:pPr>
      <w:r w:rsidRPr="00662E86">
        <w:rPr>
          <w:b/>
          <w:bCs/>
          <w:color w:val="000000" w:themeColor="text1"/>
          <w:lang w:val="en-GB"/>
        </w:rPr>
        <w:t>Biofilm Components</w:t>
      </w:r>
    </w:p>
    <w:p w14:paraId="73D29D18" w14:textId="77777777" w:rsidR="00D0645C" w:rsidRPr="005873C3" w:rsidRDefault="005F6698" w:rsidP="00E21E0C">
      <w:pPr>
        <w:pStyle w:val="jbd-alamat"/>
        <w:rPr>
          <w:color w:val="000000" w:themeColor="text1"/>
          <w:lang w:val="en-GB"/>
        </w:rPr>
      </w:pPr>
      <w:r>
        <w:rPr>
          <w:color w:val="000000" w:themeColor="text1"/>
          <w:lang w:val="en-GB"/>
        </w:rPr>
        <w:t>Establishing m</w:t>
      </w:r>
      <w:r w:rsidR="00834426">
        <w:rPr>
          <w:color w:val="000000" w:themeColor="text1"/>
          <w:lang w:val="en-GB"/>
        </w:rPr>
        <w:t xml:space="preserve">icrobial biofilm </w:t>
      </w:r>
      <w:r w:rsidR="005138F8" w:rsidRPr="005138F8">
        <w:rPr>
          <w:color w:val="000000" w:themeColor="text1"/>
          <w:lang w:val="en-GB"/>
        </w:rPr>
        <w:t xml:space="preserve">suggests </w:t>
      </w:r>
      <w:r w:rsidR="00834426">
        <w:rPr>
          <w:color w:val="000000" w:themeColor="text1"/>
          <w:lang w:val="en-GB"/>
        </w:rPr>
        <w:t xml:space="preserve">another </w:t>
      </w:r>
      <w:r w:rsidR="002A7269">
        <w:rPr>
          <w:color w:val="000000" w:themeColor="text1"/>
          <w:lang w:val="en-GB"/>
        </w:rPr>
        <w:t>way</w:t>
      </w:r>
      <w:r w:rsidR="00834426">
        <w:rPr>
          <w:color w:val="000000" w:themeColor="text1"/>
          <w:lang w:val="en-GB"/>
        </w:rPr>
        <w:t xml:space="preserve"> </w:t>
      </w:r>
      <w:r w:rsidR="00B24165">
        <w:rPr>
          <w:color w:val="000000" w:themeColor="text1"/>
          <w:lang w:val="en-GB"/>
        </w:rPr>
        <w:t>to evoke</w:t>
      </w:r>
      <w:r w:rsidR="005138F8" w:rsidRPr="005138F8">
        <w:rPr>
          <w:color w:val="000000" w:themeColor="text1"/>
          <w:lang w:val="en-GB"/>
        </w:rPr>
        <w:t xml:space="preserve"> the immune response to HA </w:t>
      </w:r>
      <w:r w:rsidR="006D41B5">
        <w:rPr>
          <w:color w:val="000000" w:themeColor="text1"/>
          <w:lang w:val="en-GB"/>
        </w:rPr>
        <w:t xml:space="preserve">leading to </w:t>
      </w:r>
      <w:r w:rsidR="00574B4B" w:rsidRPr="005138F8">
        <w:rPr>
          <w:color w:val="000000" w:themeColor="text1"/>
          <w:lang w:val="en-GB"/>
        </w:rPr>
        <w:t xml:space="preserve">introduced </w:t>
      </w:r>
      <w:r w:rsidR="005138F8" w:rsidRPr="005138F8">
        <w:rPr>
          <w:color w:val="000000" w:themeColor="text1"/>
          <w:lang w:val="en-GB"/>
        </w:rPr>
        <w:t xml:space="preserve">inflammation into tissues during injection. Biofilms </w:t>
      </w:r>
      <w:r w:rsidR="00F97634">
        <w:rPr>
          <w:color w:val="000000" w:themeColor="text1"/>
          <w:lang w:val="en-GB"/>
        </w:rPr>
        <w:t>contain</w:t>
      </w:r>
      <w:r w:rsidR="005138F8" w:rsidRPr="005138F8">
        <w:rPr>
          <w:color w:val="000000" w:themeColor="text1"/>
          <w:lang w:val="en-GB"/>
        </w:rPr>
        <w:t xml:space="preserve"> of </w:t>
      </w:r>
      <w:r w:rsidR="005311A9">
        <w:rPr>
          <w:color w:val="000000" w:themeColor="text1"/>
          <w:lang w:val="en-GB"/>
        </w:rPr>
        <w:t>microbial cells</w:t>
      </w:r>
      <w:r w:rsidR="005138F8" w:rsidRPr="005138F8">
        <w:rPr>
          <w:color w:val="000000" w:themeColor="text1"/>
          <w:lang w:val="en-GB"/>
        </w:rPr>
        <w:t>, nutrients, and metabolic products</w:t>
      </w:r>
      <w:r w:rsidR="00E30C51">
        <w:rPr>
          <w:color w:val="000000" w:themeColor="text1"/>
          <w:lang w:val="en-GB"/>
        </w:rPr>
        <w:t>.</w:t>
      </w:r>
      <w:r w:rsidR="005138F8" w:rsidRPr="005138F8">
        <w:rPr>
          <w:color w:val="000000" w:themeColor="text1"/>
          <w:lang w:val="en-GB"/>
        </w:rPr>
        <w:t xml:space="preserve"> </w:t>
      </w:r>
      <w:r w:rsidR="00E30C51">
        <w:rPr>
          <w:color w:val="000000" w:themeColor="text1"/>
          <w:lang w:val="en-GB"/>
        </w:rPr>
        <w:t xml:space="preserve">Promoting microbial </w:t>
      </w:r>
      <w:r w:rsidR="005A58F9">
        <w:rPr>
          <w:color w:val="000000" w:themeColor="text1"/>
          <w:lang w:val="en-GB"/>
        </w:rPr>
        <w:t xml:space="preserve">biofilms </w:t>
      </w:r>
      <w:r w:rsidR="00454F95">
        <w:rPr>
          <w:color w:val="000000" w:themeColor="text1"/>
          <w:lang w:val="en-GB"/>
        </w:rPr>
        <w:t>may</w:t>
      </w:r>
      <w:r w:rsidR="005138F8" w:rsidRPr="005138F8">
        <w:rPr>
          <w:color w:val="000000" w:themeColor="text1"/>
          <w:lang w:val="en-GB"/>
        </w:rPr>
        <w:t xml:space="preserve"> formed by </w:t>
      </w:r>
      <w:r w:rsidR="00025F26" w:rsidRPr="005138F8">
        <w:rPr>
          <w:color w:val="000000" w:themeColor="text1"/>
          <w:lang w:val="en-GB"/>
        </w:rPr>
        <w:t>non-pathogenic</w:t>
      </w:r>
      <w:r w:rsidR="005138F8" w:rsidRPr="005138F8">
        <w:rPr>
          <w:color w:val="000000" w:themeColor="text1"/>
          <w:lang w:val="en-GB"/>
        </w:rPr>
        <w:t xml:space="preserve"> species that naturally inhabit healthy skin and mucous membranes-such as </w:t>
      </w:r>
      <w:proofErr w:type="spellStart"/>
      <w:r w:rsidR="005138F8" w:rsidRPr="00025F26">
        <w:rPr>
          <w:i/>
          <w:iCs/>
          <w:color w:val="000000" w:themeColor="text1"/>
          <w:lang w:val="en-GB"/>
        </w:rPr>
        <w:t>Cutibacterium</w:t>
      </w:r>
      <w:proofErr w:type="spellEnd"/>
      <w:r w:rsidR="005138F8" w:rsidRPr="005138F8">
        <w:rPr>
          <w:color w:val="000000" w:themeColor="text1"/>
          <w:lang w:val="en-GB"/>
        </w:rPr>
        <w:t xml:space="preserve"> </w:t>
      </w:r>
      <w:r w:rsidR="005138F8" w:rsidRPr="00025F26">
        <w:rPr>
          <w:i/>
          <w:iCs/>
          <w:color w:val="000000" w:themeColor="text1"/>
          <w:lang w:val="en-GB"/>
        </w:rPr>
        <w:t>acnes</w:t>
      </w:r>
      <w:r w:rsidR="005138F8" w:rsidRPr="005138F8">
        <w:rPr>
          <w:color w:val="000000" w:themeColor="text1"/>
          <w:lang w:val="en-GB"/>
        </w:rPr>
        <w:t xml:space="preserve">, </w:t>
      </w:r>
      <w:r w:rsidR="005138F8" w:rsidRPr="00025F26">
        <w:rPr>
          <w:i/>
          <w:iCs/>
          <w:color w:val="000000" w:themeColor="text1"/>
          <w:lang w:val="en-GB"/>
        </w:rPr>
        <w:t>Streptococcus</w:t>
      </w:r>
      <w:r w:rsidR="005138F8" w:rsidRPr="005138F8">
        <w:rPr>
          <w:color w:val="000000" w:themeColor="text1"/>
          <w:lang w:val="en-GB"/>
        </w:rPr>
        <w:t xml:space="preserve"> </w:t>
      </w:r>
      <w:proofErr w:type="spellStart"/>
      <w:r w:rsidR="005138F8" w:rsidRPr="00025F26">
        <w:rPr>
          <w:i/>
          <w:iCs/>
          <w:color w:val="000000" w:themeColor="text1"/>
          <w:lang w:val="en-GB"/>
        </w:rPr>
        <w:t>oralis</w:t>
      </w:r>
      <w:proofErr w:type="spellEnd"/>
      <w:r w:rsidR="005138F8" w:rsidRPr="005138F8">
        <w:rPr>
          <w:color w:val="000000" w:themeColor="text1"/>
          <w:lang w:val="en-GB"/>
        </w:rPr>
        <w:t xml:space="preserve">, and </w:t>
      </w:r>
      <w:r w:rsidR="005138F8" w:rsidRPr="00507D83">
        <w:rPr>
          <w:i/>
          <w:iCs/>
          <w:color w:val="000000" w:themeColor="text1"/>
          <w:lang w:val="en-GB"/>
        </w:rPr>
        <w:t>Staphylococcus</w:t>
      </w:r>
      <w:r w:rsidR="005138F8" w:rsidRPr="005138F8">
        <w:rPr>
          <w:color w:val="000000" w:themeColor="text1"/>
          <w:lang w:val="en-GB"/>
        </w:rPr>
        <w:t xml:space="preserve"> </w:t>
      </w:r>
      <w:r w:rsidR="005138F8" w:rsidRPr="00507D83">
        <w:rPr>
          <w:i/>
          <w:iCs/>
          <w:color w:val="000000" w:themeColor="text1"/>
          <w:lang w:val="en-GB"/>
        </w:rPr>
        <w:lastRenderedPageBreak/>
        <w:t>epidermidis</w:t>
      </w:r>
      <w:r w:rsidR="005138F8" w:rsidRPr="005138F8">
        <w:rPr>
          <w:color w:val="000000" w:themeColor="text1"/>
          <w:lang w:val="en-GB"/>
        </w:rPr>
        <w:t xml:space="preserve"> </w:t>
      </w:r>
      <w:r w:rsidR="00D0645C" w:rsidRPr="005873C3">
        <w:rPr>
          <w:color w:val="000000" w:themeColor="text1"/>
          <w:lang w:val="en-GB"/>
        </w:rPr>
        <w:fldChar w:fldCharType="begin"/>
      </w:r>
      <w:r w:rsidR="00124BB1">
        <w:rPr>
          <w:color w:val="000000" w:themeColor="text1"/>
          <w:lang w:val="en-GB"/>
        </w:rPr>
        <w:instrText xml:space="preserve"> ADDIN ZOTERO_ITEM CSL_CITATION {"citationID":"tA4qwGSz","properties":{"formattedCitation":"(DUMITRA\\uc0\\u350{}CU &amp; GEORGESCU, 2013)","plainCitation":"(DUMITRAŞCU &amp; GEORGESCU, 2013)","dontUpdate":true,"noteIndex":0},"citationItems":[{"id":5428,"uris":["http://zotero.org/users/2543086/items/LPW48NNJ"],"itemData":{"id":5428,"type":"article-journal","abstract":"Background and aim\nOne of the most popular procedures of facial fillers in recent years has become the use of hyaluronic acid (HA). However, this method may be associated with local side effects of different severity. Many of them are not due to allergies, as previously believed, but to the formation of biofilm. We review the current knowledge on biofilm after HA.\n\nMethods\nAll pertinent full text papers retrieved from PubMed under search words: “biofilm”, “hyaluronic acid”, “dermal fillers”, “hyaluronic acid complications” and “hyaluronic acid side effects” were analyzed; 29 of 60 articles were selected fro analysis.\n\nResults\nLocal infections were reported: 13 cases are attributable to the activation of the biofilm. Clinical evolution is generally mild. Therapy should avoid NSAID and is based on the administration of antibiotics, oral corticosteroids, or 5-Flourouracil. Removal of HA with hyaluronidase has also been proposed.\n\nConclusions\nThe use of HA in cosmetic procedures might be accompanied by local adverse effects attributable to biofilm formation. This usually has a mild evolution, but in special cases requires specific therapy.","container-title":"Clujul Medical","ISSN":"1222-2119","issue":"3","journalAbbreviation":"Clujul Med","note":"PMID: 26527945\nPMCID: PMC4462513","page":"192-195","source":"PubMed Central","title":"The management of biofilm formation after hyaluronic acid gel filler injections: a review","title-short":"The management of biofilm formation after hyaluronic acid gel filler injections","volume":"86","author":[{"family":"DUMITRAŞCU","given":"DINU I."},{"family":"GEORGESCU","given":"ALEXANDRU V."}],"issued":{"date-parts":[["2013"]]}}}],"schema":"https://github.com/citation-style-language/schema/raw/master/csl-citation.json"} </w:instrText>
      </w:r>
      <w:r w:rsidR="00D0645C" w:rsidRPr="005873C3">
        <w:rPr>
          <w:color w:val="000000" w:themeColor="text1"/>
          <w:lang w:val="en-GB"/>
        </w:rPr>
        <w:fldChar w:fldCharType="separate"/>
      </w:r>
      <w:r w:rsidR="00D0645C" w:rsidRPr="005873C3">
        <w:rPr>
          <w:lang w:val="en-GB"/>
        </w:rPr>
        <w:t>(Dumitraşcu &amp; Georgescu, 2013)</w:t>
      </w:r>
      <w:r w:rsidR="00D0645C" w:rsidRPr="005873C3">
        <w:rPr>
          <w:color w:val="000000" w:themeColor="text1"/>
          <w:lang w:val="en-GB"/>
        </w:rPr>
        <w:fldChar w:fldCharType="end"/>
      </w:r>
      <w:r w:rsidR="00D0645C" w:rsidRPr="005873C3">
        <w:rPr>
          <w:color w:val="000000" w:themeColor="text1"/>
          <w:lang w:val="en-GB"/>
        </w:rPr>
        <w:t>.</w:t>
      </w:r>
      <w:r w:rsidR="00B04AF5">
        <w:rPr>
          <w:color w:val="000000" w:themeColor="text1"/>
          <w:lang w:val="en-GB"/>
        </w:rPr>
        <w:t xml:space="preserve"> </w:t>
      </w:r>
      <w:r w:rsidR="00373ACA" w:rsidRPr="00373ACA">
        <w:rPr>
          <w:color w:val="000000" w:themeColor="text1"/>
          <w:lang w:val="en-GB"/>
        </w:rPr>
        <w:t xml:space="preserve">Identifying the causative pathogen </w:t>
      </w:r>
      <w:r w:rsidR="008967B8">
        <w:rPr>
          <w:color w:val="000000" w:themeColor="text1"/>
          <w:lang w:val="en-GB"/>
        </w:rPr>
        <w:t xml:space="preserve">using classical </w:t>
      </w:r>
      <w:r w:rsidR="00373ACA" w:rsidRPr="00373ACA">
        <w:rPr>
          <w:color w:val="000000" w:themeColor="text1"/>
          <w:lang w:val="en-GB"/>
        </w:rPr>
        <w:t xml:space="preserve">laboratory </w:t>
      </w:r>
      <w:r w:rsidR="008967B8">
        <w:rPr>
          <w:color w:val="000000" w:themeColor="text1"/>
          <w:lang w:val="en-GB"/>
        </w:rPr>
        <w:t xml:space="preserve">technique such as </w:t>
      </w:r>
      <w:r w:rsidR="00373ACA" w:rsidRPr="00373ACA">
        <w:rPr>
          <w:color w:val="000000" w:themeColor="text1"/>
          <w:lang w:val="en-GB"/>
        </w:rPr>
        <w:t>cultur</w:t>
      </w:r>
      <w:r w:rsidR="008967B8">
        <w:rPr>
          <w:color w:val="000000" w:themeColor="text1"/>
          <w:lang w:val="en-GB"/>
        </w:rPr>
        <w:t>ing</w:t>
      </w:r>
      <w:r w:rsidR="00373ACA" w:rsidRPr="00373ACA">
        <w:rPr>
          <w:color w:val="000000" w:themeColor="text1"/>
          <w:lang w:val="en-GB"/>
        </w:rPr>
        <w:t xml:space="preserve"> is often challenging due to the organisms' slow growth rates and their propensity to form small colony variants. </w:t>
      </w:r>
      <w:r w:rsidR="00C551F2">
        <w:rPr>
          <w:color w:val="000000" w:themeColor="text1"/>
          <w:lang w:val="en-GB"/>
        </w:rPr>
        <w:t>Developing p</w:t>
      </w:r>
      <w:r w:rsidR="00373ACA" w:rsidRPr="00373ACA">
        <w:rPr>
          <w:color w:val="000000" w:themeColor="text1"/>
          <w:lang w:val="en-GB"/>
        </w:rPr>
        <w:t>athogen</w:t>
      </w:r>
      <w:r w:rsidR="00011B43">
        <w:rPr>
          <w:color w:val="000000" w:themeColor="text1"/>
          <w:lang w:val="en-GB"/>
        </w:rPr>
        <w:t>ic</w:t>
      </w:r>
      <w:r w:rsidR="00373ACA" w:rsidRPr="00373ACA">
        <w:rPr>
          <w:color w:val="000000" w:themeColor="text1"/>
          <w:lang w:val="en-GB"/>
        </w:rPr>
        <w:t xml:space="preserve"> biofilms</w:t>
      </w:r>
      <w:r w:rsidR="00C551F2">
        <w:rPr>
          <w:color w:val="000000" w:themeColor="text1"/>
          <w:lang w:val="en-GB"/>
        </w:rPr>
        <w:t xml:space="preserve"> </w:t>
      </w:r>
      <w:r w:rsidR="00373ACA" w:rsidRPr="00373ACA">
        <w:rPr>
          <w:color w:val="000000" w:themeColor="text1"/>
          <w:lang w:val="en-GB"/>
        </w:rPr>
        <w:t xml:space="preserve">significantly enhances </w:t>
      </w:r>
      <w:r w:rsidR="007F02A5">
        <w:rPr>
          <w:color w:val="000000" w:themeColor="text1"/>
          <w:lang w:val="en-GB"/>
        </w:rPr>
        <w:t>microbial</w:t>
      </w:r>
      <w:r w:rsidR="00373ACA" w:rsidRPr="00373ACA">
        <w:rPr>
          <w:color w:val="000000" w:themeColor="text1"/>
          <w:lang w:val="en-GB"/>
        </w:rPr>
        <w:t xml:space="preserve"> ability to evade the effects of antibiotics.</w:t>
      </w:r>
      <w:r w:rsidR="00E21E0C">
        <w:rPr>
          <w:color w:val="000000" w:themeColor="text1"/>
          <w:lang w:val="en-GB"/>
        </w:rPr>
        <w:t xml:space="preserve"> </w:t>
      </w:r>
      <w:r w:rsidR="003E138E">
        <w:rPr>
          <w:color w:val="000000" w:themeColor="text1"/>
          <w:lang w:val="en-GB"/>
        </w:rPr>
        <w:t>E</w:t>
      </w:r>
      <w:r w:rsidR="00F77D98" w:rsidRPr="00F77D98">
        <w:rPr>
          <w:color w:val="000000" w:themeColor="text1"/>
          <w:lang w:val="en-GB"/>
        </w:rPr>
        <w:t xml:space="preserve">xtracellular matrix </w:t>
      </w:r>
      <w:r w:rsidR="00081CDA">
        <w:rPr>
          <w:color w:val="000000" w:themeColor="text1"/>
          <w:lang w:val="en-GB"/>
        </w:rPr>
        <w:t xml:space="preserve">production </w:t>
      </w:r>
      <w:r w:rsidR="00F77D98" w:rsidRPr="00F77D98">
        <w:rPr>
          <w:color w:val="000000" w:themeColor="text1"/>
          <w:lang w:val="en-GB"/>
        </w:rPr>
        <w:t xml:space="preserve">composed of exopolysaccharides such as HA </w:t>
      </w:r>
      <w:r w:rsidR="00A84B8E">
        <w:rPr>
          <w:color w:val="000000" w:themeColor="text1"/>
          <w:lang w:val="en-GB"/>
        </w:rPr>
        <w:t>acts</w:t>
      </w:r>
      <w:r w:rsidR="00F77D98" w:rsidRPr="00F77D98">
        <w:rPr>
          <w:color w:val="000000" w:themeColor="text1"/>
          <w:lang w:val="en-GB"/>
        </w:rPr>
        <w:t xml:space="preserve"> as a protective mechanism against </w:t>
      </w:r>
      <w:r w:rsidR="00F3053D" w:rsidRPr="00F77D98">
        <w:rPr>
          <w:color w:val="000000" w:themeColor="text1"/>
          <w:lang w:val="en-GB"/>
        </w:rPr>
        <w:t xml:space="preserve">clearance </w:t>
      </w:r>
      <w:r w:rsidR="00F3053D">
        <w:rPr>
          <w:color w:val="000000" w:themeColor="text1"/>
          <w:lang w:val="en-GB"/>
        </w:rPr>
        <w:t xml:space="preserve">of microbial pathogens via </w:t>
      </w:r>
      <w:r w:rsidR="00F77D98" w:rsidRPr="00F77D98">
        <w:rPr>
          <w:color w:val="000000" w:themeColor="text1"/>
          <w:lang w:val="en-GB"/>
        </w:rPr>
        <w:t>phagocyt</w:t>
      </w:r>
      <w:r w:rsidR="0087373F">
        <w:rPr>
          <w:color w:val="000000" w:themeColor="text1"/>
          <w:lang w:val="en-GB"/>
        </w:rPr>
        <w:t>is</w:t>
      </w:r>
      <w:r w:rsidR="00F77D98" w:rsidRPr="00F77D98">
        <w:rPr>
          <w:color w:val="000000" w:themeColor="text1"/>
          <w:lang w:val="en-GB"/>
        </w:rPr>
        <w:t xml:space="preserve">, enabling certain bacteria to </w:t>
      </w:r>
      <w:r w:rsidR="003B5B3C">
        <w:rPr>
          <w:color w:val="000000" w:themeColor="text1"/>
          <w:lang w:val="en-GB"/>
        </w:rPr>
        <w:t>facilitate body invasion</w:t>
      </w:r>
      <w:r w:rsidR="00F77D98" w:rsidRPr="00F77D98">
        <w:rPr>
          <w:color w:val="000000" w:themeColor="text1"/>
          <w:lang w:val="en-GB"/>
        </w:rPr>
        <w:t>. These microorganisms can later be reactivated by external stimuli, triggering inflammatory cascades. Macrophages and multinucleated giant cells are typically observed near these pathogens, where they may be quickly mobilized to initiate inflammatory responses. Reactivation can occur through molecular mimicry of biofilm components by similar bacterial strains or via iatrogenic triggers such as subsequent cosmetic filler injections, which disrupt tissue integrity and reignite latent microbial activity</w:t>
      </w:r>
      <w:r w:rsidR="00D0645C" w:rsidRPr="005873C3">
        <w:rPr>
          <w:color w:val="000000" w:themeColor="text1"/>
          <w:lang w:val="en-GB"/>
        </w:rPr>
        <w:t xml:space="preserve"> </w:t>
      </w:r>
      <w:r w:rsidR="00D0645C" w:rsidRPr="005873C3">
        <w:rPr>
          <w:color w:val="000000" w:themeColor="text1"/>
          <w:lang w:val="en-GB"/>
        </w:rPr>
        <w:fldChar w:fldCharType="begin"/>
      </w:r>
      <w:r w:rsidR="00D0645C" w:rsidRPr="005873C3">
        <w:rPr>
          <w:color w:val="000000" w:themeColor="text1"/>
          <w:lang w:val="en-GB"/>
        </w:rPr>
        <w:instrText xml:space="preserve"> ADDIN ZOTERO_ITEM CSL_CITATION {"citationID":"tzdDd00p","properties":{"formattedCitation":"(Hee &amp; Messina, 2022)","plainCitation":"(Hee &amp; Messina, 2022)","noteIndex":0},"citationItems":[{"id":5431,"uris":["http://zotero.org/users/2543086/items/Y9BUIY33"],"itemData":{"id":5431,"type":"article-journal","abstract":"Introduction\nDelayed-onset nodules are a complication associated with soft tissue filler products, including hyaluronic acid (HA) fillers; however, the etiology of these events remains unclear. The role of uncrosslinked HA and crosslinked HA fillers in the response of immune cells (dendritic cells, B cells, and T cells) was evaluated with and without concurrent bacterial stimulation.\nMethods\nUncrosslinked HA of varying molecular weights and crosslinked HA fillers were tested in a series of in vitro assays to evaluate 1) human monocyte activation; 2) activation, maturation, and migration of human monocyte-derived dendritic cells (MoDC); 3) T-cell activation and associated skin damage; and 4) T-cell–mediated B-cell response. For the latter assay, the HA test articles were also evaluated following stimulation by bacteria.\nResults\nWhen treated with lipopolysaccharide (LPS) as a positive control, inflammatory cytokines (interleukin [IL]-1β, IL-6, IL-10, IL-12p70, and tumor necrosis factor [TNF]-α) released by MoDC were significantly upregulated. Treatment of the MoDC with HA (0.776, 150, and 485 kDa) did not result in stimulation of IL-1β, IL-6, IL-10, and IL-12p70, although increased TNF-α was observed with all HA test samples. The TNF-α increase was significantly lower for HA samples (1.5–2.64 pg/mL) compared with LPS (966.96–4834.18 pg/mL). Similarly, treatment of MoDC with HA samples did not result in expression of surface markers indicative of dendritic cell maturation. MoDC treated with 0.776 and 150 kDa HA, but not with 485 kDa HA, had significantly increased migration toward fetal bovine serum, but not C–C motif chemokine ligand 21 (CCL21). In the T-cell activation and skin damage assay, VYC-15L, degraded VYC-15L, HYC-24L+, and oligosacharride HA samples were negative in the T-cell proliferation and interferon-γ assays at all tested concentrations. The degraded HYC-24L + sample was borderline at the highest concentration and negative at the middle and low concentrations. Skin damage was determined to be negative for all HA samples at all concentrations. In the human monocyte activation assay, all tested uncrosslinked HA samples (5, 150, and 731 kDa) were determined to be non-sensitizing (i.e., did not activate monocyte cells). In the T-cell–mediated B-cell activation assay, treatment with HA oligosaccharides, uncrosslinked HA, and crosslinked HA fillers did not result in any consistent stimulation of any cytokines measured. A molecular weight–dependent decrease in the secreted immunoglobulin G (IgG) was observed, and this effect was more pronounced with the crosslinked HA fillers. Addition of heat-inactivated Cutibacterium acnes bacteria (HIB) to uncrosslinked HA and crosslinked HA fillers resulted in increased cytokine production similar to when HIB was tested alone. The decrease in secreted IgG observed for crosslinked HA filler samples without HIB was maintained with addition of HIB to VYC-20, VYC-25, SGD-30XP, and HYC-24+ samples. The reduction of secreted IgG observed for RSQ and VYC-15 alone was no longer apparent when HIB was added to these cultures (i.e., returned to control levels but were not upregulated).\nConclusion\nThe results from this study suggest that uncrosslinked HA and HA fillers themselves do not stimulate an inflammatory/immune response, regardless of molecular weight or crosslinking. However, the immune response following HIB stimulation may be impacted by the presence of HA fillers, suggesting a potential initiating role of contaminating factors such as bacteria and a modulating role of HA.","container-title":"Journal of Immunology and Regenerative Medicine","DOI":"10.1016/j.regen.2022.100065","ISSN":"2468-4988","journalAbbreviation":"Journal of Immunology and Regenerative Medicine","language":"en","page":"100065","source":"ScienceDirect","title":"In vitro inflammatory and immune response to uncrosslinked hyaluronic acid (HA) and HA fillers","volume":"17","author":[{"family":"Hee","given":"Christopher K."},{"family":"Messina","given":"Darin J."}],"issued":{"date-parts":[["2022",8,1]]}}}],"schema":"https://github.com/citation-style-language/schema/raw/master/csl-citation.json"} </w:instrText>
      </w:r>
      <w:r w:rsidR="00D0645C" w:rsidRPr="005873C3">
        <w:rPr>
          <w:color w:val="000000" w:themeColor="text1"/>
          <w:lang w:val="en-GB"/>
        </w:rPr>
        <w:fldChar w:fldCharType="separate"/>
      </w:r>
      <w:r w:rsidR="00D0645C" w:rsidRPr="005873C3">
        <w:rPr>
          <w:noProof/>
          <w:color w:val="000000" w:themeColor="text1"/>
          <w:lang w:val="en-GB"/>
        </w:rPr>
        <w:t>(Hee &amp; Messina, 2022)</w:t>
      </w:r>
      <w:r w:rsidR="00D0645C" w:rsidRPr="005873C3">
        <w:rPr>
          <w:color w:val="000000" w:themeColor="text1"/>
          <w:lang w:val="en-GB"/>
        </w:rPr>
        <w:fldChar w:fldCharType="end"/>
      </w:r>
      <w:r w:rsidR="00D0645C" w:rsidRPr="005873C3">
        <w:rPr>
          <w:color w:val="000000" w:themeColor="text1"/>
          <w:lang w:val="en-GB"/>
        </w:rPr>
        <w:t>.</w:t>
      </w:r>
    </w:p>
    <w:p w14:paraId="71E19C60" w14:textId="77777777" w:rsidR="00D0645C" w:rsidRPr="005873C3" w:rsidRDefault="00D0645C" w:rsidP="004D6FA0">
      <w:pPr>
        <w:pStyle w:val="jbd-alamat"/>
        <w:rPr>
          <w:rFonts w:eastAsia="Helvetica"/>
          <w:color w:val="000000" w:themeColor="text1"/>
          <w:lang w:val="en-GB"/>
        </w:rPr>
      </w:pPr>
    </w:p>
    <w:p w14:paraId="77390196" w14:textId="77777777" w:rsidR="00D0645C" w:rsidRPr="00B65A9E" w:rsidRDefault="00B65A9E" w:rsidP="004D6FA0">
      <w:pPr>
        <w:pStyle w:val="jbd-alamat"/>
        <w:rPr>
          <w:rFonts w:eastAsia="Helvetica"/>
          <w:b/>
          <w:bCs/>
          <w:color w:val="000000" w:themeColor="text1"/>
          <w:lang w:val="en-GB"/>
        </w:rPr>
      </w:pPr>
      <w:r w:rsidRPr="00B65A9E">
        <w:rPr>
          <w:b/>
          <w:bCs/>
          <w:color w:val="000000" w:themeColor="text1"/>
          <w:lang w:val="en-GB"/>
        </w:rPr>
        <w:t>Patho</w:t>
      </w:r>
      <w:r>
        <w:rPr>
          <w:b/>
          <w:bCs/>
          <w:color w:val="000000" w:themeColor="text1"/>
          <w:lang w:val="en-GB"/>
        </w:rPr>
        <w:t>-</w:t>
      </w:r>
      <w:r w:rsidRPr="00B65A9E">
        <w:rPr>
          <w:b/>
          <w:bCs/>
          <w:color w:val="000000" w:themeColor="text1"/>
          <w:lang w:val="en-GB"/>
        </w:rPr>
        <w:t>mechanism</w:t>
      </w:r>
    </w:p>
    <w:p w14:paraId="3D8807D5" w14:textId="77777777" w:rsidR="00F618DE" w:rsidRDefault="00372CB3" w:rsidP="00372CB3">
      <w:pPr>
        <w:pStyle w:val="jbd-alamat"/>
        <w:rPr>
          <w:color w:val="000000" w:themeColor="text1"/>
          <w:lang w:val="en-GB"/>
        </w:rPr>
      </w:pPr>
      <w:r w:rsidRPr="005873C3">
        <w:rPr>
          <w:color w:val="000000" w:themeColor="text1"/>
          <w:lang w:val="en-GB"/>
        </w:rPr>
        <w:t xml:space="preserve">Delayed inflammatory reactions (DIR) to </w:t>
      </w:r>
      <w:r>
        <w:rPr>
          <w:color w:val="000000" w:themeColor="text1"/>
          <w:lang w:val="en-GB"/>
        </w:rPr>
        <w:t>injected tissue</w:t>
      </w:r>
      <w:r w:rsidRPr="005873C3">
        <w:rPr>
          <w:color w:val="000000" w:themeColor="text1"/>
          <w:lang w:val="en-GB"/>
        </w:rPr>
        <w:t xml:space="preserve"> </w:t>
      </w:r>
      <w:r>
        <w:rPr>
          <w:color w:val="000000" w:themeColor="text1"/>
          <w:lang w:val="en-GB"/>
        </w:rPr>
        <w:t xml:space="preserve">with </w:t>
      </w:r>
      <w:r w:rsidRPr="005873C3">
        <w:rPr>
          <w:color w:val="000000" w:themeColor="text1"/>
          <w:lang w:val="en-GB"/>
        </w:rPr>
        <w:t>filler</w:t>
      </w:r>
      <w:r>
        <w:rPr>
          <w:color w:val="000000" w:themeColor="text1"/>
          <w:lang w:val="en-GB"/>
        </w:rPr>
        <w:t>s</w:t>
      </w:r>
      <w:r w:rsidRPr="005873C3">
        <w:rPr>
          <w:color w:val="000000" w:themeColor="text1"/>
          <w:lang w:val="en-GB"/>
        </w:rPr>
        <w:t xml:space="preserve"> </w:t>
      </w:r>
      <w:r>
        <w:rPr>
          <w:color w:val="000000" w:themeColor="text1"/>
          <w:lang w:val="en-GB"/>
        </w:rPr>
        <w:t xml:space="preserve">can be </w:t>
      </w:r>
      <w:r w:rsidRPr="005873C3">
        <w:rPr>
          <w:color w:val="000000" w:themeColor="text1"/>
          <w:lang w:val="en-GB"/>
        </w:rPr>
        <w:t>develop</w:t>
      </w:r>
      <w:r>
        <w:rPr>
          <w:color w:val="000000" w:themeColor="text1"/>
          <w:lang w:val="en-GB"/>
        </w:rPr>
        <w:t>ed</w:t>
      </w:r>
      <w:r w:rsidRPr="005873C3">
        <w:rPr>
          <w:color w:val="000000" w:themeColor="text1"/>
          <w:lang w:val="en-GB"/>
        </w:rPr>
        <w:t xml:space="preserve"> </w:t>
      </w:r>
      <w:r w:rsidR="0051282D">
        <w:rPr>
          <w:color w:val="000000" w:themeColor="text1"/>
          <w:lang w:val="en-GB"/>
        </w:rPr>
        <w:t>during</w:t>
      </w:r>
      <w:r w:rsidRPr="005873C3">
        <w:rPr>
          <w:color w:val="000000" w:themeColor="text1"/>
          <w:lang w:val="en-GB"/>
        </w:rPr>
        <w:t xml:space="preserve"> </w:t>
      </w:r>
      <w:r w:rsidR="00C25042">
        <w:rPr>
          <w:color w:val="000000" w:themeColor="text1"/>
          <w:lang w:val="en-GB"/>
        </w:rPr>
        <w:t xml:space="preserve">two to four </w:t>
      </w:r>
      <w:r w:rsidRPr="005873C3">
        <w:rPr>
          <w:color w:val="000000" w:themeColor="text1"/>
          <w:lang w:val="en-GB"/>
        </w:rPr>
        <w:t xml:space="preserve">weeks or </w:t>
      </w:r>
      <w:r w:rsidR="00730670">
        <w:rPr>
          <w:color w:val="000000" w:themeColor="text1"/>
          <w:lang w:val="en-GB"/>
        </w:rPr>
        <w:t xml:space="preserve">directly after </w:t>
      </w:r>
      <w:r w:rsidRPr="005873C3">
        <w:rPr>
          <w:color w:val="000000" w:themeColor="text1"/>
          <w:lang w:val="en-GB"/>
        </w:rPr>
        <w:t>an HA injection.</w:t>
      </w:r>
      <w:r>
        <w:rPr>
          <w:color w:val="000000" w:themeColor="text1"/>
          <w:lang w:val="en-GB"/>
        </w:rPr>
        <w:t xml:space="preserve"> </w:t>
      </w:r>
      <w:r w:rsidRPr="005873C3">
        <w:rPr>
          <w:color w:val="000000" w:themeColor="text1"/>
          <w:lang w:val="en-GB"/>
        </w:rPr>
        <w:t xml:space="preserve">The clinical manifestations occur in the form of recurrent episodes of localized solid oedema with erythema and tenderness, or </w:t>
      </w:r>
      <w:r>
        <w:rPr>
          <w:color w:val="000000" w:themeColor="text1"/>
          <w:lang w:val="en-GB"/>
        </w:rPr>
        <w:t>s</w:t>
      </w:r>
      <w:r w:rsidRPr="00A027DC">
        <w:rPr>
          <w:color w:val="000000" w:themeColor="text1"/>
          <w:lang w:val="en-GB"/>
        </w:rPr>
        <w:t xml:space="preserve">ubcutaneous nodules can </w:t>
      </w:r>
      <w:r>
        <w:rPr>
          <w:color w:val="000000" w:themeColor="text1"/>
          <w:lang w:val="en-GB"/>
        </w:rPr>
        <w:t>be observed</w:t>
      </w:r>
      <w:r w:rsidRPr="00A027DC">
        <w:rPr>
          <w:color w:val="000000" w:themeColor="text1"/>
          <w:lang w:val="en-GB"/>
        </w:rPr>
        <w:t xml:space="preserve"> at HA injection sites, often presenting as warm swellings with surrounding skin that appears purple or brown. </w:t>
      </w:r>
    </w:p>
    <w:p w14:paraId="60FEDB4A" w14:textId="7C408DFD" w:rsidR="00372CB3" w:rsidRPr="00B5401D" w:rsidRDefault="00372CB3" w:rsidP="00372CB3">
      <w:pPr>
        <w:pStyle w:val="jbd-alamat"/>
        <w:rPr>
          <w:color w:val="000000" w:themeColor="text1"/>
          <w:lang w:val="en-GB"/>
        </w:rPr>
      </w:pPr>
      <w:r w:rsidRPr="00A027DC">
        <w:rPr>
          <w:color w:val="000000" w:themeColor="text1"/>
          <w:lang w:val="en-GB"/>
        </w:rPr>
        <w:t xml:space="preserve">Notably, these reactions frequently occur simultaneously at multiple injection sites, even in patients with prior HA treatments, regardless of filler type or the number of injections. Individuals who previously received larger HA volumes are more prone to these lesions. Additionally, associated swelling is typically most pronounced upon </w:t>
      </w:r>
      <w:r w:rsidRPr="00A027DC">
        <w:rPr>
          <w:color w:val="000000" w:themeColor="text1"/>
          <w:lang w:val="en-GB"/>
        </w:rPr>
        <w:lastRenderedPageBreak/>
        <w:t xml:space="preserve">waking and tends to diminish as the day progresses. Around 40% of affected patients may also experience systemic, flu-like symptoms </w:t>
      </w:r>
      <w:r w:rsidRPr="005873C3">
        <w:rPr>
          <w:color w:val="000000" w:themeColor="text1"/>
          <w:lang w:val="en-GB"/>
        </w:rPr>
        <w:fldChar w:fldCharType="begin"/>
      </w:r>
      <w:r w:rsidRPr="005873C3">
        <w:rPr>
          <w:color w:val="000000" w:themeColor="text1"/>
          <w:lang w:val="en-GB"/>
        </w:rPr>
        <w:instrText xml:space="preserve"> ADDIN ZOTERO_ITEM CSL_CITATION {"citationID":"suW8uXwO","properties":{"formattedCitation":"(Michon, 2021)","plainCitation":"(Michon, 2021)","noteIndex":0},"citationItems":[{"id":5434,"uris":["http://zotero.org/users/2543086/items/7NV9WNZT"],"itemData":{"id":5434,"type":"article-journal","abstract":"Background\nThe use of hyaluronic acid soft tissue fillers in aesthetic medicine exploded in recent years for many reasons, including being relatively safe. Incidence of delayed inflammatory reactions (DIRs) to hyaluronic acid soft tissue fillers range between 0.3% and 4.25%. These reactions are mediated by T</w:instrText>
      </w:r>
      <w:r w:rsidRPr="005873C3">
        <w:rPr>
          <w:rFonts w:ascii="Cambria Math" w:hAnsi="Cambria Math" w:cs="Cambria Math"/>
          <w:color w:val="000000" w:themeColor="text1"/>
          <w:lang w:val="en-GB"/>
        </w:rPr>
        <w:instrText>‐</w:instrText>
      </w:r>
      <w:r w:rsidRPr="005873C3">
        <w:rPr>
          <w:color w:val="000000" w:themeColor="text1"/>
          <w:lang w:val="en-GB"/>
        </w:rPr>
        <w:instrText>lymphocytes and can be triggered by flu</w:instrText>
      </w:r>
      <w:r w:rsidRPr="005873C3">
        <w:rPr>
          <w:rFonts w:ascii="Cambria Math" w:hAnsi="Cambria Math" w:cs="Cambria Math"/>
          <w:color w:val="000000" w:themeColor="text1"/>
          <w:lang w:val="en-GB"/>
        </w:rPr>
        <w:instrText>‐</w:instrText>
      </w:r>
      <w:r w:rsidRPr="005873C3">
        <w:rPr>
          <w:color w:val="000000" w:themeColor="text1"/>
          <w:lang w:val="en-GB"/>
        </w:rPr>
        <w:instrText>like illnesses, including SARS</w:instrText>
      </w:r>
      <w:r w:rsidRPr="005873C3">
        <w:rPr>
          <w:rFonts w:ascii="Cambria Math" w:hAnsi="Cambria Math" w:cs="Cambria Math"/>
          <w:color w:val="000000" w:themeColor="text1"/>
          <w:lang w:val="en-GB"/>
        </w:rPr>
        <w:instrText>‐</w:instrText>
      </w:r>
      <w:r w:rsidRPr="005873C3">
        <w:rPr>
          <w:color w:val="000000" w:themeColor="text1"/>
          <w:lang w:val="en-GB"/>
        </w:rPr>
        <w:instrText>CoV</w:instrText>
      </w:r>
      <w:r w:rsidRPr="005873C3">
        <w:rPr>
          <w:rFonts w:ascii="Cambria Math" w:hAnsi="Cambria Math" w:cs="Cambria Math"/>
          <w:color w:val="000000" w:themeColor="text1"/>
          <w:lang w:val="en-GB"/>
        </w:rPr>
        <w:instrText>‐</w:instrText>
      </w:r>
      <w:r w:rsidRPr="005873C3">
        <w:rPr>
          <w:color w:val="000000" w:themeColor="text1"/>
          <w:lang w:val="en-GB"/>
        </w:rPr>
        <w:instrText>2 infection. Vaccination may also induce hypersensitivity.\n\nAim\nIn this case report, we present two cases of delayed reaction after hyaluronic acid soft tissue filler treatment of the tear trough area and following mRNA vaccination against SARS</w:instrText>
      </w:r>
      <w:r w:rsidRPr="005873C3">
        <w:rPr>
          <w:rFonts w:ascii="Cambria Math" w:hAnsi="Cambria Math" w:cs="Cambria Math"/>
          <w:color w:val="000000" w:themeColor="text1"/>
          <w:lang w:val="en-GB"/>
        </w:rPr>
        <w:instrText>‐</w:instrText>
      </w:r>
      <w:r w:rsidRPr="005873C3">
        <w:rPr>
          <w:color w:val="000000" w:themeColor="text1"/>
          <w:lang w:val="en-GB"/>
        </w:rPr>
        <w:instrText>Cov</w:instrText>
      </w:r>
      <w:r w:rsidRPr="005873C3">
        <w:rPr>
          <w:rFonts w:ascii="Cambria Math" w:hAnsi="Cambria Math" w:cs="Cambria Math"/>
          <w:color w:val="000000" w:themeColor="text1"/>
          <w:lang w:val="en-GB"/>
        </w:rPr>
        <w:instrText>‐</w:instrText>
      </w:r>
      <w:r w:rsidRPr="005873C3">
        <w:rPr>
          <w:color w:val="000000" w:themeColor="text1"/>
          <w:lang w:val="en-GB"/>
        </w:rPr>
        <w:instrText>2, also known as COVID</w:instrText>
      </w:r>
      <w:r w:rsidRPr="005873C3">
        <w:rPr>
          <w:rFonts w:ascii="Cambria Math" w:hAnsi="Cambria Math" w:cs="Cambria Math"/>
          <w:color w:val="000000" w:themeColor="text1"/>
          <w:lang w:val="en-GB"/>
        </w:rPr>
        <w:instrText>‐</w:instrText>
      </w:r>
      <w:r w:rsidRPr="005873C3">
        <w:rPr>
          <w:color w:val="000000" w:themeColor="text1"/>
          <w:lang w:val="en-GB"/>
        </w:rPr>
        <w:instrText>19, months later.\n\nPatients\nA 39</w:instrText>
      </w:r>
      <w:r w:rsidRPr="005873C3">
        <w:rPr>
          <w:rFonts w:ascii="Cambria Math" w:hAnsi="Cambria Math" w:cs="Cambria Math"/>
          <w:color w:val="000000" w:themeColor="text1"/>
          <w:lang w:val="en-GB"/>
        </w:rPr>
        <w:instrText>‐</w:instrText>
      </w:r>
      <w:r w:rsidRPr="005873C3">
        <w:rPr>
          <w:color w:val="000000" w:themeColor="text1"/>
          <w:lang w:val="en-GB"/>
        </w:rPr>
        <w:instrText>year old female who previously had her tear trough area treated with hyaluronic acid soft tissue filler developed swelling days after getting the mRNA Pfizer</w:instrText>
      </w:r>
      <w:r w:rsidRPr="005873C3">
        <w:rPr>
          <w:rFonts w:ascii="Cambria Math" w:hAnsi="Cambria Math" w:cs="Cambria Math"/>
          <w:color w:val="000000" w:themeColor="text1"/>
          <w:lang w:val="en-GB"/>
        </w:rPr>
        <w:instrText>‐</w:instrText>
      </w:r>
      <w:r w:rsidRPr="005873C3">
        <w:rPr>
          <w:color w:val="000000" w:themeColor="text1"/>
          <w:lang w:val="en-GB"/>
        </w:rPr>
        <w:instrText>BioNTech COVID</w:instrText>
      </w:r>
      <w:r w:rsidRPr="005873C3">
        <w:rPr>
          <w:rFonts w:ascii="Cambria Math" w:hAnsi="Cambria Math" w:cs="Cambria Math"/>
          <w:color w:val="000000" w:themeColor="text1"/>
          <w:lang w:val="en-GB"/>
        </w:rPr>
        <w:instrText>‐</w:instrText>
      </w:r>
      <w:r w:rsidRPr="005873C3">
        <w:rPr>
          <w:color w:val="000000" w:themeColor="text1"/>
          <w:lang w:val="en-GB"/>
        </w:rPr>
        <w:instrText>19 vaccine. Another patient, a 61</w:instrText>
      </w:r>
      <w:r w:rsidRPr="005873C3">
        <w:rPr>
          <w:rFonts w:ascii="Cambria Math" w:hAnsi="Cambria Math" w:cs="Cambria Math"/>
          <w:color w:val="000000" w:themeColor="text1"/>
          <w:lang w:val="en-GB"/>
        </w:rPr>
        <w:instrText>‐</w:instrText>
      </w:r>
      <w:r w:rsidRPr="005873C3">
        <w:rPr>
          <w:color w:val="000000" w:themeColor="text1"/>
          <w:lang w:val="en-GB"/>
        </w:rPr>
        <w:instrText>year</w:instrText>
      </w:r>
      <w:r w:rsidRPr="005873C3">
        <w:rPr>
          <w:rFonts w:ascii="Cambria Math" w:hAnsi="Cambria Math" w:cs="Cambria Math"/>
          <w:color w:val="000000" w:themeColor="text1"/>
          <w:lang w:val="en-GB"/>
        </w:rPr>
        <w:instrText>‐</w:instrText>
      </w:r>
      <w:r w:rsidRPr="005873C3">
        <w:rPr>
          <w:color w:val="000000" w:themeColor="text1"/>
          <w:lang w:val="en-GB"/>
        </w:rPr>
        <w:instrText>olf female, developed intermittent facial swelling in areas previously treated with hyaluronic acid soft tissue fillers days after receiving her first dose of the mRNA Pfizer</w:instrText>
      </w:r>
      <w:r w:rsidRPr="005873C3">
        <w:rPr>
          <w:rFonts w:ascii="Cambria Math" w:hAnsi="Cambria Math" w:cs="Cambria Math"/>
          <w:color w:val="000000" w:themeColor="text1"/>
          <w:lang w:val="en-GB"/>
        </w:rPr>
        <w:instrText>‐</w:instrText>
      </w:r>
      <w:r w:rsidRPr="005873C3">
        <w:rPr>
          <w:color w:val="000000" w:themeColor="text1"/>
          <w:lang w:val="en-GB"/>
        </w:rPr>
        <w:instrText>BioNTech COVID</w:instrText>
      </w:r>
      <w:r w:rsidRPr="005873C3">
        <w:rPr>
          <w:rFonts w:ascii="Cambria Math" w:hAnsi="Cambria Math" w:cs="Cambria Math"/>
          <w:color w:val="000000" w:themeColor="text1"/>
          <w:lang w:val="en-GB"/>
        </w:rPr>
        <w:instrText>‐</w:instrText>
      </w:r>
      <w:r w:rsidRPr="005873C3">
        <w:rPr>
          <w:color w:val="000000" w:themeColor="text1"/>
          <w:lang w:val="en-GB"/>
        </w:rPr>
        <w:instrText>19 vaccine.\n\nResults\nAs demonstrated in our case report, vaccination against COVID</w:instrText>
      </w:r>
      <w:r w:rsidRPr="005873C3">
        <w:rPr>
          <w:rFonts w:ascii="Cambria Math" w:hAnsi="Cambria Math" w:cs="Cambria Math"/>
          <w:color w:val="000000" w:themeColor="text1"/>
          <w:lang w:val="en-GB"/>
        </w:rPr>
        <w:instrText>‐</w:instrText>
      </w:r>
      <w:r w:rsidRPr="005873C3">
        <w:rPr>
          <w:color w:val="000000" w:themeColor="text1"/>
          <w:lang w:val="en-GB"/>
        </w:rPr>
        <w:instrText>19 may induce DIRs in patients who previously had hyaluronic soft tissue fillers.\n\nConclusion\nDelayed inflammatory reactions to hyaluronic acid soft tissue fillers are uncommon and usually self</w:instrText>
      </w:r>
      <w:r w:rsidRPr="005873C3">
        <w:rPr>
          <w:rFonts w:ascii="Cambria Math" w:hAnsi="Cambria Math" w:cs="Cambria Math"/>
          <w:color w:val="000000" w:themeColor="text1"/>
          <w:lang w:val="en-GB"/>
        </w:rPr>
        <w:instrText>‐</w:instrText>
      </w:r>
      <w:r w:rsidRPr="005873C3">
        <w:rPr>
          <w:color w:val="000000" w:themeColor="text1"/>
          <w:lang w:val="en-GB"/>
        </w:rPr>
        <w:instrText>limited, with frequent spontaneous resolution. However, considering the ongoing pandemic and the worldwide demand for vaccines against COVID</w:instrText>
      </w:r>
      <w:r w:rsidRPr="005873C3">
        <w:rPr>
          <w:rFonts w:ascii="Cambria Math" w:hAnsi="Cambria Math" w:cs="Cambria Math"/>
          <w:color w:val="000000" w:themeColor="text1"/>
          <w:lang w:val="en-GB"/>
        </w:rPr>
        <w:instrText>‐</w:instrText>
      </w:r>
      <w:r w:rsidRPr="005873C3">
        <w:rPr>
          <w:color w:val="000000" w:themeColor="text1"/>
          <w:lang w:val="en-GB"/>
        </w:rPr>
        <w:instrText>19, the aesthetic providers should be conscious of the risks posed by the interaction of such vaccines in patients who previously had or seeking hyaluronic acid soft tissue filler injections.","container-title":"Journal of Cosmetic Dermatology","DOI":"10.1111/jocd.14312","ISSN":"1473-2130","issue":"9","journalAbbreviation":"J Cosmet Dermatol","note":"PMID: 34174156\nPMCID: PMC8447415","page":"2684-2690","source":"PubMed Central","title":"Hyaluronic acid soft tissue filler delayed inflammatory reaction following COVID</w:instrText>
      </w:r>
      <w:r w:rsidRPr="005873C3">
        <w:rPr>
          <w:rFonts w:ascii="Cambria Math" w:hAnsi="Cambria Math" w:cs="Cambria Math"/>
          <w:color w:val="000000" w:themeColor="text1"/>
          <w:lang w:val="en-GB"/>
        </w:rPr>
        <w:instrText>‐</w:instrText>
      </w:r>
      <w:r w:rsidRPr="005873C3">
        <w:rPr>
          <w:color w:val="000000" w:themeColor="text1"/>
          <w:lang w:val="en-GB"/>
        </w:rPr>
        <w:instrText xml:space="preserve">19 vaccination – A case report","volume":"20","author":[{"family":"Michon","given":"Alain"}],"issued":{"date-parts":[["2021",9]]}}}],"schema":"https://github.com/citation-style-language/schema/raw/master/csl-citation.json"} </w:instrText>
      </w:r>
      <w:r w:rsidRPr="005873C3">
        <w:rPr>
          <w:color w:val="000000" w:themeColor="text1"/>
          <w:lang w:val="en-GB"/>
        </w:rPr>
        <w:fldChar w:fldCharType="separate"/>
      </w:r>
      <w:r w:rsidRPr="005873C3">
        <w:rPr>
          <w:noProof/>
          <w:color w:val="000000" w:themeColor="text1"/>
          <w:lang w:val="en-GB"/>
        </w:rPr>
        <w:t>(Michon, 2021)</w:t>
      </w:r>
      <w:r w:rsidRPr="005873C3">
        <w:rPr>
          <w:color w:val="000000" w:themeColor="text1"/>
          <w:lang w:val="en-GB"/>
        </w:rPr>
        <w:fldChar w:fldCharType="end"/>
      </w:r>
      <w:r w:rsidRPr="005873C3">
        <w:rPr>
          <w:color w:val="000000" w:themeColor="text1"/>
          <w:lang w:val="en-GB"/>
        </w:rPr>
        <w:t>.</w:t>
      </w:r>
      <w:r>
        <w:rPr>
          <w:color w:val="000000" w:themeColor="text1"/>
          <w:lang w:val="en-GB"/>
        </w:rPr>
        <w:t xml:space="preserve"> </w:t>
      </w:r>
      <w:r w:rsidRPr="004B1EC2">
        <w:rPr>
          <w:color w:val="000000" w:themeColor="text1"/>
          <w:lang w:val="en-GB"/>
        </w:rPr>
        <w:t>These adverse reactions may be linked to contaminants such as residual DNA, proteins, or bacterial endotoxins in HA fillers, even at trace concentrations. In genetically susceptible individuals, LMW-HA could also act as an immune adjuvant, either directly or through interactions with microbial components like biofilms. However, the emergence of inflammatory nodules distant from the injection site, their resistance to prolonged antibiotic therapy, and negative microbial cultures/PCR tests challenge the biofilm hypothesis. Instead, the efficacy of hyaluronidase (which degrades HA) and the correlation with higher filler volumes suggest a delayed-type hypersensitivity mechanism. Additionally, systemic triggers such as infections or tissue injury may elevate interferon levels, potentially exacerbating pre-existing subclinical inflammation at filler sites.</w:t>
      </w:r>
      <w:r w:rsidRPr="005873C3">
        <w:rPr>
          <w:color w:val="000000" w:themeColor="text1"/>
          <w:lang w:val="en-GB"/>
        </w:rPr>
        <w:t xml:space="preserve"> </w:t>
      </w:r>
      <w:r w:rsidRPr="005873C3">
        <w:rPr>
          <w:color w:val="000000" w:themeColor="text1"/>
          <w:lang w:val="en-GB"/>
        </w:rPr>
        <w:fldChar w:fldCharType="begin"/>
      </w:r>
      <w:r w:rsidRPr="005873C3">
        <w:rPr>
          <w:color w:val="000000" w:themeColor="text1"/>
          <w:lang w:val="en-GB"/>
        </w:rPr>
        <w:instrText xml:space="preserve"> ADDIN ZOTERO_ITEM CSL_CITATION {"citationID":"mDREyYfQ","properties":{"formattedCitation":"(Cassuto et al., 2021)","plainCitation":"(Cassuto et al., 2021)","noteIndex":0},"citationItems":[{"id":5439,"uris":["http://zotero.org/users/2543086/items/L3BYLEZ8"],"itemData":{"id":5439,"type":"article-journal","abstract":"Hyaluronic acid (HA)-based injectable filling agents are at the forefront of the current demand for noninvasive dermatological procedures for the correction of age-related soft tissue defects. The present review aims to summarize currently available HA-based products and critically appraise their differences in rheological nature and clinical application. Linear HA (LHA) gels may be supplemented with amino acids, lipoic acid, vitamins, nucleosides, or minerals for synergistic antiaging and antioxidant benefits (polycomponent LHA). HA hydrogels can be generated via chemical or physical crosslinking, which increases their elasticity and decreases viscosity. The performance of crosslinked fillers depends on HA concentration, degree of crosslinking, elastic modulus, cohesivity, and type of crosslinking agent employed. PEG-crosslinked LHA displays improved elasticity and resistance to degradation, and lower swelling rates as compared to BDDE-crosslinked LHA. Physical crosslinking stabilizes HA hydrogels without employing exogenous chemical compounds or altering hyaluronans’ natural molecular structure. Thermally stabilized hybrid cooperative HA complexes (HCC) are a formulation of high- and low-molecular-weight (H-HA and L-HA) hyaluronans, achieving high HA concentration, low viscosity with optimal tissue diffusion, and a duration comparable to weakly cross-linked gel. Our critical analysis evidences the importance of understanding different fillers’ properties to assist physicians in selecting the most appropriate filler for specific uses and for predictable and sustainable results.","container-title":"Clinical, Cosmetic and Investigational Dermatology","DOI":"10.2147/CCID.S276676","ISSN":"1178-7015","journalAbbreviation":"Clin Cosmet Investig Dermatol","note":"PMID: 34992400\nPMCID: PMC8710524","page":"1857-1866","source":"PubMed Central","title":"An Overview of Soft Tissue Fillers for Cosmetic Dermatology: From Filling to Regenerative Medicine","title-short":"An Overview of Soft Tissue Fillers for Cosmetic Dermatology","volume":"14","author":[{"family":"Cassuto","given":"Daniel"},{"family":"Bellia","given":"Gilberto"},{"family":"Schiraldi","given":"Chiara"}],"issued":{"date-parts":[["2021",12,22]]}}}],"schema":"https://github.com/citation-style-language/schema/raw/master/csl-citation.json"} </w:instrText>
      </w:r>
      <w:r w:rsidRPr="005873C3">
        <w:rPr>
          <w:color w:val="000000" w:themeColor="text1"/>
          <w:lang w:val="en-GB"/>
        </w:rPr>
        <w:fldChar w:fldCharType="separate"/>
      </w:r>
      <w:r w:rsidRPr="005873C3">
        <w:rPr>
          <w:noProof/>
          <w:color w:val="000000" w:themeColor="text1"/>
          <w:lang w:val="en-GB"/>
        </w:rPr>
        <w:t>(Cassuto et al., 2021)</w:t>
      </w:r>
      <w:r w:rsidRPr="005873C3">
        <w:rPr>
          <w:color w:val="000000" w:themeColor="text1"/>
          <w:lang w:val="en-GB"/>
        </w:rPr>
        <w:fldChar w:fldCharType="end"/>
      </w:r>
      <w:r w:rsidRPr="005873C3">
        <w:rPr>
          <w:color w:val="000000" w:themeColor="text1"/>
          <w:lang w:val="en-GB"/>
        </w:rPr>
        <w:t>.</w:t>
      </w:r>
      <w:r>
        <w:rPr>
          <w:rFonts w:eastAsia="Helvetica"/>
          <w:color w:val="000000" w:themeColor="text1"/>
          <w:lang w:val="en-GB"/>
        </w:rPr>
        <w:t xml:space="preserve"> </w:t>
      </w:r>
      <w:r w:rsidR="00FB61C8">
        <w:rPr>
          <w:rFonts w:eastAsia="Helvetica"/>
          <w:color w:val="000000" w:themeColor="text1"/>
          <w:lang w:val="en-GB"/>
        </w:rPr>
        <w:t xml:space="preserve">Safety should be </w:t>
      </w:r>
      <w:r w:rsidRPr="005873C3">
        <w:rPr>
          <w:color w:val="000000" w:themeColor="text1"/>
          <w:lang w:val="en-GB"/>
        </w:rPr>
        <w:t xml:space="preserve">considered </w:t>
      </w:r>
      <w:r w:rsidR="00FB61C8">
        <w:rPr>
          <w:color w:val="000000" w:themeColor="text1"/>
          <w:lang w:val="en-GB"/>
        </w:rPr>
        <w:t xml:space="preserve">at any stage before and after injection even by </w:t>
      </w:r>
      <w:r>
        <w:rPr>
          <w:color w:val="000000" w:themeColor="text1"/>
          <w:lang w:val="en-GB"/>
        </w:rPr>
        <w:t>specialised</w:t>
      </w:r>
      <w:r w:rsidRPr="005873C3">
        <w:rPr>
          <w:color w:val="000000" w:themeColor="text1"/>
          <w:lang w:val="en-GB"/>
        </w:rPr>
        <w:t xml:space="preserve"> trained injectors</w:t>
      </w:r>
      <w:r w:rsidR="00DC2ED7">
        <w:rPr>
          <w:color w:val="000000" w:themeColor="text1"/>
          <w:lang w:val="en-GB"/>
        </w:rPr>
        <w:t xml:space="preserve"> due to</w:t>
      </w:r>
      <w:r w:rsidRPr="005873C3">
        <w:rPr>
          <w:color w:val="000000" w:themeColor="text1"/>
          <w:lang w:val="en-GB"/>
        </w:rPr>
        <w:t xml:space="preserve"> </w:t>
      </w:r>
      <w:r w:rsidR="00D43C43">
        <w:rPr>
          <w:color w:val="000000" w:themeColor="text1"/>
          <w:lang w:val="en-GB"/>
        </w:rPr>
        <w:t xml:space="preserve">occur </w:t>
      </w:r>
      <w:r>
        <w:rPr>
          <w:color w:val="000000" w:themeColor="text1"/>
          <w:lang w:val="en-GB"/>
        </w:rPr>
        <w:t xml:space="preserve">chances for </w:t>
      </w:r>
      <w:r w:rsidRPr="005873C3">
        <w:rPr>
          <w:color w:val="000000" w:themeColor="text1"/>
          <w:lang w:val="en-GB"/>
        </w:rPr>
        <w:t xml:space="preserve">potential serious </w:t>
      </w:r>
      <w:r>
        <w:rPr>
          <w:color w:val="000000" w:themeColor="text1"/>
          <w:lang w:val="en-GB"/>
        </w:rPr>
        <w:t xml:space="preserve">healthy </w:t>
      </w:r>
      <w:r w:rsidRPr="005873C3">
        <w:rPr>
          <w:color w:val="000000" w:themeColor="text1"/>
          <w:lang w:val="en-GB"/>
        </w:rPr>
        <w:t>complications</w:t>
      </w:r>
      <w:r>
        <w:rPr>
          <w:color w:val="000000" w:themeColor="text1"/>
          <w:lang w:val="en-GB"/>
        </w:rPr>
        <w:t xml:space="preserve"> such as m</w:t>
      </w:r>
      <w:r w:rsidRPr="005873C3">
        <w:rPr>
          <w:color w:val="000000" w:themeColor="text1"/>
          <w:lang w:val="en-GB"/>
        </w:rPr>
        <w:t xml:space="preserve">ild swelling and bruising can be expected; </w:t>
      </w:r>
      <w:r>
        <w:rPr>
          <w:color w:val="000000" w:themeColor="text1"/>
          <w:lang w:val="en-GB"/>
        </w:rPr>
        <w:t>persistent swelling rarely occurs</w:t>
      </w:r>
      <w:r w:rsidRPr="005873C3">
        <w:rPr>
          <w:color w:val="000000" w:themeColor="text1"/>
          <w:lang w:val="en-GB"/>
        </w:rPr>
        <w:t xml:space="preserve">, </w:t>
      </w:r>
      <w:r w:rsidR="00712281">
        <w:rPr>
          <w:color w:val="000000" w:themeColor="text1"/>
          <w:lang w:val="en-GB"/>
        </w:rPr>
        <w:t>particularly</w:t>
      </w:r>
      <w:r w:rsidRPr="005873C3">
        <w:rPr>
          <w:color w:val="000000" w:themeColor="text1"/>
          <w:lang w:val="en-GB"/>
        </w:rPr>
        <w:t xml:space="preserve"> in the lower orbital area </w:t>
      </w:r>
      <w:r w:rsidR="00861136">
        <w:rPr>
          <w:color w:val="000000" w:themeColor="text1"/>
          <w:lang w:val="en-GB"/>
        </w:rPr>
        <w:br/>
      </w:r>
      <w:r w:rsidRPr="005873C3">
        <w:rPr>
          <w:color w:val="000000" w:themeColor="text1"/>
          <w:lang w:val="en-GB"/>
        </w:rPr>
        <w:fldChar w:fldCharType="begin"/>
      </w:r>
      <w:r w:rsidRPr="005873C3">
        <w:rPr>
          <w:color w:val="000000" w:themeColor="text1"/>
          <w:lang w:val="en-GB"/>
        </w:rPr>
        <w:instrText xml:space="preserve"> ADDIN ZOTERO_ITEM CSL_CITATION {"citationID":"mxGdv88b","properties":{"formattedCitation":"(De Boulle &amp; Heydenrych, 2015)","plainCitation":"(De Boulle &amp; Heydenrych, 2015)","noteIndex":0},"citationItems":[{"id":5442,"uris":["http://zotero.org/users/2543086/items/47LQ77R4"],"itemData":{"id":5442,"type":"article-journal","abstract":"While rare, complications do occur with the esthetic use of dermal fillers. Careful attention to patient factors and technique can do much to avoid these complications, and a well-informed practitioner can mitigate problems when they do occur. Since cosmetic surgery is usually an elective process, requested by the patient, clinical trials are complex to organize and run. For this reason, an international group of practicing physicians in the field of esthetics came together to share knowledge and to try and produce some informed guidance for their colleagues, considering the literature and also pooling their own extensive clinical experience. This manuscript aims to summarize the crucial aspects of patient selection, including absolute contraindications as well as situations that warrant caution, and also covers important considerations for the pre- and posttreatment periods as well as during the procedure itself. Guidance is given on both immediate and long-term management of adverse reactions. The majority of complications are related to accepting patients inappropriate for treatment or issues of sterility, placement, volume, and injection technique. It is clear that esthetic practitioners need an in-depth knowledge of all aspects of treatment with dermal fillers to achieve optimal outcomes for their patients.,","container-title":"Clinical, Cosmetic and Investigational Dermatology","DOI":"10.2147/CCID.S80446","ISSN":"1178-7015","journalAbbreviation":"Clin Cosmet Investig Dermatol","note":"PMID: 25926750\nPMCID: PMC4404720","page":"205-214","source":"PubMed Central","title":"Patient factors influencing dermal filler complications: prevention, assessment, and treatment","title-short":"Patient factors influencing dermal filler complications","volume":"8","author":[{"family":"De Boulle","given":"Koenraad"},{"family":"Heydenrych","given":"Izolda"}],"issued":{"date-parts":[["2015",4,15]]}}}],"schema":"https://github.com/citation-style-language/schema/raw/master/csl-citation.json"} </w:instrText>
      </w:r>
      <w:r w:rsidRPr="005873C3">
        <w:rPr>
          <w:color w:val="000000" w:themeColor="text1"/>
          <w:lang w:val="en-GB"/>
        </w:rPr>
        <w:fldChar w:fldCharType="separate"/>
      </w:r>
      <w:r w:rsidRPr="005873C3">
        <w:rPr>
          <w:noProof/>
          <w:color w:val="000000" w:themeColor="text1"/>
          <w:lang w:val="en-GB"/>
        </w:rPr>
        <w:t>(De Boulle &amp; Heydenrych, 2015)</w:t>
      </w:r>
      <w:r w:rsidRPr="005873C3">
        <w:rPr>
          <w:color w:val="000000" w:themeColor="text1"/>
          <w:lang w:val="en-GB"/>
        </w:rPr>
        <w:fldChar w:fldCharType="end"/>
      </w:r>
      <w:r w:rsidRPr="005873C3">
        <w:rPr>
          <w:color w:val="000000" w:themeColor="text1"/>
          <w:lang w:val="en-GB"/>
        </w:rPr>
        <w:t>.</w:t>
      </w:r>
      <w:r>
        <w:rPr>
          <w:color w:val="000000" w:themeColor="text1"/>
          <w:lang w:val="en-GB"/>
        </w:rPr>
        <w:t xml:space="preserve"> </w:t>
      </w:r>
      <w:r w:rsidRPr="006B28B3">
        <w:rPr>
          <w:color w:val="000000" w:themeColor="text1"/>
          <w:lang w:val="en-GB"/>
        </w:rPr>
        <w:t>When proper injection techniques are employed, the occurrence of palpable lumps, nodules, and granulomas is uncommon. However, more severe complications can arise if fillers are inadvertently injected into blood vessels, potentially leading to serious outcomes such as tissue necrosis or even blindness. The FDA has recently issued a warning highlighting these risks. Therefore, it is essential for practitioners administering fillers to have a thorough understanding of the specific anatomy of the treatment area to reduce the likelihood of intravascular injection and associated complications</w:t>
      </w:r>
      <w:r w:rsidRPr="005873C3">
        <w:rPr>
          <w:color w:val="000000" w:themeColor="text1"/>
          <w:lang w:val="en-GB"/>
        </w:rPr>
        <w:t xml:space="preserve"> </w:t>
      </w:r>
      <w:r w:rsidRPr="005873C3">
        <w:rPr>
          <w:color w:val="000000" w:themeColor="text1"/>
          <w:lang w:val="en-GB"/>
        </w:rPr>
        <w:fldChar w:fldCharType="begin"/>
      </w:r>
      <w:r w:rsidRPr="005873C3">
        <w:rPr>
          <w:color w:val="000000" w:themeColor="text1"/>
          <w:lang w:val="en-GB"/>
        </w:rPr>
        <w:instrText xml:space="preserve"> ADDIN ZOTERO_ITEM CSL_CITATION {"citationID":"Nv6LQg6n","properties":{"formattedCitation":"(Vedamurthy, 2018)","plainCitation":"(Vedamurthy, 2018)","noteIndex":0},"citationItems":[{"id":5445,"uris":["http://zotero.org/users/2543086/items/E9LKLYVX"],"itemData":{"id":5445,"type":"article-journal","abstract":"Cosmetic filler injections are most popular among the antiaging procedures. As in any other cosmetic injectable procedures, complications are likely to occur even under experienced hands. However, it is the duty of the aesthetic physician to identify and manage these potential complications. The objective of this symposia is to help the aesthetic physician to identify these complications early and manage them appropriately to improve outcomes.","container-title":"Journal of Cutaneous and Aesthetic Surgery","DOI":"10.4103/JCAS.JCAS_68_18","ISSN":"0974-2077","issue":"2","journalAbbreviation":"J Cutan Aesthet Surg","note":"PMID: 30210207\nPMCID: PMC6128162","page":"60-66","source":"PubMed Central","title":"Beware What You Inject: Complications of Injectables—Dermal Fillers","title-short":"Beware What You Inject","volume":"11","author":[{"family":"Vedamurthy","given":"Maya"}],"issued":{"date-parts":[["2018"]]}}}],"schema":"https://github.com/citation-style-language/schema/raw/master/csl-citation.json"} </w:instrText>
      </w:r>
      <w:r w:rsidRPr="005873C3">
        <w:rPr>
          <w:color w:val="000000" w:themeColor="text1"/>
          <w:lang w:val="en-GB"/>
        </w:rPr>
        <w:fldChar w:fldCharType="separate"/>
      </w:r>
      <w:r w:rsidRPr="005873C3">
        <w:rPr>
          <w:noProof/>
          <w:color w:val="000000" w:themeColor="text1"/>
          <w:lang w:val="en-GB"/>
        </w:rPr>
        <w:t>(Vedamurthy, 2018)</w:t>
      </w:r>
      <w:r w:rsidRPr="005873C3">
        <w:rPr>
          <w:color w:val="000000" w:themeColor="text1"/>
          <w:lang w:val="en-GB"/>
        </w:rPr>
        <w:fldChar w:fldCharType="end"/>
      </w:r>
      <w:r w:rsidRPr="005873C3">
        <w:rPr>
          <w:color w:val="000000" w:themeColor="text1"/>
          <w:lang w:val="en-GB"/>
        </w:rPr>
        <w:t xml:space="preserve">. </w:t>
      </w:r>
    </w:p>
    <w:p w14:paraId="2C2F9334" w14:textId="77777777" w:rsidR="00372CB3" w:rsidRDefault="00372CB3" w:rsidP="00372CB3">
      <w:pPr>
        <w:pStyle w:val="jbd-alamat"/>
        <w:rPr>
          <w:color w:val="000000" w:themeColor="text1"/>
          <w:lang w:val="en-GB"/>
        </w:rPr>
      </w:pPr>
      <w:r w:rsidRPr="00BB1793">
        <w:rPr>
          <w:color w:val="000000" w:themeColor="text1"/>
          <w:lang w:val="en-GB"/>
        </w:rPr>
        <w:lastRenderedPageBreak/>
        <w:t>To ensure safe injection practices, it is recommended to avoid sites with major blood vessels, use a blunt cannula rather than a sharp needle, when possible, aspirate the syringe before injecting, and administer the filler slowly while monitoring for signs such as tissue blanching. If intra-arterial injection occurs-often indicated by sudden skin blanching and sometimes pain-prompt intervention is crucial. Despite these precautions, there remains a risk of skin and soft tissue necrosis.</w:t>
      </w:r>
    </w:p>
    <w:p w14:paraId="382F0C41" w14:textId="77777777" w:rsidR="001D71C1" w:rsidRDefault="001D71C1" w:rsidP="004D6FA0">
      <w:pPr>
        <w:pStyle w:val="jbd-alamat"/>
        <w:rPr>
          <w:color w:val="000000" w:themeColor="text1"/>
          <w:lang w:val="en-GB"/>
        </w:rPr>
      </w:pPr>
    </w:p>
    <w:p w14:paraId="7FF5F5B2" w14:textId="77777777" w:rsidR="00D0645C" w:rsidRPr="000B4173" w:rsidRDefault="00D0645C" w:rsidP="004D6FA0">
      <w:pPr>
        <w:pStyle w:val="jbd-alamat"/>
        <w:rPr>
          <w:b/>
          <w:bCs/>
          <w:color w:val="000000" w:themeColor="text1"/>
          <w:lang w:val="en-GB"/>
        </w:rPr>
      </w:pPr>
      <w:r w:rsidRPr="000B4173">
        <w:rPr>
          <w:b/>
          <w:bCs/>
          <w:color w:val="000000" w:themeColor="text1"/>
          <w:lang w:val="en-GB"/>
        </w:rPr>
        <w:t>Conclusion</w:t>
      </w:r>
    </w:p>
    <w:p w14:paraId="19DFB6EF" w14:textId="2CFE289B" w:rsidR="00D0645C" w:rsidRDefault="00D0645C" w:rsidP="00266140">
      <w:pPr>
        <w:pStyle w:val="jbd-alamat"/>
        <w:rPr>
          <w:color w:val="000000" w:themeColor="text1"/>
          <w:lang w:val="en-GB"/>
        </w:rPr>
      </w:pPr>
      <w:r w:rsidRPr="005873C3">
        <w:rPr>
          <w:color w:val="000000" w:themeColor="text1"/>
          <w:lang w:val="en-GB"/>
        </w:rPr>
        <w:t xml:space="preserve">There is a chance of using HA as </w:t>
      </w:r>
      <w:r w:rsidR="00755B66">
        <w:rPr>
          <w:color w:val="000000" w:themeColor="text1"/>
          <w:lang w:val="en-GB"/>
        </w:rPr>
        <w:t xml:space="preserve">a </w:t>
      </w:r>
      <w:r w:rsidRPr="005873C3">
        <w:rPr>
          <w:color w:val="000000" w:themeColor="text1"/>
          <w:lang w:val="en-GB"/>
        </w:rPr>
        <w:t xml:space="preserve">dermal filler as almost tend to </w:t>
      </w:r>
      <w:r w:rsidR="00755B66">
        <w:rPr>
          <w:color w:val="000000" w:themeColor="text1"/>
          <w:lang w:val="en-GB"/>
        </w:rPr>
        <w:t>have</w:t>
      </w:r>
      <w:r w:rsidRPr="005873C3">
        <w:rPr>
          <w:color w:val="000000" w:themeColor="text1"/>
          <w:lang w:val="en-GB"/>
        </w:rPr>
        <w:t xml:space="preserve"> </w:t>
      </w:r>
      <w:r w:rsidR="00755B66">
        <w:rPr>
          <w:color w:val="000000" w:themeColor="text1"/>
          <w:lang w:val="en-GB"/>
        </w:rPr>
        <w:t xml:space="preserve">a </w:t>
      </w:r>
      <w:r w:rsidRPr="005873C3">
        <w:rPr>
          <w:color w:val="000000" w:themeColor="text1"/>
          <w:lang w:val="en-GB"/>
        </w:rPr>
        <w:t>similar structure to the cells HA.</w:t>
      </w:r>
      <w:r w:rsidR="00B04AF5">
        <w:rPr>
          <w:color w:val="000000" w:themeColor="text1"/>
          <w:lang w:val="en-GB"/>
        </w:rPr>
        <w:t xml:space="preserve"> </w:t>
      </w:r>
      <w:r w:rsidRPr="005873C3">
        <w:rPr>
          <w:color w:val="000000" w:themeColor="text1"/>
          <w:lang w:val="en-GB"/>
        </w:rPr>
        <w:t xml:space="preserve">Should a specialist perform the injection based on </w:t>
      </w:r>
      <w:r w:rsidR="00755B66">
        <w:rPr>
          <w:color w:val="000000" w:themeColor="text1"/>
          <w:lang w:val="en-GB"/>
        </w:rPr>
        <w:t>the</w:t>
      </w:r>
      <w:r w:rsidRPr="005873C3">
        <w:rPr>
          <w:color w:val="000000" w:themeColor="text1"/>
          <w:lang w:val="en-GB"/>
        </w:rPr>
        <w:t xml:space="preserve"> anatomical structure of the host.</w:t>
      </w:r>
      <w:r w:rsidR="00B04AF5">
        <w:rPr>
          <w:color w:val="000000" w:themeColor="text1"/>
          <w:lang w:val="en-GB"/>
        </w:rPr>
        <w:t xml:space="preserve"> </w:t>
      </w:r>
      <w:r w:rsidRPr="005873C3">
        <w:rPr>
          <w:color w:val="000000" w:themeColor="text1"/>
          <w:lang w:val="en-GB"/>
        </w:rPr>
        <w:t xml:space="preserve">The clinician must check the </w:t>
      </w:r>
      <w:r w:rsidR="00755B66">
        <w:rPr>
          <w:color w:val="000000" w:themeColor="text1"/>
          <w:lang w:val="en-GB"/>
        </w:rPr>
        <w:t>host's</w:t>
      </w:r>
      <w:r w:rsidRPr="005873C3">
        <w:rPr>
          <w:color w:val="000000" w:themeColor="text1"/>
          <w:lang w:val="en-GB"/>
        </w:rPr>
        <w:t xml:space="preserve"> dermal sensitivity to HA before doing injections.</w:t>
      </w:r>
      <w:r w:rsidR="00B04AF5">
        <w:rPr>
          <w:color w:val="000000" w:themeColor="text1"/>
          <w:lang w:val="en-GB"/>
        </w:rPr>
        <w:t xml:space="preserve"> </w:t>
      </w:r>
      <w:r w:rsidR="00755B66">
        <w:rPr>
          <w:color w:val="000000" w:themeColor="text1"/>
          <w:lang w:val="en-GB"/>
        </w:rPr>
        <w:t>A</w:t>
      </w:r>
      <w:r w:rsidRPr="005873C3">
        <w:rPr>
          <w:color w:val="000000" w:themeColor="text1"/>
          <w:lang w:val="en-GB"/>
        </w:rPr>
        <w:t xml:space="preserve"> serious immune response to the injected HA </w:t>
      </w:r>
      <w:r w:rsidR="00755B66">
        <w:rPr>
          <w:color w:val="000000" w:themeColor="text1"/>
          <w:lang w:val="en-GB"/>
        </w:rPr>
        <w:t>might lead</w:t>
      </w:r>
      <w:r w:rsidRPr="005873C3">
        <w:rPr>
          <w:color w:val="000000" w:themeColor="text1"/>
          <w:lang w:val="en-GB"/>
        </w:rPr>
        <w:t xml:space="preserve"> to a critical health consequence.  </w:t>
      </w:r>
    </w:p>
    <w:p w14:paraId="2D6890FC" w14:textId="1F8EE2C0" w:rsidR="003E334A" w:rsidRDefault="003E334A" w:rsidP="00266140">
      <w:pPr>
        <w:pStyle w:val="jbd-alamat"/>
        <w:rPr>
          <w:color w:val="000000" w:themeColor="text1"/>
          <w:lang w:val="en-GB"/>
        </w:rPr>
      </w:pPr>
    </w:p>
    <w:p w14:paraId="1E8DCD81" w14:textId="77777777" w:rsidR="00446F03" w:rsidRPr="00446F03" w:rsidRDefault="00446F03" w:rsidP="00446F0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kern w:val="2"/>
          <w:sz w:val="22"/>
          <w:szCs w:val="22"/>
          <w:highlight w:val="yellow"/>
          <w:bdr w:val="none" w:sz="0" w:space="0" w:color="auto"/>
          <w:lang w:val="en-US"/>
        </w:rPr>
      </w:pPr>
      <w:bookmarkStart w:id="1" w:name="_Hlk197682619"/>
      <w:bookmarkStart w:id="2" w:name="_Hlk180402183"/>
      <w:bookmarkStart w:id="3" w:name="_Hlk183680988"/>
      <w:r w:rsidRPr="00446F03">
        <w:rPr>
          <w:rFonts w:ascii="Calibri" w:eastAsia="Calibri" w:hAnsi="Calibri"/>
          <w:kern w:val="2"/>
          <w:sz w:val="22"/>
          <w:szCs w:val="22"/>
          <w:highlight w:val="yellow"/>
          <w:bdr w:val="none" w:sz="0" w:space="0" w:color="auto"/>
          <w:lang w:val="en-US"/>
        </w:rPr>
        <w:t>Disclaimer (Artificial intelligence)</w:t>
      </w:r>
    </w:p>
    <w:p w14:paraId="41119AF7" w14:textId="77777777" w:rsidR="00446F03" w:rsidRPr="00446F03" w:rsidRDefault="00446F03" w:rsidP="00446F0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kern w:val="2"/>
          <w:sz w:val="22"/>
          <w:szCs w:val="22"/>
          <w:highlight w:val="yellow"/>
          <w:bdr w:val="none" w:sz="0" w:space="0" w:color="auto"/>
          <w:lang w:val="en-US"/>
        </w:rPr>
      </w:pPr>
      <w:r w:rsidRPr="00446F03">
        <w:rPr>
          <w:rFonts w:ascii="Calibri" w:eastAsia="Calibri" w:hAnsi="Calibri"/>
          <w:kern w:val="2"/>
          <w:sz w:val="22"/>
          <w:szCs w:val="22"/>
          <w:highlight w:val="yellow"/>
          <w:bdr w:val="none" w:sz="0" w:space="0" w:color="auto"/>
          <w:lang w:val="en-US"/>
        </w:rPr>
        <w:t xml:space="preserve">Option 1: </w:t>
      </w:r>
    </w:p>
    <w:p w14:paraId="5B72CC0C" w14:textId="77777777" w:rsidR="00446F03" w:rsidRPr="00446F03" w:rsidRDefault="00446F03" w:rsidP="00446F0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kern w:val="2"/>
          <w:sz w:val="22"/>
          <w:szCs w:val="22"/>
          <w:highlight w:val="yellow"/>
          <w:bdr w:val="none" w:sz="0" w:space="0" w:color="auto"/>
          <w:lang w:val="en-US"/>
        </w:rPr>
      </w:pPr>
      <w:r w:rsidRPr="00446F03">
        <w:rPr>
          <w:rFonts w:ascii="Calibri" w:eastAsia="Calibri" w:hAnsi="Calibri"/>
          <w:kern w:val="2"/>
          <w:sz w:val="22"/>
          <w:szCs w:val="22"/>
          <w:highlight w:val="yellow"/>
          <w:bdr w:val="none" w:sz="0" w:space="0" w:color="auto"/>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479D9300" w14:textId="77777777" w:rsidR="003E334A" w:rsidRPr="005873C3" w:rsidRDefault="003E334A" w:rsidP="00266140">
      <w:pPr>
        <w:pStyle w:val="jbd-alamat"/>
        <w:rPr>
          <w:color w:val="000000" w:themeColor="text1"/>
          <w:lang w:val="en-GB"/>
        </w:rPr>
      </w:pPr>
    </w:p>
    <w:p w14:paraId="3679BFAC" w14:textId="77777777" w:rsidR="00D0645C" w:rsidRPr="005873C3" w:rsidRDefault="00D0645C" w:rsidP="004D6FA0">
      <w:pPr>
        <w:pStyle w:val="jbd-alamat"/>
        <w:rPr>
          <w:color w:val="000000" w:themeColor="text1"/>
          <w:lang w:val="en-GB"/>
        </w:rPr>
      </w:pPr>
    </w:p>
    <w:p w14:paraId="77BB02F2" w14:textId="77777777" w:rsidR="00D0645C" w:rsidRPr="00677FF0" w:rsidRDefault="00D0645C" w:rsidP="004D6FA0">
      <w:pPr>
        <w:pStyle w:val="jbd-alamat"/>
        <w:rPr>
          <w:rFonts w:eastAsia="Helvetica"/>
          <w:b/>
          <w:bCs/>
          <w:color w:val="000000" w:themeColor="text1"/>
          <w:lang w:val="en-GB"/>
        </w:rPr>
      </w:pPr>
      <w:r w:rsidRPr="00677FF0">
        <w:rPr>
          <w:rFonts w:eastAsia="Helvetica"/>
          <w:b/>
          <w:bCs/>
          <w:color w:val="000000" w:themeColor="text1"/>
          <w:lang w:val="en-GB"/>
        </w:rPr>
        <w:t>References</w:t>
      </w:r>
    </w:p>
    <w:p w14:paraId="1C770B82" w14:textId="77777777" w:rsidR="006F3821" w:rsidRPr="006F3821" w:rsidRDefault="00671524" w:rsidP="00214A9E">
      <w:pPr>
        <w:pStyle w:val="Bibliography"/>
        <w:jc w:val="both"/>
      </w:pPr>
      <w:r>
        <w:fldChar w:fldCharType="begin"/>
      </w:r>
      <w:r>
        <w:instrText xml:space="preserve"> ADDIN ZOTERO_BIBL {"uncited":[],"omitted":[],"custom":[]} CSL_BIBLIOGRAPHY </w:instrText>
      </w:r>
      <w:r>
        <w:fldChar w:fldCharType="separate"/>
      </w:r>
      <w:r w:rsidR="006F3821" w:rsidRPr="006F3821">
        <w:t xml:space="preserve">Abbas, A., Lichtman, A., &amp; Pillai, S. (2017). </w:t>
      </w:r>
      <w:r w:rsidR="006F3821" w:rsidRPr="006F3821">
        <w:rPr>
          <w:i/>
          <w:iCs/>
        </w:rPr>
        <w:t>Cellular and molecular immunology</w:t>
      </w:r>
      <w:r w:rsidR="006F3821" w:rsidRPr="006F3821">
        <w:t xml:space="preserve"> (9th ed.). West B. Saunders Company.</w:t>
      </w:r>
    </w:p>
    <w:p w14:paraId="1E01399E" w14:textId="77777777" w:rsidR="006F3821" w:rsidRPr="006F3821" w:rsidRDefault="006F3821" w:rsidP="00214A9E">
      <w:pPr>
        <w:pStyle w:val="Bibliography"/>
        <w:jc w:val="both"/>
      </w:pPr>
      <w:r w:rsidRPr="006F3821">
        <w:lastRenderedPageBreak/>
        <w:t xml:space="preserve">Aristizábal, B., &amp; González, Á. (2013). Innate immune system. In </w:t>
      </w:r>
      <w:r w:rsidRPr="006F3821">
        <w:rPr>
          <w:i/>
          <w:iCs/>
        </w:rPr>
        <w:t>Autoimmunity: From Bench to Bedside [Internet]</w:t>
      </w:r>
      <w:r w:rsidRPr="006F3821">
        <w:t>. El Rosario University Press. https://www.ncbi.nlm.nih.gov/books/NBK459455/</w:t>
      </w:r>
    </w:p>
    <w:p w14:paraId="300C2F80" w14:textId="77777777" w:rsidR="006F3821" w:rsidRPr="006F3821" w:rsidRDefault="006F3821" w:rsidP="00214A9E">
      <w:pPr>
        <w:pStyle w:val="Bibliography"/>
        <w:jc w:val="both"/>
      </w:pPr>
      <w:r w:rsidRPr="006F3821">
        <w:t xml:space="preserve">Baranska-Rybak, W., Lajo-Plaza, J. V., Walker, L., &amp; Alizadeh, N. (2024). Late-Onset Reactions after Hyaluronic Acid Dermal Fillers: A Consensus Recommendation on Etiology, Prevention and Management. </w:t>
      </w:r>
      <w:r w:rsidRPr="006F3821">
        <w:rPr>
          <w:i/>
          <w:iCs/>
        </w:rPr>
        <w:t>Dermatology and Therapy</w:t>
      </w:r>
      <w:r w:rsidRPr="006F3821">
        <w:t xml:space="preserve">, </w:t>
      </w:r>
      <w:r w:rsidRPr="006F3821">
        <w:rPr>
          <w:i/>
          <w:iCs/>
        </w:rPr>
        <w:t>14</w:t>
      </w:r>
      <w:r w:rsidRPr="006F3821">
        <w:t>(7), 1767–1785. https://doi.org/10.1007/s13555-024-01202-3</w:t>
      </w:r>
    </w:p>
    <w:p w14:paraId="5E8717D1" w14:textId="77777777" w:rsidR="006F3821" w:rsidRPr="006F3821" w:rsidRDefault="006F3821" w:rsidP="00214A9E">
      <w:pPr>
        <w:pStyle w:val="Bibliography"/>
        <w:jc w:val="both"/>
      </w:pPr>
      <w:r w:rsidRPr="006F3821">
        <w:t xml:space="preserve">Cassuto, D., Bellia, G., &amp; Schiraldi, C. (2021). An Overview of Soft Tissue Fillers for Cosmetic Dermatology: From Filling to Regenerative Medicine. </w:t>
      </w:r>
      <w:r w:rsidRPr="006F3821">
        <w:rPr>
          <w:i/>
          <w:iCs/>
        </w:rPr>
        <w:t>Clinical, Cosmetic and Investigational Dermatology</w:t>
      </w:r>
      <w:r w:rsidRPr="006F3821">
        <w:t xml:space="preserve">, </w:t>
      </w:r>
      <w:r w:rsidRPr="006F3821">
        <w:rPr>
          <w:i/>
          <w:iCs/>
        </w:rPr>
        <w:t>14</w:t>
      </w:r>
      <w:r w:rsidRPr="006F3821">
        <w:t>, 1857–1866. https://doi.org/10.2147/CCID.S276676</w:t>
      </w:r>
    </w:p>
    <w:p w14:paraId="7FA9905A" w14:textId="77777777" w:rsidR="006F3821" w:rsidRPr="006F3821" w:rsidRDefault="006F3821" w:rsidP="00214A9E">
      <w:pPr>
        <w:pStyle w:val="Bibliography"/>
        <w:jc w:val="both"/>
      </w:pPr>
      <w:r w:rsidRPr="006F3821">
        <w:t xml:space="preserve">Chaudhry, G.-S., Akim, A., Naveed Zafar, M., Safdar, N., Sung, Y. Y., &amp; Muhammad, T. S. T. (2021). Understanding Hyaluronan Receptor (CD44) Interaction, HA-CD44 Activated Potential Targets in Cancer Therapeutics. </w:t>
      </w:r>
      <w:r w:rsidRPr="006F3821">
        <w:rPr>
          <w:i/>
          <w:iCs/>
        </w:rPr>
        <w:t>Advanced Pharmaceutical Bulletin</w:t>
      </w:r>
      <w:r w:rsidRPr="006F3821">
        <w:t xml:space="preserve">, </w:t>
      </w:r>
      <w:r w:rsidRPr="006F3821">
        <w:rPr>
          <w:i/>
          <w:iCs/>
        </w:rPr>
        <w:t>11</w:t>
      </w:r>
      <w:r w:rsidRPr="006F3821">
        <w:t>(3), 426–438. https://doi.org/10.34172/apb.2021.050</w:t>
      </w:r>
    </w:p>
    <w:p w14:paraId="2713CE53" w14:textId="77777777" w:rsidR="006F3821" w:rsidRPr="006F3821" w:rsidRDefault="006F3821" w:rsidP="00214A9E">
      <w:pPr>
        <w:pStyle w:val="Bibliography"/>
        <w:jc w:val="both"/>
      </w:pPr>
      <w:r w:rsidRPr="006F3821">
        <w:t xml:space="preserve">De Boulle, K., &amp; Heydenrych, I. (2015). Patient factors influencing dermal filler complications: Prevention, assessment, and treatment. </w:t>
      </w:r>
      <w:r w:rsidRPr="006F3821">
        <w:rPr>
          <w:i/>
          <w:iCs/>
        </w:rPr>
        <w:t>Clinical, Cosmetic and Investigational Dermatology</w:t>
      </w:r>
      <w:r w:rsidRPr="006F3821">
        <w:t xml:space="preserve">, </w:t>
      </w:r>
      <w:r w:rsidRPr="006F3821">
        <w:rPr>
          <w:i/>
          <w:iCs/>
        </w:rPr>
        <w:t>8</w:t>
      </w:r>
      <w:r w:rsidRPr="006F3821">
        <w:t>, 205–214. https://doi.org/10.2147/CCID.S80446</w:t>
      </w:r>
    </w:p>
    <w:p w14:paraId="3DDF02C5" w14:textId="77777777" w:rsidR="006F3821" w:rsidRPr="006F3821" w:rsidRDefault="006F3821" w:rsidP="00214A9E">
      <w:pPr>
        <w:pStyle w:val="Bibliography"/>
        <w:jc w:val="both"/>
      </w:pPr>
      <w:r w:rsidRPr="006F3821">
        <w:t xml:space="preserve">DUMITRAŞCU, D. I., &amp; GEORGESCU, A. V. (2013). The management of biofilm formation after hyaluronic acid gel filler injections: A review. </w:t>
      </w:r>
      <w:r w:rsidRPr="006F3821">
        <w:rPr>
          <w:i/>
          <w:iCs/>
        </w:rPr>
        <w:t>Clujul Medical</w:t>
      </w:r>
      <w:r w:rsidRPr="006F3821">
        <w:t xml:space="preserve">, </w:t>
      </w:r>
      <w:r w:rsidRPr="006F3821">
        <w:rPr>
          <w:i/>
          <w:iCs/>
        </w:rPr>
        <w:t>86</w:t>
      </w:r>
      <w:r w:rsidRPr="006F3821">
        <w:t>(3), 192–195.</w:t>
      </w:r>
    </w:p>
    <w:p w14:paraId="2F7A1762" w14:textId="77777777" w:rsidR="006F3821" w:rsidRPr="006F3821" w:rsidRDefault="006F3821" w:rsidP="00214A9E">
      <w:pPr>
        <w:pStyle w:val="Bibliography"/>
        <w:jc w:val="both"/>
      </w:pPr>
      <w:r w:rsidRPr="006F3821">
        <w:t xml:space="preserve">Ernst, L. M., Casals, E., Italiani, P., Boraschi, D., &amp; Puntes, V. (2021). The Interactions between Nanoparticles and the Innate Immune System from a Nanotechnologist Perspective. </w:t>
      </w:r>
      <w:r w:rsidRPr="006F3821">
        <w:rPr>
          <w:i/>
          <w:iCs/>
        </w:rPr>
        <w:t>Nanomaterials</w:t>
      </w:r>
      <w:r w:rsidRPr="006F3821">
        <w:t xml:space="preserve">, </w:t>
      </w:r>
      <w:r w:rsidRPr="006F3821">
        <w:rPr>
          <w:i/>
          <w:iCs/>
        </w:rPr>
        <w:t>11</w:t>
      </w:r>
      <w:r w:rsidRPr="006F3821">
        <w:t>(11), Article 11. https://doi.org/10.3390/nano11112991</w:t>
      </w:r>
    </w:p>
    <w:p w14:paraId="79DFDFF1" w14:textId="77777777" w:rsidR="006F3821" w:rsidRPr="006F3821" w:rsidRDefault="006F3821" w:rsidP="00214A9E">
      <w:pPr>
        <w:pStyle w:val="Bibliography"/>
        <w:jc w:val="both"/>
      </w:pPr>
      <w:r w:rsidRPr="006F3821">
        <w:t xml:space="preserve">Ferreira, N. D. R., Sanz, C. K., Raybolt, A., Pereira, C. M., &amp; DosSantos, M. F. (2022). Action of Hyaluronic Acid as a Damage-Associated Molecular Pattern Molecule and Its Function on the Treatment of Temporomandibular Disorders. </w:t>
      </w:r>
      <w:r w:rsidRPr="006F3821">
        <w:rPr>
          <w:i/>
          <w:iCs/>
        </w:rPr>
        <w:t xml:space="preserve">Frontiers in Pain </w:t>
      </w:r>
      <w:r w:rsidRPr="006F3821">
        <w:rPr>
          <w:i/>
          <w:iCs/>
        </w:rPr>
        <w:lastRenderedPageBreak/>
        <w:t>Research (Lausanne, Switzerland)</w:t>
      </w:r>
      <w:r w:rsidRPr="006F3821">
        <w:t xml:space="preserve">, </w:t>
      </w:r>
      <w:r w:rsidRPr="006F3821">
        <w:rPr>
          <w:i/>
          <w:iCs/>
        </w:rPr>
        <w:t>3</w:t>
      </w:r>
      <w:r w:rsidRPr="006F3821">
        <w:t>, 852249. https://doi.org/10.3389/fpain.2022.852249</w:t>
      </w:r>
    </w:p>
    <w:p w14:paraId="1C9F1C7C" w14:textId="77777777" w:rsidR="006F3821" w:rsidRPr="006F3821" w:rsidRDefault="006F3821" w:rsidP="00214A9E">
      <w:pPr>
        <w:pStyle w:val="Bibliography"/>
        <w:jc w:val="both"/>
      </w:pPr>
      <w:r w:rsidRPr="006F3821">
        <w:t xml:space="preserve">Gariboldi, S., Palazzo, M., Zanobbio, L., Selleri, S., Sommariva, M., Sfondrini, L., Cavicchini, S., Balsari, A., &amp; Rumio, C. (2008). Low Molecular Weight Hyaluronic Acid Increases the Self-Defense of Skin Epithelium by Induction of β-Defensin 2 via TLR2 and TLR4. </w:t>
      </w:r>
      <w:r w:rsidRPr="006F3821">
        <w:rPr>
          <w:i/>
          <w:iCs/>
        </w:rPr>
        <w:t>The Journal of Immunology</w:t>
      </w:r>
      <w:r w:rsidRPr="006F3821">
        <w:t xml:space="preserve">, </w:t>
      </w:r>
      <w:r w:rsidRPr="006F3821">
        <w:rPr>
          <w:i/>
          <w:iCs/>
        </w:rPr>
        <w:t>181</w:t>
      </w:r>
      <w:r w:rsidRPr="006F3821">
        <w:t>(3), 2103–2110. https://doi.org/10.4049/jimmunol.181.3.2103</w:t>
      </w:r>
    </w:p>
    <w:p w14:paraId="1F148529" w14:textId="77777777" w:rsidR="006F3821" w:rsidRPr="006F3821" w:rsidRDefault="006F3821" w:rsidP="00214A9E">
      <w:pPr>
        <w:pStyle w:val="Bibliography"/>
        <w:jc w:val="both"/>
      </w:pPr>
      <w:r w:rsidRPr="006F3821">
        <w:t xml:space="preserve">Hee, C. K., &amp; Messina, D. J. (2022). In vitro inflammatory and immune response to uncrosslinked hyaluronic acid (HA) and HA fillers. </w:t>
      </w:r>
      <w:r w:rsidRPr="006F3821">
        <w:rPr>
          <w:i/>
          <w:iCs/>
        </w:rPr>
        <w:t>Journal of Immunology and Regenerative Medicine</w:t>
      </w:r>
      <w:r w:rsidRPr="006F3821">
        <w:t xml:space="preserve">, </w:t>
      </w:r>
      <w:r w:rsidRPr="006F3821">
        <w:rPr>
          <w:i/>
          <w:iCs/>
        </w:rPr>
        <w:t>17</w:t>
      </w:r>
      <w:r w:rsidRPr="006F3821">
        <w:t>, 100065. https://doi.org/10.1016/j.regen.2022.100065</w:t>
      </w:r>
    </w:p>
    <w:p w14:paraId="71452DA3" w14:textId="77777777" w:rsidR="006F3821" w:rsidRPr="006F3821" w:rsidRDefault="006F3821" w:rsidP="00214A9E">
      <w:pPr>
        <w:pStyle w:val="Bibliography"/>
        <w:jc w:val="both"/>
      </w:pPr>
      <w:r w:rsidRPr="006F3821">
        <w:t xml:space="preserve">Hoarau, A., Polette, M., &amp; Coraux, C. (2022). Lung Hyaluronasome: Involvement of Low Molecular Weight Ha (Lmw-Ha) in Innate Immunity. </w:t>
      </w:r>
      <w:r w:rsidRPr="006F3821">
        <w:rPr>
          <w:i/>
          <w:iCs/>
        </w:rPr>
        <w:t>Biomolecules</w:t>
      </w:r>
      <w:r w:rsidRPr="006F3821">
        <w:t xml:space="preserve">, </w:t>
      </w:r>
      <w:r w:rsidRPr="006F3821">
        <w:rPr>
          <w:i/>
          <w:iCs/>
        </w:rPr>
        <w:t>12</w:t>
      </w:r>
      <w:r w:rsidRPr="006F3821">
        <w:t>(5), Article 5. https://doi.org/10.3390/biom12050658</w:t>
      </w:r>
    </w:p>
    <w:p w14:paraId="05F4CBD1" w14:textId="77777777" w:rsidR="006F3821" w:rsidRPr="006F3821" w:rsidRDefault="006F3821" w:rsidP="00214A9E">
      <w:pPr>
        <w:pStyle w:val="Bibliography"/>
        <w:jc w:val="both"/>
      </w:pPr>
      <w:r w:rsidRPr="006F3821">
        <w:t xml:space="preserve">Homsy, A., Rüegg ,Eva Meia, Jandus ,Peter, Pittet-Cuénod ,Brigitte, &amp; and Modarressi, A. (2017). Immunological reaction after facial hyaluronic acid injection. </w:t>
      </w:r>
      <w:r w:rsidRPr="006F3821">
        <w:rPr>
          <w:i/>
          <w:iCs/>
        </w:rPr>
        <w:t>Case Reports in Plastic Surgery and Hand Surgery</w:t>
      </w:r>
      <w:r w:rsidRPr="006F3821">
        <w:t xml:space="preserve">, </w:t>
      </w:r>
      <w:r w:rsidRPr="006F3821">
        <w:rPr>
          <w:i/>
          <w:iCs/>
        </w:rPr>
        <w:t>4</w:t>
      </w:r>
      <w:r w:rsidRPr="006F3821">
        <w:t>(1), 68–72. https://doi.org/10.1080/23320885.2017.1356202</w:t>
      </w:r>
    </w:p>
    <w:p w14:paraId="1B3BBF4F" w14:textId="77777777" w:rsidR="006F3821" w:rsidRPr="006F3821" w:rsidRDefault="006F3821" w:rsidP="00214A9E">
      <w:pPr>
        <w:pStyle w:val="Bibliography"/>
        <w:jc w:val="both"/>
      </w:pPr>
      <w:r w:rsidRPr="006F3821">
        <w:t xml:space="preserve">Kivity, S., Agmon-Levin, N., Blank, M., &amp; Shoenfeld, Y. (2009). Infections and autoimmunity – friends or foes? </w:t>
      </w:r>
      <w:r w:rsidRPr="006F3821">
        <w:rPr>
          <w:i/>
          <w:iCs/>
        </w:rPr>
        <w:t>Trends in Immunology</w:t>
      </w:r>
      <w:r w:rsidRPr="006F3821">
        <w:t xml:space="preserve">, </w:t>
      </w:r>
      <w:r w:rsidRPr="006F3821">
        <w:rPr>
          <w:i/>
          <w:iCs/>
        </w:rPr>
        <w:t>30</w:t>
      </w:r>
      <w:r w:rsidRPr="006F3821">
        <w:t>(8), 409–414. https://doi.org/10.1016/j.it.2009.05.005</w:t>
      </w:r>
    </w:p>
    <w:p w14:paraId="5E26FDE2" w14:textId="77777777" w:rsidR="006F3821" w:rsidRPr="006F3821" w:rsidRDefault="006F3821" w:rsidP="00214A9E">
      <w:pPr>
        <w:pStyle w:val="Bibliography"/>
        <w:jc w:val="both"/>
      </w:pPr>
      <w:r w:rsidRPr="006F3821">
        <w:t xml:space="preserve">Lee-Sayer, S. S. M., Dong, Y., Arif, A. A., Olsson, M., Brown, K. L., &amp; Johnson, P. (2015). The Where, When, How, and Why of Hyaluronan Binding by Immune Cells. </w:t>
      </w:r>
      <w:r w:rsidRPr="006F3821">
        <w:rPr>
          <w:i/>
          <w:iCs/>
        </w:rPr>
        <w:t>Frontiers in Immunology</w:t>
      </w:r>
      <w:r w:rsidRPr="006F3821">
        <w:t xml:space="preserve">, </w:t>
      </w:r>
      <w:r w:rsidRPr="006F3821">
        <w:rPr>
          <w:i/>
          <w:iCs/>
        </w:rPr>
        <w:t>6</w:t>
      </w:r>
      <w:r w:rsidRPr="006F3821">
        <w:t>. https://doi.org/10.3389/fimmu.2015.00150</w:t>
      </w:r>
    </w:p>
    <w:p w14:paraId="18E6AC2F" w14:textId="77777777" w:rsidR="006F3821" w:rsidRPr="006F3821" w:rsidRDefault="006F3821" w:rsidP="00214A9E">
      <w:pPr>
        <w:pStyle w:val="Bibliography"/>
        <w:jc w:val="both"/>
      </w:pPr>
      <w:r w:rsidRPr="006F3821">
        <w:lastRenderedPageBreak/>
        <w:t xml:space="preserve">Li, D., &amp; Wu, M. (2021). Pattern recognition receptors in health and diseases. </w:t>
      </w:r>
      <w:r w:rsidRPr="006F3821">
        <w:rPr>
          <w:i/>
          <w:iCs/>
        </w:rPr>
        <w:t>Signal Transduction and Targeted Therapy</w:t>
      </w:r>
      <w:r w:rsidRPr="006F3821">
        <w:t xml:space="preserve">, </w:t>
      </w:r>
      <w:r w:rsidRPr="006F3821">
        <w:rPr>
          <w:i/>
          <w:iCs/>
        </w:rPr>
        <w:t>6</w:t>
      </w:r>
      <w:r w:rsidRPr="006F3821">
        <w:t>(1), Article 1. https://doi.org/10.1038/s41392-021-00687-0</w:t>
      </w:r>
    </w:p>
    <w:p w14:paraId="64683BD2" w14:textId="77777777" w:rsidR="006F3821" w:rsidRPr="006F3821" w:rsidRDefault="006F3821" w:rsidP="00214A9E">
      <w:pPr>
        <w:pStyle w:val="Bibliography"/>
        <w:jc w:val="both"/>
      </w:pPr>
      <w:r w:rsidRPr="006F3821">
        <w:t xml:space="preserve">Michon, A. (2021). Hyaluronic acid soft tissue filler delayed inflammatory reaction following COVID‐19 vaccination – A case report. </w:t>
      </w:r>
      <w:r w:rsidRPr="006F3821">
        <w:rPr>
          <w:i/>
          <w:iCs/>
        </w:rPr>
        <w:t>Journal of Cosmetic Dermatology</w:t>
      </w:r>
      <w:r w:rsidRPr="006F3821">
        <w:t xml:space="preserve">, </w:t>
      </w:r>
      <w:r w:rsidRPr="006F3821">
        <w:rPr>
          <w:i/>
          <w:iCs/>
        </w:rPr>
        <w:t>20</w:t>
      </w:r>
      <w:r w:rsidRPr="006F3821">
        <w:t>(9), 2684–2690. https://doi.org/10.1111/jocd.14312</w:t>
      </w:r>
    </w:p>
    <w:p w14:paraId="0DCBE2B3" w14:textId="77777777" w:rsidR="006F3821" w:rsidRPr="006F3821" w:rsidRDefault="006F3821" w:rsidP="00214A9E">
      <w:pPr>
        <w:pStyle w:val="Bibliography"/>
        <w:jc w:val="both"/>
      </w:pPr>
      <w:r w:rsidRPr="006F3821">
        <w:t xml:space="preserve">Neamatallah, T. (2023). Delayed inflammatory reaction to hyaluronic acid lip filler after the Pfizer-BioNTech COVID-19 vaccine: A case report. </w:t>
      </w:r>
      <w:r w:rsidRPr="006F3821">
        <w:rPr>
          <w:i/>
          <w:iCs/>
        </w:rPr>
        <w:t>Heliyon</w:t>
      </w:r>
      <w:r w:rsidRPr="006F3821">
        <w:t xml:space="preserve">, </w:t>
      </w:r>
      <w:r w:rsidRPr="006F3821">
        <w:rPr>
          <w:i/>
          <w:iCs/>
        </w:rPr>
        <w:t>9</w:t>
      </w:r>
      <w:r w:rsidRPr="006F3821">
        <w:t>(7), e18274. https://doi.org/10.1016/j.heliyon.2023.e18274</w:t>
      </w:r>
    </w:p>
    <w:p w14:paraId="61C4A6B8" w14:textId="77777777" w:rsidR="006F3821" w:rsidRPr="006F3821" w:rsidRDefault="006F3821" w:rsidP="00214A9E">
      <w:pPr>
        <w:pStyle w:val="Bibliography"/>
        <w:jc w:val="both"/>
      </w:pPr>
      <w:r w:rsidRPr="006F3821">
        <w:t xml:space="preserve">Oates, T. C., Boyd, J., Dolan, L., Kergariou, C. de, Toye, A., Perriman, A. W., &amp; Boussahel, A. (2024). </w:t>
      </w:r>
      <w:r w:rsidRPr="006F3821">
        <w:rPr>
          <w:i/>
          <w:iCs/>
        </w:rPr>
        <w:t>The Immobilization of Hyaluronic Acid in 3D Hydrogel Scaffolds Modulates Macrophage Polarization</w:t>
      </w:r>
      <w:r w:rsidRPr="006F3821">
        <w:t>. 2024.04.10.588451. https://doi.org/10.1101/2024.04.10.588451</w:t>
      </w:r>
    </w:p>
    <w:p w14:paraId="503CDBCD" w14:textId="77777777" w:rsidR="006F3821" w:rsidRPr="006F3821" w:rsidRDefault="006F3821" w:rsidP="00214A9E">
      <w:pPr>
        <w:pStyle w:val="Bibliography"/>
        <w:jc w:val="both"/>
      </w:pPr>
      <w:r w:rsidRPr="006F3821">
        <w:t xml:space="preserve">Owczarczyk-Saczonek, A., Zdanowska, N., Wygonowska, E., &amp; Placek, W. (2021). The Immunogenicity of Hyaluronic Fillers and Its Consequences. </w:t>
      </w:r>
      <w:r w:rsidRPr="006F3821">
        <w:rPr>
          <w:i/>
          <w:iCs/>
        </w:rPr>
        <w:t>Clinical, Cosmetic and Investigational Dermatology</w:t>
      </w:r>
      <w:r w:rsidRPr="006F3821">
        <w:t xml:space="preserve">, </w:t>
      </w:r>
      <w:r w:rsidRPr="006F3821">
        <w:rPr>
          <w:i/>
          <w:iCs/>
        </w:rPr>
        <w:t>14</w:t>
      </w:r>
      <w:r w:rsidRPr="006F3821">
        <w:t>, 921–934. https://doi.org/10.2147/CCID.S316352</w:t>
      </w:r>
    </w:p>
    <w:p w14:paraId="49C92415" w14:textId="77777777" w:rsidR="006F3821" w:rsidRPr="006F3821" w:rsidRDefault="006F3821" w:rsidP="00214A9E">
      <w:pPr>
        <w:pStyle w:val="Bibliography"/>
        <w:jc w:val="both"/>
      </w:pPr>
      <w:r w:rsidRPr="006F3821">
        <w:t xml:space="preserve">Petrey, A. C., &amp; de la Motte, C. A. (2014). Hyaluronan, a Crucial Regulator of Inflammation. </w:t>
      </w:r>
      <w:r w:rsidRPr="006F3821">
        <w:rPr>
          <w:i/>
          <w:iCs/>
        </w:rPr>
        <w:t>Frontiers in Immunology</w:t>
      </w:r>
      <w:r w:rsidRPr="006F3821">
        <w:t xml:space="preserve">, </w:t>
      </w:r>
      <w:r w:rsidRPr="006F3821">
        <w:rPr>
          <w:i/>
          <w:iCs/>
        </w:rPr>
        <w:t>5</w:t>
      </w:r>
      <w:r w:rsidRPr="006F3821">
        <w:t>. https://doi.org/10.3389/fimmu.2014.00101</w:t>
      </w:r>
    </w:p>
    <w:p w14:paraId="447A26F3" w14:textId="77777777" w:rsidR="006F3821" w:rsidRPr="006F3821" w:rsidRDefault="006F3821" w:rsidP="00214A9E">
      <w:pPr>
        <w:pStyle w:val="Bibliography"/>
        <w:jc w:val="both"/>
      </w:pPr>
      <w:r w:rsidRPr="006F3821">
        <w:t xml:space="preserve">Rohrich, R. J., Bartlett, E. L., &amp; Dayan, E. (2019). Practical Approach and Safety of Hyaluronic Acid Fillers. </w:t>
      </w:r>
      <w:r w:rsidRPr="006F3821">
        <w:rPr>
          <w:i/>
          <w:iCs/>
        </w:rPr>
        <w:t>Plastic and Reconstructive Surgery Global Open</w:t>
      </w:r>
      <w:r w:rsidRPr="006F3821">
        <w:t xml:space="preserve">, </w:t>
      </w:r>
      <w:r w:rsidRPr="006F3821">
        <w:rPr>
          <w:i/>
          <w:iCs/>
        </w:rPr>
        <w:t>7</w:t>
      </w:r>
      <w:r w:rsidRPr="006F3821">
        <w:t>(6), e2172. https://doi.org/10.1097/GOX.0000000000002172</w:t>
      </w:r>
    </w:p>
    <w:p w14:paraId="1D3512A5" w14:textId="77777777" w:rsidR="006F3821" w:rsidRPr="006F3821" w:rsidRDefault="006F3821" w:rsidP="00214A9E">
      <w:pPr>
        <w:pStyle w:val="Bibliography"/>
        <w:jc w:val="both"/>
      </w:pPr>
      <w:r w:rsidRPr="006F3821">
        <w:t>Romo, M., López-Vicario, C., Pérez-Romero, N., Casulleras, M., Martínez-Puchol, A. I., Sánchez, B., Flores-Costa, R., Alcaraz-Quiles, J., Duran-Güell, M., Ibarzábal, A., Espert, J. J., Clària, J., &amp; Titos, E. (2022). Small fragments of hyaluronan are increased in individuals with obesity and contribute to low-grade inflammation through TLR-</w:t>
      </w:r>
      <w:r w:rsidRPr="006F3821">
        <w:lastRenderedPageBreak/>
        <w:t xml:space="preserve">mediated activation of innate immune cells. </w:t>
      </w:r>
      <w:r w:rsidRPr="006F3821">
        <w:rPr>
          <w:i/>
          <w:iCs/>
        </w:rPr>
        <w:t>International Journal of Obesity</w:t>
      </w:r>
      <w:r w:rsidRPr="006F3821">
        <w:t xml:space="preserve">, </w:t>
      </w:r>
      <w:r w:rsidRPr="006F3821">
        <w:rPr>
          <w:i/>
          <w:iCs/>
        </w:rPr>
        <w:t>46</w:t>
      </w:r>
      <w:r w:rsidRPr="006F3821">
        <w:t>(11), 1960–1969. https://doi.org/10.1038/s41366-022-01187-z</w:t>
      </w:r>
    </w:p>
    <w:p w14:paraId="1818F9AB" w14:textId="77777777" w:rsidR="006F3821" w:rsidRPr="006F3821" w:rsidRDefault="006F3821" w:rsidP="00214A9E">
      <w:pPr>
        <w:pStyle w:val="Bibliography"/>
        <w:jc w:val="both"/>
      </w:pPr>
      <w:r w:rsidRPr="006F3821">
        <w:t xml:space="preserve">Rowland‐Warmann, M. (2021). Hypersensitivity reaction to Hyaluronic Acid Dermal filler following novel Coronavirus infection – a case report. </w:t>
      </w:r>
      <w:r w:rsidRPr="006F3821">
        <w:rPr>
          <w:i/>
          <w:iCs/>
        </w:rPr>
        <w:t>Journal of Cosmetic Dermatology</w:t>
      </w:r>
      <w:r w:rsidRPr="006F3821">
        <w:t xml:space="preserve">, </w:t>
      </w:r>
      <w:r w:rsidRPr="006F3821">
        <w:rPr>
          <w:i/>
          <w:iCs/>
        </w:rPr>
        <w:t>20</w:t>
      </w:r>
      <w:r w:rsidRPr="006F3821">
        <w:t>(5), 1557–1562. https://doi.org/10.1111/jocd.14074</w:t>
      </w:r>
    </w:p>
    <w:p w14:paraId="112ED1AB" w14:textId="77777777" w:rsidR="006F3821" w:rsidRPr="006F3821" w:rsidRDefault="006F3821" w:rsidP="00214A9E">
      <w:pPr>
        <w:pStyle w:val="Bibliography"/>
        <w:jc w:val="both"/>
      </w:pPr>
      <w:r w:rsidRPr="006F3821">
        <w:t xml:space="preserve">Ruppert, S. M., Hawn, T. R., Arrigoni, A., Wight, T. N., &amp; Bollyky, P. L. (2014). Tissue integrity signals communicated by high-molecular weight hyaluronan and the resolution of inflammation. </w:t>
      </w:r>
      <w:r w:rsidRPr="006F3821">
        <w:rPr>
          <w:i/>
          <w:iCs/>
        </w:rPr>
        <w:t>Immunologic Research</w:t>
      </w:r>
      <w:r w:rsidRPr="006F3821">
        <w:t xml:space="preserve">, </w:t>
      </w:r>
      <w:r w:rsidRPr="006F3821">
        <w:rPr>
          <w:i/>
          <w:iCs/>
        </w:rPr>
        <w:t>58</w:t>
      </w:r>
      <w:r w:rsidRPr="006F3821">
        <w:t>(0), 186–192. https://doi.org/10.1007/s12026-014-8495-2</w:t>
      </w:r>
    </w:p>
    <w:p w14:paraId="4C2E379B" w14:textId="77777777" w:rsidR="006F3821" w:rsidRPr="006F3821" w:rsidRDefault="006F3821" w:rsidP="00214A9E">
      <w:pPr>
        <w:pStyle w:val="Bibliography"/>
        <w:jc w:val="both"/>
      </w:pPr>
      <w:r w:rsidRPr="006F3821">
        <w:t xml:space="preserve">Sanchez, B., Ferraro, S., Josset-Lamaugarny, A., Pagnon, A., Hee, C. K., Nakab, L., Sigaudo-Roussel, D., &amp; Fromy, B. (2023). Skin Cell and Tissue Responses to Cross-Linked Hyaluronic Acid in Low-Grade Inflammatory Conditions. </w:t>
      </w:r>
      <w:r w:rsidRPr="006F3821">
        <w:rPr>
          <w:i/>
          <w:iCs/>
        </w:rPr>
        <w:t>International Journal of Inflammation</w:t>
      </w:r>
      <w:r w:rsidRPr="006F3821">
        <w:t xml:space="preserve">, </w:t>
      </w:r>
      <w:r w:rsidRPr="006F3821">
        <w:rPr>
          <w:i/>
          <w:iCs/>
        </w:rPr>
        <w:t>2023</w:t>
      </w:r>
      <w:r w:rsidRPr="006F3821">
        <w:t>, 3001080. https://doi.org/10.1155/2023/3001080</w:t>
      </w:r>
    </w:p>
    <w:p w14:paraId="24180EC6" w14:textId="77777777" w:rsidR="006F3821" w:rsidRPr="006F3821" w:rsidRDefault="006F3821" w:rsidP="00214A9E">
      <w:pPr>
        <w:pStyle w:val="Bibliography"/>
        <w:jc w:val="both"/>
      </w:pPr>
      <w:r w:rsidRPr="006F3821">
        <w:t xml:space="preserve">Sodhi, H., &amp; Panitch, A. (2021). Glycosaminoglycans in Tissue Engineering: A Review. </w:t>
      </w:r>
      <w:r w:rsidRPr="006F3821">
        <w:rPr>
          <w:i/>
          <w:iCs/>
        </w:rPr>
        <w:t>Biomolecules</w:t>
      </w:r>
      <w:r w:rsidRPr="006F3821">
        <w:t xml:space="preserve">, </w:t>
      </w:r>
      <w:r w:rsidRPr="006F3821">
        <w:rPr>
          <w:i/>
          <w:iCs/>
        </w:rPr>
        <w:t>11</w:t>
      </w:r>
      <w:r w:rsidRPr="006F3821">
        <w:t>(1), Article 1. https://doi.org/10.3390/biom11010029</w:t>
      </w:r>
    </w:p>
    <w:p w14:paraId="49FB971F" w14:textId="77777777" w:rsidR="006F3821" w:rsidRPr="006F3821" w:rsidRDefault="006F3821" w:rsidP="00214A9E">
      <w:pPr>
        <w:pStyle w:val="Bibliography"/>
        <w:jc w:val="both"/>
      </w:pPr>
      <w:r w:rsidRPr="006F3821">
        <w:t xml:space="preserve">Takeuchi, O., &amp; Akira, S. (2010). Pattern Recognition Receptors and Inflammation. </w:t>
      </w:r>
      <w:r w:rsidRPr="006F3821">
        <w:rPr>
          <w:i/>
          <w:iCs/>
        </w:rPr>
        <w:t>Cell</w:t>
      </w:r>
      <w:r w:rsidRPr="006F3821">
        <w:t xml:space="preserve">, </w:t>
      </w:r>
      <w:r w:rsidRPr="006F3821">
        <w:rPr>
          <w:i/>
          <w:iCs/>
        </w:rPr>
        <w:t>140</w:t>
      </w:r>
      <w:r w:rsidRPr="006F3821">
        <w:t>(6), 805–820. https://doi.org/10.1016/j.cell.2010.01.022</w:t>
      </w:r>
    </w:p>
    <w:p w14:paraId="53E16E41" w14:textId="77777777" w:rsidR="006F3821" w:rsidRPr="006F3821" w:rsidRDefault="006F3821" w:rsidP="00214A9E">
      <w:pPr>
        <w:pStyle w:val="Bibliography"/>
        <w:jc w:val="both"/>
      </w:pPr>
      <w:r w:rsidRPr="006F3821">
        <w:t xml:space="preserve">Ucm, R., Aem, M., Lhb, Z., Kumar, V., Taherzadeh, M. J., Garlapati, V. K., &amp; Chandel, A. K. (2022). Comprehensive review on biotechnological production of hyaluronic acid: Status, innovation, market and applications. </w:t>
      </w:r>
      <w:r w:rsidRPr="006F3821">
        <w:rPr>
          <w:i/>
          <w:iCs/>
        </w:rPr>
        <w:t>Bioengineered</w:t>
      </w:r>
      <w:r w:rsidRPr="006F3821">
        <w:t xml:space="preserve">, </w:t>
      </w:r>
      <w:r w:rsidRPr="006F3821">
        <w:rPr>
          <w:i/>
          <w:iCs/>
        </w:rPr>
        <w:t>13</w:t>
      </w:r>
      <w:r w:rsidRPr="006F3821">
        <w:t>(4), 9645–9661. https://doi.org/10.1080/21655979.2022.2057760</w:t>
      </w:r>
    </w:p>
    <w:p w14:paraId="0A4FA655" w14:textId="77777777" w:rsidR="006F3821" w:rsidRPr="006F3821" w:rsidRDefault="006F3821" w:rsidP="00214A9E">
      <w:pPr>
        <w:pStyle w:val="Bibliography"/>
        <w:jc w:val="both"/>
      </w:pPr>
      <w:r w:rsidRPr="006F3821">
        <w:t xml:space="preserve">Vedamurthy, M. (2018). Beware What You Inject: Complications of Injectables—Dermal Fillers. </w:t>
      </w:r>
      <w:r w:rsidRPr="006F3821">
        <w:rPr>
          <w:i/>
          <w:iCs/>
        </w:rPr>
        <w:t>Journal of Cutaneous and Aesthetic Surgery</w:t>
      </w:r>
      <w:r w:rsidRPr="006F3821">
        <w:t xml:space="preserve">, </w:t>
      </w:r>
      <w:r w:rsidRPr="006F3821">
        <w:rPr>
          <w:i/>
          <w:iCs/>
        </w:rPr>
        <w:t>11</w:t>
      </w:r>
      <w:r w:rsidRPr="006F3821">
        <w:t>(2), 60–66. https://doi.org/10.4103/JCAS.JCAS_68_18</w:t>
      </w:r>
    </w:p>
    <w:p w14:paraId="2CACC1E1" w14:textId="77777777" w:rsidR="006F3821" w:rsidRPr="006F3821" w:rsidRDefault="006F3821" w:rsidP="00214A9E">
      <w:pPr>
        <w:pStyle w:val="Bibliography"/>
        <w:jc w:val="both"/>
      </w:pPr>
      <w:r w:rsidRPr="006F3821">
        <w:lastRenderedPageBreak/>
        <w:t xml:space="preserve">Wang, H., &amp; Jung, J. A. (2023). Recurrent delayed hypersensitivity reaction to a hyaluronic acid soft-tissue filler following COVID-19 vaccination: A case report. </w:t>
      </w:r>
      <w:r w:rsidRPr="006F3821">
        <w:rPr>
          <w:i/>
          <w:iCs/>
        </w:rPr>
        <w:t>Archives of Aesthetic Plastic Surgery</w:t>
      </w:r>
      <w:r w:rsidRPr="006F3821">
        <w:t xml:space="preserve">, </w:t>
      </w:r>
      <w:r w:rsidRPr="006F3821">
        <w:rPr>
          <w:i/>
          <w:iCs/>
        </w:rPr>
        <w:t>29</w:t>
      </w:r>
      <w:r w:rsidRPr="006F3821">
        <w:t>(1), 55–58. https://doi.org/10.14730/aaps.2022.00696</w:t>
      </w:r>
    </w:p>
    <w:p w14:paraId="7A9694A6" w14:textId="77777777" w:rsidR="006F3821" w:rsidRPr="006F3821" w:rsidRDefault="006F3821" w:rsidP="00214A9E">
      <w:pPr>
        <w:pStyle w:val="Bibliography"/>
        <w:jc w:val="both"/>
      </w:pPr>
      <w:r w:rsidRPr="006F3821">
        <w:t xml:space="preserve">Wongprasert, P., Dreiss, C. A., &amp; Murray, G. (2022). Evaluating hyaluronic acid dermal fillers: A critique of current characterization methods. </w:t>
      </w:r>
      <w:r w:rsidRPr="006F3821">
        <w:rPr>
          <w:i/>
          <w:iCs/>
        </w:rPr>
        <w:t>Dermatologic Therapy</w:t>
      </w:r>
      <w:r w:rsidRPr="006F3821">
        <w:t xml:space="preserve">, </w:t>
      </w:r>
      <w:r w:rsidRPr="006F3821">
        <w:rPr>
          <w:i/>
          <w:iCs/>
        </w:rPr>
        <w:t>35</w:t>
      </w:r>
      <w:r w:rsidRPr="006F3821">
        <w:t>(6), e15453. https://doi.org/10.1111/dth.15453</w:t>
      </w:r>
    </w:p>
    <w:p w14:paraId="707D5FCA" w14:textId="4CCD5959" w:rsidR="00627CE5" w:rsidRPr="00671524" w:rsidRDefault="00671524" w:rsidP="00214A9E">
      <w:pPr>
        <w:pStyle w:val="jbd-alamat"/>
      </w:pPr>
      <w:r>
        <w:fldChar w:fldCharType="end"/>
      </w:r>
    </w:p>
    <w:sectPr w:rsidR="00627CE5" w:rsidRPr="00671524" w:rsidSect="002A3761">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500" w:footer="85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18FB6" w14:textId="77777777" w:rsidR="00AB0D49" w:rsidRDefault="00AB0D49" w:rsidP="00D0645C">
      <w:r>
        <w:separator/>
      </w:r>
    </w:p>
  </w:endnote>
  <w:endnote w:type="continuationSeparator" w:id="0">
    <w:p w14:paraId="1A7139FE" w14:textId="77777777" w:rsidR="00AB0D49" w:rsidRDefault="00AB0D49" w:rsidP="00D0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eza Pro Bold">
    <w:altName w:val="Segoe UI Semilight"/>
    <w:charset w:val="B2"/>
    <w:family w:val="auto"/>
    <w:pitch w:val="variable"/>
    <w:sig w:usb0="00000000" w:usb1="80000000" w:usb2="00000008" w:usb3="00000000" w:csb0="00000041" w:csb1="00000000"/>
  </w:font>
  <w:font w:name="Geeza Pro Regular">
    <w:altName w:val="Geeza Pro"/>
    <w:charset w:val="B2"/>
    <w:family w:val="auto"/>
    <w:pitch w:val="variable"/>
    <w:sig w:usb0="80002001" w:usb1="80000000" w:usb2="00000008" w:usb3="00000000" w:csb0="00000041" w:csb1="00000000"/>
  </w:font>
  <w:font w:name="Batang">
    <w:altName w:val="바탕"/>
    <w:panose1 w:val="02030600000101010101"/>
    <w:charset w:val="81"/>
    <w:family w:val="roman"/>
    <w:pitch w:val="variable"/>
    <w:sig w:usb0="B00002AF" w:usb1="69D77CFB" w:usb2="00000030" w:usb3="00000000" w:csb0="0028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01226393"/>
      <w:docPartObj>
        <w:docPartGallery w:val="Page Numbers (Bottom of Page)"/>
        <w:docPartUnique/>
      </w:docPartObj>
    </w:sdtPr>
    <w:sdtEndPr>
      <w:rPr>
        <w:rStyle w:val="PageNumber"/>
      </w:rPr>
    </w:sdtEndPr>
    <w:sdtContent>
      <w:p w14:paraId="3E33D0A7" w14:textId="77777777" w:rsidR="00A53123" w:rsidRDefault="00F253A3" w:rsidP="00D0645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D8730D" w14:textId="77777777" w:rsidR="00A53123" w:rsidRDefault="00A53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00456049"/>
      <w:docPartObj>
        <w:docPartGallery w:val="Page Numbers (Bottom of Page)"/>
        <w:docPartUnique/>
      </w:docPartObj>
    </w:sdtPr>
    <w:sdtEndPr>
      <w:rPr>
        <w:rStyle w:val="PageNumber"/>
      </w:rPr>
    </w:sdtEndPr>
    <w:sdtContent>
      <w:p w14:paraId="6F2CED39" w14:textId="0F29802F" w:rsidR="00D0645C" w:rsidRDefault="00D0645C" w:rsidP="00915C71">
        <w:pPr>
          <w:pStyle w:val="Footer"/>
          <w:framePr w:w="163"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E75BF">
          <w:rPr>
            <w:rStyle w:val="PageNumber"/>
            <w:noProof/>
          </w:rPr>
          <w:t>10</w:t>
        </w:r>
        <w:r>
          <w:rPr>
            <w:rStyle w:val="PageNumber"/>
          </w:rPr>
          <w:fldChar w:fldCharType="end"/>
        </w:r>
      </w:p>
    </w:sdtContent>
  </w:sdt>
  <w:p w14:paraId="2995A509" w14:textId="77777777" w:rsidR="00A53123" w:rsidRDefault="00A53123" w:rsidP="00915C71">
    <w:pPr>
      <w:pStyle w:val="Footer"/>
      <w:framePr w:w="163" w:wrap="none" w:vAnchor="text" w:hAnchor="margin" w:xAlign="center" w:y="1"/>
      <w:rPr>
        <w:rStyle w:val="PageNumber"/>
      </w:rPr>
    </w:pPr>
  </w:p>
  <w:p w14:paraId="6CE91186" w14:textId="77777777" w:rsidR="00A53123" w:rsidRDefault="00A53123" w:rsidP="00CC3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593E5" w14:textId="77777777" w:rsidR="002A3761" w:rsidRDefault="002A3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71BE2" w14:textId="77777777" w:rsidR="00AB0D49" w:rsidRDefault="00AB0D49" w:rsidP="00D0645C">
      <w:r>
        <w:separator/>
      </w:r>
    </w:p>
  </w:footnote>
  <w:footnote w:type="continuationSeparator" w:id="0">
    <w:p w14:paraId="27972E69" w14:textId="77777777" w:rsidR="00AB0D49" w:rsidRDefault="00AB0D49" w:rsidP="00D06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3F11" w14:textId="6B6FC821" w:rsidR="002A3761" w:rsidRDefault="00AB0D49">
    <w:pPr>
      <w:pStyle w:val="Header"/>
    </w:pPr>
    <w:r>
      <w:rPr>
        <w:noProof/>
      </w:rPr>
      <w:pict w14:anchorId="2C5F9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183672" o:spid="_x0000_s2051" type="#_x0000_t136" alt="" style="position:absolute;margin-left:0;margin-top:0;width:572.25pt;height:63.5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ED5A" w14:textId="565F101E" w:rsidR="00A53123" w:rsidRDefault="00AB0D49">
    <w:pPr>
      <w:pStyle w:val="a"/>
      <w:tabs>
        <w:tab w:val="center" w:pos="4870"/>
        <w:tab w:val="right" w:pos="9740"/>
      </w:tabs>
    </w:pPr>
    <w:r>
      <w:rPr>
        <w:noProof/>
      </w:rPr>
      <w:pict w14:anchorId="3E441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183673" o:spid="_x0000_s2050" type="#_x0000_t136" alt="" style="position:absolute;margin-left:0;margin-top:0;width:572.25pt;height:63.5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CB220" w14:textId="64CF3E5F" w:rsidR="002A3761" w:rsidRDefault="00AB0D49">
    <w:pPr>
      <w:pStyle w:val="Header"/>
    </w:pPr>
    <w:r>
      <w:rPr>
        <w:noProof/>
      </w:rPr>
      <w:pict w14:anchorId="4B71B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183671" o:spid="_x0000_s2049" type="#_x0000_t136" alt="" style="position:absolute;margin-left:0;margin-top:0;width:572.25pt;height:63.5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1FA"/>
    <w:multiLevelType w:val="multilevel"/>
    <w:tmpl w:val="D1424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D383C"/>
    <w:multiLevelType w:val="hybridMultilevel"/>
    <w:tmpl w:val="2D28C4A6"/>
    <w:lvl w:ilvl="0" w:tplc="B0765054">
      <w:start w:val="1"/>
      <w:numFmt w:val="upperLetter"/>
      <w:lvlText w:val="%1."/>
      <w:lvlJc w:val="left"/>
      <w:pPr>
        <w:ind w:left="720" w:hanging="360"/>
      </w:pPr>
      <w:rPr>
        <w:rFonts w:eastAsia="Arial Unicode M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D3435D"/>
    <w:multiLevelType w:val="hybridMultilevel"/>
    <w:tmpl w:val="C3CE64D0"/>
    <w:lvl w:ilvl="0" w:tplc="E31E9DC2">
      <w:start w:val="1"/>
      <w:numFmt w:val="decimal"/>
      <w:lvlText w:val="%1."/>
      <w:lvlJc w:val="left"/>
      <w:pPr>
        <w:ind w:left="720" w:hanging="360"/>
      </w:pPr>
      <w:rPr>
        <w:rFonts w:eastAsia="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DB6230"/>
    <w:multiLevelType w:val="hybridMultilevel"/>
    <w:tmpl w:val="28BC1E6E"/>
    <w:lvl w:ilvl="0" w:tplc="08090015">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2E2274"/>
    <w:multiLevelType w:val="hybridMultilevel"/>
    <w:tmpl w:val="469E9E3A"/>
    <w:lvl w:ilvl="0" w:tplc="9D6A8F84">
      <w:start w:val="1"/>
      <w:numFmt w:val="decimal"/>
      <w:lvlText w:val="%1."/>
      <w:lvlJc w:val="left"/>
      <w:pPr>
        <w:ind w:left="720" w:hanging="360"/>
      </w:pPr>
      <w:rPr>
        <w:rFonts w:eastAsia="Arial Unicode M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75282D"/>
    <w:multiLevelType w:val="hybridMultilevel"/>
    <w:tmpl w:val="BD785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I0sDA0MzI3NzQzNzZT0lEKTi0uzszPAykwrAUAiQTtwCwAAAA="/>
  </w:docVars>
  <w:rsids>
    <w:rsidRoot w:val="00D0645C"/>
    <w:rsid w:val="000072E8"/>
    <w:rsid w:val="00011B43"/>
    <w:rsid w:val="00017BA6"/>
    <w:rsid w:val="00025F26"/>
    <w:rsid w:val="00040DA6"/>
    <w:rsid w:val="000418BC"/>
    <w:rsid w:val="00046CA0"/>
    <w:rsid w:val="00046D39"/>
    <w:rsid w:val="00050C53"/>
    <w:rsid w:val="000615BE"/>
    <w:rsid w:val="000637E6"/>
    <w:rsid w:val="00065704"/>
    <w:rsid w:val="0006728D"/>
    <w:rsid w:val="00071347"/>
    <w:rsid w:val="00081CDA"/>
    <w:rsid w:val="00082A47"/>
    <w:rsid w:val="00085D85"/>
    <w:rsid w:val="00087079"/>
    <w:rsid w:val="00091930"/>
    <w:rsid w:val="000A4B39"/>
    <w:rsid w:val="000A59BE"/>
    <w:rsid w:val="000B106C"/>
    <w:rsid w:val="000B4173"/>
    <w:rsid w:val="000C12CA"/>
    <w:rsid w:val="000C1C63"/>
    <w:rsid w:val="000C2CCC"/>
    <w:rsid w:val="000C6986"/>
    <w:rsid w:val="000E49F6"/>
    <w:rsid w:val="000E6316"/>
    <w:rsid w:val="000F2F6E"/>
    <w:rsid w:val="000F4BDD"/>
    <w:rsid w:val="0010313D"/>
    <w:rsid w:val="00110BB2"/>
    <w:rsid w:val="00116CD5"/>
    <w:rsid w:val="00120995"/>
    <w:rsid w:val="00123544"/>
    <w:rsid w:val="00124BB1"/>
    <w:rsid w:val="00124D76"/>
    <w:rsid w:val="0013280E"/>
    <w:rsid w:val="00133254"/>
    <w:rsid w:val="0013592A"/>
    <w:rsid w:val="0013640A"/>
    <w:rsid w:val="00141656"/>
    <w:rsid w:val="0014180F"/>
    <w:rsid w:val="00152393"/>
    <w:rsid w:val="00155CD3"/>
    <w:rsid w:val="00161DCE"/>
    <w:rsid w:val="001708D1"/>
    <w:rsid w:val="001916C8"/>
    <w:rsid w:val="00191947"/>
    <w:rsid w:val="00196BBA"/>
    <w:rsid w:val="001A7F04"/>
    <w:rsid w:val="001B2340"/>
    <w:rsid w:val="001B30C7"/>
    <w:rsid w:val="001C02FB"/>
    <w:rsid w:val="001D57E4"/>
    <w:rsid w:val="001D6BF7"/>
    <w:rsid w:val="001D71C1"/>
    <w:rsid w:val="001E2688"/>
    <w:rsid w:val="001E4842"/>
    <w:rsid w:val="001F47EC"/>
    <w:rsid w:val="00204CDE"/>
    <w:rsid w:val="00210E62"/>
    <w:rsid w:val="002120E8"/>
    <w:rsid w:val="00212342"/>
    <w:rsid w:val="00213493"/>
    <w:rsid w:val="00214A9E"/>
    <w:rsid w:val="00222095"/>
    <w:rsid w:val="00234F79"/>
    <w:rsid w:val="002406C6"/>
    <w:rsid w:val="00242A03"/>
    <w:rsid w:val="00266140"/>
    <w:rsid w:val="002769F6"/>
    <w:rsid w:val="00294ED0"/>
    <w:rsid w:val="002A29D3"/>
    <w:rsid w:val="002A3761"/>
    <w:rsid w:val="002A7269"/>
    <w:rsid w:val="002C4DE9"/>
    <w:rsid w:val="002C77A3"/>
    <w:rsid w:val="002D01C6"/>
    <w:rsid w:val="002D44B1"/>
    <w:rsid w:val="002D4DBD"/>
    <w:rsid w:val="002E0F3E"/>
    <w:rsid w:val="002F37F6"/>
    <w:rsid w:val="002F5EA8"/>
    <w:rsid w:val="0030332F"/>
    <w:rsid w:val="003115AF"/>
    <w:rsid w:val="00313139"/>
    <w:rsid w:val="00320D31"/>
    <w:rsid w:val="003233F0"/>
    <w:rsid w:val="00325175"/>
    <w:rsid w:val="00331E59"/>
    <w:rsid w:val="00355605"/>
    <w:rsid w:val="00360A9A"/>
    <w:rsid w:val="00361379"/>
    <w:rsid w:val="00371C44"/>
    <w:rsid w:val="00372CB3"/>
    <w:rsid w:val="00373ACA"/>
    <w:rsid w:val="00375583"/>
    <w:rsid w:val="00380A10"/>
    <w:rsid w:val="00383A41"/>
    <w:rsid w:val="003A035D"/>
    <w:rsid w:val="003A1C5E"/>
    <w:rsid w:val="003A21AC"/>
    <w:rsid w:val="003A43AA"/>
    <w:rsid w:val="003B5B3C"/>
    <w:rsid w:val="003C2E37"/>
    <w:rsid w:val="003E138E"/>
    <w:rsid w:val="003E334A"/>
    <w:rsid w:val="003E764D"/>
    <w:rsid w:val="003F4447"/>
    <w:rsid w:val="003F6ABB"/>
    <w:rsid w:val="00403FA1"/>
    <w:rsid w:val="004123EC"/>
    <w:rsid w:val="004156ED"/>
    <w:rsid w:val="00425120"/>
    <w:rsid w:val="00425BF1"/>
    <w:rsid w:val="00446F03"/>
    <w:rsid w:val="00454F95"/>
    <w:rsid w:val="00457E7C"/>
    <w:rsid w:val="00463842"/>
    <w:rsid w:val="00465879"/>
    <w:rsid w:val="00466DDC"/>
    <w:rsid w:val="00467B79"/>
    <w:rsid w:val="00471C7D"/>
    <w:rsid w:val="00472617"/>
    <w:rsid w:val="004728C2"/>
    <w:rsid w:val="0049137F"/>
    <w:rsid w:val="00492490"/>
    <w:rsid w:val="004949AE"/>
    <w:rsid w:val="004A2954"/>
    <w:rsid w:val="004B1EC2"/>
    <w:rsid w:val="004B2D6C"/>
    <w:rsid w:val="004B3508"/>
    <w:rsid w:val="004D6FA0"/>
    <w:rsid w:val="004E1502"/>
    <w:rsid w:val="004E1FDD"/>
    <w:rsid w:val="004E3F64"/>
    <w:rsid w:val="004F1467"/>
    <w:rsid w:val="004F29DA"/>
    <w:rsid w:val="0050221F"/>
    <w:rsid w:val="00502795"/>
    <w:rsid w:val="00503084"/>
    <w:rsid w:val="00507551"/>
    <w:rsid w:val="00507B15"/>
    <w:rsid w:val="00507D83"/>
    <w:rsid w:val="00510029"/>
    <w:rsid w:val="0051282D"/>
    <w:rsid w:val="005138F8"/>
    <w:rsid w:val="00513E96"/>
    <w:rsid w:val="005160C8"/>
    <w:rsid w:val="00522B97"/>
    <w:rsid w:val="005311A9"/>
    <w:rsid w:val="0053420C"/>
    <w:rsid w:val="00535EEE"/>
    <w:rsid w:val="00536947"/>
    <w:rsid w:val="00537E70"/>
    <w:rsid w:val="005401E1"/>
    <w:rsid w:val="0054128E"/>
    <w:rsid w:val="00556C96"/>
    <w:rsid w:val="00560573"/>
    <w:rsid w:val="00560834"/>
    <w:rsid w:val="00563C79"/>
    <w:rsid w:val="00574B4B"/>
    <w:rsid w:val="005825B4"/>
    <w:rsid w:val="0058578E"/>
    <w:rsid w:val="00586BED"/>
    <w:rsid w:val="005873C3"/>
    <w:rsid w:val="005903E4"/>
    <w:rsid w:val="00592A96"/>
    <w:rsid w:val="00594A09"/>
    <w:rsid w:val="005A37C0"/>
    <w:rsid w:val="005A5007"/>
    <w:rsid w:val="005A58F9"/>
    <w:rsid w:val="005A72D9"/>
    <w:rsid w:val="005B00FB"/>
    <w:rsid w:val="005C01DC"/>
    <w:rsid w:val="005C1411"/>
    <w:rsid w:val="005C36E8"/>
    <w:rsid w:val="005D2950"/>
    <w:rsid w:val="005D4B04"/>
    <w:rsid w:val="005E3F21"/>
    <w:rsid w:val="005F40A7"/>
    <w:rsid w:val="005F5B58"/>
    <w:rsid w:val="005F6698"/>
    <w:rsid w:val="006024FC"/>
    <w:rsid w:val="006062CC"/>
    <w:rsid w:val="00606699"/>
    <w:rsid w:val="00612344"/>
    <w:rsid w:val="00627CE5"/>
    <w:rsid w:val="00640E2A"/>
    <w:rsid w:val="006415AC"/>
    <w:rsid w:val="006474E9"/>
    <w:rsid w:val="00651DFF"/>
    <w:rsid w:val="00656E0B"/>
    <w:rsid w:val="00662027"/>
    <w:rsid w:val="00662E86"/>
    <w:rsid w:val="00667007"/>
    <w:rsid w:val="00671524"/>
    <w:rsid w:val="00677FF0"/>
    <w:rsid w:val="0068575C"/>
    <w:rsid w:val="006A43E7"/>
    <w:rsid w:val="006B28B3"/>
    <w:rsid w:val="006C03D6"/>
    <w:rsid w:val="006C4E87"/>
    <w:rsid w:val="006D41B5"/>
    <w:rsid w:val="006E3037"/>
    <w:rsid w:val="006E6713"/>
    <w:rsid w:val="006F3821"/>
    <w:rsid w:val="00702D39"/>
    <w:rsid w:val="0070731D"/>
    <w:rsid w:val="00711101"/>
    <w:rsid w:val="00712281"/>
    <w:rsid w:val="007128C9"/>
    <w:rsid w:val="00716C99"/>
    <w:rsid w:val="00723E5E"/>
    <w:rsid w:val="00724FC2"/>
    <w:rsid w:val="00725FE0"/>
    <w:rsid w:val="007279FF"/>
    <w:rsid w:val="00730670"/>
    <w:rsid w:val="00736B0E"/>
    <w:rsid w:val="00740DAD"/>
    <w:rsid w:val="0074195C"/>
    <w:rsid w:val="00744483"/>
    <w:rsid w:val="007453B9"/>
    <w:rsid w:val="00747D56"/>
    <w:rsid w:val="00752B24"/>
    <w:rsid w:val="00755B66"/>
    <w:rsid w:val="00762963"/>
    <w:rsid w:val="00770A49"/>
    <w:rsid w:val="007802B6"/>
    <w:rsid w:val="0079599A"/>
    <w:rsid w:val="007A4879"/>
    <w:rsid w:val="007B4E2A"/>
    <w:rsid w:val="007B67D8"/>
    <w:rsid w:val="007C4667"/>
    <w:rsid w:val="007C5536"/>
    <w:rsid w:val="007D1903"/>
    <w:rsid w:val="007D1F18"/>
    <w:rsid w:val="007D472F"/>
    <w:rsid w:val="007E315F"/>
    <w:rsid w:val="007E354D"/>
    <w:rsid w:val="007E755C"/>
    <w:rsid w:val="007F02A5"/>
    <w:rsid w:val="007F226E"/>
    <w:rsid w:val="007F233B"/>
    <w:rsid w:val="007F3637"/>
    <w:rsid w:val="00813B0A"/>
    <w:rsid w:val="00815723"/>
    <w:rsid w:val="00821792"/>
    <w:rsid w:val="00822BD5"/>
    <w:rsid w:val="00827D73"/>
    <w:rsid w:val="00831044"/>
    <w:rsid w:val="00834426"/>
    <w:rsid w:val="008367BE"/>
    <w:rsid w:val="00843D21"/>
    <w:rsid w:val="00861136"/>
    <w:rsid w:val="00865EF2"/>
    <w:rsid w:val="0086650A"/>
    <w:rsid w:val="0087373F"/>
    <w:rsid w:val="0088033C"/>
    <w:rsid w:val="0088038A"/>
    <w:rsid w:val="0088473C"/>
    <w:rsid w:val="00885610"/>
    <w:rsid w:val="008967B8"/>
    <w:rsid w:val="00897A1E"/>
    <w:rsid w:val="008A12B0"/>
    <w:rsid w:val="008B087A"/>
    <w:rsid w:val="008B3188"/>
    <w:rsid w:val="008B5E60"/>
    <w:rsid w:val="008C0A54"/>
    <w:rsid w:val="008C140D"/>
    <w:rsid w:val="008D1EAA"/>
    <w:rsid w:val="008D2126"/>
    <w:rsid w:val="008E3F4C"/>
    <w:rsid w:val="0090473C"/>
    <w:rsid w:val="00907B06"/>
    <w:rsid w:val="00915C71"/>
    <w:rsid w:val="00916F80"/>
    <w:rsid w:val="009235A1"/>
    <w:rsid w:val="00926B58"/>
    <w:rsid w:val="0093079C"/>
    <w:rsid w:val="00930D49"/>
    <w:rsid w:val="00935353"/>
    <w:rsid w:val="00937A15"/>
    <w:rsid w:val="0094538F"/>
    <w:rsid w:val="00945B14"/>
    <w:rsid w:val="009468D0"/>
    <w:rsid w:val="00950EEE"/>
    <w:rsid w:val="00953EB9"/>
    <w:rsid w:val="00956528"/>
    <w:rsid w:val="00962BED"/>
    <w:rsid w:val="009A3E4A"/>
    <w:rsid w:val="009A6DF6"/>
    <w:rsid w:val="009B327C"/>
    <w:rsid w:val="009C2C48"/>
    <w:rsid w:val="009E3BEB"/>
    <w:rsid w:val="009E75BF"/>
    <w:rsid w:val="009F6203"/>
    <w:rsid w:val="00A027DC"/>
    <w:rsid w:val="00A034DC"/>
    <w:rsid w:val="00A16EC7"/>
    <w:rsid w:val="00A320C8"/>
    <w:rsid w:val="00A342B2"/>
    <w:rsid w:val="00A3617A"/>
    <w:rsid w:val="00A4062E"/>
    <w:rsid w:val="00A53123"/>
    <w:rsid w:val="00A6120D"/>
    <w:rsid w:val="00A6153B"/>
    <w:rsid w:val="00A62BA3"/>
    <w:rsid w:val="00A63637"/>
    <w:rsid w:val="00A64360"/>
    <w:rsid w:val="00A75992"/>
    <w:rsid w:val="00A81488"/>
    <w:rsid w:val="00A82944"/>
    <w:rsid w:val="00A8368E"/>
    <w:rsid w:val="00A83B7F"/>
    <w:rsid w:val="00A84B8E"/>
    <w:rsid w:val="00A905F6"/>
    <w:rsid w:val="00AA4504"/>
    <w:rsid w:val="00AA6C4A"/>
    <w:rsid w:val="00AB0D49"/>
    <w:rsid w:val="00AB1BD9"/>
    <w:rsid w:val="00AC021D"/>
    <w:rsid w:val="00AE00E3"/>
    <w:rsid w:val="00AE062A"/>
    <w:rsid w:val="00AE4342"/>
    <w:rsid w:val="00AE5F67"/>
    <w:rsid w:val="00AF50A2"/>
    <w:rsid w:val="00AF6E22"/>
    <w:rsid w:val="00B04AF5"/>
    <w:rsid w:val="00B13FAC"/>
    <w:rsid w:val="00B1449A"/>
    <w:rsid w:val="00B24165"/>
    <w:rsid w:val="00B36F89"/>
    <w:rsid w:val="00B47612"/>
    <w:rsid w:val="00B514A1"/>
    <w:rsid w:val="00B51638"/>
    <w:rsid w:val="00B5401D"/>
    <w:rsid w:val="00B65A9E"/>
    <w:rsid w:val="00B750A8"/>
    <w:rsid w:val="00B755EF"/>
    <w:rsid w:val="00B81B6E"/>
    <w:rsid w:val="00B87B58"/>
    <w:rsid w:val="00BA3E32"/>
    <w:rsid w:val="00BB1793"/>
    <w:rsid w:val="00BC4B7B"/>
    <w:rsid w:val="00BD55A6"/>
    <w:rsid w:val="00BE0C31"/>
    <w:rsid w:val="00BE467F"/>
    <w:rsid w:val="00BF12D3"/>
    <w:rsid w:val="00C06E71"/>
    <w:rsid w:val="00C10031"/>
    <w:rsid w:val="00C12A48"/>
    <w:rsid w:val="00C24C6D"/>
    <w:rsid w:val="00C25042"/>
    <w:rsid w:val="00C33F00"/>
    <w:rsid w:val="00C35F76"/>
    <w:rsid w:val="00C4241F"/>
    <w:rsid w:val="00C445A6"/>
    <w:rsid w:val="00C464EF"/>
    <w:rsid w:val="00C551F2"/>
    <w:rsid w:val="00C55FCC"/>
    <w:rsid w:val="00C615CF"/>
    <w:rsid w:val="00C741F4"/>
    <w:rsid w:val="00C74676"/>
    <w:rsid w:val="00C750A7"/>
    <w:rsid w:val="00C761DC"/>
    <w:rsid w:val="00C96E87"/>
    <w:rsid w:val="00CE54DE"/>
    <w:rsid w:val="00CE6C5E"/>
    <w:rsid w:val="00CF3B16"/>
    <w:rsid w:val="00D05542"/>
    <w:rsid w:val="00D0645C"/>
    <w:rsid w:val="00D14DEE"/>
    <w:rsid w:val="00D2255C"/>
    <w:rsid w:val="00D26CED"/>
    <w:rsid w:val="00D324D7"/>
    <w:rsid w:val="00D43C43"/>
    <w:rsid w:val="00D62021"/>
    <w:rsid w:val="00D81EF6"/>
    <w:rsid w:val="00D85786"/>
    <w:rsid w:val="00D9601C"/>
    <w:rsid w:val="00DA4FDB"/>
    <w:rsid w:val="00DB2C31"/>
    <w:rsid w:val="00DB5494"/>
    <w:rsid w:val="00DC17F0"/>
    <w:rsid w:val="00DC2ED7"/>
    <w:rsid w:val="00DD3539"/>
    <w:rsid w:val="00DE02BA"/>
    <w:rsid w:val="00DE6B6E"/>
    <w:rsid w:val="00DF04B1"/>
    <w:rsid w:val="00DF761E"/>
    <w:rsid w:val="00E000E1"/>
    <w:rsid w:val="00E113AD"/>
    <w:rsid w:val="00E21E0C"/>
    <w:rsid w:val="00E25BE3"/>
    <w:rsid w:val="00E30C51"/>
    <w:rsid w:val="00E3255D"/>
    <w:rsid w:val="00E46499"/>
    <w:rsid w:val="00E52A9A"/>
    <w:rsid w:val="00E616FB"/>
    <w:rsid w:val="00E62843"/>
    <w:rsid w:val="00E6308E"/>
    <w:rsid w:val="00E63F89"/>
    <w:rsid w:val="00E64852"/>
    <w:rsid w:val="00E66E17"/>
    <w:rsid w:val="00E70F0C"/>
    <w:rsid w:val="00E91953"/>
    <w:rsid w:val="00E923EB"/>
    <w:rsid w:val="00EA269E"/>
    <w:rsid w:val="00EA5B75"/>
    <w:rsid w:val="00EB1890"/>
    <w:rsid w:val="00EB36FC"/>
    <w:rsid w:val="00EB429B"/>
    <w:rsid w:val="00EC0317"/>
    <w:rsid w:val="00EC3EFB"/>
    <w:rsid w:val="00EC5FBD"/>
    <w:rsid w:val="00ED1749"/>
    <w:rsid w:val="00ED2990"/>
    <w:rsid w:val="00ED6B16"/>
    <w:rsid w:val="00ED6C34"/>
    <w:rsid w:val="00EE1431"/>
    <w:rsid w:val="00EE7EF6"/>
    <w:rsid w:val="00EF12DA"/>
    <w:rsid w:val="00F006C2"/>
    <w:rsid w:val="00F014E0"/>
    <w:rsid w:val="00F01B4C"/>
    <w:rsid w:val="00F03C2F"/>
    <w:rsid w:val="00F20790"/>
    <w:rsid w:val="00F253A3"/>
    <w:rsid w:val="00F27565"/>
    <w:rsid w:val="00F3053D"/>
    <w:rsid w:val="00F41897"/>
    <w:rsid w:val="00F46FCE"/>
    <w:rsid w:val="00F614FD"/>
    <w:rsid w:val="00F618DE"/>
    <w:rsid w:val="00F627C8"/>
    <w:rsid w:val="00F65BD7"/>
    <w:rsid w:val="00F74F5E"/>
    <w:rsid w:val="00F77D98"/>
    <w:rsid w:val="00F813A4"/>
    <w:rsid w:val="00F83B80"/>
    <w:rsid w:val="00F84E9D"/>
    <w:rsid w:val="00F97634"/>
    <w:rsid w:val="00FA6583"/>
    <w:rsid w:val="00FB61C8"/>
    <w:rsid w:val="00FC095A"/>
    <w:rsid w:val="00FC2F4E"/>
    <w:rsid w:val="00FD75B4"/>
    <w:rsid w:val="00FE41F5"/>
    <w:rsid w:val="00FE51B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6E3DD3"/>
  <w15:chartTrackingRefBased/>
  <w15:docId w15:val="{6C81C2BF-B7C0-0848-8FCE-5B2044BD7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5C"/>
    <w:pPr>
      <w:pBdr>
        <w:top w:val="nil"/>
        <w:left w:val="nil"/>
        <w:bottom w:val="nil"/>
        <w:right w:val="nil"/>
        <w:between w:val="nil"/>
        <w:bar w:val="nil"/>
      </w:pBdr>
    </w:pPr>
    <w:rPr>
      <w:rFonts w:ascii="Times New Roman" w:eastAsia="Arial Unicode MS" w:hAnsi="Times New Roman" w:cs="Times New Roman"/>
      <w:kern w:val="0"/>
      <w:bdr w:val="nil"/>
      <w14:ligatures w14:val="none"/>
    </w:rPr>
  </w:style>
  <w:style w:type="paragraph" w:styleId="Heading3">
    <w:name w:val="heading 3"/>
    <w:basedOn w:val="Normal"/>
    <w:link w:val="Heading3Char"/>
    <w:uiPriority w:val="9"/>
    <w:qFormat/>
    <w:rsid w:val="00AA45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الرأس والتذييل"/>
    <w:rsid w:val="00D0645C"/>
    <w:pPr>
      <w:pBdr>
        <w:top w:val="nil"/>
        <w:left w:val="nil"/>
        <w:bottom w:val="nil"/>
        <w:right w:val="nil"/>
        <w:between w:val="nil"/>
        <w:bar w:val="nil"/>
      </w:pBdr>
    </w:pPr>
    <w:rPr>
      <w:rFonts w:ascii="Geeza Pro Bold" w:eastAsia="Arial Unicode MS" w:hAnsi="Geeza Pro Bold" w:cs="Arial Unicode MS"/>
      <w:caps/>
      <w:color w:val="000000"/>
      <w:kern w:val="0"/>
      <w:sz w:val="18"/>
      <w:szCs w:val="18"/>
      <w:bdr w:val="nil"/>
      <w:lang w:eastAsia="en-GB"/>
      <w14:textOutline w14:w="0" w14:cap="flat" w14:cmpd="sng" w14:algn="ctr">
        <w14:noFill/>
        <w14:prstDash w14:val="solid"/>
        <w14:bevel/>
      </w14:textOutline>
      <w14:ligatures w14:val="none"/>
    </w:rPr>
  </w:style>
  <w:style w:type="paragraph" w:customStyle="1" w:styleId="a0">
    <w:name w:val="السمة"/>
    <w:rsid w:val="00D0645C"/>
    <w:pPr>
      <w:pBdr>
        <w:top w:val="nil"/>
        <w:left w:val="nil"/>
        <w:bottom w:val="nil"/>
        <w:right w:val="nil"/>
        <w:between w:val="nil"/>
        <w:bar w:val="nil"/>
      </w:pBdr>
      <w:tabs>
        <w:tab w:val="right" w:pos="9020"/>
      </w:tabs>
    </w:pPr>
    <w:rPr>
      <w:rFonts w:ascii="Geeza Pro Bold" w:eastAsia="Arial Unicode MS" w:hAnsi="Geeza Pro Bold" w:cs="Arial Unicode MS"/>
      <w:color w:val="000000"/>
      <w:spacing w:val="-13"/>
      <w:kern w:val="0"/>
      <w:sz w:val="46"/>
      <w:szCs w:val="46"/>
      <w:bdr w:val="nil"/>
      <w:lang w:eastAsia="en-GB"/>
      <w14:textOutline w14:w="0" w14:cap="flat" w14:cmpd="sng" w14:algn="ctr">
        <w14:noFill/>
        <w14:prstDash w14:val="solid"/>
        <w14:bevel/>
      </w14:textOutline>
      <w14:ligatures w14:val="none"/>
    </w:rPr>
  </w:style>
  <w:style w:type="paragraph" w:customStyle="1" w:styleId="a1">
    <w:name w:val="الافتراضي"/>
    <w:rsid w:val="00D0645C"/>
    <w:pPr>
      <w:pBdr>
        <w:top w:val="nil"/>
        <w:left w:val="nil"/>
        <w:bottom w:val="nil"/>
        <w:right w:val="nil"/>
        <w:between w:val="nil"/>
        <w:bar w:val="nil"/>
      </w:pBdr>
    </w:pPr>
    <w:rPr>
      <w:rFonts w:ascii="Geeza Pro Regular" w:eastAsia="Arial Unicode MS" w:hAnsi="Geeza Pro Regular" w:cs="Arial Unicode MS"/>
      <w:color w:val="000000"/>
      <w:kern w:val="0"/>
      <w:sz w:val="20"/>
      <w:szCs w:val="20"/>
      <w:bdr w:val="nil"/>
      <w:lang w:val="en-US" w:eastAsia="en-GB"/>
      <w14:textOutline w14:w="0" w14:cap="flat" w14:cmpd="sng" w14:algn="ctr">
        <w14:noFill/>
        <w14:prstDash w14:val="solid"/>
        <w14:bevel/>
      </w14:textOutline>
      <w14:ligatures w14:val="none"/>
    </w:rPr>
  </w:style>
  <w:style w:type="paragraph" w:customStyle="1" w:styleId="a2">
    <w:name w:val="عنوان"/>
    <w:next w:val="Normal"/>
    <w:rsid w:val="00D0645C"/>
    <w:pPr>
      <w:pBdr>
        <w:top w:val="nil"/>
        <w:left w:val="nil"/>
        <w:bottom w:val="nil"/>
        <w:right w:val="nil"/>
        <w:between w:val="nil"/>
        <w:bar w:val="nil"/>
      </w:pBdr>
      <w:bidi/>
      <w:spacing w:after="360" w:line="216" w:lineRule="auto"/>
      <w:outlineLvl w:val="0"/>
    </w:pPr>
    <w:rPr>
      <w:rFonts w:ascii="Geeza Pro Bold" w:eastAsia="Geeza Pro Bold" w:hAnsi="Geeza Pro Bold" w:cs="Geeza Pro Bold"/>
      <w:caps/>
      <w:color w:val="276091"/>
      <w:spacing w:val="-11"/>
      <w:kern w:val="0"/>
      <w:sz w:val="40"/>
      <w:szCs w:val="40"/>
      <w:bdr w:val="nil"/>
      <w:lang w:eastAsia="en-GB"/>
      <w14:textOutline w14:w="0" w14:cap="flat" w14:cmpd="sng" w14:algn="ctr">
        <w14:noFill/>
        <w14:prstDash w14:val="solid"/>
        <w14:bevel/>
      </w14:textOutline>
      <w14:ligatures w14:val="none"/>
    </w:rPr>
  </w:style>
  <w:style w:type="paragraph" w:styleId="Footer">
    <w:name w:val="footer"/>
    <w:basedOn w:val="Normal"/>
    <w:link w:val="FooterChar"/>
    <w:uiPriority w:val="99"/>
    <w:unhideWhenUsed/>
    <w:rsid w:val="00D0645C"/>
    <w:pPr>
      <w:tabs>
        <w:tab w:val="center" w:pos="4680"/>
        <w:tab w:val="right" w:pos="9360"/>
      </w:tabs>
    </w:pPr>
  </w:style>
  <w:style w:type="character" w:customStyle="1" w:styleId="FooterChar">
    <w:name w:val="Footer Char"/>
    <w:basedOn w:val="DefaultParagraphFont"/>
    <w:link w:val="Footer"/>
    <w:uiPriority w:val="99"/>
    <w:rsid w:val="00D0645C"/>
    <w:rPr>
      <w:rFonts w:ascii="Times New Roman" w:eastAsia="Arial Unicode MS" w:hAnsi="Times New Roman" w:cs="Times New Roman"/>
      <w:kern w:val="0"/>
      <w:bdr w:val="nil"/>
      <w14:ligatures w14:val="none"/>
    </w:rPr>
  </w:style>
  <w:style w:type="character" w:styleId="PageNumber">
    <w:name w:val="page number"/>
    <w:basedOn w:val="DefaultParagraphFont"/>
    <w:uiPriority w:val="99"/>
    <w:semiHidden/>
    <w:unhideWhenUsed/>
    <w:rsid w:val="00D0645C"/>
  </w:style>
  <w:style w:type="paragraph" w:styleId="Bibliography">
    <w:name w:val="Bibliography"/>
    <w:basedOn w:val="Normal"/>
    <w:next w:val="Normal"/>
    <w:uiPriority w:val="37"/>
    <w:unhideWhenUsed/>
    <w:rsid w:val="00D0645C"/>
    <w:pPr>
      <w:spacing w:line="480" w:lineRule="auto"/>
      <w:ind w:left="720" w:hanging="720"/>
    </w:pPr>
  </w:style>
  <w:style w:type="paragraph" w:styleId="Header">
    <w:name w:val="header"/>
    <w:basedOn w:val="Normal"/>
    <w:link w:val="HeaderChar"/>
    <w:uiPriority w:val="99"/>
    <w:unhideWhenUsed/>
    <w:rsid w:val="00D0645C"/>
    <w:pPr>
      <w:tabs>
        <w:tab w:val="center" w:pos="4513"/>
        <w:tab w:val="right" w:pos="9026"/>
      </w:tabs>
    </w:pPr>
  </w:style>
  <w:style w:type="character" w:customStyle="1" w:styleId="HeaderChar">
    <w:name w:val="Header Char"/>
    <w:basedOn w:val="DefaultParagraphFont"/>
    <w:link w:val="Header"/>
    <w:uiPriority w:val="99"/>
    <w:rsid w:val="00D0645C"/>
    <w:rPr>
      <w:rFonts w:ascii="Times New Roman" w:eastAsia="Arial Unicode MS" w:hAnsi="Times New Roman" w:cs="Times New Roman"/>
      <w:kern w:val="0"/>
      <w:bdr w:val="nil"/>
      <w14:ligatures w14:val="none"/>
    </w:rPr>
  </w:style>
  <w:style w:type="character" w:styleId="LineNumber">
    <w:name w:val="line number"/>
    <w:basedOn w:val="DefaultParagraphFont"/>
    <w:uiPriority w:val="99"/>
    <w:semiHidden/>
    <w:unhideWhenUsed/>
    <w:rsid w:val="001D57E4"/>
  </w:style>
  <w:style w:type="paragraph" w:customStyle="1" w:styleId="jbd-nam">
    <w:name w:val="jbd-nam"/>
    <w:basedOn w:val="Normal"/>
    <w:qFormat/>
    <w:rsid w:val="00724FC2"/>
    <w:pPr>
      <w:pBdr>
        <w:top w:val="none" w:sz="0" w:space="0" w:color="auto"/>
        <w:left w:val="none" w:sz="0" w:space="0" w:color="auto"/>
        <w:bottom w:val="none" w:sz="0" w:space="0" w:color="auto"/>
        <w:right w:val="none" w:sz="0" w:space="0" w:color="auto"/>
        <w:between w:val="none" w:sz="0" w:space="0" w:color="auto"/>
        <w:bar w:val="none" w:sz="0" w:color="auto"/>
      </w:pBdr>
      <w:spacing w:before="480"/>
      <w:jc w:val="center"/>
    </w:pPr>
    <w:rPr>
      <w:rFonts w:eastAsia="Batang" w:cs="Arial"/>
      <w:b/>
      <w:bCs/>
      <w:caps/>
      <w:sz w:val="20"/>
      <w:szCs w:val="18"/>
      <w:bdr w:val="none" w:sz="0" w:space="0" w:color="auto"/>
      <w:lang w:val="id-ID"/>
    </w:rPr>
  </w:style>
  <w:style w:type="paragraph" w:customStyle="1" w:styleId="jbd-alamat">
    <w:name w:val="jbd-alamat"/>
    <w:basedOn w:val="Normal"/>
    <w:qFormat/>
    <w:rsid w:val="004D6FA0"/>
    <w:pPr>
      <w:spacing w:line="480" w:lineRule="auto"/>
      <w:jc w:val="both"/>
    </w:pPr>
    <w:rPr>
      <w:rFonts w:ascii="Arial" w:hAnsi="Arial" w:cs="Arial"/>
      <w:lang w:val="en-US"/>
    </w:rPr>
  </w:style>
  <w:style w:type="paragraph" w:customStyle="1" w:styleId="Body">
    <w:name w:val="Body"/>
    <w:basedOn w:val="Normal"/>
    <w:rsid w:val="00383A41"/>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ascii="Helvetica" w:eastAsia="Times New Roman" w:hAnsi="Helvetica"/>
      <w:sz w:val="20"/>
      <w:szCs w:val="20"/>
      <w:bdr w:val="none" w:sz="0" w:space="0" w:color="auto"/>
      <w:lang w:val="en-US"/>
    </w:rPr>
  </w:style>
  <w:style w:type="character" w:customStyle="1" w:styleId="hoverbg-super">
    <w:name w:val="hover:bg-super"/>
    <w:basedOn w:val="DefaultParagraphFont"/>
    <w:rsid w:val="00535EEE"/>
  </w:style>
  <w:style w:type="character" w:customStyle="1" w:styleId="whitespace-nowrap">
    <w:name w:val="whitespace-nowrap"/>
    <w:basedOn w:val="DefaultParagraphFont"/>
    <w:rsid w:val="00535EEE"/>
  </w:style>
  <w:style w:type="character" w:customStyle="1" w:styleId="Heading3Char">
    <w:name w:val="Heading 3 Char"/>
    <w:basedOn w:val="DefaultParagraphFont"/>
    <w:link w:val="Heading3"/>
    <w:uiPriority w:val="9"/>
    <w:rsid w:val="00AA4504"/>
    <w:rPr>
      <w:rFonts w:ascii="Times New Roman" w:eastAsia="Times New Roman" w:hAnsi="Times New Roman" w:cs="Times New Roman"/>
      <w:b/>
      <w:bCs/>
      <w:kern w:val="0"/>
      <w:sz w:val="27"/>
      <w:szCs w:val="27"/>
      <w:lang w:eastAsia="en-GB"/>
      <w14:ligatures w14:val="none"/>
    </w:rPr>
  </w:style>
  <w:style w:type="paragraph" w:customStyle="1" w:styleId="my-0">
    <w:name w:val="my-0"/>
    <w:basedOn w:val="Normal"/>
    <w:rsid w:val="00AA45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styleId="Strong">
    <w:name w:val="Strong"/>
    <w:basedOn w:val="DefaultParagraphFont"/>
    <w:uiPriority w:val="22"/>
    <w:qFormat/>
    <w:rsid w:val="00AA4504"/>
    <w:rPr>
      <w:b/>
      <w:bCs/>
    </w:rPr>
  </w:style>
  <w:style w:type="character" w:styleId="Hyperlink">
    <w:name w:val="Hyperlink"/>
    <w:basedOn w:val="DefaultParagraphFont"/>
    <w:uiPriority w:val="99"/>
    <w:unhideWhenUsed/>
    <w:rsid w:val="00AA4504"/>
    <w:rPr>
      <w:color w:val="0000FF"/>
      <w:u w:val="single"/>
    </w:rPr>
  </w:style>
  <w:style w:type="character" w:styleId="Emphasis">
    <w:name w:val="Emphasis"/>
    <w:basedOn w:val="DefaultParagraphFont"/>
    <w:uiPriority w:val="20"/>
    <w:qFormat/>
    <w:rsid w:val="00AA4504"/>
    <w:rPr>
      <w:i/>
      <w:iCs/>
    </w:rPr>
  </w:style>
  <w:style w:type="paragraph" w:styleId="NormalWeb">
    <w:name w:val="Normal (Web)"/>
    <w:basedOn w:val="Normal"/>
    <w:uiPriority w:val="99"/>
    <w:semiHidden/>
    <w:unhideWhenUsed/>
    <w:rsid w:val="00AA45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UnresolvedMention">
    <w:name w:val="Unresolved Mention"/>
    <w:basedOn w:val="DefaultParagraphFont"/>
    <w:uiPriority w:val="99"/>
    <w:semiHidden/>
    <w:unhideWhenUsed/>
    <w:rsid w:val="00821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84009">
      <w:bodyDiv w:val="1"/>
      <w:marLeft w:val="0"/>
      <w:marRight w:val="0"/>
      <w:marTop w:val="0"/>
      <w:marBottom w:val="0"/>
      <w:divBdr>
        <w:top w:val="none" w:sz="0" w:space="0" w:color="auto"/>
        <w:left w:val="none" w:sz="0" w:space="0" w:color="auto"/>
        <w:bottom w:val="none" w:sz="0" w:space="0" w:color="auto"/>
        <w:right w:val="none" w:sz="0" w:space="0" w:color="auto"/>
      </w:divBdr>
      <w:divsChild>
        <w:div w:id="1162701641">
          <w:marLeft w:val="0"/>
          <w:marRight w:val="0"/>
          <w:marTop w:val="0"/>
          <w:marBottom w:val="0"/>
          <w:divBdr>
            <w:top w:val="none" w:sz="0" w:space="0" w:color="auto"/>
            <w:left w:val="none" w:sz="0" w:space="0" w:color="auto"/>
            <w:bottom w:val="none" w:sz="0" w:space="0" w:color="auto"/>
            <w:right w:val="none" w:sz="0" w:space="0" w:color="auto"/>
          </w:divBdr>
          <w:divsChild>
            <w:div w:id="9275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8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B0AA629-D3B0-B544-B937-B8C8A2744411}">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DD9BA-90D9-49F3-BD08-83D5911C5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14607</Words>
  <Characters>83261</Characters>
  <Application>Microsoft Office Word</Application>
  <DocSecurity>0</DocSecurity>
  <Lines>693</Lines>
  <Paragraphs>195</Paragraphs>
  <ScaleCrop>false</ScaleCrop>
  <Company/>
  <LinksUpToDate>false</LinksUpToDate>
  <CharactersWithSpaces>97673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Marwan Al-Maqtoofi</dc:creator>
  <cp:keywords/>
  <dc:description/>
  <cp:lastModifiedBy>CPU SDI 1080</cp:lastModifiedBy>
  <cp:revision>53</cp:revision>
  <dcterms:created xsi:type="dcterms:W3CDTF">2025-05-11T18:34:00Z</dcterms:created>
  <dcterms:modified xsi:type="dcterms:W3CDTF">2025-05-19T06:08:00Z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id="fUF00OCk"/&gt;&lt;style id="http://www.zotero.org/styles/apa" locale="en-GB" hasBibliography="1" bibliographyStyleHasBeenSet="1"/&gt;&lt;prefs&gt;&lt;pref name="fieldType" value="Field"/&gt;&lt;/prefs&gt;&lt;/data&gt;</vt:lpwstr>
  </property>
  <property fmtid="{D5CDD505-2E9C-101B-9397-08002B2CF9AE}" pid="3" name="grammarly_documentId">
    <vt:lpwstr>documentId_6656</vt:lpwstr>
  </property>
  <property fmtid="{D5CDD505-2E9C-101B-9397-08002B2CF9AE}" pid="4" name="grammarly_documentContext">
    <vt:lpwstr>{"goals":[],"domain":"general","emotions":[],"dialect":"american"}</vt:lpwstr>
  </property>
</Properties>
</file>