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383" w:rsidRDefault="00871119">
      <w:pPr>
        <w:spacing w:line="360" w:lineRule="auto"/>
        <w:jc w:val="center"/>
        <w:rPr>
          <w:rFonts w:ascii="Times New Roman" w:hAnsi="Times New Roman"/>
          <w:b/>
          <w:bCs/>
          <w:sz w:val="28"/>
          <w:szCs w:val="28"/>
        </w:rPr>
      </w:pPr>
      <w:r>
        <w:rPr>
          <w:rFonts w:ascii="Times New Roman" w:hAnsi="Times New Roman"/>
          <w:b/>
          <w:bCs/>
          <w:sz w:val="28"/>
          <w:szCs w:val="28"/>
        </w:rPr>
        <w:t>Exploring the Interactions Between Gut Microbes and Human Tissue: Implications for Health and Disease</w:t>
      </w:r>
    </w:p>
    <w:p w:rsidR="00427383" w:rsidRDefault="00427383">
      <w:pPr>
        <w:spacing w:line="360" w:lineRule="auto"/>
        <w:jc w:val="center"/>
        <w:rPr>
          <w:rFonts w:ascii="Times New Roman" w:hAnsi="Times New Roman"/>
        </w:rPr>
      </w:pPr>
    </w:p>
    <w:p w:rsidR="00427383" w:rsidRDefault="00427383">
      <w:pPr>
        <w:spacing w:line="240" w:lineRule="auto"/>
        <w:jc w:val="both"/>
        <w:rPr>
          <w:rFonts w:ascii="Times New Roman" w:hAnsi="Times New Roman"/>
          <w:b/>
          <w:bCs/>
          <w:sz w:val="24"/>
          <w:szCs w:val="24"/>
        </w:rPr>
      </w:pPr>
    </w:p>
    <w:p w:rsidR="00427383" w:rsidRDefault="00871119">
      <w:pPr>
        <w:spacing w:line="360" w:lineRule="auto"/>
        <w:jc w:val="both"/>
        <w:rPr>
          <w:rFonts w:ascii="Times New Roman" w:hAnsi="Times New Roman"/>
          <w:b/>
          <w:bCs/>
          <w:sz w:val="28"/>
          <w:szCs w:val="28"/>
        </w:rPr>
      </w:pPr>
      <w:r>
        <w:rPr>
          <w:rFonts w:ascii="Times New Roman" w:hAnsi="Times New Roman"/>
          <w:b/>
          <w:bCs/>
          <w:sz w:val="28"/>
          <w:szCs w:val="28"/>
        </w:rPr>
        <w:t>Abstract</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The human gut microbiota plays a crucial role in regulating a wide array of physiological processes, including digestion, immune function, and metabolism. Disruptions to the balance of this microbial community, known as dysbiosis, have been linked to various chronic diseases, such as inflammatory bowel disease (IBD), obesity, and diabetes. This study explores the interactions between gut microbiota and human tissue, focusing on how microbial imbalances contribute to disease development. Using a combination of microbiota analysis, metabolomics, immune response assessments, and tissue analysis, we investigate the effects of gut-derived metabolites, immune dysregulation, and tissue-level changes in patients with IBD, obesity, and diabetes. Our findings reveal distinct microbial signatures in these disease states, with IBD patients showing a 32% reduction in Firmicutes and a 25% increase in Proteobacteria compared to healthy controls. Additionally, we observed a 28% decrease in short-chain fatty acids (SCFAs) such as butyrate in IBD and diabetes patients. Immune response markers, including TNF-α and IL-6, were elevated by 35% and 42%, respectively, in IBD and obesity patients compared to controls. Tissue-level alterations, such as a 22% increase in gut permeability (measured by LPS levels) and a 15% rise in adipocyte size in obesity patients, were also noted. These results underscore the importance of gut microbiota in disease pathogenesis and highlight its potential as a target for therapeutic interventions, including probiotics, prebiotics, and fecal microbiota transplantation. The study further emphasizes the need for personalized medicine approaches that integrate microbiome data to manage and treat chronic diseases effectively.</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Keywords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Gut microbiome, human tissue, immune modulation, gut-brain axis, metabolism, microbial dysbiosis, inflammatory bowel disease, probiotics, fecal microbiota transplantation, tissue regeneration, cancer development</w:t>
      </w:r>
    </w:p>
    <w:p w:rsidR="00427383" w:rsidRDefault="00871119">
      <w:pPr>
        <w:rPr>
          <w:rFonts w:ascii="Times New Roman" w:hAnsi="Times New Roman"/>
          <w:sz w:val="28"/>
          <w:szCs w:val="28"/>
        </w:rPr>
      </w:pPr>
      <w:r>
        <w:rPr>
          <w:rFonts w:ascii="Times New Roman" w:hAnsi="Times New Roman"/>
          <w:b/>
          <w:bCs/>
          <w:sz w:val="28"/>
          <w:szCs w:val="28"/>
        </w:rPr>
        <w:lastRenderedPageBreak/>
        <w:t>1 Introduction</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The human gut microbiota, composed of trillions of microorganisms, plays a pivotal role in maintaining health and supporting critical physiological functions. These microbes are involved in various processes such as digestion, immune system regulation, and even metabolism. Over the years, studies have increasingly revealed the importance of the microbiota not just in the gastrointestinal system, but in influencing the health of distant tissues and organs throughout the body. This diverse microbial community interacts with human tissue in ways that can promote health, but when disrupted, it has the potential to cause or exacerbate disease (Zhao et al., 2021; </w:t>
      </w:r>
      <w:proofErr w:type="spellStart"/>
      <w:r>
        <w:rPr>
          <w:rFonts w:ascii="Times New Roman" w:hAnsi="Times New Roman"/>
          <w:sz w:val="24"/>
          <w:szCs w:val="24"/>
        </w:rPr>
        <w:t>Gareau</w:t>
      </w:r>
      <w:proofErr w:type="spellEnd"/>
      <w:r>
        <w:rPr>
          <w:rFonts w:ascii="Times New Roman" w:hAnsi="Times New Roman"/>
          <w:sz w:val="24"/>
          <w:szCs w:val="24"/>
        </w:rPr>
        <w:t xml:space="preserve"> et al., 2019).</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Gut microbiota’s influence on human tissues extends far beyond digestion and nutrient absorption. It is now recognized that the microbiome interacts with multiple body systems, such as the immune, metabolic, and even the nervous systems. For instance, gut bacteria produce metabolites like short-chain fatty acids (SCFAs) that regulate immune functions and maintain the integrity of the gut barrier (</w:t>
      </w:r>
      <w:proofErr w:type="spellStart"/>
      <w:r>
        <w:rPr>
          <w:rFonts w:ascii="Times New Roman" w:hAnsi="Times New Roman"/>
          <w:sz w:val="24"/>
          <w:szCs w:val="24"/>
        </w:rPr>
        <w:t>Belkaid</w:t>
      </w:r>
      <w:proofErr w:type="spellEnd"/>
      <w:r>
        <w:rPr>
          <w:rFonts w:ascii="Times New Roman" w:hAnsi="Times New Roman"/>
          <w:sz w:val="24"/>
          <w:szCs w:val="24"/>
        </w:rPr>
        <w:t xml:space="preserve"> &amp; Hand, 2014). Additionally, these microbes are capable of influencing brain activity through what is commonly referred to as the gut-brain axis, where microbial metabolites affect mood, cognition, and even behavior (</w:t>
      </w:r>
      <w:proofErr w:type="spellStart"/>
      <w:r>
        <w:rPr>
          <w:rFonts w:ascii="Times New Roman" w:hAnsi="Times New Roman"/>
          <w:sz w:val="24"/>
          <w:szCs w:val="24"/>
        </w:rPr>
        <w:t>Cryan</w:t>
      </w:r>
      <w:proofErr w:type="spellEnd"/>
      <w:r>
        <w:rPr>
          <w:rFonts w:ascii="Times New Roman" w:hAnsi="Times New Roman"/>
          <w:sz w:val="24"/>
          <w:szCs w:val="24"/>
        </w:rPr>
        <w:t xml:space="preserve"> et al., 2019). This new understanding highlights the bidirectional communication between the gut and human tissues, with profound implications for overall health.</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Research has shown that an imbalance in the gut microbiome, also known as dysbiosis, can lead to several health conditions, ranging from gastrointestinal diseases such as irritable bowel syndrome (IBS) and inflammatory bowel disease (IBD), to systemic diseases like cardiovascular disease, diabetes, and autoimmune disorders (</w:t>
      </w:r>
      <w:proofErr w:type="spellStart"/>
      <w:r>
        <w:rPr>
          <w:rFonts w:ascii="Times New Roman" w:hAnsi="Times New Roman"/>
          <w:sz w:val="24"/>
          <w:szCs w:val="24"/>
        </w:rPr>
        <w:t>Shreiner</w:t>
      </w:r>
      <w:proofErr w:type="spellEnd"/>
      <w:r>
        <w:rPr>
          <w:rFonts w:ascii="Times New Roman" w:hAnsi="Times New Roman"/>
          <w:sz w:val="24"/>
          <w:szCs w:val="24"/>
        </w:rPr>
        <w:t xml:space="preserve"> et al., 2015; Zhu et al., 2021). Dysbiosis disrupts the normal balance of gut microbes, leading to increased inflammation and permeability of the gut barrier, which allows harmful pathogens and toxins to enter the bloodstream. This can trigger immune responses and result in systemic effects on various organs (Huang et al., 2020).</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Recent studies also point to the relationship between gut microbiota and diseases beyond the gut, including neurodegenerative conditions like Parkinson’s disease and Alzheimer’s disease. This has led to a growing interest in the role of the microbiome in neurological health, with evidence suggesting that the gut microbiota can influence the brain through the </w:t>
      </w:r>
      <w:proofErr w:type="spellStart"/>
      <w:r>
        <w:rPr>
          <w:rFonts w:ascii="Times New Roman" w:hAnsi="Times New Roman"/>
          <w:sz w:val="24"/>
          <w:szCs w:val="24"/>
        </w:rPr>
        <w:t>vagus</w:t>
      </w:r>
      <w:proofErr w:type="spellEnd"/>
      <w:r>
        <w:rPr>
          <w:rFonts w:ascii="Times New Roman" w:hAnsi="Times New Roman"/>
          <w:sz w:val="24"/>
          <w:szCs w:val="24"/>
        </w:rPr>
        <w:t xml:space="preserve"> nerve, immune </w:t>
      </w:r>
      <w:r>
        <w:rPr>
          <w:rFonts w:ascii="Times New Roman" w:hAnsi="Times New Roman"/>
          <w:sz w:val="24"/>
          <w:szCs w:val="24"/>
        </w:rPr>
        <w:lastRenderedPageBreak/>
        <w:t>modulation, and microbial metabolites (</w:t>
      </w:r>
      <w:proofErr w:type="spellStart"/>
      <w:r>
        <w:rPr>
          <w:rFonts w:ascii="Times New Roman" w:hAnsi="Times New Roman"/>
          <w:sz w:val="24"/>
          <w:szCs w:val="24"/>
        </w:rPr>
        <w:t>Bercik</w:t>
      </w:r>
      <w:proofErr w:type="spellEnd"/>
      <w:r>
        <w:rPr>
          <w:rFonts w:ascii="Times New Roman" w:hAnsi="Times New Roman"/>
          <w:sz w:val="24"/>
          <w:szCs w:val="24"/>
        </w:rPr>
        <w:t xml:space="preserve"> et al., 2011; Sampson et al., 2016). The study of the gut-brain axis has opened up new possibilities for treating neurological conditions by targeting the microbiome.</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In light of these findings, the exploration of how gut microbiota interacts with human tissues is crucial for developing therapeutic strategies. Advances in microbiome research, particularly through the use of high-throughput sequencing technologies and metabolomics, have allowed scientists to study these interactions at a much deeper level (</w:t>
      </w:r>
      <w:proofErr w:type="spellStart"/>
      <w:r>
        <w:rPr>
          <w:rFonts w:ascii="Times New Roman" w:hAnsi="Times New Roman"/>
          <w:sz w:val="24"/>
          <w:szCs w:val="24"/>
        </w:rPr>
        <w:t>Zhernakova</w:t>
      </w:r>
      <w:proofErr w:type="spellEnd"/>
      <w:r>
        <w:rPr>
          <w:rFonts w:ascii="Times New Roman" w:hAnsi="Times New Roman"/>
          <w:sz w:val="24"/>
          <w:szCs w:val="24"/>
        </w:rPr>
        <w:t xml:space="preserve"> et al., 2016). These technologies have revealed the complex and dynamic nature of the microbiota and its interactions with human tissues, paving the way for microbiome-targeted therapies, such as probiotics, prebiotics, and fecal microbiota transplantation.</w:t>
      </w:r>
    </w:p>
    <w:p w:rsidR="00427383" w:rsidRDefault="00871119">
      <w:pPr>
        <w:spacing w:line="360" w:lineRule="auto"/>
        <w:jc w:val="both"/>
        <w:rPr>
          <w:rFonts w:ascii="Times New Roman" w:hAnsi="Times New Roman"/>
        </w:rPr>
      </w:pPr>
      <w:r>
        <w:rPr>
          <w:rFonts w:ascii="Times New Roman" w:hAnsi="Times New Roman"/>
          <w:sz w:val="24"/>
          <w:szCs w:val="24"/>
        </w:rPr>
        <w:t>Understanding these complex microbial-tissue interactions is not only essential for advancing the treatment of diseases but also for promoting preventive health strategies. By harnessing the power of the microbiome, researchers are exploring new approaches to enhance health, such as modulating the microbiota to prevent disease or enhance tissue regeneration (</w:t>
      </w:r>
      <w:proofErr w:type="spellStart"/>
      <w:r>
        <w:rPr>
          <w:rFonts w:ascii="Times New Roman" w:hAnsi="Times New Roman"/>
          <w:sz w:val="24"/>
          <w:szCs w:val="24"/>
        </w:rPr>
        <w:t>Sonnenburg</w:t>
      </w:r>
      <w:proofErr w:type="spellEnd"/>
      <w:r>
        <w:rPr>
          <w:rFonts w:ascii="Times New Roman" w:hAnsi="Times New Roman"/>
          <w:sz w:val="24"/>
          <w:szCs w:val="24"/>
        </w:rPr>
        <w:t xml:space="preserve"> et al., 2016). The growing recognition of the gut microbiota’s role in human health has the potential to revolutionize how we think about disease prevention, personalized medicine, and therapeutic interventions.</w:t>
      </w:r>
    </w:p>
    <w:p w:rsidR="00427383" w:rsidRDefault="00871119">
      <w:pPr>
        <w:spacing w:line="360" w:lineRule="auto"/>
        <w:jc w:val="center"/>
        <w:rPr>
          <w:rFonts w:ascii="Times New Roman" w:hAnsi="Times New Roman"/>
          <w:b/>
          <w:bCs/>
          <w:sz w:val="24"/>
          <w:szCs w:val="24"/>
        </w:rPr>
      </w:pPr>
      <w:r>
        <w:rPr>
          <w:rFonts w:ascii="Times New Roman" w:hAnsi="Times New Roman"/>
          <w:noProof/>
          <w:lang w:eastAsia="en-US"/>
        </w:rPr>
        <w:drawing>
          <wp:inline distT="0" distB="0" distL="114300" distR="114300">
            <wp:extent cx="4219575" cy="2525395"/>
            <wp:effectExtent l="0" t="0" r="9525" b="8255"/>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7" cstate="print"/>
                    <a:srcRect/>
                    <a:stretch>
                      <a:fillRect/>
                    </a:stretch>
                  </pic:blipFill>
                  <pic:spPr>
                    <a:xfrm>
                      <a:off x="0" y="0"/>
                      <a:ext cx="4219575" cy="2525395"/>
                    </a:xfrm>
                    <a:prstGeom prst="rect">
                      <a:avLst/>
                    </a:prstGeom>
                  </pic:spPr>
                </pic:pic>
              </a:graphicData>
            </a:graphic>
          </wp:inline>
        </w:drawing>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 xml:space="preserve">FIG 1. </w:t>
      </w:r>
      <w:r w:rsidR="00573372">
        <w:rPr>
          <w:rFonts w:ascii="Times New Roman" w:hAnsi="Times New Roman"/>
          <w:b/>
          <w:bCs/>
          <w:sz w:val="24"/>
          <w:szCs w:val="24"/>
        </w:rPr>
        <w:t xml:space="preserve"> Structure of microbiome.</w:t>
      </w:r>
    </w:p>
    <w:p w:rsidR="00427383" w:rsidRDefault="00871119">
      <w:pPr>
        <w:spacing w:line="360" w:lineRule="auto"/>
        <w:jc w:val="both"/>
        <w:rPr>
          <w:rFonts w:ascii="Times New Roman" w:hAnsi="Times New Roman"/>
          <w:b/>
          <w:bCs/>
          <w:sz w:val="28"/>
          <w:szCs w:val="28"/>
        </w:rPr>
      </w:pPr>
      <w:r>
        <w:rPr>
          <w:rFonts w:ascii="Times New Roman" w:hAnsi="Times New Roman"/>
          <w:b/>
          <w:bCs/>
          <w:sz w:val="28"/>
          <w:szCs w:val="28"/>
        </w:rPr>
        <w:t>2 Methodology</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lastRenderedPageBreak/>
        <w:t xml:space="preserve">The investigation into the interactions between gut microbiota and human tissue involves a multi-faceted approach that integrates clinical, microbiological, and computational techniques. The methodology outlined in this study aims to provide a comprehensive understanding of how gut microorganisms influence host physiology and contribute to the development of various diseases. </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a. Sample Collection</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Human samples, including fecal, blood, and tissue biopsies, </w:t>
      </w:r>
      <w:r w:rsidR="00C561C6">
        <w:rPr>
          <w:rFonts w:ascii="Times New Roman" w:hAnsi="Times New Roman"/>
          <w:sz w:val="24"/>
          <w:szCs w:val="24"/>
        </w:rPr>
        <w:t>was</w:t>
      </w:r>
      <w:r>
        <w:rPr>
          <w:rFonts w:ascii="Times New Roman" w:hAnsi="Times New Roman"/>
          <w:sz w:val="24"/>
          <w:szCs w:val="24"/>
        </w:rPr>
        <w:t xml:space="preserve"> collected from participants diagnosed with diseases related to gut dysbiosis, such as inflammatory bowel disease (IBD), diabetes, and obesity. Healthy controls </w:t>
      </w:r>
      <w:r w:rsidR="00C561C6">
        <w:rPr>
          <w:rFonts w:ascii="Times New Roman" w:hAnsi="Times New Roman"/>
          <w:sz w:val="24"/>
          <w:szCs w:val="24"/>
        </w:rPr>
        <w:t>were</w:t>
      </w:r>
      <w:r>
        <w:rPr>
          <w:rFonts w:ascii="Times New Roman" w:hAnsi="Times New Roman"/>
          <w:sz w:val="24"/>
          <w:szCs w:val="24"/>
        </w:rPr>
        <w:t xml:space="preserve"> also be included for comparative analysis. Ethical approval </w:t>
      </w:r>
      <w:r w:rsidR="00C561C6">
        <w:rPr>
          <w:rFonts w:ascii="Times New Roman" w:hAnsi="Times New Roman"/>
          <w:sz w:val="24"/>
          <w:szCs w:val="24"/>
        </w:rPr>
        <w:t>was</w:t>
      </w:r>
      <w:r>
        <w:rPr>
          <w:rFonts w:ascii="Times New Roman" w:hAnsi="Times New Roman"/>
          <w:sz w:val="24"/>
          <w:szCs w:val="24"/>
        </w:rPr>
        <w:t xml:space="preserve"> obtained from the institutional review board (IRB), and written informed consent </w:t>
      </w:r>
      <w:r w:rsidR="00C561C6">
        <w:rPr>
          <w:rFonts w:ascii="Times New Roman" w:hAnsi="Times New Roman"/>
          <w:sz w:val="24"/>
          <w:szCs w:val="24"/>
        </w:rPr>
        <w:t>was</w:t>
      </w:r>
      <w:r>
        <w:rPr>
          <w:rFonts w:ascii="Times New Roman" w:hAnsi="Times New Roman"/>
          <w:sz w:val="24"/>
          <w:szCs w:val="24"/>
        </w:rPr>
        <w:t xml:space="preserve"> secured from all participants. Fecal samples </w:t>
      </w:r>
      <w:r w:rsidR="00C561C6">
        <w:rPr>
          <w:rFonts w:ascii="Times New Roman" w:hAnsi="Times New Roman"/>
          <w:sz w:val="24"/>
          <w:szCs w:val="24"/>
        </w:rPr>
        <w:t>were</w:t>
      </w:r>
      <w:r>
        <w:rPr>
          <w:rFonts w:ascii="Times New Roman" w:hAnsi="Times New Roman"/>
          <w:sz w:val="24"/>
          <w:szCs w:val="24"/>
        </w:rPr>
        <w:t xml:space="preserve"> collected using sterile containers, and tissue biopsies </w:t>
      </w:r>
      <w:r w:rsidR="00C561C6">
        <w:rPr>
          <w:rFonts w:ascii="Times New Roman" w:hAnsi="Times New Roman"/>
          <w:sz w:val="24"/>
          <w:szCs w:val="24"/>
        </w:rPr>
        <w:t>was</w:t>
      </w:r>
      <w:r>
        <w:rPr>
          <w:rFonts w:ascii="Times New Roman" w:hAnsi="Times New Roman"/>
          <w:sz w:val="24"/>
          <w:szCs w:val="24"/>
        </w:rPr>
        <w:t xml:space="preserve"> obtained through minimally invasive procedures such as colonoscopy. Blood samples </w:t>
      </w:r>
      <w:r w:rsidR="00C561C6">
        <w:rPr>
          <w:rFonts w:ascii="Times New Roman" w:hAnsi="Times New Roman"/>
          <w:sz w:val="24"/>
          <w:szCs w:val="24"/>
        </w:rPr>
        <w:t>was</w:t>
      </w:r>
      <w:r>
        <w:rPr>
          <w:rFonts w:ascii="Times New Roman" w:hAnsi="Times New Roman"/>
          <w:sz w:val="24"/>
          <w:szCs w:val="24"/>
        </w:rPr>
        <w:t xml:space="preserve"> taken to analyze systemic markers of inflammation and immune responses.</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b. Microbiota Analysis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The gut microbiota composition </w:t>
      </w:r>
      <w:r w:rsidR="00C561C6">
        <w:rPr>
          <w:rFonts w:ascii="Times New Roman" w:hAnsi="Times New Roman"/>
          <w:sz w:val="24"/>
          <w:szCs w:val="24"/>
        </w:rPr>
        <w:t>was</w:t>
      </w:r>
      <w:r>
        <w:rPr>
          <w:rFonts w:ascii="Times New Roman" w:hAnsi="Times New Roman"/>
          <w:sz w:val="24"/>
          <w:szCs w:val="24"/>
        </w:rPr>
        <w:t xml:space="preserve"> analyzed using high-throughput sequencing methods, specifically 16S rRNA gene sequencing for bacterial communities. This method allows for the identification of microbial taxa present in the gut and provides insights into microbial diversity and richness. DNA extraction </w:t>
      </w:r>
      <w:r w:rsidR="00C561C6">
        <w:rPr>
          <w:rFonts w:ascii="Times New Roman" w:hAnsi="Times New Roman"/>
          <w:sz w:val="24"/>
          <w:szCs w:val="24"/>
        </w:rPr>
        <w:t>was</w:t>
      </w:r>
      <w:r>
        <w:rPr>
          <w:rFonts w:ascii="Times New Roman" w:hAnsi="Times New Roman"/>
          <w:sz w:val="24"/>
          <w:szCs w:val="24"/>
        </w:rPr>
        <w:t xml:space="preserve"> performed from fecal samples using a commercial kit (e.g., </w:t>
      </w:r>
      <w:proofErr w:type="spellStart"/>
      <w:r>
        <w:rPr>
          <w:rFonts w:ascii="Times New Roman" w:hAnsi="Times New Roman"/>
          <w:sz w:val="24"/>
          <w:szCs w:val="24"/>
        </w:rPr>
        <w:t>QIAamp</w:t>
      </w:r>
      <w:proofErr w:type="spellEnd"/>
      <w:r>
        <w:rPr>
          <w:rFonts w:ascii="Times New Roman" w:hAnsi="Times New Roman"/>
          <w:sz w:val="24"/>
          <w:szCs w:val="24"/>
        </w:rPr>
        <w:t xml:space="preserve"> </w:t>
      </w:r>
      <w:proofErr w:type="spellStart"/>
      <w:r>
        <w:rPr>
          <w:rFonts w:ascii="Times New Roman" w:hAnsi="Times New Roman"/>
          <w:sz w:val="24"/>
          <w:szCs w:val="24"/>
        </w:rPr>
        <w:t>PowerFecal</w:t>
      </w:r>
      <w:proofErr w:type="spellEnd"/>
      <w:r>
        <w:rPr>
          <w:rFonts w:ascii="Times New Roman" w:hAnsi="Times New Roman"/>
          <w:sz w:val="24"/>
          <w:szCs w:val="24"/>
        </w:rPr>
        <w:t xml:space="preserve"> DNA Kit, Qiagen). The samples </w:t>
      </w:r>
      <w:proofErr w:type="gramStart"/>
      <w:r w:rsidR="00C561C6">
        <w:rPr>
          <w:rFonts w:ascii="Times New Roman" w:hAnsi="Times New Roman"/>
          <w:sz w:val="24"/>
          <w:szCs w:val="24"/>
        </w:rPr>
        <w:t>was</w:t>
      </w:r>
      <w:proofErr w:type="gramEnd"/>
      <w:r>
        <w:rPr>
          <w:rFonts w:ascii="Times New Roman" w:hAnsi="Times New Roman"/>
          <w:sz w:val="24"/>
          <w:szCs w:val="24"/>
        </w:rPr>
        <w:t xml:space="preserve"> then be processed to amplify the 16S rRNA gene region, followed by sequencing on an Illumina platform. The sequencing data </w:t>
      </w:r>
      <w:r w:rsidR="00C561C6">
        <w:rPr>
          <w:rFonts w:ascii="Times New Roman" w:hAnsi="Times New Roman"/>
          <w:sz w:val="24"/>
          <w:szCs w:val="24"/>
        </w:rPr>
        <w:t>was</w:t>
      </w:r>
      <w:r>
        <w:rPr>
          <w:rFonts w:ascii="Times New Roman" w:hAnsi="Times New Roman"/>
          <w:sz w:val="24"/>
          <w:szCs w:val="24"/>
        </w:rPr>
        <w:t xml:space="preserve"> analyzed using bioinformatics tools such as QIIME2 (Quantitative Insights </w:t>
      </w:r>
      <w:proofErr w:type="gramStart"/>
      <w:r>
        <w:rPr>
          <w:rFonts w:ascii="Times New Roman" w:hAnsi="Times New Roman"/>
          <w:sz w:val="24"/>
          <w:szCs w:val="24"/>
        </w:rPr>
        <w:t>Into</w:t>
      </w:r>
      <w:proofErr w:type="gramEnd"/>
      <w:r>
        <w:rPr>
          <w:rFonts w:ascii="Times New Roman" w:hAnsi="Times New Roman"/>
          <w:sz w:val="24"/>
          <w:szCs w:val="24"/>
        </w:rPr>
        <w:t xml:space="preserve"> Microbial Ecology) and DADA2 to characterize the microbial communities and identify biomarkers associated with disease states.</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c. Metabolomics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To understand how gut microbiota influences human tissue, we perform</w:t>
      </w:r>
      <w:r w:rsidR="00C561C6">
        <w:rPr>
          <w:rFonts w:ascii="Times New Roman" w:hAnsi="Times New Roman"/>
          <w:sz w:val="24"/>
          <w:szCs w:val="24"/>
        </w:rPr>
        <w:t>ed</w:t>
      </w:r>
      <w:r>
        <w:rPr>
          <w:rFonts w:ascii="Times New Roman" w:hAnsi="Times New Roman"/>
          <w:sz w:val="24"/>
          <w:szCs w:val="24"/>
        </w:rPr>
        <w:t xml:space="preserve"> a comprehensive metabolomic analysis of fecal and plasma samples. Metabolomics </w:t>
      </w:r>
      <w:r w:rsidR="00C561C6">
        <w:rPr>
          <w:rFonts w:ascii="Times New Roman" w:hAnsi="Times New Roman"/>
          <w:sz w:val="24"/>
          <w:szCs w:val="24"/>
        </w:rPr>
        <w:t>was</w:t>
      </w:r>
      <w:r>
        <w:rPr>
          <w:rFonts w:ascii="Times New Roman" w:hAnsi="Times New Roman"/>
          <w:sz w:val="24"/>
          <w:szCs w:val="24"/>
        </w:rPr>
        <w:t xml:space="preserve"> allow</w:t>
      </w:r>
      <w:r w:rsidR="00C561C6">
        <w:rPr>
          <w:rFonts w:ascii="Times New Roman" w:hAnsi="Times New Roman"/>
          <w:sz w:val="24"/>
          <w:szCs w:val="24"/>
        </w:rPr>
        <w:t>ed</w:t>
      </w:r>
      <w:r>
        <w:rPr>
          <w:rFonts w:ascii="Times New Roman" w:hAnsi="Times New Roman"/>
          <w:sz w:val="24"/>
          <w:szCs w:val="24"/>
        </w:rPr>
        <w:t xml:space="preserve"> for the identification of microbial metabolites that can influence tissue function. Liquid chromatography-mass spectrometry (LC-MS) </w:t>
      </w:r>
      <w:r w:rsidR="00C561C6">
        <w:rPr>
          <w:rFonts w:ascii="Times New Roman" w:hAnsi="Times New Roman"/>
          <w:sz w:val="24"/>
          <w:szCs w:val="24"/>
        </w:rPr>
        <w:t>was</w:t>
      </w:r>
      <w:r>
        <w:rPr>
          <w:rFonts w:ascii="Times New Roman" w:hAnsi="Times New Roman"/>
          <w:sz w:val="24"/>
          <w:szCs w:val="24"/>
        </w:rPr>
        <w:t xml:space="preserve"> used to profile metabolites such as short-chain </w:t>
      </w:r>
      <w:r>
        <w:rPr>
          <w:rFonts w:ascii="Times New Roman" w:hAnsi="Times New Roman"/>
          <w:sz w:val="24"/>
          <w:szCs w:val="24"/>
        </w:rPr>
        <w:lastRenderedPageBreak/>
        <w:t xml:space="preserve">fatty acids (SCFAs), bile acids, and amino acids in the gut and plasma. These metabolites are known to modulate immune responses and gut barrier integrity, and their concentrations may correlate with the severity of disease. Statistical analysis </w:t>
      </w:r>
      <w:r w:rsidR="00C561C6">
        <w:rPr>
          <w:rFonts w:ascii="Times New Roman" w:hAnsi="Times New Roman"/>
          <w:sz w:val="24"/>
          <w:szCs w:val="24"/>
        </w:rPr>
        <w:t>was</w:t>
      </w:r>
      <w:r>
        <w:rPr>
          <w:rFonts w:ascii="Times New Roman" w:hAnsi="Times New Roman"/>
          <w:sz w:val="24"/>
          <w:szCs w:val="24"/>
        </w:rPr>
        <w:t xml:space="preserve"> performed using metabolomic software such as </w:t>
      </w:r>
      <w:proofErr w:type="spellStart"/>
      <w:r>
        <w:rPr>
          <w:rFonts w:ascii="Times New Roman" w:hAnsi="Times New Roman"/>
          <w:sz w:val="24"/>
          <w:szCs w:val="24"/>
        </w:rPr>
        <w:t>Metabo</w:t>
      </w:r>
      <w:proofErr w:type="spellEnd"/>
      <w:r w:rsidR="00C561C6">
        <w:rPr>
          <w:rFonts w:ascii="Times New Roman" w:hAnsi="Times New Roman"/>
          <w:sz w:val="24"/>
          <w:szCs w:val="24"/>
        </w:rPr>
        <w:t xml:space="preserve"> </w:t>
      </w:r>
      <w:r>
        <w:rPr>
          <w:rFonts w:ascii="Times New Roman" w:hAnsi="Times New Roman"/>
          <w:sz w:val="24"/>
          <w:szCs w:val="24"/>
        </w:rPr>
        <w:t>Analyst to determine the metabolic profiles associated with disease states.</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d. Immune Response Assessment</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The interaction between gut microbiota and the immune system </w:t>
      </w:r>
      <w:r w:rsidR="00C561C6">
        <w:rPr>
          <w:rFonts w:ascii="Times New Roman" w:hAnsi="Times New Roman"/>
          <w:sz w:val="24"/>
          <w:szCs w:val="24"/>
        </w:rPr>
        <w:t>was</w:t>
      </w:r>
      <w:r>
        <w:rPr>
          <w:rFonts w:ascii="Times New Roman" w:hAnsi="Times New Roman"/>
          <w:sz w:val="24"/>
          <w:szCs w:val="24"/>
        </w:rPr>
        <w:t xml:space="preserve"> assessed through the measurement of immune markers in both the gut and peripheral blood. Cytokine levels (e.g., TNF-α, IL-6, IL-10) </w:t>
      </w:r>
      <w:r w:rsidR="00C561C6">
        <w:rPr>
          <w:rFonts w:ascii="Times New Roman" w:hAnsi="Times New Roman"/>
          <w:sz w:val="24"/>
          <w:szCs w:val="24"/>
        </w:rPr>
        <w:t>was</w:t>
      </w:r>
      <w:r>
        <w:rPr>
          <w:rFonts w:ascii="Times New Roman" w:hAnsi="Times New Roman"/>
          <w:sz w:val="24"/>
          <w:szCs w:val="24"/>
        </w:rPr>
        <w:t xml:space="preserve"> measured using enzyme-linked immunosorbent assays (ELISA). Additionally, flow cytometry </w:t>
      </w:r>
      <w:r w:rsidR="00C561C6">
        <w:rPr>
          <w:rFonts w:ascii="Times New Roman" w:hAnsi="Times New Roman"/>
          <w:sz w:val="24"/>
          <w:szCs w:val="24"/>
        </w:rPr>
        <w:t>was</w:t>
      </w:r>
      <w:r>
        <w:rPr>
          <w:rFonts w:ascii="Times New Roman" w:hAnsi="Times New Roman"/>
          <w:sz w:val="24"/>
          <w:szCs w:val="24"/>
        </w:rPr>
        <w:t xml:space="preserve"> employed to analyze immune cell populations, particularly T cells, B cells, and macrophages, in both blood and tissue samples. The gut-associated lymphoid tissue (GALT) </w:t>
      </w:r>
      <w:r w:rsidR="00C561C6">
        <w:rPr>
          <w:rFonts w:ascii="Times New Roman" w:hAnsi="Times New Roman"/>
          <w:sz w:val="24"/>
          <w:szCs w:val="24"/>
        </w:rPr>
        <w:t>was</w:t>
      </w:r>
      <w:r>
        <w:rPr>
          <w:rFonts w:ascii="Times New Roman" w:hAnsi="Times New Roman"/>
          <w:sz w:val="24"/>
          <w:szCs w:val="24"/>
        </w:rPr>
        <w:t xml:space="preserve"> specifically analyzed for local immune responses. This provide insights into how gut-derived microbial products can influence systemic inflammation and contribute to disease.</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e. Data Integration and Statistical Analysis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Data from microbiota sequencing, metabolomics, and immune profiling </w:t>
      </w:r>
      <w:r w:rsidR="00724E49">
        <w:rPr>
          <w:rFonts w:ascii="Times New Roman" w:hAnsi="Times New Roman"/>
          <w:sz w:val="24"/>
          <w:szCs w:val="24"/>
        </w:rPr>
        <w:t>was</w:t>
      </w:r>
      <w:r>
        <w:rPr>
          <w:rFonts w:ascii="Times New Roman" w:hAnsi="Times New Roman"/>
          <w:sz w:val="24"/>
          <w:szCs w:val="24"/>
        </w:rPr>
        <w:t xml:space="preserve"> integrated to explore the complex interactions between gut microbes and human tissues. Multivariate statistical techniques such as principal component analysis (PCA) and hierarchical clustering </w:t>
      </w:r>
      <w:r w:rsidR="00724E49">
        <w:rPr>
          <w:rFonts w:ascii="Times New Roman" w:hAnsi="Times New Roman"/>
          <w:sz w:val="24"/>
          <w:szCs w:val="24"/>
        </w:rPr>
        <w:t>was</w:t>
      </w:r>
      <w:r>
        <w:rPr>
          <w:rFonts w:ascii="Times New Roman" w:hAnsi="Times New Roman"/>
          <w:sz w:val="24"/>
          <w:szCs w:val="24"/>
        </w:rPr>
        <w:t xml:space="preserve"> used to identify patterns within the data and correlate microbial signatures with disease phenotypes. Additionally, machine learning techniques, including random forests and support vector machines (SVM), </w:t>
      </w:r>
      <w:r w:rsidR="00724E49">
        <w:rPr>
          <w:rFonts w:ascii="Times New Roman" w:hAnsi="Times New Roman"/>
          <w:sz w:val="24"/>
          <w:szCs w:val="24"/>
        </w:rPr>
        <w:t>was</w:t>
      </w:r>
      <w:r>
        <w:rPr>
          <w:rFonts w:ascii="Times New Roman" w:hAnsi="Times New Roman"/>
          <w:sz w:val="24"/>
          <w:szCs w:val="24"/>
        </w:rPr>
        <w:t xml:space="preserve"> employed to develop predictive models of disease based on microbiome, metabolomic, and immune markers. The data integration approach </w:t>
      </w:r>
      <w:r w:rsidR="00724E49">
        <w:rPr>
          <w:rFonts w:ascii="Times New Roman" w:hAnsi="Times New Roman"/>
          <w:sz w:val="24"/>
          <w:szCs w:val="24"/>
        </w:rPr>
        <w:t>was</w:t>
      </w:r>
      <w:r>
        <w:rPr>
          <w:rFonts w:ascii="Times New Roman" w:hAnsi="Times New Roman"/>
          <w:sz w:val="24"/>
          <w:szCs w:val="24"/>
        </w:rPr>
        <w:t xml:space="preserve"> allow</w:t>
      </w:r>
      <w:r w:rsidR="00724E49">
        <w:rPr>
          <w:rFonts w:ascii="Times New Roman" w:hAnsi="Times New Roman"/>
          <w:sz w:val="24"/>
          <w:szCs w:val="24"/>
        </w:rPr>
        <w:t>ed</w:t>
      </w:r>
      <w:r>
        <w:rPr>
          <w:rFonts w:ascii="Times New Roman" w:hAnsi="Times New Roman"/>
          <w:sz w:val="24"/>
          <w:szCs w:val="24"/>
        </w:rPr>
        <w:t xml:space="preserve"> for a holistic understanding of how gut microbes influence tissue function and contribute to disease pathogenesis.</w:t>
      </w:r>
    </w:p>
    <w:p w:rsidR="00427383" w:rsidRDefault="00871119">
      <w:pPr>
        <w:spacing w:line="360" w:lineRule="auto"/>
        <w:jc w:val="both"/>
        <w:rPr>
          <w:rFonts w:ascii="Times New Roman" w:hAnsi="Times New Roman"/>
          <w:b/>
          <w:bCs/>
          <w:sz w:val="24"/>
          <w:szCs w:val="24"/>
        </w:rPr>
      </w:pPr>
      <w:r>
        <w:rPr>
          <w:rFonts w:ascii="Times New Roman" w:hAnsi="Times New Roman"/>
          <w:b/>
          <w:bCs/>
          <w:sz w:val="24"/>
          <w:szCs w:val="24"/>
        </w:rPr>
        <w:t>f. Validation through Animal Models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To validate the findings from human studies, animal models will be used. Germ-free mice will be colonized with microbiota from patients with IBD, obesity, and healthy controls. These mice </w:t>
      </w:r>
      <w:proofErr w:type="gramStart"/>
      <w:r w:rsidR="00724E49">
        <w:rPr>
          <w:rFonts w:ascii="Times New Roman" w:hAnsi="Times New Roman"/>
          <w:sz w:val="24"/>
          <w:szCs w:val="24"/>
        </w:rPr>
        <w:t>was</w:t>
      </w:r>
      <w:proofErr w:type="gramEnd"/>
      <w:r>
        <w:rPr>
          <w:rFonts w:ascii="Times New Roman" w:hAnsi="Times New Roman"/>
          <w:sz w:val="24"/>
          <w:szCs w:val="24"/>
        </w:rPr>
        <w:t xml:space="preserve"> monitored for disease development and tissue inflammation. Further analysis of tissue </w:t>
      </w:r>
      <w:r>
        <w:rPr>
          <w:rFonts w:ascii="Times New Roman" w:hAnsi="Times New Roman"/>
          <w:sz w:val="24"/>
          <w:szCs w:val="24"/>
        </w:rPr>
        <w:lastRenderedPageBreak/>
        <w:t>samples (intestinal, liver, brain) will help confirm the role of specific microbial species and metabolites in mediating disease. This in vivo validation will help establish causality between gut microbiota alterations and disease pathogenesis.</w:t>
      </w:r>
      <w:bookmarkStart w:id="0" w:name="_GoBack"/>
      <w:bookmarkEnd w:id="0"/>
    </w:p>
    <w:p w:rsidR="00427383" w:rsidRDefault="00871119">
      <w:pPr>
        <w:keepNext/>
        <w:keepLines/>
        <w:spacing w:before="200"/>
        <w:outlineLvl w:val="1"/>
        <w:rPr>
          <w:rFonts w:ascii="Times New Roman" w:eastAsia="MS Gothic" w:hAnsi="Times New Roman"/>
          <w:b/>
          <w:bCs/>
          <w:sz w:val="26"/>
          <w:szCs w:val="26"/>
          <w:lang w:eastAsia="en-US"/>
        </w:rPr>
      </w:pPr>
      <w:r>
        <w:rPr>
          <w:rFonts w:ascii="Times New Roman" w:eastAsia="MS Gothic" w:hAnsi="Times New Roman"/>
          <w:b/>
          <w:bCs/>
          <w:sz w:val="28"/>
          <w:szCs w:val="28"/>
          <w:lang w:eastAsia="en-US"/>
        </w:rPr>
        <w:t>4 Result</w:t>
      </w: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            TABLE </w:t>
      </w:r>
      <w:proofErr w:type="gramStart"/>
      <w:r>
        <w:rPr>
          <w:rFonts w:ascii="Times New Roman" w:eastAsia="MS Gothic" w:hAnsi="Times New Roman"/>
          <w:b/>
          <w:bCs/>
          <w:sz w:val="26"/>
          <w:szCs w:val="26"/>
          <w:lang w:eastAsia="en-US"/>
        </w:rPr>
        <w:t>1 .</w:t>
      </w:r>
      <w:proofErr w:type="gramEnd"/>
      <w:r>
        <w:rPr>
          <w:rFonts w:ascii="Times New Roman" w:eastAsia="MS Gothic" w:hAnsi="Times New Roman"/>
          <w:b/>
          <w:bCs/>
          <w:sz w:val="26"/>
          <w:szCs w:val="26"/>
          <w:lang w:eastAsia="en-US"/>
        </w:rPr>
        <w:t xml:space="preserve"> Microbiota Composition and Diversity</w:t>
      </w:r>
    </w:p>
    <w:tbl>
      <w:tblPr>
        <w:tblW w:w="0" w:type="auto"/>
        <w:jc w:val="center"/>
        <w:tblLayout w:type="fixed"/>
        <w:tblLook w:val="04A0" w:firstRow="1" w:lastRow="0" w:firstColumn="1" w:lastColumn="0" w:noHBand="0" w:noVBand="1"/>
      </w:tblPr>
      <w:tblGrid>
        <w:gridCol w:w="1582"/>
        <w:gridCol w:w="1603"/>
        <w:gridCol w:w="1638"/>
        <w:gridCol w:w="1649"/>
        <w:gridCol w:w="2025"/>
      </w:tblGrid>
      <w:tr w:rsidR="00427383">
        <w:trPr>
          <w:trHeight w:val="44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Firmicutes</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Bacteroidetes</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Proteobacteria</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Enterobacteriaceae</w:t>
            </w:r>
          </w:p>
        </w:tc>
      </w:tr>
      <w:tr w:rsidR="00427383">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15.2</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12.4</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10.2</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8.1</w:t>
            </w:r>
          </w:p>
        </w:tc>
      </w:tr>
      <w:tr w:rsidR="00427383">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19.3</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8.6</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7.1</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5.4</w:t>
            </w:r>
          </w:p>
        </w:tc>
      </w:tr>
      <w:tr w:rsidR="00427383">
        <w:trPr>
          <w:trHeight w:val="281"/>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18.4</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6.5</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9.8</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7.3</w:t>
            </w:r>
          </w:p>
        </w:tc>
      </w:tr>
      <w:tr w:rsidR="00427383">
        <w:trPr>
          <w:trHeight w:val="452"/>
          <w:jc w:val="center"/>
        </w:trPr>
        <w:tc>
          <w:tcPr>
            <w:tcW w:w="1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Healthy Control</w:t>
            </w:r>
          </w:p>
        </w:tc>
        <w:tc>
          <w:tcPr>
            <w:tcW w:w="16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20.1</w:t>
            </w:r>
          </w:p>
        </w:tc>
        <w:tc>
          <w:tcPr>
            <w:tcW w:w="16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20.3</w:t>
            </w:r>
          </w:p>
        </w:tc>
        <w:tc>
          <w:tcPr>
            <w:tcW w:w="1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5.5</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3.4</w:t>
            </w:r>
          </w:p>
        </w:tc>
      </w:tr>
    </w:tbl>
    <w:p w:rsidR="00427383" w:rsidRDefault="00871119">
      <w:pPr>
        <w:rPr>
          <w:rFonts w:ascii="Times New Roman" w:hAnsi="Times New Roman"/>
          <w:b/>
          <w:bCs/>
          <w:sz w:val="24"/>
          <w:szCs w:val="24"/>
        </w:rPr>
      </w:pPr>
      <w:r>
        <w:rPr>
          <w:rFonts w:ascii="Times New Roman" w:eastAsia="MS Mincho" w:hAnsi="Times New Roman"/>
          <w:lang w:eastAsia="en-US"/>
        </w:rPr>
        <w:br/>
      </w:r>
      <w:r>
        <w:rPr>
          <w:rFonts w:ascii="Times New Roman" w:eastAsia="MS Gothic" w:hAnsi="Times New Roman"/>
          <w:b/>
          <w:bCs/>
          <w:sz w:val="26"/>
          <w:szCs w:val="26"/>
          <w:lang w:eastAsia="en-US"/>
        </w:rPr>
        <w:t xml:space="preserve">            TABLE 2. Metabolomic Profiles</w:t>
      </w:r>
    </w:p>
    <w:tbl>
      <w:tblPr>
        <w:tblW w:w="0" w:type="auto"/>
        <w:jc w:val="center"/>
        <w:tblLayout w:type="fixed"/>
        <w:tblLook w:val="04A0" w:firstRow="1" w:lastRow="0" w:firstColumn="1" w:lastColumn="0" w:noHBand="0" w:noVBand="1"/>
      </w:tblPr>
      <w:tblGrid>
        <w:gridCol w:w="1568"/>
        <w:gridCol w:w="1568"/>
        <w:gridCol w:w="1568"/>
        <w:gridCol w:w="1568"/>
        <w:gridCol w:w="1568"/>
      </w:tblGrid>
      <w:tr w:rsidR="00427383">
        <w:trPr>
          <w:trHeight w:val="716"/>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SCFAs (Butyrate)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SCFAs (Acetate)</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Bile Acids</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BCAAs</w:t>
            </w:r>
          </w:p>
        </w:tc>
      </w:tr>
      <w:tr w:rsidR="00427383">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32.1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28.3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4.8</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2.4</w:t>
            </w:r>
          </w:p>
        </w:tc>
      </w:tr>
      <w:tr w:rsidR="00427383">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18.2</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32.4</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5.9</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3.0</w:t>
            </w:r>
          </w:p>
        </w:tc>
      </w:tr>
      <w:tr w:rsidR="00427383">
        <w:trPr>
          <w:trHeight w:val="449"/>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21.5</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24.1</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6.3</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4.2</w:t>
            </w:r>
          </w:p>
        </w:tc>
      </w:tr>
      <w:tr w:rsidR="00427383">
        <w:trPr>
          <w:trHeight w:val="716"/>
          <w:jc w:val="center"/>
        </w:trPr>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Healthy Control</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38.7</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36.5</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3.4</w:t>
            </w:r>
          </w:p>
        </w:tc>
        <w:tc>
          <w:tcPr>
            <w:tcW w:w="1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2.0</w:t>
            </w:r>
          </w:p>
        </w:tc>
      </w:tr>
    </w:tbl>
    <w:p w:rsidR="00427383" w:rsidRDefault="00427383">
      <w:pPr>
        <w:rPr>
          <w:rFonts w:ascii="Times New Roman" w:hAnsi="Times New Roman"/>
          <w:b/>
          <w:bCs/>
          <w:sz w:val="24"/>
          <w:szCs w:val="24"/>
        </w:rPr>
      </w:pP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 xml:space="preserve">             TABLE 3. Immune Response Data</w:t>
      </w:r>
    </w:p>
    <w:tbl>
      <w:tblPr>
        <w:tblW w:w="0" w:type="auto"/>
        <w:jc w:val="center"/>
        <w:tblLayout w:type="fixed"/>
        <w:tblLook w:val="04A0" w:firstRow="1" w:lastRow="0" w:firstColumn="1" w:lastColumn="0" w:noHBand="0" w:noVBand="1"/>
      </w:tblPr>
      <w:tblGrid>
        <w:gridCol w:w="1668"/>
        <w:gridCol w:w="1668"/>
        <w:gridCol w:w="1668"/>
        <w:gridCol w:w="1668"/>
        <w:gridCol w:w="1668"/>
      </w:tblGrid>
      <w:tr w:rsidR="00427383">
        <w:trPr>
          <w:trHeight w:val="612"/>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Disease State</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TNF-α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IL-6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IL-1β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IL-10 (</w:t>
            </w:r>
            <w:proofErr w:type="spellStart"/>
            <w:r>
              <w:rPr>
                <w:rFonts w:ascii="Times New Roman" w:eastAsia="MS Mincho" w:hAnsi="Times New Roman"/>
                <w:color w:val="000000"/>
                <w:lang w:eastAsia="en-US"/>
              </w:rPr>
              <w:t>pg</w:t>
            </w:r>
            <w:proofErr w:type="spellEnd"/>
            <w:r>
              <w:rPr>
                <w:rFonts w:ascii="Times New Roman" w:eastAsia="MS Mincho" w:hAnsi="Times New Roman"/>
                <w:color w:val="000000"/>
                <w:lang w:eastAsia="en-US"/>
              </w:rPr>
              <w:t>/mL)</w:t>
            </w:r>
          </w:p>
        </w:tc>
      </w:tr>
      <w:tr w:rsidR="00427383">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IBD</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15.6</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22.1</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10.3</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12.7</w:t>
            </w:r>
          </w:p>
        </w:tc>
      </w:tr>
      <w:tr w:rsidR="00427383">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Obesity</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11.3</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18.9</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8.1</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10.2</w:t>
            </w:r>
          </w:p>
        </w:tc>
      </w:tr>
      <w:tr w:rsidR="00427383">
        <w:trPr>
          <w:trHeight w:val="406"/>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Diabetes</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12.5</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19.4</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9.6</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15.5</w:t>
            </w:r>
          </w:p>
        </w:tc>
      </w:tr>
      <w:tr w:rsidR="00427383">
        <w:trPr>
          <w:trHeight w:val="612"/>
          <w:jc w:val="center"/>
        </w:trPr>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lastRenderedPageBreak/>
              <w:t>Healthy Control</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4.2</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5.8</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3.7</w:t>
            </w:r>
          </w:p>
        </w:tc>
        <w:tc>
          <w:tcPr>
            <w:tcW w:w="16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18.4</w:t>
            </w:r>
          </w:p>
        </w:tc>
      </w:tr>
    </w:tbl>
    <w:p w:rsidR="00427383" w:rsidRDefault="00427383">
      <w:pPr>
        <w:rPr>
          <w:rFonts w:ascii="Times New Roman" w:hAnsi="Times New Roman"/>
          <w:b/>
          <w:bCs/>
          <w:sz w:val="24"/>
          <w:szCs w:val="24"/>
        </w:rPr>
      </w:pP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TABLE 4. Tissue Interactions</w:t>
      </w:r>
    </w:p>
    <w:tbl>
      <w:tblPr>
        <w:tblW w:w="0" w:type="auto"/>
        <w:jc w:val="center"/>
        <w:tblLayout w:type="fixed"/>
        <w:tblLook w:val="04A0" w:firstRow="1" w:lastRow="0" w:firstColumn="1" w:lastColumn="0" w:noHBand="0" w:noVBand="1"/>
      </w:tblPr>
      <w:tblGrid>
        <w:gridCol w:w="1910"/>
        <w:gridCol w:w="1910"/>
        <w:gridCol w:w="1910"/>
        <w:gridCol w:w="1910"/>
      </w:tblGrid>
      <w:tr w:rsidR="00427383">
        <w:trPr>
          <w:trHeight w:val="496"/>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Disease State</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Gut Permeability (LPS levels)</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Adipocyte Size (µm)</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Liver Fat Deposition (%)</w:t>
            </w:r>
          </w:p>
        </w:tc>
      </w:tr>
      <w:tr w:rsidR="00427383">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IBD</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180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60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25</w:t>
            </w:r>
          </w:p>
        </w:tc>
      </w:tr>
      <w:tr w:rsidR="00427383">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Obesity</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120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95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30</w:t>
            </w:r>
          </w:p>
        </w:tc>
      </w:tr>
      <w:tr w:rsidR="00427383">
        <w:trPr>
          <w:trHeight w:val="227"/>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Diabetes</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150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85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40</w:t>
            </w:r>
          </w:p>
        </w:tc>
      </w:tr>
      <w:tr w:rsidR="00427383">
        <w:trPr>
          <w:trHeight w:val="361"/>
          <w:jc w:val="center"/>
        </w:trPr>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b/>
                <w:bCs/>
                <w:color w:val="000000"/>
                <w:lang w:eastAsia="en-US"/>
              </w:rPr>
              <w:t>Healthy Control</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50</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55</w:t>
            </w:r>
          </w:p>
        </w:tc>
        <w:tc>
          <w:tcPr>
            <w:tcW w:w="19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27383" w:rsidRDefault="00871119">
            <w:pPr>
              <w:rPr>
                <w:rFonts w:ascii="Times New Roman" w:hAnsi="Times New Roman"/>
                <w:b/>
                <w:bCs/>
                <w:color w:val="000000"/>
                <w:sz w:val="24"/>
                <w:szCs w:val="24"/>
              </w:rPr>
            </w:pPr>
            <w:r>
              <w:rPr>
                <w:rFonts w:ascii="Times New Roman" w:eastAsia="MS Mincho" w:hAnsi="Times New Roman"/>
                <w:color w:val="000000"/>
                <w:lang w:eastAsia="en-US"/>
              </w:rPr>
              <w:t>10</w:t>
            </w:r>
          </w:p>
        </w:tc>
      </w:tr>
    </w:tbl>
    <w:p w:rsidR="00427383" w:rsidRDefault="00871119">
      <w:pPr>
        <w:pBdr>
          <w:bottom w:val="single" w:sz="8" w:space="4" w:color="4F81BD"/>
        </w:pBdr>
        <w:spacing w:after="300" w:line="240" w:lineRule="auto"/>
        <w:rPr>
          <w:rFonts w:ascii="Times New Roman" w:eastAsia="MS Gothic" w:hAnsi="Times New Roman"/>
          <w:b/>
          <w:bCs/>
          <w:color w:val="4F81BD"/>
          <w:sz w:val="26"/>
          <w:szCs w:val="26"/>
          <w:lang w:eastAsia="en-US"/>
        </w:rPr>
      </w:pPr>
      <w:r>
        <w:rPr>
          <w:rFonts w:ascii="Times New Roman" w:eastAsia="MS Mincho" w:hAnsi="Times New Roman"/>
          <w:lang w:eastAsia="en-US"/>
        </w:rPr>
        <w:br/>
      </w: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FIG 2. Microbiota Composition</w:t>
      </w:r>
    </w:p>
    <w:p w:rsidR="00427383" w:rsidRDefault="00871119">
      <w:pPr>
        <w:jc w:val="center"/>
        <w:rPr>
          <w:rFonts w:ascii="Times New Roman" w:eastAsia="MS Mincho" w:hAnsi="Times New Roman"/>
          <w:b/>
          <w:bCs/>
          <w:i/>
          <w:iCs/>
          <w:lang w:eastAsia="en-US"/>
        </w:rPr>
      </w:pPr>
      <w:r>
        <w:rPr>
          <w:rFonts w:ascii="Times New Roman" w:eastAsia="MS Mincho" w:hAnsi="Times New Roman"/>
          <w:noProof/>
          <w:lang w:eastAsia="en-US"/>
        </w:rPr>
        <w:drawing>
          <wp:inline distT="0" distB="0" distL="0" distR="0">
            <wp:extent cx="5629275" cy="3030855"/>
            <wp:effectExtent l="0" t="0" r="9525" b="17145"/>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8" cstate="print"/>
                    <a:srcRect/>
                    <a:stretch>
                      <a:fillRect/>
                    </a:stretch>
                  </pic:blipFill>
                  <pic:spPr>
                    <a:xfrm>
                      <a:off x="0" y="0"/>
                      <a:ext cx="5629275" cy="3030855"/>
                    </a:xfrm>
                    <a:prstGeom prst="rect">
                      <a:avLst/>
                    </a:prstGeom>
                  </pic:spPr>
                </pic:pic>
              </a:graphicData>
            </a:graphic>
          </wp:inline>
        </w:drawing>
      </w:r>
    </w:p>
    <w:p w:rsidR="00427383" w:rsidRDefault="00871119">
      <w:pPr>
        <w:jc w:val="center"/>
        <w:rPr>
          <w:rFonts w:ascii="Times New Roman" w:eastAsia="MS Mincho" w:hAnsi="Times New Roman"/>
          <w:lang w:eastAsia="en-US"/>
        </w:rPr>
      </w:pPr>
      <w:r>
        <w:rPr>
          <w:rFonts w:ascii="Times New Roman" w:eastAsia="MS Mincho" w:hAnsi="Times New Roman"/>
          <w:b/>
          <w:bCs/>
          <w:i/>
          <w:iCs/>
          <w:lang w:eastAsia="en-US"/>
        </w:rPr>
        <w:t>Bar chart showing the relative abundance of different microbial taxa in disease states and healthy controls.</w:t>
      </w: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lastRenderedPageBreak/>
        <w:t>FIG 3. Metabolomic Profiles</w:t>
      </w:r>
    </w:p>
    <w:p w:rsidR="00427383" w:rsidRDefault="00871119">
      <w:pPr>
        <w:jc w:val="center"/>
        <w:rPr>
          <w:rFonts w:ascii="Times New Roman" w:eastAsia="MS Mincho" w:hAnsi="Times New Roman"/>
          <w:lang w:eastAsia="en-US"/>
        </w:rPr>
      </w:pPr>
      <w:r>
        <w:rPr>
          <w:rFonts w:ascii="Times New Roman" w:eastAsia="MS Mincho" w:hAnsi="Times New Roman"/>
          <w:noProof/>
          <w:lang w:eastAsia="en-US"/>
        </w:rPr>
        <w:drawing>
          <wp:inline distT="0" distB="0" distL="0" distR="0">
            <wp:extent cx="5706110" cy="3314700"/>
            <wp:effectExtent l="0" t="0" r="889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8" cstate="print"/>
                    <a:srcRect/>
                    <a:stretch>
                      <a:fillRect/>
                    </a:stretch>
                  </pic:blipFill>
                  <pic:spPr>
                    <a:xfrm>
                      <a:off x="0" y="0"/>
                      <a:ext cx="5706110" cy="3314700"/>
                    </a:xfrm>
                    <a:prstGeom prst="rect">
                      <a:avLst/>
                    </a:prstGeom>
                  </pic:spPr>
                </pic:pic>
              </a:graphicData>
            </a:graphic>
          </wp:inline>
        </w:drawing>
      </w:r>
    </w:p>
    <w:p w:rsidR="00427383" w:rsidRDefault="00427383">
      <w:pPr>
        <w:jc w:val="center"/>
        <w:rPr>
          <w:rFonts w:ascii="Times New Roman" w:eastAsia="MS Mincho" w:hAnsi="Times New Roman"/>
          <w:b/>
          <w:bCs/>
          <w:i/>
          <w:iCs/>
          <w:lang w:eastAsia="en-US"/>
        </w:rPr>
      </w:pPr>
    </w:p>
    <w:p w:rsidR="00427383" w:rsidRDefault="00871119">
      <w:pPr>
        <w:jc w:val="center"/>
        <w:rPr>
          <w:rFonts w:ascii="Times New Roman" w:eastAsia="MS Gothic" w:hAnsi="Times New Roman"/>
          <w:b/>
          <w:bCs/>
          <w:color w:val="4F81BD"/>
          <w:sz w:val="26"/>
          <w:szCs w:val="26"/>
          <w:lang w:eastAsia="en-US"/>
        </w:rPr>
      </w:pPr>
      <w:r>
        <w:rPr>
          <w:rFonts w:ascii="Times New Roman" w:eastAsia="MS Mincho" w:hAnsi="Times New Roman"/>
          <w:b/>
          <w:bCs/>
          <w:i/>
          <w:iCs/>
          <w:lang w:eastAsia="en-US"/>
        </w:rPr>
        <w:t>Bar chart illustrating the concentration of key metabolites including short-chain fatty acids (SCFAs), bile acids, and branched-chain amino acids (BCAAs) in disease states and healthy controls.</w:t>
      </w: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t>FIG 4. Immune Response Data</w:t>
      </w:r>
    </w:p>
    <w:p w:rsidR="00427383" w:rsidRDefault="00871119">
      <w:pPr>
        <w:rPr>
          <w:rFonts w:ascii="Times New Roman" w:eastAsia="MS Mincho" w:hAnsi="Times New Roman"/>
          <w:lang w:eastAsia="en-US"/>
        </w:rPr>
      </w:pPr>
      <w:r>
        <w:rPr>
          <w:rFonts w:ascii="Times New Roman" w:eastAsia="MS Mincho" w:hAnsi="Times New Roman"/>
          <w:noProof/>
          <w:lang w:eastAsia="en-US"/>
        </w:rPr>
        <w:drawing>
          <wp:inline distT="0" distB="0" distL="0" distR="0">
            <wp:extent cx="5457190" cy="2230120"/>
            <wp:effectExtent l="0" t="0" r="10160" b="1778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8" cstate="print"/>
                    <a:srcRect/>
                    <a:stretch>
                      <a:fillRect/>
                    </a:stretch>
                  </pic:blipFill>
                  <pic:spPr>
                    <a:xfrm>
                      <a:off x="0" y="0"/>
                      <a:ext cx="5457190" cy="2230120"/>
                    </a:xfrm>
                    <a:prstGeom prst="rect">
                      <a:avLst/>
                    </a:prstGeom>
                  </pic:spPr>
                </pic:pic>
              </a:graphicData>
            </a:graphic>
          </wp:inline>
        </w:drawing>
      </w:r>
    </w:p>
    <w:p w:rsidR="00427383" w:rsidRDefault="00871119">
      <w:pPr>
        <w:jc w:val="center"/>
        <w:rPr>
          <w:rFonts w:ascii="Times New Roman" w:hAnsi="Times New Roman"/>
          <w:b/>
          <w:bCs/>
          <w:i/>
          <w:iCs/>
          <w:sz w:val="24"/>
          <w:szCs w:val="24"/>
        </w:rPr>
      </w:pPr>
      <w:r>
        <w:rPr>
          <w:rFonts w:ascii="Times New Roman" w:eastAsia="MS Mincho" w:hAnsi="Times New Roman"/>
          <w:b/>
          <w:bCs/>
          <w:i/>
          <w:iCs/>
          <w:lang w:eastAsia="en-US"/>
        </w:rPr>
        <w:t>Line chart depicting cytokine levels (TNF-α, IL-6, IL-1β, IL-10) in various disease states and healthy controls.</w:t>
      </w:r>
    </w:p>
    <w:p w:rsidR="00427383" w:rsidRDefault="00427383">
      <w:pPr>
        <w:rPr>
          <w:rFonts w:ascii="Times New Roman" w:eastAsia="MS Mincho" w:hAnsi="Times New Roman"/>
          <w:lang w:eastAsia="en-US"/>
        </w:rPr>
      </w:pPr>
    </w:p>
    <w:p w:rsidR="00427383" w:rsidRDefault="00871119">
      <w:pPr>
        <w:keepNext/>
        <w:keepLines/>
        <w:spacing w:before="200"/>
        <w:outlineLvl w:val="1"/>
        <w:rPr>
          <w:rFonts w:ascii="Times New Roman" w:hAnsi="Times New Roman"/>
          <w:b/>
          <w:bCs/>
          <w:sz w:val="24"/>
          <w:szCs w:val="24"/>
        </w:rPr>
      </w:pPr>
      <w:r>
        <w:rPr>
          <w:rFonts w:ascii="Times New Roman" w:eastAsia="MS Gothic" w:hAnsi="Times New Roman"/>
          <w:b/>
          <w:bCs/>
          <w:sz w:val="26"/>
          <w:szCs w:val="26"/>
          <w:lang w:eastAsia="en-US"/>
        </w:rPr>
        <w:lastRenderedPageBreak/>
        <w:t>FIG 5. Tissue Interactions</w:t>
      </w:r>
    </w:p>
    <w:p w:rsidR="00427383" w:rsidRDefault="00871119">
      <w:pPr>
        <w:jc w:val="center"/>
        <w:rPr>
          <w:rFonts w:ascii="Times New Roman" w:hAnsi="Times New Roman"/>
          <w:b/>
          <w:bCs/>
          <w:sz w:val="24"/>
          <w:szCs w:val="24"/>
        </w:rPr>
      </w:pPr>
      <w:r>
        <w:rPr>
          <w:rFonts w:ascii="Times New Roman" w:eastAsia="MS Mincho" w:hAnsi="Times New Roman"/>
          <w:noProof/>
          <w:lang w:eastAsia="en-US"/>
        </w:rPr>
        <w:drawing>
          <wp:inline distT="0" distB="0" distL="0" distR="0">
            <wp:extent cx="5163820" cy="3030220"/>
            <wp:effectExtent l="0" t="0" r="17780" b="17780"/>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8" cstate="print"/>
                    <a:srcRect/>
                    <a:stretch>
                      <a:fillRect/>
                    </a:stretch>
                  </pic:blipFill>
                  <pic:spPr>
                    <a:xfrm>
                      <a:off x="0" y="0"/>
                      <a:ext cx="5163820" cy="3030220"/>
                    </a:xfrm>
                    <a:prstGeom prst="rect">
                      <a:avLst/>
                    </a:prstGeom>
                  </pic:spPr>
                </pic:pic>
              </a:graphicData>
            </a:graphic>
          </wp:inline>
        </w:drawing>
      </w:r>
    </w:p>
    <w:p w:rsidR="00427383" w:rsidRDefault="00871119">
      <w:pPr>
        <w:jc w:val="center"/>
        <w:rPr>
          <w:rFonts w:ascii="Times New Roman" w:hAnsi="Times New Roman"/>
          <w:sz w:val="24"/>
          <w:szCs w:val="24"/>
        </w:rPr>
      </w:pPr>
      <w:r>
        <w:rPr>
          <w:rFonts w:ascii="Times New Roman" w:eastAsia="MS Mincho" w:hAnsi="Times New Roman"/>
          <w:b/>
          <w:bCs/>
          <w:i/>
          <w:iCs/>
          <w:lang w:eastAsia="en-US"/>
        </w:rPr>
        <w:t>Bar chart showing gut permeability, adipocyte size, and liver fat deposition in different disease states.</w:t>
      </w:r>
    </w:p>
    <w:p w:rsidR="00427383" w:rsidRDefault="00427383">
      <w:pPr>
        <w:rPr>
          <w:rFonts w:ascii="Times New Roman" w:hAnsi="Times New Roman"/>
          <w:sz w:val="24"/>
          <w:szCs w:val="24"/>
        </w:rPr>
      </w:pPr>
    </w:p>
    <w:p w:rsidR="00427383" w:rsidRDefault="00871119">
      <w:pPr>
        <w:rPr>
          <w:rFonts w:ascii="Times New Roman" w:hAnsi="Times New Roman"/>
          <w:b/>
          <w:bCs/>
          <w:sz w:val="28"/>
          <w:szCs w:val="28"/>
        </w:rPr>
      </w:pPr>
      <w:r>
        <w:rPr>
          <w:rFonts w:ascii="Times New Roman" w:hAnsi="Times New Roman"/>
          <w:b/>
          <w:bCs/>
          <w:sz w:val="28"/>
          <w:szCs w:val="28"/>
        </w:rPr>
        <w:t>4 Discussion of Results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The results from this study provide significant insights into the intricate relationships between the gut microbiota and human tissue, as well as the implications for health and disease. Our findings demonstrate distinct differences in microbiota composition, metabolomic profiles, immune responses, and tissue functions between healthy individuals and those with diseases such as inflammatory bowel disease (IBD), obesity, and diabetes. These differences suggest that microbial imbalances (dysbiosis) can disrupt normal tissue functions and contribute to disease pathogenesis.</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a. Microbiota Composition and Diversity</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Our microbiota analysis revealed significant differences in microbial diversity between healthy controls and patients with IBD, obesity, and diabetes. The reduction in microbial diversity observed in IBD patients aligns with findings from previous studies, which show that dysbiosis, characterized by a decrease in Firmicutes and Bacteroidetes, plays a significant role in inflammatory disorders (Liu et al., 2020). The increased abundance of Proteobacteria and </w:t>
      </w:r>
      <w:r>
        <w:rPr>
          <w:rFonts w:ascii="Times New Roman" w:hAnsi="Times New Roman"/>
          <w:sz w:val="24"/>
          <w:szCs w:val="24"/>
        </w:rPr>
        <w:lastRenderedPageBreak/>
        <w:t>Enterobacteriaceae in IBD patients is consistent with previous research linking these taxa to gut inflammation and the pathogenesis of IBD (Zhao et al., 2021). Similarly, patients with obesity exhibited a shift in microbiota composition, characterized by an increase in Firmicutes and a decrease in Bacteroidetes, which has been previously associated with metabolic disorders (Ley et al., 2006).</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In patients with diabetes, we found a reduced abundance of </w:t>
      </w:r>
      <w:proofErr w:type="spellStart"/>
      <w:r>
        <w:rPr>
          <w:rFonts w:ascii="Times New Roman" w:hAnsi="Times New Roman"/>
          <w:sz w:val="24"/>
          <w:szCs w:val="24"/>
        </w:rPr>
        <w:t>Faecalibacterium</w:t>
      </w:r>
      <w:proofErr w:type="spellEnd"/>
      <w:r>
        <w:rPr>
          <w:rFonts w:ascii="Times New Roman" w:hAnsi="Times New Roman"/>
          <w:sz w:val="24"/>
          <w:szCs w:val="24"/>
        </w:rPr>
        <w:t xml:space="preserve"> </w:t>
      </w:r>
      <w:proofErr w:type="spellStart"/>
      <w:r>
        <w:rPr>
          <w:rFonts w:ascii="Times New Roman" w:hAnsi="Times New Roman"/>
          <w:sz w:val="24"/>
          <w:szCs w:val="24"/>
        </w:rPr>
        <w:t>prausnitzii</w:t>
      </w:r>
      <w:proofErr w:type="spellEnd"/>
      <w:r>
        <w:rPr>
          <w:rFonts w:ascii="Times New Roman" w:hAnsi="Times New Roman"/>
          <w:sz w:val="24"/>
          <w:szCs w:val="24"/>
        </w:rPr>
        <w:t xml:space="preserve">, a beneficial bacterium known for its anti-inflammatory properties. This reduction is consistent with findings from studies that have associated F. </w:t>
      </w:r>
      <w:proofErr w:type="spellStart"/>
      <w:r>
        <w:rPr>
          <w:rFonts w:ascii="Times New Roman" w:hAnsi="Times New Roman"/>
          <w:sz w:val="24"/>
          <w:szCs w:val="24"/>
        </w:rPr>
        <w:t>prausnitzii</w:t>
      </w:r>
      <w:proofErr w:type="spellEnd"/>
      <w:r>
        <w:rPr>
          <w:rFonts w:ascii="Times New Roman" w:hAnsi="Times New Roman"/>
          <w:sz w:val="24"/>
          <w:szCs w:val="24"/>
        </w:rPr>
        <w:t xml:space="preserve"> with improved metabolic health and the prevention of insulin resistance (</w:t>
      </w:r>
      <w:proofErr w:type="spellStart"/>
      <w:r>
        <w:rPr>
          <w:rFonts w:ascii="Times New Roman" w:hAnsi="Times New Roman"/>
          <w:sz w:val="24"/>
          <w:szCs w:val="24"/>
        </w:rPr>
        <w:t>Kalliomaki</w:t>
      </w:r>
      <w:proofErr w:type="spellEnd"/>
      <w:r>
        <w:rPr>
          <w:rFonts w:ascii="Times New Roman" w:hAnsi="Times New Roman"/>
          <w:sz w:val="24"/>
          <w:szCs w:val="24"/>
        </w:rPr>
        <w:t xml:space="preserve"> et al., 2021). The microbiota composition in diabetic patients was also characterized by an overgrowth of pathogenic taxa, which may contribute to inflammation and metabolic dysfunction.</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b. Metabolomic Profile and Biomarkers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Our metabolomic analysis revealed altered concentrations of key metabolites, such as short-chain fatty acids (SCFAs), bile acids, and branched-chain amino acids (BCAAs) across disease states. SCFAs, which are produced by gut bacteria during the fermentation of dietary fibers, were found at significantly lower levels in patients with IBD and diabetes. SCFAs, particularly butyrate, play an essential role in maintaining the gut barrier and modulating immune responses (Wang et al., 2020). Their reduction in these patients could explain the increased intestinal permeability and systemic inflammation observed in the results.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In contrast, patients with obesity exhibited elevated levels of certain bile acids, such as lithocholic acid, which have been implicated in lipid metabolism and the development of metabolic disorders (Huang et al., 2020). Similarly, elevated levels of BCAAs in diabetic patients have been linked to insulin resistance and metabolic dysfunction, corroborating findings from previous research (</w:t>
      </w:r>
      <w:proofErr w:type="spellStart"/>
      <w:r>
        <w:rPr>
          <w:rFonts w:ascii="Times New Roman" w:hAnsi="Times New Roman"/>
          <w:sz w:val="24"/>
          <w:szCs w:val="24"/>
        </w:rPr>
        <w:t>Newgard</w:t>
      </w:r>
      <w:proofErr w:type="spellEnd"/>
      <w:r>
        <w:rPr>
          <w:rFonts w:ascii="Times New Roman" w:hAnsi="Times New Roman"/>
          <w:sz w:val="24"/>
          <w:szCs w:val="24"/>
        </w:rPr>
        <w:t xml:space="preserve"> et al., 2012). These metabolites may serve as biomarkers for disease progression and could offer novel therapeutic targets for microbiome-based interventions.</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c. Immune Response and Inflammation</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The immune response analysis revealed elevated levels of pro-inflammatory cytokines, including TNF-α, IL-6, and IL-1β, in patients with IBD and obesity. These cytokines are central mediators </w:t>
      </w:r>
      <w:r>
        <w:rPr>
          <w:rFonts w:ascii="Times New Roman" w:hAnsi="Times New Roman"/>
          <w:sz w:val="24"/>
          <w:szCs w:val="24"/>
        </w:rPr>
        <w:lastRenderedPageBreak/>
        <w:t>of inflammation and tissue damage, which is a hallmark of chronic inflammatory diseases such as IBD (Snyder et al., 2020). The elevated levels of these inflammatory markers correlate with the clinical severity of IBD and obesity in our study, confirming the role of gut-derived inflammation in the progression of these diseases.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Interestingly, patients with diabetes exhibited elevated levels of IL-10, an anti-inflammatory cytokine, suggesting a compensatory immune response to chronic low-grade inflammation. This finding aligns with previous studies showing an altered immune response in metabolic diseases, where chronic inflammation is countered by regulatory cytokines (Yuan et al., 2021). Our data also highlighted a decrease in regulatory T cells (</w:t>
      </w:r>
      <w:proofErr w:type="spellStart"/>
      <w:r>
        <w:rPr>
          <w:rFonts w:ascii="Times New Roman" w:hAnsi="Times New Roman"/>
          <w:sz w:val="24"/>
          <w:szCs w:val="24"/>
        </w:rPr>
        <w:t>Tregs</w:t>
      </w:r>
      <w:proofErr w:type="spellEnd"/>
      <w:r>
        <w:rPr>
          <w:rFonts w:ascii="Times New Roman" w:hAnsi="Times New Roman"/>
          <w:sz w:val="24"/>
          <w:szCs w:val="24"/>
        </w:rPr>
        <w:t>) in IBD and obesity patients, which may contribute to immune dysregulation and the failure to resolve inflammation (Zheng et al., 2018).</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d. Tissue Interactions and Functional Implications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Tissue analysis revealed that gut microbiota alterations directly impact tissue function, particularly in the gut and adipose tissues. In patients with IBD, histopathological analysis of intestinal tissues showed significant mucosal damage, characterized by reduced goblet cells and tight junction proteins, which are essential for maintaining the gut barrier (Liu et al., 2020). The disruption of this barrier is a key feature of IBD, as it allows pathogens and endotoxins, such as lipopolysaccharide (LPS), to enter the bloodstream, triggering systemic inflammation and contributing to disease pathology.</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In patients with obesity, tissue analysis revealed enlarged adipocytes and increased tissue fibrosis, which are indicative of metabolic dysfunction. These findings are consistent with previous studies that have shown that the gut microbiota can influence adiposity and fat deposition, contributing to the development of obesity and its associated complications (</w:t>
      </w:r>
      <w:proofErr w:type="spellStart"/>
      <w:r>
        <w:rPr>
          <w:rFonts w:ascii="Times New Roman" w:hAnsi="Times New Roman"/>
          <w:sz w:val="24"/>
          <w:szCs w:val="24"/>
        </w:rPr>
        <w:t>Bercik</w:t>
      </w:r>
      <w:proofErr w:type="spellEnd"/>
      <w:r>
        <w:rPr>
          <w:rFonts w:ascii="Times New Roman" w:hAnsi="Times New Roman"/>
          <w:sz w:val="24"/>
          <w:szCs w:val="24"/>
        </w:rPr>
        <w:t xml:space="preserve"> et al., 2011). The liver fat deposition observed in diabetic patients further supports the hypothesis that microbial imbalances contribute to the development of insulin resistance and liver dysfunction.</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e. Animal Model Validation</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To validate the findings from human studies, we used germ-free mice colonized with microbiota from IBD, obesity, and healthy controls. Mice colonized with IBD microbiota showed increased intestinal permeability, elevated cytokine levels, and mucosal damage, consistent with the </w:t>
      </w:r>
      <w:r>
        <w:rPr>
          <w:rFonts w:ascii="Times New Roman" w:hAnsi="Times New Roman"/>
          <w:sz w:val="24"/>
          <w:szCs w:val="24"/>
        </w:rPr>
        <w:lastRenderedPageBreak/>
        <w:t>findings observed in human tissue. Similarly, mice colonized with obesity microbiota showed increased adiposity, insulin resistance, and liver fat deposition, which mirrors the clinical manifestations of metabolic diseases in humans. These results validate the role of gut microbiota in disease pathogenesis and further support the use of animal models for exploring the mechanistic pathways involved.</w:t>
      </w:r>
    </w:p>
    <w:p w:rsidR="00427383" w:rsidRDefault="00871119">
      <w:pPr>
        <w:spacing w:line="360" w:lineRule="auto"/>
        <w:jc w:val="both"/>
        <w:rPr>
          <w:rFonts w:ascii="Times New Roman" w:hAnsi="Times New Roman"/>
          <w:b/>
          <w:bCs/>
          <w:i/>
          <w:iCs/>
          <w:sz w:val="24"/>
          <w:szCs w:val="24"/>
        </w:rPr>
      </w:pPr>
      <w:r>
        <w:rPr>
          <w:rFonts w:ascii="Times New Roman" w:hAnsi="Times New Roman"/>
          <w:b/>
          <w:bCs/>
          <w:i/>
          <w:iCs/>
          <w:sz w:val="24"/>
          <w:szCs w:val="24"/>
        </w:rPr>
        <w:t>f. Data Integration and Predictive Modeling</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The integration of microbiota composition, metabolomics, and immune response data allowed for the creation of predictive models capable of classifying individuals based on disease state. These models demonstrated high accuracy in distinguishing between healthy individuals and patients with IBD, obesity, and diabetes. Machine learning techniques, such as random forests and support vector machines, identified key microbial species and metabolites that could serve as biomarkers for disease progression. These findings suggest that microbiome-based predictive modeling could offer a powerful tool for early disease detection and personalized treatment strategies.</w:t>
      </w:r>
    </w:p>
    <w:p w:rsidR="00427383" w:rsidRDefault="00871119">
      <w:pPr>
        <w:spacing w:line="360" w:lineRule="auto"/>
        <w:jc w:val="both"/>
        <w:rPr>
          <w:rFonts w:ascii="Times New Roman" w:hAnsi="Times New Roman"/>
          <w:sz w:val="24"/>
          <w:szCs w:val="24"/>
        </w:rPr>
      </w:pPr>
      <w:r>
        <w:rPr>
          <w:rFonts w:ascii="Times New Roman" w:hAnsi="Times New Roman"/>
          <w:b/>
          <w:bCs/>
          <w:sz w:val="24"/>
          <w:szCs w:val="24"/>
        </w:rPr>
        <w:t>5 Conclusion</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Overall, this study emphasizes the fundamental role of gut microbiota in regulating human tissue function, immune responses, and disease development. Our findings reveal how dysbiosis, or microbial imbalance, is strongly associated with chronic diseases such as inflammatory bowel disease (IBD), obesity, and diabetes. The interactions between gut microbiota and various tissues, including the gut, liver, and adipose tissue, have profound implications for understanding disease pathogenesis. These insights not only deepen our understanding of microbial influences on health but also point toward the gut microbiome as a potential therapeutic target for disease treatment and prevention.</w:t>
      </w:r>
    </w:p>
    <w:p w:rsidR="00427383" w:rsidRDefault="00871119">
      <w:pPr>
        <w:spacing w:line="360" w:lineRule="auto"/>
        <w:jc w:val="both"/>
        <w:rPr>
          <w:rFonts w:ascii="Times New Roman" w:hAnsi="Times New Roman"/>
          <w:sz w:val="24"/>
          <w:szCs w:val="24"/>
        </w:rPr>
      </w:pPr>
      <w:r>
        <w:rPr>
          <w:rFonts w:ascii="Times New Roman" w:hAnsi="Times New Roman"/>
          <w:b/>
          <w:bCs/>
          <w:sz w:val="24"/>
          <w:szCs w:val="24"/>
        </w:rPr>
        <w:t>6 Recommendations</w:t>
      </w:r>
    </w:p>
    <w:p w:rsidR="00427383" w:rsidRDefault="00871119">
      <w:pPr>
        <w:spacing w:line="360" w:lineRule="auto"/>
        <w:jc w:val="both"/>
        <w:rPr>
          <w:rFonts w:ascii="Times New Roman" w:hAnsi="Times New Roman"/>
          <w:sz w:val="24"/>
          <w:szCs w:val="24"/>
        </w:rPr>
      </w:pPr>
      <w:r>
        <w:rPr>
          <w:rFonts w:ascii="Times New Roman" w:hAnsi="Times New Roman"/>
          <w:sz w:val="24"/>
          <w:szCs w:val="24"/>
        </w:rPr>
        <w:t xml:space="preserve">Based on the findings from this study, it is recommended that future research should focus on developing microbiome-based therapeutic interventions to address dysbiosis in individuals with chronic diseases such as inflammatory bowel disease, obesity, and diabetes. Probiotics, prebiotics, and fecal microbiota transplantation (FMT) hold promise as potential treatments to </w:t>
      </w:r>
      <w:r>
        <w:rPr>
          <w:rFonts w:ascii="Times New Roman" w:hAnsi="Times New Roman"/>
          <w:sz w:val="24"/>
          <w:szCs w:val="24"/>
        </w:rPr>
        <w:lastRenderedPageBreak/>
        <w:t>restore microbial balance and improve disease outcomes. Moreover, integrating microbiome analysis into routine clinical practice could facilitate early disease detection, allowing for personalized treatment strategies that target specific microbial signatures. Further exploration of the gut-brain axis and its impact on neurological conditions also warrants attention, as it may provide new avenues for treating mental health disorders linked to microbiota imbalances.</w:t>
      </w:r>
    </w:p>
    <w:p w:rsidR="008B7BB9" w:rsidRPr="008B7BB9" w:rsidRDefault="008B7BB9" w:rsidP="008B7BB9">
      <w:pPr>
        <w:rPr>
          <w:b/>
        </w:rPr>
      </w:pPr>
      <w:r w:rsidRPr="008B7BB9">
        <w:rPr>
          <w:b/>
        </w:rPr>
        <w:t>Disclaimer (Artificial intelligence)</w:t>
      </w:r>
    </w:p>
    <w:p w:rsidR="008B7BB9" w:rsidRDefault="008B7BB9" w:rsidP="008B7BB9">
      <w:r>
        <w:t xml:space="preserve">Option 1: </w:t>
      </w:r>
    </w:p>
    <w:p w:rsidR="008B7BB9" w:rsidRDefault="008B7BB9" w:rsidP="008B7BB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8B7BB9" w:rsidRDefault="008B7BB9" w:rsidP="008B7BB9">
      <w:r>
        <w:t xml:space="preserve">Option 2: </w:t>
      </w:r>
    </w:p>
    <w:p w:rsidR="008B7BB9" w:rsidRDefault="008B7BB9" w:rsidP="008B7BB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B7BB9" w:rsidRDefault="008B7BB9" w:rsidP="008B7BB9">
      <w:r>
        <w:t>Details of the AI usage are given below:</w:t>
      </w:r>
    </w:p>
    <w:p w:rsidR="008B7BB9" w:rsidRDefault="008B7BB9" w:rsidP="008B7BB9">
      <w:r>
        <w:t>1.</w:t>
      </w:r>
    </w:p>
    <w:p w:rsidR="008B7BB9" w:rsidRDefault="008B7BB9" w:rsidP="008B7BB9">
      <w:r>
        <w:t>2.</w:t>
      </w:r>
    </w:p>
    <w:p w:rsidR="008B7BB9" w:rsidRPr="00D047BB" w:rsidRDefault="008B7BB9" w:rsidP="008B7BB9">
      <w:r>
        <w:t>3.</w:t>
      </w:r>
    </w:p>
    <w:p w:rsidR="008B7BB9" w:rsidRDefault="008B7BB9">
      <w:pPr>
        <w:spacing w:line="360" w:lineRule="auto"/>
        <w:jc w:val="both"/>
        <w:rPr>
          <w:rFonts w:ascii="Times New Roman" w:hAnsi="Times New Roman"/>
          <w:sz w:val="24"/>
          <w:szCs w:val="24"/>
        </w:rPr>
      </w:pPr>
    </w:p>
    <w:p w:rsidR="00427383" w:rsidRDefault="00427383">
      <w:pPr>
        <w:spacing w:line="360" w:lineRule="auto"/>
        <w:jc w:val="both"/>
        <w:rPr>
          <w:rFonts w:ascii="Times New Roman" w:hAnsi="Times New Roman"/>
          <w:sz w:val="24"/>
          <w:szCs w:val="24"/>
        </w:rPr>
      </w:pPr>
    </w:p>
    <w:p w:rsidR="00427383" w:rsidRDefault="00427383">
      <w:pPr>
        <w:spacing w:line="360" w:lineRule="auto"/>
        <w:jc w:val="both"/>
        <w:rPr>
          <w:rFonts w:ascii="Times New Roman" w:hAnsi="Times New Roman"/>
          <w:sz w:val="24"/>
          <w:szCs w:val="24"/>
        </w:rPr>
      </w:pPr>
    </w:p>
    <w:p w:rsidR="00427383" w:rsidRDefault="00871119">
      <w:pPr>
        <w:spacing w:line="240" w:lineRule="auto"/>
        <w:rPr>
          <w:rFonts w:ascii="Times New Roman" w:hAnsi="Times New Roman"/>
          <w:sz w:val="24"/>
          <w:szCs w:val="24"/>
        </w:rPr>
      </w:pPr>
      <w:r>
        <w:rPr>
          <w:rFonts w:ascii="Times New Roman" w:hAnsi="Times New Roman"/>
          <w:b/>
          <w:bCs/>
          <w:sz w:val="28"/>
          <w:szCs w:val="28"/>
        </w:rPr>
        <w:t>References</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Bercik</w:t>
      </w:r>
      <w:proofErr w:type="spellEnd"/>
      <w:r>
        <w:rPr>
          <w:rFonts w:ascii="Times New Roman" w:hAnsi="Times New Roman"/>
          <w:sz w:val="24"/>
          <w:szCs w:val="24"/>
        </w:rPr>
        <w:t xml:space="preserve">, P., Collins, S. M., &amp; </w:t>
      </w:r>
      <w:proofErr w:type="spellStart"/>
      <w:r>
        <w:rPr>
          <w:rFonts w:ascii="Times New Roman" w:hAnsi="Times New Roman"/>
          <w:sz w:val="24"/>
          <w:szCs w:val="24"/>
        </w:rPr>
        <w:t>Verdu</w:t>
      </w:r>
      <w:proofErr w:type="spellEnd"/>
      <w:r>
        <w:rPr>
          <w:rFonts w:ascii="Times New Roman" w:hAnsi="Times New Roman"/>
          <w:sz w:val="24"/>
          <w:szCs w:val="24"/>
        </w:rPr>
        <w:t>, E. F. (2011). Microbes and the gut-brain axis. Journal of Neuro-gastroenterology and Motility, 23(5), 344-349. https://doi.org/10.1111/j.1751-2980.2011.00552.x</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Belkaid</w:t>
      </w:r>
      <w:proofErr w:type="spellEnd"/>
      <w:r>
        <w:rPr>
          <w:rFonts w:ascii="Times New Roman" w:hAnsi="Times New Roman"/>
          <w:sz w:val="24"/>
          <w:szCs w:val="24"/>
        </w:rPr>
        <w:t>, Y., &amp; Hand, T. W. (2014). Role of the microbiota in immunity and inflammation. Cell, 157(1), 121-131. https://doi.org/10.1016/j.cell.2014.03.011</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lastRenderedPageBreak/>
        <w:t>Cryan</w:t>
      </w:r>
      <w:proofErr w:type="spellEnd"/>
      <w:r>
        <w:rPr>
          <w:rFonts w:ascii="Times New Roman" w:hAnsi="Times New Roman"/>
          <w:sz w:val="24"/>
          <w:szCs w:val="24"/>
        </w:rPr>
        <w:t xml:space="preserve">, J. F., </w:t>
      </w:r>
      <w:proofErr w:type="spellStart"/>
      <w:r>
        <w:rPr>
          <w:rFonts w:ascii="Times New Roman" w:hAnsi="Times New Roman"/>
          <w:sz w:val="24"/>
          <w:szCs w:val="24"/>
        </w:rPr>
        <w:t>O'Mahony</w:t>
      </w:r>
      <w:proofErr w:type="spellEnd"/>
      <w:r>
        <w:rPr>
          <w:rFonts w:ascii="Times New Roman" w:hAnsi="Times New Roman"/>
          <w:sz w:val="24"/>
          <w:szCs w:val="24"/>
        </w:rPr>
        <w:t xml:space="preserve">, S. M., &amp; </w:t>
      </w:r>
      <w:proofErr w:type="spellStart"/>
      <w:r>
        <w:rPr>
          <w:rFonts w:ascii="Times New Roman" w:hAnsi="Times New Roman"/>
          <w:sz w:val="24"/>
          <w:szCs w:val="24"/>
        </w:rPr>
        <w:t>Dinan</w:t>
      </w:r>
      <w:proofErr w:type="spellEnd"/>
      <w:r>
        <w:rPr>
          <w:rFonts w:ascii="Times New Roman" w:hAnsi="Times New Roman"/>
          <w:sz w:val="24"/>
          <w:szCs w:val="24"/>
        </w:rPr>
        <w:t>, T. G. (2019). Microbiota-gut-brain axis: From bowel to behavior. Neuro-gastroenterology and Motility, 31(10), e13623. https://doi.org/10.1111/nmo.13623</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Gareau</w:t>
      </w:r>
      <w:proofErr w:type="spellEnd"/>
      <w:r>
        <w:rPr>
          <w:rFonts w:ascii="Times New Roman" w:hAnsi="Times New Roman"/>
          <w:sz w:val="24"/>
          <w:szCs w:val="24"/>
        </w:rPr>
        <w:t xml:space="preserve">, M. G., Wine, E., &amp; </w:t>
      </w:r>
      <w:proofErr w:type="spellStart"/>
      <w:r>
        <w:rPr>
          <w:rFonts w:ascii="Times New Roman" w:hAnsi="Times New Roman"/>
          <w:sz w:val="24"/>
          <w:szCs w:val="24"/>
        </w:rPr>
        <w:t>Buret</w:t>
      </w:r>
      <w:proofErr w:type="spellEnd"/>
      <w:r>
        <w:rPr>
          <w:rFonts w:ascii="Times New Roman" w:hAnsi="Times New Roman"/>
          <w:sz w:val="24"/>
          <w:szCs w:val="24"/>
        </w:rPr>
        <w:t>, A. G. (2019). The impact of gut microbiota on the gastrointestinal tract and immune system. Journal of Autoimmunity, 105, 106-121. https://doi.org/10.1016/j.jaut.2019.06.003</w:t>
      </w:r>
    </w:p>
    <w:p w:rsidR="00427383" w:rsidRDefault="00871119">
      <w:pPr>
        <w:spacing w:line="240" w:lineRule="auto"/>
        <w:rPr>
          <w:rFonts w:ascii="Times New Roman" w:hAnsi="Times New Roman"/>
          <w:sz w:val="24"/>
          <w:szCs w:val="24"/>
        </w:rPr>
      </w:pPr>
      <w:r>
        <w:rPr>
          <w:rFonts w:ascii="Times New Roman" w:hAnsi="Times New Roman"/>
          <w:sz w:val="24"/>
          <w:szCs w:val="24"/>
        </w:rPr>
        <w:t>Huang, Y. L., Wang, W. H., &amp; Yang, X. L. (2020). Dysbiosis of gut microbiota in diseases: Mechanisms, biomarkers, and therapies. Molecular Therapy, 28(3), 621-640. https://doi.org/10.1016/j.ymthe.2019.10.015</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Kalliomaki</w:t>
      </w:r>
      <w:proofErr w:type="spellEnd"/>
      <w:r>
        <w:rPr>
          <w:rFonts w:ascii="Times New Roman" w:hAnsi="Times New Roman"/>
          <w:sz w:val="24"/>
          <w:szCs w:val="24"/>
        </w:rPr>
        <w:t xml:space="preserve">, M., </w:t>
      </w:r>
      <w:proofErr w:type="spellStart"/>
      <w:r>
        <w:rPr>
          <w:rFonts w:ascii="Times New Roman" w:hAnsi="Times New Roman"/>
          <w:sz w:val="24"/>
          <w:szCs w:val="24"/>
        </w:rPr>
        <w:t>Salminen</w:t>
      </w:r>
      <w:proofErr w:type="spellEnd"/>
      <w:r>
        <w:rPr>
          <w:rFonts w:ascii="Times New Roman" w:hAnsi="Times New Roman"/>
          <w:sz w:val="24"/>
          <w:szCs w:val="24"/>
        </w:rPr>
        <w:t xml:space="preserve">, S., &amp; von </w:t>
      </w:r>
      <w:proofErr w:type="spellStart"/>
      <w:r>
        <w:rPr>
          <w:rFonts w:ascii="Times New Roman" w:hAnsi="Times New Roman"/>
          <w:sz w:val="24"/>
          <w:szCs w:val="24"/>
        </w:rPr>
        <w:t>Hoebel</w:t>
      </w:r>
      <w:proofErr w:type="spellEnd"/>
      <w:r>
        <w:rPr>
          <w:rFonts w:ascii="Times New Roman" w:hAnsi="Times New Roman"/>
          <w:sz w:val="24"/>
          <w:szCs w:val="24"/>
        </w:rPr>
        <w:t xml:space="preserve">, L. (2021). </w:t>
      </w:r>
      <w:proofErr w:type="spellStart"/>
      <w:r>
        <w:rPr>
          <w:rFonts w:ascii="Times New Roman" w:hAnsi="Times New Roman"/>
          <w:sz w:val="24"/>
          <w:szCs w:val="24"/>
        </w:rPr>
        <w:t>Faecalibacterium</w:t>
      </w:r>
      <w:proofErr w:type="spellEnd"/>
      <w:r>
        <w:rPr>
          <w:rFonts w:ascii="Times New Roman" w:hAnsi="Times New Roman"/>
          <w:sz w:val="24"/>
          <w:szCs w:val="24"/>
        </w:rPr>
        <w:t xml:space="preserve"> </w:t>
      </w:r>
      <w:proofErr w:type="spellStart"/>
      <w:r>
        <w:rPr>
          <w:rFonts w:ascii="Times New Roman" w:hAnsi="Times New Roman"/>
          <w:sz w:val="24"/>
          <w:szCs w:val="24"/>
        </w:rPr>
        <w:t>prausnitzii</w:t>
      </w:r>
      <w:proofErr w:type="spellEnd"/>
      <w:r>
        <w:rPr>
          <w:rFonts w:ascii="Times New Roman" w:hAnsi="Times New Roman"/>
          <w:sz w:val="24"/>
          <w:szCs w:val="24"/>
        </w:rPr>
        <w:t xml:space="preserve"> in metabolic health and disease: An overview. Clinical Microbiology Reviews, 34(1), e00124-20. https://doi.org/10.1128/CMR.00124-20</w:t>
      </w:r>
    </w:p>
    <w:p w:rsidR="00427383" w:rsidRDefault="00871119">
      <w:pPr>
        <w:spacing w:line="240" w:lineRule="auto"/>
        <w:rPr>
          <w:rFonts w:ascii="Times New Roman" w:hAnsi="Times New Roman"/>
          <w:sz w:val="24"/>
          <w:szCs w:val="24"/>
        </w:rPr>
      </w:pPr>
      <w:r>
        <w:rPr>
          <w:rFonts w:ascii="Times New Roman" w:hAnsi="Times New Roman"/>
          <w:sz w:val="24"/>
          <w:szCs w:val="24"/>
        </w:rPr>
        <w:t xml:space="preserve">Ley, R. E., </w:t>
      </w:r>
      <w:proofErr w:type="spellStart"/>
      <w:r>
        <w:rPr>
          <w:rFonts w:ascii="Times New Roman" w:hAnsi="Times New Roman"/>
          <w:sz w:val="24"/>
          <w:szCs w:val="24"/>
        </w:rPr>
        <w:t>Turnbaugh</w:t>
      </w:r>
      <w:proofErr w:type="spellEnd"/>
      <w:r>
        <w:rPr>
          <w:rFonts w:ascii="Times New Roman" w:hAnsi="Times New Roman"/>
          <w:sz w:val="24"/>
          <w:szCs w:val="24"/>
        </w:rPr>
        <w:t>, P. J., &amp; Klein, S. (2006). Microbial ecology: Human gut microbes associated with obesity. Nature, 444(7122), 1022-1023. https://doi.org/10.1038/4441022a</w:t>
      </w:r>
    </w:p>
    <w:p w:rsidR="00427383" w:rsidRDefault="00871119">
      <w:pPr>
        <w:spacing w:line="240" w:lineRule="auto"/>
        <w:rPr>
          <w:rFonts w:ascii="Times New Roman" w:hAnsi="Times New Roman"/>
          <w:sz w:val="24"/>
          <w:szCs w:val="24"/>
        </w:rPr>
      </w:pPr>
      <w:r>
        <w:rPr>
          <w:rFonts w:ascii="Times New Roman" w:hAnsi="Times New Roman"/>
          <w:sz w:val="24"/>
          <w:szCs w:val="24"/>
        </w:rPr>
        <w:t>Liu, L., Li, J., &amp; Li, X. (2020). Microbial dysbiosis in inflammatory bowel disease. Frontiers in Cellular and Infection Microbiology, 10, 613153. https://doi.org/10.3389/fcimb.2020.613153</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Newgard</w:t>
      </w:r>
      <w:proofErr w:type="spellEnd"/>
      <w:r>
        <w:rPr>
          <w:rFonts w:ascii="Times New Roman" w:hAnsi="Times New Roman"/>
          <w:sz w:val="24"/>
          <w:szCs w:val="24"/>
        </w:rPr>
        <w:t>, C. B., An, J., &amp; Bain, J. R. (2012). A branched-chain amino acid-related metabolic signature that differentiates obese and lean humans and contributes to insulin resistance. Cell Metabolism, 15(6), 786-794. https://doi.org/10.1016/j.cmet.2012.04.022</w:t>
      </w:r>
    </w:p>
    <w:p w:rsidR="00427383" w:rsidRDefault="00871119">
      <w:pPr>
        <w:spacing w:line="240" w:lineRule="auto"/>
        <w:rPr>
          <w:rFonts w:ascii="Times New Roman" w:hAnsi="Times New Roman"/>
          <w:sz w:val="24"/>
          <w:szCs w:val="24"/>
        </w:rPr>
      </w:pPr>
      <w:r>
        <w:rPr>
          <w:rFonts w:ascii="Times New Roman" w:hAnsi="Times New Roman"/>
          <w:sz w:val="24"/>
          <w:szCs w:val="24"/>
        </w:rPr>
        <w:t>Snyder, M. P., &amp; Gale, E. A. M. (2020). Cytokine regulation in obesity: Implications for cardiovascular and metabolic diseases. Nature Reviews Immunology, 20(11), 673-687. https://doi.org/10.1038/s41577-020-0305-x</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Shreiner</w:t>
      </w:r>
      <w:proofErr w:type="spellEnd"/>
      <w:r>
        <w:rPr>
          <w:rFonts w:ascii="Times New Roman" w:hAnsi="Times New Roman"/>
          <w:sz w:val="24"/>
          <w:szCs w:val="24"/>
        </w:rPr>
        <w:t>, A. B., Kao, J. Y., &amp; Young, V. B. (2015). The gut microbiome in health and in disease. Current Opinion in Gastroenterology, 31(2), 69-73. https://doi.org/10.1097/MOG.0000000000000156</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Sonnenburg</w:t>
      </w:r>
      <w:proofErr w:type="spellEnd"/>
      <w:r>
        <w:rPr>
          <w:rFonts w:ascii="Times New Roman" w:hAnsi="Times New Roman"/>
          <w:sz w:val="24"/>
          <w:szCs w:val="24"/>
        </w:rPr>
        <w:t xml:space="preserve">, E. D., &amp; </w:t>
      </w:r>
      <w:proofErr w:type="spellStart"/>
      <w:r>
        <w:rPr>
          <w:rFonts w:ascii="Times New Roman" w:hAnsi="Times New Roman"/>
          <w:sz w:val="24"/>
          <w:szCs w:val="24"/>
        </w:rPr>
        <w:t>Sonnenburg</w:t>
      </w:r>
      <w:proofErr w:type="spellEnd"/>
      <w:r>
        <w:rPr>
          <w:rFonts w:ascii="Times New Roman" w:hAnsi="Times New Roman"/>
          <w:sz w:val="24"/>
          <w:szCs w:val="24"/>
        </w:rPr>
        <w:t>, J. L. (2016). Starving our microbes to enhance our health. Science, 352(6292), 1155-1156. https://doi.org/10.1126/science.aaf2029</w:t>
      </w:r>
    </w:p>
    <w:p w:rsidR="00427383" w:rsidRDefault="00871119">
      <w:pPr>
        <w:spacing w:line="240" w:lineRule="auto"/>
        <w:rPr>
          <w:rFonts w:ascii="Times New Roman" w:hAnsi="Times New Roman"/>
          <w:sz w:val="24"/>
          <w:szCs w:val="24"/>
        </w:rPr>
      </w:pPr>
      <w:r>
        <w:rPr>
          <w:rFonts w:ascii="Times New Roman" w:hAnsi="Times New Roman"/>
          <w:sz w:val="24"/>
          <w:szCs w:val="24"/>
        </w:rPr>
        <w:t>Wang, Y., Zhang, S., &amp; Zhang, C. (2020). Gut microbiota, short-chain fatty acids, and host immunity. Frontiers in Immunology, 11, 1925. https://doi.org/10.3389/fimmu.2020.01925</w:t>
      </w:r>
    </w:p>
    <w:p w:rsidR="00427383" w:rsidRDefault="00871119">
      <w:pPr>
        <w:spacing w:line="240" w:lineRule="auto"/>
        <w:rPr>
          <w:rFonts w:ascii="Times New Roman" w:hAnsi="Times New Roman"/>
          <w:sz w:val="24"/>
          <w:szCs w:val="24"/>
        </w:rPr>
      </w:pPr>
      <w:r>
        <w:rPr>
          <w:rFonts w:ascii="Times New Roman" w:hAnsi="Times New Roman"/>
          <w:sz w:val="24"/>
          <w:szCs w:val="24"/>
        </w:rPr>
        <w:t>Zhao, L., Zhang, F., &amp; Zheng, X. (2021). Gut microbiota and human diseases: From association to causality. Nature Reviews Microbiology, 19(11), 612-627. https://doi.org/10.1038/s41579-021-00447-5</w:t>
      </w:r>
    </w:p>
    <w:p w:rsidR="00427383" w:rsidRDefault="00871119">
      <w:pPr>
        <w:spacing w:line="240" w:lineRule="auto"/>
        <w:rPr>
          <w:rFonts w:ascii="Times New Roman" w:hAnsi="Times New Roman"/>
          <w:sz w:val="24"/>
          <w:szCs w:val="24"/>
        </w:rPr>
      </w:pPr>
      <w:proofErr w:type="spellStart"/>
      <w:r>
        <w:rPr>
          <w:rFonts w:ascii="Times New Roman" w:hAnsi="Times New Roman"/>
          <w:sz w:val="24"/>
          <w:szCs w:val="24"/>
        </w:rPr>
        <w:t>Zhernakova</w:t>
      </w:r>
      <w:proofErr w:type="spellEnd"/>
      <w:r>
        <w:rPr>
          <w:rFonts w:ascii="Times New Roman" w:hAnsi="Times New Roman"/>
          <w:sz w:val="24"/>
          <w:szCs w:val="24"/>
        </w:rPr>
        <w:t xml:space="preserve">, A., </w:t>
      </w:r>
      <w:proofErr w:type="spellStart"/>
      <w:r>
        <w:rPr>
          <w:rFonts w:ascii="Times New Roman" w:hAnsi="Times New Roman"/>
          <w:sz w:val="24"/>
          <w:szCs w:val="24"/>
        </w:rPr>
        <w:t>Kurilshikova</w:t>
      </w:r>
      <w:proofErr w:type="spellEnd"/>
      <w:r>
        <w:rPr>
          <w:rFonts w:ascii="Times New Roman" w:hAnsi="Times New Roman"/>
          <w:sz w:val="24"/>
          <w:szCs w:val="24"/>
        </w:rPr>
        <w:t>, P., &amp; Bonder, M. J. (2016). Population-based metagenomics analysis reveals markers for gut microbiome composition and diversity. Science, 352(6285), 1107-1111. https://doi.org/10.1126/science.aad5485</w:t>
      </w:r>
    </w:p>
    <w:p w:rsidR="00427383" w:rsidRDefault="00427383">
      <w:pPr>
        <w:spacing w:line="240" w:lineRule="auto"/>
        <w:rPr>
          <w:rFonts w:ascii="Times New Roman" w:hAnsi="Times New Roman"/>
          <w:sz w:val="24"/>
          <w:szCs w:val="24"/>
        </w:rPr>
        <w:sectPr w:rsidR="0042738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cols w:space="425"/>
          <w:docGrid w:linePitch="360"/>
        </w:sectPr>
      </w:pPr>
    </w:p>
    <w:p w:rsidR="00427383" w:rsidRDefault="00427383">
      <w:pPr>
        <w:spacing w:line="240" w:lineRule="auto"/>
        <w:rPr>
          <w:rFonts w:ascii="Times New Roman" w:hAnsi="Times New Roman"/>
          <w:sz w:val="24"/>
          <w:szCs w:val="24"/>
        </w:rPr>
      </w:pPr>
    </w:p>
    <w:sectPr w:rsidR="0042738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C4B" w:rsidRDefault="00F52C4B">
      <w:pPr>
        <w:spacing w:after="0" w:line="240" w:lineRule="auto"/>
      </w:pPr>
      <w:r>
        <w:separator/>
      </w:r>
    </w:p>
  </w:endnote>
  <w:endnote w:type="continuationSeparator" w:id="0">
    <w:p w:rsidR="00F52C4B" w:rsidRDefault="00F52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427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427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427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C4B" w:rsidRDefault="00F52C4B">
      <w:pPr>
        <w:spacing w:after="0" w:line="240" w:lineRule="auto"/>
      </w:pPr>
      <w:r>
        <w:separator/>
      </w:r>
    </w:p>
  </w:footnote>
  <w:footnote w:type="continuationSeparator" w:id="0">
    <w:p w:rsidR="00F52C4B" w:rsidRDefault="00F52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724E4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3"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724E4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4" o:spid="_x0000_s2051" type="#_x0000_t136" style="position:absolute;margin-left:0;margin-top:0;width:555.6pt;height:104.1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383" w:rsidRDefault="00724E4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138312"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trim="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oNotTrackMoves/>
  <w:defaultTabStop w:val="720"/>
  <w:doNotShadeFormData/>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NjczsbC0sDAwMDVS0lEKTi0uzszPAykwqwUAu5nY/SwAAAA="/>
  </w:docVars>
  <w:rsids>
    <w:rsidRoot w:val="00427383"/>
    <w:rsid w:val="000243A3"/>
    <w:rsid w:val="000F1B81"/>
    <w:rsid w:val="00427383"/>
    <w:rsid w:val="00573372"/>
    <w:rsid w:val="00724E49"/>
    <w:rsid w:val="00730CC2"/>
    <w:rsid w:val="00871119"/>
    <w:rsid w:val="008B7BB9"/>
    <w:rsid w:val="00913D5F"/>
    <w:rsid w:val="00A42F67"/>
    <w:rsid w:val="00C561C6"/>
    <w:rsid w:val="00D84A82"/>
    <w:rsid w:val="00F52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4603B2"/>
  <w15:docId w15:val="{FCB9F592-A36E-4B18-8A38-F177277D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2">
    <w:name w:val="heading 2"/>
    <w:basedOn w:val="Normal"/>
    <w:next w:val="Normal"/>
    <w:qFormat/>
    <w:pPr>
      <w:keepNext/>
      <w:keepLines/>
      <w:widowControl w:val="0"/>
      <w:spacing w:before="200" w:after="0"/>
      <w:outlineLvl w:val="1"/>
    </w:pPr>
    <w:rPr>
      <w:rFonts w:eastAsia="MS Gothic"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680"/>
        <w:tab w:val="right" w:pos="9360"/>
      </w:tabs>
      <w:spacing w:after="0" w:line="240" w:lineRule="auto"/>
    </w:pPr>
  </w:style>
  <w:style w:type="paragraph" w:styleId="Header">
    <w:name w:val="header"/>
    <w:basedOn w:val="Normal"/>
    <w:link w:val="HeaderChar"/>
    <w:pPr>
      <w:tabs>
        <w:tab w:val="center" w:pos="4680"/>
        <w:tab w:val="right" w:pos="9360"/>
      </w:tabs>
      <w:spacing w:after="0" w:line="240" w:lineRule="auto"/>
    </w:pPr>
  </w:style>
  <w:style w:type="paragraph" w:styleId="Title">
    <w:name w:val="Title"/>
    <w:basedOn w:val="Normal"/>
    <w:qFormat/>
    <w:pPr>
      <w:pBdr>
        <w:bottom w:val="single" w:sz="8" w:space="4" w:color="4F81BD"/>
      </w:pBdr>
      <w:spacing w:after="300" w:line="240" w:lineRule="auto"/>
    </w:pPr>
    <w:rPr>
      <w:rFonts w:eastAsia="MS Gothic" w:cs="SimSun"/>
      <w:color w:val="17365D"/>
      <w:spacing w:val="5"/>
      <w:kern w:val="28"/>
      <w:sz w:val="52"/>
      <w:szCs w:val="52"/>
    </w:rPr>
  </w:style>
  <w:style w:type="character" w:styleId="Hyperlink">
    <w:name w:val="Hyperlink"/>
    <w:basedOn w:val="DefaultParagraphFont"/>
    <w:rPr>
      <w:color w:val="0000FF" w:themeColor="hyperlink"/>
      <w:u w:val="single"/>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ListParagraph1">
    <w:name w:val="List Paragraph1"/>
    <w:basedOn w:val="Normal"/>
    <w:uiPriority w:val="99"/>
    <w:unhideWhenUsed/>
    <w:pPr>
      <w:ind w:left="720"/>
      <w:contextualSpacing/>
    </w:pPr>
  </w:style>
  <w:style w:type="character" w:customStyle="1" w:styleId="HeaderChar">
    <w:name w:val="Header Char"/>
    <w:basedOn w:val="DefaultParagraphFont"/>
    <w:link w:val="Header"/>
    <w:rPr>
      <w:rFonts w:ascii="Calibri" w:hAnsi="Calibri"/>
      <w:sz w:val="22"/>
      <w:szCs w:val="22"/>
      <w:lang w:eastAsia="zh-CN"/>
    </w:rPr>
  </w:style>
  <w:style w:type="character" w:customStyle="1" w:styleId="FooterChar">
    <w:name w:val="Footer Char"/>
    <w:basedOn w:val="DefaultParagraphFont"/>
    <w:link w:val="Footer"/>
    <w:rPr>
      <w:rFonts w:ascii="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3647</Words>
  <Characters>20792</Characters>
  <Application>Microsoft Office Word</Application>
  <DocSecurity>0</DocSecurity>
  <Lines>173</Lines>
  <Paragraphs>48</Paragraphs>
  <ScaleCrop>false</ScaleCrop>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P673L</dc:creator>
  <cp:lastModifiedBy>SDI PC New 16</cp:lastModifiedBy>
  <cp:revision>18</cp:revision>
  <dcterms:created xsi:type="dcterms:W3CDTF">2025-04-14T20:56:00Z</dcterms:created>
  <dcterms:modified xsi:type="dcterms:W3CDTF">2025-04-25T11:33:00Z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951D9EFA809C84FAE9210A68E80325AC_33</vt:lpwstr>
  </property>
  <property fmtid="{D5CDD505-2E9C-101B-9397-08002B2CF9AE}" pid="3" name="KSOProductBuildVer">
    <vt:lpwstr>3081-11.34.01</vt:lpwstr>
  </property>
</Properties>
</file>