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9B26B" w14:textId="77777777" w:rsidR="00461596" w:rsidRDefault="00461596">
      <w:pPr>
        <w:spacing w:line="360" w:lineRule="auto"/>
        <w:jc w:val="center"/>
        <w:rPr>
          <w:rFonts w:ascii="Times New Roman" w:hAnsi="Times New Roman"/>
          <w:b/>
          <w:bCs/>
          <w:sz w:val="28"/>
          <w:szCs w:val="28"/>
        </w:rPr>
      </w:pPr>
    </w:p>
    <w:p w14:paraId="2D4FB898" w14:textId="6A693533" w:rsidR="00461596" w:rsidRDefault="00461596">
      <w:pPr>
        <w:spacing w:line="360" w:lineRule="auto"/>
        <w:jc w:val="center"/>
        <w:rPr>
          <w:rFonts w:ascii="Times New Roman" w:hAnsi="Times New Roman"/>
          <w:b/>
          <w:bCs/>
          <w:sz w:val="28"/>
          <w:szCs w:val="28"/>
        </w:rPr>
      </w:pPr>
      <w:r w:rsidRPr="00E404D4">
        <w:rPr>
          <w:rFonts w:ascii="Times New Roman" w:hAnsi="Times New Roman"/>
          <w:b/>
          <w:bCs/>
          <w:sz w:val="28"/>
          <w:szCs w:val="28"/>
          <w:highlight w:val="yellow"/>
        </w:rPr>
        <w:t>Assessment of Microbial Contamination in Over-the-Counter (OTC) Drugs: A review</w:t>
      </w:r>
      <w:r w:rsidRPr="00461596">
        <w:rPr>
          <w:rFonts w:ascii="Times New Roman" w:hAnsi="Times New Roman"/>
          <w:b/>
          <w:bCs/>
          <w:sz w:val="28"/>
          <w:szCs w:val="28"/>
        </w:rPr>
        <w:t xml:space="preserve"> </w:t>
      </w:r>
    </w:p>
    <w:p w14:paraId="19071C75" w14:textId="77777777" w:rsidR="00BF1613" w:rsidRDefault="00BF1613">
      <w:pPr>
        <w:spacing w:line="360" w:lineRule="auto"/>
        <w:jc w:val="center"/>
        <w:rPr>
          <w:rFonts w:ascii="Times New Roman" w:hAnsi="Times New Roman"/>
          <w:b/>
          <w:bCs/>
          <w:sz w:val="28"/>
          <w:szCs w:val="28"/>
        </w:rPr>
      </w:pPr>
    </w:p>
    <w:p w14:paraId="40DB7F0F" w14:textId="77777777"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t>Abstract</w:t>
      </w:r>
    </w:p>
    <w:p w14:paraId="3FA63206" w14:textId="3FDE0BCB" w:rsidR="00586E92" w:rsidRDefault="001831B1">
      <w:pPr>
        <w:spacing w:line="360" w:lineRule="auto"/>
        <w:jc w:val="both"/>
        <w:rPr>
          <w:rFonts w:ascii="Times New Roman" w:hAnsi="Times New Roman"/>
          <w:sz w:val="24"/>
          <w:szCs w:val="24"/>
        </w:rPr>
      </w:pPr>
      <w:r w:rsidRPr="00566E24">
        <w:rPr>
          <w:rFonts w:ascii="Times New Roman" w:hAnsi="Times New Roman"/>
          <w:sz w:val="24"/>
          <w:szCs w:val="24"/>
          <w:highlight w:val="yellow"/>
        </w:rPr>
        <w:t xml:space="preserve">This review aims to assess the extent of microbial contamination in over-the-counter (OTC) drugs, highlighting the importance of quality control in the pharmaceutical industry.  </w:t>
      </w:r>
      <w:r w:rsidR="00BF1613" w:rsidRPr="00566E24">
        <w:rPr>
          <w:rFonts w:ascii="Times New Roman" w:hAnsi="Times New Roman"/>
          <w:sz w:val="24"/>
          <w:szCs w:val="24"/>
          <w:highlight w:val="yellow"/>
        </w:rPr>
        <w:t>Microbial contamination in OTC drugs poses significant risks to public health,</w:t>
      </w:r>
      <w:r w:rsidR="00BF1613">
        <w:rPr>
          <w:rFonts w:ascii="Times New Roman" w:hAnsi="Times New Roman"/>
          <w:sz w:val="24"/>
          <w:szCs w:val="24"/>
        </w:rPr>
        <w:t xml:space="preserve"> particularly as these products are widely available for self-administration without healthcare supervision. It explores the common sources of contamination, including manufacturing practices, storage conditions, and packaging materials. The review further examines regulatory guidelines from organizations such as the WHO, USP, and BP, which set acceptable microbial limits for pharmaceuticals. </w:t>
      </w:r>
      <w:r w:rsidR="002B11F6" w:rsidRPr="002B11F6">
        <w:rPr>
          <w:rFonts w:ascii="Times New Roman" w:hAnsi="Times New Roman"/>
          <w:sz w:val="24"/>
          <w:szCs w:val="24"/>
          <w:highlight w:val="yellow"/>
        </w:rPr>
        <w:t>A comprehensive search was conducted across multiple databases, including PubMed, Google Scholar, ScienceDirect, and JSTOR.</w:t>
      </w:r>
      <w:r w:rsidR="002B11F6" w:rsidRPr="002B11F6">
        <w:rPr>
          <w:rFonts w:ascii="Times New Roman" w:hAnsi="Times New Roman"/>
          <w:sz w:val="24"/>
          <w:szCs w:val="24"/>
        </w:rPr>
        <w:t xml:space="preserve"> </w:t>
      </w:r>
      <w:r w:rsidR="00BF1613">
        <w:rPr>
          <w:rFonts w:ascii="Times New Roman" w:hAnsi="Times New Roman"/>
          <w:sz w:val="24"/>
          <w:szCs w:val="24"/>
        </w:rPr>
        <w:t xml:space="preserve">Various microbial testing methods, including traditional techniques such as Total Viable Count (TVC) and newer rapid testing methods, are discussed as tools for ensuring the microbiological safety of OTC products. Additionally, the review addresses case studies of contaminated OTC drugs, identifying factors contributing to contamination and their public health impact. Finally, emerging technologies and strategies for minimizing microbial contamination are explored, with a focus on advancements in filtration, nanotechnology, and regulatory enforcement. </w:t>
      </w:r>
      <w:r w:rsidR="00BF1613" w:rsidRPr="00A97F36">
        <w:rPr>
          <w:rFonts w:ascii="Times New Roman" w:hAnsi="Times New Roman"/>
          <w:sz w:val="24"/>
          <w:szCs w:val="24"/>
          <w:highlight w:val="yellow"/>
        </w:rPr>
        <w:t>The review concludes by emphasizing the need for stringent quality control measures, robust microbial testing, and continued innovation to safeguard public health and improve the safety of OTC drugs.</w:t>
      </w:r>
    </w:p>
    <w:p w14:paraId="7363D9F4" w14:textId="2B9DC204" w:rsidR="00586E92" w:rsidRDefault="00BF1613">
      <w:pPr>
        <w:spacing w:line="360" w:lineRule="auto"/>
        <w:jc w:val="both"/>
        <w:rPr>
          <w:rFonts w:ascii="Times New Roman" w:hAnsi="Times New Roman"/>
          <w:sz w:val="24"/>
          <w:szCs w:val="24"/>
        </w:rPr>
      </w:pPr>
      <w:r w:rsidRPr="00EF33CC">
        <w:rPr>
          <w:rFonts w:ascii="Times New Roman" w:hAnsi="Times New Roman"/>
          <w:b/>
          <w:bCs/>
          <w:sz w:val="24"/>
          <w:szCs w:val="24"/>
          <w:highlight w:val="yellow"/>
        </w:rPr>
        <w:t>Keywords</w:t>
      </w:r>
      <w:r w:rsidR="00EF33CC">
        <w:rPr>
          <w:rFonts w:ascii="Times New Roman" w:hAnsi="Times New Roman"/>
          <w:b/>
          <w:bCs/>
          <w:sz w:val="24"/>
          <w:szCs w:val="24"/>
          <w:highlight w:val="yellow"/>
        </w:rPr>
        <w:t xml:space="preserve">: </w:t>
      </w:r>
      <w:r w:rsidRPr="00EF33CC">
        <w:rPr>
          <w:rFonts w:ascii="Times New Roman" w:hAnsi="Times New Roman"/>
          <w:sz w:val="24"/>
          <w:szCs w:val="24"/>
          <w:highlight w:val="yellow"/>
        </w:rPr>
        <w:t xml:space="preserve">Microbial contamination, Over-the-counter drugs, Quality control, </w:t>
      </w:r>
      <w:r w:rsidR="00BE25E6" w:rsidRPr="00EF33CC">
        <w:rPr>
          <w:rFonts w:ascii="Times New Roman" w:hAnsi="Times New Roman"/>
          <w:sz w:val="24"/>
          <w:szCs w:val="24"/>
          <w:highlight w:val="yellow"/>
        </w:rPr>
        <w:t>pharmaceutical</w:t>
      </w:r>
      <w:r w:rsidRPr="00EF33CC">
        <w:rPr>
          <w:rFonts w:ascii="Times New Roman" w:hAnsi="Times New Roman"/>
          <w:sz w:val="24"/>
          <w:szCs w:val="24"/>
          <w:highlight w:val="yellow"/>
        </w:rPr>
        <w:t xml:space="preserve"> safety, Microbial testing, Good Manufacturing Practices (GMP), OTC drug contamination</w:t>
      </w:r>
    </w:p>
    <w:p w14:paraId="58AD4D44" w14:textId="77777777" w:rsidR="00586E92" w:rsidRDefault="00BF1613">
      <w:pPr>
        <w:spacing w:line="360" w:lineRule="auto"/>
        <w:jc w:val="both"/>
        <w:rPr>
          <w:rFonts w:ascii="Times New Roman" w:hAnsi="Times New Roman"/>
          <w:sz w:val="24"/>
          <w:szCs w:val="24"/>
        </w:rPr>
      </w:pPr>
      <w:r>
        <w:rPr>
          <w:rFonts w:ascii="Times New Roman" w:hAnsi="Times New Roman"/>
          <w:b/>
          <w:bCs/>
          <w:sz w:val="24"/>
          <w:szCs w:val="24"/>
        </w:rPr>
        <w:t>1 Introduction</w:t>
      </w:r>
    </w:p>
    <w:p w14:paraId="0B7A0BA3" w14:textId="0AFDFF08" w:rsidR="00586E92" w:rsidRDefault="00461596" w:rsidP="00461596">
      <w:pPr>
        <w:spacing w:line="360" w:lineRule="auto"/>
        <w:jc w:val="both"/>
        <w:rPr>
          <w:rFonts w:ascii="Times New Roman" w:hAnsi="Times New Roman"/>
          <w:sz w:val="24"/>
          <w:szCs w:val="24"/>
        </w:rPr>
      </w:pPr>
      <w:r w:rsidRPr="00461596">
        <w:rPr>
          <w:rFonts w:ascii="Times New Roman" w:hAnsi="Times New Roman"/>
          <w:sz w:val="24"/>
          <w:szCs w:val="24"/>
          <w:highlight w:val="yellow"/>
        </w:rPr>
        <w:t xml:space="preserve">Pharmaceutical products are manufactured purposely with the intention to treat a target medical condition. Nevertheless, several factors could compromise this goal, one of them being possible </w:t>
      </w:r>
      <w:r w:rsidRPr="00461596">
        <w:rPr>
          <w:rFonts w:ascii="Times New Roman" w:hAnsi="Times New Roman"/>
          <w:sz w:val="24"/>
          <w:szCs w:val="24"/>
          <w:highlight w:val="yellow"/>
        </w:rPr>
        <w:lastRenderedPageBreak/>
        <w:t>contamination with pathogenic and non-pathogenic microorg</w:t>
      </w:r>
      <w:r w:rsidRPr="008F0526">
        <w:rPr>
          <w:rFonts w:ascii="Times New Roman" w:hAnsi="Times New Roman"/>
          <w:sz w:val="24"/>
          <w:szCs w:val="24"/>
          <w:highlight w:val="yellow"/>
        </w:rPr>
        <w:t>anisms (</w:t>
      </w:r>
      <w:proofErr w:type="spellStart"/>
      <w:r w:rsidR="008F0526" w:rsidRPr="008F0526">
        <w:rPr>
          <w:rFonts w:ascii="Times New Roman" w:hAnsi="Times New Roman"/>
          <w:sz w:val="24"/>
          <w:szCs w:val="24"/>
          <w:highlight w:val="yellow"/>
        </w:rPr>
        <w:t>Okunlola</w:t>
      </w:r>
      <w:proofErr w:type="spellEnd"/>
      <w:r w:rsidR="008F0526" w:rsidRPr="008F0526">
        <w:rPr>
          <w:rFonts w:ascii="Times New Roman" w:hAnsi="Times New Roman"/>
          <w:sz w:val="24"/>
          <w:szCs w:val="24"/>
          <w:highlight w:val="yellow"/>
        </w:rPr>
        <w:t xml:space="preserve"> et al., 2007; Mukhtar et al., 2019</w:t>
      </w:r>
      <w:r w:rsidRPr="008F0526">
        <w:rPr>
          <w:rFonts w:ascii="Times New Roman" w:hAnsi="Times New Roman"/>
          <w:sz w:val="24"/>
          <w:szCs w:val="24"/>
          <w:highlight w:val="yellow"/>
        </w:rPr>
        <w:t>).</w:t>
      </w:r>
      <w:r>
        <w:rPr>
          <w:rFonts w:ascii="Times New Roman" w:hAnsi="Times New Roman"/>
          <w:sz w:val="24"/>
          <w:szCs w:val="24"/>
        </w:rPr>
        <w:t xml:space="preserve"> </w:t>
      </w:r>
      <w:r w:rsidR="00A86721" w:rsidRPr="00A86721">
        <w:rPr>
          <w:rFonts w:ascii="Times New Roman" w:hAnsi="Times New Roman"/>
          <w:sz w:val="24"/>
          <w:szCs w:val="24"/>
          <w:highlight w:val="yellow"/>
        </w:rPr>
        <w:t xml:space="preserve">Pharmaceutical   surveillance   is playing  an  important  role  to  help  out  for  the avoidance from patients at risk due to inadequate safety,  efficacy,  and  quality  of  pharmaceuticals and  ensure  they  are  fit  for  use.  </w:t>
      </w:r>
      <w:proofErr w:type="gramStart"/>
      <w:r w:rsidR="00A86721" w:rsidRPr="00A86721">
        <w:rPr>
          <w:rFonts w:ascii="Times New Roman" w:hAnsi="Times New Roman"/>
          <w:sz w:val="24"/>
          <w:szCs w:val="24"/>
          <w:highlight w:val="yellow"/>
        </w:rPr>
        <w:t>Many  studies</w:t>
      </w:r>
      <w:proofErr w:type="gramEnd"/>
      <w:r w:rsidR="00A86721" w:rsidRPr="00A86721">
        <w:rPr>
          <w:rFonts w:ascii="Times New Roman" w:hAnsi="Times New Roman"/>
          <w:sz w:val="24"/>
          <w:szCs w:val="24"/>
          <w:highlight w:val="yellow"/>
        </w:rPr>
        <w:t xml:space="preserve"> show  that  drug-borne  diseases  worldwide  are associated   with   contaminated   pharmaceutical dosage forms </w:t>
      </w:r>
      <w:r w:rsidR="00D057BD" w:rsidRPr="00D057BD">
        <w:rPr>
          <w:rFonts w:ascii="Times New Roman" w:hAnsi="Times New Roman"/>
          <w:sz w:val="24"/>
          <w:szCs w:val="24"/>
        </w:rPr>
        <w:t>(</w:t>
      </w:r>
      <w:proofErr w:type="spellStart"/>
      <w:r w:rsidR="00D057BD" w:rsidRPr="00D057BD">
        <w:rPr>
          <w:rFonts w:ascii="Times New Roman" w:hAnsi="Times New Roman"/>
          <w:sz w:val="24"/>
          <w:szCs w:val="24"/>
        </w:rPr>
        <w:t>Długaszewska</w:t>
      </w:r>
      <w:proofErr w:type="spellEnd"/>
      <w:r w:rsidR="00D057BD" w:rsidRPr="00D057BD">
        <w:rPr>
          <w:rFonts w:ascii="Times New Roman" w:hAnsi="Times New Roman"/>
          <w:sz w:val="24"/>
          <w:szCs w:val="24"/>
        </w:rPr>
        <w:t xml:space="preserve"> et al., 2008; Salem et al., 2021)</w:t>
      </w:r>
      <w:r w:rsidR="00A86721" w:rsidRPr="00A86721">
        <w:rPr>
          <w:rFonts w:ascii="Times New Roman" w:hAnsi="Times New Roman"/>
          <w:sz w:val="24"/>
          <w:szCs w:val="24"/>
          <w:highlight w:val="yellow"/>
        </w:rPr>
        <w:t>.</w:t>
      </w:r>
      <w:r w:rsidR="00A86721">
        <w:rPr>
          <w:rFonts w:ascii="Times New Roman" w:hAnsi="Times New Roman"/>
          <w:sz w:val="24"/>
          <w:szCs w:val="24"/>
        </w:rPr>
        <w:t xml:space="preserve"> </w:t>
      </w:r>
      <w:r w:rsidR="00BF1613">
        <w:rPr>
          <w:rFonts w:ascii="Times New Roman" w:hAnsi="Times New Roman"/>
          <w:sz w:val="24"/>
          <w:szCs w:val="24"/>
        </w:rPr>
        <w:t xml:space="preserve">Microbial contamination in pharmaceutical products poses a significant threat to public health, especially in over-the-counter (OTC) drugs which are widely accessible and often self-administered without medical supervision. The risk of contamination is particularly concerning in non-sterile formulations such as syrups, creams, and tablets, where microbial presence can lead to reduced drug efficacy, spoilage, and in severe cases, infections or toxic reactions in vulnerable populations. Regulatory bodies including the U.S. Food and Drug Administration (FDA), World Health Organization (WHO), and European Medicines Agency (EMA) have continually emphasized the importance of good manufacturing practices (GMP) to control microbiological hazards during drug production (FDA, 2009; </w:t>
      </w:r>
      <w:r w:rsidR="00BF1613" w:rsidRPr="0056015D">
        <w:rPr>
          <w:rFonts w:ascii="Times New Roman" w:hAnsi="Times New Roman"/>
          <w:sz w:val="24"/>
          <w:szCs w:val="24"/>
          <w:highlight w:val="yellow"/>
        </w:rPr>
        <w:t>WHO, 2</w:t>
      </w:r>
      <w:r w:rsidR="0067530A" w:rsidRPr="0056015D">
        <w:rPr>
          <w:rFonts w:ascii="Times New Roman" w:hAnsi="Times New Roman"/>
          <w:sz w:val="24"/>
          <w:szCs w:val="24"/>
          <w:highlight w:val="yellow"/>
        </w:rPr>
        <w:t>011a</w:t>
      </w:r>
      <w:r w:rsidR="00BF1613" w:rsidRPr="0056015D">
        <w:rPr>
          <w:rFonts w:ascii="Times New Roman" w:hAnsi="Times New Roman"/>
          <w:sz w:val="24"/>
          <w:szCs w:val="24"/>
          <w:highlight w:val="yellow"/>
        </w:rPr>
        <w:t>; E</w:t>
      </w:r>
      <w:r w:rsidR="00BF1613">
        <w:rPr>
          <w:rFonts w:ascii="Times New Roman" w:hAnsi="Times New Roman"/>
          <w:sz w:val="24"/>
          <w:szCs w:val="24"/>
        </w:rPr>
        <w:t>MA, 2022).</w:t>
      </w:r>
    </w:p>
    <w:p w14:paraId="641D2F33" w14:textId="4A8ADAE0" w:rsidR="00586E92" w:rsidRDefault="00BF1613">
      <w:pPr>
        <w:spacing w:line="360" w:lineRule="auto"/>
        <w:jc w:val="both"/>
        <w:rPr>
          <w:rFonts w:ascii="Times New Roman" w:hAnsi="Times New Roman"/>
          <w:sz w:val="24"/>
          <w:szCs w:val="24"/>
        </w:rPr>
      </w:pPr>
      <w:r>
        <w:rPr>
          <w:rFonts w:ascii="Times New Roman" w:hAnsi="Times New Roman"/>
          <w:sz w:val="24"/>
          <w:szCs w:val="24"/>
        </w:rPr>
        <w:t>Microorganisms may infiltrate pharmaceutical products at various stages of production, including during raw material handling, manufacturing processes, packaging, or storage. These contaminants, which may include bacteria, fungi, and spores, can originate from poorly sanitized equipment, water systems, personnel, or the surrounding environment (WHO, 2</w:t>
      </w:r>
      <w:r w:rsidR="006D15CD">
        <w:rPr>
          <w:rFonts w:ascii="Times New Roman" w:hAnsi="Times New Roman"/>
          <w:sz w:val="24"/>
          <w:szCs w:val="24"/>
        </w:rPr>
        <w:t>011</w:t>
      </w:r>
      <w:r w:rsidR="0067530A">
        <w:rPr>
          <w:rFonts w:ascii="Times New Roman" w:hAnsi="Times New Roman"/>
          <w:sz w:val="24"/>
          <w:szCs w:val="24"/>
        </w:rPr>
        <w:t>b</w:t>
      </w:r>
      <w:r>
        <w:rPr>
          <w:rFonts w:ascii="Times New Roman" w:hAnsi="Times New Roman"/>
          <w:sz w:val="24"/>
          <w:szCs w:val="24"/>
        </w:rPr>
        <w:t>; EMA, 2017). While sterile products undergo rigorous aseptic processing, non-sterile OTC drugs are more prone to microbial infiltration due to less stringent environmental controls, making GMP compliance even more critical in their manufacturing (FDA, 2004; CDSCO, 2019).</w:t>
      </w:r>
    </w:p>
    <w:p w14:paraId="4EA8A034"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 FDA’s guidance on microbiological quality for non-sterile drug manufacturing highlights acceptable microbial limits and outlines risk-based approaches for ensuring microbial control (FDA, 2009). These guidelines stress the need for validated cleaning procedures, controlled HVAC systems, and routine microbial monitoring to minimize the chances of contamination. Similarly, WHO’s technical guidelines advocate for rigorous environmental and personnel hygiene measures, even in non-sterile facilities, to prevent the introduction and proliferation of harmful microorganisms (WHO, 2006a; WHO, 2006b).</w:t>
      </w:r>
    </w:p>
    <w:p w14:paraId="3616BB37"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One of the main challenges in non-sterile OTC drug manufacturing is maintaining microbiological quality during large-scale production. Contaminants such as Pseudomonas aeruginosa, Escherichia coli, and Staphylococcus aureus are frequently detected in improperly handled formulations, leading to recalls and adverse health outcomes (FDA, 2016; EMA, 2016). To mitigate such risks, manufacturers are required to implement process validation strategies that include microbiological testing of raw materials, in-process materials, and finished products (WHO, 2021; EMA, 2020). Failure to adhere to these standards has been linked to several high-profile contamination incidents involving OTC products.</w:t>
      </w:r>
    </w:p>
    <w:p w14:paraId="2118FC08" w14:textId="735CCF55" w:rsidR="00586E92" w:rsidRDefault="00BF1613">
      <w:pPr>
        <w:spacing w:line="360" w:lineRule="auto"/>
        <w:jc w:val="both"/>
        <w:rPr>
          <w:rFonts w:ascii="Times New Roman" w:hAnsi="Times New Roman"/>
          <w:sz w:val="24"/>
          <w:szCs w:val="24"/>
        </w:rPr>
      </w:pPr>
      <w:r>
        <w:rPr>
          <w:rFonts w:ascii="Times New Roman" w:hAnsi="Times New Roman"/>
          <w:sz w:val="24"/>
          <w:szCs w:val="24"/>
        </w:rPr>
        <w:t>GMP frameworks outlined by international agencies ensure that manufacturers apply quality systems that encompass validation, personnel training, equipment sterilization, and robust documentation (CDSCO, 2018b; WHO, 2</w:t>
      </w:r>
      <w:r w:rsidR="0067530A">
        <w:rPr>
          <w:rFonts w:ascii="Times New Roman" w:hAnsi="Times New Roman"/>
          <w:sz w:val="24"/>
          <w:szCs w:val="24"/>
        </w:rPr>
        <w:t>011a</w:t>
      </w:r>
      <w:r>
        <w:rPr>
          <w:rFonts w:ascii="Times New Roman" w:hAnsi="Times New Roman"/>
          <w:sz w:val="24"/>
          <w:szCs w:val="24"/>
        </w:rPr>
        <w:t>). The EMA’s Annex 15 and the FDA’s cGMP regulations emphasize the importance of qualification and validation processes, which are essential in preventing microbial contamination in both sterile and non-sterile drug forms (EMA, 2020; FDA, 2024). These practices are crucial in OTC drug production due to the high volumes and broad demographic of end-users, including children and the elderly.</w:t>
      </w:r>
    </w:p>
    <w:p w14:paraId="56898A95" w14:textId="4BFBABE6" w:rsidR="00586E92" w:rsidRDefault="00BF1613">
      <w:pPr>
        <w:spacing w:line="360" w:lineRule="auto"/>
        <w:jc w:val="both"/>
        <w:rPr>
          <w:rFonts w:ascii="Times New Roman" w:hAnsi="Times New Roman"/>
          <w:sz w:val="24"/>
          <w:szCs w:val="24"/>
        </w:rPr>
      </w:pPr>
      <w:r>
        <w:rPr>
          <w:rFonts w:ascii="Times New Roman" w:hAnsi="Times New Roman"/>
          <w:sz w:val="24"/>
          <w:szCs w:val="24"/>
        </w:rPr>
        <w:t>Furthermore, specialized microbiological laboratories play a critical role in quality control by ensuring the detection, identification, and quantification of microbial contaminants (WHO, 2</w:t>
      </w:r>
      <w:r w:rsidR="006D15CD">
        <w:rPr>
          <w:rFonts w:ascii="Times New Roman" w:hAnsi="Times New Roman"/>
          <w:sz w:val="24"/>
          <w:szCs w:val="24"/>
        </w:rPr>
        <w:t>011</w:t>
      </w:r>
      <w:r w:rsidR="0067530A">
        <w:rPr>
          <w:rFonts w:ascii="Times New Roman" w:hAnsi="Times New Roman"/>
          <w:sz w:val="24"/>
          <w:szCs w:val="24"/>
        </w:rPr>
        <w:t>b</w:t>
      </w:r>
      <w:r>
        <w:rPr>
          <w:rFonts w:ascii="Times New Roman" w:hAnsi="Times New Roman"/>
          <w:sz w:val="24"/>
          <w:szCs w:val="24"/>
        </w:rPr>
        <w:t>; FDA, 2011). WHO’s Annex 2 outlines good practices for such laboratories, including the use of validated culture media and proficiency testing. These labs contribute to maintaining consistency in product quality and ensuring that any potential microbial breaches are swiftly identified and addressed through corrective actions.</w:t>
      </w:r>
    </w:p>
    <w:p w14:paraId="75966180" w14:textId="77777777"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t>2 Methodology</w:t>
      </w:r>
    </w:p>
    <w:p w14:paraId="25275081" w14:textId="77777777"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Search Strategy</w:t>
      </w:r>
    </w:p>
    <w:p w14:paraId="70483901"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The search strategy for this review article involved a systematic search of relevant literature on microbial contamination in over-the-counter (OTC) drugs, focusing on quality control, testing methods, and regulatory guidelines. A comprehensive search was conducted across multiple databases, including PubMed, Google Scholar, ScienceDirect, and JSTOR. Keywords used in the search included terms such as “microbial contamination,” “OTC drugs,” “pharmaceutical quality control,” “microbial testing in pharmaceuticals,” “Good Manufacturing Practices,” and </w:t>
      </w:r>
      <w:r>
        <w:rPr>
          <w:rFonts w:ascii="Times New Roman" w:hAnsi="Times New Roman"/>
          <w:sz w:val="24"/>
          <w:szCs w:val="24"/>
        </w:rPr>
        <w:lastRenderedPageBreak/>
        <w:t>“microbial contamination in over-the-counter drugs.” The search was limited to articles published from 2015 to 2024 to ensure the inclusion of the most recent research findings. Only peer-reviewed articles, government reports, and regulatory documents were considered to maintain the scholarly quality of the review.</w:t>
      </w:r>
    </w:p>
    <w:p w14:paraId="1DBFDAE5"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 initial search yielded a large number of articles, from which studies focusing on microbial contamination in OTC drugs and their associated quality control practices were selected. Articles discussing laboratory testing methods, case studies of contamination incidents, and regulatory frameworks for OTC drug safety were prioritized. Additional relevant studies were identified through reference chaining from the initial set of articles.</w:t>
      </w:r>
    </w:p>
    <w:p w14:paraId="643D3CA9" w14:textId="77777777"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Selection Criteria</w:t>
      </w:r>
    </w:p>
    <w:p w14:paraId="1C4D0573"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 selection criteria for the studies included the following:</w:t>
      </w:r>
    </w:p>
    <w:p w14:paraId="51D6CF63" w14:textId="77777777"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Inclusion Criteria:</w:t>
      </w:r>
    </w:p>
    <w:p w14:paraId="38DEF529" w14:textId="52418B06"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Studies published between 2015 and </w:t>
      </w:r>
      <w:r w:rsidRPr="00826793">
        <w:rPr>
          <w:rFonts w:ascii="Times New Roman" w:hAnsi="Times New Roman"/>
          <w:sz w:val="24"/>
          <w:szCs w:val="24"/>
          <w:highlight w:val="yellow"/>
        </w:rPr>
        <w:t xml:space="preserve">2024, </w:t>
      </w:r>
      <w:r w:rsidR="00105D85" w:rsidRPr="00826793">
        <w:rPr>
          <w:rFonts w:ascii="Times New Roman" w:hAnsi="Times New Roman"/>
          <w:sz w:val="24"/>
          <w:szCs w:val="24"/>
          <w:highlight w:val="yellow"/>
        </w:rPr>
        <w:t xml:space="preserve">ensure </w:t>
      </w:r>
      <w:r w:rsidRPr="00826793">
        <w:rPr>
          <w:rFonts w:ascii="Times New Roman" w:hAnsi="Times New Roman"/>
          <w:sz w:val="24"/>
          <w:szCs w:val="24"/>
          <w:highlight w:val="yellow"/>
        </w:rPr>
        <w:t>the review inclu</w:t>
      </w:r>
      <w:r>
        <w:rPr>
          <w:rFonts w:ascii="Times New Roman" w:hAnsi="Times New Roman"/>
          <w:sz w:val="24"/>
          <w:szCs w:val="24"/>
        </w:rPr>
        <w:t>des the most current research.</w:t>
      </w:r>
    </w:p>
    <w:p w14:paraId="5C700AD2" w14:textId="377F586C"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Peer-reviewed journal articles, conference papers, and official regulatory </w:t>
      </w:r>
      <w:r w:rsidRPr="00826793">
        <w:rPr>
          <w:rFonts w:ascii="Times New Roman" w:hAnsi="Times New Roman"/>
          <w:sz w:val="24"/>
          <w:szCs w:val="24"/>
          <w:highlight w:val="yellow"/>
        </w:rPr>
        <w:t>guidelines provide</w:t>
      </w:r>
      <w:r>
        <w:rPr>
          <w:rFonts w:ascii="Times New Roman" w:hAnsi="Times New Roman"/>
          <w:sz w:val="24"/>
          <w:szCs w:val="24"/>
        </w:rPr>
        <w:t xml:space="preserve"> valuable insights into microbial contamination in OTC drugs.</w:t>
      </w:r>
    </w:p>
    <w:p w14:paraId="515C0DD4"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Studies focusing on microbial contamination in OTC drugs specifically, including liquid formulations, topical creams, tablets, and supplements.</w:t>
      </w:r>
    </w:p>
    <w:p w14:paraId="538B5B4D"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Articles that discuss quality control methods, microbial testing techniques, or regulatory standards related to OTC drugs.</w:t>
      </w:r>
    </w:p>
    <w:p w14:paraId="243A7849"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Case studies and empirical research related to microbial contamination incidents in OTC products.</w:t>
      </w:r>
    </w:p>
    <w:p w14:paraId="72253DCA" w14:textId="77777777"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Exclusion Criteria:</w:t>
      </w:r>
    </w:p>
    <w:p w14:paraId="19C07435" w14:textId="2B6FE8A6"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Studies not focused on </w:t>
      </w:r>
      <w:r w:rsidRPr="00826793">
        <w:rPr>
          <w:rFonts w:ascii="Times New Roman" w:hAnsi="Times New Roman"/>
          <w:sz w:val="24"/>
          <w:szCs w:val="24"/>
          <w:highlight w:val="yellow"/>
        </w:rPr>
        <w:t>OTC drugs or only discussed prescription medications.</w:t>
      </w:r>
    </w:p>
    <w:p w14:paraId="0736D89E" w14:textId="6F0A5B67"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Articles that were not peer-reviewed or lacked sufficient </w:t>
      </w:r>
      <w:r w:rsidRPr="00826793">
        <w:rPr>
          <w:rFonts w:ascii="Times New Roman" w:hAnsi="Times New Roman"/>
          <w:sz w:val="24"/>
          <w:szCs w:val="24"/>
          <w:highlight w:val="yellow"/>
        </w:rPr>
        <w:t xml:space="preserve">scientific </w:t>
      </w:r>
      <w:proofErr w:type="spellStart"/>
      <w:r w:rsidRPr="00826793">
        <w:rPr>
          <w:rFonts w:ascii="Times New Roman" w:hAnsi="Times New Roman"/>
          <w:sz w:val="24"/>
          <w:szCs w:val="24"/>
          <w:highlight w:val="yellow"/>
        </w:rPr>
        <w:t>rigo</w:t>
      </w:r>
      <w:r w:rsidR="00105D85" w:rsidRPr="00826793">
        <w:rPr>
          <w:rFonts w:ascii="Times New Roman" w:hAnsi="Times New Roman"/>
          <w:sz w:val="24"/>
          <w:szCs w:val="24"/>
          <w:highlight w:val="yellow"/>
        </w:rPr>
        <w:t>u</w:t>
      </w:r>
      <w:r w:rsidRPr="00826793">
        <w:rPr>
          <w:rFonts w:ascii="Times New Roman" w:hAnsi="Times New Roman"/>
          <w:sz w:val="24"/>
          <w:szCs w:val="24"/>
          <w:highlight w:val="yellow"/>
        </w:rPr>
        <w:t>r</w:t>
      </w:r>
      <w:proofErr w:type="spellEnd"/>
      <w:r w:rsidRPr="00826793">
        <w:rPr>
          <w:rFonts w:ascii="Times New Roman" w:hAnsi="Times New Roman"/>
          <w:sz w:val="24"/>
          <w:szCs w:val="24"/>
          <w:highlight w:val="yellow"/>
        </w:rPr>
        <w:t>.</w:t>
      </w:r>
    </w:p>
    <w:p w14:paraId="5E20E430"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Studies that did not provide direct evidence or case studies related to microbial contamination in OTC drugs.</w:t>
      </w:r>
    </w:p>
    <w:p w14:paraId="2EDEE785"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Non-English language articles, as the search was conducted only in English.</w:t>
      </w:r>
    </w:p>
    <w:p w14:paraId="3864AA3D" w14:textId="20252D09" w:rsidR="00586E92" w:rsidRDefault="00BF1613">
      <w:pPr>
        <w:spacing w:line="360" w:lineRule="auto"/>
        <w:jc w:val="both"/>
        <w:rPr>
          <w:rFonts w:ascii="Times New Roman" w:hAnsi="Times New Roman"/>
          <w:sz w:val="24"/>
          <w:szCs w:val="24"/>
        </w:rPr>
      </w:pPr>
      <w:r>
        <w:rPr>
          <w:rFonts w:ascii="Times New Roman" w:hAnsi="Times New Roman"/>
          <w:sz w:val="24"/>
          <w:szCs w:val="24"/>
        </w:rPr>
        <w:t>The inclusion of studies was further narrowed by their relevance to the scope of the review, which focused on microbial contamination, testing methods, regulatory compliance, and the public health implications of contaminated OTC drugs.</w:t>
      </w:r>
    </w:p>
    <w:p w14:paraId="4D3D72DB" w14:textId="310E1C0B" w:rsidR="00703E0E" w:rsidRDefault="00703E0E">
      <w:pPr>
        <w:spacing w:line="360" w:lineRule="auto"/>
        <w:jc w:val="both"/>
        <w:rPr>
          <w:rFonts w:ascii="Times New Roman" w:hAnsi="Times New Roman"/>
          <w:sz w:val="24"/>
          <w:szCs w:val="24"/>
        </w:rPr>
      </w:pPr>
      <w:r>
        <w:rPr>
          <w:rFonts w:ascii="Times New Roman" w:hAnsi="Times New Roman"/>
          <w:sz w:val="24"/>
          <w:szCs w:val="24"/>
        </w:rPr>
        <w:t xml:space="preserve">Table1: </w:t>
      </w:r>
      <w:r w:rsidR="00180949" w:rsidRPr="00180949">
        <w:rPr>
          <w:rFonts w:ascii="Times New Roman" w:hAnsi="Times New Roman"/>
          <w:sz w:val="24"/>
          <w:szCs w:val="24"/>
        </w:rPr>
        <w:t>Inclusion</w:t>
      </w:r>
      <w:r w:rsidR="00180949">
        <w:rPr>
          <w:rFonts w:ascii="Times New Roman" w:hAnsi="Times New Roman"/>
          <w:sz w:val="24"/>
          <w:szCs w:val="24"/>
        </w:rPr>
        <w:t xml:space="preserve"> and </w:t>
      </w:r>
      <w:r w:rsidR="00180949" w:rsidRPr="00180949">
        <w:rPr>
          <w:rFonts w:ascii="Times New Roman" w:hAnsi="Times New Roman"/>
          <w:sz w:val="24"/>
          <w:szCs w:val="24"/>
        </w:rPr>
        <w:t>Exclusion Criteria</w:t>
      </w:r>
      <w:r w:rsidR="00180949">
        <w:rPr>
          <w:rFonts w:ascii="Times New Roman" w:hAnsi="Times New Roman"/>
          <w:sz w:val="24"/>
          <w:szCs w:val="24"/>
        </w:rPr>
        <w:t xml:space="preserve"> for searching review paper</w:t>
      </w:r>
    </w:p>
    <w:tbl>
      <w:tblPr>
        <w:tblW w:w="10017" w:type="dxa"/>
        <w:tblLayout w:type="fixed"/>
        <w:tblLook w:val="04A0" w:firstRow="1" w:lastRow="0" w:firstColumn="1" w:lastColumn="0" w:noHBand="0" w:noVBand="1"/>
      </w:tblPr>
      <w:tblGrid>
        <w:gridCol w:w="1952"/>
        <w:gridCol w:w="2216"/>
        <w:gridCol w:w="1939"/>
        <w:gridCol w:w="1954"/>
        <w:gridCol w:w="1956"/>
      </w:tblGrid>
      <w:tr w:rsidR="00586E92" w14:paraId="3C5BB4C6" w14:textId="77777777">
        <w:trPr>
          <w:trHeight w:val="311"/>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3C699" w14:textId="77777777"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Search Database</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6864B" w14:textId="77777777"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Keywords</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AB341" w14:textId="77777777"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Time Frame</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B8D71" w14:textId="77777777"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Inclusion Criteria</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E172B" w14:textId="77777777"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Exclusion Criteria</w:t>
            </w:r>
          </w:p>
        </w:tc>
      </w:tr>
      <w:tr w:rsidR="00586E92" w14:paraId="5FCF8745" w14:textId="77777777">
        <w:trPr>
          <w:trHeight w:val="1925"/>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D5D7" w14:textId="77777777"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PubMed</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25EA4"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"microbial contamination", "OTC drugs", "pharmaceutical quality control", "microbial testing in pharmaceuticals", "Good Manufacturing Practices", "microbial contamination in over-the-counter drugs"</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82A2"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2015-2024</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15E83"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Peer-reviewed articles, studies on OTC drugs, microbial contamination, quality control, testing methods, case studies</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3A361" w14:textId="5828271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Non-peer-reviewed articles, studies not focused on OTC drugs or pharmaceutical quality</w:t>
            </w:r>
            <w:r w:rsidR="00105D85">
              <w:rPr>
                <w:rFonts w:ascii="Times New Roman" w:eastAsia="MS Mincho" w:hAnsi="Times New Roman"/>
                <w:sz w:val="24"/>
                <w:szCs w:val="24"/>
                <w:lang w:eastAsia="en-US"/>
              </w:rPr>
              <w:t>.</w:t>
            </w:r>
          </w:p>
        </w:tc>
      </w:tr>
      <w:tr w:rsidR="00586E92" w14:paraId="0354ED6F" w14:textId="77777777">
        <w:trPr>
          <w:trHeight w:val="996"/>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4366" w14:textId="77777777"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Google Scholar</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7806"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"microbial contamination in OTC drugs", "microbial testing methods", </w:t>
            </w:r>
            <w:r>
              <w:rPr>
                <w:rFonts w:ascii="Times New Roman" w:eastAsia="MS Mincho" w:hAnsi="Times New Roman"/>
                <w:sz w:val="24"/>
                <w:szCs w:val="24"/>
                <w:lang w:eastAsia="en-US"/>
              </w:rPr>
              <w:lastRenderedPageBreak/>
              <w:t>"pharmaceutical contamination", "OTC drug microbial quality control"</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43B19"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lastRenderedPageBreak/>
              <w:t>2015-2024</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FB69"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Peer-reviewed articles, case studies, research on OTC drug contamination, </w:t>
            </w:r>
            <w:r>
              <w:rPr>
                <w:rFonts w:ascii="Times New Roman" w:eastAsia="MS Mincho" w:hAnsi="Times New Roman"/>
                <w:sz w:val="24"/>
                <w:szCs w:val="24"/>
                <w:lang w:eastAsia="en-US"/>
              </w:rPr>
              <w:lastRenderedPageBreak/>
              <w:t>regulatory standards</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8B001" w14:textId="0362FC09"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lastRenderedPageBreak/>
              <w:t xml:space="preserve">Studies not related to OTC drugs, irrelevant to microbial contamination in </w:t>
            </w:r>
            <w:r>
              <w:rPr>
                <w:rFonts w:ascii="Times New Roman" w:eastAsia="MS Mincho" w:hAnsi="Times New Roman"/>
                <w:sz w:val="24"/>
                <w:szCs w:val="24"/>
                <w:lang w:eastAsia="en-US"/>
              </w:rPr>
              <w:lastRenderedPageBreak/>
              <w:t>OTC drugs</w:t>
            </w:r>
            <w:r w:rsidR="00105D85">
              <w:rPr>
                <w:rFonts w:ascii="Times New Roman" w:eastAsia="MS Mincho" w:hAnsi="Times New Roman"/>
                <w:sz w:val="24"/>
                <w:szCs w:val="24"/>
                <w:lang w:eastAsia="en-US"/>
              </w:rPr>
              <w:t>.</w:t>
            </w:r>
          </w:p>
        </w:tc>
      </w:tr>
      <w:tr w:rsidR="00586E92" w:rsidRPr="00826793" w14:paraId="5963DFF3" w14:textId="77777777">
        <w:trPr>
          <w:trHeight w:val="1180"/>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57158" w14:textId="77777777"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lastRenderedPageBreak/>
              <w:t>ScienceDirect</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A3BBF"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"microbial contamination in OTC drugs", "pharmaceutical testing", "quality control OTC drugs", "pharmaceutical microbiology"</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30C31"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2015-2024</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78CBE"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Peer-reviewed journals, articles discussing OTC drug safety, microbial contamination, testing methods, quality control</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F1FCE" w14:textId="2A630BAB" w:rsidR="00586E92" w:rsidRPr="00826793" w:rsidRDefault="00BF1613">
            <w:pPr>
              <w:spacing w:line="360" w:lineRule="auto"/>
              <w:jc w:val="both"/>
              <w:rPr>
                <w:rFonts w:ascii="Times New Roman" w:hAnsi="Times New Roman"/>
                <w:sz w:val="24"/>
                <w:szCs w:val="24"/>
                <w:highlight w:val="yellow"/>
              </w:rPr>
            </w:pPr>
            <w:r w:rsidRPr="00826793">
              <w:rPr>
                <w:rFonts w:ascii="Times New Roman" w:eastAsia="MS Mincho" w:hAnsi="Times New Roman"/>
                <w:sz w:val="24"/>
                <w:szCs w:val="24"/>
                <w:highlight w:val="yellow"/>
                <w:lang w:eastAsia="en-US"/>
              </w:rPr>
              <w:t xml:space="preserve">Non-English language articles, articles without sufficient scientific </w:t>
            </w:r>
            <w:proofErr w:type="spellStart"/>
            <w:r w:rsidRPr="00826793">
              <w:rPr>
                <w:rFonts w:ascii="Times New Roman" w:eastAsia="MS Mincho" w:hAnsi="Times New Roman"/>
                <w:sz w:val="24"/>
                <w:szCs w:val="24"/>
                <w:highlight w:val="yellow"/>
                <w:lang w:eastAsia="en-US"/>
              </w:rPr>
              <w:t>rigo</w:t>
            </w:r>
            <w:r w:rsidR="00105D85" w:rsidRPr="00826793">
              <w:rPr>
                <w:rFonts w:ascii="Times New Roman" w:eastAsia="MS Mincho" w:hAnsi="Times New Roman"/>
                <w:sz w:val="24"/>
                <w:szCs w:val="24"/>
                <w:highlight w:val="yellow"/>
                <w:lang w:eastAsia="en-US"/>
              </w:rPr>
              <w:t>u</w:t>
            </w:r>
            <w:r w:rsidRPr="00826793">
              <w:rPr>
                <w:rFonts w:ascii="Times New Roman" w:eastAsia="MS Mincho" w:hAnsi="Times New Roman"/>
                <w:sz w:val="24"/>
                <w:szCs w:val="24"/>
                <w:highlight w:val="yellow"/>
                <w:lang w:eastAsia="en-US"/>
              </w:rPr>
              <w:t>r</w:t>
            </w:r>
            <w:proofErr w:type="spellEnd"/>
          </w:p>
        </w:tc>
      </w:tr>
      <w:tr w:rsidR="00586E92" w14:paraId="521CEA30" w14:textId="77777777">
        <w:trPr>
          <w:trHeight w:val="1059"/>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35D5F" w14:textId="77777777"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JSTOR</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1E0A1"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"microbial contamination in pharmaceuticals", "microbial contamination in OTC drugs", "public health risk OTC drugs"</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32F2A"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2015-2024</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564AE" w14:textId="77777777"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Articles related to microbial contamination in OTC products, regulatory guidelines, testing methods</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43BF4" w14:textId="341363BE"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Non-peer-reviewed, articles focused on non-OTC drugs or unrelated pharmaceutical areas</w:t>
            </w:r>
            <w:r w:rsidR="00105D85">
              <w:rPr>
                <w:rFonts w:ascii="Times New Roman" w:eastAsia="MS Mincho" w:hAnsi="Times New Roman"/>
                <w:sz w:val="24"/>
                <w:szCs w:val="24"/>
                <w:lang w:eastAsia="en-US"/>
              </w:rPr>
              <w:t>.</w:t>
            </w:r>
          </w:p>
        </w:tc>
      </w:tr>
    </w:tbl>
    <w:p w14:paraId="3A511884" w14:textId="77777777" w:rsidR="00586E92" w:rsidRDefault="00BF1613">
      <w:pPr>
        <w:rPr>
          <w:rFonts w:ascii="Times New Roman" w:hAnsi="Times New Roman"/>
          <w:b/>
          <w:bCs/>
          <w:sz w:val="24"/>
          <w:szCs w:val="24"/>
        </w:rPr>
      </w:pPr>
      <w:r>
        <w:rPr>
          <w:rFonts w:ascii="Times New Roman" w:hAnsi="Times New Roman"/>
          <w:b/>
          <w:bCs/>
          <w:sz w:val="24"/>
          <w:szCs w:val="24"/>
        </w:rPr>
        <w:br w:type="page"/>
      </w:r>
    </w:p>
    <w:p w14:paraId="54265B11" w14:textId="77777777"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lastRenderedPageBreak/>
        <w:t>3 Result and Discussion</w:t>
      </w:r>
    </w:p>
    <w:p w14:paraId="5E807038" w14:textId="77777777" w:rsidR="00586E92" w:rsidRDefault="00BF1613">
      <w:pPr>
        <w:spacing w:line="360" w:lineRule="auto"/>
        <w:jc w:val="both"/>
        <w:rPr>
          <w:rFonts w:ascii="Times New Roman" w:hAnsi="Times New Roman"/>
          <w:b/>
          <w:bCs/>
          <w:i/>
          <w:iCs/>
          <w:sz w:val="24"/>
          <w:szCs w:val="24"/>
        </w:rPr>
      </w:pPr>
      <w:r>
        <w:rPr>
          <w:rFonts w:ascii="Times New Roman" w:hAnsi="Times New Roman"/>
          <w:b/>
          <w:bCs/>
          <w:i/>
          <w:iCs/>
          <w:sz w:val="24"/>
          <w:szCs w:val="24"/>
        </w:rPr>
        <w:t>a Sources of Microbial Contamination in OTC Drugs</w:t>
      </w:r>
    </w:p>
    <w:p w14:paraId="005DF468"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Microbial contamination in OTC drugs can arise from various sources throughout the drug's life cycle. One of the primary sources is raw materials. Inadequately sterilized or contaminated raw materials, such as excipients, can introduce microorganisms into the formulation from the very start of production. These contaminants can be bacteria, fungi, or viruses that are not removed during the manufacturing process (Santos, Jimenez and </w:t>
      </w:r>
      <w:proofErr w:type="spellStart"/>
      <w:r>
        <w:rPr>
          <w:rFonts w:ascii="Times New Roman" w:hAnsi="Times New Roman"/>
          <w:sz w:val="24"/>
          <w:szCs w:val="24"/>
        </w:rPr>
        <w:t>Hamdy</w:t>
      </w:r>
      <w:proofErr w:type="spellEnd"/>
      <w:r>
        <w:rPr>
          <w:rFonts w:ascii="Times New Roman" w:hAnsi="Times New Roman"/>
          <w:sz w:val="24"/>
          <w:szCs w:val="24"/>
        </w:rPr>
        <w:t>, 2023). Poor quality control at the raw material procurement stage can result in contamination that affects the entire product batch.</w:t>
      </w:r>
    </w:p>
    <w:p w14:paraId="2F75E803"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Another significant source of microbial contamination is the manufacturing process itself. During the production of OTC drugs, improper sanitation of equipment and surfaces can lead to cross-contamination between batches. For instance, poorly cleaned tanks, mixing vessels, and bottling machines can introduce microorganisms into the drug formulation, even if the raw materials were initially free from contamination (Roy, Majumder, Deb &amp; Choudhury, 2023). Consistent cleaning protocols and effective sterilization methods are critical in preventing such contamination.</w:t>
      </w:r>
    </w:p>
    <w:p w14:paraId="595297B4" w14:textId="67B8FC45"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Packaging materials can also contribute to microbial contamination in OTC </w:t>
      </w:r>
      <w:r w:rsidRPr="00826793">
        <w:rPr>
          <w:rFonts w:ascii="Times New Roman" w:hAnsi="Times New Roman"/>
          <w:sz w:val="24"/>
          <w:szCs w:val="24"/>
          <w:highlight w:val="yellow"/>
        </w:rPr>
        <w:t xml:space="preserve">drugs. If </w:t>
      </w:r>
      <w:r w:rsidR="00105D85" w:rsidRPr="00826793">
        <w:rPr>
          <w:rFonts w:ascii="Times New Roman" w:hAnsi="Times New Roman"/>
          <w:sz w:val="24"/>
          <w:szCs w:val="24"/>
          <w:highlight w:val="yellow"/>
        </w:rPr>
        <w:t xml:space="preserve">the </w:t>
      </w:r>
      <w:r w:rsidRPr="00826793">
        <w:rPr>
          <w:rFonts w:ascii="Times New Roman" w:hAnsi="Times New Roman"/>
          <w:sz w:val="24"/>
          <w:szCs w:val="24"/>
          <w:highlight w:val="yellow"/>
        </w:rPr>
        <w:t>packaging is not sterile or if it is not sealed properly, it may allow microorganisms to enter the</w:t>
      </w:r>
      <w:r>
        <w:rPr>
          <w:rFonts w:ascii="Times New Roman" w:hAnsi="Times New Roman"/>
          <w:sz w:val="24"/>
          <w:szCs w:val="24"/>
        </w:rPr>
        <w:t xml:space="preserve"> product during storage or transportation. Packaging materials, especially those that are not airtight, can become a conduit for contaminants. Microbial ingress through these materials can lead to the proliferation of microorganisms in the product before it even reaches the consumer (ISPE, 2023).</w:t>
      </w:r>
    </w:p>
    <w:p w14:paraId="5092A9BC" w14:textId="7F90FF39"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Storage conditions, such as temperature and humidity, play a vital role in microbial contamination. If OTC drugs are stored in environments that do not meet the recommended guidelines, such as excessively high humidity or fluctuating temperatures, microbial growth can occur. Certain pathogens, including </w:t>
      </w:r>
      <w:proofErr w:type="spellStart"/>
      <w:r>
        <w:rPr>
          <w:rFonts w:ascii="Times New Roman" w:hAnsi="Times New Roman"/>
          <w:sz w:val="24"/>
          <w:szCs w:val="24"/>
        </w:rPr>
        <w:t>mo</w:t>
      </w:r>
      <w:r w:rsidR="00105D85">
        <w:rPr>
          <w:rFonts w:ascii="Times New Roman" w:hAnsi="Times New Roman"/>
          <w:sz w:val="24"/>
          <w:szCs w:val="24"/>
        </w:rPr>
        <w:t>u</w:t>
      </w:r>
      <w:r>
        <w:rPr>
          <w:rFonts w:ascii="Times New Roman" w:hAnsi="Times New Roman"/>
          <w:sz w:val="24"/>
          <w:szCs w:val="24"/>
        </w:rPr>
        <w:t>ld</w:t>
      </w:r>
      <w:proofErr w:type="spellEnd"/>
      <w:r>
        <w:rPr>
          <w:rFonts w:ascii="Times New Roman" w:hAnsi="Times New Roman"/>
          <w:sz w:val="24"/>
          <w:szCs w:val="24"/>
        </w:rPr>
        <w:t xml:space="preserve"> and bacteria, thrive in warm and humid environments, leading to contamination of the drugs (Jimenez, 2019). Ensuring that drugs are stored at the proper temperature and humidity levels is essential to prevent such microbial growth.</w:t>
      </w:r>
    </w:p>
    <w:p w14:paraId="258666DE"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Inadequate handling during transportation can also introduce microbial contamination. Improper storage in transit, such as exposure to extreme weather conditions or improper stacking in storage facilities, can result in the breakdown of packaging or introduce contaminants into the product. This is particularly concerning for OTC drugs that are shipped over long distances, where they may be exposed to varying environmental conditions (Jimenez, 2019).</w:t>
      </w:r>
    </w:p>
    <w:p w14:paraId="302516C2" w14:textId="77777777" w:rsidR="00586E92" w:rsidRDefault="00BF1613">
      <w:pPr>
        <w:spacing w:line="360" w:lineRule="auto"/>
        <w:jc w:val="both"/>
        <w:rPr>
          <w:rFonts w:ascii="Times New Roman" w:hAnsi="Times New Roman"/>
          <w:b/>
          <w:bCs/>
          <w:sz w:val="24"/>
          <w:szCs w:val="24"/>
        </w:rPr>
      </w:pPr>
      <w:r>
        <w:rPr>
          <w:rFonts w:ascii="Times New Roman" w:hAnsi="Times New Roman"/>
          <w:sz w:val="24"/>
          <w:szCs w:val="24"/>
        </w:rPr>
        <w:t>Finally, human handling during the production, packaging, and distribution stages is an often-overlooked source of microbial contamination. Workers who handle the drug products may unknowingly transfer microorganisms onto the drugs if proper hygiene and protective measures are not observed. This underscores the importance of implementing strict hygiene practices, such as handwashing, wearing gloves, and using face masks, to minimize the risk of contamination (FDA, 2021). Training personnel in good hygiene practices is a key preventive measure.</w:t>
      </w:r>
    </w:p>
    <w:p w14:paraId="19E6EE97" w14:textId="77777777" w:rsidR="00586E92" w:rsidRDefault="00BF1613">
      <w:pPr>
        <w:spacing w:line="360" w:lineRule="auto"/>
        <w:jc w:val="both"/>
        <w:rPr>
          <w:rFonts w:ascii="Times New Roman" w:hAnsi="Times New Roman"/>
          <w:b/>
          <w:bCs/>
          <w:sz w:val="24"/>
          <w:szCs w:val="24"/>
        </w:rPr>
      </w:pPr>
      <w:r>
        <w:rPr>
          <w:rFonts w:ascii="Times New Roman" w:hAnsi="Times New Roman"/>
          <w:b/>
          <w:bCs/>
          <w:i/>
          <w:iCs/>
          <w:sz w:val="24"/>
          <w:szCs w:val="24"/>
        </w:rPr>
        <w:t xml:space="preserve"> b Microbial Testing Methods for OTC Drugs</w:t>
      </w:r>
    </w:p>
    <w:p w14:paraId="4B5BCFBA"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Microbial testing methods are essential in ensuring that OTC drugs are free from harmful microorganisms. One of the most widely used methods for microbial testing is the Total Viable Count (TVC), which quantifies the number of living microorganisms in a given sample. TVC is a traditional method that involves culturing a sample on an agar plate and counting the resulting colonies. This method is relatively simple, but it can be time-consuming, as it requires several days to obtain results (Jimenez, 2019).</w:t>
      </w:r>
    </w:p>
    <w:p w14:paraId="1C3CE73E" w14:textId="7622E12A" w:rsidR="00586E92" w:rsidRDefault="00BF1613">
      <w:pPr>
        <w:spacing w:line="360" w:lineRule="auto"/>
        <w:jc w:val="both"/>
        <w:rPr>
          <w:rFonts w:ascii="Times New Roman" w:hAnsi="Times New Roman"/>
          <w:sz w:val="24"/>
          <w:szCs w:val="24"/>
        </w:rPr>
      </w:pPr>
      <w:r>
        <w:rPr>
          <w:rFonts w:ascii="Times New Roman" w:hAnsi="Times New Roman"/>
          <w:sz w:val="24"/>
          <w:szCs w:val="24"/>
        </w:rPr>
        <w:t>Membrane Filtration is another traditional microbial testing method commonly used for OTC drug products. In this method, a liquid sample is passed through a filter membrane that captures any microorganisms present. The membrane is then placed on an agar plate, where microbial growth can be observed. This method is particularly useful for testing liquid formulations like syrups and suspensions (</w:t>
      </w:r>
      <w:r w:rsidR="00BC2A14" w:rsidRPr="00BC2A14">
        <w:rPr>
          <w:rFonts w:ascii="Times New Roman" w:hAnsi="Times New Roman"/>
          <w:sz w:val="24"/>
          <w:szCs w:val="24"/>
        </w:rPr>
        <w:t>Song</w:t>
      </w:r>
      <w:r w:rsidR="00BC2A14">
        <w:rPr>
          <w:rFonts w:ascii="Times New Roman" w:hAnsi="Times New Roman"/>
          <w:sz w:val="24"/>
          <w:szCs w:val="24"/>
        </w:rPr>
        <w:t xml:space="preserve"> et al.</w:t>
      </w:r>
      <w:proofErr w:type="gramStart"/>
      <w:r w:rsidR="00BC2A14">
        <w:rPr>
          <w:rFonts w:ascii="Times New Roman" w:hAnsi="Times New Roman"/>
          <w:sz w:val="24"/>
          <w:szCs w:val="24"/>
        </w:rPr>
        <w:t>,  2024</w:t>
      </w:r>
      <w:proofErr w:type="gramEnd"/>
      <w:r w:rsidR="00BC2A14">
        <w:rPr>
          <w:rFonts w:ascii="Times New Roman" w:hAnsi="Times New Roman"/>
          <w:sz w:val="24"/>
          <w:szCs w:val="24"/>
        </w:rPr>
        <w:t>a</w:t>
      </w:r>
      <w:r>
        <w:rPr>
          <w:rFonts w:ascii="Times New Roman" w:hAnsi="Times New Roman"/>
          <w:sz w:val="24"/>
          <w:szCs w:val="24"/>
        </w:rPr>
        <w:t>). Although it is effective, membrane filtration also has its limitations, including the potential for false negatives if the filter is not properly handled.</w:t>
      </w:r>
    </w:p>
    <w:p w14:paraId="677FF2BD" w14:textId="4C766C24" w:rsidR="00586E92" w:rsidRDefault="00BF1613">
      <w:pPr>
        <w:spacing w:line="360" w:lineRule="auto"/>
        <w:jc w:val="both"/>
        <w:rPr>
          <w:rFonts w:ascii="Times New Roman" w:hAnsi="Times New Roman"/>
          <w:sz w:val="24"/>
          <w:szCs w:val="24"/>
        </w:rPr>
      </w:pPr>
      <w:r>
        <w:rPr>
          <w:rFonts w:ascii="Times New Roman" w:hAnsi="Times New Roman"/>
          <w:sz w:val="24"/>
          <w:szCs w:val="24"/>
        </w:rPr>
        <w:t>Recent advancements in microbial testing have led to the development of rapid detection techniques. Polymerase Chain Reaction (PCR)-</w:t>
      </w:r>
      <w:r w:rsidR="00105D85">
        <w:rPr>
          <w:rFonts w:ascii="Times New Roman" w:hAnsi="Times New Roman"/>
          <w:sz w:val="24"/>
          <w:szCs w:val="24"/>
        </w:rPr>
        <w:t>-</w:t>
      </w:r>
      <w:r>
        <w:rPr>
          <w:rFonts w:ascii="Times New Roman" w:hAnsi="Times New Roman"/>
          <w:sz w:val="24"/>
          <w:szCs w:val="24"/>
        </w:rPr>
        <w:t xml:space="preserve">based methods, for instance, allow for the amplification of microbial DNA, enabling the identification of specific pathogens within hours. PCR can detect a wide range of microorganisms, including bacteria, fungi, and viruses, making it a versatile tool for microbial </w:t>
      </w:r>
      <w:r w:rsidRPr="00826793">
        <w:rPr>
          <w:rFonts w:ascii="Times New Roman" w:hAnsi="Times New Roman"/>
          <w:sz w:val="24"/>
          <w:szCs w:val="24"/>
          <w:highlight w:val="yellow"/>
        </w:rPr>
        <w:t>testing (</w:t>
      </w:r>
      <w:proofErr w:type="spellStart"/>
      <w:r w:rsidRPr="00826793">
        <w:rPr>
          <w:rFonts w:ascii="Times New Roman" w:hAnsi="Times New Roman"/>
          <w:sz w:val="24"/>
          <w:szCs w:val="24"/>
          <w:highlight w:val="yellow"/>
        </w:rPr>
        <w:t>Ekeleme</w:t>
      </w:r>
      <w:proofErr w:type="spellEnd"/>
      <w:r w:rsidRPr="00826793">
        <w:rPr>
          <w:rFonts w:ascii="Times New Roman" w:hAnsi="Times New Roman"/>
          <w:sz w:val="24"/>
          <w:szCs w:val="24"/>
          <w:highlight w:val="yellow"/>
        </w:rPr>
        <w:t xml:space="preserve"> et al., 2024). Rapid tests like PCR significantly </w:t>
      </w:r>
      <w:r w:rsidRPr="00826793">
        <w:rPr>
          <w:rFonts w:ascii="Times New Roman" w:hAnsi="Times New Roman"/>
          <w:sz w:val="24"/>
          <w:szCs w:val="24"/>
          <w:highlight w:val="yellow"/>
        </w:rPr>
        <w:lastRenderedPageBreak/>
        <w:t>reduce the time needed for microbial analysis, enabling quicker identification of contaminated</w:t>
      </w:r>
      <w:r>
        <w:rPr>
          <w:rFonts w:ascii="Times New Roman" w:hAnsi="Times New Roman"/>
          <w:sz w:val="24"/>
          <w:szCs w:val="24"/>
        </w:rPr>
        <w:t xml:space="preserve"> products.</w:t>
      </w:r>
    </w:p>
    <w:p w14:paraId="329025DC" w14:textId="7F3CF1BB" w:rsidR="00586E92" w:rsidRDefault="00BF1613">
      <w:pPr>
        <w:spacing w:line="360" w:lineRule="auto"/>
        <w:jc w:val="both"/>
        <w:rPr>
          <w:rFonts w:ascii="Times New Roman" w:hAnsi="Times New Roman"/>
          <w:sz w:val="24"/>
          <w:szCs w:val="24"/>
        </w:rPr>
      </w:pPr>
      <w:r>
        <w:rPr>
          <w:rFonts w:ascii="Times New Roman" w:hAnsi="Times New Roman"/>
          <w:sz w:val="24"/>
          <w:szCs w:val="24"/>
        </w:rPr>
        <w:t>Automated microbial detection systems have also gained popularity in the pharmaceutical industry. These systems use advanced technology to detect microbial growth in drug samples in real</w:t>
      </w:r>
      <w:r w:rsidR="00105D85">
        <w:rPr>
          <w:rFonts w:ascii="Times New Roman" w:hAnsi="Times New Roman"/>
          <w:sz w:val="24"/>
          <w:szCs w:val="24"/>
        </w:rPr>
        <w:t xml:space="preserve"> </w:t>
      </w:r>
      <w:r>
        <w:rPr>
          <w:rFonts w:ascii="Times New Roman" w:hAnsi="Times New Roman"/>
          <w:sz w:val="24"/>
          <w:szCs w:val="24"/>
        </w:rPr>
        <w:t>time. Such systems are often based on methods like light scattering or fluorescence, which allow for the detection of microbial activity without the need for traditional culture methods (</w:t>
      </w:r>
      <w:proofErr w:type="spellStart"/>
      <w:r>
        <w:rPr>
          <w:rFonts w:ascii="Times New Roman" w:hAnsi="Times New Roman"/>
          <w:sz w:val="24"/>
          <w:szCs w:val="24"/>
        </w:rPr>
        <w:t>Troja</w:t>
      </w:r>
      <w:proofErr w:type="spellEnd"/>
      <w:r>
        <w:rPr>
          <w:rFonts w:ascii="Times New Roman" w:hAnsi="Times New Roman"/>
          <w:sz w:val="24"/>
          <w:szCs w:val="24"/>
        </w:rPr>
        <w:t>, 2020). Automated systems provide more accurate and quicker results, reducing the risk of contamination and improving the efficiency of quality control processes.</w:t>
      </w:r>
    </w:p>
    <w:p w14:paraId="5F0943A9"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In addition to traditional and rapid methods, newer technologies like biosensors and microfluidic devices are emerging in microbial testing. Biosensors use biological materials, such as enzymes or antibodies, to detect microbial contamination by measuring changes in electrical signals or optical properties. Microfluidic devices allow for the analysis of smaller samples using integrated fluid systems, offering the possibility of on-site testing with minimal equipment (Patil &amp; Naik, 2020). These technologies hold promise for more efficient, cost-effective, and portable microbial testing solutions.</w:t>
      </w:r>
    </w:p>
    <w:p w14:paraId="017582F7"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 increasing reliance on rapid and automated microbial testing methods has prompted pharmaceutical companies to adopt these technologies to enhance their quality control systems. The integration of these advanced methods ensures that OTC drugs are consistently monitored for microbial contamination throughout the production process, leading to safer products reaching consumers. These technologies are also crucial in reducing testing turnaround times, allowing for faster decision-making when it comes to product release or recall (Microbial Contamination in Pharmaceutical Manufacturing, 2024).</w:t>
      </w:r>
    </w:p>
    <w:p w14:paraId="142DE5AC" w14:textId="77777777" w:rsidR="00586E92" w:rsidRDefault="00BF1613">
      <w:pPr>
        <w:spacing w:line="360" w:lineRule="auto"/>
        <w:jc w:val="both"/>
        <w:rPr>
          <w:rFonts w:ascii="Times New Roman" w:hAnsi="Times New Roman"/>
          <w:b/>
          <w:bCs/>
          <w:i/>
          <w:iCs/>
          <w:sz w:val="24"/>
          <w:szCs w:val="24"/>
        </w:rPr>
      </w:pPr>
      <w:proofErr w:type="gramStart"/>
      <w:r>
        <w:rPr>
          <w:rFonts w:ascii="Times New Roman" w:hAnsi="Times New Roman"/>
          <w:b/>
          <w:bCs/>
          <w:i/>
          <w:iCs/>
          <w:sz w:val="24"/>
          <w:szCs w:val="24"/>
        </w:rPr>
        <w:t>c  Regulatory</w:t>
      </w:r>
      <w:proofErr w:type="gramEnd"/>
      <w:r>
        <w:rPr>
          <w:rFonts w:ascii="Times New Roman" w:hAnsi="Times New Roman"/>
          <w:b/>
          <w:bCs/>
          <w:i/>
          <w:iCs/>
          <w:sz w:val="24"/>
          <w:szCs w:val="24"/>
        </w:rPr>
        <w:t xml:space="preserve"> Guidelines and Standards</w:t>
      </w:r>
    </w:p>
    <w:p w14:paraId="3FD0A3D8"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Regulatory guidelines are crucial for maintaining the microbiological safety of OTC drugs. The United States Pharmacopeia (USP) sets comprehensive standards for the quality, purity, and safety of pharmaceuticals, including OTC drugs. The USP outlines microbial limits for non-sterile products, specifying the maximum allowable levels of microorganisms in these products. These standards help ensure that OTC drugs meet minimum safety requirements before they are sold to consumers (Microbial Contamination in Pharmaceutical Manufacturing, 2024).</w:t>
      </w:r>
    </w:p>
    <w:p w14:paraId="422A68D4"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The World Health Organization (WHO) also plays a critical role in regulating the microbiological safety of OTC drugs on a global scale. The WHO's guidelines for good manufacturing practices (GMP) include specific provisions for microbial control during drug production. These guidelines emphasize the importance of clean manufacturing environments, proper equipment sterilization, and appropriate testing procedures to prevent contamination (</w:t>
      </w:r>
      <w:proofErr w:type="spellStart"/>
      <w:r>
        <w:rPr>
          <w:rFonts w:ascii="Times New Roman" w:hAnsi="Times New Roman"/>
          <w:sz w:val="24"/>
          <w:szCs w:val="24"/>
        </w:rPr>
        <w:t>Troja</w:t>
      </w:r>
      <w:proofErr w:type="spellEnd"/>
      <w:r>
        <w:rPr>
          <w:rFonts w:ascii="Times New Roman" w:hAnsi="Times New Roman"/>
          <w:sz w:val="24"/>
          <w:szCs w:val="24"/>
        </w:rPr>
        <w:t>, 2020). The WHO's guidelines provide a framework for ensuring the safety of OTC drugs, particularly in developing countries where regulatory enforcement may be less stringent.</w:t>
      </w:r>
    </w:p>
    <w:p w14:paraId="70045698"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In addition to the WHO and USP, national regulatory bodies such as the European Medicines Agency (EMA) and the Medicines and Healthcare Products Regulatory Agency (MHRA) set similar standards for microbial contamination in OTC drugs. These organizations issue guidelines that specify the allowable limits for various types of microorganisms, depending on the type of product and its intended use. Adherence to these guidelines is necessary for obtaining marketing authorization and ensuring consumer safety (Patil &amp; Naik, 2020).</w:t>
      </w:r>
    </w:p>
    <w:p w14:paraId="717AED4B"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 European Union (EU) has also developed specific regulations for microbial testing in OTC drugs, particularly in terms of the stability of the products under various environmental conditions. For example, EU regulations outline the testing procedures for microbial contamination in products such as creams, ointments, and oral liquids, focusing on the potential risks to human health posed by microbial contamination (Jimenez, 2019). These regulations require manufacturers to conduct stability studies to evaluate the effects of storage conditions on microbial contamination over time.</w:t>
      </w:r>
    </w:p>
    <w:p w14:paraId="13EE3BA1"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While regulatory guidelines set the framework for microbial contamination control, the effectiveness of these guidelines relies on their implementation and enforcement by national health authorities. The monitoring of compliance with microbial limits is essential to preventing contaminated OTC drugs from entering the market. Regular inspections, audits, and product testing are vital components of the regulatory process, ensuring that manufacturers adhere to established microbial safety standards (Jimenez, 2019).</w:t>
      </w:r>
    </w:p>
    <w:p w14:paraId="357239D3"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Finally, manufacturers must stay updated on changes to regulatory standards and guidelines to ensure continuous compliance. The evolving nature of regulatory requirements means that pharmaceutical companies must adapt their quality control practices to meet new microbial </w:t>
      </w:r>
      <w:r>
        <w:rPr>
          <w:rFonts w:ascii="Times New Roman" w:hAnsi="Times New Roman"/>
          <w:sz w:val="24"/>
          <w:szCs w:val="24"/>
        </w:rPr>
        <w:lastRenderedPageBreak/>
        <w:t xml:space="preserve">testing and contamination limits. This proactive approach helps safeguard public health and ensures that OTC drugs maintain the highest safety standards throughout their lifecycle (Hashim and </w:t>
      </w:r>
      <w:proofErr w:type="spellStart"/>
      <w:r>
        <w:rPr>
          <w:rFonts w:ascii="Times New Roman" w:hAnsi="Times New Roman"/>
          <w:sz w:val="24"/>
          <w:szCs w:val="24"/>
        </w:rPr>
        <w:t>Celiksoy</w:t>
      </w:r>
      <w:proofErr w:type="spellEnd"/>
      <w:r>
        <w:rPr>
          <w:rFonts w:ascii="Times New Roman" w:hAnsi="Times New Roman"/>
          <w:sz w:val="24"/>
          <w:szCs w:val="24"/>
        </w:rPr>
        <w:t>, 2025).</w:t>
      </w:r>
    </w:p>
    <w:p w14:paraId="7A211F2D" w14:textId="77777777" w:rsidR="00586E92" w:rsidRDefault="00BF1613">
      <w:pPr>
        <w:spacing w:line="360" w:lineRule="auto"/>
        <w:jc w:val="both"/>
        <w:rPr>
          <w:rFonts w:ascii="Times New Roman" w:hAnsi="Times New Roman"/>
          <w:b/>
          <w:bCs/>
          <w:i/>
          <w:iCs/>
          <w:sz w:val="24"/>
          <w:szCs w:val="24"/>
        </w:rPr>
      </w:pPr>
      <w:r>
        <w:rPr>
          <w:rFonts w:ascii="Times New Roman" w:hAnsi="Times New Roman"/>
          <w:b/>
          <w:bCs/>
          <w:sz w:val="24"/>
          <w:szCs w:val="24"/>
        </w:rPr>
        <w:t xml:space="preserve"> </w:t>
      </w:r>
      <w:r>
        <w:rPr>
          <w:rFonts w:ascii="Times New Roman" w:hAnsi="Times New Roman"/>
          <w:b/>
          <w:bCs/>
          <w:i/>
          <w:iCs/>
          <w:sz w:val="24"/>
          <w:szCs w:val="24"/>
        </w:rPr>
        <w:t>d Case Studies of Contaminated OTC Drugs</w:t>
      </w:r>
    </w:p>
    <w:p w14:paraId="63B60525"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Several case studies highlight the significant risks posed by microbial contamination in OTC drugs. One of the most well-known incidents involved the contamination of a widely used over-the-counter cough syrup with Pseudomonas aeruginosa, a harmful bacterium. The contamination led to several hospitalizations and ultimately a recall of the product. This case demonstrated the severe consequences of insufficient microbial testing and the failure to detect contamination before it reached consumers (Jimenez,20198). It emphasized the need for stringent quality control measures in the manufacturing process.</w:t>
      </w:r>
    </w:p>
    <w:p w14:paraId="58F049C3"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Another notable case occurred with a batch of topical ointments that was found to be contaminated with fungal spores, particularly Aspergillus species. The contaminated ointment caused skin infections in several individuals, leading to a public health scare. This incident underscored the importance of proper microbial testing in non-sterile products, especially for those intended for use on open wounds or damaged skin, where pathogens can enter the body more easily (Jimenez, 2019).</w:t>
      </w:r>
    </w:p>
    <w:p w14:paraId="154A9835"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In another example, a popular over-the-counter oral supplement was recalled due to contamination with Salmonella bacteria, which caused foodborne illness in a significant number of consumers. The contamination was traced back to improper handling during the packaging process, where workers did not follow appropriate hygiene protocols. This case demonstrated the critical need for strict hygiene and sanitation practices throughout the manufacturing process to prevent contamination (Patil &amp; Naik, 2020).</w:t>
      </w:r>
    </w:p>
    <w:p w14:paraId="69BDDEFA" w14:textId="4324C105"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A more recent case involved a contamination incident in a batch of eye drops </w:t>
      </w:r>
      <w:r w:rsidRPr="00826793">
        <w:rPr>
          <w:rFonts w:ascii="Times New Roman" w:hAnsi="Times New Roman"/>
          <w:sz w:val="24"/>
          <w:szCs w:val="24"/>
          <w:highlight w:val="yellow"/>
        </w:rPr>
        <w:t>sold over</w:t>
      </w:r>
      <w:r w:rsidR="00105D85" w:rsidRPr="00826793">
        <w:rPr>
          <w:rFonts w:ascii="Times New Roman" w:hAnsi="Times New Roman"/>
          <w:sz w:val="24"/>
          <w:szCs w:val="24"/>
          <w:highlight w:val="yellow"/>
        </w:rPr>
        <w:t xml:space="preserve"> the</w:t>
      </w:r>
      <w:r w:rsidR="00105D85">
        <w:rPr>
          <w:rFonts w:ascii="Times New Roman" w:hAnsi="Times New Roman"/>
          <w:sz w:val="24"/>
          <w:szCs w:val="24"/>
        </w:rPr>
        <w:t xml:space="preserve"> </w:t>
      </w:r>
      <w:r>
        <w:rPr>
          <w:rFonts w:ascii="Times New Roman" w:hAnsi="Times New Roman"/>
          <w:sz w:val="24"/>
          <w:szCs w:val="24"/>
        </w:rPr>
        <w:t>counter. The product was found to contain Bacillus cereus, a bacterium that can cause eye infections, including endophthalmitis. The contamination was linked to poor quality control measures during the production process, leading to an FDA recall. This case highlights the vulnerability of OTC drugs to contamination, particularly those used in sensitive areas such as the eyes (</w:t>
      </w:r>
      <w:r w:rsidR="00BC2A14">
        <w:rPr>
          <w:rFonts w:ascii="Times New Roman" w:hAnsi="Times New Roman"/>
          <w:sz w:val="24"/>
          <w:szCs w:val="24"/>
        </w:rPr>
        <w:t>Song et al., 2024b</w:t>
      </w:r>
      <w:r>
        <w:rPr>
          <w:rFonts w:ascii="Times New Roman" w:hAnsi="Times New Roman"/>
          <w:sz w:val="24"/>
          <w:szCs w:val="24"/>
        </w:rPr>
        <w:t>).</w:t>
      </w:r>
    </w:p>
    <w:p w14:paraId="341FFFBA"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The recall of contaminated OTC drugs often involves significant financial losses for manufacturers and damage to their reputations. In addition to financial implications, the public health consequences of such contamination can be severe, especially when vulnerable populations are affected. For instance, children and the elderly are more susceptible to infections caused by contaminated OTC products. As a result, public health authorities must remain vigilant and act swiftly to prevent further harm (Jimenez, 2019).</w:t>
      </w:r>
    </w:p>
    <w:p w14:paraId="4AA2536B" w14:textId="77777777" w:rsidR="00586E92" w:rsidRDefault="00BF1613">
      <w:pPr>
        <w:spacing w:line="360" w:lineRule="auto"/>
        <w:jc w:val="both"/>
        <w:rPr>
          <w:rFonts w:ascii="Times New Roman" w:hAnsi="Times New Roman"/>
          <w:b/>
          <w:bCs/>
          <w:sz w:val="24"/>
          <w:szCs w:val="24"/>
        </w:rPr>
      </w:pPr>
      <w:r>
        <w:rPr>
          <w:rFonts w:ascii="Times New Roman" w:hAnsi="Times New Roman"/>
          <w:sz w:val="24"/>
          <w:szCs w:val="24"/>
        </w:rPr>
        <w:t>Finally, these case studies underscore the importance of rigorous microbial testing and the need for continuous improvement in quality control practices. Manufacturers must prioritize the implementation of best practices to prevent contamination and ensure that their products meet regulatory standards. The lessons learned from past contamination incidents can inform future practices, leading to safer OTC products and better protection for public health (Microbial Contamination in Pharmaceutical Manufacturing, 2024).</w:t>
      </w:r>
    </w:p>
    <w:p w14:paraId="50670956" w14:textId="77777777" w:rsidR="00586E92" w:rsidRDefault="00BF1613">
      <w:pPr>
        <w:spacing w:line="360" w:lineRule="auto"/>
        <w:jc w:val="both"/>
        <w:rPr>
          <w:rFonts w:ascii="Times New Roman" w:hAnsi="Times New Roman"/>
          <w:b/>
          <w:bCs/>
          <w:i/>
          <w:iCs/>
          <w:sz w:val="24"/>
          <w:szCs w:val="24"/>
        </w:rPr>
      </w:pPr>
      <w:r>
        <w:rPr>
          <w:rFonts w:ascii="Times New Roman" w:hAnsi="Times New Roman"/>
          <w:b/>
          <w:bCs/>
          <w:i/>
          <w:iCs/>
          <w:sz w:val="24"/>
          <w:szCs w:val="24"/>
        </w:rPr>
        <w:t>e Factors Contributing to Microbial Contamination</w:t>
      </w:r>
    </w:p>
    <w:p w14:paraId="1BDDFD70"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Microbial contamination in OTC drugs can occur due to several factors during the drug production process. One of the key factors is inadequate manufacturing practices. This includes improper sterilization of equipment and facilities, as well as poor cleaning protocols. Manufacturing environments that are not sufficiently sanitized can allow microbial contamination to enter the drug product, making it unsafe for consumers (</w:t>
      </w:r>
      <w:proofErr w:type="spellStart"/>
      <w:r>
        <w:rPr>
          <w:rFonts w:ascii="Times New Roman" w:hAnsi="Times New Roman"/>
          <w:sz w:val="24"/>
          <w:szCs w:val="24"/>
        </w:rPr>
        <w:t>Ekeleme</w:t>
      </w:r>
      <w:proofErr w:type="spellEnd"/>
      <w:r>
        <w:rPr>
          <w:rFonts w:ascii="Times New Roman" w:hAnsi="Times New Roman"/>
          <w:sz w:val="24"/>
          <w:szCs w:val="24"/>
        </w:rPr>
        <w:t xml:space="preserve"> et al., 2024). Implementing strict sanitation and sterilization procedures is crucial in preventing contamination at the source.</w:t>
      </w:r>
    </w:p>
    <w:p w14:paraId="2E507952"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Another contributing factor is the improper storage of OTC drugs. Drugs that are stored in environments that do not meet the recommended temperature and humidity conditions are more likely to experience microbial growth. Excessive humidity and high temperatures can encourage the growth of fungi and bacteria, particularly in products that contain water or other moisture-sensitive ingredients (Hashim and </w:t>
      </w:r>
      <w:proofErr w:type="spellStart"/>
      <w:r>
        <w:rPr>
          <w:rFonts w:ascii="Times New Roman" w:hAnsi="Times New Roman"/>
          <w:sz w:val="24"/>
          <w:szCs w:val="24"/>
        </w:rPr>
        <w:t>Celiksoy</w:t>
      </w:r>
      <w:proofErr w:type="spellEnd"/>
      <w:r>
        <w:rPr>
          <w:rFonts w:ascii="Times New Roman" w:hAnsi="Times New Roman"/>
          <w:sz w:val="24"/>
          <w:szCs w:val="24"/>
        </w:rPr>
        <w:t>, 2025). Adhering to proper storage conditions is vital to prevent microbial contamination from occurring post-production.</w:t>
      </w:r>
    </w:p>
    <w:p w14:paraId="604B0B24"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The use of contaminated raw materials is another common source of microbial contamination. Raw materials, such as excipients, active pharmaceutical ingredients, and water, must be tested for microbial contamination before they are used in the production process. If any raw material is </w:t>
      </w:r>
      <w:r>
        <w:rPr>
          <w:rFonts w:ascii="Times New Roman" w:hAnsi="Times New Roman"/>
          <w:sz w:val="24"/>
          <w:szCs w:val="24"/>
        </w:rPr>
        <w:lastRenderedPageBreak/>
        <w:t>found to be contaminated, it can lead to the contamination of the final product, even if the rest of the manufacturing process is conducted under sterile conditions (</w:t>
      </w:r>
      <w:proofErr w:type="spellStart"/>
      <w:r>
        <w:rPr>
          <w:rFonts w:ascii="Times New Roman" w:hAnsi="Times New Roman"/>
          <w:sz w:val="24"/>
          <w:szCs w:val="24"/>
        </w:rPr>
        <w:t>Troja</w:t>
      </w:r>
      <w:proofErr w:type="spellEnd"/>
      <w:r>
        <w:rPr>
          <w:rFonts w:ascii="Times New Roman" w:hAnsi="Times New Roman"/>
          <w:sz w:val="24"/>
          <w:szCs w:val="24"/>
        </w:rPr>
        <w:t>, 2020). Quality control measures during the raw material procurement phase are essential to mitigate this risk.</w:t>
      </w:r>
    </w:p>
    <w:p w14:paraId="39F74171"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Packaging materials, which come into direct contact with the drug product, can also be a source of microbial contamination. If packaging is not properly sealed or sterilized, it can allow microorganisms to enter the product during storage or transportation. Furthermore, packaging materials that are not compatible with the drug formulation may degrade, creating openings for contaminants (Jimenez, 2019). Ensuring the use of high-quality, sterile packaging materials is critical to preventing contamination.</w:t>
      </w:r>
    </w:p>
    <w:p w14:paraId="5D964BF7"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Human factors, including the lack of proper hygiene practices, are a significant contributor to microbial contamination. Workers who handle drug products must follow stringent hygiene protocols, such as handwashing, wearing protective clothing, and using gloves and face masks. Without these practices, microorganisms from human hands can easily transfer to the product, leading to contamination. Training personnel in proper hygiene practices is essential to reducing human-related contamination risks (Jimenez, 2019).</w:t>
      </w:r>
    </w:p>
    <w:p w14:paraId="69ED1A3F"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Lastly, inadequate quality control procedures throughout the production process can contribute to microbial contamination. Without proper testing at every stage of production, from raw material inspection to final product testing, it becomes more difficult to identify contamination before the product reaches consumers. Regular microbial testing and adherence to Good Manufacturing Practices (GMP) are necessary to ensure product safety and mitigate contamination risks (Microbial Contamination in Pharmaceutical Manufacturing, 2024).</w:t>
      </w:r>
    </w:p>
    <w:p w14:paraId="4814C2B8" w14:textId="77777777" w:rsidR="00586E92" w:rsidRDefault="00BF1613">
      <w:pPr>
        <w:spacing w:line="360" w:lineRule="auto"/>
        <w:jc w:val="both"/>
        <w:rPr>
          <w:rFonts w:ascii="Times New Roman" w:hAnsi="Times New Roman"/>
          <w:b/>
          <w:bCs/>
          <w:i/>
          <w:iCs/>
          <w:sz w:val="24"/>
          <w:szCs w:val="24"/>
        </w:rPr>
      </w:pPr>
      <w:r>
        <w:rPr>
          <w:rFonts w:ascii="Times New Roman" w:hAnsi="Times New Roman"/>
          <w:b/>
          <w:bCs/>
          <w:i/>
          <w:iCs/>
          <w:sz w:val="24"/>
          <w:szCs w:val="24"/>
        </w:rPr>
        <w:t xml:space="preserve"> f Emerging Solutions and Technologies for Contamination Control</w:t>
      </w:r>
    </w:p>
    <w:p w14:paraId="5F7EF2E5" w14:textId="79CCD5F9" w:rsidR="00586E92" w:rsidRDefault="00BF1613">
      <w:pPr>
        <w:spacing w:line="360" w:lineRule="auto"/>
        <w:jc w:val="both"/>
        <w:rPr>
          <w:rFonts w:ascii="Times New Roman" w:hAnsi="Times New Roman"/>
          <w:sz w:val="24"/>
          <w:szCs w:val="24"/>
        </w:rPr>
      </w:pPr>
      <w:r>
        <w:rPr>
          <w:rFonts w:ascii="Times New Roman" w:hAnsi="Times New Roman"/>
          <w:sz w:val="24"/>
          <w:szCs w:val="24"/>
        </w:rPr>
        <w:t>Emerging technologies offer innovative solutions for controlling microbial contamination in OTC drugs. One of the most promising developments is the use of antimicrobial coatings for packaging materials. These coatings contain substances that actively inhibit the growth of microorganisms on the surface of the packaging, preventing contamination before the product is even opened (</w:t>
      </w:r>
      <w:r w:rsidR="00BC2A14">
        <w:rPr>
          <w:rFonts w:ascii="Times New Roman" w:hAnsi="Times New Roman"/>
          <w:sz w:val="24"/>
          <w:szCs w:val="24"/>
        </w:rPr>
        <w:t>Song et al., 2024a</w:t>
      </w:r>
      <w:r>
        <w:rPr>
          <w:rFonts w:ascii="Times New Roman" w:hAnsi="Times New Roman"/>
          <w:sz w:val="24"/>
          <w:szCs w:val="24"/>
        </w:rPr>
        <w:t>). This innovation can be particularly valuable for products that are stored for long periods before use.</w:t>
      </w:r>
    </w:p>
    <w:p w14:paraId="2439242B"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Another emerging solution is the integration of nanotechnology in pharmaceutical formulations. Nanoparticles can be used to enhance the antimicrobial properties of OTC drugs, either by adding them to the formulation or applying them as coatings on the packaging. Nanoparticles have the ability to disrupt microbial cell membranes, preventing the growth of harmful microorganisms (Patil &amp; Naik, 2020). Nanotechnology has the potential to revolutionize microbial contamination control in OTC drugs, ensuring products remain safe for extended periods.</w:t>
      </w:r>
    </w:p>
    <w:p w14:paraId="3F2D4B74"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Advanced filtration systems are also being developed to reduce microbial contamination risks in pharmaceutical production environments. These systems use high-efficiency particulate air (HEPA) filters to remove airborne contaminants and ensure that the manufacturing environment is free from harmful microorganisms. This technology is particularly useful in ensuring the sterility of non-sterile OTC drugs during the production and packaging processes (ISPE, 2023).</w:t>
      </w:r>
    </w:p>
    <w:p w14:paraId="47B48612" w14:textId="6DF5A22E" w:rsidR="00586E92" w:rsidRDefault="00BF1613">
      <w:pPr>
        <w:spacing w:line="360" w:lineRule="auto"/>
        <w:jc w:val="both"/>
        <w:rPr>
          <w:rFonts w:ascii="Times New Roman" w:hAnsi="Times New Roman"/>
          <w:sz w:val="24"/>
          <w:szCs w:val="24"/>
        </w:rPr>
      </w:pPr>
      <w:r>
        <w:rPr>
          <w:rFonts w:ascii="Times New Roman" w:hAnsi="Times New Roman"/>
          <w:sz w:val="24"/>
          <w:szCs w:val="24"/>
        </w:rPr>
        <w:t>In addition to physical technologies, digital technologies are making an impact on microbial contamination control. Automated microbial detection systems allow for continuous, real-time monitoring of drug samples for microbial contamination. These systems use sensors to detect microbial activity, providing faster results than traditional culture-based methods. Automated systems reduce the chances of human error and provide more accurate, timely data for quality control (</w:t>
      </w:r>
      <w:r w:rsidR="00BC2A14">
        <w:rPr>
          <w:rFonts w:ascii="Times New Roman" w:hAnsi="Times New Roman"/>
          <w:sz w:val="24"/>
          <w:szCs w:val="24"/>
        </w:rPr>
        <w:t>Song et al., 2024a</w:t>
      </w:r>
      <w:r>
        <w:rPr>
          <w:rFonts w:ascii="Times New Roman" w:hAnsi="Times New Roman"/>
          <w:sz w:val="24"/>
          <w:szCs w:val="24"/>
        </w:rPr>
        <w:t>).</w:t>
      </w:r>
    </w:p>
    <w:p w14:paraId="73882DB6"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 use of biosensors in microbial testing is another promising technology. Biosensors are devices that use biological components, such as enzymes or antibodies, to detect microbial contamination. They offer rapid, cost-effective testing with high sensitivity and specificity. Biosensors can be incorporated into the manufacturing process, enabling on-site microbial testing with minimal equipment (Jimenez, 20191). This innovation could help pharmaceutical companies detect contamination faster, ensuring timely interventions.</w:t>
      </w:r>
    </w:p>
    <w:p w14:paraId="2EF959CF" w14:textId="77777777" w:rsidR="00586E92" w:rsidRDefault="00586E92">
      <w:pPr>
        <w:spacing w:line="360" w:lineRule="auto"/>
        <w:jc w:val="both"/>
        <w:rPr>
          <w:rFonts w:ascii="Times New Roman" w:hAnsi="Times New Roman"/>
          <w:sz w:val="24"/>
          <w:szCs w:val="24"/>
        </w:rPr>
      </w:pPr>
    </w:p>
    <w:p w14:paraId="4A4EA2C4" w14:textId="59F19E39" w:rsidR="003C3632" w:rsidRDefault="003C3632">
      <w:pPr>
        <w:spacing w:line="360" w:lineRule="auto"/>
        <w:jc w:val="both"/>
        <w:rPr>
          <w:rFonts w:ascii="Times New Roman" w:hAnsi="Times New Roman"/>
          <w:sz w:val="24"/>
          <w:szCs w:val="24"/>
        </w:rPr>
        <w:sectPr w:rsidR="003C36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Fonts w:ascii="Times New Roman" w:hAnsi="Times New Roman"/>
          <w:sz w:val="24"/>
          <w:szCs w:val="24"/>
        </w:rPr>
        <w:t>Table 2:  Key finding, Challenges and Recommendation</w:t>
      </w:r>
      <w:r w:rsidR="00CB679D">
        <w:rPr>
          <w:rFonts w:ascii="Times New Roman" w:hAnsi="Times New Roman"/>
          <w:sz w:val="24"/>
          <w:szCs w:val="24"/>
        </w:rPr>
        <w:t xml:space="preserve">s for  </w:t>
      </w:r>
      <w:r w:rsidR="00CB679D" w:rsidRPr="00CB679D">
        <w:rPr>
          <w:rFonts w:ascii="Times New Roman" w:hAnsi="Times New Roman"/>
          <w:sz w:val="24"/>
          <w:szCs w:val="24"/>
        </w:rPr>
        <w:t>Assessment of Microbial Contamination</w:t>
      </w:r>
      <w:bookmarkStart w:id="0" w:name="_GoBack"/>
      <w:bookmarkEnd w:id="0"/>
    </w:p>
    <w:tbl>
      <w:tblPr>
        <w:tblW w:w="14837"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2507"/>
        <w:gridCol w:w="3562"/>
        <w:gridCol w:w="2962"/>
        <w:gridCol w:w="3374"/>
        <w:gridCol w:w="2432"/>
      </w:tblGrid>
      <w:tr w:rsidR="00586E92" w14:paraId="56207990" w14:textId="77777777">
        <w:trPr>
          <w:trHeight w:val="319"/>
          <w:tblHeader/>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C71896" w14:textId="77777777"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lastRenderedPageBreak/>
              <w:t>Sub-section</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07151A" w14:textId="77777777"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t>Key Findings</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C13B6B" w14:textId="77777777"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t>Challenges</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1161D2" w14:textId="77777777"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t>Recommendations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E29FFE" w14:textId="77777777"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t>References</w:t>
            </w:r>
          </w:p>
        </w:tc>
      </w:tr>
      <w:tr w:rsidR="00586E92" w14:paraId="65F815CF" w14:textId="77777777">
        <w:trPr>
          <w:trHeight w:val="1036"/>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E45C2F" w14:textId="77777777"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Sources of Microbial Contamination in OTC Drugs</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14CDD"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Microbial contamination arises from raw materials, manufacturing, packaging, storage conditions, and human handling.</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DEB9AA"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Microbial contamination can occur at various points in production and distribution, with inadequate sanitation.</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858081"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Implement robust quality control measures, improve hygiene protocols, and ensure proper storage conditions.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9FB539"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Jimenez, 2019, FDA, 2021</w:t>
            </w:r>
          </w:p>
        </w:tc>
      </w:tr>
      <w:tr w:rsidR="00586E92" w14:paraId="4D334730" w14:textId="77777777">
        <w:trPr>
          <w:trHeight w:val="1036"/>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6998B0" w14:textId="77777777"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Microbial Testing Methods for OTC Drugs</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1386C1"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TVC and Membrane Filtration are traditional methods; PCR and automated systems are emerging technologies.</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258CD3"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Traditional methods are time-consuming; new technologies need high investment and integration into systems.</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987E60"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Adopt rapid detection technologies and automate microbial testing for quicker results and improved safety.</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350F4E"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(Santos, Jimenez, &amp; </w:t>
            </w:r>
            <w:proofErr w:type="spellStart"/>
            <w:r>
              <w:rPr>
                <w:rFonts w:ascii="Times New Roman" w:hAnsi="Times New Roman"/>
                <w:color w:val="000000"/>
                <w:sz w:val="24"/>
                <w:szCs w:val="24"/>
              </w:rPr>
              <w:t>Hamdy</w:t>
            </w:r>
            <w:proofErr w:type="spellEnd"/>
            <w:r>
              <w:rPr>
                <w:rFonts w:ascii="Times New Roman" w:hAnsi="Times New Roman"/>
                <w:color w:val="000000"/>
                <w:sz w:val="24"/>
                <w:szCs w:val="24"/>
              </w:rPr>
              <w:t>, 2023)</w:t>
            </w:r>
          </w:p>
          <w:p w14:paraId="5D98E26D"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(Hashim &amp; </w:t>
            </w:r>
            <w:proofErr w:type="spellStart"/>
            <w:r>
              <w:rPr>
                <w:rFonts w:ascii="Times New Roman" w:hAnsi="Times New Roman"/>
                <w:color w:val="000000"/>
                <w:sz w:val="24"/>
                <w:szCs w:val="24"/>
              </w:rPr>
              <w:t>Celiksoy</w:t>
            </w:r>
            <w:proofErr w:type="spellEnd"/>
            <w:r>
              <w:rPr>
                <w:rFonts w:ascii="Times New Roman" w:hAnsi="Times New Roman"/>
                <w:color w:val="000000"/>
                <w:sz w:val="24"/>
                <w:szCs w:val="24"/>
              </w:rPr>
              <w:t>, 2025)(ISPE, 2023</w:t>
            </w:r>
          </w:p>
        </w:tc>
      </w:tr>
      <w:tr w:rsidR="00586E92" w14:paraId="5C41AF8C" w14:textId="77777777">
        <w:trPr>
          <w:trHeight w:val="1036"/>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3EE33D" w14:textId="77777777"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Regulatory Guidelines and Standards</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A07D17"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Regulatory bodies like WHO, USP, and BP set microbial limits for OTC drugs. Enforcement is critical for safety.</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EBC4B4"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Ensuring global compliance is challenging due to varying standards and enforcement mechanisms.</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E61610"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Strengthen regulatory compliance, enforce GMP, and stay updated with regulatory changes.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E95A7F" w14:textId="1DA6C99D"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(Hashim &amp; </w:t>
            </w:r>
            <w:proofErr w:type="spellStart"/>
            <w:r>
              <w:rPr>
                <w:rFonts w:ascii="Times New Roman" w:hAnsi="Times New Roman"/>
                <w:color w:val="000000"/>
                <w:sz w:val="24"/>
                <w:szCs w:val="24"/>
              </w:rPr>
              <w:t>Celiksoy</w:t>
            </w:r>
            <w:proofErr w:type="spellEnd"/>
            <w:r>
              <w:rPr>
                <w:rFonts w:ascii="Times New Roman" w:hAnsi="Times New Roman"/>
                <w:color w:val="000000"/>
                <w:sz w:val="24"/>
                <w:szCs w:val="24"/>
              </w:rPr>
              <w:t>, 2025)(</w:t>
            </w:r>
            <w:r w:rsidR="00BC2A14">
              <w:rPr>
                <w:rFonts w:ascii="Times New Roman" w:hAnsi="Times New Roman"/>
                <w:color w:val="000000"/>
                <w:sz w:val="24"/>
                <w:szCs w:val="24"/>
              </w:rPr>
              <w:t>Song et al. 2024a</w:t>
            </w:r>
            <w:r>
              <w:rPr>
                <w:rFonts w:ascii="Times New Roman" w:hAnsi="Times New Roman"/>
                <w:color w:val="000000"/>
                <w:sz w:val="24"/>
                <w:szCs w:val="24"/>
              </w:rPr>
              <w:t>)(ISPE, 2023)</w:t>
            </w:r>
          </w:p>
        </w:tc>
      </w:tr>
      <w:tr w:rsidR="00586E92" w14:paraId="7D2BD47F" w14:textId="77777777">
        <w:trPr>
          <w:trHeight w:val="587"/>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F87FE6" w14:textId="77777777"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Case Studies of Contaminated OTC Drugs</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4F85EC"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Case studies show real-world contamination leading to recalls and public health issues.</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1BA1A"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Incidents reveal gaps in microbial testing and quality control; timely recalls are crucial.</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DD4B97"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Enhance microbial testing and develop proactive recall strategies.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A9B906" w14:textId="3324EEFC"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(Song et al., 2024</w:t>
            </w:r>
            <w:r w:rsidR="00BC2A14">
              <w:rPr>
                <w:rFonts w:ascii="Times New Roman" w:hAnsi="Times New Roman"/>
                <w:color w:val="000000"/>
                <w:sz w:val="24"/>
                <w:szCs w:val="24"/>
              </w:rPr>
              <w:t>b</w:t>
            </w:r>
            <w:r>
              <w:rPr>
                <w:rFonts w:ascii="Times New Roman" w:hAnsi="Times New Roman"/>
                <w:color w:val="000000"/>
                <w:sz w:val="24"/>
                <w:szCs w:val="24"/>
              </w:rPr>
              <w:t xml:space="preserve">; </w:t>
            </w:r>
            <w:proofErr w:type="spellStart"/>
            <w:r>
              <w:rPr>
                <w:rFonts w:ascii="Times New Roman" w:hAnsi="Times New Roman"/>
                <w:color w:val="000000"/>
                <w:sz w:val="24"/>
                <w:szCs w:val="24"/>
              </w:rPr>
              <w:t>Ekeleme</w:t>
            </w:r>
            <w:proofErr w:type="spellEnd"/>
            <w:r>
              <w:rPr>
                <w:rFonts w:ascii="Times New Roman" w:hAnsi="Times New Roman"/>
                <w:color w:val="000000"/>
                <w:sz w:val="24"/>
                <w:szCs w:val="24"/>
              </w:rPr>
              <w:t xml:space="preserve"> et al., 2024; Hashim &amp; </w:t>
            </w:r>
            <w:proofErr w:type="spellStart"/>
            <w:r>
              <w:rPr>
                <w:rFonts w:ascii="Times New Roman" w:hAnsi="Times New Roman"/>
                <w:color w:val="000000"/>
                <w:sz w:val="24"/>
                <w:szCs w:val="24"/>
              </w:rPr>
              <w:t>Celiksoy</w:t>
            </w:r>
            <w:proofErr w:type="spellEnd"/>
            <w:r>
              <w:rPr>
                <w:rFonts w:ascii="Times New Roman" w:hAnsi="Times New Roman"/>
                <w:color w:val="000000"/>
                <w:sz w:val="24"/>
                <w:szCs w:val="24"/>
              </w:rPr>
              <w:t>, 2025)</w:t>
            </w:r>
          </w:p>
        </w:tc>
      </w:tr>
      <w:tr w:rsidR="00586E92" w14:paraId="3A9D42B3" w14:textId="77777777">
        <w:trPr>
          <w:trHeight w:val="1036"/>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840A9E" w14:textId="77777777"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lastRenderedPageBreak/>
              <w:t>Factors Contributing to Microbial Contamination</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981A41"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Causes include inadequate manufacturing, improper storage, contaminated raw materials, packaging, and human handling.</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3F4B3"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Prevention requires quality control and compliance across multiple production stages.</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3F3CA2"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Focus on GMP, regular inspections, and investment in proper storage conditions.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06093E"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w:t>
            </w:r>
            <w:proofErr w:type="spellStart"/>
            <w:r>
              <w:rPr>
                <w:rFonts w:ascii="Times New Roman" w:hAnsi="Times New Roman"/>
                <w:color w:val="000000"/>
                <w:sz w:val="24"/>
                <w:szCs w:val="24"/>
              </w:rPr>
              <w:t>Myemba</w:t>
            </w:r>
            <w:proofErr w:type="spellEnd"/>
            <w:r>
              <w:rPr>
                <w:rFonts w:ascii="Times New Roman" w:hAnsi="Times New Roman"/>
                <w:color w:val="000000"/>
                <w:sz w:val="24"/>
                <w:szCs w:val="24"/>
              </w:rPr>
              <w:t xml:space="preserve"> et al., 2022; ISPE, 2023; Hashim &amp; </w:t>
            </w:r>
            <w:proofErr w:type="spellStart"/>
            <w:r>
              <w:rPr>
                <w:rFonts w:ascii="Times New Roman" w:hAnsi="Times New Roman"/>
                <w:color w:val="000000"/>
                <w:sz w:val="24"/>
                <w:szCs w:val="24"/>
              </w:rPr>
              <w:t>Celiksoy</w:t>
            </w:r>
            <w:proofErr w:type="spellEnd"/>
            <w:r>
              <w:rPr>
                <w:rFonts w:ascii="Times New Roman" w:hAnsi="Times New Roman"/>
                <w:color w:val="000000"/>
                <w:sz w:val="24"/>
                <w:szCs w:val="24"/>
              </w:rPr>
              <w:t>, 2025)</w:t>
            </w:r>
          </w:p>
        </w:tc>
      </w:tr>
      <w:tr w:rsidR="00586E92" w14:paraId="0E4B92A2" w14:textId="77777777">
        <w:trPr>
          <w:trHeight w:val="1042"/>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14A931" w14:textId="77777777"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Emerging Solutions and Technologies for Contamination Control</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AB8050"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Technologies like antimicrobial coatings, nanotechnology, advanced filtration, automated systems, and biosensors are emerging solutions.</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6649CB" w14:textId="77777777"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Integrating these innovations into established systems can be difficult.</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29A43A" w14:textId="77777777" w:rsidR="00586E92" w:rsidRDefault="00586E92">
            <w:pPr>
              <w:spacing w:line="360" w:lineRule="auto"/>
              <w:jc w:val="both"/>
              <w:rPr>
                <w:rFonts w:ascii="Times New Roman" w:hAnsi="Times New Roman"/>
                <w:color w:val="000000"/>
                <w:sz w:val="24"/>
                <w:szCs w:val="24"/>
              </w:rPr>
            </w:pP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8DF062" w14:textId="77777777" w:rsidR="00586E92" w:rsidRDefault="00586E92">
            <w:pPr>
              <w:spacing w:line="360" w:lineRule="auto"/>
              <w:jc w:val="both"/>
              <w:rPr>
                <w:rFonts w:ascii="Times New Roman" w:hAnsi="Times New Roman"/>
                <w:color w:val="000000"/>
                <w:sz w:val="24"/>
                <w:szCs w:val="24"/>
              </w:rPr>
            </w:pPr>
          </w:p>
        </w:tc>
      </w:tr>
    </w:tbl>
    <w:p w14:paraId="0444F8B8" w14:textId="77777777" w:rsidR="00586E92" w:rsidRDefault="00586E92">
      <w:pPr>
        <w:spacing w:line="360" w:lineRule="auto"/>
        <w:jc w:val="both"/>
        <w:rPr>
          <w:rFonts w:ascii="Times New Roman" w:hAnsi="Times New Roman"/>
          <w:sz w:val="24"/>
          <w:szCs w:val="24"/>
        </w:rPr>
        <w:sectPr w:rsidR="00586E92">
          <w:pgSz w:w="15840" w:h="12240" w:orient="landscape"/>
          <w:pgMar w:top="1440" w:right="1440" w:bottom="1440" w:left="1440" w:header="720" w:footer="720" w:gutter="0"/>
          <w:cols w:space="720"/>
          <w:docGrid w:linePitch="360"/>
        </w:sectPr>
      </w:pPr>
    </w:p>
    <w:p w14:paraId="6506503B" w14:textId="77777777" w:rsidR="00586E92" w:rsidRDefault="00BF1613">
      <w:pPr>
        <w:spacing w:line="36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523358B0" wp14:editId="641B6981">
            <wp:extent cx="3248025" cy="1508100"/>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rotWithShape="1">
                    <a:blip r:embed="rId14" cstate="print"/>
                    <a:srcRect t="11580"/>
                    <a:stretch/>
                  </pic:blipFill>
                  <pic:spPr bwMode="auto">
                    <a:xfrm>
                      <a:off x="0" y="0"/>
                      <a:ext cx="3248025" cy="1508100"/>
                    </a:xfrm>
                    <a:prstGeom prst="rect">
                      <a:avLst/>
                    </a:prstGeom>
                    <a:ln>
                      <a:noFill/>
                    </a:ln>
                    <a:extLst>
                      <a:ext uri="{53640926-AAD7-44D8-BBD7-CCE9431645EC}">
                        <a14:shadowObscured xmlns:a14="http://schemas.microsoft.com/office/drawing/2010/main"/>
                      </a:ext>
                    </a:extLst>
                  </pic:spPr>
                </pic:pic>
              </a:graphicData>
            </a:graphic>
          </wp:inline>
        </w:drawing>
      </w:r>
    </w:p>
    <w:p w14:paraId="3E40D9C6" w14:textId="60058D55" w:rsidR="00586E92" w:rsidRDefault="00BF1613">
      <w:pPr>
        <w:spacing w:line="360" w:lineRule="auto"/>
        <w:jc w:val="both"/>
        <w:rPr>
          <w:rFonts w:ascii="Times New Roman" w:hAnsi="Times New Roman"/>
          <w:sz w:val="24"/>
          <w:szCs w:val="24"/>
        </w:rPr>
      </w:pPr>
      <w:r>
        <w:rPr>
          <w:rFonts w:ascii="Times New Roman" w:hAnsi="Times New Roman"/>
          <w:noProof/>
          <w:sz w:val="24"/>
          <w:szCs w:val="24"/>
          <w:lang w:eastAsia="en-US"/>
        </w:rPr>
        <w:drawing>
          <wp:anchor distT="0" distB="0" distL="0" distR="0" simplePos="0" relativeHeight="251657216" behindDoc="0" locked="0" layoutInCell="1" allowOverlap="1" wp14:anchorId="669B4048" wp14:editId="5A8544C8">
            <wp:simplePos x="0" y="0"/>
            <wp:positionH relativeFrom="column">
              <wp:posOffset>1141171</wp:posOffset>
            </wp:positionH>
            <wp:positionV relativeFrom="paragraph">
              <wp:posOffset>697026</wp:posOffset>
            </wp:positionV>
            <wp:extent cx="3475990" cy="1862683"/>
            <wp:effectExtent l="0" t="0" r="0" b="4445"/>
            <wp:wrapTopAndBottom/>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rotWithShape="1">
                    <a:blip r:embed="rId15" cstate="print"/>
                    <a:srcRect t="11164"/>
                    <a:stretch/>
                  </pic:blipFill>
                  <pic:spPr bwMode="auto">
                    <a:xfrm>
                      <a:off x="0" y="0"/>
                      <a:ext cx="3475990" cy="186268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03E0E">
        <w:rPr>
          <w:rFonts w:ascii="Times New Roman" w:hAnsi="Times New Roman"/>
          <w:sz w:val="24"/>
          <w:szCs w:val="24"/>
        </w:rPr>
        <w:t>Fig 1: Regulatory Guidelines Compliance</w:t>
      </w:r>
    </w:p>
    <w:p w14:paraId="58EF61D0" w14:textId="500BDC3B" w:rsidR="00586E92" w:rsidRDefault="00180949">
      <w:pPr>
        <w:rPr>
          <w:rFonts w:ascii="Times New Roman" w:hAnsi="Times New Roman"/>
          <w:sz w:val="24"/>
          <w:szCs w:val="24"/>
        </w:rPr>
      </w:pPr>
      <w:r>
        <w:rPr>
          <w:rFonts w:ascii="Times New Roman" w:hAnsi="Times New Roman"/>
          <w:noProof/>
          <w:sz w:val="24"/>
          <w:szCs w:val="24"/>
          <w:lang w:eastAsia="en-US"/>
        </w:rPr>
        <w:drawing>
          <wp:anchor distT="0" distB="0" distL="0" distR="0" simplePos="0" relativeHeight="251658240" behindDoc="0" locked="0" layoutInCell="1" allowOverlap="1" wp14:anchorId="63E116A4" wp14:editId="20786A8B">
            <wp:simplePos x="0" y="0"/>
            <wp:positionH relativeFrom="column">
              <wp:posOffset>1126490</wp:posOffset>
            </wp:positionH>
            <wp:positionV relativeFrom="paragraph">
              <wp:posOffset>3196590</wp:posOffset>
            </wp:positionV>
            <wp:extent cx="3305175" cy="2701925"/>
            <wp:effectExtent l="0" t="0" r="9525" b="3175"/>
            <wp:wrapTopAndBottom/>
            <wp:docPr id="1027" name="Picture 4"/>
            <wp:cNvGraphicFramePr/>
            <a:graphic xmlns:a="http://schemas.openxmlformats.org/drawingml/2006/main">
              <a:graphicData uri="http://schemas.openxmlformats.org/drawingml/2006/picture">
                <pic:pic xmlns:pic="http://schemas.openxmlformats.org/drawingml/2006/picture">
                  <pic:nvPicPr>
                    <pic:cNvPr id="1027" name="Picture 4"/>
                    <pic:cNvPicPr/>
                  </pic:nvPicPr>
                  <pic:blipFill rotWithShape="1">
                    <a:blip r:embed="rId16" cstate="print"/>
                    <a:srcRect t="13772"/>
                    <a:stretch/>
                  </pic:blipFill>
                  <pic:spPr bwMode="auto">
                    <a:xfrm>
                      <a:off x="0" y="0"/>
                      <a:ext cx="3305175" cy="27019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24C9F">
        <w:rPr>
          <w:rFonts w:ascii="Times New Roman" w:hAnsi="Times New Roman"/>
          <w:sz w:val="24"/>
          <w:szCs w:val="24"/>
        </w:rPr>
        <w:t>Fig 2:   Microbial</w:t>
      </w:r>
      <w:r w:rsidR="00403A58">
        <w:rPr>
          <w:rFonts w:ascii="Times New Roman" w:hAnsi="Times New Roman"/>
          <w:sz w:val="24"/>
          <w:szCs w:val="24"/>
        </w:rPr>
        <w:t xml:space="preserve"> </w:t>
      </w:r>
      <w:r w:rsidR="00924C9F">
        <w:rPr>
          <w:rFonts w:ascii="Times New Roman" w:hAnsi="Times New Roman"/>
          <w:sz w:val="24"/>
          <w:szCs w:val="24"/>
        </w:rPr>
        <w:t xml:space="preserve">  Testing Method</w:t>
      </w:r>
      <w:r w:rsidR="00BF1613">
        <w:rPr>
          <w:rFonts w:ascii="Times New Roman" w:hAnsi="Times New Roman"/>
          <w:sz w:val="24"/>
          <w:szCs w:val="24"/>
        </w:rPr>
        <w:br w:type="page"/>
      </w:r>
      <w:r w:rsidR="00924C9F">
        <w:rPr>
          <w:rFonts w:ascii="Times New Roman" w:hAnsi="Times New Roman"/>
          <w:sz w:val="24"/>
          <w:szCs w:val="24"/>
        </w:rPr>
        <w:lastRenderedPageBreak/>
        <w:t xml:space="preserve"> </w:t>
      </w:r>
      <w:r w:rsidR="006E55FF">
        <w:rPr>
          <w:rFonts w:ascii="Times New Roman" w:hAnsi="Times New Roman"/>
          <w:sz w:val="24"/>
          <w:szCs w:val="24"/>
        </w:rPr>
        <w:t>Fig 3: Source of Microbial Contamination in OTC drugs</w:t>
      </w:r>
    </w:p>
    <w:p w14:paraId="72883D14" w14:textId="77777777"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t>4 Policy Implications, Future Directions, and Conclusion</w:t>
      </w:r>
    </w:p>
    <w:p w14:paraId="6F9C2445" w14:textId="77777777" w:rsidR="00586E92" w:rsidRDefault="00BF1613">
      <w:pPr>
        <w:spacing w:line="360" w:lineRule="auto"/>
        <w:jc w:val="both"/>
        <w:rPr>
          <w:rFonts w:ascii="Times New Roman" w:hAnsi="Times New Roman"/>
          <w:b/>
          <w:bCs/>
          <w:i/>
          <w:iCs/>
          <w:sz w:val="24"/>
          <w:szCs w:val="24"/>
        </w:rPr>
      </w:pPr>
      <w:r>
        <w:rPr>
          <w:rFonts w:ascii="Times New Roman" w:hAnsi="Times New Roman"/>
          <w:b/>
          <w:bCs/>
          <w:i/>
          <w:iCs/>
          <w:sz w:val="24"/>
          <w:szCs w:val="24"/>
        </w:rPr>
        <w:t xml:space="preserve"> Policy Implications</w:t>
      </w:r>
    </w:p>
    <w:p w14:paraId="54285C95"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 findings from this review have significant policy implications for both regulatory bodies and pharmaceutical manufacturers. Regulatory agencies, including the WHO, USP, and national health authorities, must strengthen enforcement of microbial contamination standards for OTC drugs. Stringent monitoring, regular inspections, and improved testing procedures should be mandated to ensure compliance with microbiological safety standards. Moreover, guidelines should be updated regularly to account for emerging risks and advancements in microbial testing technologies. Policies must encourage the adoption of rapid microbial detection systems and ensure that manufacturers implement Good Manufacturing Practices (GMP) to minimize contamination risks throughout the production and distribution processes.</w:t>
      </w:r>
    </w:p>
    <w:p w14:paraId="2B74A12A"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For manufacturers, there is a need for more comprehensive quality control systems that integrate microbial testing at every stage of the drug production process. Policies should promote the training of personnel in microbiological safety, sanitation protocols, and proper storage conditions. Furthermore, there should be incentives for manufacturers who implement innovative technologies, such as antimicrobial coatings and nanotechnology, to reduce microbial risks in OTC drugs. Governments and regulatory bodies must provide guidance and funding to encourage the development and adoption of such technologies.</w:t>
      </w:r>
    </w:p>
    <w:p w14:paraId="3457845A"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In addition, governments should prioritize public health campaigns that educate consumers on the risks associated with contaminated OTC drugs and the importance of adhering to safe storage practices. This will empower consumers to make informed choices and help reduce the public health burden caused by contaminated products.</w:t>
      </w:r>
    </w:p>
    <w:p w14:paraId="1C7D3E19" w14:textId="77777777"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i/>
          <w:iCs/>
          <w:sz w:val="24"/>
          <w:szCs w:val="24"/>
        </w:rPr>
        <w:t>Conclusion</w:t>
      </w:r>
    </w:p>
    <w:p w14:paraId="0BC410EA"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Microbial contamination in over-the-counter (OTC) drugs is a significant public health concern that requires immediate attention from both regulatory authorities and pharmaceutical manufacturers. This review has highlighted the key sources of contamination, including raw materials, manufacturing processes, packaging, and storage conditions. It has also discussed </w:t>
      </w:r>
      <w:r>
        <w:rPr>
          <w:rFonts w:ascii="Times New Roman" w:hAnsi="Times New Roman"/>
          <w:sz w:val="24"/>
          <w:szCs w:val="24"/>
        </w:rPr>
        <w:lastRenderedPageBreak/>
        <w:t>various microbial testing methods and regulatory guidelines aimed at ensuring the safety of OTC products. Despite existing regulations, gaps in enforcement and quality control still allow for microbial contamination to occur, putting consumers at risk.</w:t>
      </w:r>
    </w:p>
    <w:p w14:paraId="7BC98D96"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 findings suggest that both the pharmaceutical industry and regulatory bodies must strengthen their efforts to combat microbial contamination. Manufacturers should adopt state-of-the-art technologies, implement robust quality control systems, and adhere to regulatory guidelines to minimize contamination risks. On the other hand, regulatory bodies must enforce these standards more rigorously and update guidelines to incorporate emerging technologies and new research findings.</w:t>
      </w:r>
    </w:p>
    <w:p w14:paraId="7E49B69D"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As the demand for OTC drugs continues to rise globally, it is essential to continuously innovate in the areas of microbial testing and contamination control. The future direction of microbial contamination control in OTC drugs will be shaped by advances in rapid detection technologies, nanotechnology, and improved regulatory frameworks. By embracing these innovations and implementing comprehensive policies, the pharmaceutical industry can ensure that OTC drugs remain safe for consumers, minimizing the public health risks associated with microbial contamination.</w:t>
      </w:r>
    </w:p>
    <w:p w14:paraId="6CEFA071" w14:textId="77777777"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Future Directions</w:t>
      </w:r>
    </w:p>
    <w:p w14:paraId="3FEAEF2F"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 future of microbial contamination control in OTC drugs lies in the integration of emerging technologies and improved regulatory frameworks. The adoption of rapid testing methods, such as PCR-based techniques and automated microbial detection systems, will likely become the industry standard, ensuring quicker and more accurate detection of contaminants. Future research should focus on optimizing these technologies to improve their affordability, accessibility, and integration into existing quality control processes.</w:t>
      </w:r>
    </w:p>
    <w:p w14:paraId="32E6B9B6"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There is also a growing need for research into the development of novel antimicrobial materials for packaging and drug formulations. Nanotechnology holds great promise in creating self-sterilizing drug packaging and drug formulations with enhanced resistance to microbial growth. Future studies should explore the potential of nanomaterials in reducing contamination risks while maintaining the safety and efficacy of OTC drugs.</w:t>
      </w:r>
    </w:p>
    <w:p w14:paraId="586F5A93"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Further exploration into the use of biosensors and microfluidic devices for real-time microbial testing is another exciting avenue for research. These technologies offer the potential for on-site testing, which would significantly reduce testing turnaround times and improve the efficiency of microbial monitoring in OTC drug manufacturing.</w:t>
      </w:r>
    </w:p>
    <w:p w14:paraId="42F2A2FA" w14:textId="77777777"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Additionally, more research is needed to investigate the long-term effects of microbial contamination in OTC drugs, particularly in vulnerable populations such as children, the elderly, and </w:t>
      </w:r>
      <w:proofErr w:type="spellStart"/>
      <w:proofErr w:type="gramStart"/>
      <w:r>
        <w:rPr>
          <w:rFonts w:ascii="Times New Roman" w:hAnsi="Times New Roman"/>
          <w:sz w:val="24"/>
          <w:szCs w:val="24"/>
        </w:rPr>
        <w:t>immuno</w:t>
      </w:r>
      <w:proofErr w:type="spellEnd"/>
      <w:r>
        <w:rPr>
          <w:rFonts w:ascii="Times New Roman" w:hAnsi="Times New Roman"/>
          <w:sz w:val="24"/>
          <w:szCs w:val="24"/>
        </w:rPr>
        <w:t xml:space="preserve">  compromised</w:t>
      </w:r>
      <w:proofErr w:type="gramEnd"/>
      <w:r>
        <w:rPr>
          <w:rFonts w:ascii="Times New Roman" w:hAnsi="Times New Roman"/>
          <w:sz w:val="24"/>
          <w:szCs w:val="24"/>
        </w:rPr>
        <w:t xml:space="preserve"> individuals. Understanding the full scope of health risks posed by contaminated OTC drugs will help inform policy decisions and regulatory standards.</w:t>
      </w:r>
    </w:p>
    <w:p w14:paraId="71632809" w14:textId="77777777" w:rsidR="002A5591" w:rsidRDefault="002A5591">
      <w:pPr>
        <w:spacing w:line="360" w:lineRule="auto"/>
        <w:jc w:val="both"/>
        <w:rPr>
          <w:rFonts w:ascii="Times New Roman" w:hAnsi="Times New Roman"/>
          <w:sz w:val="24"/>
          <w:szCs w:val="24"/>
        </w:rPr>
      </w:pPr>
    </w:p>
    <w:p w14:paraId="0403CB99" w14:textId="77777777" w:rsidR="002A5591" w:rsidRDefault="002A5591">
      <w:pPr>
        <w:spacing w:line="360" w:lineRule="auto"/>
        <w:jc w:val="both"/>
        <w:rPr>
          <w:rFonts w:ascii="Times New Roman" w:hAnsi="Times New Roman"/>
          <w:sz w:val="24"/>
          <w:szCs w:val="24"/>
        </w:rPr>
      </w:pPr>
    </w:p>
    <w:p w14:paraId="20A65678" w14:textId="77777777" w:rsidR="002A5591" w:rsidRPr="009C5487" w:rsidRDefault="002A5591" w:rsidP="002A5591">
      <w:pPr>
        <w:rPr>
          <w:rFonts w:eastAsia="Calibri"/>
          <w:kern w:val="2"/>
          <w:highlight w:val="yellow"/>
        </w:rPr>
      </w:pPr>
      <w:bookmarkStart w:id="1" w:name="_Hlk193540946"/>
      <w:bookmarkStart w:id="2" w:name="_Hlk180402183"/>
      <w:bookmarkStart w:id="3" w:name="_Hlk183680988"/>
      <w:r w:rsidRPr="009C5487">
        <w:rPr>
          <w:rFonts w:eastAsia="Calibri"/>
          <w:kern w:val="2"/>
          <w:highlight w:val="yellow"/>
        </w:rPr>
        <w:t>Disclaimer (Artificial intelligence)</w:t>
      </w:r>
    </w:p>
    <w:p w14:paraId="285001AD" w14:textId="77777777" w:rsidR="002A5591" w:rsidRPr="009C5487" w:rsidRDefault="002A5591" w:rsidP="002A5591">
      <w:pPr>
        <w:rPr>
          <w:rFonts w:eastAsia="Calibri"/>
          <w:kern w:val="2"/>
          <w:highlight w:val="yellow"/>
        </w:rPr>
      </w:pPr>
      <w:r w:rsidRPr="009C5487">
        <w:rPr>
          <w:rFonts w:eastAsia="Calibri"/>
          <w:kern w:val="2"/>
          <w:highlight w:val="yellow"/>
        </w:rPr>
        <w:t xml:space="preserve">Option 1: </w:t>
      </w:r>
    </w:p>
    <w:p w14:paraId="205D19A6" w14:textId="77777777" w:rsidR="002A5591" w:rsidRPr="009C5487" w:rsidRDefault="002A5591" w:rsidP="002A5591">
      <w:pPr>
        <w:rPr>
          <w:rFonts w:eastAsia="Calibri"/>
          <w:kern w:val="2"/>
          <w:highlight w:val="yellow"/>
        </w:rPr>
      </w:pPr>
      <w:r w:rsidRPr="009C5487">
        <w:rPr>
          <w:rFonts w:eastAsia="Calibri"/>
          <w:kern w:val="2"/>
          <w:highlight w:val="yellow"/>
        </w:rPr>
        <w:t>Author(s) hereby declare that NO generative AI technologies such as Large Language Models (</w:t>
      </w:r>
      <w:proofErr w:type="spellStart"/>
      <w:r w:rsidRPr="009C5487">
        <w:rPr>
          <w:rFonts w:eastAsia="Calibri"/>
          <w:kern w:val="2"/>
          <w:highlight w:val="yellow"/>
        </w:rPr>
        <w:t>ChatGPT</w:t>
      </w:r>
      <w:proofErr w:type="spellEnd"/>
      <w:r w:rsidRPr="009C5487">
        <w:rPr>
          <w:rFonts w:eastAsia="Calibri"/>
          <w:kern w:val="2"/>
          <w:highlight w:val="yellow"/>
        </w:rPr>
        <w:t xml:space="preserve">, COPILOT, etc.) and text-to-image generators have been used during the writing or editing of this manuscript. </w:t>
      </w:r>
    </w:p>
    <w:p w14:paraId="2EADB9F1" w14:textId="77777777" w:rsidR="002A5591" w:rsidRPr="009C5487" w:rsidRDefault="002A5591" w:rsidP="002A5591">
      <w:pPr>
        <w:rPr>
          <w:rFonts w:eastAsia="Calibri"/>
          <w:kern w:val="2"/>
          <w:highlight w:val="yellow"/>
        </w:rPr>
      </w:pPr>
      <w:r w:rsidRPr="009C5487">
        <w:rPr>
          <w:rFonts w:eastAsia="Calibri"/>
          <w:kern w:val="2"/>
          <w:highlight w:val="yellow"/>
        </w:rPr>
        <w:t xml:space="preserve">Option 2: </w:t>
      </w:r>
    </w:p>
    <w:p w14:paraId="59C314B6" w14:textId="77777777" w:rsidR="002A5591" w:rsidRPr="009C5487" w:rsidRDefault="002A5591" w:rsidP="002A5591">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FE72DE" w14:textId="77777777" w:rsidR="002A5591" w:rsidRPr="009C5487" w:rsidRDefault="002A5591" w:rsidP="002A5591">
      <w:pPr>
        <w:rPr>
          <w:rFonts w:eastAsia="Calibri"/>
          <w:kern w:val="2"/>
          <w:highlight w:val="yellow"/>
        </w:rPr>
      </w:pPr>
      <w:r w:rsidRPr="009C5487">
        <w:rPr>
          <w:rFonts w:eastAsia="Calibri"/>
          <w:kern w:val="2"/>
          <w:highlight w:val="yellow"/>
        </w:rPr>
        <w:t>Details of the AI usage are given below:</w:t>
      </w:r>
    </w:p>
    <w:p w14:paraId="5B8985F0" w14:textId="77777777" w:rsidR="002A5591" w:rsidRPr="009C5487" w:rsidRDefault="002A5591" w:rsidP="002A5591">
      <w:pPr>
        <w:rPr>
          <w:rFonts w:eastAsia="Calibri"/>
          <w:kern w:val="2"/>
          <w:highlight w:val="yellow"/>
        </w:rPr>
      </w:pPr>
      <w:r w:rsidRPr="009C5487">
        <w:rPr>
          <w:rFonts w:eastAsia="Calibri"/>
          <w:kern w:val="2"/>
          <w:highlight w:val="yellow"/>
        </w:rPr>
        <w:t>1.</w:t>
      </w:r>
    </w:p>
    <w:p w14:paraId="45E4397B" w14:textId="77777777" w:rsidR="002A5591" w:rsidRPr="009C5487" w:rsidRDefault="002A5591" w:rsidP="002A5591">
      <w:pPr>
        <w:rPr>
          <w:rFonts w:eastAsia="Calibri"/>
          <w:kern w:val="2"/>
          <w:highlight w:val="yellow"/>
        </w:rPr>
      </w:pPr>
      <w:r w:rsidRPr="009C5487">
        <w:rPr>
          <w:rFonts w:eastAsia="Calibri"/>
          <w:kern w:val="2"/>
          <w:highlight w:val="yellow"/>
        </w:rPr>
        <w:t>2.</w:t>
      </w:r>
    </w:p>
    <w:p w14:paraId="5F7DEFBC" w14:textId="77777777" w:rsidR="002A5591" w:rsidRPr="009C5487" w:rsidRDefault="002A5591" w:rsidP="002A5591">
      <w:pPr>
        <w:rPr>
          <w:rFonts w:eastAsia="Calibri"/>
          <w:kern w:val="2"/>
        </w:rPr>
      </w:pPr>
      <w:r w:rsidRPr="009C5487">
        <w:rPr>
          <w:rFonts w:eastAsia="Calibri"/>
          <w:kern w:val="2"/>
          <w:highlight w:val="yellow"/>
        </w:rPr>
        <w:t>3.</w:t>
      </w:r>
      <w:bookmarkEnd w:id="1"/>
    </w:p>
    <w:bookmarkEnd w:id="2"/>
    <w:bookmarkEnd w:id="3"/>
    <w:p w14:paraId="7D62E725" w14:textId="77777777" w:rsidR="002A5591" w:rsidRDefault="002A5591">
      <w:pPr>
        <w:spacing w:line="360" w:lineRule="auto"/>
        <w:jc w:val="both"/>
        <w:rPr>
          <w:rFonts w:ascii="Times New Roman" w:hAnsi="Times New Roman"/>
          <w:sz w:val="24"/>
          <w:szCs w:val="24"/>
        </w:rPr>
      </w:pPr>
    </w:p>
    <w:p w14:paraId="564A6D34" w14:textId="77777777" w:rsidR="00586E92" w:rsidRDefault="00BF1613">
      <w:pPr>
        <w:spacing w:line="360" w:lineRule="auto"/>
        <w:jc w:val="both"/>
        <w:rPr>
          <w:rFonts w:ascii="Times New Roman" w:hAnsi="Times New Roman"/>
          <w:sz w:val="28"/>
          <w:szCs w:val="28"/>
        </w:rPr>
      </w:pPr>
      <w:r>
        <w:rPr>
          <w:rFonts w:ascii="Times New Roman" w:hAnsi="Times New Roman"/>
          <w:b/>
          <w:bCs/>
          <w:sz w:val="28"/>
          <w:szCs w:val="28"/>
        </w:rPr>
        <w:t>References</w:t>
      </w:r>
    </w:p>
    <w:p w14:paraId="004C39FD" w14:textId="0331A6EE" w:rsidR="00586E92" w:rsidRPr="00EF0075" w:rsidRDefault="00BF1613">
      <w:pPr>
        <w:spacing w:line="240" w:lineRule="auto"/>
        <w:jc w:val="both"/>
        <w:rPr>
          <w:rFonts w:ascii="Times New Roman" w:hAnsi="Times New Roman"/>
          <w:sz w:val="24"/>
          <w:szCs w:val="24"/>
          <w:highlight w:val="yellow"/>
        </w:rPr>
      </w:pPr>
      <w:r w:rsidRPr="00EF0075">
        <w:rPr>
          <w:rFonts w:ascii="Times New Roman" w:hAnsi="Times New Roman"/>
          <w:sz w:val="24"/>
          <w:szCs w:val="24"/>
          <w:highlight w:val="yellow"/>
        </w:rPr>
        <w:t xml:space="preserve">Central Drugs Standard Control Organization. (2018a). Good Manufacturing Practices for Pharmaceuticals. Retrieved from </w:t>
      </w:r>
      <w:hyperlink r:id="rId17" w:history="1">
        <w:r w:rsidR="00082764" w:rsidRPr="00EF0075">
          <w:rPr>
            <w:rStyle w:val="Hyperlink"/>
            <w:rFonts w:ascii="Times New Roman" w:hAnsi="Times New Roman"/>
            <w:sz w:val="24"/>
            <w:szCs w:val="24"/>
            <w:highlight w:val="yellow"/>
          </w:rPr>
          <w:t>https://www.cdsco.gov.in/</w:t>
        </w:r>
      </w:hyperlink>
      <w:r w:rsidR="00082764" w:rsidRPr="00EF0075">
        <w:rPr>
          <w:rFonts w:ascii="Times New Roman" w:hAnsi="Times New Roman"/>
          <w:sz w:val="24"/>
          <w:szCs w:val="24"/>
          <w:highlight w:val="yellow"/>
        </w:rPr>
        <w:t xml:space="preserve"> </w:t>
      </w:r>
    </w:p>
    <w:p w14:paraId="07594713" w14:textId="19FA4577" w:rsidR="00586E92" w:rsidRPr="00EF0075" w:rsidRDefault="00BF1613">
      <w:pPr>
        <w:spacing w:line="240" w:lineRule="auto"/>
        <w:jc w:val="both"/>
        <w:rPr>
          <w:rFonts w:ascii="Times New Roman" w:hAnsi="Times New Roman"/>
          <w:sz w:val="24"/>
          <w:szCs w:val="24"/>
          <w:highlight w:val="yellow"/>
        </w:rPr>
      </w:pPr>
      <w:r w:rsidRPr="00EF0075">
        <w:rPr>
          <w:rFonts w:ascii="Times New Roman" w:hAnsi="Times New Roman"/>
          <w:sz w:val="24"/>
          <w:szCs w:val="24"/>
          <w:highlight w:val="yellow"/>
        </w:rPr>
        <w:lastRenderedPageBreak/>
        <w:t xml:space="preserve">Central Drugs Standard Control Organization. (2018b). Guidelines for the Manufacture of Sterile Pharmaceutical Products. Retrieved from </w:t>
      </w:r>
      <w:hyperlink r:id="rId18" w:history="1">
        <w:r w:rsidR="00082764" w:rsidRPr="00EF0075">
          <w:rPr>
            <w:rStyle w:val="Hyperlink"/>
            <w:rFonts w:ascii="Times New Roman" w:hAnsi="Times New Roman"/>
            <w:sz w:val="24"/>
            <w:szCs w:val="24"/>
            <w:highlight w:val="yellow"/>
          </w:rPr>
          <w:t>https://www.cdsco.gov.in/</w:t>
        </w:r>
      </w:hyperlink>
      <w:r w:rsidR="00082764" w:rsidRPr="00EF0075">
        <w:rPr>
          <w:rFonts w:ascii="Times New Roman" w:hAnsi="Times New Roman"/>
          <w:sz w:val="24"/>
          <w:szCs w:val="24"/>
          <w:highlight w:val="yellow"/>
        </w:rPr>
        <w:t xml:space="preserve"> </w:t>
      </w:r>
    </w:p>
    <w:p w14:paraId="0708652C" w14:textId="192D30A0" w:rsidR="00586E92" w:rsidRPr="00EF0075" w:rsidRDefault="00BF1613">
      <w:pPr>
        <w:spacing w:line="240" w:lineRule="auto"/>
        <w:jc w:val="both"/>
        <w:rPr>
          <w:rFonts w:ascii="Times New Roman" w:hAnsi="Times New Roman"/>
          <w:sz w:val="24"/>
          <w:szCs w:val="24"/>
          <w:highlight w:val="yellow"/>
        </w:rPr>
      </w:pPr>
      <w:r w:rsidRPr="00EF0075">
        <w:rPr>
          <w:rFonts w:ascii="Times New Roman" w:hAnsi="Times New Roman"/>
          <w:sz w:val="24"/>
          <w:szCs w:val="24"/>
          <w:highlight w:val="yellow"/>
        </w:rPr>
        <w:t xml:space="preserve">Central Drugs Standard Control Organization. (2018c). Indian Pharmacopoeia. Retrieved from </w:t>
      </w:r>
      <w:hyperlink r:id="rId19" w:history="1">
        <w:r w:rsidR="00082764" w:rsidRPr="00EF0075">
          <w:rPr>
            <w:rStyle w:val="Hyperlink"/>
            <w:rFonts w:ascii="Times New Roman" w:hAnsi="Times New Roman"/>
            <w:sz w:val="24"/>
            <w:szCs w:val="24"/>
            <w:highlight w:val="yellow"/>
          </w:rPr>
          <w:t>https://www.ipc.gov.in/</w:t>
        </w:r>
      </w:hyperlink>
      <w:r w:rsidR="00082764" w:rsidRPr="00EF0075">
        <w:rPr>
          <w:rFonts w:ascii="Times New Roman" w:hAnsi="Times New Roman"/>
          <w:sz w:val="24"/>
          <w:szCs w:val="24"/>
          <w:highlight w:val="yellow"/>
        </w:rPr>
        <w:t xml:space="preserve"> </w:t>
      </w:r>
    </w:p>
    <w:p w14:paraId="681DEC7D" w14:textId="1A24D8AF" w:rsidR="00586E92" w:rsidRDefault="00BF1613">
      <w:pPr>
        <w:spacing w:line="240" w:lineRule="auto"/>
        <w:jc w:val="both"/>
        <w:rPr>
          <w:rFonts w:ascii="Times New Roman" w:hAnsi="Times New Roman"/>
          <w:sz w:val="24"/>
          <w:szCs w:val="24"/>
        </w:rPr>
      </w:pPr>
      <w:r w:rsidRPr="00EF0075">
        <w:rPr>
          <w:rFonts w:ascii="Times New Roman" w:hAnsi="Times New Roman"/>
          <w:sz w:val="24"/>
          <w:szCs w:val="24"/>
          <w:highlight w:val="yellow"/>
        </w:rPr>
        <w:t xml:space="preserve">Central Drugs Standard Control Organization. (2019). Good Manufacturing Practices for Non-Sterile Pharmaceutical Products. Retrieved from </w:t>
      </w:r>
      <w:hyperlink r:id="rId20" w:history="1">
        <w:r w:rsidR="00082764" w:rsidRPr="00EF0075">
          <w:rPr>
            <w:rStyle w:val="Hyperlink"/>
            <w:rFonts w:ascii="Times New Roman" w:hAnsi="Times New Roman"/>
            <w:sz w:val="24"/>
            <w:szCs w:val="24"/>
            <w:highlight w:val="yellow"/>
          </w:rPr>
          <w:t>https://www.cdsco.gov.in/</w:t>
        </w:r>
      </w:hyperlink>
      <w:r w:rsidR="00082764">
        <w:rPr>
          <w:rFonts w:ascii="Times New Roman" w:hAnsi="Times New Roman"/>
          <w:sz w:val="24"/>
          <w:szCs w:val="24"/>
        </w:rPr>
        <w:t xml:space="preserve"> </w:t>
      </w:r>
    </w:p>
    <w:p w14:paraId="5F066C1A" w14:textId="69EE41B4" w:rsidR="00586E92" w:rsidRPr="00EF0075" w:rsidRDefault="00BF1613">
      <w:pPr>
        <w:spacing w:line="240" w:lineRule="auto"/>
        <w:jc w:val="both"/>
        <w:rPr>
          <w:rFonts w:ascii="Times New Roman" w:hAnsi="Times New Roman"/>
          <w:sz w:val="24"/>
          <w:szCs w:val="24"/>
          <w:highlight w:val="yellow"/>
        </w:rPr>
      </w:pPr>
      <w:r w:rsidRPr="00EF0075">
        <w:rPr>
          <w:rFonts w:ascii="Times New Roman" w:hAnsi="Times New Roman"/>
          <w:sz w:val="24"/>
          <w:szCs w:val="24"/>
          <w:highlight w:val="yellow"/>
        </w:rPr>
        <w:t xml:space="preserve">European Medicines Agency. (2016a). Guideline on </w:t>
      </w:r>
      <w:proofErr w:type="spellStart"/>
      <w:r w:rsidRPr="00EF0075">
        <w:rPr>
          <w:rFonts w:ascii="Times New Roman" w:hAnsi="Times New Roman"/>
          <w:sz w:val="24"/>
          <w:szCs w:val="24"/>
          <w:highlight w:val="yellow"/>
        </w:rPr>
        <w:t>Sterilisation</w:t>
      </w:r>
      <w:proofErr w:type="spellEnd"/>
      <w:r w:rsidRPr="00EF0075">
        <w:rPr>
          <w:rFonts w:ascii="Times New Roman" w:hAnsi="Times New Roman"/>
          <w:sz w:val="24"/>
          <w:szCs w:val="24"/>
          <w:highlight w:val="yellow"/>
        </w:rPr>
        <w:t xml:space="preserve"> of the Medicinal Product, Active Substance, Excipient and Primary Container. Retrieved from </w:t>
      </w:r>
      <w:hyperlink r:id="rId21" w:history="1">
        <w:r w:rsidR="00082764" w:rsidRPr="00EF0075">
          <w:rPr>
            <w:rStyle w:val="Hyperlink"/>
            <w:rFonts w:ascii="Times New Roman" w:hAnsi="Times New Roman"/>
            <w:sz w:val="24"/>
            <w:szCs w:val="24"/>
            <w:highlight w:val="yellow"/>
          </w:rPr>
          <w:t>https://www.ema.europa.eu/en/documents/scientific-guideline/guideline-sterilisation-medicinal-product-active-substance-excipient-and-primary-container_en.pdf</w:t>
        </w:r>
      </w:hyperlink>
      <w:r w:rsidR="00082764" w:rsidRPr="00EF0075">
        <w:rPr>
          <w:rFonts w:ascii="Times New Roman" w:hAnsi="Times New Roman"/>
          <w:sz w:val="24"/>
          <w:szCs w:val="24"/>
          <w:highlight w:val="yellow"/>
        </w:rPr>
        <w:t xml:space="preserve"> </w:t>
      </w:r>
    </w:p>
    <w:p w14:paraId="146DFB96" w14:textId="2D34FDAC" w:rsidR="00586E92" w:rsidRPr="00EF0075" w:rsidRDefault="00BF1613">
      <w:pPr>
        <w:spacing w:line="240" w:lineRule="auto"/>
        <w:jc w:val="both"/>
        <w:rPr>
          <w:rFonts w:ascii="Times New Roman" w:hAnsi="Times New Roman"/>
          <w:sz w:val="24"/>
          <w:szCs w:val="24"/>
          <w:highlight w:val="yellow"/>
        </w:rPr>
      </w:pPr>
      <w:r w:rsidRPr="00EF0075">
        <w:rPr>
          <w:rFonts w:ascii="Times New Roman" w:hAnsi="Times New Roman"/>
          <w:sz w:val="24"/>
          <w:szCs w:val="24"/>
          <w:highlight w:val="yellow"/>
        </w:rPr>
        <w:t xml:space="preserve">European Medicines Agency. (2016b). Q7A Good Manufacturing Practice Guidance for Active Pharmaceutical Ingredients. Retrieved from </w:t>
      </w:r>
      <w:hyperlink r:id="rId22" w:history="1">
        <w:r w:rsidR="00082764" w:rsidRPr="00EF0075">
          <w:rPr>
            <w:rStyle w:val="Hyperlink"/>
            <w:rFonts w:ascii="Times New Roman" w:hAnsi="Times New Roman"/>
            <w:sz w:val="24"/>
            <w:szCs w:val="24"/>
            <w:highlight w:val="yellow"/>
          </w:rPr>
          <w:t>https://www.ema.europa.eu/en/documents/scientific-guideline/q7a-good-manufacture</w:t>
        </w:r>
      </w:hyperlink>
      <w:r w:rsidR="00082764" w:rsidRPr="00EF0075">
        <w:rPr>
          <w:rFonts w:ascii="Times New Roman" w:hAnsi="Times New Roman"/>
          <w:sz w:val="24"/>
          <w:szCs w:val="24"/>
          <w:highlight w:val="yellow"/>
        </w:rPr>
        <w:t xml:space="preserve"> </w:t>
      </w:r>
    </w:p>
    <w:p w14:paraId="5A5970AC" w14:textId="18D19593" w:rsidR="00586E92" w:rsidRPr="00EF0075" w:rsidRDefault="00BF1613">
      <w:pPr>
        <w:spacing w:line="240" w:lineRule="auto"/>
        <w:jc w:val="both"/>
        <w:rPr>
          <w:rFonts w:ascii="Times New Roman" w:hAnsi="Times New Roman"/>
          <w:sz w:val="24"/>
          <w:szCs w:val="24"/>
          <w:highlight w:val="yellow"/>
        </w:rPr>
      </w:pPr>
      <w:r w:rsidRPr="00EF0075">
        <w:rPr>
          <w:rFonts w:ascii="Times New Roman" w:hAnsi="Times New Roman"/>
          <w:sz w:val="24"/>
          <w:szCs w:val="24"/>
          <w:highlight w:val="yellow"/>
        </w:rPr>
        <w:t xml:space="preserve">European Medicines Agency. (2017). Annex 1: Manufacture of Sterile Medicinal Products. Retrieved from </w:t>
      </w:r>
      <w:hyperlink r:id="rId23" w:history="1">
        <w:r w:rsidR="00082764" w:rsidRPr="00EF0075">
          <w:rPr>
            <w:rStyle w:val="Hyperlink"/>
            <w:rFonts w:ascii="Times New Roman" w:hAnsi="Times New Roman"/>
            <w:sz w:val="24"/>
            <w:szCs w:val="24"/>
            <w:highlight w:val="yellow"/>
          </w:rPr>
          <w:t>https://health.ec.europa.eu/document/download/6eaee230-0dde-4bd2-b4b8-4f248be26d13_en</w:t>
        </w:r>
      </w:hyperlink>
      <w:r w:rsidR="00082764" w:rsidRPr="00EF0075">
        <w:rPr>
          <w:rFonts w:ascii="Times New Roman" w:hAnsi="Times New Roman"/>
          <w:sz w:val="24"/>
          <w:szCs w:val="24"/>
          <w:highlight w:val="yellow"/>
        </w:rPr>
        <w:t xml:space="preserve"> </w:t>
      </w:r>
    </w:p>
    <w:p w14:paraId="344465C1" w14:textId="651C7D0F" w:rsidR="00586E92" w:rsidRDefault="00BF1613">
      <w:pPr>
        <w:spacing w:line="240" w:lineRule="auto"/>
        <w:jc w:val="both"/>
        <w:rPr>
          <w:rFonts w:ascii="Times New Roman" w:hAnsi="Times New Roman"/>
          <w:sz w:val="24"/>
          <w:szCs w:val="24"/>
        </w:rPr>
      </w:pPr>
      <w:r w:rsidRPr="00EF0075">
        <w:rPr>
          <w:rFonts w:ascii="Times New Roman" w:hAnsi="Times New Roman"/>
          <w:sz w:val="24"/>
          <w:szCs w:val="24"/>
          <w:highlight w:val="yellow"/>
        </w:rPr>
        <w:t xml:space="preserve">European Medicines Agency. (2020). Annex 15: Qualification and Validation. Retrieved from </w:t>
      </w:r>
      <w:hyperlink r:id="rId24" w:history="1">
        <w:r w:rsidR="00082764" w:rsidRPr="00EF0075">
          <w:rPr>
            <w:rStyle w:val="Hyperlink"/>
            <w:rFonts w:ascii="Times New Roman" w:hAnsi="Times New Roman"/>
            <w:sz w:val="24"/>
            <w:szCs w:val="24"/>
            <w:highlight w:val="yellow"/>
          </w:rPr>
          <w:t>https://www.ema.europa.eu/en/documents/scientific-guideline/annex-15-qualification-validation_en.pdf</w:t>
        </w:r>
      </w:hyperlink>
      <w:r w:rsidR="00082764">
        <w:rPr>
          <w:rFonts w:ascii="Times New Roman" w:hAnsi="Times New Roman"/>
          <w:sz w:val="24"/>
          <w:szCs w:val="24"/>
        </w:rPr>
        <w:t xml:space="preserve"> </w:t>
      </w:r>
    </w:p>
    <w:p w14:paraId="3F006CD6" w14:textId="77371F72" w:rsidR="00586E92" w:rsidRDefault="00BF1613">
      <w:pPr>
        <w:spacing w:line="240" w:lineRule="auto"/>
        <w:jc w:val="both"/>
        <w:rPr>
          <w:rFonts w:ascii="Times New Roman" w:hAnsi="Times New Roman"/>
          <w:sz w:val="24"/>
          <w:szCs w:val="24"/>
        </w:rPr>
      </w:pPr>
      <w:r w:rsidRPr="0072016A">
        <w:rPr>
          <w:rFonts w:ascii="Times New Roman" w:hAnsi="Times New Roman"/>
          <w:sz w:val="24"/>
          <w:szCs w:val="24"/>
          <w:highlight w:val="yellow"/>
        </w:rPr>
        <w:t xml:space="preserve">European Medicines Agency. (2022). EU GMP Guide Part I: Basic Requirements for Medicinal Products. Retrieved from </w:t>
      </w:r>
      <w:hyperlink r:id="rId25" w:history="1">
        <w:r w:rsidR="00EF0075" w:rsidRPr="0072016A">
          <w:rPr>
            <w:rStyle w:val="Hyperlink"/>
            <w:rFonts w:ascii="Times New Roman" w:hAnsi="Times New Roman"/>
            <w:sz w:val="24"/>
            <w:szCs w:val="24"/>
            <w:highlight w:val="yellow"/>
          </w:rPr>
          <w:t>https://health.ec.europa.eu/system/files/2022-08/20220825_gmp-an1_en_0.pdf</w:t>
        </w:r>
      </w:hyperlink>
      <w:r w:rsidR="00EF0075">
        <w:rPr>
          <w:rFonts w:ascii="Times New Roman" w:hAnsi="Times New Roman"/>
          <w:sz w:val="24"/>
          <w:szCs w:val="24"/>
        </w:rPr>
        <w:t xml:space="preserve"> </w:t>
      </w:r>
    </w:p>
    <w:p w14:paraId="229B2EFE" w14:textId="77777777" w:rsidR="00172E09" w:rsidRDefault="00172E09">
      <w:pPr>
        <w:spacing w:line="240" w:lineRule="auto"/>
        <w:jc w:val="both"/>
        <w:rPr>
          <w:rFonts w:ascii="Times New Roman" w:hAnsi="Times New Roman"/>
          <w:sz w:val="24"/>
          <w:szCs w:val="24"/>
        </w:rPr>
      </w:pPr>
      <w:r w:rsidRPr="00172E09">
        <w:rPr>
          <w:rFonts w:ascii="Times New Roman" w:hAnsi="Times New Roman"/>
          <w:sz w:val="24"/>
          <w:szCs w:val="24"/>
          <w:highlight w:val="yellow"/>
        </w:rPr>
        <w:t xml:space="preserve">Hashim, Z. A., &amp; </w:t>
      </w:r>
      <w:proofErr w:type="spellStart"/>
      <w:r w:rsidRPr="00172E09">
        <w:rPr>
          <w:rFonts w:ascii="Times New Roman" w:hAnsi="Times New Roman"/>
          <w:sz w:val="24"/>
          <w:szCs w:val="24"/>
          <w:highlight w:val="yellow"/>
        </w:rPr>
        <w:t>Celiksoy</w:t>
      </w:r>
      <w:proofErr w:type="spellEnd"/>
      <w:r w:rsidRPr="00172E09">
        <w:rPr>
          <w:rFonts w:ascii="Times New Roman" w:hAnsi="Times New Roman"/>
          <w:sz w:val="24"/>
          <w:szCs w:val="24"/>
          <w:highlight w:val="yellow"/>
        </w:rPr>
        <w:t>, V. (2025). Pharmaceutical products microbial contamination; approaches of detection and avoidance. Microbes and Infectious Diseases, 6(1), 159-170.</w:t>
      </w:r>
    </w:p>
    <w:p w14:paraId="01EE3F37" w14:textId="71389438" w:rsidR="00586E92" w:rsidRDefault="00BF1613">
      <w:pPr>
        <w:spacing w:line="240" w:lineRule="auto"/>
        <w:jc w:val="both"/>
        <w:rPr>
          <w:rFonts w:ascii="Times New Roman" w:hAnsi="Times New Roman"/>
          <w:sz w:val="24"/>
          <w:szCs w:val="24"/>
        </w:rPr>
      </w:pPr>
      <w:r w:rsidRPr="000F7C9C">
        <w:rPr>
          <w:rFonts w:ascii="Times New Roman" w:hAnsi="Times New Roman"/>
          <w:sz w:val="24"/>
          <w:szCs w:val="24"/>
          <w:highlight w:val="yellow"/>
        </w:rPr>
        <w:t xml:space="preserve">International Society for Pharmaceutical Engineering (ISPE). (2023). Contamination trends &amp; proposed solutions. Pharmaceutical Engineering, March–April 2023. Retrieved from </w:t>
      </w:r>
      <w:hyperlink r:id="rId26" w:history="1">
        <w:r w:rsidR="00082764" w:rsidRPr="000F7C9C">
          <w:rPr>
            <w:rStyle w:val="Hyperlink"/>
            <w:rFonts w:ascii="Times New Roman" w:hAnsi="Times New Roman"/>
            <w:sz w:val="24"/>
            <w:szCs w:val="24"/>
            <w:highlight w:val="yellow"/>
          </w:rPr>
          <w:t>https://ispe.org/pharmaceutical-engineering/march-april-2023/contamination-trends-proposed-solutions</w:t>
        </w:r>
      </w:hyperlink>
      <w:r w:rsidR="00082764">
        <w:rPr>
          <w:rFonts w:ascii="Times New Roman" w:hAnsi="Times New Roman"/>
          <w:sz w:val="24"/>
          <w:szCs w:val="24"/>
        </w:rPr>
        <w:t xml:space="preserve"> </w:t>
      </w:r>
    </w:p>
    <w:p w14:paraId="2BFBE2FE" w14:textId="676E906D" w:rsidR="00586E92" w:rsidRDefault="00BF1613">
      <w:pPr>
        <w:spacing w:line="240" w:lineRule="auto"/>
        <w:jc w:val="both"/>
        <w:rPr>
          <w:rFonts w:ascii="Times New Roman" w:hAnsi="Times New Roman"/>
          <w:sz w:val="24"/>
          <w:szCs w:val="24"/>
        </w:rPr>
      </w:pPr>
      <w:r w:rsidRPr="0058785A">
        <w:rPr>
          <w:rFonts w:ascii="Times New Roman" w:hAnsi="Times New Roman"/>
          <w:sz w:val="24"/>
          <w:szCs w:val="24"/>
          <w:highlight w:val="yellow"/>
        </w:rPr>
        <w:t xml:space="preserve">Jimenez, L. (2019). Analysis of FDA enforcement reports (2012–2019) to determine the microbial diversity in contaminated non-sterile and sterile drugs. American Pharmaceutical Review, 22(6). Retrieved from </w:t>
      </w:r>
      <w:hyperlink r:id="rId27" w:history="1">
        <w:r w:rsidR="00082764" w:rsidRPr="0058785A">
          <w:rPr>
            <w:rStyle w:val="Hyperlink"/>
            <w:rFonts w:ascii="Times New Roman" w:hAnsi="Times New Roman"/>
            <w:sz w:val="24"/>
            <w:szCs w:val="24"/>
            <w:highlight w:val="yellow"/>
          </w:rPr>
          <w:t>https://www.americanpharmaceuticalreview.com/Featured-Articles/518912-Analysis-of-FDA-Enforcement-Reports-2012-2019-to-Determine-the-Microbial-Diversity-in-Contaminated-Non-Sterile-and-Sterile-Drugs/</w:t>
        </w:r>
      </w:hyperlink>
      <w:r w:rsidR="00082764">
        <w:rPr>
          <w:rFonts w:ascii="Times New Roman" w:hAnsi="Times New Roman"/>
          <w:sz w:val="24"/>
          <w:szCs w:val="24"/>
        </w:rPr>
        <w:t xml:space="preserve"> </w:t>
      </w:r>
    </w:p>
    <w:p w14:paraId="79400516" w14:textId="2C316ABE" w:rsidR="00586E92" w:rsidRDefault="00BF1613">
      <w:pPr>
        <w:spacing w:line="240" w:lineRule="auto"/>
        <w:jc w:val="both"/>
        <w:rPr>
          <w:rFonts w:ascii="Times New Roman" w:hAnsi="Times New Roman"/>
          <w:sz w:val="24"/>
          <w:szCs w:val="24"/>
        </w:rPr>
      </w:pPr>
      <w:proofErr w:type="spellStart"/>
      <w:r w:rsidRPr="0058785A">
        <w:rPr>
          <w:rFonts w:ascii="Times New Roman" w:hAnsi="Times New Roman"/>
          <w:sz w:val="24"/>
          <w:szCs w:val="24"/>
          <w:highlight w:val="yellow"/>
        </w:rPr>
        <w:t>Myemba</w:t>
      </w:r>
      <w:proofErr w:type="spellEnd"/>
      <w:r w:rsidRPr="0058785A">
        <w:rPr>
          <w:rFonts w:ascii="Times New Roman" w:hAnsi="Times New Roman"/>
          <w:sz w:val="24"/>
          <w:szCs w:val="24"/>
          <w:highlight w:val="yellow"/>
        </w:rPr>
        <w:t xml:space="preserve">, D. T., </w:t>
      </w:r>
      <w:proofErr w:type="spellStart"/>
      <w:r w:rsidRPr="0058785A">
        <w:rPr>
          <w:rFonts w:ascii="Times New Roman" w:hAnsi="Times New Roman"/>
          <w:sz w:val="24"/>
          <w:szCs w:val="24"/>
          <w:highlight w:val="yellow"/>
        </w:rPr>
        <w:t>Bwire</w:t>
      </w:r>
      <w:proofErr w:type="spellEnd"/>
      <w:r w:rsidRPr="0058785A">
        <w:rPr>
          <w:rFonts w:ascii="Times New Roman" w:hAnsi="Times New Roman"/>
          <w:sz w:val="24"/>
          <w:szCs w:val="24"/>
          <w:highlight w:val="yellow"/>
        </w:rPr>
        <w:t xml:space="preserve">, G. M., &amp; </w:t>
      </w:r>
      <w:proofErr w:type="spellStart"/>
      <w:r w:rsidRPr="0058785A">
        <w:rPr>
          <w:rFonts w:ascii="Times New Roman" w:hAnsi="Times New Roman"/>
          <w:sz w:val="24"/>
          <w:szCs w:val="24"/>
          <w:highlight w:val="yellow"/>
        </w:rPr>
        <w:t>Sangeda</w:t>
      </w:r>
      <w:proofErr w:type="spellEnd"/>
      <w:r w:rsidRPr="0058785A">
        <w:rPr>
          <w:rFonts w:ascii="Times New Roman" w:hAnsi="Times New Roman"/>
          <w:sz w:val="24"/>
          <w:szCs w:val="24"/>
          <w:highlight w:val="yellow"/>
        </w:rPr>
        <w:t xml:space="preserve">, R. Z. (2022). Microbiological quality of selected local and imported non-sterile pharmaceutical products in Dar es Salaam, Tanzania. Infection and Drug Resistance, 15, 1641–1651. </w:t>
      </w:r>
      <w:hyperlink r:id="rId28" w:history="1">
        <w:r w:rsidR="00082764" w:rsidRPr="0058785A">
          <w:rPr>
            <w:rStyle w:val="Hyperlink"/>
            <w:rFonts w:ascii="Times New Roman" w:hAnsi="Times New Roman"/>
            <w:sz w:val="24"/>
            <w:szCs w:val="24"/>
            <w:highlight w:val="yellow"/>
          </w:rPr>
          <w:t>https://doi.org/10.2147/IDR.S355331</w:t>
        </w:r>
      </w:hyperlink>
      <w:r w:rsidR="00082764">
        <w:rPr>
          <w:rFonts w:ascii="Times New Roman" w:hAnsi="Times New Roman"/>
          <w:sz w:val="24"/>
          <w:szCs w:val="24"/>
        </w:rPr>
        <w:t xml:space="preserve"> </w:t>
      </w:r>
    </w:p>
    <w:p w14:paraId="419538C1" w14:textId="7A1D65DC" w:rsidR="00BC2A14" w:rsidRDefault="00BC2A14">
      <w:pPr>
        <w:spacing w:line="240" w:lineRule="auto"/>
        <w:jc w:val="both"/>
        <w:rPr>
          <w:rFonts w:ascii="Times New Roman" w:hAnsi="Times New Roman"/>
          <w:sz w:val="24"/>
          <w:szCs w:val="24"/>
        </w:rPr>
      </w:pPr>
      <w:r w:rsidRPr="00BC2A14">
        <w:rPr>
          <w:rFonts w:ascii="Times New Roman" w:hAnsi="Times New Roman"/>
          <w:sz w:val="24"/>
          <w:szCs w:val="24"/>
          <w:highlight w:val="yellow"/>
        </w:rPr>
        <w:lastRenderedPageBreak/>
        <w:t>Song, M., Li, Q., Liu, C., Wang, P., Qin, F., Zhang, L., ... &amp; Yang, M. (2024). A comprehensive technology strategy for microbial identification and contamination investigation in the sterile drug manufacturing facility—A case study. Frontiers in Microbiology, 15, 1327175.</w:t>
      </w:r>
    </w:p>
    <w:p w14:paraId="0BCA09AC" w14:textId="218AB478" w:rsidR="00586E92" w:rsidRDefault="00BF1613">
      <w:pPr>
        <w:spacing w:line="240" w:lineRule="auto"/>
        <w:jc w:val="both"/>
        <w:rPr>
          <w:rFonts w:ascii="Times New Roman" w:hAnsi="Times New Roman"/>
          <w:sz w:val="24"/>
          <w:szCs w:val="24"/>
        </w:rPr>
      </w:pPr>
      <w:r>
        <w:rPr>
          <w:rFonts w:ascii="Times New Roman" w:hAnsi="Times New Roman"/>
          <w:sz w:val="24"/>
          <w:szCs w:val="24"/>
        </w:rPr>
        <w:t xml:space="preserve">U.S. Food and Drug Administration. (2004). Aseptic Processing—Current Good Manufacturing Practice. Retrieved from </w:t>
      </w:r>
      <w:hyperlink r:id="rId29" w:history="1">
        <w:r w:rsidR="00082764" w:rsidRPr="001063FF">
          <w:rPr>
            <w:rStyle w:val="Hyperlink"/>
            <w:rFonts w:ascii="Times New Roman" w:hAnsi="Times New Roman"/>
            <w:sz w:val="24"/>
            <w:szCs w:val="24"/>
          </w:rPr>
          <w:t>https://www.fda.gov/media/71026/download</w:t>
        </w:r>
      </w:hyperlink>
      <w:r w:rsidR="00082764">
        <w:rPr>
          <w:rFonts w:ascii="Times New Roman" w:hAnsi="Times New Roman"/>
          <w:sz w:val="24"/>
          <w:szCs w:val="24"/>
        </w:rPr>
        <w:t xml:space="preserve"> </w:t>
      </w:r>
    </w:p>
    <w:p w14:paraId="60E1C6FA" w14:textId="5F4E1BB3" w:rsidR="00586E92" w:rsidRDefault="00BF1613">
      <w:pPr>
        <w:spacing w:line="240" w:lineRule="auto"/>
        <w:jc w:val="both"/>
        <w:rPr>
          <w:rFonts w:ascii="Times New Roman" w:hAnsi="Times New Roman"/>
          <w:sz w:val="24"/>
          <w:szCs w:val="24"/>
        </w:rPr>
      </w:pPr>
      <w:r>
        <w:rPr>
          <w:rFonts w:ascii="Times New Roman" w:hAnsi="Times New Roman"/>
          <w:sz w:val="24"/>
          <w:szCs w:val="24"/>
        </w:rPr>
        <w:t xml:space="preserve">U.S. Food and Drug Administration. (2009). Microbiological Quality Considerations in Non-Sterile Drug Manufacturing. Retrieved from </w:t>
      </w:r>
      <w:hyperlink r:id="rId30" w:history="1">
        <w:r w:rsidR="00082764" w:rsidRPr="001063FF">
          <w:rPr>
            <w:rStyle w:val="Hyperlink"/>
            <w:rFonts w:ascii="Times New Roman" w:hAnsi="Times New Roman"/>
            <w:sz w:val="24"/>
            <w:szCs w:val="24"/>
          </w:rPr>
          <w:t>https://www.fda.gov/regulatory-information/search-fda-guidance-documents/microbiological-quality-considerations-non-sterile-drug-manufacturing</w:t>
        </w:r>
      </w:hyperlink>
      <w:r w:rsidR="00082764">
        <w:rPr>
          <w:rFonts w:ascii="Times New Roman" w:hAnsi="Times New Roman"/>
          <w:sz w:val="24"/>
          <w:szCs w:val="24"/>
        </w:rPr>
        <w:t xml:space="preserve"> </w:t>
      </w:r>
    </w:p>
    <w:p w14:paraId="509B4733" w14:textId="1ADECD06" w:rsidR="00586E92" w:rsidRDefault="00BF1613">
      <w:pPr>
        <w:spacing w:line="240" w:lineRule="auto"/>
        <w:jc w:val="both"/>
        <w:rPr>
          <w:rFonts w:ascii="Times New Roman" w:hAnsi="Times New Roman"/>
          <w:sz w:val="24"/>
          <w:szCs w:val="24"/>
        </w:rPr>
      </w:pPr>
      <w:r>
        <w:rPr>
          <w:rFonts w:ascii="Times New Roman" w:hAnsi="Times New Roman"/>
          <w:sz w:val="24"/>
          <w:szCs w:val="24"/>
        </w:rPr>
        <w:t xml:space="preserve">U.S. Food and Drug Administration. (2011). Sterilization of Medical Devices: Process Validation Guidance. Retrieved from </w:t>
      </w:r>
      <w:hyperlink r:id="rId31" w:history="1">
        <w:r w:rsidR="00082764" w:rsidRPr="001063FF">
          <w:rPr>
            <w:rStyle w:val="Hyperlink"/>
            <w:rFonts w:ascii="Times New Roman" w:hAnsi="Times New Roman"/>
            <w:sz w:val="24"/>
            <w:szCs w:val="24"/>
          </w:rPr>
          <w:t>https://www.fda.gov/media/70793/download</w:t>
        </w:r>
      </w:hyperlink>
      <w:r w:rsidR="00082764">
        <w:rPr>
          <w:rFonts w:ascii="Times New Roman" w:hAnsi="Times New Roman"/>
          <w:sz w:val="24"/>
          <w:szCs w:val="24"/>
        </w:rPr>
        <w:t xml:space="preserve"> </w:t>
      </w:r>
    </w:p>
    <w:p w14:paraId="70075C52" w14:textId="323517CB" w:rsidR="00586E92" w:rsidRDefault="00BF1613">
      <w:pPr>
        <w:spacing w:line="240" w:lineRule="auto"/>
        <w:jc w:val="both"/>
        <w:rPr>
          <w:rFonts w:ascii="Times New Roman" w:hAnsi="Times New Roman"/>
          <w:sz w:val="24"/>
          <w:szCs w:val="24"/>
        </w:rPr>
      </w:pPr>
      <w:r>
        <w:rPr>
          <w:rFonts w:ascii="Times New Roman" w:hAnsi="Times New Roman"/>
          <w:sz w:val="24"/>
          <w:szCs w:val="24"/>
        </w:rPr>
        <w:t xml:space="preserve">U.S. Food and Drug Administration. (2016). Guidance for Industry: Sterile Drug Products Produced by Aseptic Processing—Current Good Manufacturing Practice. Retrieved from </w:t>
      </w:r>
      <w:hyperlink r:id="rId32" w:history="1">
        <w:r w:rsidR="00082764" w:rsidRPr="001063FF">
          <w:rPr>
            <w:rStyle w:val="Hyperlink"/>
            <w:rFonts w:ascii="Times New Roman" w:hAnsi="Times New Roman"/>
            <w:sz w:val="24"/>
            <w:szCs w:val="24"/>
          </w:rPr>
          <w:t>https://www.fda.gov/media/71032/download</w:t>
        </w:r>
      </w:hyperlink>
      <w:r w:rsidR="00082764">
        <w:rPr>
          <w:rFonts w:ascii="Times New Roman" w:hAnsi="Times New Roman"/>
          <w:sz w:val="24"/>
          <w:szCs w:val="24"/>
        </w:rPr>
        <w:t xml:space="preserve"> </w:t>
      </w:r>
    </w:p>
    <w:p w14:paraId="656DAC19" w14:textId="5026A0DA" w:rsidR="00586E92" w:rsidRDefault="00BF1613">
      <w:pPr>
        <w:spacing w:line="240" w:lineRule="auto"/>
        <w:jc w:val="both"/>
        <w:rPr>
          <w:rFonts w:ascii="Times New Roman" w:hAnsi="Times New Roman"/>
          <w:sz w:val="24"/>
          <w:szCs w:val="24"/>
        </w:rPr>
      </w:pPr>
      <w:r w:rsidRPr="00476B3F">
        <w:rPr>
          <w:rFonts w:ascii="Times New Roman" w:hAnsi="Times New Roman"/>
          <w:sz w:val="24"/>
          <w:szCs w:val="24"/>
          <w:highlight w:val="yellow"/>
        </w:rPr>
        <w:t xml:space="preserve">U.S. Food and Drug Administration. (2021). Microbiological Quality Considerations in Non-Sterile Drug Manufacturing. Retrieved from </w:t>
      </w:r>
      <w:hyperlink r:id="rId33" w:history="1">
        <w:r w:rsidR="00476B3F" w:rsidRPr="001063FF">
          <w:rPr>
            <w:rStyle w:val="Hyperlink"/>
            <w:rFonts w:ascii="Times New Roman" w:hAnsi="Times New Roman"/>
            <w:sz w:val="24"/>
            <w:szCs w:val="24"/>
            <w:highlight w:val="yellow"/>
          </w:rPr>
          <w:t>https://www.fda.gov/regulatory-information/search-fda-guidance-documents/microbiological-quality-considerations-non-sterile-drug-manufacturing</w:t>
        </w:r>
      </w:hyperlink>
      <w:r w:rsidR="00476B3F">
        <w:rPr>
          <w:rFonts w:ascii="Times New Roman" w:hAnsi="Times New Roman"/>
          <w:sz w:val="24"/>
          <w:szCs w:val="24"/>
        </w:rPr>
        <w:t xml:space="preserve"> </w:t>
      </w:r>
    </w:p>
    <w:p w14:paraId="3B703418" w14:textId="0AC12D52" w:rsidR="00586E92" w:rsidRDefault="00BF1613">
      <w:pPr>
        <w:spacing w:line="240" w:lineRule="auto"/>
        <w:jc w:val="both"/>
        <w:rPr>
          <w:rFonts w:ascii="Times New Roman" w:hAnsi="Times New Roman"/>
          <w:sz w:val="24"/>
          <w:szCs w:val="24"/>
        </w:rPr>
      </w:pPr>
      <w:r>
        <w:rPr>
          <w:rFonts w:ascii="Times New Roman" w:hAnsi="Times New Roman"/>
          <w:sz w:val="24"/>
          <w:szCs w:val="24"/>
        </w:rPr>
        <w:t xml:space="preserve">U.S. Food and Drug Administration. (2024). Questions and Answers on Current Good Manufacturing Practice Regulations. Retrieved from </w:t>
      </w:r>
      <w:hyperlink r:id="rId34" w:history="1">
        <w:r w:rsidR="00082764" w:rsidRPr="001063FF">
          <w:rPr>
            <w:rStyle w:val="Hyperlink"/>
            <w:rFonts w:ascii="Times New Roman" w:hAnsi="Times New Roman"/>
            <w:sz w:val="24"/>
            <w:szCs w:val="24"/>
          </w:rPr>
          <w:t>https://www.fda.gov/drugs/guidances-drugs/questions-and-answers-current-good-manufacturing-practice-regulations-production-and-process</w:t>
        </w:r>
      </w:hyperlink>
      <w:r w:rsidR="00082764">
        <w:rPr>
          <w:rFonts w:ascii="Times New Roman" w:hAnsi="Times New Roman"/>
          <w:sz w:val="24"/>
          <w:szCs w:val="24"/>
        </w:rPr>
        <w:t xml:space="preserve"> </w:t>
      </w:r>
    </w:p>
    <w:p w14:paraId="5A8B3D9B" w14:textId="5E239FF8" w:rsidR="00586E92" w:rsidRDefault="00BF1613">
      <w:pPr>
        <w:spacing w:line="240" w:lineRule="auto"/>
        <w:jc w:val="both"/>
        <w:rPr>
          <w:rFonts w:ascii="Times New Roman" w:hAnsi="Times New Roman"/>
          <w:sz w:val="24"/>
          <w:szCs w:val="24"/>
        </w:rPr>
      </w:pPr>
      <w:r>
        <w:rPr>
          <w:rFonts w:ascii="Times New Roman" w:hAnsi="Times New Roman"/>
          <w:sz w:val="24"/>
          <w:szCs w:val="24"/>
        </w:rPr>
        <w:t xml:space="preserve">World Health Organization. (2006a). Annex 4: Supplementary Guidelines on Good Manufacturing Practices: Validation. In WHO Technical Report Series, No. 937. Retrieved from </w:t>
      </w:r>
      <w:hyperlink r:id="rId35" w:history="1">
        <w:r w:rsidR="00082764" w:rsidRPr="001063FF">
          <w:rPr>
            <w:rStyle w:val="Hyperlink"/>
            <w:rFonts w:ascii="Times New Roman" w:hAnsi="Times New Roman"/>
            <w:sz w:val="24"/>
            <w:szCs w:val="24"/>
          </w:rPr>
          <w:t>https://www.who.int/docs/default-source/medicines/norms-and-standards/guidelines/production/trs937-annex4-validation.pdf</w:t>
        </w:r>
      </w:hyperlink>
      <w:r w:rsidR="00082764">
        <w:rPr>
          <w:rFonts w:ascii="Times New Roman" w:hAnsi="Times New Roman"/>
          <w:sz w:val="24"/>
          <w:szCs w:val="24"/>
        </w:rPr>
        <w:t xml:space="preserve"> </w:t>
      </w:r>
    </w:p>
    <w:p w14:paraId="2AC748B0" w14:textId="60B5A745" w:rsidR="00586E92" w:rsidRDefault="00BF1613">
      <w:pPr>
        <w:spacing w:line="240" w:lineRule="auto"/>
        <w:jc w:val="both"/>
        <w:rPr>
          <w:rFonts w:ascii="Times New Roman" w:hAnsi="Times New Roman"/>
          <w:sz w:val="24"/>
          <w:szCs w:val="24"/>
        </w:rPr>
      </w:pPr>
      <w:r>
        <w:rPr>
          <w:rFonts w:ascii="Times New Roman" w:hAnsi="Times New Roman"/>
          <w:sz w:val="24"/>
          <w:szCs w:val="24"/>
        </w:rPr>
        <w:t xml:space="preserve">World Health Organization. (2006b). Annex 8: Good Manufacturing Practices for Heating, Ventilation and Air-Conditioning Systems for Non-Sterile Pharmaceutical Products. In WHO Technical Report Series, No. 937. Retrieved from </w:t>
      </w:r>
      <w:hyperlink r:id="rId36" w:history="1">
        <w:r w:rsidR="00082764" w:rsidRPr="001063FF">
          <w:rPr>
            <w:rStyle w:val="Hyperlink"/>
            <w:rFonts w:ascii="Times New Roman" w:hAnsi="Times New Roman"/>
            <w:sz w:val="24"/>
            <w:szCs w:val="24"/>
          </w:rPr>
          <w:t>https://www.who.int/docs/default-source/medicines/norms-and-standards/guidelines/production/trs937-annex8-gmp-heating-ventilation-air-conditioning.pdf</w:t>
        </w:r>
      </w:hyperlink>
      <w:r w:rsidR="00082764">
        <w:rPr>
          <w:rFonts w:ascii="Times New Roman" w:hAnsi="Times New Roman"/>
          <w:sz w:val="24"/>
          <w:szCs w:val="24"/>
        </w:rPr>
        <w:t xml:space="preserve"> </w:t>
      </w:r>
    </w:p>
    <w:p w14:paraId="3A3C5890" w14:textId="10FE7F4F" w:rsidR="00586E92" w:rsidRDefault="00BF1613">
      <w:pPr>
        <w:spacing w:line="240" w:lineRule="auto"/>
        <w:jc w:val="both"/>
        <w:rPr>
          <w:rFonts w:ascii="Times New Roman" w:hAnsi="Times New Roman"/>
          <w:sz w:val="24"/>
          <w:szCs w:val="24"/>
        </w:rPr>
      </w:pPr>
      <w:r>
        <w:rPr>
          <w:rFonts w:ascii="Times New Roman" w:hAnsi="Times New Roman"/>
          <w:sz w:val="24"/>
          <w:szCs w:val="24"/>
        </w:rPr>
        <w:t>World Health Organization. (20</w:t>
      </w:r>
      <w:r w:rsidR="0067530A">
        <w:rPr>
          <w:rFonts w:ascii="Times New Roman" w:hAnsi="Times New Roman"/>
          <w:sz w:val="24"/>
          <w:szCs w:val="24"/>
        </w:rPr>
        <w:t>11a</w:t>
      </w:r>
      <w:r>
        <w:rPr>
          <w:rFonts w:ascii="Times New Roman" w:hAnsi="Times New Roman"/>
          <w:sz w:val="24"/>
          <w:szCs w:val="24"/>
        </w:rPr>
        <w:t xml:space="preserve">). Annex 2: Good Practices for Pharmaceutical Microbiology Laboratories. In WHO Technical Report Series, No. 961. Retrieved from </w:t>
      </w:r>
      <w:hyperlink r:id="rId37" w:history="1">
        <w:r w:rsidR="00082764" w:rsidRPr="001063FF">
          <w:rPr>
            <w:rStyle w:val="Hyperlink"/>
            <w:rFonts w:ascii="Times New Roman" w:hAnsi="Times New Roman"/>
            <w:sz w:val="24"/>
            <w:szCs w:val="24"/>
          </w:rPr>
          <w:t>https://www.who.int/docs/default-source/medicines/norms-and-standards/guidelines/quality-control/trs961-annex2-goodpractices-pharmaceutical-microbiology-laboratories.pdf</w:t>
        </w:r>
      </w:hyperlink>
      <w:r w:rsidR="00082764">
        <w:rPr>
          <w:rFonts w:ascii="Times New Roman" w:hAnsi="Times New Roman"/>
          <w:sz w:val="24"/>
          <w:szCs w:val="24"/>
        </w:rPr>
        <w:t xml:space="preserve"> </w:t>
      </w:r>
    </w:p>
    <w:p w14:paraId="381E50DF" w14:textId="0E66AAA1" w:rsidR="00586E92" w:rsidRDefault="00BF1613">
      <w:pPr>
        <w:spacing w:line="240" w:lineRule="auto"/>
        <w:jc w:val="both"/>
        <w:rPr>
          <w:rFonts w:ascii="Times New Roman" w:hAnsi="Times New Roman"/>
          <w:sz w:val="24"/>
          <w:szCs w:val="24"/>
        </w:rPr>
      </w:pPr>
      <w:r>
        <w:rPr>
          <w:rFonts w:ascii="Times New Roman" w:hAnsi="Times New Roman"/>
          <w:sz w:val="24"/>
          <w:szCs w:val="24"/>
        </w:rPr>
        <w:t>World Health Organization. (</w:t>
      </w:r>
      <w:r w:rsidR="006D15CD">
        <w:rPr>
          <w:rFonts w:ascii="Times New Roman" w:hAnsi="Times New Roman"/>
          <w:sz w:val="24"/>
          <w:szCs w:val="24"/>
        </w:rPr>
        <w:t>2011</w:t>
      </w:r>
      <w:r w:rsidR="0067530A">
        <w:rPr>
          <w:rFonts w:ascii="Times New Roman" w:hAnsi="Times New Roman"/>
          <w:sz w:val="24"/>
          <w:szCs w:val="24"/>
        </w:rPr>
        <w:t>b</w:t>
      </w:r>
      <w:r>
        <w:rPr>
          <w:rFonts w:ascii="Times New Roman" w:hAnsi="Times New Roman"/>
          <w:sz w:val="24"/>
          <w:szCs w:val="24"/>
        </w:rPr>
        <w:t xml:space="preserve">). Annex 6: Good Manufacturing Practices for Sterile </w:t>
      </w:r>
      <w:r w:rsidRPr="006D15CD">
        <w:rPr>
          <w:rFonts w:ascii="Times New Roman" w:hAnsi="Times New Roman"/>
          <w:sz w:val="24"/>
          <w:szCs w:val="24"/>
          <w:highlight w:val="yellow"/>
        </w:rPr>
        <w:t xml:space="preserve">Pharmaceutical Products. In WHO Technical Report Series, No. 961. Retrieved from </w:t>
      </w:r>
      <w:hyperlink r:id="rId38" w:history="1">
        <w:r w:rsidR="00082764" w:rsidRPr="006D15CD">
          <w:rPr>
            <w:rStyle w:val="Hyperlink"/>
            <w:rFonts w:ascii="Times New Roman" w:hAnsi="Times New Roman"/>
            <w:sz w:val="24"/>
            <w:szCs w:val="24"/>
            <w:highlight w:val="yellow"/>
          </w:rPr>
          <w:t>https://www.who.int/docs/default-source/medicines/norms-and-standards/guidelines/production/trs961-annex6-gmp-sterile-pharmaceutical-products.pdf</w:t>
        </w:r>
      </w:hyperlink>
      <w:r w:rsidR="00082764">
        <w:rPr>
          <w:rFonts w:ascii="Times New Roman" w:hAnsi="Times New Roman"/>
          <w:sz w:val="24"/>
          <w:szCs w:val="24"/>
        </w:rPr>
        <w:t xml:space="preserve"> </w:t>
      </w:r>
    </w:p>
    <w:p w14:paraId="7E115C91" w14:textId="2CE6515E" w:rsidR="00586E92" w:rsidRDefault="00BF1613">
      <w:pPr>
        <w:spacing w:line="240" w:lineRule="auto"/>
        <w:jc w:val="both"/>
        <w:rPr>
          <w:rFonts w:ascii="Times New Roman" w:hAnsi="Times New Roman"/>
          <w:sz w:val="24"/>
          <w:szCs w:val="24"/>
        </w:rPr>
      </w:pPr>
      <w:r>
        <w:rPr>
          <w:rFonts w:ascii="Times New Roman" w:hAnsi="Times New Roman"/>
          <w:sz w:val="24"/>
          <w:szCs w:val="24"/>
        </w:rPr>
        <w:lastRenderedPageBreak/>
        <w:t xml:space="preserve">World Health Organization. (2021). Annex 4: Guidelines on the Manufacture of Sterile Pharmaceutical Products. In WHO Technical Report Series, No. 1027. Retrieved from </w:t>
      </w:r>
      <w:hyperlink r:id="rId39" w:history="1">
        <w:r w:rsidR="001D2C32" w:rsidRPr="001063FF">
          <w:rPr>
            <w:rStyle w:val="Hyperlink"/>
            <w:rFonts w:ascii="Times New Roman" w:hAnsi="Times New Roman"/>
            <w:sz w:val="24"/>
            <w:szCs w:val="24"/>
          </w:rPr>
          <w:t>https://www.who.int/docs/default-source/medicines/norms-and-standards/guidelines/production/trs1027-annex4-gmp-sterile.pdf</w:t>
        </w:r>
      </w:hyperlink>
    </w:p>
    <w:p w14:paraId="03CCC0E7" w14:textId="27871C83" w:rsidR="001D2C32" w:rsidRPr="00082764" w:rsidRDefault="001D2C32">
      <w:pPr>
        <w:spacing w:line="240" w:lineRule="auto"/>
        <w:jc w:val="both"/>
        <w:rPr>
          <w:rFonts w:ascii="Times New Roman" w:hAnsi="Times New Roman"/>
          <w:sz w:val="24"/>
          <w:szCs w:val="24"/>
          <w:highlight w:val="yellow"/>
        </w:rPr>
      </w:pPr>
      <w:proofErr w:type="spellStart"/>
      <w:r w:rsidRPr="001D2C32">
        <w:rPr>
          <w:rFonts w:ascii="Times New Roman" w:hAnsi="Times New Roman"/>
          <w:sz w:val="24"/>
          <w:szCs w:val="24"/>
          <w:highlight w:val="yellow"/>
        </w:rPr>
        <w:t>Okunlola</w:t>
      </w:r>
      <w:proofErr w:type="spellEnd"/>
      <w:r w:rsidRPr="001D2C32">
        <w:rPr>
          <w:rFonts w:ascii="Times New Roman" w:hAnsi="Times New Roman"/>
          <w:sz w:val="24"/>
          <w:szCs w:val="24"/>
          <w:highlight w:val="yellow"/>
        </w:rPr>
        <w:t xml:space="preserve">, A., </w:t>
      </w:r>
      <w:proofErr w:type="spellStart"/>
      <w:r w:rsidRPr="001D2C32">
        <w:rPr>
          <w:rFonts w:ascii="Times New Roman" w:hAnsi="Times New Roman"/>
          <w:sz w:val="24"/>
          <w:szCs w:val="24"/>
          <w:highlight w:val="yellow"/>
        </w:rPr>
        <w:t>Adewoyin</w:t>
      </w:r>
      <w:proofErr w:type="spellEnd"/>
      <w:r w:rsidRPr="001D2C32">
        <w:rPr>
          <w:rFonts w:ascii="Times New Roman" w:hAnsi="Times New Roman"/>
          <w:sz w:val="24"/>
          <w:szCs w:val="24"/>
          <w:highlight w:val="yellow"/>
        </w:rPr>
        <w:t xml:space="preserve">, B. A., &amp; Odeku, O. A. (2007). Evaluation of pharmaceutical and microbial qualities of some herbal medicinal products in </w:t>
      </w:r>
      <w:r>
        <w:rPr>
          <w:rFonts w:ascii="Times New Roman" w:hAnsi="Times New Roman"/>
          <w:sz w:val="24"/>
          <w:szCs w:val="24"/>
          <w:highlight w:val="yellow"/>
        </w:rPr>
        <w:t>southwestern</w:t>
      </w:r>
      <w:r w:rsidRPr="001D2C32">
        <w:rPr>
          <w:rFonts w:ascii="Times New Roman" w:hAnsi="Times New Roman"/>
          <w:sz w:val="24"/>
          <w:szCs w:val="24"/>
          <w:highlight w:val="yellow"/>
        </w:rPr>
        <w:t xml:space="preserve"> Nigeria. Tropical Journal </w:t>
      </w:r>
      <w:r w:rsidRPr="00082764">
        <w:rPr>
          <w:rFonts w:ascii="Times New Roman" w:hAnsi="Times New Roman"/>
          <w:sz w:val="24"/>
          <w:szCs w:val="24"/>
          <w:highlight w:val="yellow"/>
        </w:rPr>
        <w:t>of Pharmaceutical Research, 6(1), 661-670.</w:t>
      </w:r>
    </w:p>
    <w:p w14:paraId="1F037AC7" w14:textId="16902465" w:rsidR="004739E5" w:rsidRDefault="008F0526">
      <w:pPr>
        <w:spacing w:line="240" w:lineRule="auto"/>
        <w:jc w:val="both"/>
        <w:rPr>
          <w:rFonts w:ascii="Times New Roman" w:hAnsi="Times New Roman"/>
          <w:sz w:val="24"/>
          <w:szCs w:val="24"/>
        </w:rPr>
      </w:pPr>
      <w:r w:rsidRPr="00082764">
        <w:rPr>
          <w:rFonts w:ascii="Times New Roman" w:hAnsi="Times New Roman"/>
          <w:sz w:val="24"/>
          <w:szCs w:val="24"/>
          <w:highlight w:val="yellow"/>
        </w:rPr>
        <w:t xml:space="preserve">Mukhtar, G. L., Mukhtar, M. D., &amp; </w:t>
      </w:r>
      <w:proofErr w:type="spellStart"/>
      <w:r w:rsidRPr="00082764">
        <w:rPr>
          <w:rFonts w:ascii="Times New Roman" w:hAnsi="Times New Roman"/>
          <w:sz w:val="24"/>
          <w:szCs w:val="24"/>
          <w:highlight w:val="yellow"/>
        </w:rPr>
        <w:t>Magashi</w:t>
      </w:r>
      <w:proofErr w:type="spellEnd"/>
      <w:r w:rsidRPr="00082764">
        <w:rPr>
          <w:rFonts w:ascii="Times New Roman" w:hAnsi="Times New Roman"/>
          <w:sz w:val="24"/>
          <w:szCs w:val="24"/>
          <w:highlight w:val="yellow"/>
        </w:rPr>
        <w:t xml:space="preserve">, A. M. (2019). Microbiological quality of over-the-counter (OTC) oral drug preparations obtained from some retail pharmacies in </w:t>
      </w:r>
      <w:proofErr w:type="spellStart"/>
      <w:r w:rsidRPr="00082764">
        <w:rPr>
          <w:rFonts w:ascii="Times New Roman" w:hAnsi="Times New Roman"/>
          <w:sz w:val="24"/>
          <w:szCs w:val="24"/>
          <w:highlight w:val="yellow"/>
        </w:rPr>
        <w:t>Katsina</w:t>
      </w:r>
      <w:proofErr w:type="spellEnd"/>
      <w:r w:rsidRPr="00082764">
        <w:rPr>
          <w:rFonts w:ascii="Times New Roman" w:hAnsi="Times New Roman"/>
          <w:sz w:val="24"/>
          <w:szCs w:val="24"/>
          <w:highlight w:val="yellow"/>
        </w:rPr>
        <w:t xml:space="preserve"> State, Nigeria. Nigerian Journal of Microbiology, 33(2), 4732–4741</w:t>
      </w:r>
    </w:p>
    <w:p w14:paraId="1E863585" w14:textId="22641FC1" w:rsidR="00C03B2B" w:rsidRPr="00054BCC" w:rsidRDefault="00C03B2B">
      <w:pPr>
        <w:spacing w:line="240" w:lineRule="auto"/>
        <w:jc w:val="both"/>
        <w:rPr>
          <w:rFonts w:ascii="Times New Roman" w:hAnsi="Times New Roman"/>
          <w:sz w:val="24"/>
          <w:szCs w:val="24"/>
          <w:highlight w:val="yellow"/>
        </w:rPr>
      </w:pPr>
      <w:r w:rsidRPr="00054BCC">
        <w:rPr>
          <w:rFonts w:ascii="Times New Roman" w:hAnsi="Times New Roman"/>
          <w:sz w:val="24"/>
          <w:szCs w:val="24"/>
          <w:highlight w:val="yellow"/>
        </w:rPr>
        <w:t>Song, Y., Zhang, Z., Liu, Y., Peng, F., &amp; Feng, Y. (2024</w:t>
      </w:r>
      <w:r w:rsidR="00BC2A14">
        <w:rPr>
          <w:rFonts w:ascii="Times New Roman" w:hAnsi="Times New Roman"/>
          <w:sz w:val="24"/>
          <w:szCs w:val="24"/>
          <w:highlight w:val="yellow"/>
        </w:rPr>
        <w:t>b</w:t>
      </w:r>
      <w:r w:rsidRPr="00054BCC">
        <w:rPr>
          <w:rFonts w:ascii="Times New Roman" w:hAnsi="Times New Roman"/>
          <w:sz w:val="24"/>
          <w:szCs w:val="24"/>
          <w:highlight w:val="yellow"/>
        </w:rPr>
        <w:t>). Enhancement of anaerobic treatment of antibiotic pharmaceutical wastewater through the development of iron-based and carbon-based materials: A critical review. Journal of Hazardous Materials, 135514.</w:t>
      </w:r>
    </w:p>
    <w:p w14:paraId="4E74B3B7" w14:textId="2CC8E844" w:rsidR="00C03B2B" w:rsidRPr="00054BCC" w:rsidRDefault="00C03B2B">
      <w:pPr>
        <w:spacing w:line="240" w:lineRule="auto"/>
        <w:jc w:val="both"/>
        <w:rPr>
          <w:rFonts w:ascii="Times New Roman" w:hAnsi="Times New Roman"/>
          <w:sz w:val="24"/>
          <w:szCs w:val="24"/>
          <w:highlight w:val="yellow"/>
        </w:rPr>
      </w:pPr>
      <w:proofErr w:type="spellStart"/>
      <w:r w:rsidRPr="00054BCC">
        <w:rPr>
          <w:rFonts w:ascii="Times New Roman" w:hAnsi="Times New Roman"/>
          <w:sz w:val="24"/>
          <w:szCs w:val="24"/>
          <w:highlight w:val="yellow"/>
        </w:rPr>
        <w:t>Ekeleme</w:t>
      </w:r>
      <w:proofErr w:type="spellEnd"/>
      <w:r w:rsidRPr="00054BCC">
        <w:rPr>
          <w:rFonts w:ascii="Times New Roman" w:hAnsi="Times New Roman"/>
          <w:sz w:val="24"/>
          <w:szCs w:val="24"/>
          <w:highlight w:val="yellow"/>
        </w:rPr>
        <w:t xml:space="preserve">, U. G., </w:t>
      </w:r>
      <w:proofErr w:type="spellStart"/>
      <w:r w:rsidRPr="00054BCC">
        <w:rPr>
          <w:rFonts w:ascii="Times New Roman" w:hAnsi="Times New Roman"/>
          <w:sz w:val="24"/>
          <w:szCs w:val="24"/>
          <w:highlight w:val="yellow"/>
        </w:rPr>
        <w:t>Ikwuagwu</w:t>
      </w:r>
      <w:proofErr w:type="spellEnd"/>
      <w:r w:rsidRPr="00054BCC">
        <w:rPr>
          <w:rFonts w:ascii="Times New Roman" w:hAnsi="Times New Roman"/>
          <w:sz w:val="24"/>
          <w:szCs w:val="24"/>
          <w:highlight w:val="yellow"/>
        </w:rPr>
        <w:t xml:space="preserve">, V. O., </w:t>
      </w:r>
      <w:proofErr w:type="spellStart"/>
      <w:r w:rsidRPr="00054BCC">
        <w:rPr>
          <w:rFonts w:ascii="Times New Roman" w:hAnsi="Times New Roman"/>
          <w:sz w:val="24"/>
          <w:szCs w:val="24"/>
          <w:highlight w:val="yellow"/>
        </w:rPr>
        <w:t>Chukwuocha</w:t>
      </w:r>
      <w:proofErr w:type="spellEnd"/>
      <w:r w:rsidRPr="00054BCC">
        <w:rPr>
          <w:rFonts w:ascii="Times New Roman" w:hAnsi="Times New Roman"/>
          <w:sz w:val="24"/>
          <w:szCs w:val="24"/>
          <w:highlight w:val="yellow"/>
        </w:rPr>
        <w:t xml:space="preserve">, U. M., </w:t>
      </w:r>
      <w:proofErr w:type="spellStart"/>
      <w:r w:rsidRPr="00054BCC">
        <w:rPr>
          <w:rFonts w:ascii="Times New Roman" w:hAnsi="Times New Roman"/>
          <w:sz w:val="24"/>
          <w:szCs w:val="24"/>
          <w:highlight w:val="yellow"/>
        </w:rPr>
        <w:t>Nwakanma</w:t>
      </w:r>
      <w:proofErr w:type="spellEnd"/>
      <w:r w:rsidRPr="00054BCC">
        <w:rPr>
          <w:rFonts w:ascii="Times New Roman" w:hAnsi="Times New Roman"/>
          <w:sz w:val="24"/>
          <w:szCs w:val="24"/>
          <w:highlight w:val="yellow"/>
        </w:rPr>
        <w:t xml:space="preserve">, J. C., </w:t>
      </w:r>
      <w:proofErr w:type="spellStart"/>
      <w:r w:rsidRPr="00054BCC">
        <w:rPr>
          <w:rFonts w:ascii="Times New Roman" w:hAnsi="Times New Roman"/>
          <w:sz w:val="24"/>
          <w:szCs w:val="24"/>
          <w:highlight w:val="yellow"/>
        </w:rPr>
        <w:t>Adiruo</w:t>
      </w:r>
      <w:proofErr w:type="spellEnd"/>
      <w:r w:rsidRPr="00054BCC">
        <w:rPr>
          <w:rFonts w:ascii="Times New Roman" w:hAnsi="Times New Roman"/>
          <w:sz w:val="24"/>
          <w:szCs w:val="24"/>
          <w:highlight w:val="yellow"/>
        </w:rPr>
        <w:t xml:space="preserve">, S. A., </w:t>
      </w:r>
      <w:proofErr w:type="spellStart"/>
      <w:r w:rsidRPr="00054BCC">
        <w:rPr>
          <w:rFonts w:ascii="Times New Roman" w:hAnsi="Times New Roman"/>
          <w:sz w:val="24"/>
          <w:szCs w:val="24"/>
          <w:highlight w:val="yellow"/>
        </w:rPr>
        <w:t>Ogini</w:t>
      </w:r>
      <w:proofErr w:type="spellEnd"/>
      <w:r w:rsidRPr="00054BCC">
        <w:rPr>
          <w:rFonts w:ascii="Times New Roman" w:hAnsi="Times New Roman"/>
          <w:sz w:val="24"/>
          <w:szCs w:val="24"/>
          <w:highlight w:val="yellow"/>
        </w:rPr>
        <w:t xml:space="preserve">, I. O., &amp; </w:t>
      </w:r>
      <w:proofErr w:type="spellStart"/>
      <w:r w:rsidRPr="00054BCC">
        <w:rPr>
          <w:rFonts w:ascii="Times New Roman" w:hAnsi="Times New Roman"/>
          <w:sz w:val="24"/>
          <w:szCs w:val="24"/>
          <w:highlight w:val="yellow"/>
        </w:rPr>
        <w:t>Ude</w:t>
      </w:r>
      <w:proofErr w:type="spellEnd"/>
      <w:r w:rsidRPr="00054BCC">
        <w:rPr>
          <w:rFonts w:ascii="Times New Roman" w:hAnsi="Times New Roman"/>
          <w:sz w:val="24"/>
          <w:szCs w:val="24"/>
          <w:highlight w:val="yellow"/>
        </w:rPr>
        <w:t xml:space="preserve">, I. U. (2024). Detection and characterization of micro-organisms linked to unsealed drugs sold in </w:t>
      </w:r>
      <w:proofErr w:type="spellStart"/>
      <w:r w:rsidRPr="00054BCC">
        <w:rPr>
          <w:rFonts w:ascii="Times New Roman" w:hAnsi="Times New Roman"/>
          <w:sz w:val="24"/>
          <w:szCs w:val="24"/>
          <w:highlight w:val="yellow"/>
        </w:rPr>
        <w:t>Ihiagwa</w:t>
      </w:r>
      <w:proofErr w:type="spellEnd"/>
      <w:r w:rsidRPr="00054BCC">
        <w:rPr>
          <w:rFonts w:ascii="Times New Roman" w:hAnsi="Times New Roman"/>
          <w:sz w:val="24"/>
          <w:szCs w:val="24"/>
          <w:highlight w:val="yellow"/>
        </w:rPr>
        <w:t xml:space="preserve"> community, Owerri, Imo State, Nigeria. Access Microbiology, 6(2), 000752-v3.</w:t>
      </w:r>
    </w:p>
    <w:p w14:paraId="6924DC3B" w14:textId="5929F001" w:rsidR="00054BCC" w:rsidRDefault="00054BCC">
      <w:pPr>
        <w:spacing w:line="240" w:lineRule="auto"/>
        <w:jc w:val="both"/>
        <w:rPr>
          <w:rFonts w:ascii="Times New Roman" w:hAnsi="Times New Roman"/>
          <w:sz w:val="24"/>
          <w:szCs w:val="24"/>
        </w:rPr>
      </w:pPr>
      <w:r w:rsidRPr="00054BCC">
        <w:rPr>
          <w:rFonts w:ascii="Times New Roman" w:hAnsi="Times New Roman"/>
          <w:sz w:val="24"/>
          <w:szCs w:val="24"/>
          <w:highlight w:val="yellow"/>
        </w:rPr>
        <w:t xml:space="preserve">Murtaza, G., Khan, M. A., </w:t>
      </w:r>
      <w:proofErr w:type="spellStart"/>
      <w:r w:rsidRPr="00054BCC">
        <w:rPr>
          <w:rFonts w:ascii="Times New Roman" w:hAnsi="Times New Roman"/>
          <w:sz w:val="24"/>
          <w:szCs w:val="24"/>
          <w:highlight w:val="yellow"/>
        </w:rPr>
        <w:t>Nissa</w:t>
      </w:r>
      <w:proofErr w:type="spellEnd"/>
      <w:r w:rsidRPr="00054BCC">
        <w:rPr>
          <w:rFonts w:ascii="Times New Roman" w:hAnsi="Times New Roman"/>
          <w:sz w:val="24"/>
          <w:szCs w:val="24"/>
          <w:highlight w:val="yellow"/>
        </w:rPr>
        <w:t xml:space="preserve">, Z. –Un, </w:t>
      </w:r>
      <w:proofErr w:type="spellStart"/>
      <w:r w:rsidRPr="00054BCC">
        <w:rPr>
          <w:rFonts w:ascii="Times New Roman" w:hAnsi="Times New Roman"/>
          <w:sz w:val="24"/>
          <w:szCs w:val="24"/>
          <w:highlight w:val="yellow"/>
        </w:rPr>
        <w:t>Alam</w:t>
      </w:r>
      <w:proofErr w:type="spellEnd"/>
      <w:r w:rsidRPr="00054BCC">
        <w:rPr>
          <w:rFonts w:ascii="Times New Roman" w:hAnsi="Times New Roman"/>
          <w:sz w:val="24"/>
          <w:szCs w:val="24"/>
          <w:highlight w:val="yellow"/>
        </w:rPr>
        <w:t xml:space="preserve">, S., Murad, M., Rizvi, M., Shahnaz, S., Ali, S. I., </w:t>
      </w:r>
      <w:proofErr w:type="spellStart"/>
      <w:r w:rsidRPr="00054BCC">
        <w:rPr>
          <w:rFonts w:ascii="Times New Roman" w:hAnsi="Times New Roman"/>
          <w:sz w:val="24"/>
          <w:szCs w:val="24"/>
          <w:highlight w:val="yellow"/>
        </w:rPr>
        <w:t>Ghayas</w:t>
      </w:r>
      <w:proofErr w:type="spellEnd"/>
      <w:r w:rsidRPr="00054BCC">
        <w:rPr>
          <w:rFonts w:ascii="Times New Roman" w:hAnsi="Times New Roman"/>
          <w:sz w:val="24"/>
          <w:szCs w:val="24"/>
          <w:highlight w:val="yellow"/>
        </w:rPr>
        <w:t xml:space="preserve">, S., &amp; Suri, S. (2022). Microbial and Physicochemical Analysis of Non-sterile Pharmaceutical Liquid Products in Karachi Pakistan. Journal of Pharmaceutical Research International, 34(27A), 11–18. </w:t>
      </w:r>
      <w:hyperlink r:id="rId40" w:history="1">
        <w:r w:rsidRPr="00054BCC">
          <w:rPr>
            <w:rStyle w:val="Hyperlink"/>
            <w:rFonts w:ascii="Times New Roman" w:hAnsi="Times New Roman"/>
            <w:sz w:val="24"/>
            <w:szCs w:val="24"/>
            <w:highlight w:val="yellow"/>
          </w:rPr>
          <w:t>https://doi.org/10.9734/jpri/2022/v34i27A35989</w:t>
        </w:r>
      </w:hyperlink>
    </w:p>
    <w:p w14:paraId="3C81487E" w14:textId="77777777" w:rsidR="003561C3" w:rsidRPr="00D057BD" w:rsidRDefault="003561C3" w:rsidP="003561C3">
      <w:pPr>
        <w:spacing w:line="240" w:lineRule="auto"/>
        <w:jc w:val="both"/>
        <w:rPr>
          <w:rFonts w:ascii="Times New Roman" w:hAnsi="Times New Roman"/>
          <w:sz w:val="24"/>
          <w:szCs w:val="24"/>
          <w:highlight w:val="yellow"/>
        </w:rPr>
      </w:pPr>
      <w:proofErr w:type="spellStart"/>
      <w:r w:rsidRPr="00D057BD">
        <w:rPr>
          <w:rFonts w:ascii="Times New Roman" w:hAnsi="Times New Roman"/>
          <w:sz w:val="24"/>
          <w:szCs w:val="24"/>
          <w:highlight w:val="yellow"/>
        </w:rPr>
        <w:t>Długaszewska</w:t>
      </w:r>
      <w:proofErr w:type="spellEnd"/>
      <w:r w:rsidRPr="00D057BD">
        <w:rPr>
          <w:rFonts w:ascii="Times New Roman" w:hAnsi="Times New Roman"/>
          <w:sz w:val="24"/>
          <w:szCs w:val="24"/>
          <w:highlight w:val="yellow"/>
        </w:rPr>
        <w:t xml:space="preserve">, J., </w:t>
      </w:r>
      <w:proofErr w:type="spellStart"/>
      <w:r w:rsidRPr="00D057BD">
        <w:rPr>
          <w:rFonts w:ascii="Times New Roman" w:hAnsi="Times New Roman"/>
          <w:sz w:val="24"/>
          <w:szCs w:val="24"/>
          <w:highlight w:val="yellow"/>
        </w:rPr>
        <w:t>Muszynski</w:t>
      </w:r>
      <w:proofErr w:type="spellEnd"/>
      <w:r w:rsidRPr="00D057BD">
        <w:rPr>
          <w:rFonts w:ascii="Times New Roman" w:hAnsi="Times New Roman"/>
          <w:sz w:val="24"/>
          <w:szCs w:val="24"/>
          <w:highlight w:val="yellow"/>
        </w:rPr>
        <w:t xml:space="preserve">, Z., &amp; </w:t>
      </w:r>
      <w:proofErr w:type="spellStart"/>
      <w:r w:rsidRPr="00D057BD">
        <w:rPr>
          <w:rFonts w:ascii="Times New Roman" w:hAnsi="Times New Roman"/>
          <w:sz w:val="24"/>
          <w:szCs w:val="24"/>
          <w:highlight w:val="yellow"/>
        </w:rPr>
        <w:t>Ratajczak</w:t>
      </w:r>
      <w:proofErr w:type="spellEnd"/>
      <w:r w:rsidRPr="00D057BD">
        <w:rPr>
          <w:rFonts w:ascii="Times New Roman" w:hAnsi="Times New Roman"/>
          <w:sz w:val="24"/>
          <w:szCs w:val="24"/>
          <w:highlight w:val="yellow"/>
        </w:rPr>
        <w:t>, M. (2008). Microbiological purity of oral drugs manufactured in industrial and pharmacy environment. In 26th Congress of the Polish Society of Microbiologists: Microbes–Challenges and Hopes. Conference Materials. Szczecin (pp. 4-7).</w:t>
      </w:r>
    </w:p>
    <w:p w14:paraId="0159FD7D" w14:textId="6DFCBAB2" w:rsidR="00C03B2B" w:rsidRDefault="00944E37">
      <w:pPr>
        <w:spacing w:line="240" w:lineRule="auto"/>
        <w:jc w:val="both"/>
        <w:rPr>
          <w:rFonts w:ascii="Times New Roman" w:hAnsi="Times New Roman"/>
          <w:sz w:val="24"/>
          <w:szCs w:val="24"/>
        </w:rPr>
      </w:pPr>
      <w:r w:rsidRPr="00D057BD">
        <w:rPr>
          <w:rFonts w:ascii="Times New Roman" w:hAnsi="Times New Roman"/>
          <w:sz w:val="24"/>
          <w:szCs w:val="24"/>
          <w:highlight w:val="yellow"/>
        </w:rPr>
        <w:t xml:space="preserve">Salem, N. M. A., </w:t>
      </w:r>
      <w:proofErr w:type="spellStart"/>
      <w:r w:rsidRPr="00D057BD">
        <w:rPr>
          <w:rFonts w:ascii="Times New Roman" w:hAnsi="Times New Roman"/>
          <w:sz w:val="24"/>
          <w:szCs w:val="24"/>
          <w:highlight w:val="yellow"/>
        </w:rPr>
        <w:t>Elbarrawy</w:t>
      </w:r>
      <w:proofErr w:type="spellEnd"/>
      <w:r w:rsidRPr="00D057BD">
        <w:rPr>
          <w:rFonts w:ascii="Times New Roman" w:hAnsi="Times New Roman"/>
          <w:sz w:val="24"/>
          <w:szCs w:val="24"/>
          <w:highlight w:val="yellow"/>
        </w:rPr>
        <w:t>, M. A., &amp; Azzam, N. F. A. E. M. (2021). Microbiological quality of non-sterile pharmaceuticals in Egypt. Beni-</w:t>
      </w:r>
      <w:proofErr w:type="spellStart"/>
      <w:r w:rsidRPr="00D057BD">
        <w:rPr>
          <w:rFonts w:ascii="Times New Roman" w:hAnsi="Times New Roman"/>
          <w:sz w:val="24"/>
          <w:szCs w:val="24"/>
          <w:highlight w:val="yellow"/>
        </w:rPr>
        <w:t>Suef</w:t>
      </w:r>
      <w:proofErr w:type="spellEnd"/>
      <w:r w:rsidRPr="00D057BD">
        <w:rPr>
          <w:rFonts w:ascii="Times New Roman" w:hAnsi="Times New Roman"/>
          <w:sz w:val="24"/>
          <w:szCs w:val="24"/>
          <w:highlight w:val="yellow"/>
        </w:rPr>
        <w:t xml:space="preserve"> University Journal of Basic and Applied Sciences, 10(1), 38.</w:t>
      </w:r>
    </w:p>
    <w:p w14:paraId="3E7BFA81" w14:textId="77777777" w:rsidR="00D057BD" w:rsidRDefault="00D057BD">
      <w:pPr>
        <w:spacing w:line="240" w:lineRule="auto"/>
        <w:jc w:val="both"/>
        <w:rPr>
          <w:rFonts w:ascii="Times New Roman" w:hAnsi="Times New Roman"/>
          <w:sz w:val="24"/>
          <w:szCs w:val="24"/>
        </w:rPr>
      </w:pPr>
    </w:p>
    <w:p w14:paraId="115B8DC8" w14:textId="77777777" w:rsidR="00944E37" w:rsidRDefault="00944E37">
      <w:pPr>
        <w:spacing w:line="240" w:lineRule="auto"/>
        <w:jc w:val="both"/>
        <w:rPr>
          <w:rFonts w:ascii="Times New Roman" w:hAnsi="Times New Roman"/>
          <w:sz w:val="24"/>
          <w:szCs w:val="24"/>
        </w:rPr>
      </w:pPr>
    </w:p>
    <w:p w14:paraId="3BE9E201" w14:textId="77777777" w:rsidR="008F0526" w:rsidRDefault="008F0526">
      <w:pPr>
        <w:spacing w:line="240" w:lineRule="auto"/>
        <w:jc w:val="both"/>
        <w:rPr>
          <w:rFonts w:ascii="Times New Roman" w:hAnsi="Times New Roman"/>
          <w:sz w:val="24"/>
          <w:szCs w:val="24"/>
        </w:rPr>
      </w:pPr>
    </w:p>
    <w:p w14:paraId="1FFD5A92" w14:textId="77777777" w:rsidR="00B01CC4" w:rsidRDefault="00B01CC4">
      <w:pPr>
        <w:spacing w:line="240" w:lineRule="auto"/>
        <w:jc w:val="both"/>
        <w:rPr>
          <w:rFonts w:ascii="Times New Roman" w:hAnsi="Times New Roman"/>
          <w:sz w:val="24"/>
          <w:szCs w:val="24"/>
        </w:rPr>
      </w:pPr>
    </w:p>
    <w:p w14:paraId="7B19138B" w14:textId="77777777" w:rsidR="00586E92" w:rsidRDefault="00586E92">
      <w:pPr>
        <w:spacing w:line="240" w:lineRule="auto"/>
        <w:jc w:val="both"/>
        <w:rPr>
          <w:rFonts w:ascii="Times New Roman" w:hAnsi="Times New Roman"/>
          <w:sz w:val="24"/>
          <w:szCs w:val="24"/>
        </w:rPr>
      </w:pPr>
    </w:p>
    <w:p w14:paraId="0C0FB8DB" w14:textId="77777777" w:rsidR="00586E92" w:rsidRDefault="00586E92">
      <w:pPr>
        <w:spacing w:line="360" w:lineRule="auto"/>
        <w:jc w:val="both"/>
        <w:rPr>
          <w:rFonts w:ascii="Times New Roman" w:hAnsi="Times New Roman"/>
          <w:sz w:val="24"/>
          <w:szCs w:val="24"/>
        </w:rPr>
      </w:pPr>
    </w:p>
    <w:sectPr w:rsidR="00586E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06038" w14:textId="77777777" w:rsidR="000B5BFE" w:rsidRDefault="000B5BFE" w:rsidP="00D03771">
      <w:pPr>
        <w:spacing w:after="0" w:line="240" w:lineRule="auto"/>
      </w:pPr>
      <w:r>
        <w:separator/>
      </w:r>
    </w:p>
  </w:endnote>
  <w:endnote w:type="continuationSeparator" w:id="0">
    <w:p w14:paraId="511351CE" w14:textId="77777777" w:rsidR="000B5BFE" w:rsidRDefault="000B5BFE" w:rsidP="00D0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FFC2" w14:textId="77777777" w:rsidR="00D03771" w:rsidRDefault="00D03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F186" w14:textId="77777777" w:rsidR="00D03771" w:rsidRDefault="00D03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6982" w14:textId="77777777" w:rsidR="00D03771" w:rsidRDefault="00D0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97B91" w14:textId="77777777" w:rsidR="000B5BFE" w:rsidRDefault="000B5BFE" w:rsidP="00D03771">
      <w:pPr>
        <w:spacing w:after="0" w:line="240" w:lineRule="auto"/>
      </w:pPr>
      <w:r>
        <w:separator/>
      </w:r>
    </w:p>
  </w:footnote>
  <w:footnote w:type="continuationSeparator" w:id="0">
    <w:p w14:paraId="18240EB0" w14:textId="77777777" w:rsidR="000B5BFE" w:rsidRDefault="000B5BFE" w:rsidP="00D03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11A0" w14:textId="77777777" w:rsidR="00D03771" w:rsidRDefault="00CB679D">
    <w:pPr>
      <w:pStyle w:val="Header"/>
    </w:pPr>
    <w:r>
      <w:rPr>
        <w:noProof/>
      </w:rPr>
      <w:pict w14:anchorId="61B20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80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17C51" w14:textId="77777777" w:rsidR="00D03771" w:rsidRDefault="00CB679D">
    <w:pPr>
      <w:pStyle w:val="Header"/>
    </w:pPr>
    <w:r>
      <w:rPr>
        <w:noProof/>
      </w:rPr>
      <w:pict w14:anchorId="06AB7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80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85C0" w14:textId="77777777" w:rsidR="00D03771" w:rsidRDefault="00CB679D">
    <w:pPr>
      <w:pStyle w:val="Header"/>
    </w:pPr>
    <w:r>
      <w:rPr>
        <w:noProof/>
      </w:rPr>
      <w:pict w14:anchorId="7B21A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80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doNotShadeFormData/>
  <w:noPunctuationKerning/>
  <w:characterSpacingControl w:val="doNotCompress"/>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Tc2tjAzszA1MDVQ0lEKTi0uzszPAykwrgUABWUaVCwAAAA="/>
  </w:docVars>
  <w:rsids>
    <w:rsidRoot w:val="00586E92"/>
    <w:rsid w:val="00054BCC"/>
    <w:rsid w:val="00082764"/>
    <w:rsid w:val="000B5BFE"/>
    <w:rsid w:val="000F7C9C"/>
    <w:rsid w:val="00105D85"/>
    <w:rsid w:val="00172E09"/>
    <w:rsid w:val="00180949"/>
    <w:rsid w:val="001831B1"/>
    <w:rsid w:val="001B35F6"/>
    <w:rsid w:val="001D2C32"/>
    <w:rsid w:val="00253CDD"/>
    <w:rsid w:val="0025624A"/>
    <w:rsid w:val="002A5591"/>
    <w:rsid w:val="002B11F6"/>
    <w:rsid w:val="002D24DB"/>
    <w:rsid w:val="003561C3"/>
    <w:rsid w:val="003C3632"/>
    <w:rsid w:val="00403111"/>
    <w:rsid w:val="00403A58"/>
    <w:rsid w:val="004143BF"/>
    <w:rsid w:val="00461596"/>
    <w:rsid w:val="004739E5"/>
    <w:rsid w:val="00476B3F"/>
    <w:rsid w:val="00494ACB"/>
    <w:rsid w:val="00501C12"/>
    <w:rsid w:val="005051CB"/>
    <w:rsid w:val="0056015D"/>
    <w:rsid w:val="00566E24"/>
    <w:rsid w:val="00586E92"/>
    <w:rsid w:val="0058785A"/>
    <w:rsid w:val="005C5093"/>
    <w:rsid w:val="005E3060"/>
    <w:rsid w:val="00645CB2"/>
    <w:rsid w:val="0067530A"/>
    <w:rsid w:val="00685858"/>
    <w:rsid w:val="006C17BE"/>
    <w:rsid w:val="006D15CD"/>
    <w:rsid w:val="006E55FF"/>
    <w:rsid w:val="00703E0E"/>
    <w:rsid w:val="007061EC"/>
    <w:rsid w:val="0072016A"/>
    <w:rsid w:val="00786F08"/>
    <w:rsid w:val="007D7DDE"/>
    <w:rsid w:val="00826793"/>
    <w:rsid w:val="008F0526"/>
    <w:rsid w:val="009202D2"/>
    <w:rsid w:val="00924C9F"/>
    <w:rsid w:val="00944E37"/>
    <w:rsid w:val="009470DD"/>
    <w:rsid w:val="00964193"/>
    <w:rsid w:val="009C3B92"/>
    <w:rsid w:val="009F564E"/>
    <w:rsid w:val="00A41831"/>
    <w:rsid w:val="00A8452B"/>
    <w:rsid w:val="00A86721"/>
    <w:rsid w:val="00A97F36"/>
    <w:rsid w:val="00B01CC4"/>
    <w:rsid w:val="00B457AD"/>
    <w:rsid w:val="00BA0340"/>
    <w:rsid w:val="00BC2A14"/>
    <w:rsid w:val="00BE25E6"/>
    <w:rsid w:val="00BF1613"/>
    <w:rsid w:val="00BF4E3F"/>
    <w:rsid w:val="00C03B2B"/>
    <w:rsid w:val="00CB679D"/>
    <w:rsid w:val="00D03771"/>
    <w:rsid w:val="00D057BD"/>
    <w:rsid w:val="00D818C8"/>
    <w:rsid w:val="00D856F4"/>
    <w:rsid w:val="00DE7B70"/>
    <w:rsid w:val="00E404D4"/>
    <w:rsid w:val="00E514D7"/>
    <w:rsid w:val="00EA6F5A"/>
    <w:rsid w:val="00EE5FA2"/>
    <w:rsid w:val="00EF0075"/>
    <w:rsid w:val="00EF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14:docId w14:val="5225147A"/>
  <w15:docId w15:val="{5E491787-A3BD-4168-AD41-B0838DCB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8" w:space="4" w:color="4F81BD"/>
      </w:pBdr>
      <w:spacing w:after="300" w:line="240" w:lineRule="auto"/>
    </w:pPr>
    <w:rPr>
      <w:rFonts w:eastAsia="MS Gothic" w:cs="SimSun"/>
      <w:color w:val="17365D"/>
      <w:spacing w:val="5"/>
      <w:kern w:val="28"/>
      <w:sz w:val="52"/>
      <w:szCs w:val="52"/>
    </w:rPr>
  </w:style>
  <w:style w:type="character" w:styleId="Strong">
    <w:name w:val="Strong"/>
    <w:basedOn w:val="DefaultParagraphFont"/>
    <w:qFormat/>
    <w:rPr>
      <w:b/>
      <w:bCs/>
    </w:rPr>
  </w:style>
  <w:style w:type="character" w:styleId="Hyperlink">
    <w:name w:val="Hyperlink"/>
    <w:basedOn w:val="DefaultParagraphFont"/>
    <w:unhideWhenUsed/>
    <w:rsid w:val="00BF1613"/>
    <w:rPr>
      <w:color w:val="0000FF" w:themeColor="hyperlink"/>
      <w:u w:val="single"/>
    </w:rPr>
  </w:style>
  <w:style w:type="paragraph" w:styleId="Header">
    <w:name w:val="header"/>
    <w:basedOn w:val="Normal"/>
    <w:link w:val="HeaderChar"/>
    <w:rsid w:val="00D03771"/>
    <w:pPr>
      <w:tabs>
        <w:tab w:val="center" w:pos="4680"/>
        <w:tab w:val="right" w:pos="9360"/>
      </w:tabs>
      <w:spacing w:after="0" w:line="240" w:lineRule="auto"/>
    </w:pPr>
  </w:style>
  <w:style w:type="character" w:customStyle="1" w:styleId="HeaderChar">
    <w:name w:val="Header Char"/>
    <w:basedOn w:val="DefaultParagraphFont"/>
    <w:link w:val="Header"/>
    <w:rsid w:val="00D03771"/>
    <w:rPr>
      <w:rFonts w:ascii="Calibri" w:hAnsi="Calibri"/>
      <w:sz w:val="22"/>
      <w:szCs w:val="22"/>
      <w:lang w:eastAsia="zh-CN"/>
    </w:rPr>
  </w:style>
  <w:style w:type="paragraph" w:styleId="Footer">
    <w:name w:val="footer"/>
    <w:basedOn w:val="Normal"/>
    <w:link w:val="FooterChar"/>
    <w:rsid w:val="00D03771"/>
    <w:pPr>
      <w:tabs>
        <w:tab w:val="center" w:pos="4680"/>
        <w:tab w:val="right" w:pos="9360"/>
      </w:tabs>
      <w:spacing w:after="0" w:line="240" w:lineRule="auto"/>
    </w:pPr>
  </w:style>
  <w:style w:type="character" w:customStyle="1" w:styleId="FooterChar">
    <w:name w:val="Footer Char"/>
    <w:basedOn w:val="DefaultParagraphFont"/>
    <w:link w:val="Footer"/>
    <w:rsid w:val="00D03771"/>
    <w:rPr>
      <w:rFonts w:ascii="Calibri" w:hAnsi="Calibri"/>
      <w:sz w:val="22"/>
      <w:szCs w:val="22"/>
      <w:lang w:eastAsia="zh-CN"/>
    </w:rPr>
  </w:style>
  <w:style w:type="character" w:customStyle="1" w:styleId="UnresolvedMention1">
    <w:name w:val="Unresolved Mention1"/>
    <w:basedOn w:val="DefaultParagraphFont"/>
    <w:uiPriority w:val="99"/>
    <w:semiHidden/>
    <w:unhideWhenUsed/>
    <w:rsid w:val="001D2C32"/>
    <w:rPr>
      <w:color w:val="605E5C"/>
      <w:shd w:val="clear" w:color="auto" w:fill="E1DFDD"/>
    </w:rPr>
  </w:style>
  <w:style w:type="paragraph" w:styleId="Revision">
    <w:name w:val="Revision"/>
    <w:hidden/>
    <w:uiPriority w:val="99"/>
    <w:semiHidden/>
    <w:rsid w:val="00105D85"/>
    <w:pPr>
      <w:spacing w:after="0" w:line="240" w:lineRule="auto"/>
    </w:pPr>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5898">
      <w:bodyDiv w:val="1"/>
      <w:marLeft w:val="0"/>
      <w:marRight w:val="0"/>
      <w:marTop w:val="0"/>
      <w:marBottom w:val="0"/>
      <w:divBdr>
        <w:top w:val="none" w:sz="0" w:space="0" w:color="auto"/>
        <w:left w:val="none" w:sz="0" w:space="0" w:color="auto"/>
        <w:bottom w:val="none" w:sz="0" w:space="0" w:color="auto"/>
        <w:right w:val="none" w:sz="0" w:space="0" w:color="auto"/>
      </w:divBdr>
    </w:div>
    <w:div w:id="1340542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dsco.gov.in/" TargetMode="External"/><Relationship Id="rId26" Type="http://schemas.openxmlformats.org/officeDocument/2006/relationships/hyperlink" Target="https://ispe.org/pharmaceutical-engineering/march-april-2023/contamination-trends-proposed-solutions" TargetMode="External"/><Relationship Id="rId39" Type="http://schemas.openxmlformats.org/officeDocument/2006/relationships/hyperlink" Target="https://www.who.int/docs/default-source/medicines/norms-and-standards/guidelines/production/trs1027-annex4-gmp-sterile.pdf" TargetMode="External"/><Relationship Id="rId21" Type="http://schemas.openxmlformats.org/officeDocument/2006/relationships/hyperlink" Target="https://www.ema.europa.eu/en/documents/scientific-guideline/guideline-sterilisation-medicinal-product-active-substance-excipient-and-primary-container_en.pdf" TargetMode="External"/><Relationship Id="rId34" Type="http://schemas.openxmlformats.org/officeDocument/2006/relationships/hyperlink" Target="https://www.fda.gov/drugs/guidances-drugs/questions-and-answers-current-good-manufacturing-practice-regulations-production-and-proces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cdsco.gov.in/" TargetMode="External"/><Relationship Id="rId29" Type="http://schemas.openxmlformats.org/officeDocument/2006/relationships/hyperlink" Target="https://www.fda.gov/media/71026/downloa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ma.europa.eu/en/documents/scientific-guideline/annex-15-qualification-validation_en.pdf" TargetMode="External"/><Relationship Id="rId32" Type="http://schemas.openxmlformats.org/officeDocument/2006/relationships/hyperlink" Target="https://www.fda.gov/media/71032/download" TargetMode="External"/><Relationship Id="rId37" Type="http://schemas.openxmlformats.org/officeDocument/2006/relationships/hyperlink" Target="https://www.who.int/docs/default-source/medicines/norms-and-standards/guidelines/quality-control/trs961-annex2-goodpractices-pharmaceutical-microbiology-laboratories.pdf" TargetMode="External"/><Relationship Id="rId40" Type="http://schemas.openxmlformats.org/officeDocument/2006/relationships/hyperlink" Target="https://doi.org/10.9734/jpri/2022/v34i27A35989"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health.ec.europa.eu/document/download/6eaee230-0dde-4bd2-b4b8-4f248be26d13_en" TargetMode="External"/><Relationship Id="rId28" Type="http://schemas.openxmlformats.org/officeDocument/2006/relationships/hyperlink" Target="https://doi.org/10.2147/IDR.S355331" TargetMode="External"/><Relationship Id="rId36" Type="http://schemas.openxmlformats.org/officeDocument/2006/relationships/hyperlink" Target="https://www.who.int/docs/default-source/medicines/norms-and-standards/guidelines/production/trs937-annex8-gmp-heating-ventilation-air-conditioning.pdf" TargetMode="External"/><Relationship Id="rId10" Type="http://schemas.openxmlformats.org/officeDocument/2006/relationships/footer" Target="footer1.xml"/><Relationship Id="rId19" Type="http://schemas.openxmlformats.org/officeDocument/2006/relationships/hyperlink" Target="https://www.ipc.gov.in/" TargetMode="External"/><Relationship Id="rId31" Type="http://schemas.openxmlformats.org/officeDocument/2006/relationships/hyperlink" Target="https://www.fda.gov/media/70793/downloa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ema.europa.eu/en/documents/scientific-guideline/q7a-good-manufacture" TargetMode="External"/><Relationship Id="rId27" Type="http://schemas.openxmlformats.org/officeDocument/2006/relationships/hyperlink" Target="https://www.americanpharmaceuticalreview.com/Featured-Articles/518912-Analysis-of-FDA-Enforcement-Reports-2012-2019-to-Determine-the-Microbial-Diversity-in-Contaminated-Non-Sterile-and-Sterile-Drugs/" TargetMode="External"/><Relationship Id="rId30" Type="http://schemas.openxmlformats.org/officeDocument/2006/relationships/hyperlink" Target="https://www.fda.gov/regulatory-information/search-fda-guidance-documents/microbiological-quality-considerations-non-sterile-drug-manufacturing" TargetMode="External"/><Relationship Id="rId35" Type="http://schemas.openxmlformats.org/officeDocument/2006/relationships/hyperlink" Target="https://www.who.int/docs/default-source/medicines/norms-and-standards/guidelines/production/trs937-annex4-validation.pdf"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cdsco.gov.in/" TargetMode="External"/><Relationship Id="rId25" Type="http://schemas.openxmlformats.org/officeDocument/2006/relationships/hyperlink" Target="https://health.ec.europa.eu/system/files/2022-08/20220825_gmp-an1_en_0.pdf" TargetMode="External"/><Relationship Id="rId33" Type="http://schemas.openxmlformats.org/officeDocument/2006/relationships/hyperlink" Target="https://www.fda.gov/regulatory-information/search-fda-guidance-documents/microbiological-quality-considerations-non-sterile-drug-manufacturing" TargetMode="External"/><Relationship Id="rId38" Type="http://schemas.openxmlformats.org/officeDocument/2006/relationships/hyperlink" Target="https://www.who.int/docs/default-source/medicines/norms-and-standards/guidelines/production/trs961-annex6-gmp-sterile-pharmaceutical-produ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3C60C-3621-48BB-A8D5-D6CA85EA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7259</Words>
  <Characters>41379</Characters>
  <Application>Microsoft Office Word</Application>
  <DocSecurity>0</DocSecurity>
  <Lines>344</Lines>
  <Paragraphs>97</Paragraphs>
  <ScaleCrop>false</ScaleCrop>
  <Company/>
  <LinksUpToDate>false</LinksUpToDate>
  <CharactersWithSpaces>48541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P673L</dc:creator>
  <cp:lastModifiedBy>SDI 1183</cp:lastModifiedBy>
  <cp:revision>82</cp:revision>
  <dcterms:created xsi:type="dcterms:W3CDTF">2025-04-19T23:46:00Z</dcterms:created>
  <dcterms:modified xsi:type="dcterms:W3CDTF">2025-05-03T12:27:00Z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E670680B41FECBBFDCE3076884E34D50_33</vt:lpwstr>
  </property>
  <property fmtid="{D5CDD505-2E9C-101B-9397-08002B2CF9AE}" pid="3" name="KSOProductBuildVer">
    <vt:lpwstr>3081-11.34.01</vt:lpwstr>
  </property>
  <property fmtid="{D5CDD505-2E9C-101B-9397-08002B2CF9AE}" pid="4" name="GrammarlyDocumentId">
    <vt:lpwstr>837f9334-ad64-4e4f-a3b1-405d1558e300</vt:lpwstr>
  </property>
</Properties>
</file>