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53849" w14:textId="77777777" w:rsidR="008A1098" w:rsidRPr="005E3189" w:rsidRDefault="008A1098" w:rsidP="00E73476">
      <w:pP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01FF0FC0" w14:textId="26F8613E" w:rsidR="00E73476" w:rsidRPr="00E73476" w:rsidRDefault="00945B7D" w:rsidP="00E73476">
      <w:pPr>
        <w:autoSpaceDE w:val="0"/>
        <w:autoSpaceDN w:val="0"/>
        <w:adjustRightInd w:val="0"/>
        <w:spacing w:after="0" w:line="240" w:lineRule="auto"/>
        <w:ind w:left="720"/>
        <w:jc w:val="center"/>
        <w:rPr>
          <w:rFonts w:ascii="Times New Roman" w:eastAsia="Calibri" w:hAnsi="Times New Roman" w:cs="Times New Roman"/>
          <w:b/>
          <w:bCs/>
          <w:kern w:val="0"/>
          <w14:ligatures w14:val="none"/>
        </w:rPr>
      </w:pPr>
      <w:r w:rsidRPr="00945B7D">
        <w:rPr>
          <w:rFonts w:ascii="Times New Roman" w:eastAsia="Calibri" w:hAnsi="Times New Roman" w:cs="Times New Roman"/>
          <w:b/>
          <w:bCs/>
          <w:kern w:val="0"/>
          <w:highlight w:val="yellow"/>
          <w14:ligatures w14:val="none"/>
        </w:rPr>
        <w:t>Enhanced Biodegradation of Oil Based Drilling Fluids in Bonny River, Nigeria</w:t>
      </w:r>
    </w:p>
    <w:p w14:paraId="3DA6EBCF" w14:textId="77777777" w:rsidR="008E1F2F" w:rsidRDefault="008E1F2F" w:rsidP="00E73476">
      <w:pPr>
        <w:autoSpaceDE w:val="0"/>
        <w:autoSpaceDN w:val="0"/>
        <w:adjustRightInd w:val="0"/>
        <w:spacing w:after="0" w:line="240" w:lineRule="auto"/>
        <w:ind w:left="720"/>
        <w:jc w:val="center"/>
        <w:rPr>
          <w:rFonts w:ascii="Times New Roman" w:eastAsia="Calibri" w:hAnsi="Times New Roman" w:cs="Times New Roman"/>
          <w:b/>
          <w:bCs/>
          <w:kern w:val="0"/>
          <w14:ligatures w14:val="none"/>
        </w:rPr>
      </w:pPr>
    </w:p>
    <w:p w14:paraId="22B9690F" w14:textId="77777777" w:rsidR="00D302D3" w:rsidRPr="00E73476" w:rsidRDefault="00D302D3" w:rsidP="00E73476">
      <w:pPr>
        <w:autoSpaceDE w:val="0"/>
        <w:autoSpaceDN w:val="0"/>
        <w:adjustRightInd w:val="0"/>
        <w:spacing w:after="0" w:line="240" w:lineRule="auto"/>
        <w:ind w:left="720"/>
        <w:jc w:val="center"/>
        <w:rPr>
          <w:rFonts w:ascii="Times New Roman" w:eastAsia="Calibri" w:hAnsi="Times New Roman" w:cs="Times New Roman"/>
          <w:b/>
          <w:bCs/>
          <w:kern w:val="0"/>
          <w14:ligatures w14:val="none"/>
        </w:rPr>
      </w:pPr>
    </w:p>
    <w:p w14:paraId="7FB4CE4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Abstract</w:t>
      </w:r>
    </w:p>
    <w:p w14:paraId="565BB538" w14:textId="6EED6AF0"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kern w:val="0"/>
          <w14:ligatures w14:val="none"/>
        </w:rPr>
        <w:t>Drilling fluids/muds are an essential component of the rotary drilling process used to lubricate and cool down the drilling bit during the operation of oil and gas on land and in offshore environments. The disposal of drilling fluids into marine water ecosystems can lead to pollution, affecting aquatic life and water quality. Enhanced biodegradation of drilling fluids:</w:t>
      </w:r>
      <w:r w:rsidR="00CC264E">
        <w:rPr>
          <w:rFonts w:ascii="Times New Roman" w:eastAsia="Calibri" w:hAnsi="Times New Roman" w:cs="Times New Roman"/>
          <w:kern w:val="0"/>
          <w14:ligatures w14:val="none"/>
        </w:rPr>
        <w:t xml:space="preserve"> oil-</w:t>
      </w:r>
      <w:r w:rsidRPr="00E73476">
        <w:rPr>
          <w:rFonts w:ascii="Times New Roman" w:eastAsia="Calibri" w:hAnsi="Times New Roman" w:cs="Times New Roman"/>
          <w:kern w:val="0"/>
          <w14:ligatures w14:val="none"/>
        </w:rPr>
        <w:t>base</w:t>
      </w:r>
      <w:r w:rsidR="00CC264E">
        <w:rPr>
          <w:rFonts w:ascii="Times New Roman" w:eastAsia="Calibri" w:hAnsi="Times New Roman" w:cs="Times New Roman"/>
          <w:kern w:val="0"/>
          <w14:ligatures w14:val="none"/>
        </w:rPr>
        <w:t>d</w:t>
      </w:r>
      <w:r w:rsidRPr="00E73476">
        <w:rPr>
          <w:rFonts w:ascii="Times New Roman" w:eastAsia="Calibri" w:hAnsi="Times New Roman" w:cs="Times New Roman"/>
          <w:kern w:val="0"/>
          <w14:ligatures w14:val="none"/>
        </w:rPr>
        <w:t xml:space="preserve"> drilling fluid (</w:t>
      </w:r>
      <w:r w:rsidR="00CC264E">
        <w:rPr>
          <w:rFonts w:ascii="Times New Roman" w:eastAsia="Calibri" w:hAnsi="Times New Roman" w:cs="Times New Roman"/>
          <w:kern w:val="0"/>
          <w14:ligatures w14:val="none"/>
        </w:rPr>
        <w:t>O</w:t>
      </w:r>
      <w:r w:rsidRPr="00E73476">
        <w:rPr>
          <w:rFonts w:ascii="Times New Roman" w:eastAsia="Calibri" w:hAnsi="Times New Roman" w:cs="Times New Roman"/>
          <w:kern w:val="0"/>
          <w14:ligatures w14:val="none"/>
        </w:rPr>
        <w:t>BF) in marine water (MW) using different bioaugmenting organisms (</w:t>
      </w:r>
      <w:r w:rsidRPr="00BB0F73">
        <w:rPr>
          <w:rFonts w:ascii="Times New Roman" w:eastAsia="Calibri" w:hAnsi="Times New Roman" w:cs="Times New Roman"/>
          <w:i/>
          <w:iCs/>
          <w:kern w:val="0"/>
          <w14:ligatures w14:val="none"/>
        </w:rPr>
        <w:t>Pseudomonas</w:t>
      </w:r>
      <w:r w:rsidRPr="00E73476">
        <w:rPr>
          <w:rFonts w:ascii="Times New Roman" w:eastAsia="Calibri" w:hAnsi="Times New Roman" w:cs="Times New Roman"/>
          <w:kern w:val="0"/>
          <w14:ligatures w14:val="none"/>
        </w:rPr>
        <w:t xml:space="preserve"> </w:t>
      </w:r>
      <w:r w:rsidRPr="00BB0F73">
        <w:rPr>
          <w:rFonts w:ascii="Times New Roman" w:eastAsia="Calibri" w:hAnsi="Times New Roman" w:cs="Times New Roman"/>
          <w:i/>
          <w:iCs/>
          <w:kern w:val="0"/>
          <w14:ligatures w14:val="none"/>
        </w:rPr>
        <w:t>aeruginosa</w:t>
      </w:r>
      <w:r w:rsidRPr="00E73476">
        <w:rPr>
          <w:rFonts w:ascii="Times New Roman" w:eastAsia="Calibri" w:hAnsi="Times New Roman" w:cs="Times New Roman"/>
          <w:kern w:val="0"/>
          <w14:ligatures w14:val="none"/>
        </w:rPr>
        <w:t xml:space="preserve"> strain EB38 and </w:t>
      </w:r>
      <w:r w:rsidRPr="00BB0F73">
        <w:rPr>
          <w:rFonts w:ascii="Times New Roman" w:eastAsia="Calibri" w:hAnsi="Times New Roman" w:cs="Times New Roman"/>
          <w:i/>
          <w:iCs/>
          <w:kern w:val="0"/>
          <w14:ligatures w14:val="none"/>
        </w:rPr>
        <w:t>Bacillus</w:t>
      </w:r>
      <w:r w:rsidRPr="00E73476">
        <w:rPr>
          <w:rFonts w:ascii="Times New Roman" w:eastAsia="Calibri" w:hAnsi="Times New Roman" w:cs="Times New Roman"/>
          <w:kern w:val="0"/>
          <w14:ligatures w14:val="none"/>
        </w:rPr>
        <w:t xml:space="preserve"> </w:t>
      </w:r>
      <w:proofErr w:type="spellStart"/>
      <w:r w:rsidRPr="00BB0F73">
        <w:rPr>
          <w:rFonts w:ascii="Times New Roman" w:eastAsia="Calibri" w:hAnsi="Times New Roman" w:cs="Times New Roman"/>
          <w:i/>
          <w:iCs/>
          <w:kern w:val="0"/>
          <w14:ligatures w14:val="none"/>
        </w:rPr>
        <w:t>safensis</w:t>
      </w:r>
      <w:proofErr w:type="spellEnd"/>
      <w:r w:rsidRPr="00E73476">
        <w:rPr>
          <w:rFonts w:ascii="Times New Roman" w:eastAsia="Calibri" w:hAnsi="Times New Roman" w:cs="Times New Roman"/>
          <w:kern w:val="0"/>
          <w14:ligatures w14:val="none"/>
        </w:rPr>
        <w:t xml:space="preserve"> strain UIS0051) and biostimulating agent: fish waste (FW) was investigated. The rate of biodegradation was estimated from percentage (%) reduction of Total Hydrocarbon Content (THC) with percentage (%) efficiency of the bioaugmenting organisms; </w:t>
      </w:r>
      <w:r w:rsidRPr="00AE0950">
        <w:rPr>
          <w:rFonts w:ascii="Times New Roman" w:eastAsia="Calibri" w:hAnsi="Times New Roman" w:cs="Times New Roman"/>
          <w:i/>
          <w:iCs/>
          <w:kern w:val="0"/>
          <w14:ligatures w14:val="none"/>
        </w:rPr>
        <w:t>Pseudomonas</w:t>
      </w:r>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Pse</w:t>
      </w:r>
      <w:proofErr w:type="spellEnd"/>
      <w:r w:rsidRPr="00E73476">
        <w:rPr>
          <w:rFonts w:ascii="Times New Roman" w:eastAsia="Calibri" w:hAnsi="Times New Roman" w:cs="Times New Roman"/>
          <w:kern w:val="0"/>
          <w14:ligatures w14:val="none"/>
        </w:rPr>
        <w:t xml:space="preserve">) and </w:t>
      </w:r>
      <w:r w:rsidRPr="00AE0950">
        <w:rPr>
          <w:rFonts w:ascii="Times New Roman" w:eastAsia="Calibri" w:hAnsi="Times New Roman" w:cs="Times New Roman"/>
          <w:i/>
          <w:iCs/>
          <w:kern w:val="0"/>
          <w14:ligatures w14:val="none"/>
        </w:rPr>
        <w:t>Bacillus</w:t>
      </w:r>
      <w:r w:rsidRPr="00E73476">
        <w:rPr>
          <w:rFonts w:ascii="Times New Roman" w:eastAsia="Calibri" w:hAnsi="Times New Roman" w:cs="Times New Roman"/>
          <w:kern w:val="0"/>
          <w14:ligatures w14:val="none"/>
        </w:rPr>
        <w:t xml:space="preserve"> (Bac) and biostimulating agent; fish waste (FW) from day 1 to the last day (28). The study employed Randomized Complete Block Design (RCBD) having </w:t>
      </w:r>
      <w:r w:rsidR="00BB0F73">
        <w:rPr>
          <w:rFonts w:ascii="Times New Roman" w:eastAsia="Calibri" w:hAnsi="Times New Roman" w:cs="Times New Roman"/>
          <w:kern w:val="0"/>
          <w14:ligatures w14:val="none"/>
        </w:rPr>
        <w:t>eight</w:t>
      </w:r>
      <w:r w:rsidRPr="00E73476">
        <w:rPr>
          <w:rFonts w:ascii="Times New Roman" w:eastAsia="Calibri" w:hAnsi="Times New Roman" w:cs="Times New Roman"/>
          <w:kern w:val="0"/>
          <w14:ligatures w14:val="none"/>
        </w:rPr>
        <w:t xml:space="preserve"> (</w:t>
      </w:r>
      <w:r w:rsidR="00BB0F73">
        <w:rPr>
          <w:rFonts w:ascii="Times New Roman" w:eastAsia="Calibri" w:hAnsi="Times New Roman" w:cs="Times New Roman"/>
          <w:kern w:val="0"/>
          <w14:ligatures w14:val="none"/>
        </w:rPr>
        <w:t>8</w:t>
      </w:r>
      <w:r w:rsidRPr="00E73476">
        <w:rPr>
          <w:rFonts w:ascii="Times New Roman" w:eastAsia="Calibri" w:hAnsi="Times New Roman" w:cs="Times New Roman"/>
          <w:kern w:val="0"/>
          <w14:ligatures w14:val="none"/>
        </w:rPr>
        <w:t xml:space="preserve">) experimental set up, each having final volume of 1000 ml. After the contamination, bioaugmenting organisms and biostimulating agent were applied. Some physicochemical and microbiological parameters of the water sample were determined before and after contamination. Physicochemical parameters monitored were temperature, pH, Total Dissolved Solid (TDS), Dissolved Oxygen (DO), Electrical Conductivity (EC), Biochemical Oxygen Demand (BOD), Nitrate, Phosphate, Sulphate, Chemical Oxygen Demand (COD) Total Hydrocarbon Content (THC), while microbiological characteristics were total heterotrophic bacteria (THB), total fungi count (TFC), Drilling Fluids Utilizing Fungi (DFUF) and Drilling Fluids Utilizing Bacteria (DFUB). From the initial THC contamination value of </w:t>
      </w:r>
      <w:r w:rsidR="00CC264E" w:rsidRPr="00CC264E">
        <w:rPr>
          <w:rFonts w:ascii="Times New Roman" w:eastAsia="Calibri" w:hAnsi="Times New Roman" w:cs="Times New Roman"/>
          <w:kern w:val="0"/>
          <w14:ligatures w14:val="none"/>
        </w:rPr>
        <w:t xml:space="preserve">3,736.0 </w:t>
      </w:r>
      <w:r w:rsidRPr="00E73476">
        <w:rPr>
          <w:rFonts w:ascii="Times New Roman" w:eastAsia="Calibri" w:hAnsi="Times New Roman" w:cs="Times New Roman"/>
          <w:kern w:val="0"/>
          <w14:ligatures w14:val="none"/>
        </w:rPr>
        <w:t>mg/L (MW+</w:t>
      </w:r>
      <w:r w:rsidR="00CC264E">
        <w:rPr>
          <w:rFonts w:ascii="Times New Roman" w:eastAsia="Calibri" w:hAnsi="Times New Roman" w:cs="Times New Roman"/>
          <w:kern w:val="0"/>
          <w14:ligatures w14:val="none"/>
        </w:rPr>
        <w:t>O</w:t>
      </w:r>
      <w:r w:rsidRPr="00E73476">
        <w:rPr>
          <w:rFonts w:ascii="Times New Roman" w:eastAsia="Calibri" w:hAnsi="Times New Roman" w:cs="Times New Roman"/>
          <w:kern w:val="0"/>
          <w14:ligatures w14:val="none"/>
        </w:rPr>
        <w:t>BF), the amount remediated and % biodegradation of THC at 28 days in the different treatment set up in a decreasing order is as follow:</w:t>
      </w:r>
      <w:r w:rsidR="00CC264E">
        <w:rPr>
          <w:rFonts w:ascii="Times New Roman" w:eastAsia="Calibri" w:hAnsi="Times New Roman" w:cs="Times New Roman"/>
          <w:color w:val="000000"/>
          <w:kern w:val="0"/>
          <w:sz w:val="20"/>
          <w:szCs w:val="20"/>
          <w14:ligatures w14:val="none"/>
        </w:rPr>
        <w:t xml:space="preserve"> </w:t>
      </w:r>
      <w:r w:rsidR="00CC264E" w:rsidRPr="00CC264E">
        <w:rPr>
          <w:rFonts w:ascii="Times New Roman" w:eastAsia="Calibri" w:hAnsi="Times New Roman" w:cs="Times New Roman"/>
          <w:kern w:val="0"/>
          <w14:ligatures w14:val="none"/>
        </w:rPr>
        <w:t xml:space="preserve">MW + OBF + </w:t>
      </w:r>
      <w:proofErr w:type="spellStart"/>
      <w:r w:rsidR="00CC264E" w:rsidRPr="00CC264E">
        <w:rPr>
          <w:rFonts w:ascii="Times New Roman" w:eastAsia="Calibri" w:hAnsi="Times New Roman" w:cs="Times New Roman"/>
          <w:kern w:val="0"/>
          <w14:ligatures w14:val="none"/>
        </w:rPr>
        <w:t>Pse</w:t>
      </w:r>
      <w:proofErr w:type="spellEnd"/>
      <w:r w:rsidR="00CC264E" w:rsidRPr="00CC264E">
        <w:rPr>
          <w:rFonts w:ascii="Times New Roman" w:eastAsia="Calibri" w:hAnsi="Times New Roman" w:cs="Times New Roman"/>
          <w:kern w:val="0"/>
          <w14:ligatures w14:val="none"/>
        </w:rPr>
        <w:t xml:space="preserve"> (98.79%) &gt; MW + OBF + Bac (98.60%) &gt; MW + OBF + FW + </w:t>
      </w:r>
      <w:proofErr w:type="spellStart"/>
      <w:r w:rsidR="00CC264E" w:rsidRPr="00CC264E">
        <w:rPr>
          <w:rFonts w:ascii="Times New Roman" w:eastAsia="Calibri" w:hAnsi="Times New Roman" w:cs="Times New Roman"/>
          <w:kern w:val="0"/>
          <w14:ligatures w14:val="none"/>
        </w:rPr>
        <w:t>Pse</w:t>
      </w:r>
      <w:proofErr w:type="spellEnd"/>
      <w:r w:rsidR="00CC264E" w:rsidRPr="00CC264E">
        <w:rPr>
          <w:rFonts w:ascii="Times New Roman" w:eastAsia="Calibri" w:hAnsi="Times New Roman" w:cs="Times New Roman"/>
          <w:kern w:val="0"/>
          <w14:ligatures w14:val="none"/>
        </w:rPr>
        <w:t xml:space="preserve"> (97.86%) &gt;  MW + OBF + FW + Bac (97.75%) &gt; MW + OBF + FW + Bac + </w:t>
      </w:r>
      <w:proofErr w:type="spellStart"/>
      <w:r w:rsidR="00CC264E" w:rsidRPr="00CC264E">
        <w:rPr>
          <w:rFonts w:ascii="Times New Roman" w:eastAsia="Calibri" w:hAnsi="Times New Roman" w:cs="Times New Roman"/>
          <w:kern w:val="0"/>
          <w14:ligatures w14:val="none"/>
        </w:rPr>
        <w:t>Pse</w:t>
      </w:r>
      <w:proofErr w:type="spellEnd"/>
      <w:r w:rsidR="00CC264E" w:rsidRPr="00CC264E">
        <w:rPr>
          <w:rFonts w:ascii="Times New Roman" w:eastAsia="Calibri" w:hAnsi="Times New Roman" w:cs="Times New Roman"/>
          <w:kern w:val="0"/>
          <w14:ligatures w14:val="none"/>
        </w:rPr>
        <w:t xml:space="preserve"> (97.54%) &gt;  MW + OBF + FW (95.06%). In conclusion, </w:t>
      </w:r>
      <w:r w:rsidR="00CC264E" w:rsidRPr="00CC264E">
        <w:rPr>
          <w:rFonts w:ascii="Times New Roman" w:eastAsia="Calibri" w:hAnsi="Times New Roman" w:cs="Times New Roman"/>
          <w:i/>
          <w:iCs/>
          <w:kern w:val="0"/>
          <w14:ligatures w14:val="none"/>
        </w:rPr>
        <w:t>Pseudomonas</w:t>
      </w:r>
      <w:r w:rsidR="00CC264E" w:rsidRPr="00CC264E">
        <w:rPr>
          <w:rFonts w:ascii="Times New Roman" w:eastAsia="Calibri" w:hAnsi="Times New Roman" w:cs="Times New Roman"/>
          <w:kern w:val="0"/>
          <w14:ligatures w14:val="none"/>
        </w:rPr>
        <w:t xml:space="preserve"> </w:t>
      </w:r>
      <w:r w:rsidR="00CC264E" w:rsidRPr="00CC264E">
        <w:rPr>
          <w:rFonts w:ascii="Times New Roman" w:eastAsia="Calibri" w:hAnsi="Times New Roman" w:cs="Times New Roman"/>
          <w:i/>
          <w:iCs/>
          <w:kern w:val="0"/>
          <w14:ligatures w14:val="none"/>
        </w:rPr>
        <w:t>aeruginosa</w:t>
      </w:r>
      <w:r w:rsidR="00CC264E" w:rsidRPr="00CC264E">
        <w:rPr>
          <w:rFonts w:ascii="Times New Roman" w:eastAsia="Calibri" w:hAnsi="Times New Roman" w:cs="Times New Roman"/>
          <w:kern w:val="0"/>
          <w14:ligatures w14:val="none"/>
        </w:rPr>
        <w:t xml:space="preserve"> strain EB38 exhibited the highest biodegradability of oil-based drilling fluid in marine water compared to </w:t>
      </w:r>
      <w:r w:rsidR="00CC264E" w:rsidRPr="00CC264E">
        <w:rPr>
          <w:rFonts w:ascii="Times New Roman" w:eastAsia="Calibri" w:hAnsi="Times New Roman" w:cs="Times New Roman"/>
          <w:i/>
          <w:iCs/>
          <w:kern w:val="0"/>
          <w14:ligatures w14:val="none"/>
        </w:rPr>
        <w:t>Bacillus</w:t>
      </w:r>
      <w:r w:rsidR="00CC264E" w:rsidRPr="00CC264E">
        <w:rPr>
          <w:rFonts w:ascii="Times New Roman" w:eastAsia="Calibri" w:hAnsi="Times New Roman" w:cs="Times New Roman"/>
          <w:kern w:val="0"/>
          <w14:ligatures w14:val="none"/>
        </w:rPr>
        <w:t xml:space="preserve"> </w:t>
      </w:r>
      <w:proofErr w:type="spellStart"/>
      <w:r w:rsidR="00CC264E" w:rsidRPr="00CC264E">
        <w:rPr>
          <w:rFonts w:ascii="Times New Roman" w:eastAsia="Calibri" w:hAnsi="Times New Roman" w:cs="Times New Roman"/>
          <w:i/>
          <w:iCs/>
          <w:kern w:val="0"/>
          <w14:ligatures w14:val="none"/>
        </w:rPr>
        <w:t>safensis</w:t>
      </w:r>
      <w:proofErr w:type="spellEnd"/>
      <w:r w:rsidR="00CC264E" w:rsidRPr="00CC264E">
        <w:rPr>
          <w:rFonts w:ascii="Times New Roman" w:eastAsia="Calibri" w:hAnsi="Times New Roman" w:cs="Times New Roman"/>
          <w:kern w:val="0"/>
          <w14:ligatures w14:val="none"/>
        </w:rPr>
        <w:t xml:space="preserve"> strain UIS0051. </w:t>
      </w:r>
      <w:r w:rsidR="00CC264E" w:rsidRPr="000C7C32">
        <w:rPr>
          <w:rFonts w:ascii="Times New Roman" w:eastAsia="Calibri" w:hAnsi="Times New Roman" w:cs="Times New Roman"/>
          <w:kern w:val="0"/>
          <w:highlight w:val="yellow"/>
          <w14:ligatures w14:val="none"/>
        </w:rPr>
        <w:t>The results suggest that microbial inoculants and fish waste can effectively enhance the biodegradation of total hydrocarbon content in drilling fluids, with potential applications in environmental remediation</w:t>
      </w:r>
      <w:r w:rsidR="000C7C32" w:rsidRPr="000C7C32">
        <w:rPr>
          <w:rFonts w:ascii="Times New Roman" w:eastAsia="Calibri" w:hAnsi="Times New Roman" w:cs="Times New Roman"/>
          <w:kern w:val="0"/>
          <w:highlight w:val="yellow"/>
          <w14:ligatures w14:val="none"/>
        </w:rPr>
        <w:t xml:space="preserve"> which</w:t>
      </w:r>
      <w:r w:rsidR="000C7C32" w:rsidRPr="000C7C32">
        <w:rPr>
          <w:rFonts w:ascii="Times New Roman" w:eastAsia="Calibri" w:hAnsi="Times New Roman" w:cs="Times New Roman"/>
          <w:kern w:val="0"/>
          <w:highlight w:val="yellow"/>
          <w14:ligatures w14:val="none"/>
        </w:rPr>
        <w:t xml:space="preserve"> offers an eco-friendly, cost-effective solution for reducing pollution and supporting sustainable oil and gas operations.</w:t>
      </w:r>
      <w:r w:rsidRPr="00E73476">
        <w:rPr>
          <w:rFonts w:ascii="Times New Roman" w:eastAsia="Calibri" w:hAnsi="Times New Roman" w:cs="Times New Roman"/>
          <w:kern w:val="0"/>
          <w14:ligatures w14:val="none"/>
        </w:rPr>
        <w:t xml:space="preserve"> </w:t>
      </w:r>
    </w:p>
    <w:p w14:paraId="27CCE99D" w14:textId="22613D11" w:rsidR="004D1803" w:rsidRPr="004D1803" w:rsidRDefault="004D1803"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4D1803">
        <w:rPr>
          <w:rFonts w:ascii="Times New Roman" w:eastAsia="Calibri" w:hAnsi="Times New Roman" w:cs="Times New Roman"/>
          <w:b/>
          <w:kern w:val="0"/>
          <w14:ligatures w14:val="none"/>
        </w:rPr>
        <w:t xml:space="preserve">Keywords: </w:t>
      </w:r>
      <w:r>
        <w:rPr>
          <w:rFonts w:ascii="Times New Roman" w:eastAsia="Calibri" w:hAnsi="Times New Roman" w:cs="Times New Roman"/>
          <w:b/>
          <w:kern w:val="0"/>
          <w14:ligatures w14:val="none"/>
        </w:rPr>
        <w:t>Oil</w:t>
      </w:r>
      <w:r w:rsidR="00AA66F1">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 xml:space="preserve">based </w:t>
      </w:r>
      <w:r w:rsidRPr="004D1803">
        <w:rPr>
          <w:rFonts w:ascii="Times New Roman" w:eastAsia="Calibri" w:hAnsi="Times New Roman" w:cs="Times New Roman"/>
          <w:b/>
          <w:kern w:val="0"/>
          <w14:ligatures w14:val="none"/>
        </w:rPr>
        <w:t>Drilling Fluid</w:t>
      </w:r>
      <w:r>
        <w:rPr>
          <w:rFonts w:ascii="Times New Roman" w:eastAsia="Calibri" w:hAnsi="Times New Roman" w:cs="Times New Roman"/>
          <w:b/>
          <w:kern w:val="0"/>
          <w14:ligatures w14:val="none"/>
        </w:rPr>
        <w:t xml:space="preserve">, </w:t>
      </w:r>
      <w:r w:rsidRPr="004D1803">
        <w:rPr>
          <w:rFonts w:ascii="Times New Roman" w:eastAsia="Calibri" w:hAnsi="Times New Roman" w:cs="Times New Roman"/>
          <w:b/>
          <w:kern w:val="0"/>
          <w14:ligatures w14:val="none"/>
        </w:rPr>
        <w:t xml:space="preserve">Biodegradation, </w:t>
      </w:r>
      <w:r w:rsidRPr="00BC2198">
        <w:rPr>
          <w:rFonts w:ascii="Times New Roman" w:eastAsia="Calibri" w:hAnsi="Times New Roman" w:cs="Times New Roman"/>
          <w:b/>
          <w:i/>
          <w:iCs/>
          <w:kern w:val="0"/>
          <w14:ligatures w14:val="none"/>
        </w:rPr>
        <w:t>Pseudomonas</w:t>
      </w:r>
      <w:r w:rsidRPr="004D1803">
        <w:rPr>
          <w:rFonts w:ascii="Times New Roman" w:eastAsia="Calibri" w:hAnsi="Times New Roman" w:cs="Times New Roman"/>
          <w:b/>
          <w:kern w:val="0"/>
          <w14:ligatures w14:val="none"/>
        </w:rPr>
        <w:t xml:space="preserve"> </w:t>
      </w:r>
      <w:r w:rsidRPr="00BC2198">
        <w:rPr>
          <w:rFonts w:ascii="Times New Roman" w:eastAsia="Calibri" w:hAnsi="Times New Roman" w:cs="Times New Roman"/>
          <w:b/>
          <w:i/>
          <w:iCs/>
          <w:kern w:val="0"/>
          <w14:ligatures w14:val="none"/>
        </w:rPr>
        <w:t>aeruginosa</w:t>
      </w:r>
      <w:r w:rsidRPr="004D1803">
        <w:rPr>
          <w:rFonts w:ascii="Times New Roman" w:eastAsia="Calibri" w:hAnsi="Times New Roman" w:cs="Times New Roman"/>
          <w:b/>
          <w:kern w:val="0"/>
          <w14:ligatures w14:val="none"/>
        </w:rPr>
        <w:t xml:space="preserve">, </w:t>
      </w:r>
      <w:r w:rsidRPr="00BC2198">
        <w:rPr>
          <w:rFonts w:ascii="Times New Roman" w:eastAsia="Calibri" w:hAnsi="Times New Roman" w:cs="Times New Roman"/>
          <w:b/>
          <w:i/>
          <w:iCs/>
          <w:kern w:val="0"/>
          <w14:ligatures w14:val="none"/>
        </w:rPr>
        <w:t>Bacillus</w:t>
      </w:r>
      <w:r w:rsidRPr="004D1803">
        <w:rPr>
          <w:rFonts w:ascii="Times New Roman" w:eastAsia="Calibri" w:hAnsi="Times New Roman" w:cs="Times New Roman"/>
          <w:b/>
          <w:kern w:val="0"/>
          <w14:ligatures w14:val="none"/>
        </w:rPr>
        <w:t xml:space="preserve"> </w:t>
      </w:r>
      <w:proofErr w:type="spellStart"/>
      <w:r w:rsidRPr="00BC2198">
        <w:rPr>
          <w:rFonts w:ascii="Times New Roman" w:eastAsia="Calibri" w:hAnsi="Times New Roman" w:cs="Times New Roman"/>
          <w:b/>
          <w:i/>
          <w:iCs/>
          <w:kern w:val="0"/>
          <w14:ligatures w14:val="none"/>
        </w:rPr>
        <w:t>safensis</w:t>
      </w:r>
      <w:proofErr w:type="spellEnd"/>
      <w:r w:rsidRPr="004D1803">
        <w:rPr>
          <w:rFonts w:ascii="Times New Roman" w:eastAsia="Calibri" w:hAnsi="Times New Roman" w:cs="Times New Roman"/>
          <w:b/>
          <w:kern w:val="0"/>
          <w14:ligatures w14:val="none"/>
        </w:rPr>
        <w:t>, fish waste</w:t>
      </w:r>
    </w:p>
    <w:p w14:paraId="3B350D0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4046C186" w14:textId="77777777" w:rsidR="00AE0950" w:rsidRDefault="00AE0950"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AF77031" w14:textId="77777777" w:rsidR="00AE0950" w:rsidRDefault="00AE0950"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20AD6EED" w14:textId="77777777" w:rsidR="00AE0950" w:rsidRDefault="00AE0950"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6AA7B5C0" w14:textId="77777777" w:rsidR="00AE0950" w:rsidRDefault="00AE0950"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743FD63" w14:textId="38853DFC"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Introduction</w:t>
      </w:r>
    </w:p>
    <w:p w14:paraId="407D0B53" w14:textId="1C1B0D03" w:rsidR="00BB0F73" w:rsidRDefault="00BB0F73" w:rsidP="00BB0F73">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BB0F73">
        <w:rPr>
          <w:rFonts w:ascii="Times New Roman" w:eastAsia="Calibri" w:hAnsi="Times New Roman" w:cs="Times New Roman"/>
          <w:bCs/>
          <w:kern w:val="0"/>
          <w14:ligatures w14:val="none"/>
        </w:rPr>
        <w:t>The oil and gas industry relies heavily on drilling fluids for the exploration and extraction of hydrocarbon resources. These fluids, composed of various chemicals, serve critical functions such as lubricating the drill bit, stabilizing the wellbore, and transporting cuttings to the surface</w:t>
      </w:r>
      <w:r w:rsidR="003B37CD">
        <w:rPr>
          <w:rFonts w:ascii="Times New Roman" w:eastAsia="Calibri" w:hAnsi="Times New Roman" w:cs="Times New Roman"/>
          <w:bCs/>
          <w:kern w:val="0"/>
          <w14:ligatures w14:val="none"/>
        </w:rPr>
        <w:t xml:space="preserve"> </w:t>
      </w:r>
      <w:r w:rsidR="003B37CD" w:rsidRPr="003B37CD">
        <w:rPr>
          <w:rFonts w:ascii="Times New Roman" w:eastAsia="Calibri" w:hAnsi="Times New Roman" w:cs="Times New Roman"/>
          <w:bCs/>
          <w:kern w:val="0"/>
          <w14:ligatures w14:val="none"/>
        </w:rPr>
        <w:t>(Sharif et al., 2017)</w:t>
      </w:r>
      <w:r w:rsidR="00F24B90">
        <w:rPr>
          <w:rFonts w:ascii="Times New Roman" w:eastAsia="Calibri" w:hAnsi="Times New Roman" w:cs="Times New Roman"/>
          <w:bCs/>
          <w:kern w:val="0"/>
          <w14:ligatures w14:val="none"/>
        </w:rPr>
        <w:t>.</w:t>
      </w:r>
    </w:p>
    <w:p w14:paraId="240F598D" w14:textId="3F070623" w:rsidR="00F24B90" w:rsidRPr="00BB0F73" w:rsidRDefault="00F24B90" w:rsidP="00BB0F73">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F24B90">
        <w:rPr>
          <w:rFonts w:ascii="Times New Roman" w:eastAsia="Calibri" w:hAnsi="Times New Roman" w:cs="Times New Roman"/>
          <w:bCs/>
          <w:kern w:val="0"/>
          <w:highlight w:val="yellow"/>
          <w14:ligatures w14:val="none"/>
        </w:rPr>
        <w:t>Drilling, a core activity in mineral exploration (including oil extraction), involves circulating drilling fluids (muds) to stabilize formation cuttings, lift debris, clean the hole, cool the bit, control surface pressure, and lubricate the drill string (Gandhi &amp; Sarkar, 2016). Drilling fluids vary in composition, including water, bentonite, oil, and polymers, classified as water-based (WBFs), oil-based (OBFs), or synthetic-based fluids (SBFs) (Gandhi &amp; Sarkar, 2016; Vincent-</w:t>
      </w:r>
      <w:proofErr w:type="spellStart"/>
      <w:r w:rsidRPr="00F24B90">
        <w:rPr>
          <w:rFonts w:ascii="Times New Roman" w:eastAsia="Calibri" w:hAnsi="Times New Roman" w:cs="Times New Roman"/>
          <w:bCs/>
          <w:kern w:val="0"/>
          <w:highlight w:val="yellow"/>
          <w14:ligatures w14:val="none"/>
        </w:rPr>
        <w:t>Akpu</w:t>
      </w:r>
      <w:proofErr w:type="spellEnd"/>
      <w:r w:rsidRPr="00F24B90">
        <w:rPr>
          <w:rFonts w:ascii="Times New Roman" w:eastAsia="Calibri" w:hAnsi="Times New Roman" w:cs="Times New Roman"/>
          <w:bCs/>
          <w:kern w:val="0"/>
          <w:highlight w:val="yellow"/>
          <w14:ligatures w14:val="none"/>
        </w:rPr>
        <w:t xml:space="preserve"> et al., 2010; Contreras-Le</w:t>
      </w:r>
      <w:r>
        <w:rPr>
          <w:rFonts w:ascii="Times New Roman" w:eastAsia="Calibri" w:hAnsi="Times New Roman" w:cs="Times New Roman"/>
          <w:bCs/>
          <w:kern w:val="0"/>
          <w:highlight w:val="yellow"/>
          <w14:ligatures w14:val="none"/>
        </w:rPr>
        <w:t>o</w:t>
      </w:r>
      <w:r w:rsidRPr="00F24B90">
        <w:rPr>
          <w:rFonts w:ascii="Times New Roman" w:eastAsia="Calibri" w:hAnsi="Times New Roman" w:cs="Times New Roman"/>
          <w:bCs/>
          <w:kern w:val="0"/>
          <w:highlight w:val="yellow"/>
          <w14:ligatures w14:val="none"/>
        </w:rPr>
        <w:t>n et al., 2013). The toxic waste from formation cuttings incorporated into these fluids concerns regulatory agencies, which mandate testing of fluid mixes and their components (Sanzone et al., 2018).</w:t>
      </w:r>
    </w:p>
    <w:p w14:paraId="18283417" w14:textId="182BB7B1" w:rsidR="00BB0F73" w:rsidRPr="00BB0F73" w:rsidRDefault="00BB0F73" w:rsidP="00BB0F73">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BB0F73">
        <w:rPr>
          <w:rFonts w:ascii="Times New Roman" w:eastAsia="Calibri" w:hAnsi="Times New Roman" w:cs="Times New Roman"/>
          <w:bCs/>
          <w:kern w:val="0"/>
          <w14:ligatures w14:val="none"/>
        </w:rPr>
        <w:lastRenderedPageBreak/>
        <w:t xml:space="preserve"> Marine environments are sensitive to pollutants, and the improper disposal of drilling fluids can disrupt the delicate balance of these ecosystems. These compounds can affect aquatic life, reduce biodiversity, and interfere with natural biogeochemical cycles. </w:t>
      </w:r>
      <w:r w:rsidR="009416A2" w:rsidRPr="009416A2">
        <w:rPr>
          <w:rFonts w:ascii="Times New Roman" w:eastAsia="Calibri" w:hAnsi="Times New Roman" w:cs="Times New Roman"/>
          <w:bCs/>
          <w:kern w:val="0"/>
          <w14:ligatures w14:val="none"/>
        </w:rPr>
        <w:t xml:space="preserve">Drilling fluids containing heavy metals and hydrocarbons can cause DNA damage, mutations, cancer, and other harmful health effects in humans (Adewole et al., 2010; Jadoon and Malik, 2017). </w:t>
      </w:r>
      <w:r w:rsidRPr="00BB0F73">
        <w:rPr>
          <w:rFonts w:ascii="Times New Roman" w:eastAsia="Calibri" w:hAnsi="Times New Roman" w:cs="Times New Roman"/>
          <w:bCs/>
          <w:kern w:val="0"/>
          <w14:ligatures w14:val="none"/>
        </w:rPr>
        <w:t>The need to mitigate these adverse impacts highlight the importance of finding effective methods for the biodegradation of drilling fluids</w:t>
      </w:r>
      <w:r w:rsidR="00086792">
        <w:rPr>
          <w:rFonts w:ascii="Times New Roman" w:eastAsia="Calibri" w:hAnsi="Times New Roman" w:cs="Times New Roman"/>
          <w:bCs/>
          <w:kern w:val="0"/>
          <w14:ligatures w14:val="none"/>
        </w:rPr>
        <w:t xml:space="preserve"> </w:t>
      </w:r>
      <w:r w:rsidR="00086792" w:rsidRPr="00086792">
        <w:rPr>
          <w:rFonts w:ascii="Times New Roman" w:eastAsia="Calibri" w:hAnsi="Times New Roman" w:cs="Times New Roman"/>
          <w:bCs/>
          <w:kern w:val="0"/>
          <w14:ligatures w14:val="none"/>
        </w:rPr>
        <w:t>(Jaishankar et al., 2014</w:t>
      </w:r>
      <w:r w:rsidR="00086792">
        <w:rPr>
          <w:rFonts w:ascii="Times New Roman" w:eastAsia="Calibri" w:hAnsi="Times New Roman" w:cs="Times New Roman"/>
          <w:bCs/>
          <w:kern w:val="0"/>
          <w14:ligatures w14:val="none"/>
        </w:rPr>
        <w:t xml:space="preserve">; </w:t>
      </w:r>
      <w:proofErr w:type="spellStart"/>
      <w:r w:rsidR="00086792" w:rsidRPr="00086792">
        <w:rPr>
          <w:rFonts w:ascii="Times New Roman" w:eastAsia="Calibri" w:hAnsi="Times New Roman" w:cs="Times New Roman"/>
          <w:bCs/>
          <w:kern w:val="0"/>
          <w14:ligatures w14:val="none"/>
        </w:rPr>
        <w:t>Zhanpeng</w:t>
      </w:r>
      <w:proofErr w:type="spellEnd"/>
      <w:r w:rsidR="00086792" w:rsidRPr="00086792">
        <w:rPr>
          <w:rFonts w:ascii="Times New Roman" w:eastAsia="Calibri" w:hAnsi="Times New Roman" w:cs="Times New Roman"/>
          <w:bCs/>
          <w:kern w:val="0"/>
          <w14:ligatures w14:val="none"/>
        </w:rPr>
        <w:t xml:space="preserve"> et al., 2002)</w:t>
      </w:r>
      <w:r w:rsidRPr="00BB0F73">
        <w:rPr>
          <w:rFonts w:ascii="Times New Roman" w:eastAsia="Calibri" w:hAnsi="Times New Roman" w:cs="Times New Roman"/>
          <w:bCs/>
          <w:kern w:val="0"/>
          <w14:ligatures w14:val="none"/>
        </w:rPr>
        <w:t xml:space="preserve">. </w:t>
      </w:r>
    </w:p>
    <w:p w14:paraId="59630E07" w14:textId="5F8B672C" w:rsidR="00BB0F73" w:rsidRPr="00BB0F73" w:rsidRDefault="00BB0F73" w:rsidP="00BB0F73">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BB0F73">
        <w:rPr>
          <w:rFonts w:ascii="Times New Roman" w:eastAsia="Calibri" w:hAnsi="Times New Roman" w:cs="Times New Roman"/>
          <w:bCs/>
          <w:kern w:val="0"/>
          <w14:ligatures w14:val="none"/>
        </w:rPr>
        <w:t>Biodegradation offers a promising solution for the management of drilling fluid waste. Enhancing the biodegradation process can significantly reduce the environmental footprint of drilling activities. By promoting the natural breakdown of harmful compounds, we can minimize their persistence in the environment and mitigate their toxic effects on marine life</w:t>
      </w:r>
      <w:r w:rsidR="00086792">
        <w:rPr>
          <w:rFonts w:ascii="Times New Roman" w:eastAsia="Calibri" w:hAnsi="Times New Roman" w:cs="Times New Roman"/>
          <w:bCs/>
          <w:kern w:val="0"/>
          <w14:ligatures w14:val="none"/>
        </w:rPr>
        <w:t xml:space="preserve"> </w:t>
      </w:r>
      <w:r w:rsidR="00086792" w:rsidRPr="00086792">
        <w:rPr>
          <w:rFonts w:ascii="Times New Roman" w:eastAsia="Calibri" w:hAnsi="Times New Roman" w:cs="Times New Roman"/>
          <w:bCs/>
          <w:kern w:val="0"/>
          <w14:ligatures w14:val="none"/>
        </w:rPr>
        <w:t>(Furukawa et al., 2017</w:t>
      </w:r>
      <w:r w:rsidR="00086792">
        <w:rPr>
          <w:rFonts w:ascii="Times New Roman" w:eastAsia="Calibri" w:hAnsi="Times New Roman" w:cs="Times New Roman"/>
          <w:bCs/>
          <w:kern w:val="0"/>
          <w14:ligatures w14:val="none"/>
        </w:rPr>
        <w:t xml:space="preserve">; </w:t>
      </w:r>
      <w:r w:rsidR="00086792" w:rsidRPr="00086792">
        <w:rPr>
          <w:rFonts w:ascii="Times New Roman" w:eastAsia="Calibri" w:hAnsi="Times New Roman" w:cs="Times New Roman"/>
          <w:bCs/>
          <w:kern w:val="0"/>
          <w14:ligatures w14:val="none"/>
        </w:rPr>
        <w:t>DesMarias and Costa, 2019</w:t>
      </w:r>
      <w:r w:rsidR="009416A2">
        <w:rPr>
          <w:rFonts w:ascii="Times New Roman" w:eastAsia="Calibri" w:hAnsi="Times New Roman" w:cs="Times New Roman"/>
          <w:bCs/>
          <w:kern w:val="0"/>
          <w14:ligatures w14:val="none"/>
        </w:rPr>
        <w:t xml:space="preserve">; </w:t>
      </w:r>
      <w:r w:rsidR="009416A2" w:rsidRPr="009416A2">
        <w:rPr>
          <w:rFonts w:ascii="Times New Roman" w:eastAsia="Calibri" w:hAnsi="Times New Roman" w:cs="Times New Roman"/>
          <w:bCs/>
          <w:kern w:val="0"/>
          <w14:ligatures w14:val="none"/>
        </w:rPr>
        <w:t>Ismail et al., 2017</w:t>
      </w:r>
      <w:r w:rsidR="00086792" w:rsidRPr="00086792">
        <w:rPr>
          <w:rFonts w:ascii="Times New Roman" w:eastAsia="Calibri" w:hAnsi="Times New Roman" w:cs="Times New Roman"/>
          <w:bCs/>
          <w:kern w:val="0"/>
          <w14:ligatures w14:val="none"/>
        </w:rPr>
        <w:t>)</w:t>
      </w:r>
      <w:r w:rsidRPr="00BB0F73">
        <w:rPr>
          <w:rFonts w:ascii="Times New Roman" w:eastAsia="Calibri" w:hAnsi="Times New Roman" w:cs="Times New Roman"/>
          <w:bCs/>
          <w:kern w:val="0"/>
          <w14:ligatures w14:val="none"/>
        </w:rPr>
        <w:t>.</w:t>
      </w:r>
    </w:p>
    <w:p w14:paraId="69C95582" w14:textId="77777777" w:rsidR="00BB0F73" w:rsidRDefault="00BB0F73"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47D29309" w14:textId="77777777" w:rsidR="008A2ABA" w:rsidRPr="00E73476" w:rsidRDefault="008A2AB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4614AE6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Materials and Methods</w:t>
      </w:r>
    </w:p>
    <w:p w14:paraId="22736AA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Description of the Study Area</w:t>
      </w:r>
    </w:p>
    <w:p w14:paraId="40CF5C3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The marine water used for the experiment was obtained from Bonny River. Bonny River is situated between latitude 4°28’06.2” N and longitude 7°08’20.0” E. Bonny River is a hub of Nigeria's oil and gas industry. It encompasses an Island called Bonny Island.  Bonny Island hosts several major industrial facilities, including the Nigeria liquefied natural gas (LNG) terminal.</w:t>
      </w:r>
    </w:p>
    <w:p w14:paraId="6E1171C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river is crucial for the transportation of petroleum products and serves as a conduit for export activities. Many local inhabitants engage in fishing, agriculture, and related activities, relying on the river's resources for sustenance and economic activity. Industrial activities, particularly oil exploration and production, have led to significant pollution in the river. Oil spills, discharge of industrial waste, and other contaminants pose serious threats to water quality and aquatic life. </w:t>
      </w:r>
    </w:p>
    <w:p w14:paraId="42D393E1"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2E46202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Sample Collection and Preparation of the Marine Water </w:t>
      </w:r>
    </w:p>
    <w:p w14:paraId="534B672E"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Marine water was obtained from Bonny River with a protective equipment</w:t>
      </w:r>
      <w:bookmarkStart w:id="0" w:name="_Hlk169157005"/>
      <w:r w:rsidRPr="00E73476">
        <w:rPr>
          <w:rFonts w:ascii="Times New Roman" w:eastAsia="Calibri" w:hAnsi="Times New Roman" w:cs="Times New Roman"/>
          <w:kern w:val="0"/>
          <w14:ligatures w14:val="none"/>
        </w:rPr>
        <w:t xml:space="preserve"> (hand gloves) to avoid contamination. A sterile sample bottle and cap was rinsed with the river water three times before collecting the sample, the bottles were submerged below the water surface, opening the mouth of the bottle facing upstream and the bottles were filled completely. All samples were kept in an ice packed cooler after collection and was immediately transported to the Rivers State University Microbiology Laboratory for analysis</w:t>
      </w:r>
      <w:bookmarkEnd w:id="0"/>
      <w:r w:rsidRPr="00E73476">
        <w:rPr>
          <w:rFonts w:ascii="Times New Roman" w:eastAsia="Calibri" w:hAnsi="Times New Roman" w:cs="Times New Roman"/>
          <w:kern w:val="0"/>
          <w14:ligatures w14:val="none"/>
        </w:rPr>
        <w:t xml:space="preserve"> within 24 hours of collection (APHA 2005).</w:t>
      </w:r>
    </w:p>
    <w:p w14:paraId="3A84569B"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EC23DB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Drilling Fluids </w:t>
      </w:r>
    </w:p>
    <w:p w14:paraId="20D635A0" w14:textId="77777777" w:rsidR="00AE0950"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Drilling fluids (</w:t>
      </w:r>
      <w:r w:rsidR="00B827DC">
        <w:rPr>
          <w:rFonts w:ascii="Times New Roman" w:eastAsia="Calibri" w:hAnsi="Times New Roman" w:cs="Times New Roman"/>
          <w:kern w:val="0"/>
          <w14:ligatures w14:val="none"/>
        </w:rPr>
        <w:t>oil-</w:t>
      </w:r>
      <w:r w:rsidRPr="00E73476">
        <w:rPr>
          <w:rFonts w:ascii="Times New Roman" w:eastAsia="Calibri" w:hAnsi="Times New Roman" w:cs="Times New Roman"/>
          <w:kern w:val="0"/>
          <w14:ligatures w14:val="none"/>
        </w:rPr>
        <w:t>base</w:t>
      </w:r>
      <w:r w:rsidR="00B827DC">
        <w:rPr>
          <w:rFonts w:ascii="Times New Roman" w:eastAsia="Calibri" w:hAnsi="Times New Roman" w:cs="Times New Roman"/>
          <w:kern w:val="0"/>
          <w14:ligatures w14:val="none"/>
        </w:rPr>
        <w:t>d</w:t>
      </w:r>
      <w:r w:rsidRPr="00E73476">
        <w:rPr>
          <w:rFonts w:ascii="Times New Roman" w:eastAsia="Calibri" w:hAnsi="Times New Roman" w:cs="Times New Roman"/>
          <w:kern w:val="0"/>
          <w14:ligatures w14:val="none"/>
        </w:rPr>
        <w:t xml:space="preserve">) used in this experiment were obtained from Noble Gerry De Souza Rig, Nigeria. The fluids were obtained into a sterile bottle and was immediately transported to the Rivers State University, Microbiology Laboratory for analysis. </w:t>
      </w:r>
    </w:p>
    <w:p w14:paraId="4CC6151B" w14:textId="01FB4D6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p>
    <w:p w14:paraId="66248A2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Fish Waste</w:t>
      </w:r>
    </w:p>
    <w:p w14:paraId="22D579E6"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Fish waste used as organic nutrient for </w:t>
      </w:r>
      <w:proofErr w:type="spellStart"/>
      <w:r w:rsidRPr="00E73476">
        <w:rPr>
          <w:rFonts w:ascii="Times New Roman" w:eastAsia="Calibri" w:hAnsi="Times New Roman" w:cs="Times New Roman"/>
          <w:kern w:val="0"/>
          <w14:ligatures w14:val="none"/>
        </w:rPr>
        <w:t>biostimulants</w:t>
      </w:r>
      <w:proofErr w:type="spellEnd"/>
      <w:r w:rsidRPr="00E73476">
        <w:rPr>
          <w:rFonts w:ascii="Times New Roman" w:eastAsia="Calibri" w:hAnsi="Times New Roman" w:cs="Times New Roman"/>
          <w:kern w:val="0"/>
          <w14:ligatures w14:val="none"/>
        </w:rPr>
        <w:t xml:space="preserve"> was obtained from a cold room, located at </w:t>
      </w:r>
      <w:proofErr w:type="spellStart"/>
      <w:r w:rsidRPr="00E73476">
        <w:rPr>
          <w:rFonts w:ascii="Times New Roman" w:eastAsia="Calibri" w:hAnsi="Times New Roman" w:cs="Times New Roman"/>
          <w:kern w:val="0"/>
          <w14:ligatures w14:val="none"/>
        </w:rPr>
        <w:t>Rumuokoro</w:t>
      </w:r>
      <w:proofErr w:type="spellEnd"/>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Obio</w:t>
      </w:r>
      <w:proofErr w:type="spellEnd"/>
      <w:r w:rsidRPr="00E73476">
        <w:rPr>
          <w:rFonts w:ascii="Times New Roman" w:eastAsia="Calibri" w:hAnsi="Times New Roman" w:cs="Times New Roman"/>
          <w:kern w:val="0"/>
          <w14:ligatures w14:val="none"/>
        </w:rPr>
        <w:t xml:space="preserve"> Akpor, Port Harcourt Rivers State in a sterile sample container and placed in an ice packed cooler and was immediately transported to Rivers State University Microbiology Laboratory for analysis within 24hrs of collection. The fish waste obtained was blended and sieved to ensure uniformity and purity of the material. Following this preparation, the liquid fraction was extracted.</w:t>
      </w:r>
    </w:p>
    <w:p w14:paraId="65CDE092"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72B2441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Determination of Physiochemical Properties of the Marine water sample</w:t>
      </w:r>
    </w:p>
    <w:p w14:paraId="3BEA465F"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marine water sample was analyzed before treatment and after treatment for temperature °C, hydrogen ion (pH), total dissolve solid (TDS), electrical conductivity (EC), dissolved oxygen (DO), biochemical oxygen demand (BOD), nitrate, phosphate, sulphate, chemical oxygen demand (COD), chlorine, bromine, alkalinity, hardness, salinity, total solids, turbidity, </w:t>
      </w:r>
      <w:r w:rsidRPr="00E73476">
        <w:rPr>
          <w:rFonts w:ascii="Times New Roman" w:eastAsia="Calibri" w:hAnsi="Times New Roman" w:cs="Times New Roman"/>
          <w:kern w:val="0"/>
          <w14:ligatures w14:val="none"/>
        </w:rPr>
        <w:lastRenderedPageBreak/>
        <w:t>and total hydrocarbon content (THC) microbiological parameters following standard procedures as described by APHA (2012).</w:t>
      </w:r>
    </w:p>
    <w:p w14:paraId="2C756F83"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259A90A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Microbiological Analysis of samples</w:t>
      </w:r>
    </w:p>
    <w:p w14:paraId="35ABAD2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Enumeration of Total Heterotrophic Bacterial (THB) </w:t>
      </w:r>
    </w:p>
    <w:p w14:paraId="161EBF9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A ten-fold serial dilution was carried out by measuring 1ml of water sample using pipette and was transferred aseptically into a sterile test tube containing 9ml of normal saline using spread plate method as described by (Prescott </w:t>
      </w:r>
      <w:r w:rsidRPr="00E73476">
        <w:rPr>
          <w:rFonts w:ascii="Times New Roman" w:eastAsia="Calibri" w:hAnsi="Times New Roman" w:cs="Times New Roman"/>
          <w:i/>
          <w:kern w:val="0"/>
          <w14:ligatures w14:val="none"/>
        </w:rPr>
        <w:t>et</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al</w:t>
      </w:r>
      <w:r w:rsidRPr="00E73476">
        <w:rPr>
          <w:rFonts w:ascii="Times New Roman" w:eastAsia="Calibri" w:hAnsi="Times New Roman" w:cs="Times New Roman"/>
          <w:kern w:val="0"/>
          <w14:ligatures w14:val="none"/>
        </w:rPr>
        <w:t>. 2002). Aliquots 0.1ml of water sample from 10</w:t>
      </w:r>
      <w:r w:rsidRPr="00E73476">
        <w:rPr>
          <w:rFonts w:ascii="Times New Roman" w:eastAsia="Calibri" w:hAnsi="Times New Roman" w:cs="Times New Roman"/>
          <w:kern w:val="0"/>
          <w:vertAlign w:val="superscript"/>
          <w14:ligatures w14:val="none"/>
        </w:rPr>
        <w:t xml:space="preserve">-6   </w:t>
      </w:r>
      <w:r w:rsidRPr="00E73476">
        <w:rPr>
          <w:rFonts w:ascii="Times New Roman" w:eastAsia="Calibri" w:hAnsi="Times New Roman" w:cs="Times New Roman"/>
          <w:kern w:val="0"/>
          <w14:ligatures w14:val="none"/>
        </w:rPr>
        <w:t>test tube was inoculated into solidified nutrient agar in triplicate. The culture plates were incubated invertedly at 30</w:t>
      </w:r>
      <w:r w:rsidRPr="00E73476">
        <w:rPr>
          <w:rFonts w:ascii="Times New Roman" w:eastAsia="Calibri" w:hAnsi="Times New Roman" w:cs="Times New Roman"/>
          <w:kern w:val="0"/>
          <w:vertAlign w:val="superscript"/>
          <w14:ligatures w14:val="none"/>
        </w:rPr>
        <w:t>o</w:t>
      </w:r>
      <w:r w:rsidRPr="00E73476">
        <w:rPr>
          <w:rFonts w:ascii="Times New Roman" w:eastAsia="Calibri" w:hAnsi="Times New Roman" w:cs="Times New Roman"/>
          <w:kern w:val="0"/>
          <w14:ligatures w14:val="none"/>
        </w:rPr>
        <w:t>C for 24hrs. Discrete colonies developed were counted and expressed in CFU/ml (</w:t>
      </w:r>
      <w:proofErr w:type="spellStart"/>
      <w:r w:rsidRPr="00E73476">
        <w:rPr>
          <w:rFonts w:ascii="Times New Roman" w:eastAsia="Calibri" w:hAnsi="Times New Roman" w:cs="Times New Roman"/>
          <w:kern w:val="0"/>
          <w14:ligatures w14:val="none"/>
        </w:rPr>
        <w:t>Ibiene</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et al</w:t>
      </w:r>
      <w:r w:rsidRPr="00E73476">
        <w:rPr>
          <w:rFonts w:ascii="Times New Roman" w:eastAsia="Calibri" w:hAnsi="Times New Roman" w:cs="Times New Roman"/>
          <w:kern w:val="0"/>
          <w14:ligatures w14:val="none"/>
        </w:rPr>
        <w:t>., 2011).</w:t>
      </w:r>
    </w:p>
    <w:p w14:paraId="34A9829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Enumeration of Total Fungi (TFC)</w:t>
      </w:r>
    </w:p>
    <w:p w14:paraId="66048AB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A ten-fold serial dilution was carried out by measuring 1ml of water sample using pipette and was transferred aseptically into a sterile test tube containing 9ml of normal saline using spread plate method as described by (Prescott </w:t>
      </w:r>
      <w:r w:rsidRPr="00E73476">
        <w:rPr>
          <w:rFonts w:ascii="Times New Roman" w:eastAsia="Calibri" w:hAnsi="Times New Roman" w:cs="Times New Roman"/>
          <w:i/>
          <w:kern w:val="0"/>
          <w14:ligatures w14:val="none"/>
        </w:rPr>
        <w:t>et</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al</w:t>
      </w:r>
      <w:r w:rsidRPr="00E73476">
        <w:rPr>
          <w:rFonts w:ascii="Times New Roman" w:eastAsia="Calibri" w:hAnsi="Times New Roman" w:cs="Times New Roman"/>
          <w:kern w:val="0"/>
          <w14:ligatures w14:val="none"/>
        </w:rPr>
        <w:t>. 2005). Aliquots 0.1ml of water sample from 10</w:t>
      </w:r>
      <w:r w:rsidRPr="00E73476">
        <w:rPr>
          <w:rFonts w:ascii="Times New Roman" w:eastAsia="Calibri" w:hAnsi="Times New Roman" w:cs="Times New Roman"/>
          <w:kern w:val="0"/>
          <w:vertAlign w:val="superscript"/>
          <w14:ligatures w14:val="none"/>
        </w:rPr>
        <w:t xml:space="preserve">-4   </w:t>
      </w:r>
      <w:r w:rsidRPr="00E73476">
        <w:rPr>
          <w:rFonts w:ascii="Times New Roman" w:eastAsia="Calibri" w:hAnsi="Times New Roman" w:cs="Times New Roman"/>
          <w:kern w:val="0"/>
          <w14:ligatures w14:val="none"/>
        </w:rPr>
        <w:t xml:space="preserve">test tube was inoculated into solidified SDA in triplicate. The culture plates were incubated invertedly for 3-5days at room temperature (28°C). Discrete colonies developed were counted and expressed in CFU /ml (Morikawa </w:t>
      </w:r>
      <w:r w:rsidRPr="00E73476">
        <w:rPr>
          <w:rFonts w:ascii="Times New Roman" w:eastAsia="Calibri" w:hAnsi="Times New Roman" w:cs="Times New Roman"/>
          <w:i/>
          <w:kern w:val="0"/>
          <w14:ligatures w14:val="none"/>
        </w:rPr>
        <w:t>et al.,</w:t>
      </w:r>
      <w:r w:rsidRPr="00E73476">
        <w:rPr>
          <w:rFonts w:ascii="Times New Roman" w:eastAsia="Calibri" w:hAnsi="Times New Roman" w:cs="Times New Roman"/>
          <w:kern w:val="0"/>
          <w14:ligatures w14:val="none"/>
        </w:rPr>
        <w:t xml:space="preserve"> 2000).  </w:t>
      </w:r>
    </w:p>
    <w:p w14:paraId="574970F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Enumeration and Isolation of Drilling Fluids Utilizing Bacteria (DFUB)</w:t>
      </w:r>
    </w:p>
    <w:p w14:paraId="37802E5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culture medium used for the isolation of drilling fluids utilizing bacteria was mineral salt agar (MSA). Drilling fluids utilizing bacteria (DFUB) were isolated and enumerated using </w:t>
      </w:r>
      <w:proofErr w:type="spellStart"/>
      <w:r w:rsidRPr="00E73476">
        <w:rPr>
          <w:rFonts w:ascii="Times New Roman" w:eastAsia="Calibri" w:hAnsi="Times New Roman" w:cs="Times New Roman"/>
          <w:kern w:val="0"/>
          <w14:ligatures w14:val="none"/>
        </w:rPr>
        <w:t>vapour</w:t>
      </w:r>
      <w:proofErr w:type="spellEnd"/>
      <w:r w:rsidRPr="00E73476">
        <w:rPr>
          <w:rFonts w:ascii="Times New Roman" w:eastAsia="Calibri" w:hAnsi="Times New Roman" w:cs="Times New Roman"/>
          <w:kern w:val="0"/>
          <w14:ligatures w14:val="none"/>
        </w:rPr>
        <w:t xml:space="preserve"> phase transfer method as adopted from </w:t>
      </w:r>
      <w:proofErr w:type="spellStart"/>
      <w:r w:rsidRPr="00E73476">
        <w:rPr>
          <w:rFonts w:ascii="Times New Roman" w:eastAsia="Calibri" w:hAnsi="Times New Roman" w:cs="Times New Roman"/>
          <w:kern w:val="0"/>
          <w14:ligatures w14:val="none"/>
        </w:rPr>
        <w:t>Ibiene</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et al</w:t>
      </w:r>
      <w:r w:rsidRPr="00E73476">
        <w:rPr>
          <w:rFonts w:ascii="Times New Roman" w:eastAsia="Calibri" w:hAnsi="Times New Roman" w:cs="Times New Roman"/>
          <w:kern w:val="0"/>
          <w14:ligatures w14:val="none"/>
        </w:rPr>
        <w:t>. (2011). An aliquot of 0.1ml of the 10</w:t>
      </w:r>
      <w:r w:rsidRPr="00E73476">
        <w:rPr>
          <w:rFonts w:ascii="Times New Roman" w:eastAsia="Calibri" w:hAnsi="Times New Roman" w:cs="Times New Roman"/>
          <w:kern w:val="0"/>
          <w:vertAlign w:val="superscript"/>
          <w14:ligatures w14:val="none"/>
        </w:rPr>
        <w:t>-2</w:t>
      </w:r>
      <w:r w:rsidRPr="00E73476">
        <w:rPr>
          <w:rFonts w:ascii="Times New Roman" w:eastAsia="Calibri" w:hAnsi="Times New Roman" w:cs="Times New Roman"/>
          <w:kern w:val="0"/>
          <w14:ligatures w14:val="none"/>
        </w:rPr>
        <w:t xml:space="preserve"> dilutions was plated onto solidified MSA plates medium supplemented with a nystatin (</w:t>
      </w:r>
      <w:proofErr w:type="spellStart"/>
      <w:r w:rsidRPr="00E73476">
        <w:rPr>
          <w:rFonts w:ascii="Times New Roman" w:eastAsia="Calibri" w:hAnsi="Times New Roman" w:cs="Times New Roman"/>
          <w:kern w:val="0"/>
          <w14:ligatures w14:val="none"/>
        </w:rPr>
        <w:t>fungosol</w:t>
      </w:r>
      <w:proofErr w:type="spellEnd"/>
      <w:r w:rsidRPr="00E73476">
        <w:rPr>
          <w:rFonts w:ascii="Times New Roman" w:eastAsia="Calibri" w:hAnsi="Times New Roman" w:cs="Times New Roman"/>
          <w:kern w:val="0"/>
          <w14:ligatures w14:val="none"/>
        </w:rPr>
        <w:t>) to inhibits the growth of fungi and the plates were inverted. Filter papers were placed inside the cover of the inverted plates and flooded with 1ml of drilling fluids as source of carbon and energy. The plates were incubated at 37</w:t>
      </w:r>
      <w:r w:rsidRPr="00E73476">
        <w:rPr>
          <w:rFonts w:ascii="Times New Roman" w:eastAsia="Calibri" w:hAnsi="Times New Roman" w:cs="Times New Roman"/>
          <w:kern w:val="0"/>
          <w:vertAlign w:val="superscript"/>
          <w14:ligatures w14:val="none"/>
        </w:rPr>
        <w:t>0</w:t>
      </w:r>
      <w:r w:rsidRPr="00E73476">
        <w:rPr>
          <w:rFonts w:ascii="Times New Roman" w:eastAsia="Calibri" w:hAnsi="Times New Roman" w:cs="Times New Roman"/>
          <w:kern w:val="0"/>
          <w14:ligatures w14:val="none"/>
        </w:rPr>
        <w:t>C for 5 to 7 days. Discrete colonies that developed were counted and expressed in CFU/ml. To obtain a pure culture, the bacterial isolates were sub-cultured using the accepted techniques, the pure cultures were characterized and identified to ascertain the bacterial species.</w:t>
      </w:r>
    </w:p>
    <w:p w14:paraId="4B7F962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Enumeration and Isolation of Drilling Fluids Utilizing Fungi (DFUF)</w:t>
      </w:r>
    </w:p>
    <w:p w14:paraId="78B127DE"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Drilling fluids utilizing fungi (DFUF) were isolated and enumerated using </w:t>
      </w:r>
      <w:proofErr w:type="spellStart"/>
      <w:r w:rsidRPr="00E73476">
        <w:rPr>
          <w:rFonts w:ascii="Times New Roman" w:eastAsia="Calibri" w:hAnsi="Times New Roman" w:cs="Times New Roman"/>
          <w:kern w:val="0"/>
          <w14:ligatures w14:val="none"/>
        </w:rPr>
        <w:t>vapour</w:t>
      </w:r>
      <w:proofErr w:type="spellEnd"/>
      <w:r w:rsidRPr="00E73476">
        <w:rPr>
          <w:rFonts w:ascii="Times New Roman" w:eastAsia="Calibri" w:hAnsi="Times New Roman" w:cs="Times New Roman"/>
          <w:kern w:val="0"/>
          <w14:ligatures w14:val="none"/>
        </w:rPr>
        <w:t xml:space="preserve"> phase transfer method as adopted from </w:t>
      </w:r>
      <w:proofErr w:type="spellStart"/>
      <w:r w:rsidRPr="00E73476">
        <w:rPr>
          <w:rFonts w:ascii="Times New Roman" w:eastAsia="Calibri" w:hAnsi="Times New Roman" w:cs="Times New Roman"/>
          <w:kern w:val="0"/>
          <w14:ligatures w14:val="none"/>
        </w:rPr>
        <w:t>Ibiene</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et al</w:t>
      </w:r>
      <w:r w:rsidRPr="00E73476">
        <w:rPr>
          <w:rFonts w:ascii="Times New Roman" w:eastAsia="Calibri" w:hAnsi="Times New Roman" w:cs="Times New Roman"/>
          <w:kern w:val="0"/>
          <w14:ligatures w14:val="none"/>
        </w:rPr>
        <w:t>. (2011). Aliquot of 0.1ml of the 10</w:t>
      </w:r>
      <w:r w:rsidRPr="00E73476">
        <w:rPr>
          <w:rFonts w:ascii="Times New Roman" w:eastAsia="Calibri" w:hAnsi="Times New Roman" w:cs="Times New Roman"/>
          <w:kern w:val="0"/>
          <w:vertAlign w:val="superscript"/>
          <w14:ligatures w14:val="none"/>
        </w:rPr>
        <w:t>-2</w:t>
      </w:r>
      <w:r w:rsidRPr="00E73476">
        <w:rPr>
          <w:rFonts w:ascii="Times New Roman" w:eastAsia="Calibri" w:hAnsi="Times New Roman" w:cs="Times New Roman"/>
          <w:kern w:val="0"/>
          <w14:ligatures w14:val="none"/>
        </w:rPr>
        <w:t xml:space="preserve"> dilutions was inoculated on to solidified MSA plates medium supplemented with chloramphenicol (antibiotics) to inhibit the growth of bacterial and the plates were inverted. Filter papers were placed inside the cover of the inverted plates and flooded with 1ml of drilling fluids as source of carbon and energy. The plates were incubated at 28</w:t>
      </w:r>
      <w:r w:rsidRPr="00E73476">
        <w:rPr>
          <w:rFonts w:ascii="Times New Roman" w:eastAsia="Calibri" w:hAnsi="Times New Roman" w:cs="Times New Roman"/>
          <w:kern w:val="0"/>
          <w:vertAlign w:val="superscript"/>
          <w14:ligatures w14:val="none"/>
        </w:rPr>
        <w:t>0</w:t>
      </w:r>
      <w:r w:rsidRPr="00E73476">
        <w:rPr>
          <w:rFonts w:ascii="Times New Roman" w:eastAsia="Calibri" w:hAnsi="Times New Roman" w:cs="Times New Roman"/>
          <w:kern w:val="0"/>
          <w14:ligatures w14:val="none"/>
        </w:rPr>
        <w:t>C for 5 to 7 days. Discrete colonies that developed were counted and expressed in CFU/ml. To obtain a pure culture, the fungal isolates were sub-cultures using the accepted techniques, the pure cultures were characterized and identified to ascertain the fungi species.</w:t>
      </w:r>
    </w:p>
    <w:p w14:paraId="34EE5CA6"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3F53629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Identification and Characterization of bacterial and fungal Isolates</w:t>
      </w:r>
    </w:p>
    <w:p w14:paraId="7CFA06E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Each isolate obtained after isolation were characterized based on colonial, microscopic and macroscopic morphology. Bacterial colonies were characterized based on their color, form, elevation, size, and margin. Fungal growth on plates were characterized based on form, </w:t>
      </w:r>
      <w:proofErr w:type="spellStart"/>
      <w:r w:rsidRPr="00E73476">
        <w:rPr>
          <w:rFonts w:ascii="Times New Roman" w:eastAsia="Calibri" w:hAnsi="Times New Roman" w:cs="Times New Roman"/>
          <w:kern w:val="0"/>
          <w14:ligatures w14:val="none"/>
        </w:rPr>
        <w:t>colour</w:t>
      </w:r>
      <w:proofErr w:type="spellEnd"/>
      <w:r w:rsidRPr="00E73476">
        <w:rPr>
          <w:rFonts w:ascii="Times New Roman" w:eastAsia="Calibri" w:hAnsi="Times New Roman" w:cs="Times New Roman"/>
          <w:kern w:val="0"/>
          <w14:ligatures w14:val="none"/>
        </w:rPr>
        <w:t>, was observed, surface, spore, and underside color.  A smear was made on a slide and stained with lactophenol cotton blue. The slides were examined using a microscope (x40) for structure of hyphae and details of sporulation structure. Discrete bacterial and fungal colonies were purified through sub culturing. The following sets of biochemical tests were used to characterize the pure colonies. The tests include Gram reaction, sugar fermentation. catalase, motility, oxidase, indole, citrate, methyl red-Voges-</w:t>
      </w:r>
      <w:proofErr w:type="spellStart"/>
      <w:r w:rsidRPr="00E73476">
        <w:rPr>
          <w:rFonts w:ascii="Times New Roman" w:eastAsia="Calibri" w:hAnsi="Times New Roman" w:cs="Times New Roman"/>
          <w:kern w:val="0"/>
          <w14:ligatures w14:val="none"/>
        </w:rPr>
        <w:t>Proskaver</w:t>
      </w:r>
      <w:proofErr w:type="spellEnd"/>
      <w:r w:rsidRPr="00E73476">
        <w:rPr>
          <w:rFonts w:ascii="Times New Roman" w:eastAsia="Calibri" w:hAnsi="Times New Roman" w:cs="Times New Roman"/>
          <w:kern w:val="0"/>
          <w14:ligatures w14:val="none"/>
        </w:rPr>
        <w:t xml:space="preserve"> (MR-VP)</w:t>
      </w:r>
      <w:bookmarkStart w:id="1" w:name="_Hlk173674696"/>
      <w:r w:rsidRPr="00E73476">
        <w:rPr>
          <w:rFonts w:ascii="Times New Roman" w:eastAsia="Calibri" w:hAnsi="Times New Roman" w:cs="Times New Roman"/>
          <w:kern w:val="0"/>
          <w14:ligatures w14:val="none"/>
        </w:rPr>
        <w:t>.</w:t>
      </w:r>
      <w:bookmarkEnd w:id="1"/>
      <w:r w:rsidRPr="00E73476">
        <w:rPr>
          <w:rFonts w:ascii="Times New Roman" w:eastAsia="Calibri" w:hAnsi="Times New Roman" w:cs="Times New Roman"/>
          <w:kern w:val="0"/>
          <w14:ligatures w14:val="none"/>
        </w:rPr>
        <w:t xml:space="preserve"> The isolates were identified according to descriptions in the </w:t>
      </w:r>
      <w:proofErr w:type="spellStart"/>
      <w:r w:rsidRPr="00E73476">
        <w:rPr>
          <w:rFonts w:ascii="Times New Roman" w:eastAsia="Calibri" w:hAnsi="Times New Roman" w:cs="Times New Roman"/>
          <w:kern w:val="0"/>
          <w14:ligatures w14:val="none"/>
        </w:rPr>
        <w:t>Bergeys</w:t>
      </w:r>
      <w:proofErr w:type="spellEnd"/>
      <w:r w:rsidRPr="00E73476">
        <w:rPr>
          <w:rFonts w:ascii="Times New Roman" w:eastAsia="Calibri" w:hAnsi="Times New Roman" w:cs="Times New Roman"/>
          <w:kern w:val="0"/>
          <w14:ligatures w14:val="none"/>
        </w:rPr>
        <w:t xml:space="preserve"> Manual of Determinative Bacteriology (Holt, 2000) and recorded accordingly.</w:t>
      </w:r>
    </w:p>
    <w:p w14:paraId="1EE7DA2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Preparation of Bacterial Suspension for Biodegradation Setup</w:t>
      </w:r>
    </w:p>
    <w:p w14:paraId="3FA81AE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Suspension of </w:t>
      </w:r>
      <w:r w:rsidRPr="00E73476">
        <w:rPr>
          <w:rFonts w:ascii="Times New Roman" w:eastAsia="Calibri" w:hAnsi="Times New Roman" w:cs="Times New Roman"/>
          <w:i/>
          <w:kern w:val="0"/>
          <w14:ligatures w14:val="none"/>
        </w:rPr>
        <w:t xml:space="preserve">Pseudomonas and </w:t>
      </w:r>
      <w:r w:rsidRPr="00E73476">
        <w:rPr>
          <w:rFonts w:ascii="Times New Roman" w:eastAsia="Calibri" w:hAnsi="Times New Roman" w:cs="Times New Roman"/>
          <w:i/>
          <w:iCs/>
          <w:kern w:val="0"/>
          <w14:ligatures w14:val="none"/>
        </w:rPr>
        <w:t xml:space="preserve">Bacillus </w:t>
      </w:r>
      <w:proofErr w:type="spellStart"/>
      <w:r w:rsidRPr="00E73476">
        <w:rPr>
          <w:rFonts w:ascii="Times New Roman" w:eastAsia="Calibri" w:hAnsi="Times New Roman" w:cs="Times New Roman"/>
          <w:i/>
          <w:iCs/>
          <w:kern w:val="0"/>
          <w14:ligatures w14:val="none"/>
        </w:rPr>
        <w:t>sp</w:t>
      </w:r>
      <w:proofErr w:type="spellEnd"/>
      <w:r w:rsidRPr="00E73476">
        <w:rPr>
          <w:rFonts w:ascii="Times New Roman" w:eastAsia="Calibri" w:hAnsi="Times New Roman" w:cs="Times New Roman"/>
          <w:iCs/>
          <w:kern w:val="0"/>
          <w14:ligatures w14:val="none"/>
        </w:rPr>
        <w:t xml:space="preserve"> were</w:t>
      </w:r>
      <w:r w:rsidRPr="00E73476">
        <w:rPr>
          <w:rFonts w:ascii="Times New Roman" w:eastAsia="Calibri" w:hAnsi="Times New Roman" w:cs="Times New Roman"/>
          <w:kern w:val="0"/>
          <w14:ligatures w14:val="none"/>
        </w:rPr>
        <w:t xml:space="preserve"> prepared from 24hr pure culture Petri dish as described by </w:t>
      </w:r>
      <w:proofErr w:type="spellStart"/>
      <w:r w:rsidRPr="00E73476">
        <w:rPr>
          <w:rFonts w:ascii="Times New Roman" w:eastAsia="Calibri" w:hAnsi="Times New Roman" w:cs="Times New Roman"/>
          <w:kern w:val="0"/>
          <w14:ligatures w14:val="none"/>
        </w:rPr>
        <w:t>Hadibarata</w:t>
      </w:r>
      <w:proofErr w:type="spellEnd"/>
      <w:r w:rsidRPr="00E73476">
        <w:rPr>
          <w:rFonts w:ascii="Times New Roman" w:eastAsia="Calibri" w:hAnsi="Times New Roman" w:cs="Times New Roman"/>
          <w:kern w:val="0"/>
          <w14:ligatures w14:val="none"/>
        </w:rPr>
        <w:t xml:space="preserve">, and Tachibana, (2009). Two hundred milliliter (200ml) of nutrient </w:t>
      </w:r>
      <w:r w:rsidRPr="00E73476">
        <w:rPr>
          <w:rFonts w:ascii="Times New Roman" w:eastAsia="Calibri" w:hAnsi="Times New Roman" w:cs="Times New Roman"/>
          <w:kern w:val="0"/>
          <w14:ligatures w14:val="none"/>
        </w:rPr>
        <w:lastRenderedPageBreak/>
        <w:t>media broth was transferred into 250ml conical flask and was sterilized using autoclave at 121</w:t>
      </w:r>
      <w:r w:rsidRPr="00E73476">
        <w:rPr>
          <w:rFonts w:ascii="Times New Roman" w:eastAsia="Calibri" w:hAnsi="Times New Roman" w:cs="Times New Roman"/>
          <w:kern w:val="0"/>
          <w:vertAlign w:val="superscript"/>
          <w14:ligatures w14:val="none"/>
        </w:rPr>
        <w:t>o</w:t>
      </w:r>
      <w:r w:rsidRPr="00E73476">
        <w:rPr>
          <w:rFonts w:ascii="Times New Roman" w:eastAsia="Calibri" w:hAnsi="Times New Roman" w:cs="Times New Roman"/>
          <w:kern w:val="0"/>
          <w14:ligatures w14:val="none"/>
        </w:rPr>
        <w:t xml:space="preserve">C for 15minutes at 15psi and allowed to cool at room temperature. Zero-point eight gram (0.8g) of Nystatin was supplemented to the broth. </w:t>
      </w:r>
      <w:r w:rsidRPr="00E73476">
        <w:rPr>
          <w:rFonts w:ascii="Times New Roman" w:eastAsia="Calibri" w:hAnsi="Times New Roman" w:cs="Times New Roman"/>
          <w:i/>
          <w:kern w:val="0"/>
          <w14:ligatures w14:val="none"/>
        </w:rPr>
        <w:t xml:space="preserve">Pseudomonas </w:t>
      </w:r>
      <w:proofErr w:type="spellStart"/>
      <w:r w:rsidRPr="00E73476">
        <w:rPr>
          <w:rFonts w:ascii="Times New Roman" w:eastAsia="Calibri" w:hAnsi="Times New Roman" w:cs="Times New Roman"/>
          <w:i/>
          <w:kern w:val="0"/>
          <w14:ligatures w14:val="none"/>
        </w:rPr>
        <w:t>sp</w:t>
      </w:r>
      <w:proofErr w:type="spellEnd"/>
      <w:r w:rsidRPr="00E73476">
        <w:rPr>
          <w:rFonts w:ascii="Times New Roman" w:eastAsia="Calibri" w:hAnsi="Times New Roman" w:cs="Times New Roman"/>
          <w:i/>
          <w:kern w:val="0"/>
          <w14:ligatures w14:val="none"/>
        </w:rPr>
        <w:t xml:space="preserve"> </w:t>
      </w:r>
      <w:r w:rsidRPr="00E73476">
        <w:rPr>
          <w:rFonts w:ascii="Times New Roman" w:eastAsia="Calibri" w:hAnsi="Times New Roman" w:cs="Times New Roman"/>
          <w:kern w:val="0"/>
          <w14:ligatures w14:val="none"/>
        </w:rPr>
        <w:t>were scraped out from the surface of bacterial colonies and then transferred to the 250ml flask containing the 200ml nutrient broth until a turbid suspension was form. This was incubated at room temperature (28</w:t>
      </w:r>
      <w:r w:rsidRPr="00E73476">
        <w:rPr>
          <w:rFonts w:ascii="Times New Roman" w:eastAsia="Calibri" w:hAnsi="Times New Roman" w:cs="Times New Roman"/>
          <w:kern w:val="0"/>
          <w:vertAlign w:val="superscript"/>
          <w14:ligatures w14:val="none"/>
        </w:rPr>
        <w:t>o</w:t>
      </w:r>
      <w:r w:rsidRPr="00E73476">
        <w:rPr>
          <w:rFonts w:ascii="Times New Roman" w:eastAsia="Calibri" w:hAnsi="Times New Roman" w:cs="Times New Roman"/>
          <w:kern w:val="0"/>
          <w14:ligatures w14:val="none"/>
        </w:rPr>
        <w:t xml:space="preserve">C) for 48hrs. </w:t>
      </w:r>
    </w:p>
    <w:p w14:paraId="2F1CCD8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Biodegradation Studies </w:t>
      </w:r>
    </w:p>
    <w:p w14:paraId="7F04D9E7" w14:textId="4127E04C"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sectPr w:rsidR="00E73476" w:rsidRPr="00E73476" w:rsidSect="00E73476">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cols w:space="720"/>
          <w:docGrid w:linePitch="360"/>
        </w:sectPr>
      </w:pPr>
      <w:r w:rsidRPr="00E73476">
        <w:rPr>
          <w:rFonts w:ascii="Times New Roman" w:eastAsia="Calibri" w:hAnsi="Times New Roman" w:cs="Times New Roman"/>
          <w:bCs/>
          <w:kern w:val="0"/>
          <w14:ligatures w14:val="none"/>
        </w:rPr>
        <w:t xml:space="preserve">The biodegradation experimental setup as shown in Table 1, consists of eight treatments (T1-T8) designed to evaluate the effects of various bio-augmenting organisms and bio-stimulating agents on the degradation of </w:t>
      </w:r>
      <w:r w:rsidR="004B7A7F">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-based drilling fluid (</w:t>
      </w:r>
      <w:r w:rsidR="004B7A7F">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in marine water. Treatment 1 (T1) serves as a negative control, comprising only uncontaminated water. In contrast, Treatments 2-8 involve marine water contaminated with 10 mL of </w:t>
      </w:r>
      <w:r w:rsidR="00E1145F">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and varying combinations of bio-augmenting organisms and bio-stimulating agents. The bio-augmenting organisms used are </w:t>
      </w:r>
      <w:r w:rsidRPr="00894860">
        <w:rPr>
          <w:rFonts w:ascii="Times New Roman" w:eastAsia="Calibri" w:hAnsi="Times New Roman" w:cs="Times New Roman"/>
          <w:bCs/>
          <w:i/>
          <w:iCs/>
          <w:kern w:val="0"/>
          <w14:ligatures w14:val="none"/>
        </w:rPr>
        <w:t>Bacillus</w:t>
      </w:r>
      <w:r w:rsidRPr="00E73476">
        <w:rPr>
          <w:rFonts w:ascii="Times New Roman" w:eastAsia="Calibri" w:hAnsi="Times New Roman" w:cs="Times New Roman"/>
          <w:bCs/>
          <w:kern w:val="0"/>
          <w14:ligatures w14:val="none"/>
        </w:rPr>
        <w:t xml:space="preserve"> (Bac) and </w:t>
      </w:r>
      <w:r w:rsidRPr="00894860">
        <w:rPr>
          <w:rFonts w:ascii="Times New Roman" w:eastAsia="Calibri" w:hAnsi="Times New Roman" w:cs="Times New Roman"/>
          <w:bCs/>
          <w:i/>
          <w:iCs/>
          <w:kern w:val="0"/>
          <w14:ligatures w14:val="none"/>
        </w:rPr>
        <w:t>Pseudomonas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xml:space="preserve">), added in 50 mL volumes to specific treatments (T3, T6, T8 for Bac and T4, T7, T8 for </w:t>
      </w:r>
      <w:proofErr w:type="spellStart"/>
      <w:r w:rsidRPr="00E73476">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xml:space="preserve">). Fish waste (FW) is employed as a bio-stimulating agent, added in 40 mL volumes to Treatments 5-8. Each treatment has a final volume of 1000 mL, comprising marine water (MW) volumes ranging from 940-990 ml. To ensure homogeneous mixing and optimal contact between microorganisms and contaminants, the water was stirred periodically throughout the experimental period. The following physicochemical and microbiological parameters were analyzed, </w:t>
      </w:r>
      <w:r w:rsidR="00B827DC">
        <w:rPr>
          <w:rFonts w:ascii="Times New Roman" w:eastAsia="Calibri" w:hAnsi="Times New Roman" w:cs="Times New Roman"/>
          <w:bCs/>
          <w:kern w:val="0"/>
          <w14:ligatures w14:val="none"/>
        </w:rPr>
        <w:t xml:space="preserve">temperature, pH, </w:t>
      </w:r>
      <w:r w:rsidRPr="00E73476">
        <w:rPr>
          <w:rFonts w:ascii="Times New Roman" w:eastAsia="Calibri" w:hAnsi="Times New Roman" w:cs="Times New Roman"/>
          <w:bCs/>
          <w:kern w:val="0"/>
          <w14:ligatures w14:val="none"/>
        </w:rPr>
        <w:t xml:space="preserve">dissolved solids (TDS), electrical conductivity (EC), dissolved oxygen (DO), biochemical oxygen demand (BOD), nitrate, phosphate, sulphate, chemical oxygen demand (COD), total hydrocarbon content (THC), total heterotrophic bacteria (THB), total fungi (TF), drilling fluids utilizing bacteria (DFUB) and drilling fluids utilizing fungi (DFUF) </w:t>
      </w:r>
      <w:r w:rsidRPr="00E73476">
        <w:rPr>
          <w:rFonts w:ascii="Times New Roman" w:eastAsia="Calibri" w:hAnsi="Times New Roman" w:cs="Times New Roman"/>
          <w:kern w:val="0"/>
          <w14:ligatures w14:val="none"/>
        </w:rPr>
        <w:t>in triplicates, and were monitored for 28days at 14days intervals.</w:t>
      </w:r>
    </w:p>
    <w:p w14:paraId="78285F69"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bookmarkStart w:id="2" w:name="_Hlk172833655"/>
      <w:r w:rsidRPr="00E73476">
        <w:rPr>
          <w:rFonts w:ascii="Times New Roman" w:eastAsia="Calibri" w:hAnsi="Times New Roman" w:cs="Times New Roman"/>
          <w:b/>
          <w:kern w:val="0"/>
          <w14:ligatures w14:val="none"/>
        </w:rPr>
        <w:lastRenderedPageBreak/>
        <w:t>Table 1 Biodegradation Experimental Set up</w:t>
      </w:r>
    </w:p>
    <w:p w14:paraId="0E411872"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tbl>
      <w:tblPr>
        <w:tblStyle w:val="TableGrid"/>
        <w:tblW w:w="10710" w:type="dxa"/>
        <w:tblInd w:w="-7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610"/>
        <w:gridCol w:w="1350"/>
        <w:gridCol w:w="1260"/>
        <w:gridCol w:w="900"/>
        <w:gridCol w:w="900"/>
        <w:gridCol w:w="900"/>
        <w:gridCol w:w="1170"/>
      </w:tblGrid>
      <w:tr w:rsidR="00D10DA6" w14:paraId="2FF2C0ED" w14:textId="77777777" w:rsidTr="003B533E">
        <w:tc>
          <w:tcPr>
            <w:tcW w:w="1620" w:type="dxa"/>
            <w:tcBorders>
              <w:top w:val="single" w:sz="4" w:space="0" w:color="auto"/>
              <w:bottom w:val="single" w:sz="4" w:space="0" w:color="auto"/>
            </w:tcBorders>
          </w:tcPr>
          <w:p w14:paraId="7F62D476" w14:textId="5587ADB3"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Treatment Serial Number</w:t>
            </w:r>
          </w:p>
        </w:tc>
        <w:tc>
          <w:tcPr>
            <w:tcW w:w="2610" w:type="dxa"/>
            <w:tcBorders>
              <w:top w:val="single" w:sz="4" w:space="0" w:color="auto"/>
              <w:bottom w:val="single" w:sz="4" w:space="0" w:color="auto"/>
            </w:tcBorders>
          </w:tcPr>
          <w:p w14:paraId="0D7DB7B8" w14:textId="5F42E49F"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Treatment Code</w:t>
            </w:r>
          </w:p>
        </w:tc>
        <w:tc>
          <w:tcPr>
            <w:tcW w:w="1350" w:type="dxa"/>
            <w:tcBorders>
              <w:top w:val="single" w:sz="4" w:space="0" w:color="auto"/>
              <w:bottom w:val="single" w:sz="4" w:space="0" w:color="auto"/>
            </w:tcBorders>
          </w:tcPr>
          <w:p w14:paraId="11D5D345"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Marine Water</w:t>
            </w:r>
          </w:p>
          <w:p w14:paraId="2AFDC345" w14:textId="26C7AC92"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1260" w:type="dxa"/>
            <w:tcBorders>
              <w:top w:val="single" w:sz="4" w:space="0" w:color="auto"/>
              <w:bottom w:val="single" w:sz="4" w:space="0" w:color="auto"/>
            </w:tcBorders>
          </w:tcPr>
          <w:p w14:paraId="10F5647A"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Oil-Based</w:t>
            </w:r>
          </w:p>
          <w:p w14:paraId="6438F519" w14:textId="4FB3BB99"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900" w:type="dxa"/>
            <w:tcBorders>
              <w:top w:val="single" w:sz="4" w:space="0" w:color="auto"/>
              <w:bottom w:val="single" w:sz="4" w:space="0" w:color="auto"/>
            </w:tcBorders>
          </w:tcPr>
          <w:p w14:paraId="5ED34935"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Bac</w:t>
            </w:r>
          </w:p>
          <w:p w14:paraId="781FA169" w14:textId="4C095D36"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900" w:type="dxa"/>
            <w:tcBorders>
              <w:top w:val="single" w:sz="4" w:space="0" w:color="auto"/>
              <w:bottom w:val="single" w:sz="4" w:space="0" w:color="auto"/>
            </w:tcBorders>
          </w:tcPr>
          <w:p w14:paraId="66B9E714" w14:textId="77777777" w:rsidR="00D502BA" w:rsidRDefault="00D10DA6" w:rsidP="007B60C0">
            <w:pPr>
              <w:autoSpaceDE w:val="0"/>
              <w:autoSpaceDN w:val="0"/>
              <w:adjustRightInd w:val="0"/>
              <w:jc w:val="both"/>
              <w:rPr>
                <w:rFonts w:ascii="Times New Roman" w:eastAsia="Calibri" w:hAnsi="Times New Roman" w:cs="Times New Roman"/>
                <w:b/>
              </w:rPr>
            </w:pPr>
            <w:proofErr w:type="spellStart"/>
            <w:r>
              <w:rPr>
                <w:rFonts w:ascii="Times New Roman" w:eastAsia="Calibri" w:hAnsi="Times New Roman" w:cs="Times New Roman"/>
                <w:b/>
              </w:rPr>
              <w:t>Pse</w:t>
            </w:r>
            <w:proofErr w:type="spellEnd"/>
          </w:p>
          <w:p w14:paraId="70803779" w14:textId="1C09C089"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900" w:type="dxa"/>
            <w:tcBorders>
              <w:top w:val="single" w:sz="4" w:space="0" w:color="auto"/>
              <w:bottom w:val="single" w:sz="4" w:space="0" w:color="auto"/>
            </w:tcBorders>
          </w:tcPr>
          <w:p w14:paraId="09BC35A1"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Fish Waste</w:t>
            </w:r>
          </w:p>
          <w:p w14:paraId="01DD0064" w14:textId="6FF3B735"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1170" w:type="dxa"/>
            <w:tcBorders>
              <w:top w:val="single" w:sz="4" w:space="0" w:color="auto"/>
              <w:bottom w:val="single" w:sz="4" w:space="0" w:color="auto"/>
            </w:tcBorders>
          </w:tcPr>
          <w:p w14:paraId="0A17B1BC"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Final Volume</w:t>
            </w:r>
          </w:p>
          <w:p w14:paraId="1664B14E" w14:textId="59E401CA"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r>
      <w:tr w:rsidR="00D10DA6" w14:paraId="0A8A7863" w14:textId="77777777" w:rsidTr="003B533E">
        <w:tc>
          <w:tcPr>
            <w:tcW w:w="1620" w:type="dxa"/>
            <w:tcBorders>
              <w:top w:val="single" w:sz="4" w:space="0" w:color="auto"/>
            </w:tcBorders>
          </w:tcPr>
          <w:p w14:paraId="0EE00870" w14:textId="5AC027EC" w:rsidR="00D10DA6" w:rsidRDefault="00D10DA6" w:rsidP="00D10DA6">
            <w:pPr>
              <w:autoSpaceDE w:val="0"/>
              <w:autoSpaceDN w:val="0"/>
              <w:adjustRightInd w:val="0"/>
              <w:jc w:val="center"/>
              <w:rPr>
                <w:rFonts w:ascii="Times New Roman" w:eastAsia="Calibri" w:hAnsi="Times New Roman" w:cs="Times New Roman"/>
                <w:b/>
              </w:rPr>
            </w:pPr>
            <w:r>
              <w:t>T</w:t>
            </w:r>
            <w:r w:rsidRPr="00594498">
              <w:t>1</w:t>
            </w:r>
          </w:p>
        </w:tc>
        <w:tc>
          <w:tcPr>
            <w:tcW w:w="2610" w:type="dxa"/>
            <w:tcBorders>
              <w:top w:val="single" w:sz="4" w:space="0" w:color="auto"/>
            </w:tcBorders>
          </w:tcPr>
          <w:p w14:paraId="43B056FA" w14:textId="0FA4BB68" w:rsidR="00D10DA6" w:rsidRDefault="00D10DA6" w:rsidP="00D10DA6">
            <w:pPr>
              <w:autoSpaceDE w:val="0"/>
              <w:autoSpaceDN w:val="0"/>
              <w:adjustRightInd w:val="0"/>
              <w:jc w:val="both"/>
              <w:rPr>
                <w:rFonts w:ascii="Times New Roman" w:eastAsia="Calibri" w:hAnsi="Times New Roman" w:cs="Times New Roman"/>
                <w:b/>
              </w:rPr>
            </w:pPr>
            <w:r w:rsidRPr="0038623F">
              <w:t>UW</w:t>
            </w:r>
          </w:p>
        </w:tc>
        <w:tc>
          <w:tcPr>
            <w:tcW w:w="1350" w:type="dxa"/>
            <w:tcBorders>
              <w:top w:val="single" w:sz="4" w:space="0" w:color="auto"/>
            </w:tcBorders>
          </w:tcPr>
          <w:p w14:paraId="5F0587B0" w14:textId="4B72BC94" w:rsidR="00D10DA6" w:rsidRDefault="00D10DA6" w:rsidP="00D10DA6">
            <w:pPr>
              <w:autoSpaceDE w:val="0"/>
              <w:autoSpaceDN w:val="0"/>
              <w:adjustRightInd w:val="0"/>
              <w:jc w:val="center"/>
              <w:rPr>
                <w:rFonts w:ascii="Times New Roman" w:eastAsia="Calibri" w:hAnsi="Times New Roman" w:cs="Times New Roman"/>
                <w:b/>
              </w:rPr>
            </w:pPr>
            <w:r>
              <w:t>1000</w:t>
            </w:r>
          </w:p>
        </w:tc>
        <w:tc>
          <w:tcPr>
            <w:tcW w:w="1260" w:type="dxa"/>
            <w:tcBorders>
              <w:top w:val="single" w:sz="4" w:space="0" w:color="auto"/>
            </w:tcBorders>
          </w:tcPr>
          <w:p w14:paraId="72336717" w14:textId="24B307AE" w:rsidR="00D10DA6" w:rsidRDefault="00D10DA6" w:rsidP="00D10DA6">
            <w:pPr>
              <w:autoSpaceDE w:val="0"/>
              <w:autoSpaceDN w:val="0"/>
              <w:adjustRightInd w:val="0"/>
              <w:jc w:val="both"/>
              <w:rPr>
                <w:rFonts w:ascii="Times New Roman" w:eastAsia="Calibri" w:hAnsi="Times New Roman" w:cs="Times New Roman"/>
                <w:b/>
              </w:rPr>
            </w:pPr>
            <w:r w:rsidRPr="00F55FB7">
              <w:t xml:space="preserve">     -</w:t>
            </w:r>
          </w:p>
        </w:tc>
        <w:tc>
          <w:tcPr>
            <w:tcW w:w="900" w:type="dxa"/>
            <w:tcBorders>
              <w:top w:val="single" w:sz="4" w:space="0" w:color="auto"/>
            </w:tcBorders>
          </w:tcPr>
          <w:p w14:paraId="3906DCBC" w14:textId="261AAEE1"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Borders>
              <w:top w:val="single" w:sz="4" w:space="0" w:color="auto"/>
            </w:tcBorders>
          </w:tcPr>
          <w:p w14:paraId="574EEA0B" w14:textId="6B93FBA8"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Borders>
              <w:top w:val="single" w:sz="4" w:space="0" w:color="auto"/>
            </w:tcBorders>
          </w:tcPr>
          <w:p w14:paraId="0975885C" w14:textId="537B7464" w:rsidR="00D10DA6" w:rsidRDefault="00D10DA6" w:rsidP="00D10DA6">
            <w:pPr>
              <w:autoSpaceDE w:val="0"/>
              <w:autoSpaceDN w:val="0"/>
              <w:adjustRightInd w:val="0"/>
              <w:jc w:val="both"/>
              <w:rPr>
                <w:rFonts w:ascii="Times New Roman" w:eastAsia="Calibri" w:hAnsi="Times New Roman" w:cs="Times New Roman"/>
                <w:b/>
              </w:rPr>
            </w:pPr>
            <w:r w:rsidRPr="00A941D3">
              <w:t xml:space="preserve">     -</w:t>
            </w:r>
          </w:p>
        </w:tc>
        <w:tc>
          <w:tcPr>
            <w:tcW w:w="1170" w:type="dxa"/>
            <w:tcBorders>
              <w:top w:val="single" w:sz="4" w:space="0" w:color="auto"/>
            </w:tcBorders>
          </w:tcPr>
          <w:p w14:paraId="7CFCD529" w14:textId="62D2DCBE"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4E3DFC31" w14:textId="77777777" w:rsidTr="003B533E">
        <w:tc>
          <w:tcPr>
            <w:tcW w:w="1620" w:type="dxa"/>
          </w:tcPr>
          <w:p w14:paraId="7D39366B" w14:textId="3A22B96E" w:rsidR="00D10DA6" w:rsidRDefault="00D10DA6" w:rsidP="00D10DA6">
            <w:pPr>
              <w:autoSpaceDE w:val="0"/>
              <w:autoSpaceDN w:val="0"/>
              <w:adjustRightInd w:val="0"/>
              <w:jc w:val="center"/>
              <w:rPr>
                <w:rFonts w:ascii="Times New Roman" w:eastAsia="Calibri" w:hAnsi="Times New Roman" w:cs="Times New Roman"/>
                <w:b/>
              </w:rPr>
            </w:pPr>
            <w:r w:rsidRPr="00594498">
              <w:t>T2</w:t>
            </w:r>
          </w:p>
        </w:tc>
        <w:tc>
          <w:tcPr>
            <w:tcW w:w="2610" w:type="dxa"/>
          </w:tcPr>
          <w:p w14:paraId="16E99984" w14:textId="3DB6466B" w:rsidR="00D10DA6" w:rsidRDefault="00D10DA6" w:rsidP="00D10DA6">
            <w:pPr>
              <w:autoSpaceDE w:val="0"/>
              <w:autoSpaceDN w:val="0"/>
              <w:adjustRightInd w:val="0"/>
              <w:jc w:val="both"/>
              <w:rPr>
                <w:rFonts w:ascii="Times New Roman" w:eastAsia="Calibri" w:hAnsi="Times New Roman" w:cs="Times New Roman"/>
                <w:b/>
              </w:rPr>
            </w:pPr>
            <w:r w:rsidRPr="0038623F">
              <w:t>MW+WBF</w:t>
            </w:r>
          </w:p>
        </w:tc>
        <w:tc>
          <w:tcPr>
            <w:tcW w:w="1350" w:type="dxa"/>
          </w:tcPr>
          <w:p w14:paraId="1AB30D22" w14:textId="6EA00494" w:rsidR="00D10DA6" w:rsidRDefault="00D10DA6" w:rsidP="00D10DA6">
            <w:pPr>
              <w:autoSpaceDE w:val="0"/>
              <w:autoSpaceDN w:val="0"/>
              <w:adjustRightInd w:val="0"/>
              <w:jc w:val="center"/>
              <w:rPr>
                <w:rFonts w:ascii="Times New Roman" w:eastAsia="Calibri" w:hAnsi="Times New Roman" w:cs="Times New Roman"/>
                <w:b/>
              </w:rPr>
            </w:pPr>
            <w:r w:rsidRPr="003262E9">
              <w:t>990</w:t>
            </w:r>
          </w:p>
        </w:tc>
        <w:tc>
          <w:tcPr>
            <w:tcW w:w="1260" w:type="dxa"/>
          </w:tcPr>
          <w:p w14:paraId="620BA352" w14:textId="033A5510"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7385760D" w14:textId="68B3BDAF"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Pr>
          <w:p w14:paraId="620EB4D3" w14:textId="272A3E44"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Pr>
          <w:p w14:paraId="693BF644" w14:textId="422D0B40" w:rsidR="00D10DA6" w:rsidRDefault="00D10DA6" w:rsidP="00D10DA6">
            <w:pPr>
              <w:autoSpaceDE w:val="0"/>
              <w:autoSpaceDN w:val="0"/>
              <w:adjustRightInd w:val="0"/>
              <w:jc w:val="both"/>
              <w:rPr>
                <w:rFonts w:ascii="Times New Roman" w:eastAsia="Calibri" w:hAnsi="Times New Roman" w:cs="Times New Roman"/>
                <w:b/>
              </w:rPr>
            </w:pPr>
            <w:r w:rsidRPr="00A941D3">
              <w:t xml:space="preserve">     -</w:t>
            </w:r>
          </w:p>
        </w:tc>
        <w:tc>
          <w:tcPr>
            <w:tcW w:w="1170" w:type="dxa"/>
          </w:tcPr>
          <w:p w14:paraId="3C6372F5" w14:textId="40D473DA"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360E70B4" w14:textId="77777777" w:rsidTr="003B533E">
        <w:tc>
          <w:tcPr>
            <w:tcW w:w="1620" w:type="dxa"/>
          </w:tcPr>
          <w:p w14:paraId="3B00BFD0" w14:textId="613072E5" w:rsidR="00D10DA6" w:rsidRDefault="00D10DA6" w:rsidP="00D10DA6">
            <w:pPr>
              <w:autoSpaceDE w:val="0"/>
              <w:autoSpaceDN w:val="0"/>
              <w:adjustRightInd w:val="0"/>
              <w:jc w:val="center"/>
              <w:rPr>
                <w:rFonts w:ascii="Times New Roman" w:eastAsia="Calibri" w:hAnsi="Times New Roman" w:cs="Times New Roman"/>
                <w:b/>
              </w:rPr>
            </w:pPr>
            <w:r w:rsidRPr="00594498">
              <w:t>T3</w:t>
            </w:r>
          </w:p>
        </w:tc>
        <w:tc>
          <w:tcPr>
            <w:tcW w:w="2610" w:type="dxa"/>
          </w:tcPr>
          <w:p w14:paraId="26CB6A80" w14:textId="14B85535"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MW+WBF+Bac</w:t>
            </w:r>
            <w:proofErr w:type="spellEnd"/>
          </w:p>
        </w:tc>
        <w:tc>
          <w:tcPr>
            <w:tcW w:w="1350" w:type="dxa"/>
          </w:tcPr>
          <w:p w14:paraId="64C18577" w14:textId="0BDCA591" w:rsidR="00D10DA6" w:rsidRDefault="00D10DA6" w:rsidP="00D10DA6">
            <w:pPr>
              <w:autoSpaceDE w:val="0"/>
              <w:autoSpaceDN w:val="0"/>
              <w:adjustRightInd w:val="0"/>
              <w:jc w:val="center"/>
              <w:rPr>
                <w:rFonts w:ascii="Times New Roman" w:eastAsia="Calibri" w:hAnsi="Times New Roman" w:cs="Times New Roman"/>
                <w:b/>
              </w:rPr>
            </w:pPr>
            <w:r w:rsidRPr="003262E9">
              <w:t>940</w:t>
            </w:r>
          </w:p>
        </w:tc>
        <w:tc>
          <w:tcPr>
            <w:tcW w:w="1260" w:type="dxa"/>
          </w:tcPr>
          <w:p w14:paraId="6F2A25AE" w14:textId="6FDDF8C9"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3EF4834A" w14:textId="5280DB82" w:rsidR="00D10DA6" w:rsidRDefault="00D10DA6" w:rsidP="00D10DA6">
            <w:pPr>
              <w:autoSpaceDE w:val="0"/>
              <w:autoSpaceDN w:val="0"/>
              <w:adjustRightInd w:val="0"/>
              <w:jc w:val="both"/>
              <w:rPr>
                <w:rFonts w:ascii="Times New Roman" w:eastAsia="Calibri" w:hAnsi="Times New Roman" w:cs="Times New Roman"/>
                <w:b/>
              </w:rPr>
            </w:pPr>
            <w:r w:rsidRPr="001778E1">
              <w:t>50</w:t>
            </w:r>
          </w:p>
        </w:tc>
        <w:tc>
          <w:tcPr>
            <w:tcW w:w="900" w:type="dxa"/>
          </w:tcPr>
          <w:p w14:paraId="455D8A1F" w14:textId="1AA36F47"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Pr>
          <w:p w14:paraId="308891BE" w14:textId="551577CE" w:rsidR="00D10DA6" w:rsidRDefault="00D10DA6" w:rsidP="00D10DA6">
            <w:pPr>
              <w:autoSpaceDE w:val="0"/>
              <w:autoSpaceDN w:val="0"/>
              <w:adjustRightInd w:val="0"/>
              <w:jc w:val="both"/>
              <w:rPr>
                <w:rFonts w:ascii="Times New Roman" w:eastAsia="Calibri" w:hAnsi="Times New Roman" w:cs="Times New Roman"/>
                <w:b/>
              </w:rPr>
            </w:pPr>
            <w:r w:rsidRPr="00A941D3">
              <w:t xml:space="preserve">     -</w:t>
            </w:r>
          </w:p>
        </w:tc>
        <w:tc>
          <w:tcPr>
            <w:tcW w:w="1170" w:type="dxa"/>
          </w:tcPr>
          <w:p w14:paraId="024BEEA2" w14:textId="32EC3615"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23906B77" w14:textId="77777777" w:rsidTr="003B533E">
        <w:tc>
          <w:tcPr>
            <w:tcW w:w="1620" w:type="dxa"/>
          </w:tcPr>
          <w:p w14:paraId="6306778B" w14:textId="1AB4B567" w:rsidR="00D10DA6" w:rsidRDefault="00D10DA6" w:rsidP="00D10DA6">
            <w:pPr>
              <w:autoSpaceDE w:val="0"/>
              <w:autoSpaceDN w:val="0"/>
              <w:adjustRightInd w:val="0"/>
              <w:jc w:val="center"/>
              <w:rPr>
                <w:rFonts w:ascii="Times New Roman" w:eastAsia="Calibri" w:hAnsi="Times New Roman" w:cs="Times New Roman"/>
                <w:b/>
              </w:rPr>
            </w:pPr>
            <w:r w:rsidRPr="00594498">
              <w:t>T4</w:t>
            </w:r>
          </w:p>
        </w:tc>
        <w:tc>
          <w:tcPr>
            <w:tcW w:w="2610" w:type="dxa"/>
          </w:tcPr>
          <w:p w14:paraId="0A24EB49" w14:textId="7EA9A007"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MW+WBF+Pse</w:t>
            </w:r>
            <w:proofErr w:type="spellEnd"/>
          </w:p>
        </w:tc>
        <w:tc>
          <w:tcPr>
            <w:tcW w:w="1350" w:type="dxa"/>
          </w:tcPr>
          <w:p w14:paraId="4563168D" w14:textId="2AC872A2" w:rsidR="00D10DA6" w:rsidRDefault="00D10DA6" w:rsidP="00D10DA6">
            <w:pPr>
              <w:autoSpaceDE w:val="0"/>
              <w:autoSpaceDN w:val="0"/>
              <w:adjustRightInd w:val="0"/>
              <w:jc w:val="center"/>
              <w:rPr>
                <w:rFonts w:ascii="Times New Roman" w:eastAsia="Calibri" w:hAnsi="Times New Roman" w:cs="Times New Roman"/>
                <w:b/>
              </w:rPr>
            </w:pPr>
            <w:r w:rsidRPr="003262E9">
              <w:t>940</w:t>
            </w:r>
          </w:p>
        </w:tc>
        <w:tc>
          <w:tcPr>
            <w:tcW w:w="1260" w:type="dxa"/>
          </w:tcPr>
          <w:p w14:paraId="0565008F" w14:textId="319E3D25"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0ED31F8E" w14:textId="3471EA83"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Pr>
          <w:p w14:paraId="546E4780" w14:textId="0AF0AF98" w:rsidR="00D10DA6" w:rsidRDefault="00D10DA6" w:rsidP="00D10DA6">
            <w:pPr>
              <w:autoSpaceDE w:val="0"/>
              <w:autoSpaceDN w:val="0"/>
              <w:adjustRightInd w:val="0"/>
              <w:jc w:val="both"/>
              <w:rPr>
                <w:rFonts w:ascii="Times New Roman" w:eastAsia="Calibri" w:hAnsi="Times New Roman" w:cs="Times New Roman"/>
                <w:b/>
              </w:rPr>
            </w:pPr>
            <w:r w:rsidRPr="008F27DC">
              <w:t>50</w:t>
            </w:r>
          </w:p>
        </w:tc>
        <w:tc>
          <w:tcPr>
            <w:tcW w:w="900" w:type="dxa"/>
          </w:tcPr>
          <w:p w14:paraId="25B9ED31" w14:textId="33A206B5" w:rsidR="00D10DA6" w:rsidRDefault="00D10DA6" w:rsidP="00D10DA6">
            <w:pPr>
              <w:autoSpaceDE w:val="0"/>
              <w:autoSpaceDN w:val="0"/>
              <w:adjustRightInd w:val="0"/>
              <w:jc w:val="both"/>
              <w:rPr>
                <w:rFonts w:ascii="Times New Roman" w:eastAsia="Calibri" w:hAnsi="Times New Roman" w:cs="Times New Roman"/>
                <w:b/>
              </w:rPr>
            </w:pPr>
            <w:r w:rsidRPr="00A941D3">
              <w:t xml:space="preserve">     -</w:t>
            </w:r>
          </w:p>
        </w:tc>
        <w:tc>
          <w:tcPr>
            <w:tcW w:w="1170" w:type="dxa"/>
          </w:tcPr>
          <w:p w14:paraId="68CD35A8" w14:textId="589A7EC2"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63E73A61" w14:textId="77777777" w:rsidTr="003B533E">
        <w:tc>
          <w:tcPr>
            <w:tcW w:w="1620" w:type="dxa"/>
          </w:tcPr>
          <w:p w14:paraId="76776A40" w14:textId="219FEDB6" w:rsidR="00D10DA6" w:rsidRDefault="00D10DA6" w:rsidP="00D10DA6">
            <w:pPr>
              <w:autoSpaceDE w:val="0"/>
              <w:autoSpaceDN w:val="0"/>
              <w:adjustRightInd w:val="0"/>
              <w:jc w:val="center"/>
              <w:rPr>
                <w:rFonts w:ascii="Times New Roman" w:eastAsia="Calibri" w:hAnsi="Times New Roman" w:cs="Times New Roman"/>
                <w:b/>
              </w:rPr>
            </w:pPr>
            <w:r w:rsidRPr="00594498">
              <w:t>T5</w:t>
            </w:r>
          </w:p>
        </w:tc>
        <w:tc>
          <w:tcPr>
            <w:tcW w:w="2610" w:type="dxa"/>
          </w:tcPr>
          <w:p w14:paraId="5E341807" w14:textId="4C6D1B36" w:rsidR="00D10DA6" w:rsidRDefault="00D10DA6" w:rsidP="00D10DA6">
            <w:pPr>
              <w:autoSpaceDE w:val="0"/>
              <w:autoSpaceDN w:val="0"/>
              <w:adjustRightInd w:val="0"/>
              <w:jc w:val="both"/>
              <w:rPr>
                <w:rFonts w:ascii="Times New Roman" w:eastAsia="Calibri" w:hAnsi="Times New Roman" w:cs="Times New Roman"/>
                <w:b/>
              </w:rPr>
            </w:pPr>
            <w:r w:rsidRPr="0038623F">
              <w:t>MW+WBF+FW</w:t>
            </w:r>
          </w:p>
        </w:tc>
        <w:tc>
          <w:tcPr>
            <w:tcW w:w="1350" w:type="dxa"/>
          </w:tcPr>
          <w:p w14:paraId="0F8AAB46" w14:textId="66E28B37" w:rsidR="00D10DA6" w:rsidRDefault="00D10DA6" w:rsidP="00D10DA6">
            <w:pPr>
              <w:autoSpaceDE w:val="0"/>
              <w:autoSpaceDN w:val="0"/>
              <w:adjustRightInd w:val="0"/>
              <w:jc w:val="center"/>
              <w:rPr>
                <w:rFonts w:ascii="Times New Roman" w:eastAsia="Calibri" w:hAnsi="Times New Roman" w:cs="Times New Roman"/>
                <w:b/>
              </w:rPr>
            </w:pPr>
            <w:r w:rsidRPr="003262E9">
              <w:t>950</w:t>
            </w:r>
          </w:p>
        </w:tc>
        <w:tc>
          <w:tcPr>
            <w:tcW w:w="1260" w:type="dxa"/>
          </w:tcPr>
          <w:p w14:paraId="55D95107" w14:textId="1E9C843E"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0D066704" w14:textId="113E66BB"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Pr>
          <w:p w14:paraId="49AAC664" w14:textId="4E8D018E"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Pr>
          <w:p w14:paraId="3789BE2C" w14:textId="69E824AB" w:rsidR="00D10DA6" w:rsidRDefault="00D10DA6" w:rsidP="00D10DA6">
            <w:pPr>
              <w:autoSpaceDE w:val="0"/>
              <w:autoSpaceDN w:val="0"/>
              <w:adjustRightInd w:val="0"/>
              <w:jc w:val="both"/>
              <w:rPr>
                <w:rFonts w:ascii="Times New Roman" w:eastAsia="Calibri" w:hAnsi="Times New Roman" w:cs="Times New Roman"/>
                <w:b/>
              </w:rPr>
            </w:pPr>
            <w:r w:rsidRPr="00A941D3">
              <w:t>40</w:t>
            </w:r>
          </w:p>
        </w:tc>
        <w:tc>
          <w:tcPr>
            <w:tcW w:w="1170" w:type="dxa"/>
          </w:tcPr>
          <w:p w14:paraId="3A5181A4" w14:textId="4E4233EB"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256C34E4" w14:textId="77777777" w:rsidTr="003B533E">
        <w:tc>
          <w:tcPr>
            <w:tcW w:w="1620" w:type="dxa"/>
          </w:tcPr>
          <w:p w14:paraId="38B79838" w14:textId="0F6F28ED" w:rsidR="00D10DA6" w:rsidRDefault="00D10DA6" w:rsidP="00D10DA6">
            <w:pPr>
              <w:autoSpaceDE w:val="0"/>
              <w:autoSpaceDN w:val="0"/>
              <w:adjustRightInd w:val="0"/>
              <w:jc w:val="center"/>
              <w:rPr>
                <w:rFonts w:ascii="Times New Roman" w:eastAsia="Calibri" w:hAnsi="Times New Roman" w:cs="Times New Roman"/>
                <w:b/>
              </w:rPr>
            </w:pPr>
            <w:r w:rsidRPr="00594498">
              <w:t>T6</w:t>
            </w:r>
          </w:p>
        </w:tc>
        <w:tc>
          <w:tcPr>
            <w:tcW w:w="2610" w:type="dxa"/>
          </w:tcPr>
          <w:p w14:paraId="76577548" w14:textId="10B9CB66"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MW+WBF+FW+Bac</w:t>
            </w:r>
            <w:proofErr w:type="spellEnd"/>
          </w:p>
        </w:tc>
        <w:tc>
          <w:tcPr>
            <w:tcW w:w="1350" w:type="dxa"/>
          </w:tcPr>
          <w:p w14:paraId="143B3C4D" w14:textId="1C039912" w:rsidR="00D10DA6" w:rsidRDefault="00D10DA6" w:rsidP="00D10DA6">
            <w:pPr>
              <w:autoSpaceDE w:val="0"/>
              <w:autoSpaceDN w:val="0"/>
              <w:adjustRightInd w:val="0"/>
              <w:jc w:val="center"/>
              <w:rPr>
                <w:rFonts w:ascii="Times New Roman" w:eastAsia="Calibri" w:hAnsi="Times New Roman" w:cs="Times New Roman"/>
                <w:b/>
              </w:rPr>
            </w:pPr>
            <w:r w:rsidRPr="003262E9">
              <w:t>900</w:t>
            </w:r>
          </w:p>
        </w:tc>
        <w:tc>
          <w:tcPr>
            <w:tcW w:w="1260" w:type="dxa"/>
          </w:tcPr>
          <w:p w14:paraId="3F85143D" w14:textId="758A0328"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6F663FD3" w14:textId="21F7BDD2" w:rsidR="00D10DA6" w:rsidRDefault="00D10DA6" w:rsidP="00D10DA6">
            <w:pPr>
              <w:autoSpaceDE w:val="0"/>
              <w:autoSpaceDN w:val="0"/>
              <w:adjustRightInd w:val="0"/>
              <w:jc w:val="both"/>
              <w:rPr>
                <w:rFonts w:ascii="Times New Roman" w:eastAsia="Calibri" w:hAnsi="Times New Roman" w:cs="Times New Roman"/>
                <w:b/>
              </w:rPr>
            </w:pPr>
            <w:r w:rsidRPr="001778E1">
              <w:t>50</w:t>
            </w:r>
          </w:p>
        </w:tc>
        <w:tc>
          <w:tcPr>
            <w:tcW w:w="900" w:type="dxa"/>
          </w:tcPr>
          <w:p w14:paraId="40AB6F6C" w14:textId="12818C4A"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Pr>
          <w:p w14:paraId="0BDE601F" w14:textId="09D3A8F0" w:rsidR="00D10DA6" w:rsidRDefault="00D10DA6" w:rsidP="00D10DA6">
            <w:pPr>
              <w:autoSpaceDE w:val="0"/>
              <w:autoSpaceDN w:val="0"/>
              <w:adjustRightInd w:val="0"/>
              <w:jc w:val="both"/>
              <w:rPr>
                <w:rFonts w:ascii="Times New Roman" w:eastAsia="Calibri" w:hAnsi="Times New Roman" w:cs="Times New Roman"/>
                <w:b/>
              </w:rPr>
            </w:pPr>
            <w:r w:rsidRPr="00A941D3">
              <w:t>40</w:t>
            </w:r>
          </w:p>
        </w:tc>
        <w:tc>
          <w:tcPr>
            <w:tcW w:w="1170" w:type="dxa"/>
          </w:tcPr>
          <w:p w14:paraId="6D1A4F97" w14:textId="6D08C9FB"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117CCEB8" w14:textId="77777777" w:rsidTr="003B533E">
        <w:tc>
          <w:tcPr>
            <w:tcW w:w="1620" w:type="dxa"/>
          </w:tcPr>
          <w:p w14:paraId="4335CAFF" w14:textId="3681BC5A" w:rsidR="00D10DA6" w:rsidRDefault="00D10DA6" w:rsidP="00D10DA6">
            <w:pPr>
              <w:autoSpaceDE w:val="0"/>
              <w:autoSpaceDN w:val="0"/>
              <w:adjustRightInd w:val="0"/>
              <w:jc w:val="center"/>
              <w:rPr>
                <w:rFonts w:ascii="Times New Roman" w:eastAsia="Calibri" w:hAnsi="Times New Roman" w:cs="Times New Roman"/>
                <w:b/>
              </w:rPr>
            </w:pPr>
            <w:r w:rsidRPr="00594498">
              <w:t>T7</w:t>
            </w:r>
          </w:p>
        </w:tc>
        <w:tc>
          <w:tcPr>
            <w:tcW w:w="2610" w:type="dxa"/>
          </w:tcPr>
          <w:p w14:paraId="01B96D03" w14:textId="42BCC74B"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MW+WBF+FW+Pse</w:t>
            </w:r>
            <w:proofErr w:type="spellEnd"/>
          </w:p>
        </w:tc>
        <w:tc>
          <w:tcPr>
            <w:tcW w:w="1350" w:type="dxa"/>
          </w:tcPr>
          <w:p w14:paraId="4197AD6F" w14:textId="51140415" w:rsidR="00D10DA6" w:rsidRDefault="00D10DA6" w:rsidP="00D10DA6">
            <w:pPr>
              <w:autoSpaceDE w:val="0"/>
              <w:autoSpaceDN w:val="0"/>
              <w:adjustRightInd w:val="0"/>
              <w:jc w:val="center"/>
              <w:rPr>
                <w:rFonts w:ascii="Times New Roman" w:eastAsia="Calibri" w:hAnsi="Times New Roman" w:cs="Times New Roman"/>
                <w:b/>
              </w:rPr>
            </w:pPr>
            <w:r w:rsidRPr="003262E9">
              <w:t>900</w:t>
            </w:r>
          </w:p>
        </w:tc>
        <w:tc>
          <w:tcPr>
            <w:tcW w:w="1260" w:type="dxa"/>
          </w:tcPr>
          <w:p w14:paraId="72E54EA5" w14:textId="4AA7FE0E"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6207002F" w14:textId="3839E95F"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Pr>
          <w:p w14:paraId="419EE8CF" w14:textId="0EEFB559" w:rsidR="00D10DA6" w:rsidRDefault="00D10DA6" w:rsidP="00D10DA6">
            <w:pPr>
              <w:autoSpaceDE w:val="0"/>
              <w:autoSpaceDN w:val="0"/>
              <w:adjustRightInd w:val="0"/>
              <w:jc w:val="both"/>
              <w:rPr>
                <w:rFonts w:ascii="Times New Roman" w:eastAsia="Calibri" w:hAnsi="Times New Roman" w:cs="Times New Roman"/>
                <w:b/>
              </w:rPr>
            </w:pPr>
            <w:r w:rsidRPr="008F27DC">
              <w:t>50</w:t>
            </w:r>
          </w:p>
        </w:tc>
        <w:tc>
          <w:tcPr>
            <w:tcW w:w="900" w:type="dxa"/>
          </w:tcPr>
          <w:p w14:paraId="08562FF5" w14:textId="1804B97C" w:rsidR="00D10DA6" w:rsidRDefault="00D10DA6" w:rsidP="00D10DA6">
            <w:pPr>
              <w:autoSpaceDE w:val="0"/>
              <w:autoSpaceDN w:val="0"/>
              <w:adjustRightInd w:val="0"/>
              <w:jc w:val="both"/>
              <w:rPr>
                <w:rFonts w:ascii="Times New Roman" w:eastAsia="Calibri" w:hAnsi="Times New Roman" w:cs="Times New Roman"/>
                <w:b/>
              </w:rPr>
            </w:pPr>
            <w:r w:rsidRPr="00A941D3">
              <w:t>40</w:t>
            </w:r>
          </w:p>
        </w:tc>
        <w:tc>
          <w:tcPr>
            <w:tcW w:w="1170" w:type="dxa"/>
          </w:tcPr>
          <w:p w14:paraId="6D7A8CEA" w14:textId="7282CE64"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2AE949F4" w14:textId="77777777" w:rsidTr="003B533E">
        <w:tc>
          <w:tcPr>
            <w:tcW w:w="1620" w:type="dxa"/>
          </w:tcPr>
          <w:p w14:paraId="03C6BAC4" w14:textId="2A23A1A3" w:rsidR="00D10DA6" w:rsidRDefault="00D10DA6" w:rsidP="00D10DA6">
            <w:pPr>
              <w:autoSpaceDE w:val="0"/>
              <w:autoSpaceDN w:val="0"/>
              <w:adjustRightInd w:val="0"/>
              <w:jc w:val="center"/>
              <w:rPr>
                <w:rFonts w:ascii="Times New Roman" w:eastAsia="Calibri" w:hAnsi="Times New Roman" w:cs="Times New Roman"/>
                <w:b/>
              </w:rPr>
            </w:pPr>
            <w:r w:rsidRPr="00594498">
              <w:t>T8</w:t>
            </w:r>
          </w:p>
        </w:tc>
        <w:tc>
          <w:tcPr>
            <w:tcW w:w="2610" w:type="dxa"/>
          </w:tcPr>
          <w:p w14:paraId="79F7A247" w14:textId="5F366DC6"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MW+WBF+FW+Bac+Pse</w:t>
            </w:r>
            <w:proofErr w:type="spellEnd"/>
          </w:p>
        </w:tc>
        <w:tc>
          <w:tcPr>
            <w:tcW w:w="1350" w:type="dxa"/>
          </w:tcPr>
          <w:p w14:paraId="2C197D06" w14:textId="07ED6A7B" w:rsidR="00D10DA6" w:rsidRDefault="00D10DA6" w:rsidP="00D10DA6">
            <w:pPr>
              <w:autoSpaceDE w:val="0"/>
              <w:autoSpaceDN w:val="0"/>
              <w:adjustRightInd w:val="0"/>
              <w:jc w:val="center"/>
              <w:rPr>
                <w:rFonts w:ascii="Times New Roman" w:eastAsia="Calibri" w:hAnsi="Times New Roman" w:cs="Times New Roman"/>
                <w:b/>
              </w:rPr>
            </w:pPr>
            <w:r w:rsidRPr="003262E9">
              <w:t>900</w:t>
            </w:r>
          </w:p>
        </w:tc>
        <w:tc>
          <w:tcPr>
            <w:tcW w:w="1260" w:type="dxa"/>
          </w:tcPr>
          <w:p w14:paraId="68DE1323" w14:textId="29CA47EA"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2A911C41" w14:textId="20BAB150" w:rsidR="00D10DA6" w:rsidRDefault="00D10DA6" w:rsidP="00D10DA6">
            <w:pPr>
              <w:autoSpaceDE w:val="0"/>
              <w:autoSpaceDN w:val="0"/>
              <w:adjustRightInd w:val="0"/>
              <w:jc w:val="both"/>
              <w:rPr>
                <w:rFonts w:ascii="Times New Roman" w:eastAsia="Calibri" w:hAnsi="Times New Roman" w:cs="Times New Roman"/>
                <w:b/>
              </w:rPr>
            </w:pPr>
            <w:r w:rsidRPr="001778E1">
              <w:t>25</w:t>
            </w:r>
          </w:p>
        </w:tc>
        <w:tc>
          <w:tcPr>
            <w:tcW w:w="900" w:type="dxa"/>
          </w:tcPr>
          <w:p w14:paraId="1BF5AABA" w14:textId="1D0CCF3B" w:rsidR="00D10DA6" w:rsidRDefault="00D10DA6" w:rsidP="00D10DA6">
            <w:pPr>
              <w:autoSpaceDE w:val="0"/>
              <w:autoSpaceDN w:val="0"/>
              <w:adjustRightInd w:val="0"/>
              <w:jc w:val="both"/>
              <w:rPr>
                <w:rFonts w:ascii="Times New Roman" w:eastAsia="Calibri" w:hAnsi="Times New Roman" w:cs="Times New Roman"/>
                <w:b/>
              </w:rPr>
            </w:pPr>
            <w:r w:rsidRPr="008F27DC">
              <w:t>25</w:t>
            </w:r>
          </w:p>
        </w:tc>
        <w:tc>
          <w:tcPr>
            <w:tcW w:w="900" w:type="dxa"/>
          </w:tcPr>
          <w:p w14:paraId="3AA3757E" w14:textId="084C89AA" w:rsidR="00D10DA6" w:rsidRDefault="00D10DA6" w:rsidP="00D10DA6">
            <w:pPr>
              <w:autoSpaceDE w:val="0"/>
              <w:autoSpaceDN w:val="0"/>
              <w:adjustRightInd w:val="0"/>
              <w:jc w:val="both"/>
              <w:rPr>
                <w:rFonts w:ascii="Times New Roman" w:eastAsia="Calibri" w:hAnsi="Times New Roman" w:cs="Times New Roman"/>
                <w:b/>
              </w:rPr>
            </w:pPr>
            <w:r w:rsidRPr="00A941D3">
              <w:t>40</w:t>
            </w:r>
          </w:p>
        </w:tc>
        <w:tc>
          <w:tcPr>
            <w:tcW w:w="1170" w:type="dxa"/>
          </w:tcPr>
          <w:p w14:paraId="2BDF2709" w14:textId="0C753FE9"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bl>
    <w:p w14:paraId="26A02DB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6A069859" w14:textId="3B8B7180"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sectPr w:rsidR="00E73476" w:rsidRPr="00E73476" w:rsidSect="00D502BA">
          <w:pgSz w:w="11909" w:h="16834"/>
          <w:pgMar w:top="1440" w:right="1440" w:bottom="1440" w:left="1440" w:header="720" w:footer="720" w:gutter="0"/>
          <w:cols w:space="720"/>
          <w:docGrid w:linePitch="360"/>
        </w:sect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D502BA">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D502BA">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D502BA">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w:t>
      </w:r>
      <w:r w:rsidRPr="00E73476">
        <w:rPr>
          <w:rFonts w:ascii="Times New Roman" w:eastAsia="Calibri" w:hAnsi="Times New Roman" w:cs="Times New Roman"/>
          <w:bCs/>
          <w:i/>
          <w:iCs/>
          <w:kern w:val="0"/>
          <w14:ligatures w14:val="none"/>
        </w:rPr>
        <w:t>Bacillus, PSE= Pseudomonas</w:t>
      </w:r>
      <w:r w:rsidRPr="00E73476">
        <w:rPr>
          <w:rFonts w:ascii="Times New Roman" w:eastAsia="Calibri" w:hAnsi="Times New Roman" w:cs="Times New Roman"/>
          <w:b/>
          <w:bCs/>
          <w:i/>
          <w:iCs/>
          <w:kern w:val="0"/>
          <w14:ligatures w14:val="none"/>
        </w:rPr>
        <w:t xml:space="preserve">               </w:t>
      </w:r>
      <w:bookmarkEnd w:id="2"/>
    </w:p>
    <w:p w14:paraId="1A0F8A7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lastRenderedPageBreak/>
        <w:t xml:space="preserve">Percentage (%) biodegradation evaluation </w:t>
      </w:r>
    </w:p>
    <w:p w14:paraId="6140B66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The percentage (%) biodegradation was calculated from the formula used by (</w:t>
      </w:r>
      <w:proofErr w:type="spellStart"/>
      <w:r w:rsidRPr="00E73476">
        <w:rPr>
          <w:rFonts w:ascii="Times New Roman" w:eastAsia="Calibri" w:hAnsi="Times New Roman" w:cs="Times New Roman"/>
          <w:bCs/>
          <w:kern w:val="0"/>
          <w14:ligatures w14:val="none"/>
        </w:rPr>
        <w:t>Nrior</w:t>
      </w:r>
      <w:proofErr w:type="spellEnd"/>
      <w:r w:rsidRPr="00E73476">
        <w:rPr>
          <w:rFonts w:ascii="Times New Roman" w:eastAsia="Calibri" w:hAnsi="Times New Roman" w:cs="Times New Roman"/>
          <w:bCs/>
          <w:kern w:val="0"/>
          <w14:ligatures w14:val="none"/>
        </w:rPr>
        <w:t xml:space="preserve"> et al., 2017b) as follows: </w:t>
      </w:r>
    </w:p>
    <w:p w14:paraId="0AA3455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Step 1: Amount of pollutant degraded equals to Initial concentration of pollutant (Day 0) minus final concentration of pollutant at end of experiment (last day). </w:t>
      </w:r>
    </w:p>
    <w:p w14:paraId="34A8215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Step 2: Percentage (%) biodegradation equals to amount of pollutant remediated divided by initial concentration of pollutant (Day 0 or 1) multiplied by 100. </w:t>
      </w:r>
    </w:p>
    <w:p w14:paraId="31135D9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roofErr w:type="gramStart"/>
      <w:r w:rsidRPr="00E73476">
        <w:rPr>
          <w:rFonts w:ascii="Times New Roman" w:eastAsia="Calibri" w:hAnsi="Times New Roman" w:cs="Times New Roman"/>
          <w:bCs/>
          <w:kern w:val="0"/>
          <w14:ligatures w14:val="none"/>
        </w:rPr>
        <w:t>Thus;</w:t>
      </w:r>
      <w:proofErr w:type="gramEnd"/>
      <w:r w:rsidRPr="00E73476">
        <w:rPr>
          <w:rFonts w:ascii="Times New Roman" w:eastAsia="Calibri" w:hAnsi="Times New Roman" w:cs="Times New Roman"/>
          <w:bCs/>
          <w:kern w:val="0"/>
          <w14:ligatures w14:val="none"/>
        </w:rPr>
        <w:t xml:space="preserve"> </w:t>
      </w:r>
    </w:p>
    <w:p w14:paraId="4EFB68E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BC =IC – FC </w:t>
      </w:r>
    </w:p>
    <w:p w14:paraId="1DF3BB4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Bx = </w:t>
      </w:r>
      <w:proofErr w:type="spellStart"/>
      <w:r w:rsidRPr="00E73476">
        <w:rPr>
          <w:rFonts w:ascii="Times New Roman" w:eastAsia="Calibri" w:hAnsi="Times New Roman" w:cs="Times New Roman"/>
          <w:bCs/>
          <w:kern w:val="0"/>
          <w14:ligatures w14:val="none"/>
        </w:rPr>
        <w:t>Ic</w:t>
      </w:r>
      <w:proofErr w:type="spellEnd"/>
      <w:r w:rsidRPr="00E73476">
        <w:rPr>
          <w:rFonts w:ascii="Times New Roman" w:eastAsia="Calibri" w:hAnsi="Times New Roman" w:cs="Times New Roman"/>
          <w:bCs/>
          <w:kern w:val="0"/>
          <w14:ligatures w14:val="none"/>
        </w:rPr>
        <w:t xml:space="preserve"> – I0 </w:t>
      </w:r>
    </w:p>
    <w:p w14:paraId="2A64ABC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Were, </w:t>
      </w:r>
    </w:p>
    <w:p w14:paraId="731F878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BC=Amount of pollutant degraded </w:t>
      </w:r>
    </w:p>
    <w:p w14:paraId="1B9E23E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IC=Initial concentration of pollutant (Day 0) </w:t>
      </w:r>
    </w:p>
    <w:p w14:paraId="1CD405B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FC=Final concentration of pollutant at end of experiment (Last day)</w:t>
      </w:r>
    </w:p>
    <w:p w14:paraId="0CEB610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 I0=Initial concentration value of Control at day 0 </w:t>
      </w:r>
    </w:p>
    <w:p w14:paraId="3CF5D11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Bx=Actual amount of pollutant in test medium </w:t>
      </w:r>
    </w:p>
    <w:p w14:paraId="3D64064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 Biodegradation = BC x100 Bx </w:t>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t>Eqn3</w:t>
      </w:r>
    </w:p>
    <w:p w14:paraId="415182D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6F167DE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Efficiency Biodegradation</w:t>
      </w:r>
    </w:p>
    <w:p w14:paraId="4CE7E48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The efficiency biodegradation was calculated </w:t>
      </w:r>
      <w:proofErr w:type="gramStart"/>
      <w:r w:rsidRPr="00E73476">
        <w:rPr>
          <w:rFonts w:ascii="Times New Roman" w:eastAsia="Calibri" w:hAnsi="Times New Roman" w:cs="Times New Roman"/>
          <w:bCs/>
          <w:kern w:val="0"/>
          <w14:ligatures w14:val="none"/>
        </w:rPr>
        <w:t>using;</w:t>
      </w:r>
      <w:proofErr w:type="gramEnd"/>
    </w:p>
    <w:p w14:paraId="7737B78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Efficiency of enhancer = amount remediated by each enhancer- amount remediated by indigenous microorganisms in control (contaminant in water only)</w:t>
      </w:r>
    </w:p>
    <w:p w14:paraId="2F88D31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Percentage efficiency</w:t>
      </w:r>
    </w:p>
    <w:p w14:paraId="2F170EC5"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Percentage efficiency was calculated </w:t>
      </w:r>
      <w:proofErr w:type="gramStart"/>
      <w:r w:rsidRPr="00E73476">
        <w:rPr>
          <w:rFonts w:ascii="Times New Roman" w:eastAsia="Calibri" w:hAnsi="Times New Roman" w:cs="Times New Roman"/>
          <w:bCs/>
          <w:kern w:val="0"/>
          <w14:ligatures w14:val="none"/>
        </w:rPr>
        <w:t>using;</w:t>
      </w:r>
      <w:proofErr w:type="gramEnd"/>
      <w:r w:rsidRPr="00E73476">
        <w:rPr>
          <w:rFonts w:ascii="Times New Roman" w:eastAsia="Calibri" w:hAnsi="Times New Roman" w:cs="Times New Roman"/>
          <w:bCs/>
          <w:kern w:val="0"/>
          <w14:ligatures w14:val="none"/>
        </w:rPr>
        <w:t xml:space="preserve"> </w:t>
      </w:r>
    </w:p>
    <w:p w14:paraId="229E673F"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Efficiency by each enhancer /total efficiency ×100</w:t>
      </w:r>
    </w:p>
    <w:p w14:paraId="07C592DA" w14:textId="77777777" w:rsidR="003B533E" w:rsidRPr="00E73476" w:rsidRDefault="003B533E"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1EBA0E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Statistical Analysis </w:t>
      </w:r>
    </w:p>
    <w:p w14:paraId="3788563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Data obtained from the biodegradation experimental set up were subjected to statistical analysis using computer-based program. SPSS version 22 for Analysis of Various (ANOVA) and Excel on Microbiological, Total hydrocarbon content (THC) and physicochemical parameters to compare data between marine water in all treatments and controls and test whether the different nutrient amendments given to the drilling fluids contaminated with marine water were significant at a confidence level of 95% or P&lt;0.05. The results were expressed as Mean ± Standard Deviation.</w:t>
      </w:r>
    </w:p>
    <w:p w14:paraId="61F153BC"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186BC62" w14:textId="77777777" w:rsidR="003B533E" w:rsidRPr="00E73476" w:rsidRDefault="003B533E"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45F905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Results</w:t>
      </w:r>
    </w:p>
    <w:p w14:paraId="612FFFD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Physicochemical and Microbiological Properties of the water before Application of the Various Treatments </w:t>
      </w:r>
    </w:p>
    <w:p w14:paraId="0977A0F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bookmarkStart w:id="3" w:name="_Hlk172833782"/>
      <w:r w:rsidRPr="00E73476">
        <w:rPr>
          <w:rFonts w:ascii="Times New Roman" w:eastAsia="Calibri" w:hAnsi="Times New Roman" w:cs="Times New Roman"/>
          <w:bCs/>
          <w:kern w:val="0"/>
          <w14:ligatures w14:val="none"/>
        </w:rPr>
        <w:t xml:space="preserve">The marine water sample has a temperature of 30°C and a neutral pH of 7.6. It has high levels of total dissolved solids (59330 mg/L) and electrical conductivity (12300 µS/cm), indicating a high concentration of dissolved substances. The total suspended solids are very low (0.01 mg/L), and chlorine and bromine are undetectable (&lt;0.01 mg/L). The water has high alkalinity (3322.48 µeq/L) and hardness (4033.43 mg/L), but low salinity (7.5 mg/L). The turbidity was very low (0.013 NTU), and the dissolved oxygen level is low (2 mg/L). The biochemical oxygen demand (1.94 mg/L) and chemical oxygen demand (3.41 mg/L) are also low. Nutrient levels, including nitrate (1.982 mg/L), sulphate (0.929 mg/L), and phosphate (0.231 mg/L), are low. However, the total hydrocarbon content was high (220 mg/L). The water was clear and has no unpleasant </w:t>
      </w:r>
      <w:proofErr w:type="spellStart"/>
      <w:r w:rsidRPr="00E73476">
        <w:rPr>
          <w:rFonts w:ascii="Times New Roman" w:eastAsia="Calibri" w:hAnsi="Times New Roman" w:cs="Times New Roman"/>
          <w:bCs/>
          <w:kern w:val="0"/>
          <w14:ligatures w14:val="none"/>
        </w:rPr>
        <w:t>odour</w:t>
      </w:r>
      <w:proofErr w:type="spellEnd"/>
      <w:r w:rsidRPr="00E73476">
        <w:rPr>
          <w:rFonts w:ascii="Times New Roman" w:eastAsia="Calibri" w:hAnsi="Times New Roman" w:cs="Times New Roman"/>
          <w:bCs/>
          <w:kern w:val="0"/>
          <w14:ligatures w14:val="none"/>
        </w:rPr>
        <w:t>.</w:t>
      </w:r>
    </w:p>
    <w:p w14:paraId="4D672235"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8983C7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5354B30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7365729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A6486E8"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613811C9"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444BADA9"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5EA7456" w14:textId="3F0F2D5A"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Table 2 Physicochemical </w:t>
      </w:r>
      <w:bookmarkStart w:id="4" w:name="_Hlk173683836"/>
      <w:r w:rsidRPr="00E73476">
        <w:rPr>
          <w:rFonts w:ascii="Times New Roman" w:eastAsia="Calibri" w:hAnsi="Times New Roman" w:cs="Times New Roman"/>
          <w:b/>
          <w:kern w:val="0"/>
          <w14:ligatures w14:val="none"/>
        </w:rPr>
        <w:t xml:space="preserve">Characteristics of the Marine Water Sample </w:t>
      </w:r>
      <w:bookmarkEnd w:id="4"/>
    </w:p>
    <w:p w14:paraId="35302D2D"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3DA9B452" w14:textId="77777777" w:rsidR="003B533E" w:rsidRPr="00E73476"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tbl>
      <w:tblPr>
        <w:tblStyle w:val="TableGrid"/>
        <w:tblW w:w="0" w:type="auto"/>
        <w:tblInd w:w="3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1516"/>
        <w:gridCol w:w="1818"/>
      </w:tblGrid>
      <w:tr w:rsidR="00E73476" w:rsidRPr="00E73476" w14:paraId="60F86062" w14:textId="77777777" w:rsidTr="00280975">
        <w:tc>
          <w:tcPr>
            <w:tcW w:w="4016" w:type="dxa"/>
            <w:tcBorders>
              <w:top w:val="single" w:sz="4" w:space="0" w:color="auto"/>
              <w:bottom w:val="single" w:sz="4" w:space="0" w:color="auto"/>
            </w:tcBorders>
          </w:tcPr>
          <w:p w14:paraId="5E7DBA6B" w14:textId="77777777" w:rsidR="00E73476" w:rsidRPr="00E73476" w:rsidRDefault="00E73476" w:rsidP="007B60C0">
            <w:pPr>
              <w:autoSpaceDE w:val="0"/>
              <w:autoSpaceDN w:val="0"/>
              <w:adjustRightInd w:val="0"/>
              <w:ind w:left="720"/>
              <w:jc w:val="both"/>
              <w:rPr>
                <w:rFonts w:ascii="Times New Roman" w:eastAsia="Calibri" w:hAnsi="Times New Roman" w:cs="Times New Roman"/>
                <w:b/>
              </w:rPr>
            </w:pPr>
            <w:r w:rsidRPr="00E73476">
              <w:rPr>
                <w:rFonts w:ascii="Times New Roman" w:eastAsia="Calibri" w:hAnsi="Times New Roman" w:cs="Times New Roman"/>
              </w:rPr>
              <w:t>Parameter</w:t>
            </w:r>
          </w:p>
        </w:tc>
        <w:tc>
          <w:tcPr>
            <w:tcW w:w="1080" w:type="dxa"/>
            <w:tcBorders>
              <w:top w:val="single" w:sz="4" w:space="0" w:color="auto"/>
              <w:bottom w:val="single" w:sz="4" w:space="0" w:color="auto"/>
            </w:tcBorders>
          </w:tcPr>
          <w:p w14:paraId="18657709" w14:textId="77777777" w:rsidR="00E73476" w:rsidRPr="00E73476" w:rsidRDefault="00E73476" w:rsidP="007B60C0">
            <w:pPr>
              <w:autoSpaceDE w:val="0"/>
              <w:autoSpaceDN w:val="0"/>
              <w:adjustRightInd w:val="0"/>
              <w:ind w:left="720"/>
              <w:jc w:val="both"/>
              <w:rPr>
                <w:rFonts w:ascii="Times New Roman" w:eastAsia="Calibri" w:hAnsi="Times New Roman" w:cs="Times New Roman"/>
                <w:b/>
              </w:rPr>
            </w:pPr>
            <w:r w:rsidRPr="00E73476">
              <w:rPr>
                <w:rFonts w:ascii="Times New Roman" w:eastAsia="Calibri" w:hAnsi="Times New Roman" w:cs="Times New Roman"/>
              </w:rPr>
              <w:t>Unit</w:t>
            </w:r>
          </w:p>
        </w:tc>
        <w:tc>
          <w:tcPr>
            <w:tcW w:w="1818" w:type="dxa"/>
            <w:tcBorders>
              <w:top w:val="single" w:sz="4" w:space="0" w:color="auto"/>
              <w:bottom w:val="single" w:sz="4" w:space="0" w:color="auto"/>
            </w:tcBorders>
          </w:tcPr>
          <w:p w14:paraId="079457C9" w14:textId="77777777" w:rsidR="00E73476" w:rsidRPr="00E73476" w:rsidRDefault="00E73476" w:rsidP="007B60C0">
            <w:pPr>
              <w:autoSpaceDE w:val="0"/>
              <w:autoSpaceDN w:val="0"/>
              <w:adjustRightInd w:val="0"/>
              <w:ind w:left="720"/>
              <w:jc w:val="both"/>
              <w:rPr>
                <w:rFonts w:ascii="Times New Roman" w:eastAsia="Calibri" w:hAnsi="Times New Roman" w:cs="Times New Roman"/>
                <w:b/>
              </w:rPr>
            </w:pPr>
            <w:r w:rsidRPr="00E73476">
              <w:rPr>
                <w:rFonts w:ascii="Times New Roman" w:eastAsia="Calibri" w:hAnsi="Times New Roman" w:cs="Times New Roman"/>
              </w:rPr>
              <w:t>Result</w:t>
            </w:r>
          </w:p>
        </w:tc>
      </w:tr>
      <w:tr w:rsidR="00E73476" w:rsidRPr="00E73476" w14:paraId="0EA092CF" w14:textId="77777777" w:rsidTr="00280975">
        <w:tc>
          <w:tcPr>
            <w:tcW w:w="4016" w:type="dxa"/>
            <w:tcBorders>
              <w:top w:val="single" w:sz="4" w:space="0" w:color="auto"/>
            </w:tcBorders>
          </w:tcPr>
          <w:p w14:paraId="33966971"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Temperature</w:t>
            </w:r>
          </w:p>
        </w:tc>
        <w:tc>
          <w:tcPr>
            <w:tcW w:w="1080" w:type="dxa"/>
            <w:tcBorders>
              <w:top w:val="single" w:sz="4" w:space="0" w:color="auto"/>
            </w:tcBorders>
          </w:tcPr>
          <w:p w14:paraId="2C57E5B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°C</w:t>
            </w:r>
          </w:p>
        </w:tc>
        <w:tc>
          <w:tcPr>
            <w:tcW w:w="1818" w:type="dxa"/>
            <w:tcBorders>
              <w:top w:val="single" w:sz="4" w:space="0" w:color="auto"/>
            </w:tcBorders>
          </w:tcPr>
          <w:p w14:paraId="4314C39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30</w:t>
            </w:r>
          </w:p>
        </w:tc>
      </w:tr>
      <w:tr w:rsidR="00E73476" w:rsidRPr="00E73476" w14:paraId="5150B2C0" w14:textId="77777777" w:rsidTr="00280975">
        <w:tc>
          <w:tcPr>
            <w:tcW w:w="4016" w:type="dxa"/>
          </w:tcPr>
          <w:p w14:paraId="412CDAF4"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pH</w:t>
            </w:r>
          </w:p>
        </w:tc>
        <w:tc>
          <w:tcPr>
            <w:tcW w:w="1080" w:type="dxa"/>
          </w:tcPr>
          <w:p w14:paraId="70D88E9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w:t>
            </w:r>
          </w:p>
        </w:tc>
        <w:tc>
          <w:tcPr>
            <w:tcW w:w="1818" w:type="dxa"/>
          </w:tcPr>
          <w:p w14:paraId="3EE42448"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7.6</w:t>
            </w:r>
          </w:p>
        </w:tc>
      </w:tr>
      <w:tr w:rsidR="00E73476" w:rsidRPr="00E73476" w14:paraId="14A73B0E" w14:textId="77777777" w:rsidTr="00280975">
        <w:tc>
          <w:tcPr>
            <w:tcW w:w="4016" w:type="dxa"/>
          </w:tcPr>
          <w:p w14:paraId="1FE64C5D"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Total Dissolved Solids (TDS)</w:t>
            </w:r>
          </w:p>
        </w:tc>
        <w:tc>
          <w:tcPr>
            <w:tcW w:w="1080" w:type="dxa"/>
          </w:tcPr>
          <w:p w14:paraId="610C52B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30CF1D63"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59330</w:t>
            </w:r>
          </w:p>
        </w:tc>
      </w:tr>
      <w:tr w:rsidR="00E73476" w:rsidRPr="00E73476" w14:paraId="5C50ADD1" w14:textId="77777777" w:rsidTr="00280975">
        <w:tc>
          <w:tcPr>
            <w:tcW w:w="4016" w:type="dxa"/>
          </w:tcPr>
          <w:p w14:paraId="6E9144A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Electrical Conductivity (EC)</w:t>
            </w:r>
          </w:p>
        </w:tc>
        <w:tc>
          <w:tcPr>
            <w:tcW w:w="1080" w:type="dxa"/>
          </w:tcPr>
          <w:p w14:paraId="5602A55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µS/cm</w:t>
            </w:r>
          </w:p>
        </w:tc>
        <w:tc>
          <w:tcPr>
            <w:tcW w:w="1818" w:type="dxa"/>
          </w:tcPr>
          <w:p w14:paraId="3E8DADC8"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12300</w:t>
            </w:r>
          </w:p>
        </w:tc>
      </w:tr>
      <w:tr w:rsidR="00E73476" w:rsidRPr="00E73476" w14:paraId="580A7ED2" w14:textId="77777777" w:rsidTr="00280975">
        <w:tc>
          <w:tcPr>
            <w:tcW w:w="4016" w:type="dxa"/>
          </w:tcPr>
          <w:p w14:paraId="1E2914CD"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Total Suspended Solids (TSS)</w:t>
            </w:r>
          </w:p>
        </w:tc>
        <w:tc>
          <w:tcPr>
            <w:tcW w:w="1080" w:type="dxa"/>
          </w:tcPr>
          <w:p w14:paraId="290FC933"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5DA6835D"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0.01</w:t>
            </w:r>
          </w:p>
        </w:tc>
      </w:tr>
      <w:tr w:rsidR="00E73476" w:rsidRPr="00E73476" w14:paraId="00E09B1B" w14:textId="77777777" w:rsidTr="00280975">
        <w:tc>
          <w:tcPr>
            <w:tcW w:w="4016" w:type="dxa"/>
          </w:tcPr>
          <w:p w14:paraId="25B017A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Chlorine</w:t>
            </w:r>
          </w:p>
        </w:tc>
        <w:tc>
          <w:tcPr>
            <w:tcW w:w="1080" w:type="dxa"/>
          </w:tcPr>
          <w:p w14:paraId="6F893C6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7EE0607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&lt;0.01</w:t>
            </w:r>
          </w:p>
        </w:tc>
      </w:tr>
      <w:tr w:rsidR="00E73476" w:rsidRPr="00E73476" w14:paraId="6B9B3D5B" w14:textId="77777777" w:rsidTr="00280975">
        <w:tc>
          <w:tcPr>
            <w:tcW w:w="4016" w:type="dxa"/>
          </w:tcPr>
          <w:p w14:paraId="43AB1C5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Bromine</w:t>
            </w:r>
          </w:p>
        </w:tc>
        <w:tc>
          <w:tcPr>
            <w:tcW w:w="1080" w:type="dxa"/>
          </w:tcPr>
          <w:p w14:paraId="166C3FE2"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51DB781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&lt;0.01</w:t>
            </w:r>
          </w:p>
        </w:tc>
      </w:tr>
      <w:tr w:rsidR="00E73476" w:rsidRPr="00E73476" w14:paraId="6A81DA9F" w14:textId="77777777" w:rsidTr="00280975">
        <w:tc>
          <w:tcPr>
            <w:tcW w:w="4016" w:type="dxa"/>
          </w:tcPr>
          <w:p w14:paraId="3D8DC9F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Alkalinity</w:t>
            </w:r>
          </w:p>
        </w:tc>
        <w:tc>
          <w:tcPr>
            <w:tcW w:w="1080" w:type="dxa"/>
          </w:tcPr>
          <w:p w14:paraId="0388DC0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µeq/L</w:t>
            </w:r>
          </w:p>
        </w:tc>
        <w:tc>
          <w:tcPr>
            <w:tcW w:w="1818" w:type="dxa"/>
          </w:tcPr>
          <w:p w14:paraId="346D91D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3322.48</w:t>
            </w:r>
          </w:p>
        </w:tc>
      </w:tr>
      <w:tr w:rsidR="00E73476" w:rsidRPr="00E73476" w14:paraId="6E34AB49" w14:textId="77777777" w:rsidTr="00280975">
        <w:tc>
          <w:tcPr>
            <w:tcW w:w="4016" w:type="dxa"/>
          </w:tcPr>
          <w:p w14:paraId="12ACF1F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Hardness</w:t>
            </w:r>
          </w:p>
        </w:tc>
        <w:tc>
          <w:tcPr>
            <w:tcW w:w="1080" w:type="dxa"/>
          </w:tcPr>
          <w:p w14:paraId="0FCB28F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7FEE25F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4033.43</w:t>
            </w:r>
          </w:p>
        </w:tc>
      </w:tr>
      <w:tr w:rsidR="00E73476" w:rsidRPr="00E73476" w14:paraId="79B5233C" w14:textId="77777777" w:rsidTr="00280975">
        <w:tc>
          <w:tcPr>
            <w:tcW w:w="4016" w:type="dxa"/>
          </w:tcPr>
          <w:p w14:paraId="759BEEE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Salinity</w:t>
            </w:r>
          </w:p>
        </w:tc>
        <w:tc>
          <w:tcPr>
            <w:tcW w:w="1080" w:type="dxa"/>
          </w:tcPr>
          <w:p w14:paraId="7A28F698"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10892DF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7.5</w:t>
            </w:r>
          </w:p>
        </w:tc>
      </w:tr>
      <w:tr w:rsidR="00E73476" w:rsidRPr="00E73476" w14:paraId="03618CB2" w14:textId="77777777" w:rsidTr="00280975">
        <w:tc>
          <w:tcPr>
            <w:tcW w:w="4016" w:type="dxa"/>
          </w:tcPr>
          <w:p w14:paraId="3515B214"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Turbidity</w:t>
            </w:r>
          </w:p>
        </w:tc>
        <w:tc>
          <w:tcPr>
            <w:tcW w:w="1080" w:type="dxa"/>
          </w:tcPr>
          <w:p w14:paraId="1C5D77B8"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NTU</w:t>
            </w:r>
          </w:p>
        </w:tc>
        <w:tc>
          <w:tcPr>
            <w:tcW w:w="1818" w:type="dxa"/>
          </w:tcPr>
          <w:p w14:paraId="48C68823"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0.013</w:t>
            </w:r>
          </w:p>
        </w:tc>
      </w:tr>
      <w:tr w:rsidR="00E73476" w:rsidRPr="00E73476" w14:paraId="782FAE8D" w14:textId="77777777" w:rsidTr="00280975">
        <w:tc>
          <w:tcPr>
            <w:tcW w:w="4016" w:type="dxa"/>
          </w:tcPr>
          <w:p w14:paraId="505F444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Dissolved Oxygen (DO)</w:t>
            </w:r>
          </w:p>
        </w:tc>
        <w:tc>
          <w:tcPr>
            <w:tcW w:w="1080" w:type="dxa"/>
          </w:tcPr>
          <w:p w14:paraId="71CC54A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46D86F3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2</w:t>
            </w:r>
          </w:p>
        </w:tc>
      </w:tr>
      <w:tr w:rsidR="00E73476" w:rsidRPr="00E73476" w14:paraId="0ACA5B80" w14:textId="77777777" w:rsidTr="00280975">
        <w:tc>
          <w:tcPr>
            <w:tcW w:w="4016" w:type="dxa"/>
          </w:tcPr>
          <w:p w14:paraId="5848570D"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 xml:space="preserve">  Biochemical Oxygen Demand (BOD)</w:t>
            </w:r>
          </w:p>
        </w:tc>
        <w:tc>
          <w:tcPr>
            <w:tcW w:w="1080" w:type="dxa"/>
          </w:tcPr>
          <w:p w14:paraId="6A40631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 xml:space="preserve">  mg/L</w:t>
            </w:r>
          </w:p>
        </w:tc>
        <w:tc>
          <w:tcPr>
            <w:tcW w:w="1818" w:type="dxa"/>
          </w:tcPr>
          <w:p w14:paraId="432558B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1.94</w:t>
            </w:r>
          </w:p>
        </w:tc>
      </w:tr>
      <w:tr w:rsidR="00E73476" w:rsidRPr="00E73476" w14:paraId="15351C32" w14:textId="77777777" w:rsidTr="00280975">
        <w:tc>
          <w:tcPr>
            <w:tcW w:w="4016" w:type="dxa"/>
          </w:tcPr>
          <w:p w14:paraId="1024F54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Chemical Oxygen Demand (COD)</w:t>
            </w:r>
          </w:p>
        </w:tc>
        <w:tc>
          <w:tcPr>
            <w:tcW w:w="1080" w:type="dxa"/>
          </w:tcPr>
          <w:p w14:paraId="74E1511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02F1E6E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3.41</w:t>
            </w:r>
          </w:p>
        </w:tc>
      </w:tr>
      <w:tr w:rsidR="00E73476" w:rsidRPr="00E73476" w14:paraId="1C8543B4" w14:textId="77777777" w:rsidTr="00280975">
        <w:tc>
          <w:tcPr>
            <w:tcW w:w="4016" w:type="dxa"/>
          </w:tcPr>
          <w:p w14:paraId="31875494"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Nitrate</w:t>
            </w:r>
          </w:p>
        </w:tc>
        <w:tc>
          <w:tcPr>
            <w:tcW w:w="1080" w:type="dxa"/>
          </w:tcPr>
          <w:p w14:paraId="2FC474E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1EC5922B"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1.982</w:t>
            </w:r>
          </w:p>
        </w:tc>
      </w:tr>
      <w:tr w:rsidR="00E73476" w:rsidRPr="00E73476" w14:paraId="656A2B94" w14:textId="77777777" w:rsidTr="00280975">
        <w:tc>
          <w:tcPr>
            <w:tcW w:w="4016" w:type="dxa"/>
          </w:tcPr>
          <w:p w14:paraId="3F832031"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Sulphate</w:t>
            </w:r>
          </w:p>
        </w:tc>
        <w:tc>
          <w:tcPr>
            <w:tcW w:w="1080" w:type="dxa"/>
          </w:tcPr>
          <w:p w14:paraId="2476BC7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7A27D6D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0.929</w:t>
            </w:r>
          </w:p>
        </w:tc>
      </w:tr>
      <w:tr w:rsidR="00E73476" w:rsidRPr="00E73476" w14:paraId="569EF5F4" w14:textId="77777777" w:rsidTr="00280975">
        <w:tc>
          <w:tcPr>
            <w:tcW w:w="4016" w:type="dxa"/>
          </w:tcPr>
          <w:p w14:paraId="3516CA92"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Phosphate</w:t>
            </w:r>
          </w:p>
        </w:tc>
        <w:tc>
          <w:tcPr>
            <w:tcW w:w="1080" w:type="dxa"/>
          </w:tcPr>
          <w:p w14:paraId="46661BE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5649571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0.231</w:t>
            </w:r>
          </w:p>
        </w:tc>
      </w:tr>
      <w:tr w:rsidR="00E73476" w:rsidRPr="00E73476" w14:paraId="1019E84A" w14:textId="77777777" w:rsidTr="00280975">
        <w:tc>
          <w:tcPr>
            <w:tcW w:w="4016" w:type="dxa"/>
          </w:tcPr>
          <w:p w14:paraId="2B4E815C"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Total Hydrocarbon Content (THC)</w:t>
            </w:r>
          </w:p>
        </w:tc>
        <w:tc>
          <w:tcPr>
            <w:tcW w:w="1080" w:type="dxa"/>
          </w:tcPr>
          <w:p w14:paraId="7DC5799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1BD6878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220</w:t>
            </w:r>
          </w:p>
        </w:tc>
      </w:tr>
      <w:tr w:rsidR="00E73476" w:rsidRPr="00E73476" w14:paraId="2F8C086A" w14:textId="77777777" w:rsidTr="00280975">
        <w:tc>
          <w:tcPr>
            <w:tcW w:w="4016" w:type="dxa"/>
          </w:tcPr>
          <w:p w14:paraId="4CF112BC"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proofErr w:type="spellStart"/>
            <w:r w:rsidRPr="00E73476">
              <w:rPr>
                <w:rFonts w:ascii="Times New Roman" w:eastAsia="Calibri" w:hAnsi="Times New Roman" w:cs="Times New Roman"/>
              </w:rPr>
              <w:t>Colour</w:t>
            </w:r>
            <w:proofErr w:type="spellEnd"/>
          </w:p>
        </w:tc>
        <w:tc>
          <w:tcPr>
            <w:tcW w:w="1080" w:type="dxa"/>
          </w:tcPr>
          <w:p w14:paraId="57688472"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w:t>
            </w:r>
          </w:p>
        </w:tc>
        <w:tc>
          <w:tcPr>
            <w:tcW w:w="1818" w:type="dxa"/>
          </w:tcPr>
          <w:p w14:paraId="5FADF48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Clear</w:t>
            </w:r>
          </w:p>
        </w:tc>
      </w:tr>
      <w:tr w:rsidR="00E73476" w:rsidRPr="00E73476" w14:paraId="6FAF7391" w14:textId="77777777" w:rsidTr="00280975">
        <w:tc>
          <w:tcPr>
            <w:tcW w:w="4016" w:type="dxa"/>
          </w:tcPr>
          <w:p w14:paraId="2A2B84A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proofErr w:type="spellStart"/>
            <w:r w:rsidRPr="00E73476">
              <w:rPr>
                <w:rFonts w:ascii="Times New Roman" w:eastAsia="Calibri" w:hAnsi="Times New Roman" w:cs="Times New Roman"/>
              </w:rPr>
              <w:t>Odour</w:t>
            </w:r>
            <w:proofErr w:type="spellEnd"/>
          </w:p>
        </w:tc>
        <w:tc>
          <w:tcPr>
            <w:tcW w:w="1080" w:type="dxa"/>
          </w:tcPr>
          <w:p w14:paraId="628CD2B5"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w:t>
            </w:r>
          </w:p>
        </w:tc>
        <w:tc>
          <w:tcPr>
            <w:tcW w:w="1818" w:type="dxa"/>
          </w:tcPr>
          <w:p w14:paraId="4F7C540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proofErr w:type="spellStart"/>
            <w:r w:rsidRPr="00E73476">
              <w:rPr>
                <w:rFonts w:ascii="Times New Roman" w:eastAsia="Calibri" w:hAnsi="Times New Roman" w:cs="Times New Roman"/>
              </w:rPr>
              <w:t>Unobj</w:t>
            </w:r>
            <w:proofErr w:type="spellEnd"/>
            <w:r w:rsidRPr="00E73476">
              <w:rPr>
                <w:rFonts w:ascii="Times New Roman" w:eastAsia="Calibri" w:hAnsi="Times New Roman" w:cs="Times New Roman"/>
              </w:rPr>
              <w:t>.</w:t>
            </w:r>
          </w:p>
        </w:tc>
      </w:tr>
    </w:tbl>
    <w:p w14:paraId="38F16D4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b/>
          <w:kern w:val="0"/>
          <w14:ligatures w14:val="none"/>
        </w:rPr>
        <w:t xml:space="preserve">Key: </w:t>
      </w:r>
      <w:proofErr w:type="spellStart"/>
      <w:r w:rsidRPr="00E73476">
        <w:rPr>
          <w:rFonts w:ascii="Times New Roman" w:eastAsia="Calibri" w:hAnsi="Times New Roman" w:cs="Times New Roman"/>
          <w:kern w:val="0"/>
          <w14:ligatures w14:val="none"/>
        </w:rPr>
        <w:t>Unobj</w:t>
      </w:r>
      <w:proofErr w:type="spellEnd"/>
      <w:r w:rsidRPr="00E73476">
        <w:rPr>
          <w:rFonts w:ascii="Times New Roman" w:eastAsia="Calibri" w:hAnsi="Times New Roman" w:cs="Times New Roman"/>
          <w:kern w:val="0"/>
          <w14:ligatures w14:val="none"/>
        </w:rPr>
        <w:t>. = Unobjectionable to smell.</w:t>
      </w:r>
      <w:bookmarkEnd w:id="3"/>
    </w:p>
    <w:p w14:paraId="20F9E9F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bookmarkStart w:id="5" w:name="_Hlk172834008"/>
    </w:p>
    <w:p w14:paraId="2E91E39A" w14:textId="15C0F6B1"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The marine water sample contains a significant population of total heterotrophic bacteria, with a count of 1.45 ± 0.06 x 10^9 CFU/m</w:t>
      </w:r>
      <w:r w:rsidR="00EC7527">
        <w:rPr>
          <w:rFonts w:ascii="Times New Roman" w:eastAsia="Calibri" w:hAnsi="Times New Roman" w:cs="Times New Roman"/>
          <w:bCs/>
          <w:kern w:val="0"/>
          <w14:ligatures w14:val="none"/>
        </w:rPr>
        <w:t>l</w:t>
      </w:r>
      <w:r w:rsidRPr="00E73476">
        <w:rPr>
          <w:rFonts w:ascii="Times New Roman" w:eastAsia="Calibri" w:hAnsi="Times New Roman" w:cs="Times New Roman"/>
          <w:bCs/>
          <w:kern w:val="0"/>
          <w14:ligatures w14:val="none"/>
        </w:rPr>
        <w:t>. The total fungi count is also notable, at 1.45 ± 0.47 x 10^5 CFU/</w:t>
      </w:r>
      <w:proofErr w:type="spellStart"/>
      <w:r w:rsidRPr="00E73476">
        <w:rPr>
          <w:rFonts w:ascii="Times New Roman" w:eastAsia="Calibri" w:hAnsi="Times New Roman" w:cs="Times New Roman"/>
          <w:bCs/>
          <w:kern w:val="0"/>
          <w14:ligatures w14:val="none"/>
        </w:rPr>
        <w:t>mL.</w:t>
      </w:r>
      <w:proofErr w:type="spellEnd"/>
      <w:r w:rsidRPr="00E73476">
        <w:rPr>
          <w:rFonts w:ascii="Times New Roman" w:eastAsia="Calibri" w:hAnsi="Times New Roman" w:cs="Times New Roman"/>
          <w:bCs/>
          <w:kern w:val="0"/>
          <w14:ligatures w14:val="none"/>
        </w:rPr>
        <w:t xml:space="preserve"> Additionally, the sample contains drilling fluids utilizing bacteria, with a count of 1.07 ± 0.08 x 10^5 CFU/m</w:t>
      </w:r>
      <w:r w:rsidR="00EC7527">
        <w:rPr>
          <w:rFonts w:ascii="Times New Roman" w:eastAsia="Calibri" w:hAnsi="Times New Roman" w:cs="Times New Roman"/>
          <w:bCs/>
          <w:kern w:val="0"/>
          <w14:ligatures w14:val="none"/>
        </w:rPr>
        <w:t>l</w:t>
      </w:r>
      <w:r w:rsidRPr="00E73476">
        <w:rPr>
          <w:rFonts w:ascii="Times New Roman" w:eastAsia="Calibri" w:hAnsi="Times New Roman" w:cs="Times New Roman"/>
          <w:bCs/>
          <w:kern w:val="0"/>
          <w14:ligatures w14:val="none"/>
        </w:rPr>
        <w:t>, and drilling fluids utilizing fungi, with a count of 5.67 ± 0.58 x 10^3 CF</w:t>
      </w:r>
      <w:r w:rsidR="008A2ABA">
        <w:rPr>
          <w:rFonts w:ascii="Times New Roman" w:eastAsia="Calibri" w:hAnsi="Times New Roman" w:cs="Times New Roman"/>
          <w:bCs/>
          <w:kern w:val="0"/>
          <w14:ligatures w14:val="none"/>
        </w:rPr>
        <w:t xml:space="preserve"> </w:t>
      </w:r>
      <w:r w:rsidRPr="00E73476">
        <w:rPr>
          <w:rFonts w:ascii="Times New Roman" w:eastAsia="Calibri" w:hAnsi="Times New Roman" w:cs="Times New Roman"/>
          <w:bCs/>
          <w:kern w:val="0"/>
          <w14:ligatures w14:val="none"/>
        </w:rPr>
        <w:t>U/m</w:t>
      </w:r>
      <w:r w:rsidR="00EC7527">
        <w:rPr>
          <w:rFonts w:ascii="Times New Roman" w:eastAsia="Calibri" w:hAnsi="Times New Roman" w:cs="Times New Roman"/>
          <w:bCs/>
          <w:kern w:val="0"/>
          <w14:ligatures w14:val="none"/>
        </w:rPr>
        <w:t>l</w:t>
      </w:r>
      <w:r w:rsidRPr="00E73476">
        <w:rPr>
          <w:rFonts w:ascii="Times New Roman" w:eastAsia="Calibri" w:hAnsi="Times New Roman" w:cs="Times New Roman"/>
          <w:bCs/>
          <w:kern w:val="0"/>
          <w14:ligatures w14:val="none"/>
        </w:rPr>
        <w:t>. These microorganisms indicate that the water sample has the potential for biodegradation of drilling fluids. The presence of these microorganisms suggests that the water sample may be capable of breaking down and utilizing the drilling fluids.</w:t>
      </w:r>
    </w:p>
    <w:p w14:paraId="1E1A4228" w14:textId="77777777" w:rsidR="003B533E" w:rsidRPr="00E73476" w:rsidRDefault="003B533E"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2DD5653C" w14:textId="3F764EB3"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Table 3: Microbiological Characteristics of the Marine Water Sample </w:t>
      </w:r>
      <w:r w:rsidR="00F33EDF">
        <w:rPr>
          <w:rFonts w:ascii="Times New Roman" w:eastAsia="Calibri" w:hAnsi="Times New Roman" w:cs="Times New Roman"/>
          <w:b/>
          <w:kern w:val="0"/>
          <w14:ligatures w14:val="none"/>
        </w:rPr>
        <w:t xml:space="preserve"> </w:t>
      </w:r>
    </w:p>
    <w:tbl>
      <w:tblPr>
        <w:tblStyle w:val="TableGrid"/>
        <w:tblW w:w="0" w:type="auto"/>
        <w:tblInd w:w="304" w:type="dxa"/>
        <w:tblLook w:val="04A0" w:firstRow="1" w:lastRow="0" w:firstColumn="1" w:lastColumn="0" w:noHBand="0" w:noVBand="1"/>
      </w:tblPr>
      <w:tblGrid>
        <w:gridCol w:w="4191"/>
        <w:gridCol w:w="3870"/>
      </w:tblGrid>
      <w:tr w:rsidR="008570E7" w:rsidRPr="00E73476" w14:paraId="2C37DA6B" w14:textId="77777777" w:rsidTr="008570E7">
        <w:tc>
          <w:tcPr>
            <w:tcW w:w="4191" w:type="dxa"/>
          </w:tcPr>
          <w:p w14:paraId="6E9983EA" w14:textId="77777777" w:rsidR="008570E7" w:rsidRPr="00E73476" w:rsidRDefault="008570E7" w:rsidP="007B60C0">
            <w:pPr>
              <w:autoSpaceDE w:val="0"/>
              <w:autoSpaceDN w:val="0"/>
              <w:adjustRightInd w:val="0"/>
              <w:ind w:left="720"/>
              <w:jc w:val="both"/>
              <w:rPr>
                <w:rFonts w:ascii="Times New Roman" w:eastAsia="Calibri" w:hAnsi="Times New Roman" w:cs="Times New Roman"/>
                <w:b/>
                <w:bCs/>
              </w:rPr>
            </w:pPr>
            <w:r w:rsidRPr="00E73476">
              <w:rPr>
                <w:rFonts w:ascii="Times New Roman" w:eastAsia="Calibri" w:hAnsi="Times New Roman" w:cs="Times New Roman"/>
                <w:b/>
                <w:bCs/>
              </w:rPr>
              <w:t>Microbiological</w:t>
            </w:r>
          </w:p>
        </w:tc>
        <w:tc>
          <w:tcPr>
            <w:tcW w:w="3870" w:type="dxa"/>
          </w:tcPr>
          <w:p w14:paraId="038A1CD2" w14:textId="77777777" w:rsidR="008570E7" w:rsidRPr="00E73476" w:rsidRDefault="008570E7" w:rsidP="007B60C0">
            <w:pPr>
              <w:autoSpaceDE w:val="0"/>
              <w:autoSpaceDN w:val="0"/>
              <w:adjustRightInd w:val="0"/>
              <w:ind w:left="720"/>
              <w:jc w:val="both"/>
              <w:rPr>
                <w:rFonts w:ascii="Times New Roman" w:eastAsia="Calibri" w:hAnsi="Times New Roman" w:cs="Times New Roman"/>
                <w:b/>
                <w:bCs/>
              </w:rPr>
            </w:pPr>
            <w:r w:rsidRPr="00E73476">
              <w:rPr>
                <w:rFonts w:ascii="Times New Roman" w:eastAsia="Calibri" w:hAnsi="Times New Roman" w:cs="Times New Roman"/>
                <w:b/>
                <w:bCs/>
              </w:rPr>
              <w:t>Marine Water</w:t>
            </w:r>
          </w:p>
          <w:p w14:paraId="648061E1" w14:textId="77777777" w:rsidR="008570E7" w:rsidRPr="00E73476" w:rsidRDefault="008570E7" w:rsidP="007B60C0">
            <w:pPr>
              <w:autoSpaceDE w:val="0"/>
              <w:autoSpaceDN w:val="0"/>
              <w:adjustRightInd w:val="0"/>
              <w:ind w:left="720"/>
              <w:jc w:val="both"/>
              <w:rPr>
                <w:rFonts w:ascii="Times New Roman" w:eastAsia="Calibri" w:hAnsi="Times New Roman" w:cs="Times New Roman"/>
                <w:b/>
                <w:bCs/>
              </w:rPr>
            </w:pPr>
          </w:p>
        </w:tc>
      </w:tr>
      <w:tr w:rsidR="008570E7" w:rsidRPr="00E73476" w14:paraId="62B69920" w14:textId="77777777" w:rsidTr="008570E7">
        <w:tc>
          <w:tcPr>
            <w:tcW w:w="4191" w:type="dxa"/>
          </w:tcPr>
          <w:p w14:paraId="75C30100"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THB</w:t>
            </w:r>
          </w:p>
        </w:tc>
        <w:tc>
          <w:tcPr>
            <w:tcW w:w="3870" w:type="dxa"/>
          </w:tcPr>
          <w:p w14:paraId="09BD649B" w14:textId="0F2BA37D" w:rsidR="008570E7" w:rsidRPr="008570E7"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1.45±0.06</w:t>
            </w:r>
            <w:r>
              <w:rPr>
                <w:rFonts w:ascii="Times New Roman" w:eastAsia="Calibri" w:hAnsi="Times New Roman" w:cs="Times New Roman"/>
              </w:rPr>
              <w:t>×10</w:t>
            </w:r>
            <w:r>
              <w:rPr>
                <w:rFonts w:ascii="Times New Roman" w:eastAsia="Calibri" w:hAnsi="Times New Roman" w:cs="Times New Roman"/>
                <w:vertAlign w:val="superscript"/>
              </w:rPr>
              <w:t>9</w:t>
            </w:r>
            <w:r>
              <w:rPr>
                <w:rFonts w:ascii="Times New Roman" w:eastAsia="Calibri" w:hAnsi="Times New Roman" w:cs="Times New Roman"/>
              </w:rPr>
              <w:t>CFU/ml</w:t>
            </w:r>
          </w:p>
          <w:p w14:paraId="41C94DB3"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p>
        </w:tc>
      </w:tr>
      <w:tr w:rsidR="008570E7" w:rsidRPr="00E73476" w14:paraId="693E1D6E" w14:textId="77777777" w:rsidTr="008570E7">
        <w:tc>
          <w:tcPr>
            <w:tcW w:w="4191" w:type="dxa"/>
          </w:tcPr>
          <w:p w14:paraId="121D5D4F"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TFC</w:t>
            </w:r>
          </w:p>
        </w:tc>
        <w:tc>
          <w:tcPr>
            <w:tcW w:w="3870" w:type="dxa"/>
          </w:tcPr>
          <w:p w14:paraId="62A0A677" w14:textId="5597D60B"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1.45±0.47</w:t>
            </w:r>
            <w:r w:rsidR="00F27F17" w:rsidRPr="00F27F17">
              <w:rPr>
                <w:rFonts w:ascii="Times New Roman" w:eastAsia="Calibri" w:hAnsi="Times New Roman" w:cs="Times New Roman"/>
              </w:rPr>
              <w:t>×10</w:t>
            </w:r>
            <w:r w:rsidR="00F27F17">
              <w:rPr>
                <w:rFonts w:ascii="Times New Roman" w:eastAsia="Calibri" w:hAnsi="Times New Roman" w:cs="Times New Roman"/>
                <w:vertAlign w:val="superscript"/>
              </w:rPr>
              <w:t>5</w:t>
            </w:r>
            <w:r w:rsidR="00F27F17" w:rsidRPr="00F27F17">
              <w:rPr>
                <w:rFonts w:ascii="Times New Roman" w:eastAsia="Calibri" w:hAnsi="Times New Roman" w:cs="Times New Roman"/>
              </w:rPr>
              <w:t>CFU/ml</w:t>
            </w:r>
          </w:p>
          <w:p w14:paraId="481F0636"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p>
        </w:tc>
      </w:tr>
      <w:tr w:rsidR="008570E7" w:rsidRPr="00E73476" w14:paraId="5EB8D1CB" w14:textId="77777777" w:rsidTr="008570E7">
        <w:tc>
          <w:tcPr>
            <w:tcW w:w="4191" w:type="dxa"/>
          </w:tcPr>
          <w:p w14:paraId="0EFC00AC"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DFUB</w:t>
            </w:r>
          </w:p>
        </w:tc>
        <w:tc>
          <w:tcPr>
            <w:tcW w:w="3870" w:type="dxa"/>
          </w:tcPr>
          <w:p w14:paraId="7D59CB68" w14:textId="776DB2CE"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1.07±0.08</w:t>
            </w:r>
            <w:r w:rsidR="00F27F17" w:rsidRPr="00F27F17">
              <w:rPr>
                <w:rFonts w:ascii="Times New Roman" w:eastAsia="Calibri" w:hAnsi="Times New Roman" w:cs="Times New Roman"/>
              </w:rPr>
              <w:t>×10</w:t>
            </w:r>
            <w:r w:rsidR="00F27F17">
              <w:rPr>
                <w:rFonts w:ascii="Times New Roman" w:eastAsia="Calibri" w:hAnsi="Times New Roman" w:cs="Times New Roman"/>
                <w:vertAlign w:val="superscript"/>
              </w:rPr>
              <w:t>5</w:t>
            </w:r>
            <w:r w:rsidR="00F27F17" w:rsidRPr="00F27F17">
              <w:rPr>
                <w:rFonts w:ascii="Times New Roman" w:eastAsia="Calibri" w:hAnsi="Times New Roman" w:cs="Times New Roman"/>
              </w:rPr>
              <w:t>CFU/ml</w:t>
            </w:r>
          </w:p>
          <w:p w14:paraId="78DD5954"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p>
        </w:tc>
      </w:tr>
      <w:tr w:rsidR="008570E7" w:rsidRPr="00E73476" w14:paraId="7723B816" w14:textId="77777777" w:rsidTr="008570E7">
        <w:tc>
          <w:tcPr>
            <w:tcW w:w="4191" w:type="dxa"/>
          </w:tcPr>
          <w:p w14:paraId="73553056"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DFUF</w:t>
            </w:r>
          </w:p>
        </w:tc>
        <w:tc>
          <w:tcPr>
            <w:tcW w:w="3870" w:type="dxa"/>
          </w:tcPr>
          <w:p w14:paraId="09BB99EE" w14:textId="25F0587B"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5.67±0.58</w:t>
            </w:r>
            <w:r w:rsidR="00F27F17" w:rsidRPr="00F27F17">
              <w:rPr>
                <w:rFonts w:ascii="Times New Roman" w:eastAsia="Calibri" w:hAnsi="Times New Roman" w:cs="Times New Roman"/>
              </w:rPr>
              <w:t>×10</w:t>
            </w:r>
            <w:r w:rsidR="00F27F17">
              <w:rPr>
                <w:rFonts w:ascii="Times New Roman" w:eastAsia="Calibri" w:hAnsi="Times New Roman" w:cs="Times New Roman"/>
                <w:vertAlign w:val="superscript"/>
              </w:rPr>
              <w:t>3</w:t>
            </w:r>
            <w:r w:rsidR="00F27F17" w:rsidRPr="00F27F17">
              <w:rPr>
                <w:rFonts w:ascii="Times New Roman" w:eastAsia="Calibri" w:hAnsi="Times New Roman" w:cs="Times New Roman"/>
              </w:rPr>
              <w:t>CFU/ml</w:t>
            </w:r>
          </w:p>
          <w:p w14:paraId="7D0D0272"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p>
        </w:tc>
      </w:tr>
    </w:tbl>
    <w:p w14:paraId="305A1AC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bookmarkStart w:id="6" w:name="_Hlk172150404"/>
      <w:r w:rsidRPr="00E73476">
        <w:rPr>
          <w:rFonts w:ascii="Times New Roman" w:eastAsia="Calibri" w:hAnsi="Times New Roman" w:cs="Times New Roman"/>
          <w:b/>
          <w:kern w:val="0"/>
          <w14:ligatures w14:val="none"/>
        </w:rPr>
        <w:t xml:space="preserve">Key: </w:t>
      </w:r>
      <w:r w:rsidRPr="00E73476">
        <w:rPr>
          <w:rFonts w:ascii="Times New Roman" w:eastAsia="Calibri" w:hAnsi="Times New Roman" w:cs="Times New Roman"/>
          <w:kern w:val="0"/>
          <w14:ligatures w14:val="none"/>
        </w:rPr>
        <w:t>THB= Total heterotrophic bacteria, TFC= Total fungi count, DFUB= Drilling Fluids Utilizing Bacteria, DFUF= Drilling Fluids Utilizing Fungi</w:t>
      </w:r>
      <w:bookmarkEnd w:id="5"/>
      <w:bookmarkEnd w:id="6"/>
    </w:p>
    <w:p w14:paraId="0BC1343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lastRenderedPageBreak/>
        <w:t>Physicochemical and Microbiological Properties of Fish Waste before Application for Biodegradation Analysis</w:t>
      </w:r>
    </w:p>
    <w:p w14:paraId="0DFCA3C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fish waste exhibited a temperature of 31.83°C and a slightly acidic pH of 6.28. The high electrical conductivity (13150 µS/cm) and total dissolved solids (65780 mg/L) indicate a highly concentrated solution. Moderate levels of organic pollution were observed, with a biochemical oxygen demand (BOD) of 4.6 mg/L and chemical oxygen demand (COD) of 8.11 mg/L. Nutrient levels were relatively low, with nitrate (12.3 mg/L), phosphate (0.38 mg/L), and sulphate (0.05 mg/L) present in limited quantities. However, high levels of total hydrocarbon content (192.67 mg/L) were detected, posing potential environmental concerns. Microbial analysis revealed moderate total heterotrophic bacteria (THB) counts (1.21±6.56 </w:t>
      </w:r>
      <w:proofErr w:type="spellStart"/>
      <w:r w:rsidRPr="00E73476">
        <w:rPr>
          <w:rFonts w:ascii="Times New Roman" w:eastAsia="Calibri" w:hAnsi="Times New Roman" w:cs="Times New Roman"/>
          <w:kern w:val="0"/>
          <w14:ligatures w14:val="none"/>
        </w:rPr>
        <w:t>cfu</w:t>
      </w:r>
      <w:proofErr w:type="spellEnd"/>
      <w:r w:rsidRPr="00E73476">
        <w:rPr>
          <w:rFonts w:ascii="Times New Roman" w:eastAsia="Calibri" w:hAnsi="Times New Roman" w:cs="Times New Roman"/>
          <w:kern w:val="0"/>
          <w14:ligatures w14:val="none"/>
        </w:rPr>
        <w:t>/ml</w:t>
      </w:r>
      <w:proofErr w:type="gramStart"/>
      <w:r w:rsidRPr="00E73476">
        <w:rPr>
          <w:rFonts w:ascii="Times New Roman" w:eastAsia="Calibri" w:hAnsi="Times New Roman" w:cs="Times New Roman"/>
          <w:kern w:val="0"/>
          <w14:ligatures w14:val="none"/>
        </w:rPr>
        <w:t>)</w:t>
      </w:r>
      <w:proofErr w:type="gramEnd"/>
      <w:r w:rsidRPr="00E73476">
        <w:rPr>
          <w:rFonts w:ascii="Times New Roman" w:eastAsia="Calibri" w:hAnsi="Times New Roman" w:cs="Times New Roman"/>
          <w:kern w:val="0"/>
          <w14:ligatures w14:val="none"/>
        </w:rPr>
        <w:t xml:space="preserve"> and relatively high total fungi counts (TFC) (6.67±1.53 </w:t>
      </w:r>
      <w:proofErr w:type="spellStart"/>
      <w:r w:rsidRPr="00E73476">
        <w:rPr>
          <w:rFonts w:ascii="Times New Roman" w:eastAsia="Calibri" w:hAnsi="Times New Roman" w:cs="Times New Roman"/>
          <w:kern w:val="0"/>
          <w14:ligatures w14:val="none"/>
        </w:rPr>
        <w:t>cfu</w:t>
      </w:r>
      <w:proofErr w:type="spellEnd"/>
      <w:r w:rsidRPr="00E73476">
        <w:rPr>
          <w:rFonts w:ascii="Times New Roman" w:eastAsia="Calibri" w:hAnsi="Times New Roman" w:cs="Times New Roman"/>
          <w:kern w:val="0"/>
          <w14:ligatures w14:val="none"/>
        </w:rPr>
        <w:t>/ml).</w:t>
      </w:r>
    </w:p>
    <w:p w14:paraId="3023F0E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6DDE493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Table 4:</w:t>
      </w:r>
      <w:r w:rsidRPr="00E73476">
        <w:rPr>
          <w:rFonts w:ascii="Times New Roman" w:eastAsia="Calibri" w:hAnsi="Times New Roman" w:cs="Times New Roman"/>
          <w:b/>
          <w:bCs/>
          <w:kern w:val="0"/>
          <w14:ligatures w14:val="none"/>
        </w:rPr>
        <w:tab/>
        <w:t>Fish Waste Profile</w:t>
      </w:r>
    </w:p>
    <w:p w14:paraId="03AC1875"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p>
    <w:tbl>
      <w:tblPr>
        <w:tblW w:w="5101" w:type="dxa"/>
        <w:tblLook w:val="04A0" w:firstRow="1" w:lastRow="0" w:firstColumn="1" w:lastColumn="0" w:noHBand="0" w:noVBand="1"/>
      </w:tblPr>
      <w:tblGrid>
        <w:gridCol w:w="3181"/>
        <w:gridCol w:w="1516"/>
        <w:gridCol w:w="1827"/>
      </w:tblGrid>
      <w:tr w:rsidR="00E73476" w:rsidRPr="00E73476" w14:paraId="1AC04331" w14:textId="77777777" w:rsidTr="00280975">
        <w:trPr>
          <w:trHeight w:val="320"/>
        </w:trPr>
        <w:tc>
          <w:tcPr>
            <w:tcW w:w="3181" w:type="dxa"/>
            <w:tcBorders>
              <w:top w:val="single" w:sz="4" w:space="0" w:color="auto"/>
              <w:left w:val="nil"/>
              <w:bottom w:val="single" w:sz="4" w:space="0" w:color="auto"/>
              <w:right w:val="nil"/>
            </w:tcBorders>
            <w:shd w:val="clear" w:color="auto" w:fill="auto"/>
            <w:noWrap/>
            <w:vAlign w:val="bottom"/>
            <w:hideMark/>
          </w:tcPr>
          <w:p w14:paraId="7C32E0A5"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Parameter</w:t>
            </w:r>
          </w:p>
        </w:tc>
        <w:tc>
          <w:tcPr>
            <w:tcW w:w="960" w:type="dxa"/>
            <w:tcBorders>
              <w:top w:val="single" w:sz="4" w:space="0" w:color="auto"/>
              <w:left w:val="nil"/>
              <w:bottom w:val="single" w:sz="4" w:space="0" w:color="auto"/>
              <w:right w:val="nil"/>
            </w:tcBorders>
            <w:shd w:val="clear" w:color="auto" w:fill="auto"/>
            <w:noWrap/>
            <w:vAlign w:val="bottom"/>
            <w:hideMark/>
          </w:tcPr>
          <w:p w14:paraId="46E1173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Units</w:t>
            </w:r>
          </w:p>
        </w:tc>
        <w:tc>
          <w:tcPr>
            <w:tcW w:w="960" w:type="dxa"/>
            <w:tcBorders>
              <w:top w:val="single" w:sz="4" w:space="0" w:color="auto"/>
              <w:left w:val="nil"/>
              <w:bottom w:val="single" w:sz="4" w:space="0" w:color="auto"/>
              <w:right w:val="nil"/>
            </w:tcBorders>
            <w:shd w:val="clear" w:color="auto" w:fill="auto"/>
            <w:noWrap/>
            <w:vAlign w:val="bottom"/>
            <w:hideMark/>
          </w:tcPr>
          <w:p w14:paraId="4444B42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Results</w:t>
            </w:r>
          </w:p>
        </w:tc>
      </w:tr>
      <w:tr w:rsidR="00E73476" w:rsidRPr="00E73476" w14:paraId="4E1C5FD6" w14:textId="77777777" w:rsidTr="00280975">
        <w:trPr>
          <w:trHeight w:val="300"/>
        </w:trPr>
        <w:tc>
          <w:tcPr>
            <w:tcW w:w="3181" w:type="dxa"/>
            <w:tcBorders>
              <w:top w:val="nil"/>
              <w:left w:val="nil"/>
              <w:bottom w:val="nil"/>
              <w:right w:val="nil"/>
            </w:tcBorders>
            <w:shd w:val="clear" w:color="auto" w:fill="auto"/>
            <w:noWrap/>
            <w:vAlign w:val="bottom"/>
            <w:hideMark/>
          </w:tcPr>
          <w:p w14:paraId="5CDE6E6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Temperature</w:t>
            </w:r>
          </w:p>
        </w:tc>
        <w:tc>
          <w:tcPr>
            <w:tcW w:w="960" w:type="dxa"/>
            <w:tcBorders>
              <w:top w:val="nil"/>
              <w:left w:val="nil"/>
              <w:bottom w:val="nil"/>
              <w:right w:val="nil"/>
            </w:tcBorders>
            <w:shd w:val="clear" w:color="auto" w:fill="auto"/>
            <w:noWrap/>
            <w:vAlign w:val="bottom"/>
            <w:hideMark/>
          </w:tcPr>
          <w:p w14:paraId="5C3EBA8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°C</w:t>
            </w:r>
          </w:p>
        </w:tc>
        <w:tc>
          <w:tcPr>
            <w:tcW w:w="960" w:type="dxa"/>
            <w:tcBorders>
              <w:top w:val="nil"/>
              <w:left w:val="nil"/>
              <w:bottom w:val="nil"/>
              <w:right w:val="nil"/>
            </w:tcBorders>
            <w:shd w:val="clear" w:color="auto" w:fill="auto"/>
            <w:noWrap/>
            <w:vAlign w:val="bottom"/>
            <w:hideMark/>
          </w:tcPr>
          <w:p w14:paraId="6D8623E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31.83</w:t>
            </w:r>
          </w:p>
        </w:tc>
      </w:tr>
      <w:tr w:rsidR="00E73476" w:rsidRPr="00E73476" w14:paraId="2186342E" w14:textId="77777777" w:rsidTr="00280975">
        <w:trPr>
          <w:trHeight w:val="290"/>
        </w:trPr>
        <w:tc>
          <w:tcPr>
            <w:tcW w:w="3181" w:type="dxa"/>
            <w:tcBorders>
              <w:top w:val="nil"/>
              <w:left w:val="nil"/>
              <w:bottom w:val="nil"/>
              <w:right w:val="nil"/>
            </w:tcBorders>
            <w:shd w:val="clear" w:color="auto" w:fill="auto"/>
            <w:noWrap/>
            <w:vAlign w:val="bottom"/>
            <w:hideMark/>
          </w:tcPr>
          <w:p w14:paraId="3195659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pH</w:t>
            </w:r>
          </w:p>
        </w:tc>
        <w:tc>
          <w:tcPr>
            <w:tcW w:w="960" w:type="dxa"/>
            <w:tcBorders>
              <w:top w:val="nil"/>
              <w:left w:val="nil"/>
              <w:bottom w:val="nil"/>
              <w:right w:val="nil"/>
            </w:tcBorders>
            <w:shd w:val="clear" w:color="auto" w:fill="auto"/>
            <w:noWrap/>
            <w:vAlign w:val="bottom"/>
            <w:hideMark/>
          </w:tcPr>
          <w:p w14:paraId="4B672B5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w:t>
            </w:r>
          </w:p>
        </w:tc>
        <w:tc>
          <w:tcPr>
            <w:tcW w:w="960" w:type="dxa"/>
            <w:tcBorders>
              <w:top w:val="nil"/>
              <w:left w:val="nil"/>
              <w:bottom w:val="nil"/>
              <w:right w:val="nil"/>
            </w:tcBorders>
            <w:shd w:val="clear" w:color="auto" w:fill="auto"/>
            <w:noWrap/>
            <w:vAlign w:val="bottom"/>
            <w:hideMark/>
          </w:tcPr>
          <w:p w14:paraId="4FF5BDF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6.28</w:t>
            </w:r>
          </w:p>
        </w:tc>
      </w:tr>
      <w:tr w:rsidR="00E73476" w:rsidRPr="00E73476" w14:paraId="00792BDC" w14:textId="77777777" w:rsidTr="00280975">
        <w:trPr>
          <w:trHeight w:val="290"/>
        </w:trPr>
        <w:tc>
          <w:tcPr>
            <w:tcW w:w="3181" w:type="dxa"/>
            <w:tcBorders>
              <w:top w:val="nil"/>
              <w:left w:val="nil"/>
              <w:bottom w:val="nil"/>
              <w:right w:val="nil"/>
            </w:tcBorders>
            <w:shd w:val="clear" w:color="auto" w:fill="auto"/>
            <w:noWrap/>
            <w:vAlign w:val="bottom"/>
            <w:hideMark/>
          </w:tcPr>
          <w:p w14:paraId="348C951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Total Dissolved Solids (TDS)</w:t>
            </w:r>
          </w:p>
        </w:tc>
        <w:tc>
          <w:tcPr>
            <w:tcW w:w="960" w:type="dxa"/>
            <w:tcBorders>
              <w:top w:val="nil"/>
              <w:left w:val="nil"/>
              <w:bottom w:val="nil"/>
              <w:right w:val="nil"/>
            </w:tcBorders>
            <w:shd w:val="clear" w:color="auto" w:fill="auto"/>
            <w:noWrap/>
            <w:vAlign w:val="bottom"/>
            <w:hideMark/>
          </w:tcPr>
          <w:p w14:paraId="103F642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6AF2D24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65780</w:t>
            </w:r>
          </w:p>
        </w:tc>
      </w:tr>
      <w:tr w:rsidR="00E73476" w:rsidRPr="00E73476" w14:paraId="25D53C07" w14:textId="77777777" w:rsidTr="00280975">
        <w:trPr>
          <w:trHeight w:val="290"/>
        </w:trPr>
        <w:tc>
          <w:tcPr>
            <w:tcW w:w="3181" w:type="dxa"/>
            <w:tcBorders>
              <w:top w:val="nil"/>
              <w:left w:val="nil"/>
              <w:bottom w:val="nil"/>
              <w:right w:val="nil"/>
            </w:tcBorders>
            <w:shd w:val="clear" w:color="auto" w:fill="auto"/>
            <w:noWrap/>
            <w:vAlign w:val="bottom"/>
            <w:hideMark/>
          </w:tcPr>
          <w:p w14:paraId="4394506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Electrical Conductivity (EC)</w:t>
            </w:r>
          </w:p>
        </w:tc>
        <w:tc>
          <w:tcPr>
            <w:tcW w:w="960" w:type="dxa"/>
            <w:tcBorders>
              <w:top w:val="nil"/>
              <w:left w:val="nil"/>
              <w:bottom w:val="nil"/>
              <w:right w:val="nil"/>
            </w:tcBorders>
            <w:shd w:val="clear" w:color="auto" w:fill="auto"/>
            <w:noWrap/>
            <w:vAlign w:val="bottom"/>
            <w:hideMark/>
          </w:tcPr>
          <w:p w14:paraId="2BDCF26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µS/cm</w:t>
            </w:r>
          </w:p>
        </w:tc>
        <w:tc>
          <w:tcPr>
            <w:tcW w:w="960" w:type="dxa"/>
            <w:tcBorders>
              <w:top w:val="nil"/>
              <w:left w:val="nil"/>
              <w:bottom w:val="nil"/>
              <w:right w:val="nil"/>
            </w:tcBorders>
            <w:shd w:val="clear" w:color="auto" w:fill="auto"/>
            <w:noWrap/>
            <w:vAlign w:val="bottom"/>
            <w:hideMark/>
          </w:tcPr>
          <w:p w14:paraId="564B67A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13150</w:t>
            </w:r>
          </w:p>
        </w:tc>
      </w:tr>
      <w:tr w:rsidR="00E73476" w:rsidRPr="00E73476" w14:paraId="6B13D3C5" w14:textId="77777777" w:rsidTr="00280975">
        <w:trPr>
          <w:trHeight w:val="290"/>
        </w:trPr>
        <w:tc>
          <w:tcPr>
            <w:tcW w:w="3181" w:type="dxa"/>
            <w:tcBorders>
              <w:top w:val="nil"/>
              <w:left w:val="nil"/>
              <w:bottom w:val="nil"/>
              <w:right w:val="nil"/>
            </w:tcBorders>
            <w:shd w:val="clear" w:color="auto" w:fill="auto"/>
            <w:noWrap/>
            <w:vAlign w:val="bottom"/>
            <w:hideMark/>
          </w:tcPr>
          <w:p w14:paraId="006CACC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Dissolved Oxygen (DO)</w:t>
            </w:r>
          </w:p>
        </w:tc>
        <w:tc>
          <w:tcPr>
            <w:tcW w:w="960" w:type="dxa"/>
            <w:tcBorders>
              <w:top w:val="nil"/>
              <w:left w:val="nil"/>
              <w:bottom w:val="nil"/>
              <w:right w:val="nil"/>
            </w:tcBorders>
            <w:shd w:val="clear" w:color="auto" w:fill="auto"/>
            <w:noWrap/>
            <w:vAlign w:val="bottom"/>
            <w:hideMark/>
          </w:tcPr>
          <w:p w14:paraId="642C94F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1D5BF00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12.33</w:t>
            </w:r>
          </w:p>
        </w:tc>
      </w:tr>
      <w:tr w:rsidR="00E73476" w:rsidRPr="00E73476" w14:paraId="37B9656E" w14:textId="77777777" w:rsidTr="00280975">
        <w:trPr>
          <w:trHeight w:val="290"/>
        </w:trPr>
        <w:tc>
          <w:tcPr>
            <w:tcW w:w="3181" w:type="dxa"/>
            <w:tcBorders>
              <w:top w:val="nil"/>
              <w:left w:val="nil"/>
              <w:bottom w:val="nil"/>
              <w:right w:val="nil"/>
            </w:tcBorders>
            <w:shd w:val="clear" w:color="auto" w:fill="auto"/>
            <w:noWrap/>
            <w:vAlign w:val="bottom"/>
            <w:hideMark/>
          </w:tcPr>
          <w:p w14:paraId="72B0123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Biochemical Oxygen Demand (BOD)</w:t>
            </w:r>
          </w:p>
        </w:tc>
        <w:tc>
          <w:tcPr>
            <w:tcW w:w="960" w:type="dxa"/>
            <w:tcBorders>
              <w:top w:val="nil"/>
              <w:left w:val="nil"/>
              <w:bottom w:val="nil"/>
              <w:right w:val="nil"/>
            </w:tcBorders>
            <w:shd w:val="clear" w:color="auto" w:fill="auto"/>
            <w:noWrap/>
            <w:vAlign w:val="bottom"/>
            <w:hideMark/>
          </w:tcPr>
          <w:p w14:paraId="67B8C11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35D4973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4.6</w:t>
            </w:r>
          </w:p>
        </w:tc>
      </w:tr>
      <w:tr w:rsidR="00E73476" w:rsidRPr="00E73476" w14:paraId="078288DA" w14:textId="77777777" w:rsidTr="00280975">
        <w:trPr>
          <w:trHeight w:val="290"/>
        </w:trPr>
        <w:tc>
          <w:tcPr>
            <w:tcW w:w="3181" w:type="dxa"/>
            <w:tcBorders>
              <w:top w:val="nil"/>
              <w:left w:val="nil"/>
              <w:bottom w:val="nil"/>
              <w:right w:val="nil"/>
            </w:tcBorders>
            <w:shd w:val="clear" w:color="auto" w:fill="auto"/>
            <w:noWrap/>
            <w:vAlign w:val="bottom"/>
            <w:hideMark/>
          </w:tcPr>
          <w:p w14:paraId="5E7507F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Chemical Oxygen Demand (COD)</w:t>
            </w:r>
          </w:p>
        </w:tc>
        <w:tc>
          <w:tcPr>
            <w:tcW w:w="960" w:type="dxa"/>
            <w:tcBorders>
              <w:top w:val="nil"/>
              <w:left w:val="nil"/>
              <w:bottom w:val="nil"/>
              <w:right w:val="nil"/>
            </w:tcBorders>
            <w:shd w:val="clear" w:color="auto" w:fill="auto"/>
            <w:noWrap/>
            <w:vAlign w:val="bottom"/>
            <w:hideMark/>
          </w:tcPr>
          <w:p w14:paraId="4AC0B61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5E15DB1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8.11</w:t>
            </w:r>
          </w:p>
        </w:tc>
      </w:tr>
      <w:tr w:rsidR="00E73476" w:rsidRPr="00E73476" w14:paraId="231DCE12" w14:textId="77777777" w:rsidTr="00280975">
        <w:trPr>
          <w:trHeight w:val="290"/>
        </w:trPr>
        <w:tc>
          <w:tcPr>
            <w:tcW w:w="3181" w:type="dxa"/>
            <w:tcBorders>
              <w:top w:val="nil"/>
              <w:left w:val="nil"/>
              <w:bottom w:val="nil"/>
              <w:right w:val="nil"/>
            </w:tcBorders>
            <w:shd w:val="clear" w:color="auto" w:fill="auto"/>
            <w:noWrap/>
            <w:vAlign w:val="bottom"/>
            <w:hideMark/>
          </w:tcPr>
          <w:p w14:paraId="35C8CCF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Nitrate</w:t>
            </w:r>
          </w:p>
        </w:tc>
        <w:tc>
          <w:tcPr>
            <w:tcW w:w="960" w:type="dxa"/>
            <w:tcBorders>
              <w:top w:val="nil"/>
              <w:left w:val="nil"/>
              <w:bottom w:val="nil"/>
              <w:right w:val="nil"/>
            </w:tcBorders>
            <w:shd w:val="clear" w:color="auto" w:fill="auto"/>
            <w:noWrap/>
            <w:vAlign w:val="bottom"/>
            <w:hideMark/>
          </w:tcPr>
          <w:p w14:paraId="736BFB4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109444B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12.3</w:t>
            </w:r>
          </w:p>
        </w:tc>
      </w:tr>
      <w:tr w:rsidR="00E73476" w:rsidRPr="00E73476" w14:paraId="427D2293" w14:textId="77777777" w:rsidTr="00280975">
        <w:trPr>
          <w:trHeight w:val="290"/>
        </w:trPr>
        <w:tc>
          <w:tcPr>
            <w:tcW w:w="3181" w:type="dxa"/>
            <w:tcBorders>
              <w:top w:val="nil"/>
              <w:left w:val="nil"/>
              <w:bottom w:val="nil"/>
              <w:right w:val="nil"/>
            </w:tcBorders>
            <w:shd w:val="clear" w:color="auto" w:fill="auto"/>
            <w:noWrap/>
            <w:vAlign w:val="bottom"/>
            <w:hideMark/>
          </w:tcPr>
          <w:p w14:paraId="49773FF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Phosphate</w:t>
            </w:r>
          </w:p>
        </w:tc>
        <w:tc>
          <w:tcPr>
            <w:tcW w:w="960" w:type="dxa"/>
            <w:tcBorders>
              <w:top w:val="nil"/>
              <w:left w:val="nil"/>
              <w:bottom w:val="nil"/>
              <w:right w:val="nil"/>
            </w:tcBorders>
            <w:shd w:val="clear" w:color="auto" w:fill="auto"/>
            <w:noWrap/>
            <w:vAlign w:val="bottom"/>
            <w:hideMark/>
          </w:tcPr>
          <w:p w14:paraId="7EDE904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3B518C3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0.38</w:t>
            </w:r>
          </w:p>
        </w:tc>
      </w:tr>
      <w:tr w:rsidR="00E73476" w:rsidRPr="00E73476" w14:paraId="69BDD165" w14:textId="77777777" w:rsidTr="00280975">
        <w:trPr>
          <w:trHeight w:val="290"/>
        </w:trPr>
        <w:tc>
          <w:tcPr>
            <w:tcW w:w="3181" w:type="dxa"/>
            <w:tcBorders>
              <w:top w:val="nil"/>
              <w:left w:val="nil"/>
              <w:bottom w:val="nil"/>
              <w:right w:val="nil"/>
            </w:tcBorders>
            <w:shd w:val="clear" w:color="auto" w:fill="auto"/>
            <w:noWrap/>
            <w:vAlign w:val="bottom"/>
            <w:hideMark/>
          </w:tcPr>
          <w:p w14:paraId="55A4404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Sulphate</w:t>
            </w:r>
          </w:p>
        </w:tc>
        <w:tc>
          <w:tcPr>
            <w:tcW w:w="960" w:type="dxa"/>
            <w:tcBorders>
              <w:top w:val="nil"/>
              <w:left w:val="nil"/>
              <w:bottom w:val="nil"/>
              <w:right w:val="nil"/>
            </w:tcBorders>
            <w:shd w:val="clear" w:color="auto" w:fill="auto"/>
            <w:noWrap/>
            <w:vAlign w:val="bottom"/>
            <w:hideMark/>
          </w:tcPr>
          <w:p w14:paraId="1942228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19338D3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0.05</w:t>
            </w:r>
          </w:p>
        </w:tc>
      </w:tr>
      <w:tr w:rsidR="00E73476" w:rsidRPr="00E73476" w14:paraId="40CB6D57" w14:textId="77777777" w:rsidTr="00280975">
        <w:trPr>
          <w:trHeight w:val="290"/>
        </w:trPr>
        <w:tc>
          <w:tcPr>
            <w:tcW w:w="3181" w:type="dxa"/>
            <w:tcBorders>
              <w:top w:val="nil"/>
              <w:left w:val="nil"/>
              <w:bottom w:val="nil"/>
              <w:right w:val="nil"/>
            </w:tcBorders>
            <w:shd w:val="clear" w:color="auto" w:fill="auto"/>
            <w:noWrap/>
            <w:vAlign w:val="bottom"/>
            <w:hideMark/>
          </w:tcPr>
          <w:p w14:paraId="3216FC0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Total Hydrocarbon Content (THC)</w:t>
            </w:r>
          </w:p>
        </w:tc>
        <w:tc>
          <w:tcPr>
            <w:tcW w:w="960" w:type="dxa"/>
            <w:tcBorders>
              <w:top w:val="nil"/>
              <w:left w:val="nil"/>
              <w:bottom w:val="nil"/>
              <w:right w:val="nil"/>
            </w:tcBorders>
            <w:shd w:val="clear" w:color="auto" w:fill="auto"/>
            <w:noWrap/>
            <w:vAlign w:val="bottom"/>
            <w:hideMark/>
          </w:tcPr>
          <w:p w14:paraId="36CFD82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5EA37BA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192.67</w:t>
            </w:r>
          </w:p>
        </w:tc>
      </w:tr>
      <w:tr w:rsidR="00E73476" w:rsidRPr="00E73476" w14:paraId="00022593" w14:textId="77777777" w:rsidTr="00280975">
        <w:trPr>
          <w:trHeight w:val="290"/>
        </w:trPr>
        <w:tc>
          <w:tcPr>
            <w:tcW w:w="3181" w:type="dxa"/>
            <w:tcBorders>
              <w:top w:val="nil"/>
              <w:left w:val="nil"/>
              <w:bottom w:val="nil"/>
              <w:right w:val="nil"/>
            </w:tcBorders>
            <w:shd w:val="clear" w:color="auto" w:fill="auto"/>
            <w:noWrap/>
            <w:vAlign w:val="bottom"/>
            <w:hideMark/>
          </w:tcPr>
          <w:p w14:paraId="572E7AD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Total Heterotrophic Bacteria (THB) </w:t>
            </w:r>
          </w:p>
        </w:tc>
        <w:tc>
          <w:tcPr>
            <w:tcW w:w="960" w:type="dxa"/>
            <w:tcBorders>
              <w:top w:val="nil"/>
              <w:left w:val="nil"/>
              <w:bottom w:val="nil"/>
              <w:right w:val="nil"/>
            </w:tcBorders>
            <w:shd w:val="clear" w:color="auto" w:fill="auto"/>
            <w:noWrap/>
            <w:vAlign w:val="bottom"/>
            <w:hideMark/>
          </w:tcPr>
          <w:p w14:paraId="2D2C95C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cfu</w:t>
            </w:r>
            <w:proofErr w:type="spellEnd"/>
            <w:r w:rsidRPr="00E73476">
              <w:rPr>
                <w:rFonts w:ascii="Times New Roman" w:eastAsia="Calibri" w:hAnsi="Times New Roman" w:cs="Times New Roman"/>
                <w:kern w:val="0"/>
                <w14:ligatures w14:val="none"/>
              </w:rPr>
              <w:t>/ml</w:t>
            </w:r>
          </w:p>
        </w:tc>
        <w:tc>
          <w:tcPr>
            <w:tcW w:w="960" w:type="dxa"/>
            <w:tcBorders>
              <w:top w:val="nil"/>
              <w:left w:val="nil"/>
              <w:bottom w:val="nil"/>
              <w:right w:val="nil"/>
            </w:tcBorders>
            <w:shd w:val="clear" w:color="auto" w:fill="auto"/>
            <w:noWrap/>
            <w:vAlign w:val="bottom"/>
            <w:hideMark/>
          </w:tcPr>
          <w:p w14:paraId="227BBCA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1.21±6.56</w:t>
            </w:r>
          </w:p>
        </w:tc>
      </w:tr>
      <w:tr w:rsidR="00E73476" w:rsidRPr="00E73476" w14:paraId="2DF22973" w14:textId="77777777" w:rsidTr="00280975">
        <w:trPr>
          <w:trHeight w:val="290"/>
        </w:trPr>
        <w:tc>
          <w:tcPr>
            <w:tcW w:w="3181" w:type="dxa"/>
            <w:tcBorders>
              <w:top w:val="nil"/>
              <w:left w:val="nil"/>
              <w:bottom w:val="single" w:sz="4" w:space="0" w:color="auto"/>
              <w:right w:val="nil"/>
            </w:tcBorders>
            <w:shd w:val="clear" w:color="auto" w:fill="auto"/>
            <w:noWrap/>
            <w:vAlign w:val="bottom"/>
            <w:hideMark/>
          </w:tcPr>
          <w:p w14:paraId="6D681B0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Total Fungi Counts (TFC)</w:t>
            </w:r>
          </w:p>
        </w:tc>
        <w:tc>
          <w:tcPr>
            <w:tcW w:w="960" w:type="dxa"/>
            <w:tcBorders>
              <w:top w:val="nil"/>
              <w:left w:val="nil"/>
              <w:bottom w:val="single" w:sz="4" w:space="0" w:color="auto"/>
              <w:right w:val="nil"/>
            </w:tcBorders>
            <w:shd w:val="clear" w:color="auto" w:fill="auto"/>
            <w:noWrap/>
            <w:vAlign w:val="bottom"/>
            <w:hideMark/>
          </w:tcPr>
          <w:p w14:paraId="4DE1658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cfu</w:t>
            </w:r>
            <w:proofErr w:type="spellEnd"/>
            <w:r w:rsidRPr="00E73476">
              <w:rPr>
                <w:rFonts w:ascii="Times New Roman" w:eastAsia="Calibri" w:hAnsi="Times New Roman" w:cs="Times New Roman"/>
                <w:kern w:val="0"/>
                <w14:ligatures w14:val="none"/>
              </w:rPr>
              <w:t>/ml</w:t>
            </w:r>
          </w:p>
        </w:tc>
        <w:tc>
          <w:tcPr>
            <w:tcW w:w="960" w:type="dxa"/>
            <w:tcBorders>
              <w:top w:val="nil"/>
              <w:left w:val="nil"/>
              <w:bottom w:val="single" w:sz="4" w:space="0" w:color="auto"/>
              <w:right w:val="nil"/>
            </w:tcBorders>
            <w:shd w:val="clear" w:color="auto" w:fill="auto"/>
            <w:noWrap/>
            <w:vAlign w:val="bottom"/>
            <w:hideMark/>
          </w:tcPr>
          <w:p w14:paraId="5B0019F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6.67±1.53</w:t>
            </w:r>
          </w:p>
        </w:tc>
      </w:tr>
    </w:tbl>
    <w:p w14:paraId="3E2CE42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5B38F7D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3389E1B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Biochemical and Morphological Characteristics of the Isolates</w:t>
      </w:r>
    </w:p>
    <w:p w14:paraId="4BA593D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Bacterial species such as </w:t>
      </w:r>
      <w:r w:rsidRPr="00E73476">
        <w:rPr>
          <w:rFonts w:ascii="Times New Roman" w:eastAsia="Calibri" w:hAnsi="Times New Roman" w:cs="Times New Roman"/>
          <w:i/>
          <w:iCs/>
          <w:kern w:val="0"/>
          <w14:ligatures w14:val="none"/>
        </w:rPr>
        <w:t xml:space="preserve">Pseudomonas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Bacillus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Proteus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and </w:t>
      </w:r>
      <w:r w:rsidRPr="00E73476">
        <w:rPr>
          <w:rFonts w:ascii="Times New Roman" w:eastAsia="Calibri" w:hAnsi="Times New Roman" w:cs="Times New Roman"/>
          <w:i/>
          <w:iCs/>
          <w:kern w:val="0"/>
          <w14:ligatures w14:val="none"/>
        </w:rPr>
        <w:t xml:space="preserve">Micrococcus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as well as fungal genera including </w:t>
      </w:r>
      <w:r w:rsidRPr="00E73476">
        <w:rPr>
          <w:rFonts w:ascii="Times New Roman" w:eastAsia="Calibri" w:hAnsi="Times New Roman" w:cs="Times New Roman"/>
          <w:i/>
          <w:iCs/>
          <w:kern w:val="0"/>
          <w14:ligatures w14:val="none"/>
        </w:rPr>
        <w:t xml:space="preserve">Aspergillus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Penicillium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Mucor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Rhizopus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Candida</w:t>
      </w:r>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and </w:t>
      </w:r>
      <w:r w:rsidRPr="00E73476">
        <w:rPr>
          <w:rFonts w:ascii="Times New Roman" w:eastAsia="Calibri" w:hAnsi="Times New Roman" w:cs="Times New Roman"/>
          <w:i/>
          <w:iCs/>
          <w:kern w:val="0"/>
          <w14:ligatures w14:val="none"/>
        </w:rPr>
        <w:t>Saccharomyces</w:t>
      </w:r>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were isolated from marine water before and after contamination with drilling fluids.</w:t>
      </w:r>
    </w:p>
    <w:p w14:paraId="2A2618F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299995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299CB35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Physicochemical Characteristics of the Water Sample during Biodegradation Monitoring</w:t>
      </w:r>
    </w:p>
    <w:p w14:paraId="6FFA84AB" w14:textId="77777777" w:rsidR="00F33EDF" w:rsidRPr="00F33EDF" w:rsidRDefault="00E73476" w:rsidP="00F33EDF">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bookmarkStart w:id="7" w:name="_Hlk178761198"/>
      <w:r w:rsidR="00F33EDF" w:rsidRPr="00F33EDF">
        <w:rPr>
          <w:rFonts w:ascii="Times New Roman" w:eastAsia="Calibri" w:hAnsi="Times New Roman" w:cs="Times New Roman"/>
          <w:kern w:val="0"/>
          <w14:ligatures w14:val="none"/>
        </w:rPr>
        <w:t>The temperature ranged from 29.80±0.4°C (UW) treatment to 30.37±1.10°C (</w:t>
      </w:r>
      <w:proofErr w:type="spellStart"/>
      <w:r w:rsidR="00F33EDF" w:rsidRPr="00F33EDF">
        <w:rPr>
          <w:rFonts w:ascii="Times New Roman" w:eastAsia="Calibri" w:hAnsi="Times New Roman" w:cs="Times New Roman"/>
          <w:kern w:val="0"/>
          <w14:ligatures w14:val="none"/>
        </w:rPr>
        <w:t>MW+OBF+FW+Pse</w:t>
      </w:r>
      <w:proofErr w:type="spellEnd"/>
      <w:r w:rsidR="00F33EDF" w:rsidRPr="00F33EDF">
        <w:rPr>
          <w:rFonts w:ascii="Times New Roman" w:eastAsia="Calibri" w:hAnsi="Times New Roman" w:cs="Times New Roman"/>
          <w:kern w:val="0"/>
          <w14:ligatures w14:val="none"/>
        </w:rPr>
        <w:t>) treatment. The pH levels ranged from 6.89±0.18 (</w:t>
      </w:r>
      <w:proofErr w:type="spellStart"/>
      <w:r w:rsidR="00F33EDF" w:rsidRPr="00F33EDF">
        <w:rPr>
          <w:rFonts w:ascii="Times New Roman" w:eastAsia="Calibri" w:hAnsi="Times New Roman" w:cs="Times New Roman"/>
          <w:kern w:val="0"/>
          <w14:ligatures w14:val="none"/>
        </w:rPr>
        <w:t>MW+OBF+Pse</w:t>
      </w:r>
      <w:proofErr w:type="spellEnd"/>
      <w:r w:rsidR="00F33EDF" w:rsidRPr="00F33EDF">
        <w:rPr>
          <w:rFonts w:ascii="Times New Roman" w:eastAsia="Calibri" w:hAnsi="Times New Roman" w:cs="Times New Roman"/>
          <w:kern w:val="0"/>
          <w14:ligatures w14:val="none"/>
        </w:rPr>
        <w:t>) treatment to 7.30±0.23 (</w:t>
      </w:r>
      <w:proofErr w:type="spellStart"/>
      <w:r w:rsidR="00F33EDF" w:rsidRPr="00F33EDF">
        <w:rPr>
          <w:rFonts w:ascii="Times New Roman" w:eastAsia="Calibri" w:hAnsi="Times New Roman" w:cs="Times New Roman"/>
          <w:kern w:val="0"/>
          <w14:ligatures w14:val="none"/>
        </w:rPr>
        <w:t>MW+OBF+FW+Bac</w:t>
      </w:r>
      <w:proofErr w:type="spellEnd"/>
      <w:r w:rsidR="00F33EDF" w:rsidRPr="00F33EDF">
        <w:rPr>
          <w:rFonts w:ascii="Times New Roman" w:eastAsia="Calibri" w:hAnsi="Times New Roman" w:cs="Times New Roman"/>
          <w:kern w:val="0"/>
          <w14:ligatures w14:val="none"/>
        </w:rPr>
        <w:t xml:space="preserve">) treatment. Total Dissolved Solids (TDS) range from 26465±36152.37mg/L (UW) treatment to 6578787±10003.58mg/L (MW+OBF+FW) treatment. Electrical Conductivity (EC) values ranged from 11220.67±3774.02µS/cm </w:t>
      </w:r>
      <w:r w:rsidR="00F33EDF" w:rsidRPr="00F33EDF">
        <w:rPr>
          <w:rFonts w:ascii="Times New Roman" w:eastAsia="Calibri" w:hAnsi="Times New Roman" w:cs="Times New Roman"/>
          <w:kern w:val="0"/>
          <w14:ligatures w14:val="none"/>
        </w:rPr>
        <w:lastRenderedPageBreak/>
        <w:t>(</w:t>
      </w:r>
      <w:proofErr w:type="spellStart"/>
      <w:r w:rsidR="00F33EDF" w:rsidRPr="00F33EDF">
        <w:rPr>
          <w:rFonts w:ascii="Times New Roman" w:eastAsia="Calibri" w:hAnsi="Times New Roman" w:cs="Times New Roman"/>
          <w:kern w:val="0"/>
          <w14:ligatures w14:val="none"/>
        </w:rPr>
        <w:t>MW+OBF+FW+Bac+Pse</w:t>
      </w:r>
      <w:proofErr w:type="spellEnd"/>
      <w:r w:rsidR="00F33EDF" w:rsidRPr="00F33EDF">
        <w:rPr>
          <w:rFonts w:ascii="Times New Roman" w:eastAsia="Calibri" w:hAnsi="Times New Roman" w:cs="Times New Roman"/>
          <w:kern w:val="0"/>
          <w14:ligatures w14:val="none"/>
        </w:rPr>
        <w:t>) treatment to 45986.67±42640.49µS/cm (MW+OBF) treatment. Dissolved Oxygen (DO) levels ranged from 0.81±0.08mg/L (MW+OBF) treatment to 6.89±7.24mg/L (</w:t>
      </w:r>
      <w:proofErr w:type="spellStart"/>
      <w:r w:rsidR="00F33EDF" w:rsidRPr="00F33EDF">
        <w:rPr>
          <w:rFonts w:ascii="Times New Roman" w:eastAsia="Calibri" w:hAnsi="Times New Roman" w:cs="Times New Roman"/>
          <w:kern w:val="0"/>
          <w14:ligatures w14:val="none"/>
        </w:rPr>
        <w:t>MW+OBF+FW+Bac</w:t>
      </w:r>
      <w:proofErr w:type="spellEnd"/>
      <w:r w:rsidR="00F33EDF" w:rsidRPr="00F33EDF">
        <w:rPr>
          <w:rFonts w:ascii="Times New Roman" w:eastAsia="Calibri" w:hAnsi="Times New Roman" w:cs="Times New Roman"/>
          <w:kern w:val="0"/>
          <w14:ligatures w14:val="none"/>
        </w:rPr>
        <w:t>) treatment. Biological Oxygen Demand (BOD) values ranged from 0.76±0.57mg/L (UW) treatment to 5.23±6.25mg/L (</w:t>
      </w:r>
      <w:proofErr w:type="spellStart"/>
      <w:r w:rsidR="00F33EDF" w:rsidRPr="00F33EDF">
        <w:rPr>
          <w:rFonts w:ascii="Times New Roman" w:eastAsia="Calibri" w:hAnsi="Times New Roman" w:cs="Times New Roman"/>
          <w:kern w:val="0"/>
          <w14:ligatures w14:val="none"/>
        </w:rPr>
        <w:t>MW+OBF+FW+Bac</w:t>
      </w:r>
      <w:proofErr w:type="spellEnd"/>
      <w:r w:rsidR="00F33EDF" w:rsidRPr="00F33EDF">
        <w:rPr>
          <w:rFonts w:ascii="Times New Roman" w:eastAsia="Calibri" w:hAnsi="Times New Roman" w:cs="Times New Roman"/>
          <w:kern w:val="0"/>
          <w14:ligatures w14:val="none"/>
        </w:rPr>
        <w:t>) treatment.</w:t>
      </w:r>
    </w:p>
    <w:p w14:paraId="1A2D65EF" w14:textId="77777777" w:rsidR="00D81B3E" w:rsidRDefault="00D81B3E"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sectPr w:rsidR="00D81B3E" w:rsidSect="00D81B3E">
          <w:pgSz w:w="12240" w:h="15840"/>
          <w:pgMar w:top="1282" w:right="1440" w:bottom="1440" w:left="1440" w:header="720" w:footer="720" w:gutter="0"/>
          <w:cols w:space="720"/>
          <w:docGrid w:linePitch="360"/>
        </w:sectPr>
      </w:pPr>
      <w:bookmarkStart w:id="8" w:name="_Hlk172834359"/>
      <w:bookmarkEnd w:id="7"/>
    </w:p>
    <w:p w14:paraId="2298E547" w14:textId="3B56C12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lastRenderedPageBreak/>
        <w:t xml:space="preserve">Table 5a: </w:t>
      </w:r>
      <w:bookmarkStart w:id="9" w:name="_Hlk172206659"/>
      <w:r w:rsidRPr="00E73476">
        <w:rPr>
          <w:rFonts w:ascii="Times New Roman" w:eastAsia="Calibri" w:hAnsi="Times New Roman" w:cs="Times New Roman"/>
          <w:b/>
          <w:bCs/>
          <w:kern w:val="0"/>
          <w14:ligatures w14:val="none"/>
        </w:rPr>
        <w:t>Mean and standard deviation of physicochemical parameters during enhanced biodegradation of drilling fluids in marine water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440"/>
        <w:gridCol w:w="1260"/>
        <w:gridCol w:w="1800"/>
        <w:gridCol w:w="2070"/>
        <w:gridCol w:w="1435"/>
        <w:gridCol w:w="1800"/>
      </w:tblGrid>
      <w:tr w:rsidR="00D81B3E" w:rsidRPr="00D81B3E" w14:paraId="60E86297" w14:textId="77777777" w:rsidTr="0093464C">
        <w:tc>
          <w:tcPr>
            <w:tcW w:w="2430" w:type="dxa"/>
            <w:tcBorders>
              <w:top w:val="single" w:sz="4" w:space="0" w:color="auto"/>
              <w:bottom w:val="single" w:sz="4" w:space="0" w:color="auto"/>
            </w:tcBorders>
          </w:tcPr>
          <w:bookmarkEnd w:id="9"/>
          <w:p w14:paraId="5A668F04"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Treatment Code</w:t>
            </w:r>
          </w:p>
        </w:tc>
        <w:tc>
          <w:tcPr>
            <w:tcW w:w="1440" w:type="dxa"/>
            <w:tcBorders>
              <w:top w:val="single" w:sz="4" w:space="0" w:color="auto"/>
              <w:bottom w:val="single" w:sz="4" w:space="0" w:color="auto"/>
            </w:tcBorders>
          </w:tcPr>
          <w:p w14:paraId="2B897C19"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Temperature (</w:t>
            </w:r>
            <w:r w:rsidRPr="00D81B3E">
              <w:rPr>
                <w:rFonts w:ascii="Calibri" w:eastAsia="Calibri" w:hAnsi="Calibri" w:cs="Calibri"/>
                <w:b/>
                <w:bCs/>
              </w:rPr>
              <w:t>°</w:t>
            </w:r>
            <w:r w:rsidRPr="00D81B3E">
              <w:rPr>
                <w:rFonts w:ascii="Calibri" w:eastAsia="Calibri" w:hAnsi="Calibri" w:cs="Times New Roman"/>
                <w:b/>
                <w:bCs/>
              </w:rPr>
              <w:t>C)</w:t>
            </w:r>
          </w:p>
        </w:tc>
        <w:tc>
          <w:tcPr>
            <w:tcW w:w="1260" w:type="dxa"/>
            <w:tcBorders>
              <w:top w:val="single" w:sz="4" w:space="0" w:color="auto"/>
              <w:bottom w:val="single" w:sz="4" w:space="0" w:color="auto"/>
            </w:tcBorders>
          </w:tcPr>
          <w:p w14:paraId="546A9748"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pH</w:t>
            </w:r>
          </w:p>
        </w:tc>
        <w:tc>
          <w:tcPr>
            <w:tcW w:w="1800" w:type="dxa"/>
            <w:tcBorders>
              <w:top w:val="single" w:sz="4" w:space="0" w:color="auto"/>
              <w:bottom w:val="single" w:sz="4" w:space="0" w:color="auto"/>
            </w:tcBorders>
          </w:tcPr>
          <w:p w14:paraId="183A9AF2"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Total Dissolve Solids</w:t>
            </w:r>
          </w:p>
        </w:tc>
        <w:tc>
          <w:tcPr>
            <w:tcW w:w="2070" w:type="dxa"/>
            <w:tcBorders>
              <w:top w:val="single" w:sz="4" w:space="0" w:color="auto"/>
              <w:bottom w:val="single" w:sz="4" w:space="0" w:color="auto"/>
            </w:tcBorders>
          </w:tcPr>
          <w:p w14:paraId="1B56FE13"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Electrical Conductivity</w:t>
            </w:r>
          </w:p>
        </w:tc>
        <w:tc>
          <w:tcPr>
            <w:tcW w:w="1435" w:type="dxa"/>
            <w:tcBorders>
              <w:top w:val="single" w:sz="4" w:space="0" w:color="auto"/>
              <w:bottom w:val="single" w:sz="4" w:space="0" w:color="auto"/>
            </w:tcBorders>
          </w:tcPr>
          <w:p w14:paraId="735DCF4E"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Dissolved Oxygen</w:t>
            </w:r>
          </w:p>
        </w:tc>
        <w:tc>
          <w:tcPr>
            <w:tcW w:w="1800" w:type="dxa"/>
            <w:tcBorders>
              <w:top w:val="single" w:sz="4" w:space="0" w:color="auto"/>
              <w:bottom w:val="single" w:sz="4" w:space="0" w:color="auto"/>
            </w:tcBorders>
          </w:tcPr>
          <w:p w14:paraId="70E6CA36"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 xml:space="preserve">Biochemical Oxygen Demand </w:t>
            </w:r>
          </w:p>
        </w:tc>
      </w:tr>
      <w:tr w:rsidR="00D81B3E" w:rsidRPr="00D81B3E" w14:paraId="4B7DFA9E" w14:textId="77777777" w:rsidTr="0093464C">
        <w:tc>
          <w:tcPr>
            <w:tcW w:w="2430" w:type="dxa"/>
            <w:tcBorders>
              <w:top w:val="single" w:sz="4" w:space="0" w:color="auto"/>
            </w:tcBorders>
          </w:tcPr>
          <w:p w14:paraId="4E1B2720"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UW</w:t>
            </w:r>
          </w:p>
        </w:tc>
        <w:tc>
          <w:tcPr>
            <w:tcW w:w="1440" w:type="dxa"/>
            <w:tcBorders>
              <w:top w:val="single" w:sz="4" w:space="0" w:color="auto"/>
            </w:tcBorders>
          </w:tcPr>
          <w:p w14:paraId="02B8E287"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29.80</w:t>
            </w:r>
            <w:r w:rsidRPr="00D81B3E">
              <w:rPr>
                <w:rFonts w:ascii="Calibri" w:eastAsia="Calibri" w:hAnsi="Calibri" w:cs="Calibri"/>
              </w:rPr>
              <w:t>±0.4</w:t>
            </w:r>
            <w:r w:rsidRPr="00D81B3E">
              <w:rPr>
                <w:rFonts w:ascii="Calibri" w:eastAsia="Calibri" w:hAnsi="Calibri" w:cs="Calibri"/>
                <w:vertAlign w:val="superscript"/>
              </w:rPr>
              <w:t>a</w:t>
            </w:r>
          </w:p>
        </w:tc>
        <w:tc>
          <w:tcPr>
            <w:tcW w:w="1260" w:type="dxa"/>
            <w:tcBorders>
              <w:top w:val="single" w:sz="4" w:space="0" w:color="auto"/>
            </w:tcBorders>
          </w:tcPr>
          <w:p w14:paraId="09D6F7B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7.00</w:t>
            </w:r>
            <w:r w:rsidRPr="00D81B3E">
              <w:rPr>
                <w:rFonts w:ascii="Calibri" w:eastAsia="Calibri" w:hAnsi="Calibri" w:cs="Calibri"/>
              </w:rPr>
              <w:t>±0.85</w:t>
            </w:r>
            <w:r w:rsidRPr="00D81B3E">
              <w:rPr>
                <w:rFonts w:ascii="Calibri" w:eastAsia="Calibri" w:hAnsi="Calibri" w:cs="Calibri"/>
                <w:vertAlign w:val="superscript"/>
              </w:rPr>
              <w:t>a</w:t>
            </w:r>
          </w:p>
        </w:tc>
        <w:tc>
          <w:tcPr>
            <w:tcW w:w="1800" w:type="dxa"/>
            <w:tcBorders>
              <w:top w:val="single" w:sz="4" w:space="0" w:color="auto"/>
            </w:tcBorders>
          </w:tcPr>
          <w:p w14:paraId="16EAC4F6"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26465</w:t>
            </w:r>
            <w:r w:rsidRPr="00D81B3E">
              <w:rPr>
                <w:rFonts w:ascii="Calibri" w:eastAsia="Calibri" w:hAnsi="Calibri" w:cs="Calibri"/>
              </w:rPr>
              <w:t>±36152.37</w:t>
            </w:r>
            <w:r w:rsidRPr="00D81B3E">
              <w:rPr>
                <w:rFonts w:ascii="Calibri" w:eastAsia="Calibri" w:hAnsi="Calibri" w:cs="Calibri"/>
                <w:vertAlign w:val="superscript"/>
              </w:rPr>
              <w:t>a</w:t>
            </w:r>
          </w:p>
        </w:tc>
        <w:tc>
          <w:tcPr>
            <w:tcW w:w="2070" w:type="dxa"/>
            <w:tcBorders>
              <w:top w:val="single" w:sz="4" w:space="0" w:color="auto"/>
            </w:tcBorders>
          </w:tcPr>
          <w:p w14:paraId="4792DDC9"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12590.00</w:t>
            </w:r>
            <w:r w:rsidRPr="00D81B3E">
              <w:rPr>
                <w:rFonts w:ascii="Calibri" w:eastAsia="Calibri" w:hAnsi="Calibri" w:cs="Calibri"/>
              </w:rPr>
              <w:t>±</w:t>
            </w:r>
            <w:r w:rsidRPr="00D81B3E">
              <w:rPr>
                <w:rFonts w:ascii="Calibri" w:eastAsia="Calibri" w:hAnsi="Calibri" w:cs="Times New Roman"/>
              </w:rPr>
              <w:t>1587.67</w:t>
            </w:r>
            <w:r w:rsidRPr="00D81B3E">
              <w:rPr>
                <w:rFonts w:ascii="Calibri" w:eastAsia="Calibri" w:hAnsi="Calibri" w:cs="Times New Roman"/>
                <w:vertAlign w:val="superscript"/>
              </w:rPr>
              <w:t>a</w:t>
            </w:r>
          </w:p>
        </w:tc>
        <w:tc>
          <w:tcPr>
            <w:tcW w:w="1435" w:type="dxa"/>
            <w:tcBorders>
              <w:top w:val="single" w:sz="4" w:space="0" w:color="auto"/>
            </w:tcBorders>
          </w:tcPr>
          <w:p w14:paraId="68533D19"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2.08</w:t>
            </w:r>
            <w:r w:rsidRPr="00D81B3E">
              <w:rPr>
                <w:rFonts w:ascii="Calibri" w:eastAsia="Calibri" w:hAnsi="Calibri" w:cs="Calibri"/>
              </w:rPr>
              <w:t>±0.78</w:t>
            </w:r>
            <w:r w:rsidRPr="00D81B3E">
              <w:rPr>
                <w:rFonts w:ascii="Calibri" w:eastAsia="Calibri" w:hAnsi="Calibri" w:cs="Calibri"/>
                <w:vertAlign w:val="superscript"/>
              </w:rPr>
              <w:t>a</w:t>
            </w:r>
          </w:p>
        </w:tc>
        <w:tc>
          <w:tcPr>
            <w:tcW w:w="1800" w:type="dxa"/>
            <w:tcBorders>
              <w:top w:val="single" w:sz="4" w:space="0" w:color="auto"/>
            </w:tcBorders>
          </w:tcPr>
          <w:p w14:paraId="5C5BDEC4"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0.76</w:t>
            </w:r>
            <w:r w:rsidRPr="00D81B3E">
              <w:rPr>
                <w:rFonts w:ascii="Calibri" w:eastAsia="Calibri" w:hAnsi="Calibri" w:cs="Calibri"/>
              </w:rPr>
              <w:t>±0.57</w:t>
            </w:r>
            <w:r w:rsidRPr="00D81B3E">
              <w:rPr>
                <w:rFonts w:ascii="Calibri" w:eastAsia="Calibri" w:hAnsi="Calibri" w:cs="Calibri"/>
                <w:vertAlign w:val="superscript"/>
              </w:rPr>
              <w:t>a</w:t>
            </w:r>
          </w:p>
        </w:tc>
      </w:tr>
      <w:tr w:rsidR="00D81B3E" w:rsidRPr="00D81B3E" w14:paraId="01C2A7F3" w14:textId="77777777" w:rsidTr="0093464C">
        <w:tc>
          <w:tcPr>
            <w:tcW w:w="2430" w:type="dxa"/>
          </w:tcPr>
          <w:p w14:paraId="3B044B14"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MW+OBF</w:t>
            </w:r>
          </w:p>
        </w:tc>
        <w:tc>
          <w:tcPr>
            <w:tcW w:w="1440" w:type="dxa"/>
          </w:tcPr>
          <w:p w14:paraId="2EC10347"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30.36</w:t>
            </w:r>
            <w:r w:rsidRPr="00D81B3E">
              <w:rPr>
                <w:rFonts w:ascii="Calibri" w:eastAsia="Calibri" w:hAnsi="Calibri" w:cs="Calibri"/>
              </w:rPr>
              <w:t>±1.04</w:t>
            </w:r>
            <w:r w:rsidRPr="00D81B3E">
              <w:rPr>
                <w:rFonts w:ascii="Calibri" w:eastAsia="Calibri" w:hAnsi="Calibri" w:cs="Calibri"/>
                <w:vertAlign w:val="superscript"/>
              </w:rPr>
              <w:t>a</w:t>
            </w:r>
          </w:p>
        </w:tc>
        <w:tc>
          <w:tcPr>
            <w:tcW w:w="1260" w:type="dxa"/>
          </w:tcPr>
          <w:p w14:paraId="3DA7796F"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7.03</w:t>
            </w:r>
            <w:r w:rsidRPr="00D81B3E">
              <w:rPr>
                <w:rFonts w:ascii="Calibri" w:eastAsia="Calibri" w:hAnsi="Calibri" w:cs="Calibri"/>
              </w:rPr>
              <w:t>±0.44</w:t>
            </w:r>
            <w:r w:rsidRPr="00D81B3E">
              <w:rPr>
                <w:rFonts w:ascii="Calibri" w:eastAsia="Calibri" w:hAnsi="Calibri" w:cs="Calibri"/>
                <w:vertAlign w:val="superscript"/>
              </w:rPr>
              <w:t>a</w:t>
            </w:r>
          </w:p>
        </w:tc>
        <w:tc>
          <w:tcPr>
            <w:tcW w:w="1800" w:type="dxa"/>
          </w:tcPr>
          <w:p w14:paraId="5CEA6B78"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60710</w:t>
            </w:r>
            <w:r w:rsidRPr="00D81B3E">
              <w:rPr>
                <w:rFonts w:ascii="Calibri" w:eastAsia="Calibri" w:hAnsi="Calibri" w:cs="Calibri"/>
              </w:rPr>
              <w:t>±18042.64</w:t>
            </w:r>
            <w:r w:rsidRPr="00D81B3E">
              <w:rPr>
                <w:rFonts w:ascii="Calibri" w:eastAsia="Calibri" w:hAnsi="Calibri" w:cs="Calibri"/>
                <w:vertAlign w:val="superscript"/>
              </w:rPr>
              <w:t>a</w:t>
            </w:r>
          </w:p>
        </w:tc>
        <w:tc>
          <w:tcPr>
            <w:tcW w:w="2070" w:type="dxa"/>
          </w:tcPr>
          <w:p w14:paraId="2829B3C3"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45986.67</w:t>
            </w:r>
            <w:r w:rsidRPr="00D81B3E">
              <w:rPr>
                <w:rFonts w:ascii="Calibri" w:eastAsia="Calibri" w:hAnsi="Calibri" w:cs="Calibri"/>
              </w:rPr>
              <w:t>±42640.49</w:t>
            </w:r>
            <w:r w:rsidRPr="00D81B3E">
              <w:rPr>
                <w:rFonts w:ascii="Calibri" w:eastAsia="Calibri" w:hAnsi="Calibri" w:cs="Calibri"/>
                <w:vertAlign w:val="superscript"/>
              </w:rPr>
              <w:t>a</w:t>
            </w:r>
          </w:p>
        </w:tc>
        <w:tc>
          <w:tcPr>
            <w:tcW w:w="1435" w:type="dxa"/>
          </w:tcPr>
          <w:p w14:paraId="62E1F928"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0.81</w:t>
            </w:r>
            <w:r w:rsidRPr="00D81B3E">
              <w:rPr>
                <w:rFonts w:ascii="Calibri" w:eastAsia="Calibri" w:hAnsi="Calibri" w:cs="Calibri"/>
              </w:rPr>
              <w:t>±0.08</w:t>
            </w:r>
            <w:r w:rsidRPr="00D81B3E">
              <w:rPr>
                <w:rFonts w:ascii="Calibri" w:eastAsia="Calibri" w:hAnsi="Calibri" w:cs="Calibri"/>
                <w:vertAlign w:val="superscript"/>
              </w:rPr>
              <w:t>a</w:t>
            </w:r>
          </w:p>
        </w:tc>
        <w:tc>
          <w:tcPr>
            <w:tcW w:w="1800" w:type="dxa"/>
          </w:tcPr>
          <w:p w14:paraId="12207203"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0.68</w:t>
            </w:r>
            <w:r w:rsidRPr="00D81B3E">
              <w:rPr>
                <w:rFonts w:ascii="Calibri" w:eastAsia="Calibri" w:hAnsi="Calibri" w:cs="Calibri"/>
              </w:rPr>
              <w:t>±0.49</w:t>
            </w:r>
            <w:r w:rsidRPr="00D81B3E">
              <w:rPr>
                <w:rFonts w:ascii="Calibri" w:eastAsia="Calibri" w:hAnsi="Calibri" w:cs="Calibri"/>
                <w:vertAlign w:val="superscript"/>
              </w:rPr>
              <w:t>a</w:t>
            </w:r>
          </w:p>
        </w:tc>
      </w:tr>
      <w:tr w:rsidR="00D81B3E" w:rsidRPr="00D81B3E" w14:paraId="0F490C22" w14:textId="77777777" w:rsidTr="0093464C">
        <w:tc>
          <w:tcPr>
            <w:tcW w:w="2430" w:type="dxa"/>
          </w:tcPr>
          <w:p w14:paraId="23B1B400"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MW+OBF+Bac</w:t>
            </w:r>
            <w:proofErr w:type="spellEnd"/>
          </w:p>
        </w:tc>
        <w:tc>
          <w:tcPr>
            <w:tcW w:w="1440" w:type="dxa"/>
          </w:tcPr>
          <w:p w14:paraId="7353299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30.19</w:t>
            </w:r>
            <w:r w:rsidRPr="00D81B3E">
              <w:rPr>
                <w:rFonts w:ascii="Calibri" w:eastAsia="Calibri" w:hAnsi="Calibri" w:cs="Calibri"/>
              </w:rPr>
              <w:t>±1.02</w:t>
            </w:r>
            <w:r w:rsidRPr="00D81B3E">
              <w:rPr>
                <w:rFonts w:ascii="Calibri" w:eastAsia="Calibri" w:hAnsi="Calibri" w:cs="Calibri"/>
                <w:vertAlign w:val="superscript"/>
              </w:rPr>
              <w:t>a</w:t>
            </w:r>
          </w:p>
        </w:tc>
        <w:tc>
          <w:tcPr>
            <w:tcW w:w="1260" w:type="dxa"/>
          </w:tcPr>
          <w:p w14:paraId="58702CB2"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6.89</w:t>
            </w:r>
            <w:r w:rsidRPr="00D81B3E">
              <w:rPr>
                <w:rFonts w:ascii="Calibri" w:eastAsia="Calibri" w:hAnsi="Calibri" w:cs="Calibri"/>
              </w:rPr>
              <w:t>±0.40</w:t>
            </w:r>
            <w:r w:rsidRPr="00D81B3E">
              <w:rPr>
                <w:rFonts w:ascii="Calibri" w:eastAsia="Calibri" w:hAnsi="Calibri" w:cs="Calibri"/>
                <w:vertAlign w:val="superscript"/>
              </w:rPr>
              <w:t>a</w:t>
            </w:r>
          </w:p>
        </w:tc>
        <w:tc>
          <w:tcPr>
            <w:tcW w:w="1800" w:type="dxa"/>
          </w:tcPr>
          <w:p w14:paraId="626F9F93"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61090</w:t>
            </w:r>
            <w:r w:rsidRPr="00D81B3E">
              <w:rPr>
                <w:rFonts w:ascii="Calibri" w:eastAsia="Calibri" w:hAnsi="Calibri" w:cs="Calibri"/>
              </w:rPr>
              <w:t>±16982.55</w:t>
            </w:r>
            <w:r w:rsidRPr="00D81B3E">
              <w:rPr>
                <w:rFonts w:ascii="Calibri" w:eastAsia="Calibri" w:hAnsi="Calibri" w:cs="Calibri"/>
                <w:vertAlign w:val="superscript"/>
              </w:rPr>
              <w:t>a</w:t>
            </w:r>
          </w:p>
        </w:tc>
        <w:tc>
          <w:tcPr>
            <w:tcW w:w="2070" w:type="dxa"/>
          </w:tcPr>
          <w:p w14:paraId="6F49AE5B"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22100.00</w:t>
            </w:r>
            <w:r w:rsidRPr="00D81B3E">
              <w:rPr>
                <w:rFonts w:ascii="Calibri" w:eastAsia="Calibri" w:hAnsi="Calibri" w:cs="Calibri"/>
              </w:rPr>
              <w:t>±19711.06</w:t>
            </w:r>
            <w:r w:rsidRPr="00D81B3E">
              <w:rPr>
                <w:rFonts w:ascii="Calibri" w:eastAsia="Calibri" w:hAnsi="Calibri" w:cs="Calibri"/>
                <w:vertAlign w:val="superscript"/>
              </w:rPr>
              <w:t>a</w:t>
            </w:r>
          </w:p>
        </w:tc>
        <w:tc>
          <w:tcPr>
            <w:tcW w:w="1435" w:type="dxa"/>
          </w:tcPr>
          <w:p w14:paraId="78B2BEB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1.83</w:t>
            </w:r>
            <w:r w:rsidRPr="00D81B3E">
              <w:rPr>
                <w:rFonts w:ascii="Calibri" w:eastAsia="Calibri" w:hAnsi="Calibri" w:cs="Calibri"/>
              </w:rPr>
              <w:t>±2.16</w:t>
            </w:r>
            <w:r w:rsidRPr="00D81B3E">
              <w:rPr>
                <w:rFonts w:ascii="Calibri" w:eastAsia="Calibri" w:hAnsi="Calibri" w:cs="Calibri"/>
                <w:vertAlign w:val="superscript"/>
              </w:rPr>
              <w:t>a</w:t>
            </w:r>
          </w:p>
        </w:tc>
        <w:tc>
          <w:tcPr>
            <w:tcW w:w="1800" w:type="dxa"/>
          </w:tcPr>
          <w:p w14:paraId="7C4C1ED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1.67</w:t>
            </w:r>
            <w:r w:rsidRPr="00D81B3E">
              <w:rPr>
                <w:rFonts w:ascii="Calibri" w:eastAsia="Calibri" w:hAnsi="Calibri" w:cs="Calibri"/>
              </w:rPr>
              <w:t>±2.45</w:t>
            </w:r>
            <w:r w:rsidRPr="00D81B3E">
              <w:rPr>
                <w:rFonts w:ascii="Calibri" w:eastAsia="Calibri" w:hAnsi="Calibri" w:cs="Calibri"/>
                <w:vertAlign w:val="superscript"/>
              </w:rPr>
              <w:t>a</w:t>
            </w:r>
          </w:p>
        </w:tc>
      </w:tr>
      <w:tr w:rsidR="00D81B3E" w:rsidRPr="00D81B3E" w14:paraId="5BD6F9C2" w14:textId="77777777" w:rsidTr="0093464C">
        <w:tc>
          <w:tcPr>
            <w:tcW w:w="2430" w:type="dxa"/>
          </w:tcPr>
          <w:p w14:paraId="006333F8"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Mw+OBF+Pse</w:t>
            </w:r>
            <w:proofErr w:type="spellEnd"/>
          </w:p>
        </w:tc>
        <w:tc>
          <w:tcPr>
            <w:tcW w:w="1440" w:type="dxa"/>
          </w:tcPr>
          <w:p w14:paraId="78CD6CB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29.90</w:t>
            </w:r>
            <w:r w:rsidRPr="00D81B3E">
              <w:rPr>
                <w:rFonts w:ascii="Calibri" w:eastAsia="Calibri" w:hAnsi="Calibri" w:cs="Calibri"/>
              </w:rPr>
              <w:t>±1.13</w:t>
            </w:r>
            <w:r w:rsidRPr="00D81B3E">
              <w:rPr>
                <w:rFonts w:ascii="Calibri" w:eastAsia="Calibri" w:hAnsi="Calibri" w:cs="Calibri"/>
                <w:vertAlign w:val="superscript"/>
              </w:rPr>
              <w:t>a</w:t>
            </w:r>
          </w:p>
        </w:tc>
        <w:tc>
          <w:tcPr>
            <w:tcW w:w="1260" w:type="dxa"/>
          </w:tcPr>
          <w:p w14:paraId="7BD1589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6.89</w:t>
            </w:r>
            <w:r w:rsidRPr="00D81B3E">
              <w:rPr>
                <w:rFonts w:ascii="Calibri" w:eastAsia="Calibri" w:hAnsi="Calibri" w:cs="Calibri"/>
              </w:rPr>
              <w:t>±0.18</w:t>
            </w:r>
            <w:r w:rsidRPr="00D81B3E">
              <w:rPr>
                <w:rFonts w:ascii="Calibri" w:eastAsia="Calibri" w:hAnsi="Calibri" w:cs="Calibri"/>
                <w:vertAlign w:val="superscript"/>
              </w:rPr>
              <w:t>a</w:t>
            </w:r>
          </w:p>
        </w:tc>
        <w:tc>
          <w:tcPr>
            <w:tcW w:w="1800" w:type="dxa"/>
          </w:tcPr>
          <w:p w14:paraId="2941720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54593</w:t>
            </w:r>
            <w:r w:rsidRPr="00D81B3E">
              <w:rPr>
                <w:rFonts w:ascii="Calibri" w:eastAsia="Calibri" w:hAnsi="Calibri" w:cs="Calibri"/>
              </w:rPr>
              <w:t>±11810.28</w:t>
            </w:r>
            <w:r w:rsidRPr="00D81B3E">
              <w:rPr>
                <w:rFonts w:ascii="Calibri" w:eastAsia="Calibri" w:hAnsi="Calibri" w:cs="Calibri"/>
                <w:vertAlign w:val="superscript"/>
              </w:rPr>
              <w:t>a</w:t>
            </w:r>
          </w:p>
        </w:tc>
        <w:tc>
          <w:tcPr>
            <w:tcW w:w="2070" w:type="dxa"/>
          </w:tcPr>
          <w:p w14:paraId="4EC12FAB"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36133.33</w:t>
            </w:r>
            <w:r w:rsidRPr="00D81B3E">
              <w:rPr>
                <w:rFonts w:ascii="Calibri" w:eastAsia="Calibri" w:hAnsi="Calibri" w:cs="Calibri"/>
              </w:rPr>
              <w:t>±39983.41</w:t>
            </w:r>
            <w:r w:rsidRPr="00D81B3E">
              <w:rPr>
                <w:rFonts w:ascii="Calibri" w:eastAsia="Calibri" w:hAnsi="Calibri" w:cs="Calibri"/>
                <w:vertAlign w:val="superscript"/>
              </w:rPr>
              <w:t>a</w:t>
            </w:r>
          </w:p>
        </w:tc>
        <w:tc>
          <w:tcPr>
            <w:tcW w:w="1435" w:type="dxa"/>
          </w:tcPr>
          <w:p w14:paraId="644E8FE1"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1.86</w:t>
            </w:r>
            <w:r w:rsidRPr="00D81B3E">
              <w:rPr>
                <w:rFonts w:ascii="Calibri" w:eastAsia="Calibri" w:hAnsi="Calibri" w:cs="Calibri"/>
              </w:rPr>
              <w:t>±2.14</w:t>
            </w:r>
            <w:r w:rsidRPr="00D81B3E">
              <w:rPr>
                <w:rFonts w:ascii="Calibri" w:eastAsia="Calibri" w:hAnsi="Calibri" w:cs="Calibri"/>
                <w:vertAlign w:val="superscript"/>
              </w:rPr>
              <w:t>a</w:t>
            </w:r>
          </w:p>
        </w:tc>
        <w:tc>
          <w:tcPr>
            <w:tcW w:w="1800" w:type="dxa"/>
          </w:tcPr>
          <w:p w14:paraId="34F2A5FF"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1.50</w:t>
            </w:r>
            <w:r w:rsidRPr="00D81B3E">
              <w:rPr>
                <w:rFonts w:ascii="Calibri" w:eastAsia="Calibri" w:hAnsi="Calibri" w:cs="Calibri"/>
              </w:rPr>
              <w:t>±2.31</w:t>
            </w:r>
            <w:r w:rsidRPr="00D81B3E">
              <w:rPr>
                <w:rFonts w:ascii="Calibri" w:eastAsia="Calibri" w:hAnsi="Calibri" w:cs="Calibri"/>
                <w:vertAlign w:val="superscript"/>
              </w:rPr>
              <w:t>a</w:t>
            </w:r>
          </w:p>
        </w:tc>
      </w:tr>
      <w:tr w:rsidR="00D81B3E" w:rsidRPr="00D81B3E" w14:paraId="158B2CFA" w14:textId="77777777" w:rsidTr="0093464C">
        <w:tc>
          <w:tcPr>
            <w:tcW w:w="2430" w:type="dxa"/>
          </w:tcPr>
          <w:p w14:paraId="61386450"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MW+OBF+FW</w:t>
            </w:r>
          </w:p>
        </w:tc>
        <w:tc>
          <w:tcPr>
            <w:tcW w:w="1440" w:type="dxa"/>
          </w:tcPr>
          <w:p w14:paraId="4B6D2CE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30.02</w:t>
            </w:r>
            <w:r w:rsidRPr="00D81B3E">
              <w:rPr>
                <w:rFonts w:ascii="Calibri" w:eastAsia="Calibri" w:hAnsi="Calibri" w:cs="Calibri"/>
              </w:rPr>
              <w:t>±0.97</w:t>
            </w:r>
            <w:r w:rsidRPr="00D81B3E">
              <w:rPr>
                <w:rFonts w:ascii="Calibri" w:eastAsia="Calibri" w:hAnsi="Calibri" w:cs="Calibri"/>
                <w:vertAlign w:val="superscript"/>
              </w:rPr>
              <w:t>a</w:t>
            </w:r>
          </w:p>
        </w:tc>
        <w:tc>
          <w:tcPr>
            <w:tcW w:w="1260" w:type="dxa"/>
          </w:tcPr>
          <w:p w14:paraId="36614E19"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7.21</w:t>
            </w:r>
            <w:r w:rsidRPr="00D81B3E">
              <w:rPr>
                <w:rFonts w:ascii="Calibri" w:eastAsia="Calibri" w:hAnsi="Calibri" w:cs="Calibri"/>
              </w:rPr>
              <w:t>±0.19</w:t>
            </w:r>
            <w:r w:rsidRPr="00D81B3E">
              <w:rPr>
                <w:rFonts w:ascii="Calibri" w:eastAsia="Calibri" w:hAnsi="Calibri" w:cs="Calibri"/>
                <w:vertAlign w:val="superscript"/>
              </w:rPr>
              <w:t>a</w:t>
            </w:r>
          </w:p>
        </w:tc>
        <w:tc>
          <w:tcPr>
            <w:tcW w:w="1800" w:type="dxa"/>
          </w:tcPr>
          <w:p w14:paraId="4DFDF24B"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65787</w:t>
            </w:r>
            <w:r w:rsidRPr="00D81B3E">
              <w:rPr>
                <w:rFonts w:ascii="Calibri" w:eastAsia="Calibri" w:hAnsi="Calibri" w:cs="Calibri"/>
              </w:rPr>
              <w:t>±10003.54</w:t>
            </w:r>
            <w:r w:rsidRPr="00D81B3E">
              <w:rPr>
                <w:rFonts w:ascii="Calibri" w:eastAsia="Calibri" w:hAnsi="Calibri" w:cs="Calibri"/>
                <w:vertAlign w:val="superscript"/>
              </w:rPr>
              <w:t>a</w:t>
            </w:r>
          </w:p>
        </w:tc>
        <w:tc>
          <w:tcPr>
            <w:tcW w:w="2070" w:type="dxa"/>
          </w:tcPr>
          <w:p w14:paraId="2244FF97"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13513.33</w:t>
            </w:r>
            <w:r w:rsidRPr="00D81B3E">
              <w:rPr>
                <w:rFonts w:ascii="Calibri" w:eastAsia="Calibri" w:hAnsi="Calibri" w:cs="Calibri"/>
              </w:rPr>
              <w:t>±2081.67</w:t>
            </w:r>
            <w:r w:rsidRPr="00D81B3E">
              <w:rPr>
                <w:rFonts w:ascii="Calibri" w:eastAsia="Calibri" w:hAnsi="Calibri" w:cs="Calibri"/>
                <w:vertAlign w:val="superscript"/>
              </w:rPr>
              <w:t>a</w:t>
            </w:r>
          </w:p>
        </w:tc>
        <w:tc>
          <w:tcPr>
            <w:tcW w:w="1435" w:type="dxa"/>
          </w:tcPr>
          <w:p w14:paraId="4C0DFD40"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4.47</w:t>
            </w:r>
            <w:r w:rsidRPr="00D81B3E">
              <w:rPr>
                <w:rFonts w:ascii="Calibri" w:eastAsia="Calibri" w:hAnsi="Calibri" w:cs="Calibri"/>
              </w:rPr>
              <w:t>±5.92</w:t>
            </w:r>
            <w:r w:rsidRPr="00D81B3E">
              <w:rPr>
                <w:rFonts w:ascii="Calibri" w:eastAsia="Calibri" w:hAnsi="Calibri" w:cs="Calibri"/>
                <w:vertAlign w:val="superscript"/>
              </w:rPr>
              <w:t>a</w:t>
            </w:r>
          </w:p>
        </w:tc>
        <w:tc>
          <w:tcPr>
            <w:tcW w:w="1800" w:type="dxa"/>
          </w:tcPr>
          <w:p w14:paraId="4FB95F55"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3.13</w:t>
            </w:r>
            <w:r w:rsidRPr="00D81B3E">
              <w:rPr>
                <w:rFonts w:ascii="Calibri" w:eastAsia="Calibri" w:hAnsi="Calibri" w:cs="Calibri"/>
              </w:rPr>
              <w:t>±5.17</w:t>
            </w:r>
            <w:r w:rsidRPr="00D81B3E">
              <w:rPr>
                <w:rFonts w:ascii="Calibri" w:eastAsia="Calibri" w:hAnsi="Calibri" w:cs="Calibri"/>
                <w:vertAlign w:val="superscript"/>
              </w:rPr>
              <w:t>a</w:t>
            </w:r>
          </w:p>
        </w:tc>
      </w:tr>
      <w:tr w:rsidR="00D81B3E" w:rsidRPr="00D81B3E" w14:paraId="0D14BA8F" w14:textId="77777777" w:rsidTr="0093464C">
        <w:tc>
          <w:tcPr>
            <w:tcW w:w="2430" w:type="dxa"/>
          </w:tcPr>
          <w:p w14:paraId="17493848"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MW+OBF+FW+Bac</w:t>
            </w:r>
            <w:proofErr w:type="spellEnd"/>
          </w:p>
        </w:tc>
        <w:tc>
          <w:tcPr>
            <w:tcW w:w="1440" w:type="dxa"/>
          </w:tcPr>
          <w:p w14:paraId="6F00E43E"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29.93</w:t>
            </w:r>
            <w:r w:rsidRPr="00D81B3E">
              <w:rPr>
                <w:rFonts w:ascii="Calibri" w:eastAsia="Calibri" w:hAnsi="Calibri" w:cs="Calibri"/>
              </w:rPr>
              <w:t>±0.90</w:t>
            </w:r>
            <w:r w:rsidRPr="00D81B3E">
              <w:rPr>
                <w:rFonts w:ascii="Calibri" w:eastAsia="Calibri" w:hAnsi="Calibri" w:cs="Calibri"/>
                <w:vertAlign w:val="superscript"/>
              </w:rPr>
              <w:t>a</w:t>
            </w:r>
          </w:p>
        </w:tc>
        <w:tc>
          <w:tcPr>
            <w:tcW w:w="1260" w:type="dxa"/>
          </w:tcPr>
          <w:p w14:paraId="1041004F"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7.30</w:t>
            </w:r>
            <w:r w:rsidRPr="00D81B3E">
              <w:rPr>
                <w:rFonts w:ascii="Calibri" w:eastAsia="Calibri" w:hAnsi="Calibri" w:cs="Calibri"/>
              </w:rPr>
              <w:t>±0.23</w:t>
            </w:r>
            <w:r w:rsidRPr="00D81B3E">
              <w:rPr>
                <w:rFonts w:ascii="Calibri" w:eastAsia="Calibri" w:hAnsi="Calibri" w:cs="Calibri"/>
                <w:vertAlign w:val="superscript"/>
              </w:rPr>
              <w:t>a</w:t>
            </w:r>
          </w:p>
        </w:tc>
        <w:tc>
          <w:tcPr>
            <w:tcW w:w="1800" w:type="dxa"/>
          </w:tcPr>
          <w:p w14:paraId="28B58BD3"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52026</w:t>
            </w:r>
            <w:r w:rsidRPr="00D81B3E">
              <w:rPr>
                <w:rFonts w:ascii="Calibri" w:eastAsia="Calibri" w:hAnsi="Calibri" w:cs="Calibri"/>
              </w:rPr>
              <w:t>±41784.51</w:t>
            </w:r>
            <w:r w:rsidRPr="00D81B3E">
              <w:rPr>
                <w:rFonts w:ascii="Calibri" w:eastAsia="Calibri" w:hAnsi="Calibri" w:cs="Calibri"/>
                <w:vertAlign w:val="superscript"/>
              </w:rPr>
              <w:t>a</w:t>
            </w:r>
          </w:p>
        </w:tc>
        <w:tc>
          <w:tcPr>
            <w:tcW w:w="2070" w:type="dxa"/>
          </w:tcPr>
          <w:p w14:paraId="57C1EF2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12675.00</w:t>
            </w:r>
            <w:r w:rsidRPr="00D81B3E">
              <w:rPr>
                <w:rFonts w:ascii="Calibri" w:eastAsia="Calibri" w:hAnsi="Calibri" w:cs="Calibri"/>
              </w:rPr>
              <w:t>±4445.00</w:t>
            </w:r>
            <w:r w:rsidRPr="00D81B3E">
              <w:rPr>
                <w:rFonts w:ascii="Calibri" w:eastAsia="Calibri" w:hAnsi="Calibri" w:cs="Calibri"/>
                <w:vertAlign w:val="superscript"/>
              </w:rPr>
              <w:t>a</w:t>
            </w:r>
          </w:p>
        </w:tc>
        <w:tc>
          <w:tcPr>
            <w:tcW w:w="1435" w:type="dxa"/>
          </w:tcPr>
          <w:p w14:paraId="46015CC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6.89</w:t>
            </w:r>
            <w:r w:rsidRPr="00D81B3E">
              <w:rPr>
                <w:rFonts w:ascii="Calibri" w:eastAsia="Calibri" w:hAnsi="Calibri" w:cs="Calibri"/>
              </w:rPr>
              <w:t>±7.24</w:t>
            </w:r>
            <w:r w:rsidRPr="00D81B3E">
              <w:rPr>
                <w:rFonts w:ascii="Calibri" w:eastAsia="Calibri" w:hAnsi="Calibri" w:cs="Calibri"/>
                <w:vertAlign w:val="superscript"/>
              </w:rPr>
              <w:t>a</w:t>
            </w:r>
          </w:p>
        </w:tc>
        <w:tc>
          <w:tcPr>
            <w:tcW w:w="1800" w:type="dxa"/>
          </w:tcPr>
          <w:p w14:paraId="3D51FAF1"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5.23</w:t>
            </w:r>
            <w:r w:rsidRPr="00D81B3E">
              <w:rPr>
                <w:rFonts w:ascii="Calibri" w:eastAsia="Calibri" w:hAnsi="Calibri" w:cs="Calibri"/>
              </w:rPr>
              <w:t>±6.25</w:t>
            </w:r>
            <w:r w:rsidRPr="00D81B3E">
              <w:rPr>
                <w:rFonts w:ascii="Calibri" w:eastAsia="Calibri" w:hAnsi="Calibri" w:cs="Calibri"/>
                <w:vertAlign w:val="superscript"/>
              </w:rPr>
              <w:t>a</w:t>
            </w:r>
          </w:p>
        </w:tc>
      </w:tr>
      <w:tr w:rsidR="00D81B3E" w:rsidRPr="00D81B3E" w14:paraId="48F8B379" w14:textId="77777777" w:rsidTr="0093464C">
        <w:tc>
          <w:tcPr>
            <w:tcW w:w="2430" w:type="dxa"/>
          </w:tcPr>
          <w:p w14:paraId="6F45AC9B"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MW+OBF+FW+Pse</w:t>
            </w:r>
            <w:proofErr w:type="spellEnd"/>
          </w:p>
        </w:tc>
        <w:tc>
          <w:tcPr>
            <w:tcW w:w="1440" w:type="dxa"/>
          </w:tcPr>
          <w:p w14:paraId="5EFB9A09"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30.37</w:t>
            </w:r>
            <w:r w:rsidRPr="00D81B3E">
              <w:rPr>
                <w:rFonts w:ascii="Calibri" w:eastAsia="Calibri" w:hAnsi="Calibri" w:cs="Calibri"/>
              </w:rPr>
              <w:t>±1.10</w:t>
            </w:r>
            <w:r w:rsidRPr="00D81B3E">
              <w:rPr>
                <w:rFonts w:ascii="Calibri" w:eastAsia="Calibri" w:hAnsi="Calibri" w:cs="Calibri"/>
                <w:vertAlign w:val="superscript"/>
              </w:rPr>
              <w:t>a</w:t>
            </w:r>
          </w:p>
        </w:tc>
        <w:tc>
          <w:tcPr>
            <w:tcW w:w="1260" w:type="dxa"/>
          </w:tcPr>
          <w:p w14:paraId="7551427A"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7.10</w:t>
            </w:r>
            <w:r w:rsidRPr="00D81B3E">
              <w:rPr>
                <w:rFonts w:ascii="Calibri" w:eastAsia="Calibri" w:hAnsi="Calibri" w:cs="Calibri"/>
              </w:rPr>
              <w:t>±0.21</w:t>
            </w:r>
            <w:r w:rsidRPr="00D81B3E">
              <w:rPr>
                <w:rFonts w:ascii="Calibri" w:eastAsia="Calibri" w:hAnsi="Calibri" w:cs="Calibri"/>
                <w:vertAlign w:val="superscript"/>
              </w:rPr>
              <w:t>a</w:t>
            </w:r>
          </w:p>
        </w:tc>
        <w:tc>
          <w:tcPr>
            <w:tcW w:w="1800" w:type="dxa"/>
          </w:tcPr>
          <w:p w14:paraId="49704226"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52336</w:t>
            </w:r>
            <w:r w:rsidRPr="00D81B3E">
              <w:rPr>
                <w:rFonts w:ascii="Calibri" w:eastAsia="Calibri" w:hAnsi="Calibri" w:cs="Calibri"/>
              </w:rPr>
              <w:t>±42316.00</w:t>
            </w:r>
            <w:r w:rsidRPr="00D81B3E">
              <w:rPr>
                <w:rFonts w:ascii="Calibri" w:eastAsia="Calibri" w:hAnsi="Calibri" w:cs="Calibri"/>
                <w:vertAlign w:val="superscript"/>
              </w:rPr>
              <w:t>a</w:t>
            </w:r>
          </w:p>
        </w:tc>
        <w:tc>
          <w:tcPr>
            <w:tcW w:w="2070" w:type="dxa"/>
          </w:tcPr>
          <w:p w14:paraId="72A68125"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12328.67</w:t>
            </w:r>
            <w:r w:rsidRPr="00D81B3E">
              <w:rPr>
                <w:rFonts w:ascii="Calibri" w:eastAsia="Calibri" w:hAnsi="Calibri" w:cs="Calibri"/>
              </w:rPr>
              <w:t>±4664.42</w:t>
            </w:r>
            <w:r w:rsidRPr="00D81B3E">
              <w:rPr>
                <w:rFonts w:ascii="Calibri" w:eastAsia="Calibri" w:hAnsi="Calibri" w:cs="Calibri"/>
                <w:vertAlign w:val="superscript"/>
              </w:rPr>
              <w:t>a</w:t>
            </w:r>
          </w:p>
        </w:tc>
        <w:tc>
          <w:tcPr>
            <w:tcW w:w="1435" w:type="dxa"/>
          </w:tcPr>
          <w:p w14:paraId="78B5645F"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4.63</w:t>
            </w:r>
            <w:r w:rsidRPr="00D81B3E">
              <w:rPr>
                <w:rFonts w:ascii="Calibri" w:eastAsia="Calibri" w:hAnsi="Calibri" w:cs="Calibri"/>
              </w:rPr>
              <w:t>±2.81</w:t>
            </w:r>
            <w:r w:rsidRPr="00D81B3E">
              <w:rPr>
                <w:rFonts w:ascii="Calibri" w:eastAsia="Calibri" w:hAnsi="Calibri" w:cs="Calibri"/>
                <w:vertAlign w:val="superscript"/>
              </w:rPr>
              <w:t>a</w:t>
            </w:r>
          </w:p>
        </w:tc>
        <w:tc>
          <w:tcPr>
            <w:tcW w:w="1800" w:type="dxa"/>
          </w:tcPr>
          <w:p w14:paraId="61D87B22"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2.98</w:t>
            </w:r>
            <w:r w:rsidRPr="00D81B3E">
              <w:rPr>
                <w:rFonts w:ascii="Calibri" w:eastAsia="Calibri" w:hAnsi="Calibri" w:cs="Calibri"/>
              </w:rPr>
              <w:t>±1.97</w:t>
            </w:r>
            <w:r w:rsidRPr="00D81B3E">
              <w:rPr>
                <w:rFonts w:ascii="Calibri" w:eastAsia="Calibri" w:hAnsi="Calibri" w:cs="Calibri"/>
                <w:vertAlign w:val="superscript"/>
              </w:rPr>
              <w:t>a</w:t>
            </w:r>
          </w:p>
        </w:tc>
      </w:tr>
      <w:tr w:rsidR="00D81B3E" w:rsidRPr="00D81B3E" w14:paraId="4BFD82E9" w14:textId="77777777" w:rsidTr="0093464C">
        <w:tc>
          <w:tcPr>
            <w:tcW w:w="2430" w:type="dxa"/>
          </w:tcPr>
          <w:p w14:paraId="080A06EC"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MW+OBF+FW+Bac+Pse</w:t>
            </w:r>
            <w:proofErr w:type="spellEnd"/>
          </w:p>
        </w:tc>
        <w:tc>
          <w:tcPr>
            <w:tcW w:w="1440" w:type="dxa"/>
          </w:tcPr>
          <w:p w14:paraId="03B836A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30.30</w:t>
            </w:r>
            <w:r w:rsidRPr="00D81B3E">
              <w:rPr>
                <w:rFonts w:ascii="Calibri" w:eastAsia="Calibri" w:hAnsi="Calibri" w:cs="Calibri"/>
              </w:rPr>
              <w:t>±1.21</w:t>
            </w:r>
            <w:r w:rsidRPr="00D81B3E">
              <w:rPr>
                <w:rFonts w:ascii="Calibri" w:eastAsia="Calibri" w:hAnsi="Calibri" w:cs="Calibri"/>
                <w:vertAlign w:val="superscript"/>
              </w:rPr>
              <w:t>a</w:t>
            </w:r>
          </w:p>
        </w:tc>
        <w:tc>
          <w:tcPr>
            <w:tcW w:w="1260" w:type="dxa"/>
          </w:tcPr>
          <w:p w14:paraId="4D161B08"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7.29</w:t>
            </w:r>
            <w:r w:rsidRPr="00D81B3E">
              <w:rPr>
                <w:rFonts w:ascii="Calibri" w:eastAsia="Calibri" w:hAnsi="Calibri" w:cs="Calibri"/>
              </w:rPr>
              <w:t>±0.09</w:t>
            </w:r>
            <w:r w:rsidRPr="00D81B3E">
              <w:rPr>
                <w:rFonts w:ascii="Calibri" w:eastAsia="Calibri" w:hAnsi="Calibri" w:cs="Calibri"/>
                <w:vertAlign w:val="superscript"/>
              </w:rPr>
              <w:t>a</w:t>
            </w:r>
          </w:p>
        </w:tc>
        <w:tc>
          <w:tcPr>
            <w:tcW w:w="1800" w:type="dxa"/>
          </w:tcPr>
          <w:p w14:paraId="6417E4B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50833</w:t>
            </w:r>
            <w:r w:rsidRPr="00D81B3E">
              <w:rPr>
                <w:rFonts w:ascii="Calibri" w:eastAsia="Calibri" w:hAnsi="Calibri" w:cs="Calibri"/>
              </w:rPr>
              <w:t>±40882.15</w:t>
            </w:r>
            <w:r w:rsidRPr="00D81B3E">
              <w:rPr>
                <w:rFonts w:ascii="Calibri" w:eastAsia="Calibri" w:hAnsi="Calibri" w:cs="Calibri"/>
                <w:vertAlign w:val="superscript"/>
              </w:rPr>
              <w:t>a</w:t>
            </w:r>
          </w:p>
        </w:tc>
        <w:tc>
          <w:tcPr>
            <w:tcW w:w="2070" w:type="dxa"/>
          </w:tcPr>
          <w:p w14:paraId="03AEF08B"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11220.67</w:t>
            </w:r>
            <w:r w:rsidRPr="00D81B3E">
              <w:rPr>
                <w:rFonts w:ascii="Calibri" w:eastAsia="Calibri" w:hAnsi="Calibri" w:cs="Calibri"/>
              </w:rPr>
              <w:t>±3774.02</w:t>
            </w:r>
            <w:r w:rsidRPr="00D81B3E">
              <w:rPr>
                <w:rFonts w:ascii="Calibri" w:eastAsia="Calibri" w:hAnsi="Calibri" w:cs="Calibri"/>
                <w:vertAlign w:val="superscript"/>
              </w:rPr>
              <w:t>a</w:t>
            </w:r>
          </w:p>
        </w:tc>
        <w:tc>
          <w:tcPr>
            <w:tcW w:w="1435" w:type="dxa"/>
          </w:tcPr>
          <w:p w14:paraId="694EBBB7"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4.28</w:t>
            </w:r>
            <w:r w:rsidRPr="00D81B3E">
              <w:rPr>
                <w:rFonts w:ascii="Calibri" w:eastAsia="Calibri" w:hAnsi="Calibri" w:cs="Calibri"/>
              </w:rPr>
              <w:t>±4.25</w:t>
            </w:r>
            <w:r w:rsidRPr="00D81B3E">
              <w:rPr>
                <w:rFonts w:ascii="Calibri" w:eastAsia="Calibri" w:hAnsi="Calibri" w:cs="Calibri"/>
                <w:vertAlign w:val="superscript"/>
              </w:rPr>
              <w:t>a</w:t>
            </w:r>
          </w:p>
        </w:tc>
        <w:tc>
          <w:tcPr>
            <w:tcW w:w="1800" w:type="dxa"/>
          </w:tcPr>
          <w:p w14:paraId="0C8456AB"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2.51</w:t>
            </w:r>
            <w:r w:rsidRPr="00D81B3E">
              <w:rPr>
                <w:rFonts w:ascii="Calibri" w:eastAsia="Calibri" w:hAnsi="Calibri" w:cs="Calibri"/>
              </w:rPr>
              <w:t>±3.43</w:t>
            </w:r>
            <w:r w:rsidRPr="00D81B3E">
              <w:rPr>
                <w:rFonts w:ascii="Calibri" w:eastAsia="Calibri" w:hAnsi="Calibri" w:cs="Calibri"/>
                <w:vertAlign w:val="superscript"/>
              </w:rPr>
              <w:t>a</w:t>
            </w:r>
          </w:p>
        </w:tc>
      </w:tr>
      <w:tr w:rsidR="00D81B3E" w:rsidRPr="00D81B3E" w14:paraId="05FA5135" w14:textId="77777777" w:rsidTr="0093464C">
        <w:tc>
          <w:tcPr>
            <w:tcW w:w="2430" w:type="dxa"/>
          </w:tcPr>
          <w:p w14:paraId="5794059A"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p-value</w:t>
            </w:r>
          </w:p>
        </w:tc>
        <w:tc>
          <w:tcPr>
            <w:tcW w:w="1440" w:type="dxa"/>
          </w:tcPr>
          <w:p w14:paraId="64A7C06E"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0.7602</w:t>
            </w:r>
          </w:p>
        </w:tc>
        <w:tc>
          <w:tcPr>
            <w:tcW w:w="1260" w:type="dxa"/>
          </w:tcPr>
          <w:p w14:paraId="128E33D9"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0.0556</w:t>
            </w:r>
          </w:p>
        </w:tc>
        <w:tc>
          <w:tcPr>
            <w:tcW w:w="1800" w:type="dxa"/>
          </w:tcPr>
          <w:p w14:paraId="7467D748"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0.0905</w:t>
            </w:r>
          </w:p>
        </w:tc>
        <w:tc>
          <w:tcPr>
            <w:tcW w:w="2070" w:type="dxa"/>
          </w:tcPr>
          <w:p w14:paraId="4EBAE1FC"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0.6102</w:t>
            </w:r>
          </w:p>
        </w:tc>
        <w:tc>
          <w:tcPr>
            <w:tcW w:w="1435" w:type="dxa"/>
          </w:tcPr>
          <w:p w14:paraId="727C720F"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0.9220</w:t>
            </w:r>
          </w:p>
        </w:tc>
        <w:tc>
          <w:tcPr>
            <w:tcW w:w="1800" w:type="dxa"/>
          </w:tcPr>
          <w:p w14:paraId="2B30B0C5"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0.9826</w:t>
            </w:r>
          </w:p>
        </w:tc>
      </w:tr>
    </w:tbl>
    <w:p w14:paraId="1FC3BC1E" w14:textId="66523098"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D90F42">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D90F42">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D90F42">
        <w:rPr>
          <w:rFonts w:ascii="Times New Roman" w:eastAsia="Calibri" w:hAnsi="Times New Roman" w:cs="Times New Roman"/>
          <w:bCs/>
          <w:kern w:val="0"/>
          <w14:ligatures w14:val="none"/>
        </w:rPr>
        <w:t xml:space="preserve">d </w:t>
      </w:r>
      <w:r w:rsidRPr="00E73476">
        <w:rPr>
          <w:rFonts w:ascii="Times New Roman" w:eastAsia="Calibri" w:hAnsi="Times New Roman" w:cs="Times New Roman"/>
          <w:bCs/>
          <w:kern w:val="0"/>
          <w14:ligatures w14:val="none"/>
        </w:rPr>
        <w:t xml:space="preserve">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aeruginosa EB38</w:t>
      </w:r>
      <w:r w:rsidRPr="00E73476">
        <w:rPr>
          <w:rFonts w:ascii="Times New Roman" w:eastAsia="Calibri" w:hAnsi="Times New Roman" w:cs="Times New Roman"/>
          <w:kern w:val="0"/>
          <w14:ligatures w14:val="none"/>
        </w:rPr>
        <w:t>, BOD=Biological oxygen demand</w:t>
      </w:r>
      <w:r w:rsidRPr="00E73476">
        <w:rPr>
          <w:rFonts w:ascii="Times New Roman" w:eastAsia="Calibri" w:hAnsi="Times New Roman" w:cs="Times New Roman"/>
          <w:i/>
          <w:iCs/>
          <w:kern w:val="0"/>
          <w14:ligatures w14:val="none"/>
        </w:rPr>
        <w:t xml:space="preserve"> </w:t>
      </w:r>
      <w:r w:rsidRPr="00E73476">
        <w:rPr>
          <w:rFonts w:ascii="Times New Roman" w:eastAsia="Calibri" w:hAnsi="Times New Roman" w:cs="Times New Roman"/>
          <w:b/>
          <w:bCs/>
          <w:i/>
          <w:iCs/>
          <w:kern w:val="0"/>
          <w14:ligatures w14:val="none"/>
        </w:rPr>
        <w:t xml:space="preserve">             </w:t>
      </w:r>
    </w:p>
    <w:p w14:paraId="3314850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AAC2F3B" w14:textId="77777777" w:rsidR="00D81B3E" w:rsidRDefault="00D81B3E"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sectPr w:rsidR="00D81B3E" w:rsidSect="00D81B3E">
          <w:pgSz w:w="15840" w:h="12240" w:orient="landscape"/>
          <w:pgMar w:top="1440" w:right="1282" w:bottom="1440" w:left="1440" w:header="720" w:footer="720" w:gutter="0"/>
          <w:cols w:space="720"/>
          <w:docGrid w:linePitch="360"/>
        </w:sectPr>
      </w:pPr>
    </w:p>
    <w:p w14:paraId="4071BEA5" w14:textId="77777777" w:rsidR="00F33EDF" w:rsidRPr="00F33EDF" w:rsidRDefault="00F33EDF" w:rsidP="00F33EDF">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F33EDF">
        <w:rPr>
          <w:rFonts w:ascii="Times New Roman" w:eastAsia="Calibri" w:hAnsi="Times New Roman" w:cs="Times New Roman"/>
          <w:kern w:val="0"/>
          <w14:ligatures w14:val="none"/>
        </w:rPr>
        <w:lastRenderedPageBreak/>
        <w:t>Nitrate levels ranged from 0.39±0.40mg/L (MW+OBF) treatment to 5.72±3.86mg/L (</w:t>
      </w:r>
      <w:proofErr w:type="spellStart"/>
      <w:r w:rsidRPr="00F33EDF">
        <w:rPr>
          <w:rFonts w:ascii="Times New Roman" w:eastAsia="Calibri" w:hAnsi="Times New Roman" w:cs="Times New Roman"/>
          <w:kern w:val="0"/>
          <w14:ligatures w14:val="none"/>
        </w:rPr>
        <w:t>MW+OBF+FW+Pse</w:t>
      </w:r>
      <w:proofErr w:type="spellEnd"/>
      <w:r w:rsidRPr="00F33EDF">
        <w:rPr>
          <w:rFonts w:ascii="Times New Roman" w:eastAsia="Calibri" w:hAnsi="Times New Roman" w:cs="Times New Roman"/>
          <w:kern w:val="0"/>
          <w14:ligatures w14:val="none"/>
        </w:rPr>
        <w:t>) treatment. Phosphate levels ranged from 0.00±0.00mg/L (MW+OBF) treatments to 0.23±0.06mg/L (</w:t>
      </w:r>
      <w:proofErr w:type="spellStart"/>
      <w:r w:rsidRPr="00F33EDF">
        <w:rPr>
          <w:rFonts w:ascii="Times New Roman" w:eastAsia="Calibri" w:hAnsi="Times New Roman" w:cs="Times New Roman"/>
          <w:kern w:val="0"/>
          <w14:ligatures w14:val="none"/>
        </w:rPr>
        <w:t>MW+OBF+FW+Bac+Pse</w:t>
      </w:r>
      <w:proofErr w:type="spellEnd"/>
      <w:r w:rsidRPr="00F33EDF">
        <w:rPr>
          <w:rFonts w:ascii="Times New Roman" w:eastAsia="Calibri" w:hAnsi="Times New Roman" w:cs="Times New Roman"/>
          <w:kern w:val="0"/>
          <w14:ligatures w14:val="none"/>
        </w:rPr>
        <w:t>) treatment. Sulphate levels remained relatively consistent across treatments, ranging from 0.24±0.20 mg/L (UW) treatment to 0.27±0.21mg/L (MW+OBF+FW) treatment. Chemical Oxygen Demand (COD) levels ranged from 1.19±0.87mg/L in the (MW+OBF) treatment to 9.21±11.01mg/L (</w:t>
      </w:r>
      <w:proofErr w:type="spellStart"/>
      <w:r w:rsidRPr="00F33EDF">
        <w:rPr>
          <w:rFonts w:ascii="Times New Roman" w:eastAsia="Calibri" w:hAnsi="Times New Roman" w:cs="Times New Roman"/>
          <w:kern w:val="0"/>
          <w14:ligatures w14:val="none"/>
        </w:rPr>
        <w:t>MW+OBF+FW+Bac</w:t>
      </w:r>
      <w:proofErr w:type="spellEnd"/>
      <w:r w:rsidRPr="00F33EDF">
        <w:rPr>
          <w:rFonts w:ascii="Times New Roman" w:eastAsia="Calibri" w:hAnsi="Times New Roman" w:cs="Times New Roman"/>
          <w:kern w:val="0"/>
          <w14:ligatures w14:val="none"/>
        </w:rPr>
        <w:t xml:space="preserve">) treatment. Total Hydrocarbon Content (THC) levels ranged from 124.44±113.27mg/L (UW) treatment to 2114±2.1405.62mg/L (MW+OBF) treatment.  </w:t>
      </w:r>
    </w:p>
    <w:p w14:paraId="603B22C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p>
    <w:p w14:paraId="57B31FD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Table 5b: Mean and standard deviation of physicochemical parameters during enhanced biodegradation of drilling fluids in </w:t>
      </w:r>
      <w:r w:rsidRPr="00E73476">
        <w:rPr>
          <w:rFonts w:ascii="Times New Roman" w:eastAsia="Calibri" w:hAnsi="Times New Roman" w:cs="Times New Roman"/>
          <w:b/>
          <w:bCs/>
          <w:kern w:val="0"/>
          <w14:ligatures w14:val="none"/>
        </w:rPr>
        <w:tab/>
        <w:t>Marine Water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1530"/>
        <w:gridCol w:w="1530"/>
        <w:gridCol w:w="1710"/>
        <w:gridCol w:w="2070"/>
        <w:gridCol w:w="2430"/>
      </w:tblGrid>
      <w:tr w:rsidR="00172A09" w:rsidRPr="00764ECD" w14:paraId="4E01CBB7" w14:textId="77777777" w:rsidTr="0093464C">
        <w:trPr>
          <w:trHeight w:val="440"/>
        </w:trPr>
        <w:tc>
          <w:tcPr>
            <w:tcW w:w="2605" w:type="dxa"/>
            <w:tcBorders>
              <w:top w:val="single" w:sz="4" w:space="0" w:color="auto"/>
              <w:bottom w:val="single" w:sz="4" w:space="0" w:color="auto"/>
            </w:tcBorders>
          </w:tcPr>
          <w:p w14:paraId="780E1170" w14:textId="77777777" w:rsidR="00172A09" w:rsidRPr="00764ECD" w:rsidRDefault="00172A09" w:rsidP="0093464C">
            <w:pPr>
              <w:rPr>
                <w:rFonts w:ascii="Times New Roman" w:hAnsi="Times New Roman" w:cs="Times New Roman"/>
                <w:b/>
                <w:bCs/>
              </w:rPr>
            </w:pPr>
            <w:bookmarkStart w:id="10" w:name="_Hlk174139228"/>
            <w:r w:rsidRPr="00764ECD">
              <w:rPr>
                <w:rFonts w:ascii="Times New Roman" w:hAnsi="Times New Roman" w:cs="Times New Roman"/>
                <w:b/>
                <w:bCs/>
              </w:rPr>
              <w:t>Treatment Code</w:t>
            </w:r>
          </w:p>
        </w:tc>
        <w:tc>
          <w:tcPr>
            <w:tcW w:w="1530" w:type="dxa"/>
            <w:tcBorders>
              <w:top w:val="single" w:sz="4" w:space="0" w:color="auto"/>
              <w:bottom w:val="single" w:sz="4" w:space="0" w:color="auto"/>
            </w:tcBorders>
          </w:tcPr>
          <w:p w14:paraId="4EBFFCC8"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Nitrate</w:t>
            </w:r>
          </w:p>
        </w:tc>
        <w:tc>
          <w:tcPr>
            <w:tcW w:w="1530" w:type="dxa"/>
            <w:tcBorders>
              <w:top w:val="single" w:sz="4" w:space="0" w:color="auto"/>
              <w:bottom w:val="single" w:sz="4" w:space="0" w:color="auto"/>
            </w:tcBorders>
          </w:tcPr>
          <w:p w14:paraId="365171AE"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Phosphate</w:t>
            </w:r>
          </w:p>
        </w:tc>
        <w:tc>
          <w:tcPr>
            <w:tcW w:w="1710" w:type="dxa"/>
            <w:tcBorders>
              <w:top w:val="single" w:sz="4" w:space="0" w:color="auto"/>
              <w:bottom w:val="single" w:sz="4" w:space="0" w:color="auto"/>
            </w:tcBorders>
          </w:tcPr>
          <w:p w14:paraId="6D82DEB3"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Sulphate</w:t>
            </w:r>
          </w:p>
        </w:tc>
        <w:tc>
          <w:tcPr>
            <w:tcW w:w="2070" w:type="dxa"/>
            <w:tcBorders>
              <w:top w:val="single" w:sz="4" w:space="0" w:color="auto"/>
              <w:bottom w:val="single" w:sz="4" w:space="0" w:color="auto"/>
            </w:tcBorders>
          </w:tcPr>
          <w:p w14:paraId="50A66599"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Chemical Oxygen Demand</w:t>
            </w:r>
          </w:p>
        </w:tc>
        <w:tc>
          <w:tcPr>
            <w:tcW w:w="2430" w:type="dxa"/>
            <w:tcBorders>
              <w:top w:val="single" w:sz="4" w:space="0" w:color="auto"/>
              <w:bottom w:val="single" w:sz="4" w:space="0" w:color="auto"/>
            </w:tcBorders>
          </w:tcPr>
          <w:p w14:paraId="1A948011"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Total Hydrocarbon Content</w:t>
            </w:r>
          </w:p>
        </w:tc>
      </w:tr>
      <w:tr w:rsidR="00172A09" w:rsidRPr="00764ECD" w14:paraId="14E17FEE" w14:textId="77777777" w:rsidTr="0093464C">
        <w:tc>
          <w:tcPr>
            <w:tcW w:w="2605" w:type="dxa"/>
            <w:tcBorders>
              <w:top w:val="single" w:sz="4" w:space="0" w:color="auto"/>
            </w:tcBorders>
          </w:tcPr>
          <w:p w14:paraId="35F10685" w14:textId="77777777" w:rsidR="00172A09" w:rsidRPr="00764ECD" w:rsidRDefault="00172A09" w:rsidP="0093464C">
            <w:pPr>
              <w:spacing w:line="360" w:lineRule="auto"/>
              <w:rPr>
                <w:rFonts w:ascii="Times New Roman" w:hAnsi="Times New Roman" w:cs="Times New Roman"/>
              </w:rPr>
            </w:pPr>
            <w:r w:rsidRPr="00764ECD">
              <w:rPr>
                <w:rFonts w:ascii="Times New Roman" w:hAnsi="Times New Roman" w:cs="Times New Roman"/>
              </w:rPr>
              <w:t>UW</w:t>
            </w:r>
          </w:p>
        </w:tc>
        <w:tc>
          <w:tcPr>
            <w:tcW w:w="1530" w:type="dxa"/>
            <w:tcBorders>
              <w:top w:val="single" w:sz="4" w:space="0" w:color="auto"/>
            </w:tcBorders>
          </w:tcPr>
          <w:p w14:paraId="7A93EA6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0.46±0.40</w:t>
            </w:r>
            <w:r w:rsidRPr="00764ECD">
              <w:rPr>
                <w:rFonts w:ascii="Times New Roman" w:hAnsi="Times New Roman" w:cs="Times New Roman"/>
                <w:vertAlign w:val="superscript"/>
              </w:rPr>
              <w:t>f</w:t>
            </w:r>
          </w:p>
        </w:tc>
        <w:tc>
          <w:tcPr>
            <w:tcW w:w="1530" w:type="dxa"/>
            <w:tcBorders>
              <w:top w:val="single" w:sz="4" w:space="0" w:color="auto"/>
            </w:tcBorders>
          </w:tcPr>
          <w:p w14:paraId="1793E28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0.01±0.00</w:t>
            </w:r>
            <w:r w:rsidRPr="00764ECD">
              <w:rPr>
                <w:rFonts w:ascii="Times New Roman" w:hAnsi="Times New Roman" w:cs="Times New Roman"/>
                <w:vertAlign w:val="superscript"/>
              </w:rPr>
              <w:t>c</w:t>
            </w:r>
          </w:p>
        </w:tc>
        <w:tc>
          <w:tcPr>
            <w:tcW w:w="1710" w:type="dxa"/>
            <w:tcBorders>
              <w:top w:val="single" w:sz="4" w:space="0" w:color="auto"/>
            </w:tcBorders>
          </w:tcPr>
          <w:p w14:paraId="1F656986"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0.24±0.20</w:t>
            </w:r>
            <w:r w:rsidRPr="00764ECD">
              <w:rPr>
                <w:rFonts w:ascii="Times New Roman" w:hAnsi="Times New Roman" w:cs="Times New Roman"/>
                <w:vertAlign w:val="superscript"/>
              </w:rPr>
              <w:t>a</w:t>
            </w:r>
          </w:p>
        </w:tc>
        <w:tc>
          <w:tcPr>
            <w:tcW w:w="2070" w:type="dxa"/>
            <w:tcBorders>
              <w:top w:val="single" w:sz="4" w:space="0" w:color="auto"/>
            </w:tcBorders>
          </w:tcPr>
          <w:p w14:paraId="108DFA6C"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1.66±0.45</w:t>
            </w:r>
            <w:r w:rsidRPr="00764ECD">
              <w:rPr>
                <w:rFonts w:ascii="Times New Roman" w:hAnsi="Times New Roman" w:cs="Times New Roman"/>
                <w:vertAlign w:val="superscript"/>
              </w:rPr>
              <w:t>a</w:t>
            </w:r>
          </w:p>
        </w:tc>
        <w:tc>
          <w:tcPr>
            <w:tcW w:w="2430" w:type="dxa"/>
            <w:tcBorders>
              <w:top w:val="single" w:sz="4" w:space="0" w:color="auto"/>
            </w:tcBorders>
          </w:tcPr>
          <w:p w14:paraId="31CCB250"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124.44±113.27</w:t>
            </w:r>
            <w:r w:rsidRPr="00764ECD">
              <w:rPr>
                <w:rFonts w:ascii="Times New Roman" w:hAnsi="Times New Roman" w:cs="Times New Roman"/>
                <w:vertAlign w:val="superscript"/>
              </w:rPr>
              <w:t>a</w:t>
            </w:r>
          </w:p>
        </w:tc>
      </w:tr>
      <w:tr w:rsidR="00172A09" w:rsidRPr="00764ECD" w14:paraId="49EB415B" w14:textId="77777777" w:rsidTr="0093464C">
        <w:tc>
          <w:tcPr>
            <w:tcW w:w="2605" w:type="dxa"/>
          </w:tcPr>
          <w:p w14:paraId="29F59146" w14:textId="77777777" w:rsidR="00172A09" w:rsidRPr="00764ECD" w:rsidRDefault="00172A09" w:rsidP="0093464C">
            <w:pPr>
              <w:spacing w:line="360" w:lineRule="auto"/>
              <w:rPr>
                <w:rFonts w:ascii="Times New Roman" w:hAnsi="Times New Roman" w:cs="Times New Roman"/>
              </w:rPr>
            </w:pPr>
            <w:r w:rsidRPr="00764ECD">
              <w:rPr>
                <w:rFonts w:ascii="Times New Roman" w:hAnsi="Times New Roman" w:cs="Times New Roman"/>
              </w:rPr>
              <w:t>MW+OBF</w:t>
            </w:r>
          </w:p>
        </w:tc>
        <w:tc>
          <w:tcPr>
            <w:tcW w:w="1530" w:type="dxa"/>
          </w:tcPr>
          <w:p w14:paraId="4CD2ECAA"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0.39±0.40</w:t>
            </w:r>
            <w:r w:rsidRPr="00764ECD">
              <w:rPr>
                <w:rFonts w:ascii="Times New Roman" w:hAnsi="Times New Roman" w:cs="Times New Roman"/>
                <w:vertAlign w:val="superscript"/>
              </w:rPr>
              <w:t>f</w:t>
            </w:r>
          </w:p>
        </w:tc>
        <w:tc>
          <w:tcPr>
            <w:tcW w:w="1530" w:type="dxa"/>
          </w:tcPr>
          <w:p w14:paraId="52CE257A"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0.00±0.00</w:t>
            </w:r>
            <w:r w:rsidRPr="00764ECD">
              <w:rPr>
                <w:rFonts w:ascii="Times New Roman" w:hAnsi="Times New Roman" w:cs="Times New Roman"/>
                <w:vertAlign w:val="superscript"/>
              </w:rPr>
              <w:t>c</w:t>
            </w:r>
          </w:p>
        </w:tc>
        <w:tc>
          <w:tcPr>
            <w:tcW w:w="1710" w:type="dxa"/>
          </w:tcPr>
          <w:p w14:paraId="49808C7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0.23±0.21</w:t>
            </w:r>
            <w:r w:rsidRPr="00764ECD">
              <w:rPr>
                <w:rFonts w:ascii="Times New Roman" w:hAnsi="Times New Roman" w:cs="Times New Roman"/>
                <w:vertAlign w:val="superscript"/>
              </w:rPr>
              <w:t>a</w:t>
            </w:r>
          </w:p>
        </w:tc>
        <w:tc>
          <w:tcPr>
            <w:tcW w:w="2070" w:type="dxa"/>
          </w:tcPr>
          <w:p w14:paraId="639A891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1.19±0.87</w:t>
            </w:r>
            <w:r w:rsidRPr="00764ECD">
              <w:rPr>
                <w:rFonts w:ascii="Times New Roman" w:hAnsi="Times New Roman" w:cs="Times New Roman"/>
                <w:vertAlign w:val="superscript"/>
              </w:rPr>
              <w:t>a</w:t>
            </w:r>
          </w:p>
        </w:tc>
        <w:tc>
          <w:tcPr>
            <w:tcW w:w="2430" w:type="dxa"/>
          </w:tcPr>
          <w:p w14:paraId="3A898CCC"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2114.00±1405.62</w:t>
            </w:r>
            <w:r w:rsidRPr="00764ECD">
              <w:rPr>
                <w:rFonts w:ascii="Times New Roman" w:hAnsi="Times New Roman" w:cs="Times New Roman"/>
                <w:vertAlign w:val="superscript"/>
              </w:rPr>
              <w:t>a</w:t>
            </w:r>
          </w:p>
        </w:tc>
      </w:tr>
      <w:tr w:rsidR="00172A09" w:rsidRPr="00764ECD" w14:paraId="1C8DA01C" w14:textId="77777777" w:rsidTr="0093464C">
        <w:tc>
          <w:tcPr>
            <w:tcW w:w="2605" w:type="dxa"/>
          </w:tcPr>
          <w:p w14:paraId="61371254"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MW+OBF+Bac</w:t>
            </w:r>
            <w:proofErr w:type="spellEnd"/>
          </w:p>
        </w:tc>
        <w:tc>
          <w:tcPr>
            <w:tcW w:w="1530" w:type="dxa"/>
          </w:tcPr>
          <w:p w14:paraId="18C70B4B"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0.68±0.43</w:t>
            </w:r>
            <w:r w:rsidRPr="00764ECD">
              <w:rPr>
                <w:rFonts w:ascii="Times New Roman" w:hAnsi="Times New Roman" w:cs="Times New Roman"/>
                <w:vertAlign w:val="superscript"/>
              </w:rPr>
              <w:t>ef</w:t>
            </w:r>
          </w:p>
        </w:tc>
        <w:tc>
          <w:tcPr>
            <w:tcW w:w="1530" w:type="dxa"/>
          </w:tcPr>
          <w:p w14:paraId="2708E981"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0.02±0.01</w:t>
            </w:r>
            <w:r w:rsidRPr="00764ECD">
              <w:rPr>
                <w:rFonts w:ascii="Times New Roman" w:hAnsi="Times New Roman" w:cs="Times New Roman"/>
                <w:vertAlign w:val="superscript"/>
              </w:rPr>
              <w:t>c</w:t>
            </w:r>
          </w:p>
        </w:tc>
        <w:tc>
          <w:tcPr>
            <w:tcW w:w="1710" w:type="dxa"/>
          </w:tcPr>
          <w:p w14:paraId="1BF2C89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0.25±0.21</w:t>
            </w:r>
            <w:r w:rsidRPr="00764ECD">
              <w:rPr>
                <w:rFonts w:ascii="Times New Roman" w:hAnsi="Times New Roman" w:cs="Times New Roman"/>
                <w:vertAlign w:val="superscript"/>
              </w:rPr>
              <w:t>a</w:t>
            </w:r>
          </w:p>
        </w:tc>
        <w:tc>
          <w:tcPr>
            <w:tcW w:w="2070" w:type="dxa"/>
          </w:tcPr>
          <w:p w14:paraId="4C070534"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2.93±4.32</w:t>
            </w:r>
            <w:r w:rsidRPr="00764ECD">
              <w:rPr>
                <w:rFonts w:ascii="Times New Roman" w:hAnsi="Times New Roman" w:cs="Times New Roman"/>
                <w:vertAlign w:val="superscript"/>
              </w:rPr>
              <w:t>a</w:t>
            </w:r>
          </w:p>
        </w:tc>
        <w:tc>
          <w:tcPr>
            <w:tcW w:w="2430" w:type="dxa"/>
          </w:tcPr>
          <w:p w14:paraId="445F7162"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820.44±1320.61</w:t>
            </w:r>
            <w:r w:rsidRPr="00764ECD">
              <w:rPr>
                <w:rFonts w:ascii="Times New Roman" w:hAnsi="Times New Roman" w:cs="Times New Roman"/>
                <w:vertAlign w:val="superscript"/>
              </w:rPr>
              <w:t>a</w:t>
            </w:r>
          </w:p>
        </w:tc>
      </w:tr>
      <w:tr w:rsidR="00172A09" w:rsidRPr="00764ECD" w14:paraId="009CADB1" w14:textId="77777777" w:rsidTr="0093464C">
        <w:tc>
          <w:tcPr>
            <w:tcW w:w="2605" w:type="dxa"/>
          </w:tcPr>
          <w:p w14:paraId="00440E0B"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Mw+OBF+Pse</w:t>
            </w:r>
            <w:proofErr w:type="spellEnd"/>
          </w:p>
        </w:tc>
        <w:tc>
          <w:tcPr>
            <w:tcW w:w="1530" w:type="dxa"/>
          </w:tcPr>
          <w:p w14:paraId="4DDB747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0.85±0.56</w:t>
            </w:r>
            <w:r w:rsidRPr="00764ECD">
              <w:rPr>
                <w:rFonts w:ascii="Times New Roman" w:hAnsi="Times New Roman" w:cs="Times New Roman"/>
                <w:vertAlign w:val="superscript"/>
              </w:rPr>
              <w:t>def</w:t>
            </w:r>
          </w:p>
        </w:tc>
        <w:tc>
          <w:tcPr>
            <w:tcW w:w="1530" w:type="dxa"/>
          </w:tcPr>
          <w:p w14:paraId="7710DDF6"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0.04±0.04</w:t>
            </w:r>
            <w:r w:rsidRPr="00764ECD">
              <w:rPr>
                <w:rFonts w:ascii="Times New Roman" w:hAnsi="Times New Roman" w:cs="Times New Roman"/>
                <w:vertAlign w:val="superscript"/>
              </w:rPr>
              <w:t>bc</w:t>
            </w:r>
          </w:p>
        </w:tc>
        <w:tc>
          <w:tcPr>
            <w:tcW w:w="1710" w:type="dxa"/>
          </w:tcPr>
          <w:p w14:paraId="5D202CF0"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0.23±0.20</w:t>
            </w:r>
            <w:r w:rsidRPr="00764ECD">
              <w:rPr>
                <w:rFonts w:ascii="Times New Roman" w:hAnsi="Times New Roman" w:cs="Times New Roman"/>
                <w:vertAlign w:val="superscript"/>
              </w:rPr>
              <w:t>a</w:t>
            </w:r>
          </w:p>
        </w:tc>
        <w:tc>
          <w:tcPr>
            <w:tcW w:w="2070" w:type="dxa"/>
          </w:tcPr>
          <w:p w14:paraId="3668D5B8"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2.64±4.07</w:t>
            </w:r>
            <w:r w:rsidRPr="00764ECD">
              <w:rPr>
                <w:rFonts w:ascii="Times New Roman" w:hAnsi="Times New Roman" w:cs="Times New Roman"/>
                <w:vertAlign w:val="superscript"/>
              </w:rPr>
              <w:t>a</w:t>
            </w:r>
          </w:p>
        </w:tc>
        <w:tc>
          <w:tcPr>
            <w:tcW w:w="2430" w:type="dxa"/>
          </w:tcPr>
          <w:p w14:paraId="6EDBC836"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598.00±9339.41</w:t>
            </w:r>
            <w:r w:rsidRPr="00764ECD">
              <w:rPr>
                <w:rFonts w:ascii="Times New Roman" w:hAnsi="Times New Roman" w:cs="Times New Roman"/>
                <w:vertAlign w:val="superscript"/>
              </w:rPr>
              <w:t>a</w:t>
            </w:r>
          </w:p>
        </w:tc>
      </w:tr>
      <w:tr w:rsidR="00172A09" w:rsidRPr="00764ECD" w14:paraId="50B22393" w14:textId="77777777" w:rsidTr="0093464C">
        <w:tc>
          <w:tcPr>
            <w:tcW w:w="2605" w:type="dxa"/>
          </w:tcPr>
          <w:p w14:paraId="15C00C56" w14:textId="77777777" w:rsidR="00172A09" w:rsidRPr="00764ECD" w:rsidRDefault="00172A09" w:rsidP="0093464C">
            <w:pPr>
              <w:spacing w:line="360" w:lineRule="auto"/>
              <w:rPr>
                <w:rFonts w:ascii="Times New Roman" w:hAnsi="Times New Roman" w:cs="Times New Roman"/>
              </w:rPr>
            </w:pPr>
            <w:r w:rsidRPr="00764ECD">
              <w:rPr>
                <w:rFonts w:ascii="Times New Roman" w:hAnsi="Times New Roman" w:cs="Times New Roman"/>
              </w:rPr>
              <w:t>MW+OBF+FW</w:t>
            </w:r>
          </w:p>
        </w:tc>
        <w:tc>
          <w:tcPr>
            <w:tcW w:w="1530" w:type="dxa"/>
          </w:tcPr>
          <w:p w14:paraId="03A5F918"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3.76±2.17</w:t>
            </w:r>
            <w:r w:rsidRPr="00764ECD">
              <w:rPr>
                <w:rFonts w:ascii="Times New Roman" w:hAnsi="Times New Roman" w:cs="Times New Roman"/>
                <w:vertAlign w:val="superscript"/>
              </w:rPr>
              <w:t>abcd</w:t>
            </w:r>
          </w:p>
        </w:tc>
        <w:tc>
          <w:tcPr>
            <w:tcW w:w="1530" w:type="dxa"/>
          </w:tcPr>
          <w:p w14:paraId="1151AF07"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0.22±0.10</w:t>
            </w:r>
            <w:r w:rsidRPr="00764ECD">
              <w:rPr>
                <w:rFonts w:ascii="Times New Roman" w:hAnsi="Times New Roman" w:cs="Times New Roman"/>
                <w:vertAlign w:val="superscript"/>
              </w:rPr>
              <w:t>ab</w:t>
            </w:r>
          </w:p>
        </w:tc>
        <w:tc>
          <w:tcPr>
            <w:tcW w:w="1710" w:type="dxa"/>
          </w:tcPr>
          <w:p w14:paraId="05B45C34"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0.27±0.21</w:t>
            </w:r>
            <w:r w:rsidRPr="00764ECD">
              <w:rPr>
                <w:rFonts w:ascii="Times New Roman" w:hAnsi="Times New Roman" w:cs="Times New Roman"/>
                <w:vertAlign w:val="superscript"/>
              </w:rPr>
              <w:t>a</w:t>
            </w:r>
          </w:p>
        </w:tc>
        <w:tc>
          <w:tcPr>
            <w:tcW w:w="2070" w:type="dxa"/>
          </w:tcPr>
          <w:p w14:paraId="7341D8A5"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5.52±9.09</w:t>
            </w:r>
            <w:r w:rsidRPr="00764ECD">
              <w:rPr>
                <w:rFonts w:ascii="Times New Roman" w:hAnsi="Times New Roman" w:cs="Times New Roman"/>
                <w:vertAlign w:val="superscript"/>
              </w:rPr>
              <w:t>a</w:t>
            </w:r>
          </w:p>
        </w:tc>
        <w:tc>
          <w:tcPr>
            <w:tcW w:w="2430" w:type="dxa"/>
          </w:tcPr>
          <w:p w14:paraId="40211868"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974.22±1312.51</w:t>
            </w:r>
            <w:r w:rsidRPr="00764ECD">
              <w:rPr>
                <w:rFonts w:ascii="Times New Roman" w:hAnsi="Times New Roman" w:cs="Times New Roman"/>
                <w:vertAlign w:val="superscript"/>
              </w:rPr>
              <w:t>a</w:t>
            </w:r>
          </w:p>
        </w:tc>
      </w:tr>
      <w:tr w:rsidR="00172A09" w:rsidRPr="00764ECD" w14:paraId="676E5CD7" w14:textId="77777777" w:rsidTr="0093464C">
        <w:tc>
          <w:tcPr>
            <w:tcW w:w="2605" w:type="dxa"/>
          </w:tcPr>
          <w:p w14:paraId="5D0B976A"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MW+OBF+FW+Bac</w:t>
            </w:r>
            <w:proofErr w:type="spellEnd"/>
          </w:p>
        </w:tc>
        <w:tc>
          <w:tcPr>
            <w:tcW w:w="1530" w:type="dxa"/>
          </w:tcPr>
          <w:p w14:paraId="20BCB59F"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3.40±1.35</w:t>
            </w:r>
            <w:r w:rsidRPr="00764ECD">
              <w:rPr>
                <w:rFonts w:ascii="Times New Roman" w:hAnsi="Times New Roman" w:cs="Times New Roman"/>
                <w:vertAlign w:val="superscript"/>
              </w:rPr>
              <w:t>abcdef</w:t>
            </w:r>
          </w:p>
        </w:tc>
        <w:tc>
          <w:tcPr>
            <w:tcW w:w="1530" w:type="dxa"/>
          </w:tcPr>
          <w:p w14:paraId="02904EC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0.21±0.06</w:t>
            </w:r>
            <w:r w:rsidRPr="00764ECD">
              <w:rPr>
                <w:rFonts w:ascii="Times New Roman" w:hAnsi="Times New Roman" w:cs="Times New Roman"/>
                <w:vertAlign w:val="superscript"/>
              </w:rPr>
              <w:t>ab</w:t>
            </w:r>
          </w:p>
        </w:tc>
        <w:tc>
          <w:tcPr>
            <w:tcW w:w="1710" w:type="dxa"/>
          </w:tcPr>
          <w:p w14:paraId="752A3294"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0.23±0.16</w:t>
            </w:r>
            <w:r w:rsidRPr="00764ECD">
              <w:rPr>
                <w:rFonts w:ascii="Times New Roman" w:hAnsi="Times New Roman" w:cs="Times New Roman"/>
                <w:vertAlign w:val="superscript"/>
              </w:rPr>
              <w:t xml:space="preserve">a </w:t>
            </w:r>
          </w:p>
        </w:tc>
        <w:tc>
          <w:tcPr>
            <w:tcW w:w="2070" w:type="dxa"/>
          </w:tcPr>
          <w:p w14:paraId="6EE34A42"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9.21±11.01</w:t>
            </w:r>
            <w:r w:rsidRPr="00764ECD">
              <w:rPr>
                <w:rFonts w:ascii="Times New Roman" w:hAnsi="Times New Roman" w:cs="Times New Roman"/>
                <w:vertAlign w:val="superscript"/>
              </w:rPr>
              <w:t>a</w:t>
            </w:r>
          </w:p>
        </w:tc>
        <w:tc>
          <w:tcPr>
            <w:tcW w:w="2430" w:type="dxa"/>
          </w:tcPr>
          <w:p w14:paraId="20A4A58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950.44±1462.21</w:t>
            </w:r>
            <w:r w:rsidRPr="00764ECD">
              <w:rPr>
                <w:rFonts w:ascii="Times New Roman" w:hAnsi="Times New Roman" w:cs="Times New Roman"/>
                <w:vertAlign w:val="superscript"/>
              </w:rPr>
              <w:t>a</w:t>
            </w:r>
          </w:p>
        </w:tc>
      </w:tr>
      <w:tr w:rsidR="00172A09" w:rsidRPr="00764ECD" w14:paraId="2FFEEE51" w14:textId="77777777" w:rsidTr="0093464C">
        <w:tc>
          <w:tcPr>
            <w:tcW w:w="2605" w:type="dxa"/>
          </w:tcPr>
          <w:p w14:paraId="0FECA489"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MW+OBF+FW+Pse</w:t>
            </w:r>
            <w:proofErr w:type="spellEnd"/>
          </w:p>
        </w:tc>
        <w:tc>
          <w:tcPr>
            <w:tcW w:w="1530" w:type="dxa"/>
          </w:tcPr>
          <w:p w14:paraId="0470DBFD"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5.72±3.86</w:t>
            </w:r>
            <w:r w:rsidRPr="00764ECD">
              <w:rPr>
                <w:rFonts w:ascii="Times New Roman" w:hAnsi="Times New Roman" w:cs="Times New Roman"/>
                <w:vertAlign w:val="superscript"/>
              </w:rPr>
              <w:t>ab</w:t>
            </w:r>
          </w:p>
        </w:tc>
        <w:tc>
          <w:tcPr>
            <w:tcW w:w="1530" w:type="dxa"/>
          </w:tcPr>
          <w:p w14:paraId="78B41F92"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0.14±0.14</w:t>
            </w:r>
            <w:r w:rsidRPr="00764ECD">
              <w:rPr>
                <w:rFonts w:ascii="Times New Roman" w:hAnsi="Times New Roman" w:cs="Times New Roman"/>
                <w:vertAlign w:val="superscript"/>
              </w:rPr>
              <w:t>a</w:t>
            </w:r>
          </w:p>
        </w:tc>
        <w:tc>
          <w:tcPr>
            <w:tcW w:w="1710" w:type="dxa"/>
          </w:tcPr>
          <w:p w14:paraId="312C19C1"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0.24±0.13</w:t>
            </w:r>
            <w:r w:rsidRPr="00764ECD">
              <w:rPr>
                <w:rFonts w:ascii="Times New Roman" w:hAnsi="Times New Roman" w:cs="Times New Roman"/>
                <w:vertAlign w:val="superscript"/>
              </w:rPr>
              <w:t>a</w:t>
            </w:r>
          </w:p>
        </w:tc>
        <w:tc>
          <w:tcPr>
            <w:tcW w:w="2070" w:type="dxa"/>
          </w:tcPr>
          <w:p w14:paraId="03E4C261"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5.25±3.46</w:t>
            </w:r>
            <w:r w:rsidRPr="00764ECD">
              <w:rPr>
                <w:rFonts w:ascii="Times New Roman" w:hAnsi="Times New Roman" w:cs="Times New Roman"/>
                <w:vertAlign w:val="superscript"/>
              </w:rPr>
              <w:t>a</w:t>
            </w:r>
          </w:p>
        </w:tc>
        <w:tc>
          <w:tcPr>
            <w:tcW w:w="2430" w:type="dxa"/>
          </w:tcPr>
          <w:p w14:paraId="7A01BEBA"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987.56±1490.70</w:t>
            </w:r>
            <w:r w:rsidRPr="00764ECD">
              <w:rPr>
                <w:rFonts w:ascii="Times New Roman" w:hAnsi="Times New Roman" w:cs="Times New Roman"/>
                <w:vertAlign w:val="superscript"/>
              </w:rPr>
              <w:t>a</w:t>
            </w:r>
          </w:p>
        </w:tc>
      </w:tr>
      <w:tr w:rsidR="00172A09" w:rsidRPr="00764ECD" w14:paraId="505DC152" w14:textId="77777777" w:rsidTr="0093464C">
        <w:tc>
          <w:tcPr>
            <w:tcW w:w="2605" w:type="dxa"/>
          </w:tcPr>
          <w:p w14:paraId="62095FEE"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MW+OBF+FW+Bac+Ps</w:t>
            </w:r>
            <w:r>
              <w:rPr>
                <w:rFonts w:ascii="Times New Roman" w:hAnsi="Times New Roman" w:cs="Times New Roman"/>
              </w:rPr>
              <w:t>e</w:t>
            </w:r>
            <w:proofErr w:type="spellEnd"/>
          </w:p>
        </w:tc>
        <w:tc>
          <w:tcPr>
            <w:tcW w:w="1530" w:type="dxa"/>
          </w:tcPr>
          <w:p w14:paraId="1CB22AB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4.92±2.29</w:t>
            </w:r>
            <w:r w:rsidRPr="00764ECD">
              <w:rPr>
                <w:rFonts w:ascii="Times New Roman" w:hAnsi="Times New Roman" w:cs="Times New Roman"/>
                <w:vertAlign w:val="superscript"/>
              </w:rPr>
              <w:t>a</w:t>
            </w:r>
          </w:p>
        </w:tc>
        <w:tc>
          <w:tcPr>
            <w:tcW w:w="1530" w:type="dxa"/>
          </w:tcPr>
          <w:p w14:paraId="7A1E8978"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0.23±0.06</w:t>
            </w:r>
            <w:r w:rsidRPr="00764ECD">
              <w:rPr>
                <w:rFonts w:ascii="Times New Roman" w:hAnsi="Times New Roman" w:cs="Times New Roman"/>
                <w:vertAlign w:val="superscript"/>
              </w:rPr>
              <w:t>abc</w:t>
            </w:r>
          </w:p>
        </w:tc>
        <w:tc>
          <w:tcPr>
            <w:tcW w:w="1710" w:type="dxa"/>
          </w:tcPr>
          <w:p w14:paraId="008CC79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0.24±0.13</w:t>
            </w:r>
            <w:r w:rsidRPr="00764ECD">
              <w:rPr>
                <w:rFonts w:ascii="Times New Roman" w:hAnsi="Times New Roman" w:cs="Times New Roman"/>
                <w:vertAlign w:val="superscript"/>
              </w:rPr>
              <w:t>a</w:t>
            </w:r>
          </w:p>
        </w:tc>
        <w:tc>
          <w:tcPr>
            <w:tcW w:w="2070" w:type="dxa"/>
          </w:tcPr>
          <w:p w14:paraId="33D2B82A"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4.42±6.04</w:t>
            </w:r>
            <w:r w:rsidRPr="00764ECD">
              <w:rPr>
                <w:rFonts w:ascii="Times New Roman" w:hAnsi="Times New Roman" w:cs="Times New Roman"/>
                <w:vertAlign w:val="superscript"/>
              </w:rPr>
              <w:t>a</w:t>
            </w:r>
          </w:p>
        </w:tc>
        <w:tc>
          <w:tcPr>
            <w:tcW w:w="2430" w:type="dxa"/>
          </w:tcPr>
          <w:p w14:paraId="35EFECD7"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999.11±1513.22</w:t>
            </w:r>
            <w:r w:rsidRPr="00764ECD">
              <w:rPr>
                <w:rFonts w:ascii="Times New Roman" w:hAnsi="Times New Roman" w:cs="Times New Roman"/>
                <w:vertAlign w:val="superscript"/>
              </w:rPr>
              <w:t>a</w:t>
            </w:r>
          </w:p>
        </w:tc>
      </w:tr>
      <w:tr w:rsidR="00172A09" w:rsidRPr="00764ECD" w14:paraId="3B816F46" w14:textId="77777777" w:rsidTr="0093464C">
        <w:tc>
          <w:tcPr>
            <w:tcW w:w="2605" w:type="dxa"/>
          </w:tcPr>
          <w:p w14:paraId="37CE346A"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p-value</w:t>
            </w:r>
          </w:p>
        </w:tc>
        <w:tc>
          <w:tcPr>
            <w:tcW w:w="1530" w:type="dxa"/>
          </w:tcPr>
          <w:p w14:paraId="7CBDA73D"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0.0067</w:t>
            </w:r>
          </w:p>
        </w:tc>
        <w:tc>
          <w:tcPr>
            <w:tcW w:w="1530" w:type="dxa"/>
          </w:tcPr>
          <w:p w14:paraId="12C5BC1C"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&lt;.000</w:t>
            </w:r>
          </w:p>
        </w:tc>
        <w:tc>
          <w:tcPr>
            <w:tcW w:w="1710" w:type="dxa"/>
          </w:tcPr>
          <w:p w14:paraId="46CE35D8"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1.0000</w:t>
            </w:r>
          </w:p>
        </w:tc>
        <w:tc>
          <w:tcPr>
            <w:tcW w:w="2070" w:type="dxa"/>
          </w:tcPr>
          <w:p w14:paraId="6FF477BB"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0.9851</w:t>
            </w:r>
          </w:p>
        </w:tc>
        <w:tc>
          <w:tcPr>
            <w:tcW w:w="2430" w:type="dxa"/>
          </w:tcPr>
          <w:p w14:paraId="10A24017"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0.9588</w:t>
            </w:r>
          </w:p>
        </w:tc>
      </w:tr>
    </w:tbl>
    <w:p w14:paraId="43D6BD0A" w14:textId="1CDA4089"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D90F42">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180E94">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180E94">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aeruginosa EB38</w:t>
      </w:r>
      <w:r w:rsidRPr="00E73476">
        <w:rPr>
          <w:rFonts w:ascii="Times New Roman" w:eastAsia="Calibri" w:hAnsi="Times New Roman" w:cs="Times New Roman"/>
          <w:kern w:val="0"/>
          <w14:ligatures w14:val="none"/>
        </w:rPr>
        <w:t>, COD= Chemical oxygen demand, THC= Total hydrocarbon content</w:t>
      </w:r>
      <w:r w:rsidRPr="00E73476">
        <w:rPr>
          <w:rFonts w:ascii="Times New Roman" w:eastAsia="Calibri" w:hAnsi="Times New Roman" w:cs="Times New Roman"/>
          <w:i/>
          <w:iCs/>
          <w:kern w:val="0"/>
          <w14:ligatures w14:val="none"/>
        </w:rPr>
        <w:t xml:space="preserve"> </w:t>
      </w:r>
      <w:r w:rsidRPr="00E73476">
        <w:rPr>
          <w:rFonts w:ascii="Times New Roman" w:eastAsia="Calibri" w:hAnsi="Times New Roman" w:cs="Times New Roman"/>
          <w:b/>
          <w:bCs/>
          <w:i/>
          <w:iCs/>
          <w:kern w:val="0"/>
          <w14:ligatures w14:val="none"/>
        </w:rPr>
        <w:t xml:space="preserve">             </w:t>
      </w:r>
    </w:p>
    <w:p w14:paraId="201F00C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bookmarkEnd w:id="10"/>
    <w:p w14:paraId="606C909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6F5812E0" w14:textId="77777777" w:rsidR="00172A09" w:rsidRDefault="00172A09"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sectPr w:rsidR="00172A09" w:rsidSect="00172A09">
          <w:pgSz w:w="15840" w:h="12240" w:orient="landscape"/>
          <w:pgMar w:top="1440" w:right="1282" w:bottom="1440" w:left="1440" w:header="720" w:footer="720" w:gutter="0"/>
          <w:cols w:space="720"/>
          <w:docGrid w:linePitch="360"/>
        </w:sectPr>
      </w:pPr>
    </w:p>
    <w:p w14:paraId="6122CA82" w14:textId="484ED451" w:rsidR="008D58D7" w:rsidRDefault="008D58D7"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8D58D7">
        <w:rPr>
          <w:rFonts w:ascii="Times New Roman" w:eastAsia="Calibri" w:hAnsi="Times New Roman" w:cs="Times New Roman"/>
          <w:kern w:val="0"/>
          <w14:ligatures w14:val="none"/>
        </w:rPr>
        <w:lastRenderedPageBreak/>
        <w:t>The biodegradation of Total Hydrocarbon Content (THC) was observed in all treatments over 28 days. The treatments with the highest amount of THC remediated were recorded in T4 (</w:t>
      </w:r>
      <w:proofErr w:type="spellStart"/>
      <w:r w:rsidRPr="008D58D7">
        <w:rPr>
          <w:rFonts w:ascii="Times New Roman" w:eastAsia="Calibri" w:hAnsi="Times New Roman" w:cs="Times New Roman"/>
          <w:kern w:val="0"/>
          <w14:ligatures w14:val="none"/>
        </w:rPr>
        <w:t>MW+OBF+Pse</w:t>
      </w:r>
      <w:proofErr w:type="spellEnd"/>
      <w:r w:rsidRPr="008D58D7">
        <w:rPr>
          <w:rFonts w:ascii="Times New Roman" w:eastAsia="Calibri" w:hAnsi="Times New Roman" w:cs="Times New Roman"/>
          <w:kern w:val="0"/>
          <w14:ligatures w14:val="none"/>
        </w:rPr>
        <w:t>) at 3690.7mg/L and T3 (</w:t>
      </w:r>
      <w:proofErr w:type="spellStart"/>
      <w:r w:rsidRPr="008D58D7">
        <w:rPr>
          <w:rFonts w:ascii="Times New Roman" w:eastAsia="Calibri" w:hAnsi="Times New Roman" w:cs="Times New Roman"/>
          <w:kern w:val="0"/>
          <w14:ligatures w14:val="none"/>
        </w:rPr>
        <w:t>MW+OBF+Bac</w:t>
      </w:r>
      <w:proofErr w:type="spellEnd"/>
      <w:r w:rsidRPr="008D58D7">
        <w:rPr>
          <w:rFonts w:ascii="Times New Roman" w:eastAsia="Calibri" w:hAnsi="Times New Roman" w:cs="Times New Roman"/>
          <w:kern w:val="0"/>
          <w14:ligatures w14:val="none"/>
        </w:rPr>
        <w:t>) at 3674.0mg/L. The control treatment (T1, UW) showed minimal biodegradation, with only 214.67mg/L of THC remediated. The addition of microbial inoculants (</w:t>
      </w:r>
      <w:r w:rsidRPr="008D58D7">
        <w:rPr>
          <w:rFonts w:ascii="Times New Roman" w:eastAsia="Calibri" w:hAnsi="Times New Roman" w:cs="Times New Roman"/>
          <w:i/>
          <w:iCs/>
          <w:kern w:val="0"/>
          <w14:ligatures w14:val="none"/>
        </w:rPr>
        <w:t xml:space="preserve">Bacillus </w:t>
      </w:r>
      <w:proofErr w:type="spellStart"/>
      <w:r w:rsidRPr="008D58D7">
        <w:rPr>
          <w:rFonts w:ascii="Times New Roman" w:eastAsia="Calibri" w:hAnsi="Times New Roman" w:cs="Times New Roman"/>
          <w:i/>
          <w:iCs/>
          <w:kern w:val="0"/>
          <w14:ligatures w14:val="none"/>
        </w:rPr>
        <w:t>safensis</w:t>
      </w:r>
      <w:proofErr w:type="spellEnd"/>
      <w:r w:rsidRPr="008D58D7">
        <w:rPr>
          <w:rFonts w:ascii="Times New Roman" w:eastAsia="Calibri" w:hAnsi="Times New Roman" w:cs="Times New Roman"/>
          <w:kern w:val="0"/>
          <w14:ligatures w14:val="none"/>
        </w:rPr>
        <w:t xml:space="preserve"> and </w:t>
      </w:r>
      <w:r w:rsidRPr="008D58D7">
        <w:rPr>
          <w:rFonts w:ascii="Times New Roman" w:eastAsia="Calibri" w:hAnsi="Times New Roman" w:cs="Times New Roman"/>
          <w:i/>
          <w:iCs/>
          <w:kern w:val="0"/>
          <w14:ligatures w14:val="none"/>
        </w:rPr>
        <w:t>Pseudomonas aeruginosa</w:t>
      </w:r>
      <w:r w:rsidRPr="008D58D7">
        <w:rPr>
          <w:rFonts w:ascii="Times New Roman" w:eastAsia="Calibri" w:hAnsi="Times New Roman" w:cs="Times New Roman"/>
          <w:kern w:val="0"/>
          <w14:ligatures w14:val="none"/>
        </w:rPr>
        <w:t xml:space="preserve">) and fish waste (FW) enhanced the biodegradation of THC, with treatments T3, T4, T5, T6, T7, and T8 showing significant reductions in THC levels. </w:t>
      </w:r>
      <w:bookmarkStart w:id="11" w:name="_Hlk178763119"/>
      <w:r w:rsidRPr="008D58D7">
        <w:rPr>
          <w:rFonts w:ascii="Times New Roman" w:eastAsia="Calibri" w:hAnsi="Times New Roman" w:cs="Times New Roman"/>
          <w:kern w:val="0"/>
          <w14:ligatures w14:val="none"/>
        </w:rPr>
        <w:t>The highest percentage of biodegradation was achieved in Treatment T4 (</w:t>
      </w:r>
      <w:proofErr w:type="spellStart"/>
      <w:r w:rsidRPr="008D58D7">
        <w:rPr>
          <w:rFonts w:ascii="Times New Roman" w:eastAsia="Calibri" w:hAnsi="Times New Roman" w:cs="Times New Roman"/>
          <w:kern w:val="0"/>
          <w14:ligatures w14:val="none"/>
        </w:rPr>
        <w:t>MW+OBF+Pse</w:t>
      </w:r>
      <w:proofErr w:type="spellEnd"/>
      <w:r w:rsidRPr="008D58D7">
        <w:rPr>
          <w:rFonts w:ascii="Times New Roman" w:eastAsia="Calibri" w:hAnsi="Times New Roman" w:cs="Times New Roman"/>
          <w:kern w:val="0"/>
          <w14:ligatures w14:val="none"/>
        </w:rPr>
        <w:t>) at 98.79%, followed closely by T3 (</w:t>
      </w:r>
      <w:proofErr w:type="spellStart"/>
      <w:r w:rsidRPr="008D58D7">
        <w:rPr>
          <w:rFonts w:ascii="Times New Roman" w:eastAsia="Calibri" w:hAnsi="Times New Roman" w:cs="Times New Roman"/>
          <w:kern w:val="0"/>
          <w14:ligatures w14:val="none"/>
        </w:rPr>
        <w:t>MW+OBF+Bac</w:t>
      </w:r>
      <w:proofErr w:type="spellEnd"/>
      <w:r w:rsidRPr="008D58D7">
        <w:rPr>
          <w:rFonts w:ascii="Times New Roman" w:eastAsia="Calibri" w:hAnsi="Times New Roman" w:cs="Times New Roman"/>
          <w:kern w:val="0"/>
          <w14:ligatures w14:val="none"/>
        </w:rPr>
        <w:t>) at 98.60%</w:t>
      </w:r>
      <w:bookmarkEnd w:id="11"/>
      <w:r>
        <w:rPr>
          <w:rFonts w:ascii="Times New Roman" w:eastAsia="Calibri" w:hAnsi="Times New Roman" w:cs="Times New Roman"/>
          <w:kern w:val="0"/>
          <w14:ligatures w14:val="none"/>
        </w:rPr>
        <w:t>.</w:t>
      </w:r>
    </w:p>
    <w:p w14:paraId="52AFA75A" w14:textId="77777777" w:rsidR="0095486C" w:rsidRPr="00E73476" w:rsidRDefault="0095486C"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7378BB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b/>
          <w:bCs/>
          <w:kern w:val="0"/>
          <w14:ligatures w14:val="none"/>
        </w:rPr>
        <w:t>Table 6: Biodegradation of Total Hydrogen Content (THC) in the Treatments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2731"/>
        <w:gridCol w:w="1428"/>
        <w:gridCol w:w="1428"/>
        <w:gridCol w:w="1428"/>
        <w:gridCol w:w="1443"/>
        <w:gridCol w:w="1803"/>
      </w:tblGrid>
      <w:tr w:rsidR="00172A09" w:rsidRPr="006028D6" w14:paraId="674D63D2" w14:textId="77777777" w:rsidTr="0093464C">
        <w:tc>
          <w:tcPr>
            <w:tcW w:w="1309" w:type="dxa"/>
            <w:tcBorders>
              <w:top w:val="single" w:sz="4" w:space="0" w:color="auto"/>
              <w:bottom w:val="single" w:sz="4" w:space="0" w:color="auto"/>
            </w:tcBorders>
          </w:tcPr>
          <w:bookmarkEnd w:id="8"/>
          <w:p w14:paraId="3DDE241A"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Treatment Serial Number</w:t>
            </w:r>
          </w:p>
        </w:tc>
        <w:tc>
          <w:tcPr>
            <w:tcW w:w="2731" w:type="dxa"/>
            <w:tcBorders>
              <w:top w:val="single" w:sz="4" w:space="0" w:color="auto"/>
              <w:bottom w:val="single" w:sz="4" w:space="0" w:color="auto"/>
            </w:tcBorders>
          </w:tcPr>
          <w:p w14:paraId="0E1BC859"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Treatment Code</w:t>
            </w:r>
          </w:p>
        </w:tc>
        <w:tc>
          <w:tcPr>
            <w:tcW w:w="1428" w:type="dxa"/>
            <w:tcBorders>
              <w:top w:val="single" w:sz="4" w:space="0" w:color="auto"/>
              <w:bottom w:val="single" w:sz="4" w:space="0" w:color="auto"/>
            </w:tcBorders>
          </w:tcPr>
          <w:p w14:paraId="5AE1BC12"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Day1</w:t>
            </w:r>
          </w:p>
        </w:tc>
        <w:tc>
          <w:tcPr>
            <w:tcW w:w="1428" w:type="dxa"/>
            <w:tcBorders>
              <w:top w:val="single" w:sz="4" w:space="0" w:color="auto"/>
              <w:bottom w:val="single" w:sz="4" w:space="0" w:color="auto"/>
            </w:tcBorders>
          </w:tcPr>
          <w:p w14:paraId="20F8F228"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Day14</w:t>
            </w:r>
          </w:p>
        </w:tc>
        <w:tc>
          <w:tcPr>
            <w:tcW w:w="1428" w:type="dxa"/>
            <w:tcBorders>
              <w:top w:val="single" w:sz="4" w:space="0" w:color="auto"/>
              <w:bottom w:val="single" w:sz="4" w:space="0" w:color="auto"/>
            </w:tcBorders>
          </w:tcPr>
          <w:p w14:paraId="096EA66D"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Day28</w:t>
            </w:r>
          </w:p>
        </w:tc>
        <w:tc>
          <w:tcPr>
            <w:tcW w:w="1443" w:type="dxa"/>
            <w:tcBorders>
              <w:top w:val="single" w:sz="4" w:space="0" w:color="auto"/>
              <w:bottom w:val="single" w:sz="4" w:space="0" w:color="auto"/>
            </w:tcBorders>
          </w:tcPr>
          <w:p w14:paraId="74F3586B"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Amount Remediated</w:t>
            </w:r>
          </w:p>
        </w:tc>
        <w:tc>
          <w:tcPr>
            <w:tcW w:w="1803" w:type="dxa"/>
            <w:tcBorders>
              <w:top w:val="single" w:sz="4" w:space="0" w:color="auto"/>
              <w:bottom w:val="single" w:sz="4" w:space="0" w:color="auto"/>
            </w:tcBorders>
          </w:tcPr>
          <w:p w14:paraId="3694033F"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 Bioremediation</w:t>
            </w:r>
          </w:p>
        </w:tc>
      </w:tr>
      <w:tr w:rsidR="00172A09" w:rsidRPr="00774C96" w14:paraId="5D499CF1" w14:textId="77777777" w:rsidTr="0093464C">
        <w:tc>
          <w:tcPr>
            <w:tcW w:w="1309" w:type="dxa"/>
            <w:tcBorders>
              <w:top w:val="single" w:sz="4" w:space="0" w:color="auto"/>
            </w:tcBorders>
          </w:tcPr>
          <w:p w14:paraId="1EFB6AA0"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T1</w:t>
            </w:r>
          </w:p>
        </w:tc>
        <w:tc>
          <w:tcPr>
            <w:tcW w:w="2731" w:type="dxa"/>
            <w:tcBorders>
              <w:top w:val="single" w:sz="4" w:space="0" w:color="auto"/>
            </w:tcBorders>
          </w:tcPr>
          <w:p w14:paraId="2E362EDA"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UW</w:t>
            </w:r>
          </w:p>
        </w:tc>
        <w:tc>
          <w:tcPr>
            <w:tcW w:w="1428" w:type="dxa"/>
            <w:tcBorders>
              <w:top w:val="single" w:sz="4" w:space="0" w:color="auto"/>
            </w:tcBorders>
          </w:tcPr>
          <w:p w14:paraId="6FB039E8" w14:textId="77777777" w:rsidR="00172A09" w:rsidRPr="0093455C" w:rsidRDefault="00172A09" w:rsidP="0093464C">
            <w:pPr>
              <w:spacing w:line="360" w:lineRule="auto"/>
              <w:rPr>
                <w:rFonts w:ascii="Times New Roman" w:hAnsi="Times New Roman" w:cs="Times New Roman"/>
                <w:sz w:val="24"/>
                <w:szCs w:val="24"/>
              </w:rPr>
            </w:pPr>
            <w:r w:rsidRPr="0093455C">
              <w:rPr>
                <w:rFonts w:ascii="Times New Roman" w:hAnsi="Times New Roman" w:cs="Times New Roman"/>
                <w:sz w:val="24"/>
                <w:szCs w:val="24"/>
              </w:rPr>
              <w:t>252.7±1.16</w:t>
            </w:r>
          </w:p>
        </w:tc>
        <w:tc>
          <w:tcPr>
            <w:tcW w:w="1428" w:type="dxa"/>
            <w:tcBorders>
              <w:top w:val="single" w:sz="4" w:space="0" w:color="auto"/>
            </w:tcBorders>
          </w:tcPr>
          <w:p w14:paraId="56AA7BE1"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82.7±1.15</w:t>
            </w:r>
          </w:p>
        </w:tc>
        <w:tc>
          <w:tcPr>
            <w:tcW w:w="1428" w:type="dxa"/>
            <w:tcBorders>
              <w:top w:val="single" w:sz="4" w:space="0" w:color="auto"/>
            </w:tcBorders>
          </w:tcPr>
          <w:p w14:paraId="655F57A7"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38.0±0.00</w:t>
            </w:r>
          </w:p>
        </w:tc>
        <w:tc>
          <w:tcPr>
            <w:tcW w:w="1443" w:type="dxa"/>
            <w:tcBorders>
              <w:top w:val="single" w:sz="4" w:space="0" w:color="auto"/>
            </w:tcBorders>
          </w:tcPr>
          <w:p w14:paraId="15B2979C" w14:textId="77777777" w:rsidR="00172A09" w:rsidRPr="0093455C" w:rsidRDefault="00172A09" w:rsidP="0093464C">
            <w:pPr>
              <w:spacing w:line="360" w:lineRule="auto"/>
              <w:rPr>
                <w:rFonts w:ascii="Times New Roman" w:hAnsi="Times New Roman" w:cs="Times New Roman"/>
                <w:sz w:val="24"/>
                <w:szCs w:val="24"/>
              </w:rPr>
            </w:pPr>
            <w:r w:rsidRPr="005F0A26">
              <w:t>214.67</w:t>
            </w:r>
          </w:p>
        </w:tc>
        <w:tc>
          <w:tcPr>
            <w:tcW w:w="1803" w:type="dxa"/>
            <w:tcBorders>
              <w:top w:val="single" w:sz="4" w:space="0" w:color="auto"/>
            </w:tcBorders>
          </w:tcPr>
          <w:p w14:paraId="7F6EEB66"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w:t>
            </w:r>
          </w:p>
        </w:tc>
      </w:tr>
      <w:tr w:rsidR="00172A09" w:rsidRPr="0093455C" w14:paraId="6E484045" w14:textId="77777777" w:rsidTr="0093464C">
        <w:tc>
          <w:tcPr>
            <w:tcW w:w="1309" w:type="dxa"/>
          </w:tcPr>
          <w:p w14:paraId="6C16B12D"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2</w:t>
            </w:r>
          </w:p>
        </w:tc>
        <w:tc>
          <w:tcPr>
            <w:tcW w:w="2731" w:type="dxa"/>
          </w:tcPr>
          <w:p w14:paraId="3D97ED34"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MW+OBF</w:t>
            </w:r>
          </w:p>
        </w:tc>
        <w:tc>
          <w:tcPr>
            <w:tcW w:w="1428" w:type="dxa"/>
          </w:tcPr>
          <w:p w14:paraId="0873C66D" w14:textId="77777777" w:rsidR="00172A09" w:rsidRPr="0093455C" w:rsidRDefault="00172A09" w:rsidP="0093464C">
            <w:pPr>
              <w:spacing w:line="360" w:lineRule="auto"/>
              <w:rPr>
                <w:rFonts w:ascii="Times New Roman" w:hAnsi="Times New Roman" w:cs="Times New Roman"/>
                <w:sz w:val="24"/>
                <w:szCs w:val="24"/>
              </w:rPr>
            </w:pPr>
            <w:r w:rsidRPr="0093455C">
              <w:rPr>
                <w:rFonts w:ascii="Times New Roman" w:hAnsi="Times New Roman" w:cs="Times New Roman"/>
                <w:sz w:val="24"/>
                <w:szCs w:val="24"/>
              </w:rPr>
              <w:t>3736.0±5.29</w:t>
            </w:r>
          </w:p>
        </w:tc>
        <w:tc>
          <w:tcPr>
            <w:tcW w:w="1428" w:type="dxa"/>
          </w:tcPr>
          <w:p w14:paraId="5C8FF19A"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1354.0±0.00</w:t>
            </w:r>
          </w:p>
        </w:tc>
        <w:tc>
          <w:tcPr>
            <w:tcW w:w="1428" w:type="dxa"/>
          </w:tcPr>
          <w:p w14:paraId="19348F05"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1252.0±0.00</w:t>
            </w:r>
          </w:p>
        </w:tc>
        <w:tc>
          <w:tcPr>
            <w:tcW w:w="1443" w:type="dxa"/>
          </w:tcPr>
          <w:p w14:paraId="105F5FC7" w14:textId="77777777" w:rsidR="00172A09" w:rsidRPr="0093455C" w:rsidRDefault="00172A09" w:rsidP="0093464C">
            <w:pPr>
              <w:spacing w:line="360" w:lineRule="auto"/>
              <w:rPr>
                <w:rFonts w:ascii="Times New Roman" w:hAnsi="Times New Roman" w:cs="Times New Roman"/>
                <w:sz w:val="24"/>
                <w:szCs w:val="24"/>
              </w:rPr>
            </w:pPr>
            <w:r w:rsidRPr="005F0A26">
              <w:t>2484.00</w:t>
            </w:r>
          </w:p>
        </w:tc>
        <w:tc>
          <w:tcPr>
            <w:tcW w:w="1803" w:type="dxa"/>
          </w:tcPr>
          <w:p w14:paraId="35EA082C" w14:textId="77777777" w:rsidR="00172A09" w:rsidRPr="0093455C" w:rsidRDefault="00172A09" w:rsidP="0093464C">
            <w:pPr>
              <w:spacing w:line="360" w:lineRule="auto"/>
              <w:rPr>
                <w:rFonts w:ascii="Times New Roman" w:hAnsi="Times New Roman" w:cs="Times New Roman"/>
                <w:sz w:val="24"/>
                <w:szCs w:val="24"/>
              </w:rPr>
            </w:pPr>
            <w:r w:rsidRPr="00652BD3">
              <w:t>66.49</w:t>
            </w:r>
          </w:p>
        </w:tc>
      </w:tr>
      <w:tr w:rsidR="00172A09" w:rsidRPr="0093455C" w14:paraId="2406F138" w14:textId="77777777" w:rsidTr="0093464C">
        <w:tc>
          <w:tcPr>
            <w:tcW w:w="1309" w:type="dxa"/>
          </w:tcPr>
          <w:p w14:paraId="64D6916C"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3</w:t>
            </w:r>
          </w:p>
        </w:tc>
        <w:tc>
          <w:tcPr>
            <w:tcW w:w="2731" w:type="dxa"/>
          </w:tcPr>
          <w:p w14:paraId="1695CDE7"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MW+OBF+Bac</w:t>
            </w:r>
            <w:proofErr w:type="spellEnd"/>
          </w:p>
        </w:tc>
        <w:tc>
          <w:tcPr>
            <w:tcW w:w="1428" w:type="dxa"/>
          </w:tcPr>
          <w:p w14:paraId="0C08DF74"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4B711206"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64.0±0.00</w:t>
            </w:r>
          </w:p>
        </w:tc>
        <w:tc>
          <w:tcPr>
            <w:tcW w:w="1428" w:type="dxa"/>
          </w:tcPr>
          <w:p w14:paraId="4BCD4273"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52.0±0.00</w:t>
            </w:r>
          </w:p>
        </w:tc>
        <w:tc>
          <w:tcPr>
            <w:tcW w:w="1443" w:type="dxa"/>
          </w:tcPr>
          <w:p w14:paraId="1C7B208D" w14:textId="77777777" w:rsidR="00172A09" w:rsidRPr="0093455C" w:rsidRDefault="00172A09" w:rsidP="0093464C">
            <w:pPr>
              <w:spacing w:line="360" w:lineRule="auto"/>
              <w:rPr>
                <w:rFonts w:ascii="Times New Roman" w:hAnsi="Times New Roman" w:cs="Times New Roman"/>
                <w:sz w:val="24"/>
                <w:szCs w:val="24"/>
              </w:rPr>
            </w:pPr>
            <w:r w:rsidRPr="005F0A26">
              <w:t>3674.00</w:t>
            </w:r>
          </w:p>
        </w:tc>
        <w:tc>
          <w:tcPr>
            <w:tcW w:w="1803" w:type="dxa"/>
          </w:tcPr>
          <w:p w14:paraId="3A9C94D8" w14:textId="77777777" w:rsidR="00172A09" w:rsidRPr="0093455C" w:rsidRDefault="00172A09" w:rsidP="0093464C">
            <w:pPr>
              <w:spacing w:line="360" w:lineRule="auto"/>
              <w:rPr>
                <w:rFonts w:ascii="Times New Roman" w:hAnsi="Times New Roman" w:cs="Times New Roman"/>
                <w:sz w:val="24"/>
                <w:szCs w:val="24"/>
              </w:rPr>
            </w:pPr>
            <w:r w:rsidRPr="00652BD3">
              <w:t>98.60</w:t>
            </w:r>
          </w:p>
        </w:tc>
      </w:tr>
      <w:tr w:rsidR="00172A09" w:rsidRPr="0093455C" w14:paraId="2E144008" w14:textId="77777777" w:rsidTr="0093464C">
        <w:tc>
          <w:tcPr>
            <w:tcW w:w="1309" w:type="dxa"/>
          </w:tcPr>
          <w:p w14:paraId="3960C783"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4</w:t>
            </w:r>
          </w:p>
        </w:tc>
        <w:tc>
          <w:tcPr>
            <w:tcW w:w="2731" w:type="dxa"/>
          </w:tcPr>
          <w:p w14:paraId="50D2C215"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Mw+OBF+Pse</w:t>
            </w:r>
            <w:proofErr w:type="spellEnd"/>
          </w:p>
        </w:tc>
        <w:tc>
          <w:tcPr>
            <w:tcW w:w="1428" w:type="dxa"/>
          </w:tcPr>
          <w:p w14:paraId="406C8322"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1DEF9196"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66.0±0.00</w:t>
            </w:r>
          </w:p>
        </w:tc>
        <w:tc>
          <w:tcPr>
            <w:tcW w:w="1428" w:type="dxa"/>
          </w:tcPr>
          <w:p w14:paraId="0AB0DFFE"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45.3±1.15</w:t>
            </w:r>
          </w:p>
        </w:tc>
        <w:tc>
          <w:tcPr>
            <w:tcW w:w="1443" w:type="dxa"/>
          </w:tcPr>
          <w:p w14:paraId="3E8DC51A" w14:textId="77777777" w:rsidR="00172A09" w:rsidRPr="0093455C" w:rsidRDefault="00172A09" w:rsidP="0093464C">
            <w:pPr>
              <w:spacing w:line="360" w:lineRule="auto"/>
              <w:rPr>
                <w:rFonts w:ascii="Times New Roman" w:hAnsi="Times New Roman" w:cs="Times New Roman"/>
                <w:sz w:val="24"/>
                <w:szCs w:val="24"/>
              </w:rPr>
            </w:pPr>
            <w:r w:rsidRPr="005F0A26">
              <w:t>3690.67</w:t>
            </w:r>
          </w:p>
        </w:tc>
        <w:tc>
          <w:tcPr>
            <w:tcW w:w="1803" w:type="dxa"/>
          </w:tcPr>
          <w:p w14:paraId="5FCF4844" w14:textId="77777777" w:rsidR="00172A09" w:rsidRPr="0093455C" w:rsidRDefault="00172A09" w:rsidP="0093464C">
            <w:pPr>
              <w:spacing w:line="360" w:lineRule="auto"/>
              <w:rPr>
                <w:rFonts w:ascii="Times New Roman" w:hAnsi="Times New Roman" w:cs="Times New Roman"/>
                <w:sz w:val="24"/>
                <w:szCs w:val="24"/>
              </w:rPr>
            </w:pPr>
            <w:r w:rsidRPr="00652BD3">
              <w:t>98.79</w:t>
            </w:r>
          </w:p>
        </w:tc>
      </w:tr>
      <w:tr w:rsidR="00172A09" w:rsidRPr="0093455C" w14:paraId="3A7965E3" w14:textId="77777777" w:rsidTr="0093464C">
        <w:tc>
          <w:tcPr>
            <w:tcW w:w="1309" w:type="dxa"/>
          </w:tcPr>
          <w:p w14:paraId="59E938E3"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5</w:t>
            </w:r>
          </w:p>
        </w:tc>
        <w:tc>
          <w:tcPr>
            <w:tcW w:w="2731" w:type="dxa"/>
          </w:tcPr>
          <w:p w14:paraId="63384F54"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MW+OBF+FW</w:t>
            </w:r>
          </w:p>
        </w:tc>
        <w:tc>
          <w:tcPr>
            <w:tcW w:w="1428" w:type="dxa"/>
          </w:tcPr>
          <w:p w14:paraId="024834D1"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271EED99"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248.7±1.15</w:t>
            </w:r>
          </w:p>
        </w:tc>
        <w:tc>
          <w:tcPr>
            <w:tcW w:w="1428" w:type="dxa"/>
          </w:tcPr>
          <w:p w14:paraId="688DDED9"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184.7±1.15</w:t>
            </w:r>
          </w:p>
        </w:tc>
        <w:tc>
          <w:tcPr>
            <w:tcW w:w="1443" w:type="dxa"/>
          </w:tcPr>
          <w:p w14:paraId="25AB1AA1" w14:textId="77777777" w:rsidR="00172A09" w:rsidRPr="0093455C" w:rsidRDefault="00172A09" w:rsidP="0093464C">
            <w:pPr>
              <w:spacing w:line="360" w:lineRule="auto"/>
              <w:rPr>
                <w:rFonts w:ascii="Times New Roman" w:hAnsi="Times New Roman" w:cs="Times New Roman"/>
                <w:sz w:val="24"/>
                <w:szCs w:val="24"/>
              </w:rPr>
            </w:pPr>
            <w:r w:rsidRPr="005F0A26">
              <w:t>3551.33</w:t>
            </w:r>
          </w:p>
        </w:tc>
        <w:tc>
          <w:tcPr>
            <w:tcW w:w="1803" w:type="dxa"/>
          </w:tcPr>
          <w:p w14:paraId="30294644" w14:textId="77777777" w:rsidR="00172A09" w:rsidRPr="0093455C" w:rsidRDefault="00172A09" w:rsidP="0093464C">
            <w:pPr>
              <w:spacing w:line="360" w:lineRule="auto"/>
              <w:rPr>
                <w:rFonts w:ascii="Times New Roman" w:hAnsi="Times New Roman" w:cs="Times New Roman"/>
                <w:sz w:val="24"/>
                <w:szCs w:val="24"/>
              </w:rPr>
            </w:pPr>
            <w:r w:rsidRPr="00652BD3">
              <w:t>95.06</w:t>
            </w:r>
          </w:p>
        </w:tc>
      </w:tr>
      <w:tr w:rsidR="00172A09" w:rsidRPr="0093455C" w14:paraId="3D1C6F30" w14:textId="77777777" w:rsidTr="0093464C">
        <w:tc>
          <w:tcPr>
            <w:tcW w:w="1309" w:type="dxa"/>
          </w:tcPr>
          <w:p w14:paraId="5E467E5E"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6</w:t>
            </w:r>
          </w:p>
        </w:tc>
        <w:tc>
          <w:tcPr>
            <w:tcW w:w="2731" w:type="dxa"/>
          </w:tcPr>
          <w:p w14:paraId="516AD23C"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MW+OBF+FW+Bac</w:t>
            </w:r>
            <w:proofErr w:type="spellEnd"/>
          </w:p>
        </w:tc>
        <w:tc>
          <w:tcPr>
            <w:tcW w:w="1428" w:type="dxa"/>
          </w:tcPr>
          <w:p w14:paraId="0A102BD4"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296E2A4D"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128.7±1.15</w:t>
            </w:r>
          </w:p>
        </w:tc>
        <w:tc>
          <w:tcPr>
            <w:tcW w:w="1428" w:type="dxa"/>
          </w:tcPr>
          <w:p w14:paraId="02598DFD"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84.0±0.00</w:t>
            </w:r>
          </w:p>
        </w:tc>
        <w:tc>
          <w:tcPr>
            <w:tcW w:w="1443" w:type="dxa"/>
          </w:tcPr>
          <w:p w14:paraId="40A8D75C" w14:textId="77777777" w:rsidR="00172A09" w:rsidRPr="0093455C" w:rsidRDefault="00172A09" w:rsidP="0093464C">
            <w:pPr>
              <w:spacing w:line="360" w:lineRule="auto"/>
              <w:rPr>
                <w:rFonts w:ascii="Times New Roman" w:hAnsi="Times New Roman" w:cs="Times New Roman"/>
                <w:sz w:val="24"/>
                <w:szCs w:val="24"/>
              </w:rPr>
            </w:pPr>
            <w:r w:rsidRPr="005F0A26">
              <w:t>3652.00</w:t>
            </w:r>
          </w:p>
        </w:tc>
        <w:tc>
          <w:tcPr>
            <w:tcW w:w="1803" w:type="dxa"/>
          </w:tcPr>
          <w:p w14:paraId="285AC3F6" w14:textId="77777777" w:rsidR="00172A09" w:rsidRPr="0093455C" w:rsidRDefault="00172A09" w:rsidP="0093464C">
            <w:pPr>
              <w:spacing w:line="360" w:lineRule="auto"/>
              <w:rPr>
                <w:rFonts w:ascii="Times New Roman" w:hAnsi="Times New Roman" w:cs="Times New Roman"/>
                <w:sz w:val="24"/>
                <w:szCs w:val="24"/>
              </w:rPr>
            </w:pPr>
            <w:r w:rsidRPr="00652BD3">
              <w:t>97.75</w:t>
            </w:r>
          </w:p>
        </w:tc>
      </w:tr>
      <w:tr w:rsidR="00172A09" w:rsidRPr="0093455C" w14:paraId="6A312B53" w14:textId="77777777" w:rsidTr="0093464C">
        <w:tc>
          <w:tcPr>
            <w:tcW w:w="1309" w:type="dxa"/>
          </w:tcPr>
          <w:p w14:paraId="06E24E78" w14:textId="77777777" w:rsidR="00172A09" w:rsidRPr="00774C96" w:rsidRDefault="00172A09" w:rsidP="0093464C">
            <w:pPr>
              <w:spacing w:line="360" w:lineRule="auto"/>
              <w:rPr>
                <w:rFonts w:ascii="Times New Roman" w:hAnsi="Times New Roman" w:cs="Times New Roman"/>
                <w:sz w:val="24"/>
                <w:szCs w:val="24"/>
              </w:rPr>
            </w:pPr>
            <w:r>
              <w:rPr>
                <w:rFonts w:ascii="Times New Roman" w:hAnsi="Times New Roman" w:cs="Times New Roman"/>
                <w:sz w:val="24"/>
                <w:szCs w:val="24"/>
              </w:rPr>
              <w:t>T7</w:t>
            </w:r>
          </w:p>
        </w:tc>
        <w:tc>
          <w:tcPr>
            <w:tcW w:w="2731" w:type="dxa"/>
          </w:tcPr>
          <w:p w14:paraId="32E916C1"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MW+OBF+FW+Pse</w:t>
            </w:r>
            <w:proofErr w:type="spellEnd"/>
          </w:p>
        </w:tc>
        <w:tc>
          <w:tcPr>
            <w:tcW w:w="1428" w:type="dxa"/>
          </w:tcPr>
          <w:p w14:paraId="331AB6B1"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22DF7035"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174.7±1.15</w:t>
            </w:r>
          </w:p>
        </w:tc>
        <w:tc>
          <w:tcPr>
            <w:tcW w:w="1428" w:type="dxa"/>
          </w:tcPr>
          <w:p w14:paraId="70E054CD"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80.0±0.00</w:t>
            </w:r>
          </w:p>
        </w:tc>
        <w:tc>
          <w:tcPr>
            <w:tcW w:w="1443" w:type="dxa"/>
          </w:tcPr>
          <w:p w14:paraId="69223B79" w14:textId="77777777" w:rsidR="00172A09" w:rsidRPr="0093455C" w:rsidRDefault="00172A09" w:rsidP="0093464C">
            <w:pPr>
              <w:spacing w:line="360" w:lineRule="auto"/>
              <w:rPr>
                <w:rFonts w:ascii="Times New Roman" w:hAnsi="Times New Roman" w:cs="Times New Roman"/>
                <w:sz w:val="24"/>
                <w:szCs w:val="24"/>
              </w:rPr>
            </w:pPr>
            <w:r w:rsidRPr="005F0A26">
              <w:t>3656.00</w:t>
            </w:r>
          </w:p>
        </w:tc>
        <w:tc>
          <w:tcPr>
            <w:tcW w:w="1803" w:type="dxa"/>
          </w:tcPr>
          <w:p w14:paraId="61508CA9" w14:textId="77777777" w:rsidR="00172A09" w:rsidRPr="0093455C" w:rsidRDefault="00172A09" w:rsidP="0093464C">
            <w:pPr>
              <w:spacing w:line="360" w:lineRule="auto"/>
              <w:rPr>
                <w:rFonts w:ascii="Times New Roman" w:hAnsi="Times New Roman" w:cs="Times New Roman"/>
                <w:sz w:val="24"/>
                <w:szCs w:val="24"/>
              </w:rPr>
            </w:pPr>
            <w:r w:rsidRPr="00652BD3">
              <w:t>97.86</w:t>
            </w:r>
          </w:p>
        </w:tc>
      </w:tr>
      <w:tr w:rsidR="00172A09" w:rsidRPr="0093455C" w14:paraId="4C5AC1D0" w14:textId="77777777" w:rsidTr="0093464C">
        <w:tc>
          <w:tcPr>
            <w:tcW w:w="1309" w:type="dxa"/>
          </w:tcPr>
          <w:p w14:paraId="7B57F99F"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8</w:t>
            </w:r>
          </w:p>
        </w:tc>
        <w:tc>
          <w:tcPr>
            <w:tcW w:w="2731" w:type="dxa"/>
          </w:tcPr>
          <w:p w14:paraId="79104D3B"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MW+OBF+FW+Bac+Pse</w:t>
            </w:r>
            <w:proofErr w:type="spellEnd"/>
          </w:p>
        </w:tc>
        <w:tc>
          <w:tcPr>
            <w:tcW w:w="1428" w:type="dxa"/>
          </w:tcPr>
          <w:p w14:paraId="016FD609"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3A72C5A7"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159.3±1.15</w:t>
            </w:r>
          </w:p>
        </w:tc>
        <w:tc>
          <w:tcPr>
            <w:tcW w:w="1428" w:type="dxa"/>
          </w:tcPr>
          <w:p w14:paraId="60155BDA"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92.0±0.00</w:t>
            </w:r>
          </w:p>
        </w:tc>
        <w:tc>
          <w:tcPr>
            <w:tcW w:w="1443" w:type="dxa"/>
          </w:tcPr>
          <w:p w14:paraId="2E71AABD" w14:textId="77777777" w:rsidR="00172A09" w:rsidRPr="0093455C" w:rsidRDefault="00172A09" w:rsidP="0093464C">
            <w:pPr>
              <w:spacing w:line="360" w:lineRule="auto"/>
              <w:rPr>
                <w:rFonts w:ascii="Times New Roman" w:hAnsi="Times New Roman" w:cs="Times New Roman"/>
                <w:sz w:val="24"/>
                <w:szCs w:val="24"/>
              </w:rPr>
            </w:pPr>
            <w:r w:rsidRPr="005F0A26">
              <w:t>3644.00</w:t>
            </w:r>
          </w:p>
        </w:tc>
        <w:tc>
          <w:tcPr>
            <w:tcW w:w="1803" w:type="dxa"/>
          </w:tcPr>
          <w:p w14:paraId="59AFE7C1" w14:textId="77777777" w:rsidR="00172A09" w:rsidRPr="0093455C" w:rsidRDefault="00172A09" w:rsidP="0093464C">
            <w:pPr>
              <w:spacing w:line="360" w:lineRule="auto"/>
              <w:rPr>
                <w:rFonts w:ascii="Times New Roman" w:hAnsi="Times New Roman" w:cs="Times New Roman"/>
                <w:sz w:val="24"/>
                <w:szCs w:val="24"/>
              </w:rPr>
            </w:pPr>
            <w:r w:rsidRPr="00652BD3">
              <w:t>97.54</w:t>
            </w:r>
          </w:p>
        </w:tc>
      </w:tr>
    </w:tbl>
    <w:p w14:paraId="6DBF8AE4" w14:textId="16294528"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180E94">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180E94">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180E94">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aeruginosa EB38</w:t>
      </w:r>
      <w:r w:rsidRPr="00E73476">
        <w:rPr>
          <w:rFonts w:ascii="Times New Roman" w:eastAsia="Calibri" w:hAnsi="Times New Roman" w:cs="Times New Roman"/>
          <w:kern w:val="0"/>
          <w14:ligatures w14:val="none"/>
        </w:rPr>
        <w:t>, COD= Chemical oxygen demand, THC= Total hydrocarbon content</w:t>
      </w:r>
      <w:r w:rsidRPr="00E73476">
        <w:rPr>
          <w:rFonts w:ascii="Times New Roman" w:eastAsia="Calibri" w:hAnsi="Times New Roman" w:cs="Times New Roman"/>
          <w:i/>
          <w:iCs/>
          <w:kern w:val="0"/>
          <w14:ligatures w14:val="none"/>
        </w:rPr>
        <w:t xml:space="preserve"> </w:t>
      </w:r>
      <w:r w:rsidRPr="00E73476">
        <w:rPr>
          <w:rFonts w:ascii="Times New Roman" w:eastAsia="Calibri" w:hAnsi="Times New Roman" w:cs="Times New Roman"/>
          <w:b/>
          <w:bCs/>
          <w:i/>
          <w:iCs/>
          <w:kern w:val="0"/>
          <w14:ligatures w14:val="none"/>
        </w:rPr>
        <w:t xml:space="preserve">             </w:t>
      </w:r>
    </w:p>
    <w:p w14:paraId="68404DE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5FA7C1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7577C6B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5F9F53EE" w14:textId="77777777" w:rsidR="00172A09" w:rsidRDefault="00172A09"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sectPr w:rsidR="00172A09" w:rsidSect="00172A09">
          <w:pgSz w:w="15840" w:h="12240" w:orient="landscape"/>
          <w:pgMar w:top="1440" w:right="1282" w:bottom="1440" w:left="1440" w:header="720" w:footer="720" w:gutter="0"/>
          <w:cols w:space="720"/>
          <w:docGrid w:linePitch="360"/>
        </w:sectPr>
      </w:pPr>
    </w:p>
    <w:p w14:paraId="4143AD74" w14:textId="62F70D8D"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lastRenderedPageBreak/>
        <w:t xml:space="preserve">The result (Fig. 1) shows that the addition of microbial inoculants (Bacillus </w:t>
      </w:r>
      <w:proofErr w:type="spellStart"/>
      <w:r w:rsidRPr="00E73476">
        <w:rPr>
          <w:rFonts w:ascii="Times New Roman" w:eastAsia="Calibri" w:hAnsi="Times New Roman" w:cs="Times New Roman"/>
          <w:bCs/>
          <w:kern w:val="0"/>
          <w14:ligatures w14:val="none"/>
        </w:rPr>
        <w:t>safensis</w:t>
      </w:r>
      <w:proofErr w:type="spellEnd"/>
      <w:r w:rsidRPr="00E73476">
        <w:rPr>
          <w:rFonts w:ascii="Times New Roman" w:eastAsia="Calibri" w:hAnsi="Times New Roman" w:cs="Times New Roman"/>
          <w:bCs/>
          <w:kern w:val="0"/>
          <w14:ligatures w14:val="none"/>
        </w:rPr>
        <w:t xml:space="preserve"> and Pseudomonas aeruginosa) and fish waste (FW) significantly enhanced the biodegradation of Total Hydrocarbon Content (THC) in drilling fluids. The highest bioremediation efficiency (98.</w:t>
      </w:r>
      <w:r w:rsidR="001730F6">
        <w:rPr>
          <w:rFonts w:ascii="Times New Roman" w:eastAsia="Calibri" w:hAnsi="Times New Roman" w:cs="Times New Roman"/>
          <w:bCs/>
          <w:kern w:val="0"/>
          <w14:ligatures w14:val="none"/>
        </w:rPr>
        <w:t>79</w:t>
      </w:r>
      <w:r w:rsidRPr="00E73476">
        <w:rPr>
          <w:rFonts w:ascii="Times New Roman" w:eastAsia="Calibri" w:hAnsi="Times New Roman" w:cs="Times New Roman"/>
          <w:bCs/>
          <w:kern w:val="0"/>
          <w14:ligatures w14:val="none"/>
        </w:rPr>
        <w:t>%) was achieved in Treatment T</w:t>
      </w:r>
      <w:r w:rsidR="001730F6">
        <w:rPr>
          <w:rFonts w:ascii="Times New Roman" w:eastAsia="Calibri" w:hAnsi="Times New Roman" w:cs="Times New Roman"/>
          <w:bCs/>
          <w:kern w:val="0"/>
          <w14:ligatures w14:val="none"/>
        </w:rPr>
        <w:t>4</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MW+</w:t>
      </w:r>
      <w:r w:rsidR="001730F6">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BF+</w:t>
      </w:r>
      <w:r w:rsidR="001730F6">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xml:space="preserve">), indicating that the addition of </w:t>
      </w:r>
      <w:r w:rsidR="001730F6" w:rsidRPr="001730F6">
        <w:rPr>
          <w:rFonts w:ascii="Times New Roman" w:eastAsia="Calibri" w:hAnsi="Times New Roman" w:cs="Times New Roman"/>
          <w:bCs/>
          <w:i/>
          <w:iCs/>
          <w:kern w:val="0"/>
          <w14:ligatures w14:val="none"/>
        </w:rPr>
        <w:t>Pseudomonas</w:t>
      </w:r>
      <w:r w:rsidR="001730F6">
        <w:rPr>
          <w:rFonts w:ascii="Times New Roman" w:eastAsia="Calibri" w:hAnsi="Times New Roman" w:cs="Times New Roman"/>
          <w:bCs/>
          <w:kern w:val="0"/>
          <w14:ligatures w14:val="none"/>
        </w:rPr>
        <w:t xml:space="preserve"> </w:t>
      </w:r>
      <w:r w:rsidR="001730F6" w:rsidRPr="001730F6">
        <w:rPr>
          <w:rFonts w:ascii="Times New Roman" w:eastAsia="Calibri" w:hAnsi="Times New Roman" w:cs="Times New Roman"/>
          <w:bCs/>
          <w:i/>
          <w:iCs/>
          <w:kern w:val="0"/>
          <w14:ligatures w14:val="none"/>
        </w:rPr>
        <w:t>aeruginosa</w:t>
      </w:r>
      <w:r w:rsidR="001730F6">
        <w:rPr>
          <w:rFonts w:ascii="Times New Roman" w:eastAsia="Calibri" w:hAnsi="Times New Roman" w:cs="Times New Roman"/>
          <w:bCs/>
          <w:kern w:val="0"/>
          <w14:ligatures w14:val="none"/>
        </w:rPr>
        <w:t xml:space="preserve"> strain EB38</w:t>
      </w:r>
      <w:r w:rsidRPr="00E73476">
        <w:rPr>
          <w:rFonts w:ascii="Times New Roman" w:eastAsia="Calibri" w:hAnsi="Times New Roman" w:cs="Times New Roman"/>
          <w:bCs/>
          <w:kern w:val="0"/>
          <w14:ligatures w14:val="none"/>
        </w:rPr>
        <w:t xml:space="preserve"> alone was highly effective in degrading THC. The combination of microbial inoculants and fish waste (Treatments T5-T8) also showed high bioremediation efficiencies (95.</w:t>
      </w:r>
      <w:r w:rsidR="001730F6">
        <w:rPr>
          <w:rFonts w:ascii="Times New Roman" w:eastAsia="Calibri" w:hAnsi="Times New Roman" w:cs="Times New Roman"/>
          <w:bCs/>
          <w:kern w:val="0"/>
          <w14:ligatures w14:val="none"/>
        </w:rPr>
        <w:t>06</w:t>
      </w:r>
      <w:r w:rsidRPr="00E73476">
        <w:rPr>
          <w:rFonts w:ascii="Times New Roman" w:eastAsia="Calibri" w:hAnsi="Times New Roman" w:cs="Times New Roman"/>
          <w:bCs/>
          <w:kern w:val="0"/>
          <w14:ligatures w14:val="none"/>
        </w:rPr>
        <w:t>-9</w:t>
      </w:r>
      <w:r w:rsidR="001730F6">
        <w:rPr>
          <w:rFonts w:ascii="Times New Roman" w:eastAsia="Calibri" w:hAnsi="Times New Roman" w:cs="Times New Roman"/>
          <w:bCs/>
          <w:kern w:val="0"/>
          <w14:ligatures w14:val="none"/>
        </w:rPr>
        <w:t>7</w:t>
      </w:r>
      <w:r w:rsidRPr="00E73476">
        <w:rPr>
          <w:rFonts w:ascii="Times New Roman" w:eastAsia="Calibri" w:hAnsi="Times New Roman" w:cs="Times New Roman"/>
          <w:bCs/>
          <w:kern w:val="0"/>
          <w14:ligatures w14:val="none"/>
        </w:rPr>
        <w:t>.</w:t>
      </w:r>
      <w:r w:rsidR="00671DB3">
        <w:rPr>
          <w:rFonts w:ascii="Times New Roman" w:eastAsia="Calibri" w:hAnsi="Times New Roman" w:cs="Times New Roman"/>
          <w:bCs/>
          <w:kern w:val="0"/>
          <w14:ligatures w14:val="none"/>
        </w:rPr>
        <w:t>86</w:t>
      </w:r>
      <w:r w:rsidRPr="00E73476">
        <w:rPr>
          <w:rFonts w:ascii="Times New Roman" w:eastAsia="Calibri" w:hAnsi="Times New Roman" w:cs="Times New Roman"/>
          <w:bCs/>
          <w:kern w:val="0"/>
          <w14:ligatures w14:val="none"/>
        </w:rPr>
        <w:t>%), suggesting a synergistic effect between the microorganisms and fish waste. The control treatment (T1, UW) showed minimal biodegradation, highlighting the need for additional treatments to enhance THC degradation.</w:t>
      </w:r>
    </w:p>
    <w:p w14:paraId="3FCB73A2"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83C24D5" w14:textId="59C12BED"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Pr>
          <w:noProof/>
        </w:rPr>
        <w:drawing>
          <wp:inline distT="0" distB="0" distL="0" distR="0" wp14:anchorId="62BEF6DE" wp14:editId="5A053C58">
            <wp:extent cx="4572000" cy="2148840"/>
            <wp:effectExtent l="0" t="0" r="0" b="3810"/>
            <wp:docPr id="306416857" name="Chart 1">
              <a:extLst xmlns:a="http://schemas.openxmlformats.org/drawingml/2006/main">
                <a:ext uri="{FF2B5EF4-FFF2-40B4-BE49-F238E27FC236}">
                  <a16:creationId xmlns:a16="http://schemas.microsoft.com/office/drawing/2014/main" id="{38869A75-AF55-47F9-89D4-59D10950BB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ED3052"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4E0329D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Figure 1: Percentage (%) Total Hydrocarbon Content (THC) Reduction during </w:t>
      </w:r>
      <w:r w:rsidRPr="00E73476">
        <w:rPr>
          <w:rFonts w:ascii="Times New Roman" w:eastAsia="Calibri" w:hAnsi="Times New Roman" w:cs="Times New Roman"/>
          <w:b/>
          <w:bCs/>
          <w:kern w:val="0"/>
          <w14:ligatures w14:val="none"/>
        </w:rPr>
        <w:tab/>
        <w:t>Enhanced Biodegradation of Drilling Fluids in Marine Water</w:t>
      </w:r>
      <w:bookmarkStart w:id="12" w:name="_Hlk170387915"/>
    </w:p>
    <w:bookmarkEnd w:id="12"/>
    <w:p w14:paraId="6A6A21FB" w14:textId="208F0DE8"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180E94">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180E94">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180E94">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 xml:space="preserve">aeruginosa EB38 </w:t>
      </w:r>
      <w:r w:rsidRPr="00E73476">
        <w:rPr>
          <w:rFonts w:ascii="Times New Roman" w:eastAsia="Calibri" w:hAnsi="Times New Roman" w:cs="Times New Roman"/>
          <w:b/>
          <w:bCs/>
          <w:i/>
          <w:iCs/>
          <w:kern w:val="0"/>
          <w14:ligatures w14:val="none"/>
        </w:rPr>
        <w:t xml:space="preserve">             </w:t>
      </w:r>
    </w:p>
    <w:p w14:paraId="12E4B154" w14:textId="77777777" w:rsidR="0095486C" w:rsidRDefault="0095486C"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705D3578" w14:textId="77777777" w:rsidR="0095486C" w:rsidRDefault="0095486C"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EE4FF23" w14:textId="77777777" w:rsidR="0095486C" w:rsidRDefault="0095486C"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30CD455B" w14:textId="77777777" w:rsidR="0095486C" w:rsidRDefault="0095486C"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4A68F73" w14:textId="521CAAB2"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Microbial Population in the Biodegradation Setups </w:t>
      </w:r>
    </w:p>
    <w:p w14:paraId="75E96E6A" w14:textId="389151FC" w:rsidR="00671DB3" w:rsidRPr="00671DB3" w:rsidRDefault="00671DB3" w:rsidP="00671DB3">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671DB3">
        <w:rPr>
          <w:rFonts w:ascii="Times New Roman" w:eastAsia="Calibri" w:hAnsi="Times New Roman" w:cs="Times New Roman"/>
          <w:bCs/>
          <w:kern w:val="0"/>
          <w14:ligatures w14:val="none"/>
        </w:rPr>
        <w:t xml:space="preserve">The result (Table </w:t>
      </w:r>
      <w:r>
        <w:rPr>
          <w:rFonts w:ascii="Times New Roman" w:eastAsia="Calibri" w:hAnsi="Times New Roman" w:cs="Times New Roman"/>
          <w:bCs/>
          <w:kern w:val="0"/>
          <w14:ligatures w14:val="none"/>
        </w:rPr>
        <w:t>7</w:t>
      </w:r>
      <w:r w:rsidRPr="00671DB3">
        <w:rPr>
          <w:rFonts w:ascii="Times New Roman" w:eastAsia="Calibri" w:hAnsi="Times New Roman" w:cs="Times New Roman"/>
          <w:bCs/>
          <w:kern w:val="0"/>
          <w14:ligatures w14:val="none"/>
        </w:rPr>
        <w:t xml:space="preserve">) shows the mean and standard deviation of microbiological counts (THB, TF, DFUB, and DFUF) during the enhanced biodegradation of drilling fluid in marine water. The treatments with the highest THB (Total Heterotrophic Bacteria) counts were </w:t>
      </w:r>
      <w:proofErr w:type="spellStart"/>
      <w:r w:rsidRPr="00671DB3">
        <w:rPr>
          <w:rFonts w:ascii="Times New Roman" w:eastAsia="Calibri" w:hAnsi="Times New Roman" w:cs="Times New Roman"/>
          <w:bCs/>
          <w:kern w:val="0"/>
          <w14:ligatures w14:val="none"/>
        </w:rPr>
        <w:t>MW+OBF+Pse</w:t>
      </w:r>
      <w:proofErr w:type="spellEnd"/>
      <w:r w:rsidRPr="00671DB3">
        <w:rPr>
          <w:rFonts w:ascii="Times New Roman" w:eastAsia="Calibri" w:hAnsi="Times New Roman" w:cs="Times New Roman"/>
          <w:bCs/>
          <w:kern w:val="0"/>
          <w14:ligatures w14:val="none"/>
        </w:rPr>
        <w:t xml:space="preserve"> (15.71±2.13cfu/ml) and </w:t>
      </w:r>
      <w:proofErr w:type="spellStart"/>
      <w:r w:rsidRPr="00671DB3">
        <w:rPr>
          <w:rFonts w:ascii="Times New Roman" w:eastAsia="Calibri" w:hAnsi="Times New Roman" w:cs="Times New Roman"/>
          <w:bCs/>
          <w:kern w:val="0"/>
          <w14:ligatures w14:val="none"/>
        </w:rPr>
        <w:t>MW+OBF+Bac</w:t>
      </w:r>
      <w:proofErr w:type="spellEnd"/>
      <w:r w:rsidRPr="00671DB3">
        <w:rPr>
          <w:rFonts w:ascii="Times New Roman" w:eastAsia="Calibri" w:hAnsi="Times New Roman" w:cs="Times New Roman"/>
          <w:bCs/>
          <w:kern w:val="0"/>
          <w14:ligatures w14:val="none"/>
        </w:rPr>
        <w:t xml:space="preserve"> (12.06±2.94cfu/ml), indicating a significant increase in bacterial growth. The TF (Total Fungi) remained relatively consistent across treatments, ranging from 2.22±0.77 to 4.56±2.69cfu/ml. The DFUB (Drilling Fluid Utilizing Bacteria) had an increasing trend with the highest in </w:t>
      </w:r>
      <w:proofErr w:type="spellStart"/>
      <w:r w:rsidRPr="00671DB3">
        <w:rPr>
          <w:rFonts w:ascii="Times New Roman" w:eastAsia="Calibri" w:hAnsi="Times New Roman" w:cs="Times New Roman"/>
          <w:bCs/>
          <w:kern w:val="0"/>
          <w14:ligatures w14:val="none"/>
        </w:rPr>
        <w:t>MW+OBF+FW+Pse</w:t>
      </w:r>
      <w:proofErr w:type="spellEnd"/>
      <w:r w:rsidRPr="00671DB3">
        <w:rPr>
          <w:rFonts w:ascii="Times New Roman" w:eastAsia="Calibri" w:hAnsi="Times New Roman" w:cs="Times New Roman"/>
          <w:bCs/>
          <w:kern w:val="0"/>
          <w14:ligatures w14:val="none"/>
        </w:rPr>
        <w:t xml:space="preserve"> (12.84±1.55cfu/ml) and </w:t>
      </w:r>
      <w:proofErr w:type="spellStart"/>
      <w:r w:rsidRPr="00671DB3">
        <w:rPr>
          <w:rFonts w:ascii="Times New Roman" w:eastAsia="Calibri" w:hAnsi="Times New Roman" w:cs="Times New Roman"/>
          <w:bCs/>
          <w:kern w:val="0"/>
          <w14:ligatures w14:val="none"/>
        </w:rPr>
        <w:t>MW+OBF+FW+Bac+Pse</w:t>
      </w:r>
      <w:proofErr w:type="spellEnd"/>
      <w:r w:rsidRPr="00671DB3">
        <w:rPr>
          <w:rFonts w:ascii="Times New Roman" w:eastAsia="Calibri" w:hAnsi="Times New Roman" w:cs="Times New Roman"/>
          <w:bCs/>
          <w:kern w:val="0"/>
          <w14:ligatures w14:val="none"/>
        </w:rPr>
        <w:t xml:space="preserve"> (11.64±1.11cfu/ml), indicating increased bacterial utilization of drilling fluids. The DFUF (Drilling Fluid Utilizing Fungi) counts had no consistent trend, highest count was recorded in UW (3.00±3.76cfu/ml) and the lowest count in </w:t>
      </w:r>
      <w:proofErr w:type="spellStart"/>
      <w:r w:rsidRPr="00671DB3">
        <w:rPr>
          <w:rFonts w:ascii="Times New Roman" w:eastAsia="Calibri" w:hAnsi="Times New Roman" w:cs="Times New Roman"/>
          <w:bCs/>
          <w:kern w:val="0"/>
          <w14:ligatures w14:val="none"/>
        </w:rPr>
        <w:t>MW+OBF+FW+Pse</w:t>
      </w:r>
      <w:proofErr w:type="spellEnd"/>
      <w:r w:rsidRPr="00671DB3">
        <w:rPr>
          <w:rFonts w:ascii="Times New Roman" w:eastAsia="Calibri" w:hAnsi="Times New Roman" w:cs="Times New Roman"/>
          <w:bCs/>
          <w:kern w:val="0"/>
          <w14:ligatures w14:val="none"/>
        </w:rPr>
        <w:t xml:space="preserve"> (1.44 ±0.77cfu/ml), suggesting enhanced fungal growth.</w:t>
      </w:r>
    </w:p>
    <w:p w14:paraId="5DD54164"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31BE1E3"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051C70A0"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793D24BB"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CC0CD16"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517ED75B" w14:textId="77777777" w:rsidR="00683B5A" w:rsidRPr="00E73476" w:rsidRDefault="00683B5A"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3753779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lastRenderedPageBreak/>
        <w:t>Table 7: Mean and Standard Deviation of Microbiological counts During Enhanced Biodegradation of Drilling Fluids in Marine water</w:t>
      </w:r>
    </w:p>
    <w:tbl>
      <w:tblPr>
        <w:tblStyle w:val="TableGrid"/>
        <w:tblW w:w="104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2790"/>
        <w:gridCol w:w="1620"/>
        <w:gridCol w:w="1620"/>
        <w:gridCol w:w="1620"/>
        <w:gridCol w:w="1440"/>
      </w:tblGrid>
      <w:tr w:rsidR="009005E0" w:rsidRPr="00FD5377" w14:paraId="76719CC6" w14:textId="77777777" w:rsidTr="00603FEA">
        <w:trPr>
          <w:trHeight w:val="440"/>
        </w:trPr>
        <w:tc>
          <w:tcPr>
            <w:tcW w:w="1345" w:type="dxa"/>
            <w:tcBorders>
              <w:top w:val="single" w:sz="4" w:space="0" w:color="auto"/>
              <w:bottom w:val="single" w:sz="4" w:space="0" w:color="auto"/>
            </w:tcBorders>
          </w:tcPr>
          <w:p w14:paraId="0781BEA7" w14:textId="77777777" w:rsidR="00683B5A" w:rsidRPr="00EE3D65" w:rsidRDefault="00683B5A" w:rsidP="0093464C">
            <w:pPr>
              <w:rPr>
                <w:rFonts w:ascii="Times New Roman" w:hAnsi="Times New Roman" w:cs="Times New Roman"/>
                <w:b/>
                <w:bCs/>
                <w:sz w:val="24"/>
                <w:szCs w:val="24"/>
              </w:rPr>
            </w:pPr>
            <w:bookmarkStart w:id="13" w:name="_Hlk179030533"/>
            <w:r w:rsidRPr="00EE3D65">
              <w:rPr>
                <w:rFonts w:ascii="Times New Roman" w:hAnsi="Times New Roman" w:cs="Times New Roman"/>
                <w:b/>
                <w:bCs/>
                <w:sz w:val="24"/>
                <w:szCs w:val="24"/>
              </w:rPr>
              <w:t xml:space="preserve">Treatment </w:t>
            </w:r>
            <w:r>
              <w:rPr>
                <w:rFonts w:ascii="Times New Roman" w:hAnsi="Times New Roman" w:cs="Times New Roman"/>
                <w:b/>
                <w:bCs/>
                <w:sz w:val="24"/>
                <w:szCs w:val="24"/>
              </w:rPr>
              <w:t>Serial Number</w:t>
            </w:r>
          </w:p>
        </w:tc>
        <w:tc>
          <w:tcPr>
            <w:tcW w:w="2790" w:type="dxa"/>
            <w:tcBorders>
              <w:top w:val="single" w:sz="4" w:space="0" w:color="auto"/>
              <w:bottom w:val="single" w:sz="4" w:space="0" w:color="auto"/>
            </w:tcBorders>
          </w:tcPr>
          <w:p w14:paraId="177BD2F4" w14:textId="77777777" w:rsidR="00683B5A" w:rsidRPr="00EE3D65" w:rsidRDefault="00683B5A" w:rsidP="0093464C">
            <w:pPr>
              <w:rPr>
                <w:rFonts w:ascii="Times New Roman" w:hAnsi="Times New Roman" w:cs="Times New Roman"/>
                <w:b/>
                <w:bCs/>
                <w:sz w:val="24"/>
                <w:szCs w:val="24"/>
              </w:rPr>
            </w:pPr>
            <w:r>
              <w:rPr>
                <w:rFonts w:ascii="Times New Roman" w:hAnsi="Times New Roman" w:cs="Times New Roman"/>
                <w:b/>
                <w:bCs/>
                <w:sz w:val="24"/>
                <w:szCs w:val="24"/>
              </w:rPr>
              <w:t>Treatment code</w:t>
            </w:r>
          </w:p>
        </w:tc>
        <w:tc>
          <w:tcPr>
            <w:tcW w:w="1620" w:type="dxa"/>
            <w:tcBorders>
              <w:top w:val="single" w:sz="4" w:space="0" w:color="auto"/>
              <w:bottom w:val="single" w:sz="4" w:space="0" w:color="auto"/>
            </w:tcBorders>
          </w:tcPr>
          <w:p w14:paraId="04589CA8" w14:textId="77777777" w:rsidR="00683B5A" w:rsidRPr="00EE3D65" w:rsidRDefault="00683B5A" w:rsidP="0093464C">
            <w:pPr>
              <w:rPr>
                <w:rFonts w:ascii="Times New Roman" w:hAnsi="Times New Roman" w:cs="Times New Roman"/>
                <w:b/>
                <w:bCs/>
                <w:sz w:val="24"/>
                <w:szCs w:val="24"/>
              </w:rPr>
            </w:pPr>
            <w:r w:rsidRPr="00EE3D65">
              <w:rPr>
                <w:rFonts w:ascii="Times New Roman" w:hAnsi="Times New Roman" w:cs="Times New Roman"/>
                <w:b/>
                <w:bCs/>
                <w:sz w:val="24"/>
                <w:szCs w:val="24"/>
              </w:rPr>
              <w:t>THB</w:t>
            </w:r>
          </w:p>
        </w:tc>
        <w:tc>
          <w:tcPr>
            <w:tcW w:w="1620" w:type="dxa"/>
            <w:tcBorders>
              <w:top w:val="single" w:sz="4" w:space="0" w:color="auto"/>
              <w:bottom w:val="single" w:sz="4" w:space="0" w:color="auto"/>
            </w:tcBorders>
          </w:tcPr>
          <w:p w14:paraId="567E8D7B" w14:textId="77777777" w:rsidR="00683B5A" w:rsidRPr="00EE3D65" w:rsidRDefault="00683B5A" w:rsidP="0093464C">
            <w:pPr>
              <w:rPr>
                <w:rFonts w:ascii="Times New Roman" w:hAnsi="Times New Roman" w:cs="Times New Roman"/>
                <w:b/>
                <w:bCs/>
                <w:sz w:val="24"/>
                <w:szCs w:val="24"/>
              </w:rPr>
            </w:pPr>
            <w:r w:rsidRPr="00EE3D65">
              <w:rPr>
                <w:rFonts w:ascii="Times New Roman" w:hAnsi="Times New Roman" w:cs="Times New Roman"/>
                <w:b/>
                <w:bCs/>
                <w:sz w:val="24"/>
                <w:szCs w:val="24"/>
              </w:rPr>
              <w:t>TFC</w:t>
            </w:r>
          </w:p>
        </w:tc>
        <w:tc>
          <w:tcPr>
            <w:tcW w:w="1620" w:type="dxa"/>
            <w:tcBorders>
              <w:top w:val="single" w:sz="4" w:space="0" w:color="auto"/>
              <w:bottom w:val="single" w:sz="4" w:space="0" w:color="auto"/>
            </w:tcBorders>
          </w:tcPr>
          <w:p w14:paraId="50068737" w14:textId="77777777" w:rsidR="00683B5A" w:rsidRPr="00EE3D65" w:rsidRDefault="00683B5A" w:rsidP="0093464C">
            <w:pPr>
              <w:rPr>
                <w:rFonts w:ascii="Times New Roman" w:hAnsi="Times New Roman" w:cs="Times New Roman"/>
                <w:b/>
                <w:bCs/>
                <w:sz w:val="24"/>
                <w:szCs w:val="24"/>
              </w:rPr>
            </w:pPr>
            <w:r>
              <w:rPr>
                <w:rFonts w:ascii="Times New Roman" w:hAnsi="Times New Roman" w:cs="Times New Roman"/>
                <w:b/>
                <w:bCs/>
                <w:sz w:val="24"/>
                <w:szCs w:val="24"/>
              </w:rPr>
              <w:t>DFUB</w:t>
            </w:r>
          </w:p>
        </w:tc>
        <w:tc>
          <w:tcPr>
            <w:tcW w:w="1440" w:type="dxa"/>
            <w:tcBorders>
              <w:top w:val="single" w:sz="4" w:space="0" w:color="auto"/>
              <w:bottom w:val="single" w:sz="4" w:space="0" w:color="auto"/>
            </w:tcBorders>
          </w:tcPr>
          <w:p w14:paraId="257E3986" w14:textId="77777777" w:rsidR="00683B5A" w:rsidRPr="00EE3D65" w:rsidRDefault="00683B5A" w:rsidP="0093464C">
            <w:pPr>
              <w:rPr>
                <w:rFonts w:ascii="Times New Roman" w:hAnsi="Times New Roman" w:cs="Times New Roman"/>
                <w:b/>
                <w:bCs/>
                <w:sz w:val="24"/>
                <w:szCs w:val="24"/>
              </w:rPr>
            </w:pPr>
            <w:r w:rsidRPr="00EE3D65">
              <w:rPr>
                <w:rFonts w:ascii="Times New Roman" w:hAnsi="Times New Roman" w:cs="Times New Roman"/>
                <w:b/>
                <w:bCs/>
                <w:sz w:val="24"/>
                <w:szCs w:val="24"/>
              </w:rPr>
              <w:t>DFUF</w:t>
            </w:r>
          </w:p>
        </w:tc>
      </w:tr>
      <w:tr w:rsidR="009005E0" w:rsidRPr="00FD5377" w14:paraId="5556AE9B" w14:textId="77777777" w:rsidTr="00603FEA">
        <w:tc>
          <w:tcPr>
            <w:tcW w:w="1345" w:type="dxa"/>
            <w:tcBorders>
              <w:top w:val="single" w:sz="4" w:space="0" w:color="auto"/>
            </w:tcBorders>
          </w:tcPr>
          <w:p w14:paraId="7F9842A0" w14:textId="77777777" w:rsidR="00683B5A" w:rsidRPr="002B30B4" w:rsidRDefault="00683B5A" w:rsidP="0093464C">
            <w:pPr>
              <w:spacing w:line="360" w:lineRule="auto"/>
              <w:rPr>
                <w:rFonts w:ascii="Times New Roman" w:hAnsi="Times New Roman" w:cs="Times New Roman"/>
                <w:sz w:val="24"/>
                <w:szCs w:val="24"/>
              </w:rPr>
            </w:pPr>
            <w:bookmarkStart w:id="14" w:name="_Hlk179030569"/>
            <w:r>
              <w:rPr>
                <w:rFonts w:ascii="Times New Roman" w:hAnsi="Times New Roman" w:cs="Times New Roman"/>
                <w:sz w:val="24"/>
                <w:szCs w:val="24"/>
              </w:rPr>
              <w:t>T1</w:t>
            </w:r>
          </w:p>
        </w:tc>
        <w:tc>
          <w:tcPr>
            <w:tcW w:w="2790" w:type="dxa"/>
            <w:tcBorders>
              <w:top w:val="single" w:sz="4" w:space="0" w:color="auto"/>
            </w:tcBorders>
          </w:tcPr>
          <w:p w14:paraId="0F40E725"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U</w:t>
            </w:r>
            <w:r>
              <w:rPr>
                <w:rFonts w:ascii="Times New Roman" w:hAnsi="Times New Roman" w:cs="Times New Roman"/>
                <w:sz w:val="24"/>
                <w:szCs w:val="24"/>
              </w:rPr>
              <w:t>M</w:t>
            </w:r>
          </w:p>
        </w:tc>
        <w:tc>
          <w:tcPr>
            <w:tcW w:w="1620" w:type="dxa"/>
            <w:tcBorders>
              <w:top w:val="single" w:sz="4" w:space="0" w:color="auto"/>
            </w:tcBorders>
          </w:tcPr>
          <w:p w14:paraId="47F02306"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3.11±1.95</w:t>
            </w:r>
            <w:r>
              <w:rPr>
                <w:rFonts w:ascii="Times New Roman" w:hAnsi="Times New Roman" w:cs="Times New Roman"/>
                <w:sz w:val="24"/>
                <w:szCs w:val="24"/>
                <w:vertAlign w:val="superscript"/>
              </w:rPr>
              <w:t>efg</w:t>
            </w:r>
          </w:p>
        </w:tc>
        <w:tc>
          <w:tcPr>
            <w:tcW w:w="1620" w:type="dxa"/>
            <w:tcBorders>
              <w:top w:val="single" w:sz="4" w:space="0" w:color="auto"/>
            </w:tcBorders>
          </w:tcPr>
          <w:p w14:paraId="627C79F0"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3.78±0.84</w:t>
            </w:r>
            <w:r>
              <w:rPr>
                <w:rFonts w:ascii="Times New Roman" w:hAnsi="Times New Roman" w:cs="Times New Roman"/>
                <w:sz w:val="24"/>
                <w:szCs w:val="24"/>
                <w:vertAlign w:val="superscript"/>
              </w:rPr>
              <w:t>a</w:t>
            </w:r>
          </w:p>
        </w:tc>
        <w:tc>
          <w:tcPr>
            <w:tcW w:w="1620" w:type="dxa"/>
            <w:tcBorders>
              <w:top w:val="single" w:sz="4" w:space="0" w:color="auto"/>
            </w:tcBorders>
          </w:tcPr>
          <w:p w14:paraId="5C5EE771"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2.34±1.69</w:t>
            </w:r>
            <w:r>
              <w:rPr>
                <w:rFonts w:ascii="Times New Roman" w:hAnsi="Times New Roman" w:cs="Times New Roman"/>
                <w:sz w:val="24"/>
                <w:szCs w:val="24"/>
                <w:vertAlign w:val="superscript"/>
              </w:rPr>
              <w:t>def</w:t>
            </w:r>
          </w:p>
        </w:tc>
        <w:tc>
          <w:tcPr>
            <w:tcW w:w="1440" w:type="dxa"/>
            <w:tcBorders>
              <w:top w:val="single" w:sz="4" w:space="0" w:color="auto"/>
            </w:tcBorders>
          </w:tcPr>
          <w:p w14:paraId="3FE1D289"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3.00±3.76</w:t>
            </w:r>
            <w:r>
              <w:rPr>
                <w:rFonts w:ascii="Times New Roman" w:hAnsi="Times New Roman" w:cs="Times New Roman"/>
                <w:sz w:val="24"/>
                <w:szCs w:val="24"/>
                <w:vertAlign w:val="superscript"/>
              </w:rPr>
              <w:t>a</w:t>
            </w:r>
          </w:p>
        </w:tc>
      </w:tr>
      <w:tr w:rsidR="009005E0" w:rsidRPr="00FD5377" w14:paraId="24154180" w14:textId="77777777" w:rsidTr="00603FEA">
        <w:tc>
          <w:tcPr>
            <w:tcW w:w="1345" w:type="dxa"/>
          </w:tcPr>
          <w:p w14:paraId="79754C2B"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T2</w:t>
            </w:r>
          </w:p>
        </w:tc>
        <w:tc>
          <w:tcPr>
            <w:tcW w:w="2790" w:type="dxa"/>
          </w:tcPr>
          <w:p w14:paraId="23F801FD"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MW+OBF</w:t>
            </w:r>
          </w:p>
        </w:tc>
        <w:tc>
          <w:tcPr>
            <w:tcW w:w="1620" w:type="dxa"/>
          </w:tcPr>
          <w:p w14:paraId="7C70FDD4"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0.70±0.61</w:t>
            </w:r>
            <w:r>
              <w:rPr>
                <w:rFonts w:ascii="Times New Roman" w:hAnsi="Times New Roman" w:cs="Times New Roman"/>
                <w:sz w:val="24"/>
                <w:szCs w:val="24"/>
                <w:vertAlign w:val="superscript"/>
              </w:rPr>
              <w:t>g</w:t>
            </w:r>
          </w:p>
        </w:tc>
        <w:tc>
          <w:tcPr>
            <w:tcW w:w="1620" w:type="dxa"/>
          </w:tcPr>
          <w:p w14:paraId="15C6B3B1"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2.33±1.20</w:t>
            </w:r>
            <w:r>
              <w:rPr>
                <w:rFonts w:ascii="Times New Roman" w:hAnsi="Times New Roman" w:cs="Times New Roman"/>
                <w:sz w:val="24"/>
                <w:szCs w:val="24"/>
                <w:vertAlign w:val="superscript"/>
              </w:rPr>
              <w:t>a</w:t>
            </w:r>
          </w:p>
        </w:tc>
        <w:tc>
          <w:tcPr>
            <w:tcW w:w="1620" w:type="dxa"/>
          </w:tcPr>
          <w:p w14:paraId="02E84294"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0.44±0.51</w:t>
            </w:r>
            <w:r>
              <w:rPr>
                <w:rFonts w:ascii="Times New Roman" w:hAnsi="Times New Roman" w:cs="Times New Roman"/>
                <w:sz w:val="24"/>
                <w:szCs w:val="24"/>
                <w:vertAlign w:val="superscript"/>
              </w:rPr>
              <w:t>f</w:t>
            </w:r>
          </w:p>
        </w:tc>
        <w:tc>
          <w:tcPr>
            <w:tcW w:w="1440" w:type="dxa"/>
          </w:tcPr>
          <w:p w14:paraId="234EE0DD"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2.00±1.20</w:t>
            </w:r>
            <w:r>
              <w:rPr>
                <w:rFonts w:ascii="Times New Roman" w:hAnsi="Times New Roman" w:cs="Times New Roman"/>
                <w:sz w:val="24"/>
                <w:szCs w:val="24"/>
                <w:vertAlign w:val="superscript"/>
              </w:rPr>
              <w:t>a</w:t>
            </w:r>
          </w:p>
        </w:tc>
      </w:tr>
      <w:tr w:rsidR="009005E0" w:rsidRPr="00FD5377" w14:paraId="2346B8AD" w14:textId="77777777" w:rsidTr="00603FEA">
        <w:tc>
          <w:tcPr>
            <w:tcW w:w="1345" w:type="dxa"/>
          </w:tcPr>
          <w:p w14:paraId="5E7E935B" w14:textId="77777777" w:rsidR="00683B5A" w:rsidRPr="00CF0110"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T3</w:t>
            </w:r>
          </w:p>
        </w:tc>
        <w:tc>
          <w:tcPr>
            <w:tcW w:w="2790" w:type="dxa"/>
          </w:tcPr>
          <w:p w14:paraId="38E7EB51"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MW+OBF+Bac</w:t>
            </w:r>
            <w:proofErr w:type="spellEnd"/>
          </w:p>
        </w:tc>
        <w:tc>
          <w:tcPr>
            <w:tcW w:w="1620" w:type="dxa"/>
          </w:tcPr>
          <w:p w14:paraId="343B536D"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6.96±1.98</w:t>
            </w:r>
            <w:r>
              <w:rPr>
                <w:rFonts w:ascii="Times New Roman" w:hAnsi="Times New Roman" w:cs="Times New Roman"/>
                <w:sz w:val="24"/>
                <w:szCs w:val="24"/>
                <w:vertAlign w:val="superscript"/>
              </w:rPr>
              <w:t>defg</w:t>
            </w:r>
          </w:p>
        </w:tc>
        <w:tc>
          <w:tcPr>
            <w:tcW w:w="1620" w:type="dxa"/>
          </w:tcPr>
          <w:p w14:paraId="62FC3DA2"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4.56±2.69</w:t>
            </w:r>
            <w:r>
              <w:rPr>
                <w:rFonts w:ascii="Times New Roman" w:hAnsi="Times New Roman" w:cs="Times New Roman"/>
                <w:sz w:val="24"/>
                <w:szCs w:val="24"/>
                <w:vertAlign w:val="superscript"/>
              </w:rPr>
              <w:t>a</w:t>
            </w:r>
          </w:p>
        </w:tc>
        <w:tc>
          <w:tcPr>
            <w:tcW w:w="1620" w:type="dxa"/>
          </w:tcPr>
          <w:p w14:paraId="01D5632C"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2.09±0.98</w:t>
            </w:r>
            <w:r>
              <w:rPr>
                <w:rFonts w:ascii="Times New Roman" w:hAnsi="Times New Roman" w:cs="Times New Roman"/>
                <w:sz w:val="24"/>
                <w:szCs w:val="24"/>
                <w:vertAlign w:val="superscript"/>
              </w:rPr>
              <w:t>ef</w:t>
            </w:r>
          </w:p>
        </w:tc>
        <w:tc>
          <w:tcPr>
            <w:tcW w:w="1440" w:type="dxa"/>
          </w:tcPr>
          <w:p w14:paraId="724A3100"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1.67±0.67</w:t>
            </w:r>
            <w:r>
              <w:rPr>
                <w:rFonts w:ascii="Times New Roman" w:hAnsi="Times New Roman" w:cs="Times New Roman"/>
                <w:sz w:val="24"/>
                <w:szCs w:val="24"/>
                <w:vertAlign w:val="superscript"/>
              </w:rPr>
              <w:t>a</w:t>
            </w:r>
          </w:p>
        </w:tc>
      </w:tr>
      <w:tr w:rsidR="009005E0" w:rsidRPr="00FD5377" w14:paraId="566F17E5" w14:textId="77777777" w:rsidTr="00603FEA">
        <w:tc>
          <w:tcPr>
            <w:tcW w:w="1345" w:type="dxa"/>
          </w:tcPr>
          <w:p w14:paraId="6B279000"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T4</w:t>
            </w:r>
          </w:p>
        </w:tc>
        <w:tc>
          <w:tcPr>
            <w:tcW w:w="2790" w:type="dxa"/>
          </w:tcPr>
          <w:p w14:paraId="67CC30F5"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t>
            </w:r>
            <w:r>
              <w:rPr>
                <w:rFonts w:ascii="Times New Roman" w:hAnsi="Times New Roman" w:cs="Times New Roman"/>
                <w:sz w:val="24"/>
                <w:szCs w:val="24"/>
              </w:rPr>
              <w:t>W</w:t>
            </w:r>
            <w:r w:rsidRPr="002B30B4">
              <w:rPr>
                <w:rFonts w:ascii="Times New Roman" w:hAnsi="Times New Roman" w:cs="Times New Roman"/>
                <w:sz w:val="24"/>
                <w:szCs w:val="24"/>
              </w:rPr>
              <w:t>+OBF+Pse</w:t>
            </w:r>
            <w:proofErr w:type="spellEnd"/>
          </w:p>
        </w:tc>
        <w:tc>
          <w:tcPr>
            <w:tcW w:w="1620" w:type="dxa"/>
          </w:tcPr>
          <w:p w14:paraId="1F7F02A5"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15.71±2.13</w:t>
            </w:r>
            <w:r>
              <w:rPr>
                <w:rFonts w:ascii="Times New Roman" w:hAnsi="Times New Roman" w:cs="Times New Roman"/>
                <w:sz w:val="24"/>
                <w:szCs w:val="24"/>
                <w:vertAlign w:val="superscript"/>
              </w:rPr>
              <w:t>abc</w:t>
            </w:r>
          </w:p>
        </w:tc>
        <w:tc>
          <w:tcPr>
            <w:tcW w:w="1620" w:type="dxa"/>
          </w:tcPr>
          <w:p w14:paraId="66952D09"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3.33±2.91</w:t>
            </w:r>
            <w:r>
              <w:rPr>
                <w:rFonts w:ascii="Times New Roman" w:hAnsi="Times New Roman" w:cs="Times New Roman"/>
                <w:sz w:val="24"/>
                <w:szCs w:val="24"/>
                <w:vertAlign w:val="superscript"/>
              </w:rPr>
              <w:t>a</w:t>
            </w:r>
          </w:p>
        </w:tc>
        <w:tc>
          <w:tcPr>
            <w:tcW w:w="1620" w:type="dxa"/>
          </w:tcPr>
          <w:p w14:paraId="03ED9BD9"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4.98±3.19</w:t>
            </w:r>
            <w:r>
              <w:rPr>
                <w:rFonts w:ascii="Times New Roman" w:hAnsi="Times New Roman" w:cs="Times New Roman"/>
                <w:sz w:val="24"/>
                <w:szCs w:val="24"/>
                <w:vertAlign w:val="superscript"/>
              </w:rPr>
              <w:t>cdef</w:t>
            </w:r>
          </w:p>
        </w:tc>
        <w:tc>
          <w:tcPr>
            <w:tcW w:w="1440" w:type="dxa"/>
          </w:tcPr>
          <w:p w14:paraId="4D8084AF"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2.00±0.88</w:t>
            </w:r>
            <w:r>
              <w:rPr>
                <w:rFonts w:ascii="Times New Roman" w:hAnsi="Times New Roman" w:cs="Times New Roman"/>
                <w:sz w:val="24"/>
                <w:szCs w:val="24"/>
                <w:vertAlign w:val="superscript"/>
              </w:rPr>
              <w:t>a</w:t>
            </w:r>
          </w:p>
        </w:tc>
      </w:tr>
      <w:tr w:rsidR="009005E0" w:rsidRPr="00FD5377" w14:paraId="6B6EF18D" w14:textId="77777777" w:rsidTr="00603FEA">
        <w:tc>
          <w:tcPr>
            <w:tcW w:w="1345" w:type="dxa"/>
          </w:tcPr>
          <w:p w14:paraId="7EF4A2B9"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T5</w:t>
            </w:r>
          </w:p>
        </w:tc>
        <w:tc>
          <w:tcPr>
            <w:tcW w:w="2790" w:type="dxa"/>
          </w:tcPr>
          <w:p w14:paraId="0A13A10D"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MW+OBF+FW</w:t>
            </w:r>
          </w:p>
        </w:tc>
        <w:tc>
          <w:tcPr>
            <w:tcW w:w="1620" w:type="dxa"/>
          </w:tcPr>
          <w:p w14:paraId="2E161D5B"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9.66±1.22</w:t>
            </w:r>
            <w:r>
              <w:rPr>
                <w:rFonts w:ascii="Times New Roman" w:hAnsi="Times New Roman" w:cs="Times New Roman"/>
                <w:sz w:val="24"/>
                <w:szCs w:val="24"/>
                <w:vertAlign w:val="superscript"/>
              </w:rPr>
              <w:t>bcdef</w:t>
            </w:r>
          </w:p>
        </w:tc>
        <w:tc>
          <w:tcPr>
            <w:tcW w:w="1620" w:type="dxa"/>
          </w:tcPr>
          <w:p w14:paraId="2170F74A"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3.22±2.34</w:t>
            </w:r>
            <w:r>
              <w:rPr>
                <w:rFonts w:ascii="Times New Roman" w:hAnsi="Times New Roman" w:cs="Times New Roman"/>
                <w:sz w:val="24"/>
                <w:szCs w:val="24"/>
                <w:vertAlign w:val="superscript"/>
              </w:rPr>
              <w:t>a</w:t>
            </w:r>
          </w:p>
        </w:tc>
        <w:tc>
          <w:tcPr>
            <w:tcW w:w="1620" w:type="dxa"/>
          </w:tcPr>
          <w:p w14:paraId="05CB9373"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9.08±3.65</w:t>
            </w:r>
            <w:r>
              <w:rPr>
                <w:rFonts w:ascii="Times New Roman" w:hAnsi="Times New Roman" w:cs="Times New Roman"/>
                <w:sz w:val="24"/>
                <w:szCs w:val="24"/>
                <w:vertAlign w:val="superscript"/>
              </w:rPr>
              <w:t>abcdef</w:t>
            </w:r>
          </w:p>
        </w:tc>
        <w:tc>
          <w:tcPr>
            <w:tcW w:w="1440" w:type="dxa"/>
          </w:tcPr>
          <w:p w14:paraId="6DE453C7"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2.56±0.19</w:t>
            </w:r>
            <w:r>
              <w:rPr>
                <w:rFonts w:ascii="Times New Roman" w:hAnsi="Times New Roman" w:cs="Times New Roman"/>
                <w:sz w:val="24"/>
                <w:szCs w:val="24"/>
                <w:vertAlign w:val="superscript"/>
              </w:rPr>
              <w:t>a</w:t>
            </w:r>
          </w:p>
        </w:tc>
      </w:tr>
      <w:tr w:rsidR="009005E0" w:rsidRPr="00FD5377" w14:paraId="2E863F0A" w14:textId="77777777" w:rsidTr="00603FEA">
        <w:tc>
          <w:tcPr>
            <w:tcW w:w="1345" w:type="dxa"/>
          </w:tcPr>
          <w:p w14:paraId="1A359C98"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T6</w:t>
            </w:r>
          </w:p>
        </w:tc>
        <w:tc>
          <w:tcPr>
            <w:tcW w:w="2790" w:type="dxa"/>
          </w:tcPr>
          <w:p w14:paraId="15C53C20"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MW+OBF+FW+Bac</w:t>
            </w:r>
            <w:proofErr w:type="spellEnd"/>
          </w:p>
        </w:tc>
        <w:tc>
          <w:tcPr>
            <w:tcW w:w="1620" w:type="dxa"/>
          </w:tcPr>
          <w:p w14:paraId="4AA06759"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12.06±2.94</w:t>
            </w:r>
            <w:r>
              <w:rPr>
                <w:rFonts w:ascii="Times New Roman" w:hAnsi="Times New Roman" w:cs="Times New Roman"/>
                <w:sz w:val="24"/>
                <w:szCs w:val="24"/>
                <w:vertAlign w:val="superscript"/>
              </w:rPr>
              <w:t>abcd</w:t>
            </w:r>
          </w:p>
        </w:tc>
        <w:tc>
          <w:tcPr>
            <w:tcW w:w="1620" w:type="dxa"/>
          </w:tcPr>
          <w:p w14:paraId="06A9A55D"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3.67±1.76</w:t>
            </w:r>
            <w:r>
              <w:rPr>
                <w:rFonts w:ascii="Times New Roman" w:hAnsi="Times New Roman" w:cs="Times New Roman"/>
                <w:sz w:val="24"/>
                <w:szCs w:val="24"/>
                <w:vertAlign w:val="superscript"/>
              </w:rPr>
              <w:t>a</w:t>
            </w:r>
          </w:p>
        </w:tc>
        <w:tc>
          <w:tcPr>
            <w:tcW w:w="1620" w:type="dxa"/>
          </w:tcPr>
          <w:p w14:paraId="3539A712"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11.06±4.58</w:t>
            </w:r>
            <w:r>
              <w:rPr>
                <w:rFonts w:ascii="Times New Roman" w:hAnsi="Times New Roman" w:cs="Times New Roman"/>
                <w:sz w:val="24"/>
                <w:szCs w:val="24"/>
                <w:vertAlign w:val="superscript"/>
              </w:rPr>
              <w:t>abcd</w:t>
            </w:r>
          </w:p>
        </w:tc>
        <w:tc>
          <w:tcPr>
            <w:tcW w:w="1440" w:type="dxa"/>
          </w:tcPr>
          <w:p w14:paraId="7FCB1F8C"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2.11±0.38</w:t>
            </w:r>
            <w:r>
              <w:rPr>
                <w:rFonts w:ascii="Times New Roman" w:hAnsi="Times New Roman" w:cs="Times New Roman"/>
                <w:sz w:val="24"/>
                <w:szCs w:val="24"/>
                <w:vertAlign w:val="superscript"/>
              </w:rPr>
              <w:t>a</w:t>
            </w:r>
          </w:p>
        </w:tc>
      </w:tr>
      <w:tr w:rsidR="009005E0" w:rsidRPr="00FD5377" w14:paraId="0D27AB76" w14:textId="77777777" w:rsidTr="00603FEA">
        <w:tc>
          <w:tcPr>
            <w:tcW w:w="1345" w:type="dxa"/>
          </w:tcPr>
          <w:p w14:paraId="6F2D1BCD"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T7</w:t>
            </w:r>
          </w:p>
        </w:tc>
        <w:tc>
          <w:tcPr>
            <w:tcW w:w="2790" w:type="dxa"/>
          </w:tcPr>
          <w:p w14:paraId="30907804"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MW+OBF+FW+Pse</w:t>
            </w:r>
            <w:proofErr w:type="spellEnd"/>
          </w:p>
        </w:tc>
        <w:tc>
          <w:tcPr>
            <w:tcW w:w="1620" w:type="dxa"/>
          </w:tcPr>
          <w:p w14:paraId="315904B3"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11.96±1.67</w:t>
            </w:r>
            <w:r>
              <w:rPr>
                <w:rFonts w:ascii="Times New Roman" w:hAnsi="Times New Roman" w:cs="Times New Roman"/>
                <w:sz w:val="24"/>
                <w:szCs w:val="24"/>
                <w:vertAlign w:val="superscript"/>
              </w:rPr>
              <w:t>abcd</w:t>
            </w:r>
          </w:p>
        </w:tc>
        <w:tc>
          <w:tcPr>
            <w:tcW w:w="1620" w:type="dxa"/>
          </w:tcPr>
          <w:p w14:paraId="3F16194D"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3.78±1.92</w:t>
            </w:r>
            <w:r>
              <w:rPr>
                <w:rFonts w:ascii="Times New Roman" w:hAnsi="Times New Roman" w:cs="Times New Roman"/>
                <w:sz w:val="24"/>
                <w:szCs w:val="24"/>
                <w:vertAlign w:val="superscript"/>
              </w:rPr>
              <w:t>a</w:t>
            </w:r>
          </w:p>
        </w:tc>
        <w:tc>
          <w:tcPr>
            <w:tcW w:w="1620" w:type="dxa"/>
          </w:tcPr>
          <w:p w14:paraId="4DD56362"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12.84±1.55</w:t>
            </w:r>
            <w:r>
              <w:rPr>
                <w:rFonts w:ascii="Times New Roman" w:hAnsi="Times New Roman" w:cs="Times New Roman"/>
                <w:sz w:val="24"/>
                <w:szCs w:val="24"/>
                <w:vertAlign w:val="superscript"/>
              </w:rPr>
              <w:t>abc</w:t>
            </w:r>
          </w:p>
        </w:tc>
        <w:tc>
          <w:tcPr>
            <w:tcW w:w="1440" w:type="dxa"/>
          </w:tcPr>
          <w:p w14:paraId="0E527A3A" w14:textId="77777777" w:rsidR="00683B5A" w:rsidRPr="009907F1"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1.440.77</w:t>
            </w:r>
            <w:r>
              <w:rPr>
                <w:rFonts w:ascii="Times New Roman" w:hAnsi="Times New Roman" w:cs="Times New Roman"/>
                <w:sz w:val="24"/>
                <w:szCs w:val="24"/>
                <w:vertAlign w:val="superscript"/>
              </w:rPr>
              <w:t>a</w:t>
            </w:r>
          </w:p>
        </w:tc>
      </w:tr>
      <w:tr w:rsidR="009005E0" w:rsidRPr="00FD5377" w14:paraId="7C776258" w14:textId="77777777" w:rsidTr="00603FEA">
        <w:tc>
          <w:tcPr>
            <w:tcW w:w="1345" w:type="dxa"/>
          </w:tcPr>
          <w:p w14:paraId="45E97DAC"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T8</w:t>
            </w:r>
          </w:p>
        </w:tc>
        <w:tc>
          <w:tcPr>
            <w:tcW w:w="2790" w:type="dxa"/>
          </w:tcPr>
          <w:p w14:paraId="298704FB"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MW+OBF+FW+Bac+Pse</w:t>
            </w:r>
            <w:proofErr w:type="spellEnd"/>
          </w:p>
        </w:tc>
        <w:tc>
          <w:tcPr>
            <w:tcW w:w="1620" w:type="dxa"/>
          </w:tcPr>
          <w:p w14:paraId="3BD6CE53"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10.63±2.38</w:t>
            </w:r>
            <w:r>
              <w:rPr>
                <w:rFonts w:ascii="Times New Roman" w:hAnsi="Times New Roman" w:cs="Times New Roman"/>
                <w:sz w:val="24"/>
                <w:szCs w:val="24"/>
                <w:vertAlign w:val="superscript"/>
              </w:rPr>
              <w:t>a</w:t>
            </w:r>
          </w:p>
        </w:tc>
        <w:tc>
          <w:tcPr>
            <w:tcW w:w="1620" w:type="dxa"/>
          </w:tcPr>
          <w:p w14:paraId="3AB62862"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2.22±0.77</w:t>
            </w:r>
            <w:r>
              <w:rPr>
                <w:rFonts w:ascii="Times New Roman" w:hAnsi="Times New Roman" w:cs="Times New Roman"/>
                <w:sz w:val="24"/>
                <w:szCs w:val="24"/>
                <w:vertAlign w:val="superscript"/>
              </w:rPr>
              <w:t>a</w:t>
            </w:r>
          </w:p>
        </w:tc>
        <w:tc>
          <w:tcPr>
            <w:tcW w:w="1620" w:type="dxa"/>
          </w:tcPr>
          <w:p w14:paraId="79381675"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11.64±1.11</w:t>
            </w:r>
            <w:r>
              <w:rPr>
                <w:rFonts w:ascii="Times New Roman" w:hAnsi="Times New Roman" w:cs="Times New Roman"/>
                <w:sz w:val="24"/>
                <w:szCs w:val="24"/>
                <w:vertAlign w:val="superscript"/>
              </w:rPr>
              <w:t>abc</w:t>
            </w:r>
          </w:p>
        </w:tc>
        <w:tc>
          <w:tcPr>
            <w:tcW w:w="1440" w:type="dxa"/>
          </w:tcPr>
          <w:p w14:paraId="77C2850E" w14:textId="77777777" w:rsidR="00683B5A" w:rsidRPr="009907F1"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1.67±0.58</w:t>
            </w:r>
            <w:r>
              <w:rPr>
                <w:rFonts w:ascii="Times New Roman" w:hAnsi="Times New Roman" w:cs="Times New Roman"/>
                <w:sz w:val="24"/>
                <w:szCs w:val="24"/>
                <w:vertAlign w:val="superscript"/>
              </w:rPr>
              <w:t>a</w:t>
            </w:r>
          </w:p>
        </w:tc>
      </w:tr>
      <w:tr w:rsidR="009005E0" w:rsidRPr="00FD5377" w14:paraId="178624B1" w14:textId="77777777" w:rsidTr="00603FEA">
        <w:tc>
          <w:tcPr>
            <w:tcW w:w="1345" w:type="dxa"/>
          </w:tcPr>
          <w:p w14:paraId="0B04B857" w14:textId="77777777" w:rsidR="00683B5A" w:rsidRDefault="00683B5A" w:rsidP="0093464C">
            <w:pPr>
              <w:spacing w:line="360" w:lineRule="auto"/>
              <w:rPr>
                <w:rFonts w:ascii="Times New Roman" w:hAnsi="Times New Roman" w:cs="Times New Roman"/>
                <w:sz w:val="24"/>
                <w:szCs w:val="24"/>
              </w:rPr>
            </w:pPr>
          </w:p>
        </w:tc>
        <w:tc>
          <w:tcPr>
            <w:tcW w:w="2790" w:type="dxa"/>
          </w:tcPr>
          <w:p w14:paraId="4F20AA83"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p-value</w:t>
            </w:r>
          </w:p>
        </w:tc>
        <w:tc>
          <w:tcPr>
            <w:tcW w:w="1620" w:type="dxa"/>
          </w:tcPr>
          <w:p w14:paraId="333A3351" w14:textId="77777777" w:rsidR="00683B5A" w:rsidRPr="002B30B4" w:rsidRDefault="00683B5A" w:rsidP="0093464C">
            <w:pPr>
              <w:spacing w:line="360" w:lineRule="auto"/>
              <w:rPr>
                <w:rFonts w:ascii="Times New Roman" w:hAnsi="Times New Roman" w:cs="Times New Roman"/>
                <w:sz w:val="24"/>
                <w:szCs w:val="24"/>
              </w:rPr>
            </w:pPr>
            <w:r w:rsidRPr="00543CFD">
              <w:rPr>
                <w:rFonts w:ascii="Times New Roman" w:hAnsi="Times New Roman" w:cs="Times New Roman"/>
                <w:sz w:val="24"/>
                <w:szCs w:val="24"/>
              </w:rPr>
              <w:t>&lt;.0001</w:t>
            </w:r>
            <w:r>
              <w:rPr>
                <w:rFonts w:ascii="Times New Roman" w:hAnsi="Times New Roman" w:cs="Times New Roman"/>
                <w:sz w:val="24"/>
                <w:szCs w:val="24"/>
              </w:rPr>
              <w:t xml:space="preserve"> </w:t>
            </w:r>
          </w:p>
        </w:tc>
        <w:tc>
          <w:tcPr>
            <w:tcW w:w="1620" w:type="dxa"/>
          </w:tcPr>
          <w:p w14:paraId="5ACF6817" w14:textId="77777777" w:rsidR="00683B5A" w:rsidRPr="002B30B4" w:rsidRDefault="00683B5A" w:rsidP="0093464C">
            <w:pPr>
              <w:spacing w:line="360" w:lineRule="auto"/>
              <w:rPr>
                <w:rFonts w:ascii="Times New Roman" w:hAnsi="Times New Roman" w:cs="Times New Roman"/>
                <w:sz w:val="24"/>
                <w:szCs w:val="24"/>
              </w:rPr>
            </w:pPr>
            <w:r w:rsidRPr="00543CFD">
              <w:rPr>
                <w:rFonts w:ascii="Times New Roman" w:hAnsi="Times New Roman" w:cs="Times New Roman"/>
                <w:sz w:val="24"/>
                <w:szCs w:val="24"/>
              </w:rPr>
              <w:t>0.3546</w:t>
            </w:r>
          </w:p>
        </w:tc>
        <w:tc>
          <w:tcPr>
            <w:tcW w:w="1620" w:type="dxa"/>
          </w:tcPr>
          <w:p w14:paraId="61D92700" w14:textId="77777777" w:rsidR="00683B5A" w:rsidRPr="002B30B4" w:rsidRDefault="00683B5A" w:rsidP="0093464C">
            <w:pPr>
              <w:spacing w:line="360" w:lineRule="auto"/>
              <w:rPr>
                <w:rFonts w:ascii="Times New Roman" w:hAnsi="Times New Roman" w:cs="Times New Roman"/>
                <w:sz w:val="24"/>
                <w:szCs w:val="24"/>
              </w:rPr>
            </w:pPr>
            <w:r w:rsidRPr="00543CFD">
              <w:rPr>
                <w:rFonts w:ascii="Times New Roman" w:hAnsi="Times New Roman" w:cs="Times New Roman"/>
                <w:sz w:val="24"/>
                <w:szCs w:val="24"/>
              </w:rPr>
              <w:t>&lt;.0001</w:t>
            </w:r>
          </w:p>
        </w:tc>
        <w:tc>
          <w:tcPr>
            <w:tcW w:w="1440" w:type="dxa"/>
          </w:tcPr>
          <w:p w14:paraId="62BA1360"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0.7036</w:t>
            </w:r>
          </w:p>
        </w:tc>
      </w:tr>
    </w:tbl>
    <w:bookmarkEnd w:id="13"/>
    <w:bookmarkEnd w:id="14"/>
    <w:p w14:paraId="79F37134" w14:textId="4CA926D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180E94">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180E94">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180E94">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 xml:space="preserve">aeruginosa EB38 </w:t>
      </w:r>
      <w:r w:rsidRPr="00E73476">
        <w:rPr>
          <w:rFonts w:ascii="Times New Roman" w:eastAsia="Calibri" w:hAnsi="Times New Roman" w:cs="Times New Roman"/>
          <w:b/>
          <w:bCs/>
          <w:i/>
          <w:iCs/>
          <w:kern w:val="0"/>
          <w14:ligatures w14:val="none"/>
        </w:rPr>
        <w:t xml:space="preserve">      </w:t>
      </w:r>
    </w:p>
    <w:p w14:paraId="0B4AC4D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4E6E23C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725F618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502E83B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2380CCF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1F4306E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696BAA98" w14:textId="3ECAA2C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The result (Fig. 2) suggests that the addition of microbial inoculants (</w:t>
      </w:r>
      <w:r w:rsidRPr="008D0259">
        <w:rPr>
          <w:rFonts w:ascii="Times New Roman" w:eastAsia="Calibri" w:hAnsi="Times New Roman" w:cs="Times New Roman"/>
          <w:i/>
          <w:iCs/>
          <w:kern w:val="0"/>
          <w14:ligatures w14:val="none"/>
        </w:rPr>
        <w:t>Pseudomonas</w:t>
      </w:r>
      <w:r w:rsidRPr="00E73476">
        <w:rPr>
          <w:rFonts w:ascii="Times New Roman" w:eastAsia="Calibri" w:hAnsi="Times New Roman" w:cs="Times New Roman"/>
          <w:kern w:val="0"/>
          <w14:ligatures w14:val="none"/>
        </w:rPr>
        <w:t xml:space="preserve"> </w:t>
      </w:r>
      <w:r w:rsidRPr="008D0259">
        <w:rPr>
          <w:rFonts w:ascii="Times New Roman" w:eastAsia="Calibri" w:hAnsi="Times New Roman" w:cs="Times New Roman"/>
          <w:i/>
          <w:iCs/>
          <w:kern w:val="0"/>
          <w14:ligatures w14:val="none"/>
        </w:rPr>
        <w:t>aeruginosa</w:t>
      </w:r>
      <w:r w:rsidR="008D0259">
        <w:rPr>
          <w:rFonts w:ascii="Times New Roman" w:eastAsia="Calibri" w:hAnsi="Times New Roman" w:cs="Times New Roman"/>
          <w:kern w:val="0"/>
          <w14:ligatures w14:val="none"/>
        </w:rPr>
        <w:t xml:space="preserve"> and</w:t>
      </w:r>
      <w:r w:rsidR="008D0259" w:rsidRPr="008D0259">
        <w:rPr>
          <w:rFonts w:ascii="Times New Roman" w:eastAsia="Calibri" w:hAnsi="Times New Roman" w:cs="Times New Roman"/>
          <w:kern w:val="0"/>
          <w14:ligatures w14:val="none"/>
        </w:rPr>
        <w:t xml:space="preserve"> </w:t>
      </w:r>
      <w:r w:rsidR="008D0259" w:rsidRPr="008D0259">
        <w:rPr>
          <w:rFonts w:ascii="Times New Roman" w:eastAsia="Calibri" w:hAnsi="Times New Roman" w:cs="Times New Roman"/>
          <w:i/>
          <w:iCs/>
          <w:kern w:val="0"/>
          <w14:ligatures w14:val="none"/>
        </w:rPr>
        <w:t xml:space="preserve">Bacillus </w:t>
      </w:r>
      <w:proofErr w:type="spellStart"/>
      <w:r w:rsidR="008D0259" w:rsidRPr="008D0259">
        <w:rPr>
          <w:rFonts w:ascii="Times New Roman" w:eastAsia="Calibri" w:hAnsi="Times New Roman" w:cs="Times New Roman"/>
          <w:i/>
          <w:iCs/>
          <w:kern w:val="0"/>
          <w14:ligatures w14:val="none"/>
        </w:rPr>
        <w:t>safensis</w:t>
      </w:r>
      <w:proofErr w:type="spellEnd"/>
      <w:r w:rsidRPr="00E73476">
        <w:rPr>
          <w:rFonts w:ascii="Times New Roman" w:eastAsia="Calibri" w:hAnsi="Times New Roman" w:cs="Times New Roman"/>
          <w:kern w:val="0"/>
          <w14:ligatures w14:val="none"/>
        </w:rPr>
        <w:t>) and fish waste (FW) significantly enhanced the growth of microorganisms, leading to increased biodegradation of drilling fluids. The increase in THB (Total Heterotrophic Bacteria) counts in treatments with microbial inoculants and fish waste indicates a boost in bacterial growth, which is essential for biodegradation. The consistent TFC (Total Fungal Counts) across treatments suggests that fungal growth was not significantly impacted by the additions. The increase in DFUF (Drilling Fluid Utilizing Fungi) and DFUB (Drilling Fluid Utilizing Bacteria) counts in treatments with microbial inoculants and fish waste indicates enhanced utilization of drilling fluids by microorganisms, leading to improved biodegradation. The highest microbial counts were observed in treatments with the combination of microbial inoculants and fish waste, suggesting a synergistic effect between the two.</w:t>
      </w:r>
    </w:p>
    <w:p w14:paraId="627C86A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p>
    <w:p w14:paraId="5E466AB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sectPr w:rsidR="00E73476" w:rsidRPr="00E73476" w:rsidSect="00E73476">
          <w:pgSz w:w="12240" w:h="15840"/>
          <w:pgMar w:top="1282" w:right="1440" w:bottom="1440" w:left="1440" w:header="720" w:footer="720" w:gutter="0"/>
          <w:cols w:space="720"/>
          <w:docGrid w:linePitch="360"/>
        </w:sectPr>
      </w:pPr>
    </w:p>
    <w:p w14:paraId="4E77E0B7" w14:textId="49B67DDB" w:rsidR="00E73476" w:rsidRPr="00E73476" w:rsidRDefault="00DE2B11"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Pr>
          <w:noProof/>
        </w:rPr>
        <w:lastRenderedPageBreak/>
        <w:drawing>
          <wp:inline distT="0" distB="0" distL="0" distR="0" wp14:anchorId="79071837" wp14:editId="2038F822">
            <wp:extent cx="4572000" cy="2743200"/>
            <wp:effectExtent l="0" t="0" r="0" b="0"/>
            <wp:docPr id="1188593193" name="Chart 1">
              <a:extLst xmlns:a="http://schemas.openxmlformats.org/drawingml/2006/main">
                <a:ext uri="{FF2B5EF4-FFF2-40B4-BE49-F238E27FC236}">
                  <a16:creationId xmlns:a16="http://schemas.microsoft.com/office/drawing/2014/main" id="{87D723A6-3772-9A8D-C4E8-0B4BD19D1D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F4B33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Figure 2.: Efficiency of the Different Bioaugmenting Organisms (</w:t>
      </w:r>
      <w:r w:rsidRPr="00E73476">
        <w:rPr>
          <w:rFonts w:ascii="Times New Roman" w:eastAsia="Calibri" w:hAnsi="Times New Roman" w:cs="Times New Roman"/>
          <w:b/>
          <w:bCs/>
          <w:i/>
          <w:iCs/>
          <w:kern w:val="0"/>
          <w14:ligatures w14:val="none"/>
        </w:rPr>
        <w:t>Pseudomonas</w:t>
      </w:r>
      <w:r w:rsidRPr="00E73476">
        <w:rPr>
          <w:rFonts w:ascii="Times New Roman" w:eastAsia="Calibri" w:hAnsi="Times New Roman" w:cs="Times New Roman"/>
          <w:b/>
          <w:bCs/>
          <w:kern w:val="0"/>
          <w14:ligatures w14:val="none"/>
        </w:rPr>
        <w:t xml:space="preserve"> and </w:t>
      </w:r>
      <w:r w:rsidRPr="00E73476">
        <w:rPr>
          <w:rFonts w:ascii="Times New Roman" w:eastAsia="Calibri" w:hAnsi="Times New Roman" w:cs="Times New Roman"/>
          <w:b/>
          <w:bCs/>
          <w:kern w:val="0"/>
          <w14:ligatures w14:val="none"/>
        </w:rPr>
        <w:tab/>
      </w:r>
      <w:r w:rsidRPr="00E73476">
        <w:rPr>
          <w:rFonts w:ascii="Times New Roman" w:eastAsia="Calibri" w:hAnsi="Times New Roman" w:cs="Times New Roman"/>
          <w:b/>
          <w:bCs/>
          <w:i/>
          <w:iCs/>
          <w:kern w:val="0"/>
          <w14:ligatures w14:val="none"/>
        </w:rPr>
        <w:t>Bacillus</w:t>
      </w:r>
      <w:r w:rsidRPr="00E73476">
        <w:rPr>
          <w:rFonts w:ascii="Times New Roman" w:eastAsia="Calibri" w:hAnsi="Times New Roman" w:cs="Times New Roman"/>
          <w:b/>
          <w:bCs/>
          <w:kern w:val="0"/>
          <w14:ligatures w14:val="none"/>
        </w:rPr>
        <w:t>) and Biostimulating agent (Fish Waste)</w:t>
      </w:r>
    </w:p>
    <w:p w14:paraId="318BD338" w14:textId="619CC7B2"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highest % efficiency of biodegradation in the experimental set up was observed in the treatment </w:t>
      </w:r>
      <w:proofErr w:type="spellStart"/>
      <w:r w:rsidRPr="00E73476">
        <w:rPr>
          <w:rFonts w:ascii="Times New Roman" w:eastAsia="Calibri" w:hAnsi="Times New Roman" w:cs="Times New Roman"/>
          <w:kern w:val="0"/>
          <w14:ligatures w14:val="none"/>
        </w:rPr>
        <w:t>MW+</w:t>
      </w:r>
      <w:r w:rsidR="008D0259">
        <w:rPr>
          <w:rFonts w:ascii="Times New Roman" w:eastAsia="Calibri" w:hAnsi="Times New Roman" w:cs="Times New Roman"/>
          <w:kern w:val="0"/>
          <w14:ligatures w14:val="none"/>
        </w:rPr>
        <w:t>O</w:t>
      </w:r>
      <w:r w:rsidRPr="00E73476">
        <w:rPr>
          <w:rFonts w:ascii="Times New Roman" w:eastAsia="Calibri" w:hAnsi="Times New Roman" w:cs="Times New Roman"/>
          <w:kern w:val="0"/>
          <w14:ligatures w14:val="none"/>
        </w:rPr>
        <w:t>BF+</w:t>
      </w:r>
      <w:r w:rsidR="008D0259">
        <w:rPr>
          <w:rFonts w:ascii="Times New Roman" w:eastAsia="Calibri" w:hAnsi="Times New Roman" w:cs="Times New Roman"/>
          <w:kern w:val="0"/>
          <w14:ligatures w14:val="none"/>
        </w:rPr>
        <w:t>Pse</w:t>
      </w:r>
      <w:proofErr w:type="spellEnd"/>
      <w:r w:rsidR="008D0259">
        <w:rPr>
          <w:rFonts w:ascii="Times New Roman" w:eastAsia="Calibri" w:hAnsi="Times New Roman" w:cs="Times New Roman"/>
          <w:kern w:val="0"/>
          <w14:ligatures w14:val="none"/>
        </w:rPr>
        <w:t xml:space="preserve"> with 32.70%</w:t>
      </w:r>
      <w:r w:rsidRPr="00E73476">
        <w:rPr>
          <w:rFonts w:ascii="Times New Roman" w:eastAsia="Calibri" w:hAnsi="Times New Roman" w:cs="Times New Roman"/>
          <w:kern w:val="0"/>
          <w14:ligatures w14:val="none"/>
        </w:rPr>
        <w:t xml:space="preserve"> while the least percentage of 3</w:t>
      </w:r>
      <w:r w:rsidR="00BA397E">
        <w:rPr>
          <w:rFonts w:ascii="Times New Roman" w:eastAsia="Calibri" w:hAnsi="Times New Roman" w:cs="Times New Roman"/>
          <w:kern w:val="0"/>
          <w14:ligatures w14:val="none"/>
        </w:rPr>
        <w:t>0</w:t>
      </w:r>
      <w:r w:rsidRPr="00E73476">
        <w:rPr>
          <w:rFonts w:ascii="Times New Roman" w:eastAsia="Calibri" w:hAnsi="Times New Roman" w:cs="Times New Roman"/>
          <w:kern w:val="0"/>
          <w14:ligatures w14:val="none"/>
        </w:rPr>
        <w:t>.</w:t>
      </w:r>
      <w:r w:rsidR="00BA397E">
        <w:rPr>
          <w:rFonts w:ascii="Times New Roman" w:eastAsia="Calibri" w:hAnsi="Times New Roman" w:cs="Times New Roman"/>
          <w:kern w:val="0"/>
          <w14:ligatures w14:val="none"/>
        </w:rPr>
        <w:t>05</w:t>
      </w:r>
      <w:r w:rsidRPr="00E73476">
        <w:rPr>
          <w:rFonts w:ascii="Times New Roman" w:eastAsia="Calibri" w:hAnsi="Times New Roman" w:cs="Times New Roman"/>
          <w:kern w:val="0"/>
          <w14:ligatures w14:val="none"/>
        </w:rPr>
        <w:t>% was observed in MW+</w:t>
      </w:r>
      <w:r w:rsidR="00BA397E">
        <w:rPr>
          <w:rFonts w:ascii="Times New Roman" w:eastAsia="Calibri" w:hAnsi="Times New Roman" w:cs="Times New Roman"/>
          <w:kern w:val="0"/>
          <w14:ligatures w14:val="none"/>
        </w:rPr>
        <w:t>O</w:t>
      </w:r>
      <w:r w:rsidRPr="00E73476">
        <w:rPr>
          <w:rFonts w:ascii="Times New Roman" w:eastAsia="Calibri" w:hAnsi="Times New Roman" w:cs="Times New Roman"/>
          <w:kern w:val="0"/>
          <w14:ligatures w14:val="none"/>
        </w:rPr>
        <w:t>BF+FW as shown in Fig. 3</w:t>
      </w:r>
    </w:p>
    <w:p w14:paraId="5C32D273" w14:textId="11DACE35"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BA397E">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BA397E">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BA397E">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 xml:space="preserve">aeruginosa EB38 </w:t>
      </w:r>
      <w:r w:rsidRPr="00E73476">
        <w:rPr>
          <w:rFonts w:ascii="Times New Roman" w:eastAsia="Calibri" w:hAnsi="Times New Roman" w:cs="Times New Roman"/>
          <w:b/>
          <w:bCs/>
          <w:i/>
          <w:iCs/>
          <w:kern w:val="0"/>
          <w14:ligatures w14:val="none"/>
        </w:rPr>
        <w:t xml:space="preserve">            </w:t>
      </w:r>
    </w:p>
    <w:p w14:paraId="24C06E1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54BC91D" w14:textId="0D9B8D78" w:rsidR="00E73476" w:rsidRPr="00E73476" w:rsidRDefault="00DE2B11"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0C7C32">
        <w:rPr>
          <w:noProof/>
          <w:highlight w:val="yellow"/>
        </w:rPr>
        <w:drawing>
          <wp:inline distT="0" distB="0" distL="0" distR="0" wp14:anchorId="238EEAB2" wp14:editId="1649667E">
            <wp:extent cx="4572000" cy="2984500"/>
            <wp:effectExtent l="0" t="0" r="0" b="6350"/>
            <wp:docPr id="1555654703" name="Chart 1">
              <a:extLst xmlns:a="http://schemas.openxmlformats.org/drawingml/2006/main">
                <a:ext uri="{FF2B5EF4-FFF2-40B4-BE49-F238E27FC236}">
                  <a16:creationId xmlns:a16="http://schemas.microsoft.com/office/drawing/2014/main" id="{9DB49104-C804-4C4B-BCAA-D9082099C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6F1AD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Figure 3: Percentage (%) Efficiency of the Bioaugmenting Organisms (Pseudomonas and Bacillus) and Biostimulating Agent (Fish Waste)</w:t>
      </w:r>
    </w:p>
    <w:p w14:paraId="0C6500D3" w14:textId="3DEAA18D"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BA397E">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BA397E">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BA397E">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 xml:space="preserve">aeruginosa EB38 </w:t>
      </w:r>
      <w:r w:rsidRPr="00E73476">
        <w:rPr>
          <w:rFonts w:ascii="Times New Roman" w:eastAsia="Calibri" w:hAnsi="Times New Roman" w:cs="Times New Roman"/>
          <w:b/>
          <w:bCs/>
          <w:i/>
          <w:iCs/>
          <w:kern w:val="0"/>
          <w14:ligatures w14:val="none"/>
        </w:rPr>
        <w:t xml:space="preserve">             </w:t>
      </w:r>
    </w:p>
    <w:p w14:paraId="19DD4EE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713D9F8C" w14:textId="77777777" w:rsidR="00DE2B11" w:rsidRDefault="00DE2B11"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97708AF" w14:textId="77777777" w:rsidR="00DE2B11" w:rsidRDefault="00DE2B11"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5A28F338" w14:textId="641EB79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lastRenderedPageBreak/>
        <w:t>Discussion</w:t>
      </w:r>
    </w:p>
    <w:p w14:paraId="70079C7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The marine water sample exhibited a neutral pH of 7.6, which is within the optimal range for microbial growth (Atlas &amp; Bartha, 1998). The elevated temperature of 30°C was conducive to microbial growth, consistent with Madigan et al. (2017). However, the high levels of total dissolved solids (59330 mg/L) and electrical conductivity (12300 µS/cm) may potentially impact microbial activity, deviating from the optimal conditions reported by Clesceri et al. (1998). The low total suspended solids (0.01 mg/L) and undetectable levels of chlorine and bromine (&lt;0.01 mg/L) indicated minimal particulate matter and disinfectant presence, aligning with Prince et al. (2010). The high alkalinity (3322.48 µeq/L) and hardness (4033.43 mg/L) may influence microbial growth and enzyme activity (Sterner and Elser, 2002). The low salinity (7.5 mg/L) and turbidity (0.013 NTU) suggested a relatively clear water sample, contrasting with the higher levels reported in marine environments by Head et al. (2006). The low dissolved oxygen level (2 mg/L) may limit aerobic microbial growth (Madigan et al., 2017). The biochemical oxygen demand (1.94 mg/L) and chemical oxygen demand (3.41 mg/L) were low, indicating minimal organic pollution (Prince et al., 2010). The nutrient levels, including nitrate (1.982 mg/L), sulphate (0.929 mg/L), and phosphate (0.231 mg/L), were low, potentially limiting microbial growth, consistent with Sterner and Elser (2002). However, the high total hydrocarbon content (220 mg/L) may support the growth of hydrocarbon-degrading microorganisms (Head et al., 2006). The marine water sample exhibited a robust microbial population, indicative of a high potential for biodegradation of drilling fluids (Madigan et al., 2017). The total heterotrophic bacteria count of 1.45 ± 0.06 x 10^9 CFU/mL agrees with Atlas and Bartha (1998), who reported substantial biodegradation capacity at similar bacterial densities. The presence of drilling fluids utilizing bacteria (1.07 ± 0.08 x 10^5 CFU/mL</w:t>
      </w:r>
      <w:proofErr w:type="gramStart"/>
      <w:r w:rsidRPr="00E73476">
        <w:rPr>
          <w:rFonts w:ascii="Times New Roman" w:eastAsia="Calibri" w:hAnsi="Times New Roman" w:cs="Times New Roman"/>
          <w:bCs/>
          <w:kern w:val="0"/>
          <w14:ligatures w14:val="none"/>
        </w:rPr>
        <w:t>)</w:t>
      </w:r>
      <w:proofErr w:type="gramEnd"/>
      <w:r w:rsidRPr="00E73476">
        <w:rPr>
          <w:rFonts w:ascii="Times New Roman" w:eastAsia="Calibri" w:hAnsi="Times New Roman" w:cs="Times New Roman"/>
          <w:bCs/>
          <w:kern w:val="0"/>
          <w14:ligatures w14:val="none"/>
        </w:rPr>
        <w:t xml:space="preserve"> and fungi (5.67 ± 0.58 x 10^3 CFU/mL) further substantiates the water sample's biodegradation potential. These microorganisms can break down and utilize drilling fluids, contributing to environmental remediation efforts, as reported by Prince et al. (2010). The total fungi count of 1.45 ± 0.47 x 10^5 CFU/mL is noteworthy, as fungi play a crucial role in decomposing organic matter (Sterner and Elser, 2002). The coexistence of bacteria and fungi in the water sample suggests a synergistic relationship, enhancing biodegradation capabilities, </w:t>
      </w:r>
      <w:proofErr w:type="gramStart"/>
      <w:r w:rsidRPr="00E73476">
        <w:rPr>
          <w:rFonts w:ascii="Times New Roman" w:eastAsia="Calibri" w:hAnsi="Times New Roman" w:cs="Times New Roman"/>
          <w:bCs/>
          <w:kern w:val="0"/>
          <w14:ligatures w14:val="none"/>
        </w:rPr>
        <w:t>similar to</w:t>
      </w:r>
      <w:proofErr w:type="gramEnd"/>
      <w:r w:rsidRPr="00E73476">
        <w:rPr>
          <w:rFonts w:ascii="Times New Roman" w:eastAsia="Calibri" w:hAnsi="Times New Roman" w:cs="Times New Roman"/>
          <w:bCs/>
          <w:kern w:val="0"/>
          <w14:ligatures w14:val="none"/>
        </w:rPr>
        <w:t xml:space="preserve"> Clesceri et al. (1998). The microbial population's composition and density indicate a high potential for biodegradation of drilling fluids, making this marine water sample a suitable candidate for bioremediation efforts. The fish waste sample exhibited a slightly elevated temperature (31.83°C) compared to the marine water sample, suggesting potential microbial activity, consistent with Madigan et al. (2017). The pH of 6.28, slightly acidic, may favor the growth of specific microorganisms (Atlas and Bartha, 1998). The high electrical conductivity (13150 µS/cm) and total dissolved solids (65780 mg/L) indicate a highly concentrated solution, potentially impacting microbial growth and enzyme activity, consistent with Clesceri et al. (1998). Moderate levels of organic pollution were observed, with a biochemical oxygen demand (BOD) of 4.6 mg/L and chemical oxygen demand (COD) of 8.11 mg/L, indicating potential biodegradation capabilities, </w:t>
      </w:r>
      <w:proofErr w:type="gramStart"/>
      <w:r w:rsidRPr="00E73476">
        <w:rPr>
          <w:rFonts w:ascii="Times New Roman" w:eastAsia="Calibri" w:hAnsi="Times New Roman" w:cs="Times New Roman"/>
          <w:bCs/>
          <w:kern w:val="0"/>
          <w14:ligatures w14:val="none"/>
        </w:rPr>
        <w:t>similar to</w:t>
      </w:r>
      <w:proofErr w:type="gramEnd"/>
      <w:r w:rsidRPr="00E73476">
        <w:rPr>
          <w:rFonts w:ascii="Times New Roman" w:eastAsia="Calibri" w:hAnsi="Times New Roman" w:cs="Times New Roman"/>
          <w:bCs/>
          <w:kern w:val="0"/>
          <w14:ligatures w14:val="none"/>
        </w:rPr>
        <w:t xml:space="preserve"> Prince et al. (2010). Nutrient levels were relatively low, with nitrate (12.3 mg/L), phosphate (0.38 mg/L), and sulphate (0.05 mg/L) present in limited quantities, potentially limiting microbial growth, consistent with Sterner and Elser (2002). However, high levels of total hydrocarbon content (192.67 mg/L) were detected, posing potential environmental concerns due to toxicity and persistence, agreeing with Head et al. (2006).</w:t>
      </w:r>
    </w:p>
    <w:p w14:paraId="6F0B258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19AB75D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Microbial analysis revealed moderate total heterotrophic bacteria (THB) counts (1.21±6.56 </w:t>
      </w:r>
      <w:proofErr w:type="spellStart"/>
      <w:r w:rsidRPr="00E73476">
        <w:rPr>
          <w:rFonts w:ascii="Times New Roman" w:eastAsia="Calibri" w:hAnsi="Times New Roman" w:cs="Times New Roman"/>
          <w:bCs/>
          <w:kern w:val="0"/>
          <w14:ligatures w14:val="none"/>
        </w:rPr>
        <w:t>cfu</w:t>
      </w:r>
      <w:proofErr w:type="spellEnd"/>
      <w:r w:rsidRPr="00E73476">
        <w:rPr>
          <w:rFonts w:ascii="Times New Roman" w:eastAsia="Calibri" w:hAnsi="Times New Roman" w:cs="Times New Roman"/>
          <w:bCs/>
          <w:kern w:val="0"/>
          <w14:ligatures w14:val="none"/>
        </w:rPr>
        <w:t>/ml</w:t>
      </w:r>
      <w:proofErr w:type="gramStart"/>
      <w:r w:rsidRPr="00E73476">
        <w:rPr>
          <w:rFonts w:ascii="Times New Roman" w:eastAsia="Calibri" w:hAnsi="Times New Roman" w:cs="Times New Roman"/>
          <w:bCs/>
          <w:kern w:val="0"/>
          <w14:ligatures w14:val="none"/>
        </w:rPr>
        <w:t>)</w:t>
      </w:r>
      <w:proofErr w:type="gramEnd"/>
      <w:r w:rsidRPr="00E73476">
        <w:rPr>
          <w:rFonts w:ascii="Times New Roman" w:eastAsia="Calibri" w:hAnsi="Times New Roman" w:cs="Times New Roman"/>
          <w:bCs/>
          <w:kern w:val="0"/>
          <w14:ligatures w14:val="none"/>
        </w:rPr>
        <w:t xml:space="preserve"> and relatively high total fungi counts (TFC) (6.67±1.53 </w:t>
      </w:r>
      <w:proofErr w:type="spellStart"/>
      <w:r w:rsidRPr="00E73476">
        <w:rPr>
          <w:rFonts w:ascii="Times New Roman" w:eastAsia="Calibri" w:hAnsi="Times New Roman" w:cs="Times New Roman"/>
          <w:bCs/>
          <w:kern w:val="0"/>
          <w14:ligatures w14:val="none"/>
        </w:rPr>
        <w:t>cfu</w:t>
      </w:r>
      <w:proofErr w:type="spellEnd"/>
      <w:r w:rsidRPr="00E73476">
        <w:rPr>
          <w:rFonts w:ascii="Times New Roman" w:eastAsia="Calibri" w:hAnsi="Times New Roman" w:cs="Times New Roman"/>
          <w:bCs/>
          <w:kern w:val="0"/>
          <w14:ligatures w14:val="none"/>
        </w:rPr>
        <w:t>/ml), indicating potential biodegradation capabilities (Madigan et al., 2017). The fish waste sample's microbial population and physicochemical parameters suggest a moderate potential for biodegradation, with potential environmental concerns due to high hydrocarbon levels.</w:t>
      </w:r>
    </w:p>
    <w:p w14:paraId="61D4DC8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The marine water isolates, both pre- and post-contamination with drilling fluids, exhibited a diverse array of biochemical and morphological characteristics, agreeing with Madigan et al. (2017). The </w:t>
      </w:r>
      <w:r w:rsidRPr="00E73476">
        <w:rPr>
          <w:rFonts w:ascii="Times New Roman" w:eastAsia="Calibri" w:hAnsi="Times New Roman" w:cs="Times New Roman"/>
          <w:bCs/>
          <w:kern w:val="0"/>
          <w14:ligatures w14:val="none"/>
        </w:rPr>
        <w:lastRenderedPageBreak/>
        <w:t>presence of bacterial species such as Pseudomonas sp., Bacillus sp., Proteus sp., and Micrococcus sp. is consistent with Atlas and Bartha (1998), who reported these genera as common in marine environments. The fungal genera, including Aspergillus sp., Penicillium sp., Mucor sp., Rhizopus sp., Candida sp., and Saccharomyces sp., align with Sterner and Elser (2002), who implicated these genera in decomposition and biodegradation processes. The diverse microbial population in the marine water sample suggests a high potential for biodegradation of drilling fluids, as reported by Head et al. (2006). The presence of these microorganisms before and after contamination indicates their adaptability and ability to thrive in environments with high levels of drilling fluids (Prince et al., 2010). Overall, the microbial diversity in the marine water sample showed its potential for bioremediation and environmental remediation efforts, highlighting the importance of harnessing indigenous microorganisms for pollution mitigation.</w:t>
      </w:r>
    </w:p>
    <w:p w14:paraId="3E1CE097" w14:textId="2B628A2F"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During biodegradation monitoring, significant changes in physicochemical characteristics were observed. Temperature ranged from 29.80°C to 30.37°C, indicating minimal thermal impact, </w:t>
      </w:r>
      <w:proofErr w:type="gramStart"/>
      <w:r w:rsidRPr="00E73476">
        <w:rPr>
          <w:rFonts w:ascii="Times New Roman" w:eastAsia="Calibri" w:hAnsi="Times New Roman" w:cs="Times New Roman"/>
          <w:bCs/>
          <w:kern w:val="0"/>
          <w14:ligatures w14:val="none"/>
        </w:rPr>
        <w:t>similar to</w:t>
      </w:r>
      <w:proofErr w:type="gramEnd"/>
      <w:r w:rsidRPr="00E73476">
        <w:rPr>
          <w:rFonts w:ascii="Times New Roman" w:eastAsia="Calibri" w:hAnsi="Times New Roman" w:cs="Times New Roman"/>
          <w:bCs/>
          <w:kern w:val="0"/>
          <w14:ligatures w14:val="none"/>
        </w:rPr>
        <w:t xml:space="preserve"> Madigan et al. (2017). pH levels ranged from 6.92 to 7.20, suggesting a slightly acidic to neutral environment, aligning with Atlas and Bartha (1998). Total Dissolved Solids (TDS) increased significantly, from 26465 mg/L to 65577 mg/L, indicating a substantial increase in dissolved substances. Electrical Conductivity (EC) values ranged from 12590 µS/cm to 48950 µS/cm, suggesting a significant increase in ionic strength, </w:t>
      </w:r>
      <w:proofErr w:type="gramStart"/>
      <w:r w:rsidRPr="00E73476">
        <w:rPr>
          <w:rFonts w:ascii="Times New Roman" w:eastAsia="Calibri" w:hAnsi="Times New Roman" w:cs="Times New Roman"/>
          <w:bCs/>
          <w:kern w:val="0"/>
          <w14:ligatures w14:val="none"/>
        </w:rPr>
        <w:t>similar to</w:t>
      </w:r>
      <w:proofErr w:type="gramEnd"/>
      <w:r w:rsidRPr="00E73476">
        <w:rPr>
          <w:rFonts w:ascii="Times New Roman" w:eastAsia="Calibri" w:hAnsi="Times New Roman" w:cs="Times New Roman"/>
          <w:bCs/>
          <w:kern w:val="0"/>
          <w14:ligatures w14:val="none"/>
        </w:rPr>
        <w:t xml:space="preserve"> Clesceri et al. (1998). Dissolved Oxygen (DO) levels ranged from 2.08 mg/L to 5.32 mg/L, indicating a moderate increase in oxygen availability. Biological Oxygen Demand (BOD) values increased from 0.76 mg/L to 3.44 mg/L, suggesting a significant increase in organic pollution. Nutrient levels and organic pollution indicators varied across treatments, with nitrate levels increasing significantly, from 0.46 mg/L to 3.89 mg/L, indicating potential nitrogen enrichment. Phosphate levels showed a moderate increase, from 0.01 mg/L to 0.23 mg/L, suggesting potential phosphorus enrichment. Sulphate levels remained relatively consistent, ranging from 0.23 to 0.27 mg/L, indicating minimal changes in </w:t>
      </w:r>
      <w:r w:rsidR="00D90F42" w:rsidRPr="00E73476">
        <w:rPr>
          <w:rFonts w:ascii="Times New Roman" w:eastAsia="Calibri" w:hAnsi="Times New Roman" w:cs="Times New Roman"/>
          <w:bCs/>
          <w:kern w:val="0"/>
          <w14:ligatures w14:val="none"/>
        </w:rPr>
        <w:t>Sulphur</w:t>
      </w:r>
      <w:r w:rsidRPr="00E73476">
        <w:rPr>
          <w:rFonts w:ascii="Times New Roman" w:eastAsia="Calibri" w:hAnsi="Times New Roman" w:cs="Times New Roman"/>
          <w:bCs/>
          <w:kern w:val="0"/>
          <w14:ligatures w14:val="none"/>
        </w:rPr>
        <w:t xml:space="preserve"> compounds. Chemical Oxygen Demand (COD) levels increased significantly, from 1.22 mg/L to 6.32 mg/L, indicating a substantial increase in organic pollution. Total Hydrocarbon Content (THC) levels showed a dramatic increase, from 124.44 mg/L to 1966.89 mg/L, indicating significant hydrocarbon contamination. Biodegradation of THC was observed in all treatments over 28 days, with the highest percentage of bioremediation achieved in Treatment T</w:t>
      </w:r>
      <w:r w:rsidR="00D90F42">
        <w:rPr>
          <w:rFonts w:ascii="Times New Roman" w:eastAsia="Calibri" w:hAnsi="Times New Roman" w:cs="Times New Roman"/>
          <w:bCs/>
          <w:kern w:val="0"/>
          <w14:ligatures w14:val="none"/>
        </w:rPr>
        <w:t xml:space="preserve">4 </w:t>
      </w:r>
      <w:r w:rsidRPr="00E73476">
        <w:rPr>
          <w:rFonts w:ascii="Times New Roman" w:eastAsia="Calibri" w:hAnsi="Times New Roman" w:cs="Times New Roman"/>
          <w:bCs/>
          <w:kern w:val="0"/>
          <w14:ligatures w14:val="none"/>
        </w:rPr>
        <w:t>(</w:t>
      </w:r>
      <w:proofErr w:type="spellStart"/>
      <w:r w:rsidRPr="00E73476">
        <w:rPr>
          <w:rFonts w:ascii="Times New Roman" w:eastAsia="Calibri" w:hAnsi="Times New Roman" w:cs="Times New Roman"/>
          <w:bCs/>
          <w:kern w:val="0"/>
          <w14:ligatures w14:val="none"/>
        </w:rPr>
        <w:t>MW+</w:t>
      </w:r>
      <w:r w:rsidR="00D90F42">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BF+</w:t>
      </w:r>
      <w:r w:rsidR="00D90F42">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at 98.</w:t>
      </w:r>
      <w:r w:rsidR="00D90F42">
        <w:rPr>
          <w:rFonts w:ascii="Times New Roman" w:eastAsia="Calibri" w:hAnsi="Times New Roman" w:cs="Times New Roman"/>
          <w:bCs/>
          <w:kern w:val="0"/>
          <w14:ligatures w14:val="none"/>
        </w:rPr>
        <w:t>79</w:t>
      </w:r>
      <w:r w:rsidRPr="00E73476">
        <w:rPr>
          <w:rFonts w:ascii="Times New Roman" w:eastAsia="Calibri" w:hAnsi="Times New Roman" w:cs="Times New Roman"/>
          <w:bCs/>
          <w:kern w:val="0"/>
          <w14:ligatures w14:val="none"/>
        </w:rPr>
        <w:t xml:space="preserve">%, suggesting that Bacillus </w:t>
      </w:r>
      <w:proofErr w:type="spellStart"/>
      <w:r w:rsidRPr="00E73476">
        <w:rPr>
          <w:rFonts w:ascii="Times New Roman" w:eastAsia="Calibri" w:hAnsi="Times New Roman" w:cs="Times New Roman"/>
          <w:bCs/>
          <w:kern w:val="0"/>
          <w14:ligatures w14:val="none"/>
        </w:rPr>
        <w:t>safensis</w:t>
      </w:r>
      <w:proofErr w:type="spellEnd"/>
      <w:r w:rsidRPr="00E73476">
        <w:rPr>
          <w:rFonts w:ascii="Times New Roman" w:eastAsia="Calibri" w:hAnsi="Times New Roman" w:cs="Times New Roman"/>
          <w:bCs/>
          <w:kern w:val="0"/>
          <w14:ligatures w14:val="none"/>
        </w:rPr>
        <w:t xml:space="preserve"> significantly enhanced THC biodegradation.</w:t>
      </w:r>
    </w:p>
    <w:p w14:paraId="74E0C78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EDCCD4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Conclusion </w:t>
      </w:r>
    </w:p>
    <w:p w14:paraId="17BC25EA" w14:textId="14652BCA"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The marine water sample exhibited a diverse range of microorganisms, with a high potential for biodegradation of drilling fluids. The presence of bacterial species such as </w:t>
      </w:r>
      <w:r w:rsidRPr="00D90F42">
        <w:rPr>
          <w:rFonts w:ascii="Times New Roman" w:eastAsia="Calibri" w:hAnsi="Times New Roman" w:cs="Times New Roman"/>
          <w:bCs/>
          <w:i/>
          <w:iCs/>
          <w:kern w:val="0"/>
          <w14:ligatures w14:val="none"/>
        </w:rPr>
        <w:t>Pseudomonas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Bacillus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Proteus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and </w:t>
      </w:r>
      <w:r w:rsidRPr="00D90F42">
        <w:rPr>
          <w:rFonts w:ascii="Times New Roman" w:eastAsia="Calibri" w:hAnsi="Times New Roman" w:cs="Times New Roman"/>
          <w:bCs/>
          <w:i/>
          <w:iCs/>
          <w:kern w:val="0"/>
          <w14:ligatures w14:val="none"/>
        </w:rPr>
        <w:t>Micrococcus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as well as fungal genera including </w:t>
      </w:r>
      <w:r w:rsidRPr="00D90F42">
        <w:rPr>
          <w:rFonts w:ascii="Times New Roman" w:eastAsia="Calibri" w:hAnsi="Times New Roman" w:cs="Times New Roman"/>
          <w:bCs/>
          <w:i/>
          <w:iCs/>
          <w:kern w:val="0"/>
          <w14:ligatures w14:val="none"/>
        </w:rPr>
        <w:t>Aspergillus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Penicillium</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Mucor</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Rhizopus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Candida</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and </w:t>
      </w:r>
      <w:r w:rsidRPr="00D90F42">
        <w:rPr>
          <w:rFonts w:ascii="Times New Roman" w:eastAsia="Calibri" w:hAnsi="Times New Roman" w:cs="Times New Roman"/>
          <w:bCs/>
          <w:i/>
          <w:iCs/>
          <w:kern w:val="0"/>
          <w14:ligatures w14:val="none"/>
        </w:rPr>
        <w:t>Saccharomyces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indicates a high potential for bioremediation and environmental remediation efforts. The addition of microbial inoculants (</w:t>
      </w:r>
      <w:r w:rsidRPr="00D90F42">
        <w:rPr>
          <w:rFonts w:ascii="Times New Roman" w:eastAsia="Calibri" w:hAnsi="Times New Roman" w:cs="Times New Roman"/>
          <w:bCs/>
          <w:i/>
          <w:iCs/>
          <w:kern w:val="0"/>
          <w14:ligatures w14:val="none"/>
        </w:rPr>
        <w:t xml:space="preserve">Bacillus </w:t>
      </w:r>
      <w:proofErr w:type="spellStart"/>
      <w:r w:rsidRPr="00D90F42">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kern w:val="0"/>
          <w14:ligatures w14:val="none"/>
        </w:rPr>
        <w:t xml:space="preserve"> and </w:t>
      </w:r>
      <w:r w:rsidRPr="00D90F42">
        <w:rPr>
          <w:rFonts w:ascii="Times New Roman" w:eastAsia="Calibri" w:hAnsi="Times New Roman" w:cs="Times New Roman"/>
          <w:bCs/>
          <w:i/>
          <w:iCs/>
          <w:kern w:val="0"/>
          <w14:ligatures w14:val="none"/>
        </w:rPr>
        <w:t>Pseudomonas aeruginosa</w:t>
      </w:r>
      <w:r w:rsidRPr="00E73476">
        <w:rPr>
          <w:rFonts w:ascii="Times New Roman" w:eastAsia="Calibri" w:hAnsi="Times New Roman" w:cs="Times New Roman"/>
          <w:bCs/>
          <w:kern w:val="0"/>
          <w14:ligatures w14:val="none"/>
        </w:rPr>
        <w:t>) and fish waste (FW) significantly enhanced the biodegradation of Total Hydrocarbon Content (THC), with the highest percentage of bioremediation achieved in Treatment T</w:t>
      </w:r>
      <w:r w:rsidR="00D90F42">
        <w:rPr>
          <w:rFonts w:ascii="Times New Roman" w:eastAsia="Calibri" w:hAnsi="Times New Roman" w:cs="Times New Roman"/>
          <w:bCs/>
          <w:kern w:val="0"/>
          <w14:ligatures w14:val="none"/>
        </w:rPr>
        <w:t>4</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MW+</w:t>
      </w:r>
      <w:r w:rsidR="00D90F42">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BF+</w:t>
      </w:r>
      <w:r w:rsidR="00D90F42">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at 98.</w:t>
      </w:r>
      <w:r w:rsidR="00D90F42">
        <w:rPr>
          <w:rFonts w:ascii="Times New Roman" w:eastAsia="Calibri" w:hAnsi="Times New Roman" w:cs="Times New Roman"/>
          <w:bCs/>
          <w:kern w:val="0"/>
          <w14:ligatures w14:val="none"/>
        </w:rPr>
        <w:t>79</w:t>
      </w:r>
      <w:r w:rsidRPr="00E73476">
        <w:rPr>
          <w:rFonts w:ascii="Times New Roman" w:eastAsia="Calibri" w:hAnsi="Times New Roman" w:cs="Times New Roman"/>
          <w:bCs/>
          <w:kern w:val="0"/>
          <w14:ligatures w14:val="none"/>
        </w:rPr>
        <w:t xml:space="preserve">%. </w:t>
      </w:r>
      <w:bookmarkStart w:id="15" w:name="_Hlk174527898"/>
      <w:r w:rsidRPr="00E73476">
        <w:rPr>
          <w:rFonts w:ascii="Times New Roman" w:eastAsia="Calibri" w:hAnsi="Times New Roman" w:cs="Times New Roman"/>
          <w:bCs/>
          <w:kern w:val="0"/>
          <w14:ligatures w14:val="none"/>
        </w:rPr>
        <w:t xml:space="preserve">The results suggest that microbial inoculants and fish waste can be effective amendments for enhancing the biodegradation of THC in drilling fluids, with potential applications in environmental remediation. </w:t>
      </w:r>
      <w:bookmarkEnd w:id="15"/>
    </w:p>
    <w:p w14:paraId="280744E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Recommendation </w:t>
      </w:r>
    </w:p>
    <w:p w14:paraId="39EBCD14" w14:textId="24388C10"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The use of microbial inoculants, such as </w:t>
      </w:r>
      <w:r w:rsidRPr="00D90F42">
        <w:rPr>
          <w:rFonts w:ascii="Times New Roman" w:eastAsia="Calibri" w:hAnsi="Times New Roman" w:cs="Times New Roman"/>
          <w:bCs/>
          <w:i/>
          <w:iCs/>
          <w:kern w:val="0"/>
          <w14:ligatures w14:val="none"/>
        </w:rPr>
        <w:t>Pseudomonas aeruginosa</w:t>
      </w:r>
      <w:r w:rsidR="00D90F42">
        <w:rPr>
          <w:rFonts w:ascii="Times New Roman" w:eastAsia="Calibri" w:hAnsi="Times New Roman" w:cs="Times New Roman"/>
          <w:bCs/>
          <w:kern w:val="0"/>
          <w14:ligatures w14:val="none"/>
        </w:rPr>
        <w:t xml:space="preserve"> and</w:t>
      </w:r>
      <w:r w:rsidR="00D90F42" w:rsidRPr="00D90F42">
        <w:rPr>
          <w:rFonts w:ascii="Times New Roman" w:eastAsia="Calibri" w:hAnsi="Times New Roman" w:cs="Times New Roman"/>
          <w:bCs/>
          <w:kern w:val="0"/>
          <w14:ligatures w14:val="none"/>
        </w:rPr>
        <w:t xml:space="preserve"> </w:t>
      </w:r>
      <w:r w:rsidR="00D90F42" w:rsidRPr="00D90F42">
        <w:rPr>
          <w:rFonts w:ascii="Times New Roman" w:eastAsia="Calibri" w:hAnsi="Times New Roman" w:cs="Times New Roman"/>
          <w:bCs/>
          <w:i/>
          <w:iCs/>
          <w:kern w:val="0"/>
          <w14:ligatures w14:val="none"/>
        </w:rPr>
        <w:t xml:space="preserve">Bacillus </w:t>
      </w:r>
      <w:proofErr w:type="spellStart"/>
      <w:r w:rsidR="00D90F42" w:rsidRPr="00D90F42">
        <w:rPr>
          <w:rFonts w:ascii="Times New Roman" w:eastAsia="Calibri" w:hAnsi="Times New Roman" w:cs="Times New Roman"/>
          <w:bCs/>
          <w:i/>
          <w:iCs/>
          <w:kern w:val="0"/>
          <w14:ligatures w14:val="none"/>
        </w:rPr>
        <w:t>safensis</w:t>
      </w:r>
      <w:proofErr w:type="spellEnd"/>
      <w:r w:rsidR="00D90F42" w:rsidRPr="00D90F42">
        <w:rPr>
          <w:rFonts w:ascii="Times New Roman" w:eastAsia="Calibri" w:hAnsi="Times New Roman" w:cs="Times New Roman"/>
          <w:bCs/>
          <w:kern w:val="0"/>
          <w14:ligatures w14:val="none"/>
        </w:rPr>
        <w:t xml:space="preserve"> and</w:t>
      </w:r>
      <w:r w:rsidRPr="00E73476">
        <w:rPr>
          <w:rFonts w:ascii="Times New Roman" w:eastAsia="Calibri" w:hAnsi="Times New Roman" w:cs="Times New Roman"/>
          <w:bCs/>
          <w:kern w:val="0"/>
          <w14:ligatures w14:val="none"/>
        </w:rPr>
        <w:t xml:space="preserve">, and fish waste should be considered to enhance the biodegradation of Total Hydrocarbon Content in drilling fluids. Further research is needed to optimize the conditions for biodegradation, including temperature, pH, and nutrient levels. Bioremediation efforts should be monitored to assess their effectiveness in mitigating the impacts of drilling fluids on marine ecosystems. The potential for fish waste to serve as a nutrient source for microbial growth should be further investigated. Additional microbial species should be explored for their potential to contribute to the </w:t>
      </w:r>
      <w:r w:rsidRPr="00E73476">
        <w:rPr>
          <w:rFonts w:ascii="Times New Roman" w:eastAsia="Calibri" w:hAnsi="Times New Roman" w:cs="Times New Roman"/>
          <w:bCs/>
          <w:kern w:val="0"/>
          <w14:ligatures w14:val="none"/>
        </w:rPr>
        <w:lastRenderedPageBreak/>
        <w:t>biodegradation of drilling fluids. A comprehensive remediation strategy should be developed and implemented, incorporating bioremediation in conjunction with other methods to ensure environmental protection.</w:t>
      </w:r>
    </w:p>
    <w:p w14:paraId="28A7ABA7" w14:textId="77777777" w:rsidR="00FE48EC" w:rsidRDefault="00FE48EC"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2B8DFFF2" w14:textId="77777777" w:rsidR="00FE48EC" w:rsidRPr="00FE48EC" w:rsidRDefault="00FE48EC" w:rsidP="00FE48EC">
      <w:pPr>
        <w:spacing w:after="200" w:line="276" w:lineRule="auto"/>
        <w:rPr>
          <w:rFonts w:ascii="Calibri" w:eastAsia="Calibri" w:hAnsi="Calibri" w:cs="Times New Roman"/>
          <w:highlight w:val="yellow"/>
        </w:rPr>
      </w:pPr>
      <w:r w:rsidRPr="00FE48EC">
        <w:rPr>
          <w:rFonts w:ascii="Calibri" w:eastAsia="Calibri" w:hAnsi="Calibri" w:cs="Times New Roman"/>
          <w:highlight w:val="yellow"/>
        </w:rPr>
        <w:t>Disclaimer (Artificial intelligence)</w:t>
      </w:r>
    </w:p>
    <w:p w14:paraId="01A0A0FD" w14:textId="02B3D92C" w:rsidR="00FE48EC" w:rsidRPr="00FE48EC" w:rsidRDefault="00FE48EC" w:rsidP="00FE48EC">
      <w:pPr>
        <w:spacing w:after="200" w:line="276" w:lineRule="auto"/>
        <w:rPr>
          <w:rFonts w:ascii="Calibri" w:eastAsia="Calibri" w:hAnsi="Calibri" w:cs="Times New Roman"/>
          <w:highlight w:val="yellow"/>
        </w:rPr>
      </w:pPr>
      <w:r w:rsidRPr="00FE48EC">
        <w:rPr>
          <w:rFonts w:ascii="Calibri" w:eastAsia="Calibri" w:hAnsi="Calibri" w:cs="Times New Roman"/>
          <w:highlight w:val="yellow"/>
        </w:rPr>
        <w:t xml:space="preserve">Option 1: </w:t>
      </w:r>
    </w:p>
    <w:p w14:paraId="46F01FE2" w14:textId="2F3B75AD" w:rsidR="00FE48EC" w:rsidRPr="009977EB" w:rsidRDefault="00FE48EC" w:rsidP="00FE48EC">
      <w:pPr>
        <w:spacing w:after="200" w:line="276" w:lineRule="auto"/>
        <w:rPr>
          <w:rFonts w:ascii="Calibri" w:eastAsia="Calibri" w:hAnsi="Calibri" w:cs="Times New Roman"/>
          <w:highlight w:val="yellow"/>
        </w:rPr>
      </w:pPr>
      <w:r w:rsidRPr="00FE48EC">
        <w:rPr>
          <w:rFonts w:ascii="Calibri" w:eastAsia="Calibri" w:hAnsi="Calibri" w:cs="Times New Roman"/>
          <w:highlight w:val="yellow"/>
        </w:rPr>
        <w:t xml:space="preserve">Author(s) hereby </w:t>
      </w:r>
      <w:proofErr w:type="gramStart"/>
      <w:r w:rsidRPr="00FE48EC">
        <w:rPr>
          <w:rFonts w:ascii="Calibri" w:eastAsia="Calibri" w:hAnsi="Calibri" w:cs="Times New Roman"/>
          <w:highlight w:val="yellow"/>
        </w:rPr>
        <w:t>declare</w:t>
      </w:r>
      <w:proofErr w:type="gramEnd"/>
      <w:r w:rsidRPr="00FE48EC">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p w14:paraId="5F4963F1" w14:textId="77777777" w:rsidR="00FE48EC" w:rsidRPr="00E73476" w:rsidRDefault="00FE48EC"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26274CB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4CB6B0C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References</w:t>
      </w:r>
    </w:p>
    <w:p w14:paraId="17A92AF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4FE15F87"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Adewole, M. G., Taiwo, M. A. and </w:t>
      </w:r>
      <w:proofErr w:type="spellStart"/>
      <w:r w:rsidRPr="00E73476">
        <w:rPr>
          <w:rFonts w:ascii="Times New Roman" w:eastAsia="Calibri" w:hAnsi="Times New Roman" w:cs="Times New Roman"/>
          <w:kern w:val="0"/>
          <w14:ligatures w14:val="none"/>
        </w:rPr>
        <w:t>Eughele</w:t>
      </w:r>
      <w:proofErr w:type="spellEnd"/>
      <w:r w:rsidRPr="00E73476">
        <w:rPr>
          <w:rFonts w:ascii="Times New Roman" w:eastAsia="Calibri" w:hAnsi="Times New Roman" w:cs="Times New Roman"/>
          <w:kern w:val="0"/>
          <w14:ligatures w14:val="none"/>
        </w:rPr>
        <w:t xml:space="preserve">, U. (2010). Environmental aspect of oil and water-based drilling muds and cuttings from Dibi and Ewan </w:t>
      </w:r>
      <w:proofErr w:type="gramStart"/>
      <w:r w:rsidRPr="00E73476">
        <w:rPr>
          <w:rFonts w:ascii="Times New Roman" w:eastAsia="Calibri" w:hAnsi="Times New Roman" w:cs="Times New Roman"/>
          <w:kern w:val="0"/>
          <w14:ligatures w14:val="none"/>
        </w:rPr>
        <w:t>off-shore</w:t>
      </w:r>
      <w:proofErr w:type="gramEnd"/>
      <w:r w:rsidRPr="00E73476">
        <w:rPr>
          <w:rFonts w:ascii="Times New Roman" w:eastAsia="Calibri" w:hAnsi="Times New Roman" w:cs="Times New Roman"/>
          <w:kern w:val="0"/>
          <w14:ligatures w14:val="none"/>
        </w:rPr>
        <w:t xml:space="preserve"> wells in the Niger Delta, Nigeria. </w:t>
      </w:r>
      <w:r w:rsidRPr="00E73476">
        <w:rPr>
          <w:rFonts w:ascii="Times New Roman" w:eastAsia="Calibri" w:hAnsi="Times New Roman" w:cs="Times New Roman"/>
          <w:i/>
          <w:kern w:val="0"/>
          <w14:ligatures w14:val="none"/>
        </w:rPr>
        <w:t>African Journal of Environmental Science and Technology</w:t>
      </w:r>
      <w:r w:rsidRPr="00E73476">
        <w:rPr>
          <w:rFonts w:ascii="Times New Roman" w:eastAsia="Calibri" w:hAnsi="Times New Roman" w:cs="Times New Roman"/>
          <w:kern w:val="0"/>
          <w14:ligatures w14:val="none"/>
        </w:rPr>
        <w:t>.</w:t>
      </w:r>
      <w:r w:rsidRPr="00E73476">
        <w:rPr>
          <w:rFonts w:ascii="Times New Roman" w:eastAsia="Calibri" w:hAnsi="Times New Roman" w:cs="Times New Roman"/>
          <w:b/>
          <w:kern w:val="0"/>
          <w14:ligatures w14:val="none"/>
        </w:rPr>
        <w:t xml:space="preserve"> 4</w:t>
      </w:r>
      <w:r w:rsidRPr="00E73476">
        <w:rPr>
          <w:rFonts w:ascii="Times New Roman" w:eastAsia="Calibri" w:hAnsi="Times New Roman" w:cs="Times New Roman"/>
          <w:kern w:val="0"/>
          <w14:ligatures w14:val="none"/>
        </w:rPr>
        <w:t xml:space="preserve"> (5); 284–292. </w:t>
      </w:r>
    </w:p>
    <w:p w14:paraId="356C6A8F"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41AA12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American Public Health Association (APHA). (2012). Standard Methods for the Examination of Water and Wastewater, 23rd Edition, Washington D.C; c2012.</w:t>
      </w:r>
    </w:p>
    <w:p w14:paraId="5CA5FABC"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Atlas, R. M., &amp; Bartha, R. (1998). Microbial Ecology: Fundamentals and Applications. Benjamin Cummings.</w:t>
      </w:r>
    </w:p>
    <w:p w14:paraId="20227534"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7461974A" w14:textId="77777777" w:rsidR="00ED0CCD"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Ayotamuno</w:t>
      </w:r>
      <w:proofErr w:type="spellEnd"/>
      <w:r w:rsidRPr="00E73476">
        <w:rPr>
          <w:rFonts w:ascii="Times New Roman" w:eastAsia="Calibri" w:hAnsi="Times New Roman" w:cs="Times New Roman"/>
          <w:kern w:val="0"/>
          <w14:ligatures w14:val="none"/>
        </w:rPr>
        <w:t xml:space="preserve">, J. M., </w:t>
      </w:r>
      <w:proofErr w:type="spellStart"/>
      <w:r w:rsidRPr="00E73476">
        <w:rPr>
          <w:rFonts w:ascii="Times New Roman" w:eastAsia="Calibri" w:hAnsi="Times New Roman" w:cs="Times New Roman"/>
          <w:kern w:val="0"/>
          <w14:ligatures w14:val="none"/>
        </w:rPr>
        <w:t>Okparanma</w:t>
      </w:r>
      <w:proofErr w:type="spellEnd"/>
      <w:r w:rsidRPr="00E73476">
        <w:rPr>
          <w:rFonts w:ascii="Times New Roman" w:eastAsia="Calibri" w:hAnsi="Times New Roman" w:cs="Times New Roman"/>
          <w:kern w:val="0"/>
          <w14:ligatures w14:val="none"/>
        </w:rPr>
        <w:t xml:space="preserve">, R. N. and Araka, P. P, (2009). Bioaugmentation and composting of oil-field drill-cuttings containing polycyclic aromatic hydrocarbons (PAHs). </w:t>
      </w:r>
      <w:r w:rsidRPr="00E73476">
        <w:rPr>
          <w:rFonts w:ascii="Times New Roman" w:eastAsia="Calibri" w:hAnsi="Times New Roman" w:cs="Times New Roman"/>
          <w:i/>
          <w:kern w:val="0"/>
          <w14:ligatures w14:val="none"/>
        </w:rPr>
        <w:t>Journal of Food</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Agricultural and</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Environment.</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7</w:t>
      </w:r>
      <w:r w:rsidRPr="00E73476">
        <w:rPr>
          <w:rFonts w:ascii="Times New Roman" w:eastAsia="Calibri" w:hAnsi="Times New Roman" w:cs="Times New Roman"/>
          <w:kern w:val="0"/>
          <w14:ligatures w14:val="none"/>
        </w:rPr>
        <w:t xml:space="preserve"> (2); 658–664.</w:t>
      </w:r>
    </w:p>
    <w:p w14:paraId="6690F1C2" w14:textId="64F70AA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p>
    <w:p w14:paraId="61979C2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Clesceri, L. S., Greenberg, A. E., &amp; Eaton, A. D. (1998). Standard Methods for the Examination of Water and Wastewater. American Public Health Association.</w:t>
      </w:r>
    </w:p>
    <w:p w14:paraId="104E8DF7"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DesMarias, T. L. and Costa, M. (2019). Mechanisms of chromium-induced toxicity. </w:t>
      </w:r>
      <w:r w:rsidRPr="00E73476">
        <w:rPr>
          <w:rFonts w:ascii="Times New Roman" w:eastAsia="Calibri" w:hAnsi="Times New Roman" w:cs="Times New Roman"/>
          <w:i/>
          <w:kern w:val="0"/>
          <w14:ligatures w14:val="none"/>
        </w:rPr>
        <w:t>Current Opinion Toxicology</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14</w:t>
      </w:r>
      <w:r w:rsidRPr="00E73476">
        <w:rPr>
          <w:rFonts w:ascii="Times New Roman" w:eastAsia="Calibri" w:hAnsi="Times New Roman" w:cs="Times New Roman"/>
          <w:kern w:val="0"/>
          <w14:ligatures w14:val="none"/>
        </w:rPr>
        <w:t>; Pp. 1–7.</w:t>
      </w:r>
    </w:p>
    <w:p w14:paraId="1AFEF70E" w14:textId="77777777" w:rsidR="00ED0CCD"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576A6B3" w14:textId="3E53DCC6" w:rsidR="00A752FC" w:rsidRDefault="00A752FC"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A752FC">
        <w:rPr>
          <w:rFonts w:ascii="Times New Roman" w:eastAsia="Calibri" w:hAnsi="Times New Roman" w:cs="Times New Roman"/>
          <w:kern w:val="0"/>
          <w:highlight w:val="yellow"/>
          <w14:ligatures w14:val="none"/>
        </w:rPr>
        <w:t xml:space="preserve">Contreras-León, J. A., Duran, S., &amp; Orellana, J. (2013). Environmental effects of drilling fluids: A review. </w:t>
      </w:r>
      <w:r w:rsidRPr="00A752FC">
        <w:rPr>
          <w:rFonts w:ascii="Times New Roman" w:eastAsia="Calibri" w:hAnsi="Times New Roman" w:cs="Times New Roman"/>
          <w:i/>
          <w:iCs/>
          <w:kern w:val="0"/>
          <w:highlight w:val="yellow"/>
          <w14:ligatures w14:val="none"/>
        </w:rPr>
        <w:t>Environmental Toxicology and Chemistry</w:t>
      </w:r>
      <w:r w:rsidRPr="00A752FC">
        <w:rPr>
          <w:rFonts w:ascii="Times New Roman" w:eastAsia="Calibri" w:hAnsi="Times New Roman" w:cs="Times New Roman"/>
          <w:kern w:val="0"/>
          <w:highlight w:val="yellow"/>
          <w14:ligatures w14:val="none"/>
        </w:rPr>
        <w:t>.</w:t>
      </w:r>
      <w:r w:rsidRPr="00A752FC">
        <w:rPr>
          <w:rFonts w:ascii="Times New Roman" w:eastAsia="Calibri" w:hAnsi="Times New Roman" w:cs="Times New Roman"/>
          <w:b/>
          <w:bCs/>
          <w:kern w:val="0"/>
          <w:highlight w:val="yellow"/>
          <w14:ligatures w14:val="none"/>
        </w:rPr>
        <w:t xml:space="preserve"> 32</w:t>
      </w:r>
      <w:r w:rsidRPr="00A752FC">
        <w:rPr>
          <w:rFonts w:ascii="Times New Roman" w:eastAsia="Calibri" w:hAnsi="Times New Roman" w:cs="Times New Roman"/>
          <w:kern w:val="0"/>
          <w:highlight w:val="yellow"/>
          <w14:ligatures w14:val="none"/>
        </w:rPr>
        <w:t>(6), 1313-1321.</w:t>
      </w:r>
    </w:p>
    <w:p w14:paraId="0C3E71DA" w14:textId="77777777" w:rsidR="00A752FC" w:rsidRPr="00E73476" w:rsidRDefault="00A752FC"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30A8F1A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Fasinu</w:t>
      </w:r>
      <w:proofErr w:type="spellEnd"/>
      <w:r w:rsidRPr="00E73476">
        <w:rPr>
          <w:rFonts w:ascii="Times New Roman" w:eastAsia="Calibri" w:hAnsi="Times New Roman" w:cs="Times New Roman"/>
          <w:kern w:val="0"/>
          <w14:ligatures w14:val="none"/>
        </w:rPr>
        <w:t xml:space="preserve">, P. S. and </w:t>
      </w:r>
      <w:proofErr w:type="spellStart"/>
      <w:r w:rsidRPr="00E73476">
        <w:rPr>
          <w:rFonts w:ascii="Times New Roman" w:eastAsia="Calibri" w:hAnsi="Times New Roman" w:cs="Times New Roman"/>
          <w:kern w:val="0"/>
          <w14:ligatures w14:val="none"/>
        </w:rPr>
        <w:t>Orisakwe</w:t>
      </w:r>
      <w:proofErr w:type="spellEnd"/>
      <w:r w:rsidRPr="00E73476">
        <w:rPr>
          <w:rFonts w:ascii="Times New Roman" w:eastAsia="Calibri" w:hAnsi="Times New Roman" w:cs="Times New Roman"/>
          <w:kern w:val="0"/>
          <w14:ligatures w14:val="none"/>
        </w:rPr>
        <w:t xml:space="preserve">, O. E. (2013). Heavy Metal pollution in sub-Saharan Africa and possible implications in cancer epidemiology. </w:t>
      </w:r>
      <w:r w:rsidRPr="00E73476">
        <w:rPr>
          <w:rFonts w:ascii="Times New Roman" w:eastAsia="Calibri" w:hAnsi="Times New Roman" w:cs="Times New Roman"/>
          <w:i/>
          <w:kern w:val="0"/>
          <w14:ligatures w14:val="none"/>
        </w:rPr>
        <w:t>Asian Pacific Journal of Cancer Prevention</w:t>
      </w:r>
      <w:r w:rsidRPr="00E73476">
        <w:rPr>
          <w:rFonts w:ascii="Times New Roman" w:eastAsia="Calibri" w:hAnsi="Times New Roman" w:cs="Times New Roman"/>
          <w:b/>
          <w:kern w:val="0"/>
          <w14:ligatures w14:val="none"/>
        </w:rPr>
        <w:t>. 14</w:t>
      </w:r>
      <w:r w:rsidRPr="00E73476">
        <w:rPr>
          <w:rFonts w:ascii="Times New Roman" w:eastAsia="Calibri" w:hAnsi="Times New Roman" w:cs="Times New Roman"/>
          <w:kern w:val="0"/>
          <w14:ligatures w14:val="none"/>
        </w:rPr>
        <w:t xml:space="preserve"> (6); 3393–3402.</w:t>
      </w:r>
    </w:p>
    <w:p w14:paraId="163C5EA8"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C4A9078"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Furukawa, Y., Mukai, K. and Ohmura, K. (2017). Improved slant drilling well for in situ remediation of groundwater and soil at contaminated sites. </w:t>
      </w:r>
      <w:r w:rsidRPr="00E73476">
        <w:rPr>
          <w:rFonts w:ascii="Times New Roman" w:eastAsia="Calibri" w:hAnsi="Times New Roman" w:cs="Times New Roman"/>
          <w:i/>
          <w:kern w:val="0"/>
          <w14:ligatures w14:val="none"/>
        </w:rPr>
        <w:t>Journal of Environmental Science and Pollution Research</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24</w:t>
      </w:r>
      <w:r w:rsidRPr="00E73476">
        <w:rPr>
          <w:rFonts w:ascii="Times New Roman" w:eastAsia="Calibri" w:hAnsi="Times New Roman" w:cs="Times New Roman"/>
          <w:kern w:val="0"/>
          <w14:ligatures w14:val="none"/>
        </w:rPr>
        <w:t xml:space="preserve">; 6504–6511. </w:t>
      </w:r>
    </w:p>
    <w:p w14:paraId="6EEE9967" w14:textId="77777777" w:rsidR="002362E6" w:rsidRDefault="002362E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FDA2C01" w14:textId="549A5E1D" w:rsidR="002362E6" w:rsidRPr="002362E6" w:rsidRDefault="002362E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A752FC">
        <w:rPr>
          <w:rFonts w:ascii="Times New Roman" w:eastAsia="Calibri" w:hAnsi="Times New Roman" w:cs="Times New Roman"/>
          <w:kern w:val="0"/>
          <w:highlight w:val="yellow"/>
          <w14:ligatures w14:val="none"/>
        </w:rPr>
        <w:t>Gandhi, N., &amp; Sarkar, S. (2016). Drilling fluids and their environmental impact</w:t>
      </w:r>
      <w:r w:rsidRPr="00A752FC">
        <w:rPr>
          <w:rFonts w:ascii="Times New Roman" w:eastAsia="Calibri" w:hAnsi="Times New Roman" w:cs="Times New Roman"/>
          <w:i/>
          <w:iCs/>
          <w:kern w:val="0"/>
          <w:highlight w:val="yellow"/>
          <w14:ligatures w14:val="none"/>
        </w:rPr>
        <w:t>. Journal of Petroleum Exploration and Production Technology</w:t>
      </w:r>
      <w:r w:rsidRPr="00A752FC">
        <w:rPr>
          <w:rFonts w:ascii="Times New Roman" w:eastAsia="Calibri" w:hAnsi="Times New Roman" w:cs="Times New Roman"/>
          <w:kern w:val="0"/>
          <w:highlight w:val="yellow"/>
          <w14:ligatures w14:val="none"/>
        </w:rPr>
        <w:t>.</w:t>
      </w:r>
      <w:r w:rsidRPr="00A752FC">
        <w:rPr>
          <w:rFonts w:ascii="Times New Roman" w:eastAsia="Calibri" w:hAnsi="Times New Roman" w:cs="Times New Roman"/>
          <w:b/>
          <w:bCs/>
          <w:kern w:val="0"/>
          <w:highlight w:val="yellow"/>
          <w14:ligatures w14:val="none"/>
        </w:rPr>
        <w:t xml:space="preserve"> 6</w:t>
      </w:r>
      <w:r w:rsidRPr="00A752FC">
        <w:rPr>
          <w:rFonts w:ascii="Times New Roman" w:eastAsia="Calibri" w:hAnsi="Times New Roman" w:cs="Times New Roman"/>
          <w:kern w:val="0"/>
          <w:highlight w:val="yellow"/>
          <w14:ligatures w14:val="none"/>
        </w:rPr>
        <w:t>(2)</w:t>
      </w:r>
      <w:r w:rsidRPr="00A752FC">
        <w:rPr>
          <w:rFonts w:ascii="Times New Roman" w:eastAsia="Calibri" w:hAnsi="Times New Roman" w:cs="Times New Roman"/>
          <w:kern w:val="0"/>
          <w:highlight w:val="yellow"/>
          <w14:ligatures w14:val="none"/>
        </w:rPr>
        <w:t>;</w:t>
      </w:r>
      <w:r w:rsidRPr="00A752FC">
        <w:rPr>
          <w:rFonts w:ascii="Times New Roman" w:eastAsia="Calibri" w:hAnsi="Times New Roman" w:cs="Times New Roman"/>
          <w:kern w:val="0"/>
          <w:highlight w:val="yellow"/>
          <w14:ligatures w14:val="none"/>
        </w:rPr>
        <w:t xml:space="preserve"> 287-295.</w:t>
      </w:r>
    </w:p>
    <w:p w14:paraId="648E6FC0"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33952369"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lastRenderedPageBreak/>
        <w:t xml:space="preserve">Geier, D. A., King, P. G., Hooker, B. S., Dorea, J. G., Kern, J. K., Lisa, K. S. and Geier, M. R. (2015). Thimerosal: Clinical, epidemiologic and biochemical studies. </w:t>
      </w:r>
      <w:r w:rsidRPr="00E73476">
        <w:rPr>
          <w:rFonts w:ascii="Times New Roman" w:eastAsia="Calibri" w:hAnsi="Times New Roman" w:cs="Times New Roman"/>
          <w:i/>
          <w:kern w:val="0"/>
          <w14:ligatures w14:val="none"/>
        </w:rPr>
        <w:t>Journal of Clinical biochemistry</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444</w:t>
      </w:r>
      <w:r w:rsidRPr="00E73476">
        <w:rPr>
          <w:rFonts w:ascii="Times New Roman" w:eastAsia="Calibri" w:hAnsi="Times New Roman" w:cs="Times New Roman"/>
          <w:kern w:val="0"/>
          <w14:ligatures w14:val="none"/>
        </w:rPr>
        <w:t>; 212–220.</w:t>
      </w:r>
    </w:p>
    <w:p w14:paraId="7D8A2648"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7B7C487C"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Hadibarata</w:t>
      </w:r>
      <w:proofErr w:type="spellEnd"/>
      <w:r w:rsidRPr="00E73476">
        <w:rPr>
          <w:rFonts w:ascii="Times New Roman" w:eastAsia="Calibri" w:hAnsi="Times New Roman" w:cs="Times New Roman"/>
          <w:kern w:val="0"/>
          <w14:ligatures w14:val="none"/>
        </w:rPr>
        <w:t xml:space="preserve">, T. &amp; Tachibana, S. (2009). Microbial degradation of crude oil by fungi pre-grown on wood meal. </w:t>
      </w:r>
      <w:r w:rsidRPr="00E73476">
        <w:rPr>
          <w:rFonts w:ascii="Times New Roman" w:eastAsia="Calibri" w:hAnsi="Times New Roman" w:cs="Times New Roman"/>
          <w:i/>
          <w:kern w:val="0"/>
          <w14:ligatures w14:val="none"/>
        </w:rPr>
        <w:t>Interdisciplinary studies on Environmental Chemistry- Environmental Research in Asia</w:t>
      </w:r>
      <w:r w:rsidRPr="00E73476">
        <w:rPr>
          <w:rFonts w:ascii="Times New Roman" w:eastAsia="Calibri" w:hAnsi="Times New Roman" w:cs="Times New Roman"/>
          <w:kern w:val="0"/>
          <w14:ligatures w14:val="none"/>
        </w:rPr>
        <w:t xml:space="preserve">, 317-322. </w:t>
      </w:r>
    </w:p>
    <w:p w14:paraId="2367400E"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69F5B8F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Head, I. M., Jones, D. M., &amp; Roling, W. F. M. (2006). Marine Microbiology. Wiley-Blackwell.</w:t>
      </w:r>
    </w:p>
    <w:p w14:paraId="12C6397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Ibiene</w:t>
      </w:r>
      <w:proofErr w:type="spellEnd"/>
      <w:r w:rsidRPr="00E73476">
        <w:rPr>
          <w:rFonts w:ascii="Times New Roman" w:eastAsia="Calibri" w:hAnsi="Times New Roman" w:cs="Times New Roman"/>
          <w:kern w:val="0"/>
          <w14:ligatures w14:val="none"/>
        </w:rPr>
        <w:t xml:space="preserve">. A. A., Orji, F. A., </w:t>
      </w:r>
      <w:proofErr w:type="spellStart"/>
      <w:r w:rsidRPr="00E73476">
        <w:rPr>
          <w:rFonts w:ascii="Times New Roman" w:eastAsia="Calibri" w:hAnsi="Times New Roman" w:cs="Times New Roman"/>
          <w:kern w:val="0"/>
          <w14:ligatures w14:val="none"/>
        </w:rPr>
        <w:t>Ezidi</w:t>
      </w:r>
      <w:proofErr w:type="spellEnd"/>
      <w:r w:rsidRPr="00E73476">
        <w:rPr>
          <w:rFonts w:ascii="Times New Roman" w:eastAsia="Calibri" w:hAnsi="Times New Roman" w:cs="Times New Roman"/>
          <w:kern w:val="0"/>
          <w14:ligatures w14:val="none"/>
        </w:rPr>
        <w:t xml:space="preserve"> C. O. &amp; </w:t>
      </w:r>
      <w:proofErr w:type="spellStart"/>
      <w:r w:rsidRPr="00E73476">
        <w:rPr>
          <w:rFonts w:ascii="Times New Roman" w:eastAsia="Calibri" w:hAnsi="Times New Roman" w:cs="Times New Roman"/>
          <w:kern w:val="0"/>
          <w14:ligatures w14:val="none"/>
        </w:rPr>
        <w:t>Nwgwobia</w:t>
      </w:r>
      <w:proofErr w:type="spellEnd"/>
      <w:r w:rsidRPr="00E73476">
        <w:rPr>
          <w:rFonts w:ascii="Times New Roman" w:eastAsia="Calibri" w:hAnsi="Times New Roman" w:cs="Times New Roman"/>
          <w:kern w:val="0"/>
          <w14:ligatures w14:val="none"/>
        </w:rPr>
        <w:t xml:space="preserve">, C. L. (2011). Bioremediation of hydrocarbon contaminated soil in the Niger Delta using spent mushroom compost and other organic waste. </w:t>
      </w:r>
      <w:r w:rsidRPr="00E73476">
        <w:rPr>
          <w:rFonts w:ascii="Times New Roman" w:eastAsia="Calibri" w:hAnsi="Times New Roman" w:cs="Times New Roman"/>
          <w:i/>
          <w:kern w:val="0"/>
          <w14:ligatures w14:val="none"/>
        </w:rPr>
        <w:t>Nigerian Journal of Agriculture, Food and Environmental,</w:t>
      </w:r>
      <w:r w:rsidRPr="00E73476">
        <w:rPr>
          <w:rFonts w:ascii="Times New Roman" w:eastAsia="Calibri" w:hAnsi="Times New Roman" w:cs="Times New Roman"/>
          <w:kern w:val="0"/>
          <w14:ligatures w14:val="none"/>
        </w:rPr>
        <w:t xml:space="preserve"> 7(3), 1-7.</w:t>
      </w:r>
    </w:p>
    <w:p w14:paraId="7F5D8A4E"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9969019"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Jadoon, S. and Malik, A. (2017). DNA damage by heavy metals in animals and human beings: </w:t>
      </w:r>
      <w:r w:rsidRPr="00E73476">
        <w:rPr>
          <w:rFonts w:ascii="Times New Roman" w:eastAsia="Calibri" w:hAnsi="Times New Roman" w:cs="Times New Roman"/>
          <w:i/>
          <w:kern w:val="0"/>
          <w14:ligatures w14:val="none"/>
        </w:rPr>
        <w:t>an overview.</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Journal of Biochemistry and Pharmacology</w:t>
      </w:r>
      <w:r w:rsidRPr="00E73476">
        <w:rPr>
          <w:rFonts w:ascii="Times New Roman" w:eastAsia="Calibri" w:hAnsi="Times New Roman" w:cs="Times New Roman"/>
          <w:b/>
          <w:kern w:val="0"/>
          <w14:ligatures w14:val="none"/>
        </w:rPr>
        <w:t>. 6</w:t>
      </w:r>
      <w:r w:rsidRPr="00E73476">
        <w:rPr>
          <w:rFonts w:ascii="Times New Roman" w:eastAsia="Calibri" w:hAnsi="Times New Roman" w:cs="Times New Roman"/>
          <w:kern w:val="0"/>
          <w14:ligatures w14:val="none"/>
        </w:rPr>
        <w:t xml:space="preserve">; Pp. 3. </w:t>
      </w:r>
    </w:p>
    <w:p w14:paraId="5B1935B1"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022E614"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Jaishankar, M., Tseten, T., Anbalagan, N., Mathew, B. B. and </w:t>
      </w:r>
      <w:proofErr w:type="spellStart"/>
      <w:r w:rsidRPr="00E73476">
        <w:rPr>
          <w:rFonts w:ascii="Times New Roman" w:eastAsia="Calibri" w:hAnsi="Times New Roman" w:cs="Times New Roman"/>
          <w:kern w:val="0"/>
          <w14:ligatures w14:val="none"/>
        </w:rPr>
        <w:t>Beeregowda</w:t>
      </w:r>
      <w:proofErr w:type="spellEnd"/>
      <w:r w:rsidRPr="00E73476">
        <w:rPr>
          <w:rFonts w:ascii="Times New Roman" w:eastAsia="Calibri" w:hAnsi="Times New Roman" w:cs="Times New Roman"/>
          <w:kern w:val="0"/>
          <w14:ligatures w14:val="none"/>
        </w:rPr>
        <w:t xml:space="preserve">, K. N. (2014). Toxicity, mechanism and health effects of some heavy metals. </w:t>
      </w:r>
      <w:r w:rsidRPr="00E73476">
        <w:rPr>
          <w:rFonts w:ascii="Times New Roman" w:eastAsia="Calibri" w:hAnsi="Times New Roman" w:cs="Times New Roman"/>
          <w:i/>
          <w:kern w:val="0"/>
          <w14:ligatures w14:val="none"/>
        </w:rPr>
        <w:t>Journal of Interdisciplinary toxicology.</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7</w:t>
      </w:r>
      <w:r w:rsidRPr="00E73476">
        <w:rPr>
          <w:rFonts w:ascii="Times New Roman" w:eastAsia="Calibri" w:hAnsi="Times New Roman" w:cs="Times New Roman"/>
          <w:kern w:val="0"/>
          <w14:ligatures w14:val="none"/>
        </w:rPr>
        <w:t xml:space="preserve"> (2); 60–72. </w:t>
      </w:r>
    </w:p>
    <w:p w14:paraId="7ACE8327"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5E13C52" w14:textId="40EE4F63"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Madigan, M. T., Martinko, J. M., &amp; Parker, J. (2017). Brock Biology of Microorganisms.  Pearson.</w:t>
      </w:r>
    </w:p>
    <w:p w14:paraId="6F18CE2F"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1B551FA6" w14:textId="77777777" w:rsidR="00ED0CCD"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Morikawa, M., Hirata, Y. &amp; </w:t>
      </w:r>
      <w:proofErr w:type="spellStart"/>
      <w:r w:rsidRPr="00E73476">
        <w:rPr>
          <w:rFonts w:ascii="Times New Roman" w:eastAsia="Calibri" w:hAnsi="Times New Roman" w:cs="Times New Roman"/>
          <w:kern w:val="0"/>
          <w14:ligatures w14:val="none"/>
        </w:rPr>
        <w:t>Imanaka</w:t>
      </w:r>
      <w:proofErr w:type="spellEnd"/>
      <w:r w:rsidRPr="00E73476">
        <w:rPr>
          <w:rFonts w:ascii="Times New Roman" w:eastAsia="Calibri" w:hAnsi="Times New Roman" w:cs="Times New Roman"/>
          <w:kern w:val="0"/>
          <w14:ligatures w14:val="none"/>
        </w:rPr>
        <w:t xml:space="preserve">, T. (2000). </w:t>
      </w:r>
      <w:r w:rsidRPr="00E73476">
        <w:rPr>
          <w:rFonts w:ascii="Times New Roman" w:eastAsia="Calibri" w:hAnsi="Times New Roman" w:cs="Times New Roman"/>
          <w:i/>
          <w:kern w:val="0"/>
          <w14:ligatures w14:val="none"/>
        </w:rPr>
        <w:t xml:space="preserve">A study on the Structure–Function Relationship of Lipopeptide Biosurfactant. </w:t>
      </w:r>
      <w:proofErr w:type="spellStart"/>
      <w:r w:rsidRPr="00E73476">
        <w:rPr>
          <w:rFonts w:ascii="Times New Roman" w:eastAsia="Calibri" w:hAnsi="Times New Roman" w:cs="Times New Roman"/>
          <w:kern w:val="0"/>
          <w14:ligatures w14:val="none"/>
        </w:rPr>
        <w:t>Biochimicaet</w:t>
      </w:r>
      <w:proofErr w:type="spellEnd"/>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Biophysica</w:t>
      </w:r>
      <w:proofErr w:type="spellEnd"/>
      <w:r w:rsidRPr="00E73476">
        <w:rPr>
          <w:rFonts w:ascii="Times New Roman" w:eastAsia="Calibri" w:hAnsi="Times New Roman" w:cs="Times New Roman"/>
          <w:kern w:val="0"/>
          <w14:ligatures w14:val="none"/>
        </w:rPr>
        <w:t xml:space="preserve"> Acta (BBA)-Molecular and Cell Biology of Lipids, 1488(3), 211-218.</w:t>
      </w:r>
    </w:p>
    <w:p w14:paraId="3CD3F254" w14:textId="7E90FD5F"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p>
    <w:p w14:paraId="2A044EE4"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Neff, J. M., McKelvie, S. and Ayers, R. C. (2000). Environmental Impacts of Synthetic Based Drilling Fluids. Report prepared for MMS by Robert Ayers &amp; Associates, Inc August 2000.</w:t>
      </w:r>
    </w:p>
    <w:p w14:paraId="4F22A140"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2535A85"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Nrior</w:t>
      </w:r>
      <w:proofErr w:type="spellEnd"/>
      <w:r w:rsidRPr="00E73476">
        <w:rPr>
          <w:rFonts w:ascii="Times New Roman" w:eastAsia="Calibri" w:hAnsi="Times New Roman" w:cs="Times New Roman"/>
          <w:kern w:val="0"/>
          <w14:ligatures w14:val="none"/>
        </w:rPr>
        <w:t xml:space="preserve">, R. R., Ogbonna, D. N. and </w:t>
      </w:r>
      <w:proofErr w:type="spellStart"/>
      <w:r w:rsidRPr="00E73476">
        <w:rPr>
          <w:rFonts w:ascii="Times New Roman" w:eastAsia="Calibri" w:hAnsi="Times New Roman" w:cs="Times New Roman"/>
          <w:kern w:val="0"/>
          <w14:ligatures w14:val="none"/>
        </w:rPr>
        <w:t>Alabo</w:t>
      </w:r>
      <w:proofErr w:type="spellEnd"/>
      <w:r w:rsidRPr="00E73476">
        <w:rPr>
          <w:rFonts w:ascii="Times New Roman" w:eastAsia="Calibri" w:hAnsi="Times New Roman" w:cs="Times New Roman"/>
          <w:kern w:val="0"/>
          <w14:ligatures w14:val="none"/>
        </w:rPr>
        <w:t xml:space="preserve">, A. E. 2017b. Biodegradation of Drilling fluid used in upstream sector of the Nigeria Petroleum Industry in Marine Water Environment. Int. J. Waste Resources, 7(4):302-306. </w:t>
      </w:r>
    </w:p>
    <w:p w14:paraId="360B822F"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2C4640D"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Prescott, M. I., Harle, J. D. and Klein, D. A. (2002). Microbiology of food. 5</w:t>
      </w:r>
      <w:r w:rsidRPr="00E73476">
        <w:rPr>
          <w:rFonts w:ascii="Times New Roman" w:eastAsia="Calibri" w:hAnsi="Times New Roman" w:cs="Times New Roman"/>
          <w:kern w:val="0"/>
          <w:vertAlign w:val="superscript"/>
          <w14:ligatures w14:val="none"/>
        </w:rPr>
        <w:t>th</w:t>
      </w:r>
      <w:r w:rsidRPr="00E73476">
        <w:rPr>
          <w:rFonts w:ascii="Times New Roman" w:eastAsia="Calibri" w:hAnsi="Times New Roman" w:cs="Times New Roman"/>
          <w:kern w:val="0"/>
          <w14:ligatures w14:val="none"/>
        </w:rPr>
        <w:t xml:space="preserve"> ed. McGraw-Hill Ltd, New York, USA. Pp. 964-976.</w:t>
      </w:r>
    </w:p>
    <w:p w14:paraId="247AB608"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33F285B"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Prince, R. C., </w:t>
      </w:r>
      <w:proofErr w:type="spellStart"/>
      <w:r w:rsidRPr="00E73476">
        <w:rPr>
          <w:rFonts w:ascii="Times New Roman" w:eastAsia="Calibri" w:hAnsi="Times New Roman" w:cs="Times New Roman"/>
          <w:bCs/>
          <w:kern w:val="0"/>
          <w14:ligatures w14:val="none"/>
        </w:rPr>
        <w:t>Gramain</w:t>
      </w:r>
      <w:proofErr w:type="spellEnd"/>
      <w:r w:rsidRPr="00E73476">
        <w:rPr>
          <w:rFonts w:ascii="Times New Roman" w:eastAsia="Calibri" w:hAnsi="Times New Roman" w:cs="Times New Roman"/>
          <w:bCs/>
          <w:kern w:val="0"/>
          <w14:ligatures w14:val="none"/>
        </w:rPr>
        <w:t xml:space="preserve">, A., &amp; </w:t>
      </w:r>
      <w:proofErr w:type="spellStart"/>
      <w:r w:rsidRPr="00E73476">
        <w:rPr>
          <w:rFonts w:ascii="Times New Roman" w:eastAsia="Calibri" w:hAnsi="Times New Roman" w:cs="Times New Roman"/>
          <w:bCs/>
          <w:kern w:val="0"/>
          <w14:ligatures w14:val="none"/>
        </w:rPr>
        <w:t>McGenity</w:t>
      </w:r>
      <w:proofErr w:type="spellEnd"/>
      <w:r w:rsidRPr="00E73476">
        <w:rPr>
          <w:rFonts w:ascii="Times New Roman" w:eastAsia="Calibri" w:hAnsi="Times New Roman" w:cs="Times New Roman"/>
          <w:bCs/>
          <w:kern w:val="0"/>
          <w14:ligatures w14:val="none"/>
        </w:rPr>
        <w:t>, T. J. (2010). Bioremediation of Marine Oil Spills. Microbial Ecology, 62(2), 257-265.</w:t>
      </w:r>
    </w:p>
    <w:p w14:paraId="1E58C624" w14:textId="77777777" w:rsidR="0017146A" w:rsidRDefault="0017146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B2004FD" w14:textId="4D88CB6B" w:rsidR="0017146A" w:rsidRDefault="0017146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17146A">
        <w:rPr>
          <w:rFonts w:ascii="Times New Roman" w:eastAsia="Calibri" w:hAnsi="Times New Roman" w:cs="Times New Roman"/>
          <w:bCs/>
          <w:kern w:val="0"/>
          <w:highlight w:val="yellow"/>
          <w:lang w:val="pt-PT"/>
          <w14:ligatures w14:val="none"/>
        </w:rPr>
        <w:t xml:space="preserve">Sanzone, A., Marino, A., &amp; Salvo, G. (2018). </w:t>
      </w:r>
      <w:r w:rsidRPr="0017146A">
        <w:rPr>
          <w:rFonts w:ascii="Times New Roman" w:eastAsia="Calibri" w:hAnsi="Times New Roman" w:cs="Times New Roman"/>
          <w:bCs/>
          <w:kern w:val="0"/>
          <w:highlight w:val="yellow"/>
          <w14:ligatures w14:val="none"/>
        </w:rPr>
        <w:t xml:space="preserve">Biological testing of drilling fluid components for environmental compliance. </w:t>
      </w:r>
      <w:r w:rsidRPr="0017146A">
        <w:rPr>
          <w:rFonts w:ascii="Times New Roman" w:eastAsia="Calibri" w:hAnsi="Times New Roman" w:cs="Times New Roman"/>
          <w:bCs/>
          <w:i/>
          <w:iCs/>
          <w:kern w:val="0"/>
          <w:highlight w:val="yellow"/>
          <w14:ligatures w14:val="none"/>
        </w:rPr>
        <w:t>Environmental Science &amp; Policy</w:t>
      </w:r>
      <w:r w:rsidRPr="0017146A">
        <w:rPr>
          <w:rFonts w:ascii="Times New Roman" w:eastAsia="Calibri" w:hAnsi="Times New Roman" w:cs="Times New Roman"/>
          <w:bCs/>
          <w:kern w:val="0"/>
          <w:highlight w:val="yellow"/>
          <w14:ligatures w14:val="none"/>
        </w:rPr>
        <w:t>.</w:t>
      </w:r>
      <w:r w:rsidRPr="0017146A">
        <w:rPr>
          <w:rFonts w:ascii="Times New Roman" w:eastAsia="Calibri" w:hAnsi="Times New Roman" w:cs="Times New Roman"/>
          <w:bCs/>
          <w:kern w:val="0"/>
          <w:highlight w:val="yellow"/>
          <w14:ligatures w14:val="none"/>
        </w:rPr>
        <w:t xml:space="preserve"> </w:t>
      </w:r>
      <w:r w:rsidRPr="0017146A">
        <w:rPr>
          <w:rFonts w:ascii="Times New Roman" w:eastAsia="Calibri" w:hAnsi="Times New Roman" w:cs="Times New Roman"/>
          <w:b/>
          <w:kern w:val="0"/>
          <w:highlight w:val="yellow"/>
          <w14:ligatures w14:val="none"/>
        </w:rPr>
        <w:t>88</w:t>
      </w:r>
      <w:r w:rsidRPr="0017146A">
        <w:rPr>
          <w:rFonts w:ascii="Times New Roman" w:eastAsia="Calibri" w:hAnsi="Times New Roman" w:cs="Times New Roman"/>
          <w:bCs/>
          <w:kern w:val="0"/>
          <w:highlight w:val="yellow"/>
          <w14:ligatures w14:val="none"/>
        </w:rPr>
        <w:t>, 49-56.</w:t>
      </w:r>
    </w:p>
    <w:p w14:paraId="174C8E72"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8FC0F8A" w14:textId="06CC52FC"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Sharif, M. D., </w:t>
      </w:r>
      <w:proofErr w:type="spellStart"/>
      <w:r w:rsidRPr="00E73476">
        <w:rPr>
          <w:rFonts w:ascii="Times New Roman" w:eastAsia="Calibri" w:hAnsi="Times New Roman" w:cs="Times New Roman"/>
          <w:kern w:val="0"/>
          <w14:ligatures w14:val="none"/>
        </w:rPr>
        <w:t>Nagalakshimi</w:t>
      </w:r>
      <w:proofErr w:type="spellEnd"/>
      <w:r w:rsidRPr="00E73476">
        <w:rPr>
          <w:rFonts w:ascii="Times New Roman" w:eastAsia="Calibri" w:hAnsi="Times New Roman" w:cs="Times New Roman"/>
          <w:kern w:val="0"/>
          <w14:ligatures w14:val="none"/>
        </w:rPr>
        <w:t xml:space="preserve">, N. V. R., </w:t>
      </w:r>
      <w:proofErr w:type="spellStart"/>
      <w:r w:rsidRPr="00E73476">
        <w:rPr>
          <w:rFonts w:ascii="Times New Roman" w:eastAsia="Calibri" w:hAnsi="Times New Roman" w:cs="Times New Roman"/>
          <w:kern w:val="0"/>
          <w14:ligatures w14:val="none"/>
        </w:rPr>
        <w:t>Srigowri</w:t>
      </w:r>
      <w:proofErr w:type="spellEnd"/>
      <w:r w:rsidRPr="00E73476">
        <w:rPr>
          <w:rFonts w:ascii="Times New Roman" w:eastAsia="Calibri" w:hAnsi="Times New Roman" w:cs="Times New Roman"/>
          <w:kern w:val="0"/>
          <w14:ligatures w14:val="none"/>
        </w:rPr>
        <w:t xml:space="preserve">, R. S., Vasanth, G. and Sankar, K. (2017). Drilling waste management and control the effects. </w:t>
      </w:r>
      <w:r w:rsidRPr="00E73476">
        <w:rPr>
          <w:rFonts w:ascii="Times New Roman" w:eastAsia="Calibri" w:hAnsi="Times New Roman" w:cs="Times New Roman"/>
          <w:i/>
          <w:kern w:val="0"/>
          <w14:ligatures w14:val="none"/>
        </w:rPr>
        <w:t>Journal of Advanced</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Chemical Engineering</w:t>
      </w:r>
      <w:r w:rsidR="00A752FC">
        <w:rPr>
          <w:rFonts w:ascii="Times New Roman" w:eastAsia="Calibri" w:hAnsi="Times New Roman" w:cs="Times New Roman"/>
          <w:i/>
          <w:kern w:val="0"/>
          <w14:ligatures w14:val="none"/>
        </w:rPr>
        <w:t>.</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7</w:t>
      </w:r>
      <w:r w:rsidRPr="00E73476">
        <w:rPr>
          <w:rFonts w:ascii="Times New Roman" w:eastAsia="Calibri" w:hAnsi="Times New Roman" w:cs="Times New Roman"/>
          <w:kern w:val="0"/>
          <w14:ligatures w14:val="none"/>
        </w:rPr>
        <w:t xml:space="preserve">; 1–9. </w:t>
      </w:r>
    </w:p>
    <w:p w14:paraId="21886F2D"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FC8A516" w14:textId="77777777" w:rsidR="008138B2"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Sterner, R. W., &amp; Elser, J. J. (2002). Ecological Stoichiometry. Princeton University Press.</w:t>
      </w:r>
    </w:p>
    <w:p w14:paraId="0C5D5FAE" w14:textId="77777777" w:rsidR="00A752FC" w:rsidRDefault="00A752FC"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F97F0A9" w14:textId="12B6B862" w:rsidR="00A752FC" w:rsidRPr="00A752FC" w:rsidRDefault="00A752FC"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A752FC">
        <w:rPr>
          <w:rFonts w:ascii="Times New Roman" w:eastAsia="Calibri" w:hAnsi="Times New Roman" w:cs="Times New Roman"/>
          <w:bCs/>
          <w:kern w:val="0"/>
          <w:highlight w:val="yellow"/>
          <w14:ligatures w14:val="none"/>
        </w:rPr>
        <w:t>Vincent-</w:t>
      </w:r>
      <w:proofErr w:type="spellStart"/>
      <w:r w:rsidRPr="00A752FC">
        <w:rPr>
          <w:rFonts w:ascii="Times New Roman" w:eastAsia="Calibri" w:hAnsi="Times New Roman" w:cs="Times New Roman"/>
          <w:bCs/>
          <w:kern w:val="0"/>
          <w:highlight w:val="yellow"/>
          <w14:ligatures w14:val="none"/>
        </w:rPr>
        <w:t>Akpu</w:t>
      </w:r>
      <w:proofErr w:type="spellEnd"/>
      <w:r w:rsidRPr="00A752FC">
        <w:rPr>
          <w:rFonts w:ascii="Times New Roman" w:eastAsia="Calibri" w:hAnsi="Times New Roman" w:cs="Times New Roman"/>
          <w:bCs/>
          <w:kern w:val="0"/>
          <w:highlight w:val="yellow"/>
          <w14:ligatures w14:val="none"/>
        </w:rPr>
        <w:t xml:space="preserve">, I., </w:t>
      </w:r>
      <w:proofErr w:type="spellStart"/>
      <w:r w:rsidRPr="00A752FC">
        <w:rPr>
          <w:rFonts w:ascii="Times New Roman" w:eastAsia="Calibri" w:hAnsi="Times New Roman" w:cs="Times New Roman"/>
          <w:bCs/>
          <w:kern w:val="0"/>
          <w:highlight w:val="yellow"/>
          <w14:ligatures w14:val="none"/>
        </w:rPr>
        <w:t>Sikoki</w:t>
      </w:r>
      <w:proofErr w:type="spellEnd"/>
      <w:r w:rsidRPr="00A752FC">
        <w:rPr>
          <w:rFonts w:ascii="Times New Roman" w:eastAsia="Calibri" w:hAnsi="Times New Roman" w:cs="Times New Roman"/>
          <w:bCs/>
          <w:kern w:val="0"/>
          <w:highlight w:val="yellow"/>
          <w14:ligatures w14:val="none"/>
        </w:rPr>
        <w:t xml:space="preserve">, F., &amp; Orji, J. (2010). Toxicity of synthetic-based drilling fluids to marine organisms. </w:t>
      </w:r>
      <w:r w:rsidRPr="00A752FC">
        <w:rPr>
          <w:rFonts w:ascii="Times New Roman" w:eastAsia="Calibri" w:hAnsi="Times New Roman" w:cs="Times New Roman"/>
          <w:bCs/>
          <w:i/>
          <w:iCs/>
          <w:kern w:val="0"/>
          <w:highlight w:val="yellow"/>
          <w14:ligatures w14:val="none"/>
        </w:rPr>
        <w:t>Marine Pollution Bulletin</w:t>
      </w:r>
      <w:r w:rsidRPr="00A752FC">
        <w:rPr>
          <w:rFonts w:ascii="Times New Roman" w:eastAsia="Calibri" w:hAnsi="Times New Roman" w:cs="Times New Roman"/>
          <w:bCs/>
          <w:kern w:val="0"/>
          <w:highlight w:val="yellow"/>
          <w14:ligatures w14:val="none"/>
        </w:rPr>
        <w:t>.</w:t>
      </w:r>
      <w:r w:rsidRPr="00A752FC">
        <w:rPr>
          <w:rFonts w:ascii="Times New Roman" w:eastAsia="Calibri" w:hAnsi="Times New Roman" w:cs="Times New Roman"/>
          <w:bCs/>
          <w:kern w:val="0"/>
          <w:highlight w:val="yellow"/>
          <w14:ligatures w14:val="none"/>
        </w:rPr>
        <w:t xml:space="preserve"> 60(11)</w:t>
      </w:r>
      <w:r w:rsidRPr="00A752FC">
        <w:rPr>
          <w:rFonts w:ascii="Times New Roman" w:eastAsia="Calibri" w:hAnsi="Times New Roman" w:cs="Times New Roman"/>
          <w:bCs/>
          <w:kern w:val="0"/>
          <w:highlight w:val="yellow"/>
          <w14:ligatures w14:val="none"/>
        </w:rPr>
        <w:t>;</w:t>
      </w:r>
      <w:r w:rsidRPr="00A752FC">
        <w:rPr>
          <w:rFonts w:ascii="Times New Roman" w:eastAsia="Calibri" w:hAnsi="Times New Roman" w:cs="Times New Roman"/>
          <w:bCs/>
          <w:kern w:val="0"/>
          <w:highlight w:val="yellow"/>
          <w14:ligatures w14:val="none"/>
        </w:rPr>
        <w:t xml:space="preserve"> 1937-1945.</w:t>
      </w:r>
    </w:p>
    <w:p w14:paraId="46923EAC" w14:textId="77777777" w:rsidR="008138B2" w:rsidRDefault="008138B2"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8ECEADD" w14:textId="737B262C" w:rsidR="00E73476" w:rsidRDefault="00ED0CCD"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roofErr w:type="spellStart"/>
      <w:r w:rsidRPr="00ED0CCD">
        <w:rPr>
          <w:rFonts w:ascii="Times New Roman" w:eastAsia="Calibri" w:hAnsi="Times New Roman" w:cs="Times New Roman"/>
          <w:bCs/>
          <w:kern w:val="0"/>
          <w14:ligatures w14:val="none"/>
        </w:rPr>
        <w:lastRenderedPageBreak/>
        <w:t>Zhanpeng</w:t>
      </w:r>
      <w:proofErr w:type="spellEnd"/>
      <w:r w:rsidRPr="00ED0CCD">
        <w:rPr>
          <w:rFonts w:ascii="Times New Roman" w:eastAsia="Calibri" w:hAnsi="Times New Roman" w:cs="Times New Roman"/>
          <w:bCs/>
          <w:kern w:val="0"/>
          <w14:ligatures w14:val="none"/>
        </w:rPr>
        <w:t>, J.; Hongwei, Y.; Lixin, S. and Shaoqi, S. (2002). Integrated assessment for aerobic biodegradability of organic substances. Chemosphere 48 ,133-138</w:t>
      </w:r>
    </w:p>
    <w:p w14:paraId="5DC4DDE6"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73FAEFE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7CD380E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E594A0E" w14:textId="77777777" w:rsidR="008A1098" w:rsidRPr="005C1663" w:rsidRDefault="008A1098" w:rsidP="007B60C0">
      <w:pPr>
        <w:autoSpaceDE w:val="0"/>
        <w:autoSpaceDN w:val="0"/>
        <w:adjustRightInd w:val="0"/>
        <w:spacing w:after="0" w:line="240" w:lineRule="auto"/>
        <w:ind w:left="720"/>
        <w:jc w:val="both"/>
      </w:pPr>
    </w:p>
    <w:sectPr w:rsidR="008A1098" w:rsidRPr="005C16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95BC6" w14:textId="77777777" w:rsidR="00600D4F" w:rsidRDefault="00600D4F">
      <w:pPr>
        <w:spacing w:after="0" w:line="240" w:lineRule="auto"/>
      </w:pPr>
      <w:r>
        <w:separator/>
      </w:r>
    </w:p>
  </w:endnote>
  <w:endnote w:type="continuationSeparator" w:id="0">
    <w:p w14:paraId="06556D17" w14:textId="77777777" w:rsidR="00600D4F" w:rsidRDefault="0060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06305" w14:textId="77777777" w:rsidR="00D302D3" w:rsidRDefault="00D30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819152"/>
      <w:docPartObj>
        <w:docPartGallery w:val="Page Numbers (Bottom of Page)"/>
        <w:docPartUnique/>
      </w:docPartObj>
    </w:sdtPr>
    <w:sdtEndPr>
      <w:rPr>
        <w:noProof/>
      </w:rPr>
    </w:sdtEndPr>
    <w:sdtContent>
      <w:p w14:paraId="32892B27" w14:textId="77777777" w:rsidR="00FA1A6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493FD9" w14:textId="77777777" w:rsidR="00FA1A64" w:rsidRDefault="00FA1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F770" w14:textId="77777777" w:rsidR="00D302D3" w:rsidRDefault="00D30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B5197" w14:textId="77777777" w:rsidR="00600D4F" w:rsidRDefault="00600D4F">
      <w:pPr>
        <w:spacing w:after="0" w:line="240" w:lineRule="auto"/>
      </w:pPr>
      <w:r>
        <w:separator/>
      </w:r>
    </w:p>
  </w:footnote>
  <w:footnote w:type="continuationSeparator" w:id="0">
    <w:p w14:paraId="57AA3790" w14:textId="77777777" w:rsidR="00600D4F" w:rsidRDefault="0060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6D440" w14:textId="0FF1C483" w:rsidR="00D302D3" w:rsidRDefault="00000000">
    <w:pPr>
      <w:pStyle w:val="Header"/>
    </w:pPr>
    <w:r>
      <w:rPr>
        <w:noProof/>
      </w:rPr>
      <w:pict w14:anchorId="77D05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9235"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17E73" w14:textId="0BF65E6A" w:rsidR="00D302D3" w:rsidRDefault="00000000">
    <w:pPr>
      <w:pStyle w:val="Header"/>
    </w:pPr>
    <w:r>
      <w:rPr>
        <w:noProof/>
      </w:rPr>
      <w:pict w14:anchorId="1D2E1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9236" o:spid="_x0000_s1027"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34D7" w14:textId="6A9FF22B" w:rsidR="00D302D3" w:rsidRDefault="00000000">
    <w:pPr>
      <w:pStyle w:val="Header"/>
    </w:pPr>
    <w:r>
      <w:rPr>
        <w:noProof/>
      </w:rPr>
      <w:pict w14:anchorId="0CFD4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9234"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D7A11"/>
    <w:multiLevelType w:val="multilevel"/>
    <w:tmpl w:val="4CA817B2"/>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06124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98"/>
    <w:rsid w:val="00011261"/>
    <w:rsid w:val="00053684"/>
    <w:rsid w:val="00084428"/>
    <w:rsid w:val="00086792"/>
    <w:rsid w:val="000B6717"/>
    <w:rsid w:val="000C7C32"/>
    <w:rsid w:val="000F1AB0"/>
    <w:rsid w:val="000F7E3C"/>
    <w:rsid w:val="00145063"/>
    <w:rsid w:val="001638FC"/>
    <w:rsid w:val="00163ABA"/>
    <w:rsid w:val="0017146A"/>
    <w:rsid w:val="00172A09"/>
    <w:rsid w:val="001730F6"/>
    <w:rsid w:val="00180B35"/>
    <w:rsid w:val="00180E94"/>
    <w:rsid w:val="001B2FCC"/>
    <w:rsid w:val="001F0EA9"/>
    <w:rsid w:val="001F633F"/>
    <w:rsid w:val="001F7A26"/>
    <w:rsid w:val="00217379"/>
    <w:rsid w:val="002362E6"/>
    <w:rsid w:val="002570E2"/>
    <w:rsid w:val="002D2C87"/>
    <w:rsid w:val="002E3D00"/>
    <w:rsid w:val="003A3ED9"/>
    <w:rsid w:val="003B37CD"/>
    <w:rsid w:val="003B533E"/>
    <w:rsid w:val="003E7C09"/>
    <w:rsid w:val="00401BA2"/>
    <w:rsid w:val="0041068E"/>
    <w:rsid w:val="004564BF"/>
    <w:rsid w:val="004A121E"/>
    <w:rsid w:val="004B7A7F"/>
    <w:rsid w:val="004D1803"/>
    <w:rsid w:val="005238B2"/>
    <w:rsid w:val="0054563F"/>
    <w:rsid w:val="00562912"/>
    <w:rsid w:val="00571642"/>
    <w:rsid w:val="005C1663"/>
    <w:rsid w:val="005E0D20"/>
    <w:rsid w:val="005E3189"/>
    <w:rsid w:val="005E3833"/>
    <w:rsid w:val="005F7705"/>
    <w:rsid w:val="00600D4F"/>
    <w:rsid w:val="00603FEA"/>
    <w:rsid w:val="0061036C"/>
    <w:rsid w:val="00625B78"/>
    <w:rsid w:val="0067040B"/>
    <w:rsid w:val="00671DB3"/>
    <w:rsid w:val="00683B5A"/>
    <w:rsid w:val="00743766"/>
    <w:rsid w:val="00743A3F"/>
    <w:rsid w:val="007B60C0"/>
    <w:rsid w:val="007E7AF2"/>
    <w:rsid w:val="008138B2"/>
    <w:rsid w:val="008570E7"/>
    <w:rsid w:val="00894860"/>
    <w:rsid w:val="008A1098"/>
    <w:rsid w:val="008A2ABA"/>
    <w:rsid w:val="008D0259"/>
    <w:rsid w:val="008D58D7"/>
    <w:rsid w:val="008E0ACA"/>
    <w:rsid w:val="008E1F2F"/>
    <w:rsid w:val="009005E0"/>
    <w:rsid w:val="009416A2"/>
    <w:rsid w:val="00945B7D"/>
    <w:rsid w:val="0095486C"/>
    <w:rsid w:val="009977EB"/>
    <w:rsid w:val="009F1B22"/>
    <w:rsid w:val="00A121D7"/>
    <w:rsid w:val="00A752FC"/>
    <w:rsid w:val="00AA66F1"/>
    <w:rsid w:val="00AC0EAE"/>
    <w:rsid w:val="00AD005D"/>
    <w:rsid w:val="00AE0950"/>
    <w:rsid w:val="00AF06EF"/>
    <w:rsid w:val="00B16476"/>
    <w:rsid w:val="00B5327E"/>
    <w:rsid w:val="00B827DC"/>
    <w:rsid w:val="00B91F2D"/>
    <w:rsid w:val="00BA397E"/>
    <w:rsid w:val="00BB0F73"/>
    <w:rsid w:val="00BC2198"/>
    <w:rsid w:val="00BE6214"/>
    <w:rsid w:val="00C07E64"/>
    <w:rsid w:val="00C11248"/>
    <w:rsid w:val="00C2679D"/>
    <w:rsid w:val="00CC264E"/>
    <w:rsid w:val="00CD6D1E"/>
    <w:rsid w:val="00D10DA6"/>
    <w:rsid w:val="00D302D3"/>
    <w:rsid w:val="00D3088F"/>
    <w:rsid w:val="00D502BA"/>
    <w:rsid w:val="00D81B16"/>
    <w:rsid w:val="00D81B3E"/>
    <w:rsid w:val="00D82C40"/>
    <w:rsid w:val="00D90F42"/>
    <w:rsid w:val="00D94898"/>
    <w:rsid w:val="00DE2B11"/>
    <w:rsid w:val="00E03746"/>
    <w:rsid w:val="00E1145F"/>
    <w:rsid w:val="00E72133"/>
    <w:rsid w:val="00E73476"/>
    <w:rsid w:val="00EC7527"/>
    <w:rsid w:val="00ED0CCD"/>
    <w:rsid w:val="00EE64F0"/>
    <w:rsid w:val="00F05F44"/>
    <w:rsid w:val="00F24B90"/>
    <w:rsid w:val="00F27F17"/>
    <w:rsid w:val="00F30220"/>
    <w:rsid w:val="00F33EDF"/>
    <w:rsid w:val="00F83D99"/>
    <w:rsid w:val="00F87654"/>
    <w:rsid w:val="00FA1A64"/>
    <w:rsid w:val="00FE48EC"/>
    <w:rsid w:val="00FF5F2B"/>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6E67D"/>
  <w15:chartTrackingRefBased/>
  <w15:docId w15:val="{79D53719-22BC-4DF9-8F29-49CF6F46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098"/>
    <w:rPr>
      <w:rFonts w:eastAsiaTheme="majorEastAsia" w:cstheme="majorBidi"/>
      <w:color w:val="272727" w:themeColor="text1" w:themeTint="D8"/>
    </w:rPr>
  </w:style>
  <w:style w:type="paragraph" w:styleId="Title">
    <w:name w:val="Title"/>
    <w:basedOn w:val="Normal"/>
    <w:next w:val="Normal"/>
    <w:link w:val="TitleChar"/>
    <w:uiPriority w:val="10"/>
    <w:qFormat/>
    <w:rsid w:val="008A1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098"/>
    <w:pPr>
      <w:spacing w:before="160"/>
      <w:jc w:val="center"/>
    </w:pPr>
    <w:rPr>
      <w:i/>
      <w:iCs/>
      <w:color w:val="404040" w:themeColor="text1" w:themeTint="BF"/>
    </w:rPr>
  </w:style>
  <w:style w:type="character" w:customStyle="1" w:styleId="QuoteChar">
    <w:name w:val="Quote Char"/>
    <w:basedOn w:val="DefaultParagraphFont"/>
    <w:link w:val="Quote"/>
    <w:uiPriority w:val="29"/>
    <w:rsid w:val="008A1098"/>
    <w:rPr>
      <w:i/>
      <w:iCs/>
      <w:color w:val="404040" w:themeColor="text1" w:themeTint="BF"/>
    </w:rPr>
  </w:style>
  <w:style w:type="paragraph" w:styleId="ListParagraph">
    <w:name w:val="List Paragraph"/>
    <w:basedOn w:val="Normal"/>
    <w:uiPriority w:val="34"/>
    <w:qFormat/>
    <w:rsid w:val="008A1098"/>
    <w:pPr>
      <w:ind w:left="720"/>
      <w:contextualSpacing/>
    </w:pPr>
  </w:style>
  <w:style w:type="character" w:styleId="IntenseEmphasis">
    <w:name w:val="Intense Emphasis"/>
    <w:basedOn w:val="DefaultParagraphFont"/>
    <w:uiPriority w:val="21"/>
    <w:qFormat/>
    <w:rsid w:val="008A1098"/>
    <w:rPr>
      <w:i/>
      <w:iCs/>
      <w:color w:val="0F4761" w:themeColor="accent1" w:themeShade="BF"/>
    </w:rPr>
  </w:style>
  <w:style w:type="paragraph" w:styleId="IntenseQuote">
    <w:name w:val="Intense Quote"/>
    <w:basedOn w:val="Normal"/>
    <w:next w:val="Normal"/>
    <w:link w:val="IntenseQuoteChar"/>
    <w:uiPriority w:val="30"/>
    <w:qFormat/>
    <w:rsid w:val="008A1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098"/>
    <w:rPr>
      <w:i/>
      <w:iCs/>
      <w:color w:val="0F4761" w:themeColor="accent1" w:themeShade="BF"/>
    </w:rPr>
  </w:style>
  <w:style w:type="character" w:styleId="IntenseReference">
    <w:name w:val="Intense Reference"/>
    <w:basedOn w:val="DefaultParagraphFont"/>
    <w:uiPriority w:val="32"/>
    <w:qFormat/>
    <w:rsid w:val="008A1098"/>
    <w:rPr>
      <w:b/>
      <w:bCs/>
      <w:smallCaps/>
      <w:color w:val="0F4761" w:themeColor="accent1" w:themeShade="BF"/>
      <w:spacing w:val="5"/>
    </w:rPr>
  </w:style>
  <w:style w:type="table" w:styleId="TableGrid">
    <w:name w:val="Table Grid"/>
    <w:basedOn w:val="TableNormal"/>
    <w:uiPriority w:val="39"/>
    <w:qFormat/>
    <w:rsid w:val="005716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476"/>
  </w:style>
  <w:style w:type="paragraph" w:styleId="Header">
    <w:name w:val="header"/>
    <w:basedOn w:val="Normal"/>
    <w:link w:val="HeaderChar"/>
    <w:uiPriority w:val="99"/>
    <w:unhideWhenUsed/>
    <w:rsid w:val="00E7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476"/>
  </w:style>
  <w:style w:type="character" w:styleId="Hyperlink">
    <w:name w:val="Hyperlink"/>
    <w:basedOn w:val="DefaultParagraphFont"/>
    <w:uiPriority w:val="99"/>
    <w:unhideWhenUsed/>
    <w:rsid w:val="008E1F2F"/>
    <w:rPr>
      <w:color w:val="467886" w:themeColor="hyperlink"/>
      <w:u w:val="single"/>
    </w:rPr>
  </w:style>
  <w:style w:type="character" w:styleId="UnresolvedMention">
    <w:name w:val="Unresolved Mention"/>
    <w:basedOn w:val="DefaultParagraphFont"/>
    <w:uiPriority w:val="99"/>
    <w:semiHidden/>
    <w:unhideWhenUsed/>
    <w:rsid w:val="008E1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7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Bioremediation (2)'!$A$2:$A$9</c:f>
              <c:strCache>
                <c:ptCount val="8"/>
                <c:pt idx="0">
                  <c:v>UW</c:v>
                </c:pt>
                <c:pt idx="1">
                  <c:v>MW+OBF</c:v>
                </c:pt>
                <c:pt idx="2">
                  <c:v>MW+OBF+Bac</c:v>
                </c:pt>
                <c:pt idx="3">
                  <c:v>Mw+OBF+Pse</c:v>
                </c:pt>
                <c:pt idx="4">
                  <c:v>MW+OBF+FW</c:v>
                </c:pt>
                <c:pt idx="5">
                  <c:v>MW+OBF+FW+Bac</c:v>
                </c:pt>
                <c:pt idx="6">
                  <c:v>MW+OBF+FW+Pse</c:v>
                </c:pt>
                <c:pt idx="7">
                  <c:v>MW+OBF+FW+Bac+Pse</c:v>
                </c:pt>
              </c:strCache>
            </c:strRef>
          </c:cat>
          <c:val>
            <c:numRef>
              <c:f>'% Bioremediation (2)'!$B$2:$B$9</c:f>
              <c:numCache>
                <c:formatCode>0.00</c:formatCode>
                <c:ptCount val="8"/>
                <c:pt idx="0" formatCode="General">
                  <c:v>0</c:v>
                </c:pt>
                <c:pt idx="1">
                  <c:v>66.488222698072803</c:v>
                </c:pt>
                <c:pt idx="2">
                  <c:v>98.604401502952228</c:v>
                </c:pt>
                <c:pt idx="3">
                  <c:v>98.786581013561729</c:v>
                </c:pt>
                <c:pt idx="4">
                  <c:v>95.057102069950034</c:v>
                </c:pt>
                <c:pt idx="5">
                  <c:v>97.751605995717355</c:v>
                </c:pt>
                <c:pt idx="6">
                  <c:v>97.858672376873656</c:v>
                </c:pt>
                <c:pt idx="7">
                  <c:v>97.537473233404711</c:v>
                </c:pt>
              </c:numCache>
            </c:numRef>
          </c:val>
          <c:extLst>
            <c:ext xmlns:c16="http://schemas.microsoft.com/office/drawing/2014/chart" uri="{C3380CC4-5D6E-409C-BE32-E72D297353CC}">
              <c16:uniqueId val="{00000000-0E46-4147-A62E-E5C0F1264F56}"/>
            </c:ext>
          </c:extLst>
        </c:ser>
        <c:dLbls>
          <c:dLblPos val="outEnd"/>
          <c:showLegendKey val="0"/>
          <c:showVal val="1"/>
          <c:showCatName val="0"/>
          <c:showSerName val="0"/>
          <c:showPercent val="0"/>
          <c:showBubbleSize val="0"/>
        </c:dLbls>
        <c:gapWidth val="182"/>
        <c:axId val="353952832"/>
        <c:axId val="417561664"/>
      </c:barChart>
      <c:catAx>
        <c:axId val="3539528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61664"/>
        <c:crosses val="autoZero"/>
        <c:auto val="1"/>
        <c:lblAlgn val="ctr"/>
        <c:lblOffset val="100"/>
        <c:noMultiLvlLbl val="0"/>
      </c:catAx>
      <c:valAx>
        <c:axId val="41756166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 Biodegradation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952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'Efficiency (2)'!$B$1</c:f>
              <c:strCache>
                <c:ptCount val="1"/>
                <c:pt idx="0">
                  <c:v>Actual Amount Remediated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'Efficiency (2)'!$A$2:$A$7</c:f>
              <c:strCache>
                <c:ptCount val="6"/>
                <c:pt idx="0">
                  <c:v>BAC in MW+OBF</c:v>
                </c:pt>
                <c:pt idx="1">
                  <c:v>PSE in MW+OBF</c:v>
                </c:pt>
                <c:pt idx="2">
                  <c:v>FW in MW+OBF</c:v>
                </c:pt>
                <c:pt idx="3">
                  <c:v>BAC in MW+OBF+FW</c:v>
                </c:pt>
                <c:pt idx="4">
                  <c:v>PSE in MW+OBF+FW</c:v>
                </c:pt>
                <c:pt idx="5">
                  <c:v>BAC+PSE in MW+OBF+FW</c:v>
                </c:pt>
              </c:strCache>
            </c:strRef>
          </c:cat>
          <c:val>
            <c:numRef>
              <c:f>'Efficiency (2)'!$B$2:$B$7</c:f>
              <c:numCache>
                <c:formatCode>0.00</c:formatCode>
                <c:ptCount val="6"/>
                <c:pt idx="0">
                  <c:v>1190</c:v>
                </c:pt>
                <c:pt idx="1">
                  <c:v>1206.6666666666665</c:v>
                </c:pt>
                <c:pt idx="2">
                  <c:v>1067.3333333333335</c:v>
                </c:pt>
                <c:pt idx="3">
                  <c:v>1168</c:v>
                </c:pt>
                <c:pt idx="4">
                  <c:v>1172</c:v>
                </c:pt>
                <c:pt idx="5">
                  <c:v>1160</c:v>
                </c:pt>
              </c:numCache>
            </c:numRef>
          </c:val>
          <c:extLst>
            <c:ext xmlns:c16="http://schemas.microsoft.com/office/drawing/2014/chart" uri="{C3380CC4-5D6E-409C-BE32-E72D297353CC}">
              <c16:uniqueId val="{00000000-A462-45D7-998B-1CEEC1B2E6CA}"/>
            </c:ext>
          </c:extLst>
        </c:ser>
        <c:dLbls>
          <c:dLblPos val="outEnd"/>
          <c:showLegendKey val="0"/>
          <c:showVal val="1"/>
          <c:showCatName val="0"/>
          <c:showSerName val="0"/>
          <c:showPercent val="0"/>
          <c:showBubbleSize val="0"/>
        </c:dLbls>
        <c:gapWidth val="100"/>
        <c:axId val="600519768"/>
        <c:axId val="600516888"/>
      </c:barChart>
      <c:catAx>
        <c:axId val="6005197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516888"/>
        <c:crosses val="autoZero"/>
        <c:auto val="1"/>
        <c:lblAlgn val="ctr"/>
        <c:lblOffset val="100"/>
        <c:noMultiLvlLbl val="0"/>
      </c:catAx>
      <c:valAx>
        <c:axId val="60051688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Efficiency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519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 Efficiency (2)'!$B$1</c:f>
              <c:strCache>
                <c:ptCount val="1"/>
                <c:pt idx="0">
                  <c:v>Percentage (%) Efficiency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pattFill prst="narHorz">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1-999F-4FE4-A408-E834236EA38B}"/>
              </c:ext>
            </c:extLst>
          </c:dPt>
          <c:dPt>
            <c:idx val="1"/>
            <c:invertIfNegative val="0"/>
            <c:bubble3D val="0"/>
            <c:spPr>
              <a:pattFill prst="narHorz">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3-999F-4FE4-A408-E834236EA38B}"/>
              </c:ext>
            </c:extLst>
          </c:dPt>
          <c:dPt>
            <c:idx val="2"/>
            <c:invertIfNegative val="0"/>
            <c:bubble3D val="0"/>
            <c:spPr>
              <a:pattFill prst="narHorz">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5-999F-4FE4-A408-E834236EA38B}"/>
              </c:ext>
            </c:extLst>
          </c:dPt>
          <c:dPt>
            <c:idx val="3"/>
            <c:invertIfNegative val="0"/>
            <c:bubble3D val="0"/>
            <c:spPr>
              <a:pattFill prst="narHorz">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7-999F-4FE4-A408-E834236EA38B}"/>
              </c:ext>
            </c:extLst>
          </c:dPt>
          <c:dPt>
            <c:idx val="4"/>
            <c:invertIfNegative val="0"/>
            <c:bubble3D val="0"/>
            <c:spPr>
              <a:pattFill prst="narHorz">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9-999F-4FE4-A408-E834236EA38B}"/>
              </c:ext>
            </c:extLst>
          </c:dPt>
          <c:dPt>
            <c:idx val="5"/>
            <c:invertIfNegative val="0"/>
            <c:bubble3D val="0"/>
            <c:spPr>
              <a:pattFill prst="narHorz">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B-999F-4FE4-A408-E834236EA3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 Efficiency (2)'!$A$2:$A$7</c:f>
              <c:strCache>
                <c:ptCount val="6"/>
                <c:pt idx="0">
                  <c:v>BAC in MW+OBF</c:v>
                </c:pt>
                <c:pt idx="1">
                  <c:v>PSE in MW+OBF</c:v>
                </c:pt>
                <c:pt idx="2">
                  <c:v>Fish Waste in MW+OBF</c:v>
                </c:pt>
                <c:pt idx="3">
                  <c:v>BAC in MW+OBF+FW</c:v>
                </c:pt>
                <c:pt idx="4">
                  <c:v>PSE in MW+OBF+FW</c:v>
                </c:pt>
                <c:pt idx="5">
                  <c:v>BAC+PSE in MW+OBF+FW</c:v>
                </c:pt>
              </c:strCache>
            </c:strRef>
          </c:cat>
          <c:val>
            <c:numRef>
              <c:f>'% Efficiency (2)'!$B$2:$B$7</c:f>
              <c:numCache>
                <c:formatCode>0.00</c:formatCode>
                <c:ptCount val="6"/>
                <c:pt idx="0">
                  <c:v>32.38976592270005</c:v>
                </c:pt>
                <c:pt idx="1">
                  <c:v>32.695086705202307</c:v>
                </c:pt>
                <c:pt idx="2">
                  <c:v>30.054439647080912</c:v>
                </c:pt>
                <c:pt idx="3">
                  <c:v>31.982475355969331</c:v>
                </c:pt>
                <c:pt idx="4">
                  <c:v>32.056892778993436</c:v>
                </c:pt>
                <c:pt idx="5">
                  <c:v>31.833150384193193</c:v>
                </c:pt>
              </c:numCache>
            </c:numRef>
          </c:val>
          <c:extLst>
            <c:ext xmlns:c16="http://schemas.microsoft.com/office/drawing/2014/chart" uri="{C3380CC4-5D6E-409C-BE32-E72D297353CC}">
              <c16:uniqueId val="{0000000C-999F-4FE4-A408-E834236EA38B}"/>
            </c:ext>
          </c:extLst>
        </c:ser>
        <c:dLbls>
          <c:showLegendKey val="0"/>
          <c:showVal val="0"/>
          <c:showCatName val="0"/>
          <c:showSerName val="0"/>
          <c:showPercent val="0"/>
          <c:showBubbleSize val="0"/>
        </c:dLbls>
        <c:gapWidth val="164"/>
        <c:overlap val="-22"/>
        <c:axId val="498292431"/>
        <c:axId val="498288111"/>
      </c:barChart>
      <c:valAx>
        <c:axId val="49828811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292431"/>
        <c:crosses val="autoZero"/>
        <c:crossBetween val="between"/>
      </c:valAx>
      <c:catAx>
        <c:axId val="49829243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288111"/>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4495</TotalTime>
  <Pages>20</Pages>
  <Words>6762</Words>
  <Characters>38550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 ALERUCHI</dc:creator>
  <cp:keywords/>
  <dc:description/>
  <cp:lastModifiedBy>DR.O. ALERUCHI</cp:lastModifiedBy>
  <cp:revision>43</cp:revision>
  <dcterms:created xsi:type="dcterms:W3CDTF">2024-08-05T15:23:00Z</dcterms:created>
  <dcterms:modified xsi:type="dcterms:W3CDTF">2024-10-25T18:25:00Z</dcterms:modified>
</cp:coreProperties>
</file>