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b w:val="1"/>
          <w:i w:val="1"/>
          <w:u w:val="single"/>
        </w:rPr>
      </w:pPr>
      <w:r w:rsidDel="00000000" w:rsidR="00000000" w:rsidRPr="00000000">
        <w:rPr>
          <w:b w:val="1"/>
          <w:i w:val="1"/>
          <w:u w:val="single"/>
          <w:rtl w:val="0"/>
        </w:rPr>
        <w:t xml:space="preserve">Review Article</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pStyle w:val="Title"/>
        <w:spacing w:after="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widowControl w:val="0"/>
        <w:spacing w:before="23" w:lineRule="auto"/>
        <w:jc w:val="center"/>
        <w:rPr>
          <w:rFonts w:ascii="Arial" w:cs="Arial" w:eastAsia="Arial" w:hAnsi="Arial"/>
          <w:b w:val="1"/>
          <w:sz w:val="24"/>
          <w:szCs w:val="24"/>
          <w:highlight w:val="yellow"/>
        </w:rPr>
      </w:pPr>
      <w:r w:rsidDel="00000000" w:rsidR="00000000" w:rsidRPr="00000000">
        <w:rPr>
          <w:rFonts w:ascii="Arial" w:cs="Arial" w:eastAsia="Arial" w:hAnsi="Arial"/>
          <w:b w:val="1"/>
          <w:sz w:val="24"/>
          <w:szCs w:val="24"/>
          <w:highlight w:val="yellow"/>
          <w:rtl w:val="0"/>
        </w:rPr>
        <w:t xml:space="preserve">DIAGNOSIS, TREATMENT, AND PREVENTION OF ENTEROBIASIS IN PEDIATRIC POPULATIONS: A COMPREHENSIVE REVIEW </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 </w:t>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Arial" w:cs="Arial" w:eastAsia="Arial" w:hAnsi="Arial"/>
          <w:b w:val="1"/>
          <w:color w:val="000000"/>
          <w:sz w:val="36"/>
          <w:szCs w:val="3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016" w:top="1440" w:left="2016" w:right="2016" w:header="720" w:footer="1296"/>
          <w:pgNumType w:start="1"/>
        </w:sectPr>
      </w:pPr>
      <w:r w:rsidDel="00000000" w:rsidR="00000000" w:rsidRPr="00000000">
        <w:rPr>
          <w:rFonts w:ascii="Arial" w:cs="Arial" w:eastAsia="Arial" w:hAnsi="Arial"/>
          <w:color w:val="000000"/>
          <w:sz w:val="16"/>
          <w:szCs w:val="16"/>
        </w:rPr>
        <mc:AlternateContent>
          <mc:Choice Requires="wps">
            <w:drawing>
              <wp:inline distB="0" distT="0" distL="114300" distR="114300">
                <wp:extent cx="0" cy="19050"/>
                <wp:effectExtent b="0" l="0" r="0" t="0"/>
                <wp:docPr id="4" name=""/>
                <a:graphic>
                  <a:graphicData uri="http://schemas.microsoft.com/office/word/2010/wordprocessingShape">
                    <wps:wsp>
                      <wps:cNvSpPr/>
                      <wps:cNvPr id="2" name="Shape 2"/>
                      <wps:spPr>
                        <a:xfrm>
                          <a:off x="2694240" y="3780000"/>
                          <a:ext cx="5303520" cy="0"/>
                        </a:xfrm>
                        <a:custGeom>
                          <a:rect b="b" l="l" r="r" t="t"/>
                          <a:pathLst>
                            <a:path extrusionOk="0" h="1" w="5303520">
                              <a:moveTo>
                                <a:pt x="0" y="0"/>
                              </a:moveTo>
                              <a:lnTo>
                                <a:pt x="5303520" y="0"/>
                              </a:lnTo>
                            </a:path>
                          </a:pathLst>
                        </a:cu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0" cy="19050"/>
                <wp:effectExtent b="0" l="0" r="0" t="0"/>
                <wp:docPr id="4"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0" cy="19050"/>
                        </a:xfrm>
                        <a:prstGeom prst="rect"/>
                        <a:ln/>
                      </pic:spPr>
                    </pic:pic>
                  </a:graphicData>
                </a:graphic>
              </wp:inline>
            </w:drawing>
          </mc:Fallback>
        </mc:AlternateConten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ABSTRACT</w:t>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tbl>
      <w:tblPr>
        <w:tblStyle w:val="Table1"/>
        <w:tblW w:w="842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24"/>
        <w:tblGridChange w:id="0">
          <w:tblGrid>
            <w:gridCol w:w="8424"/>
          </w:tblGrid>
        </w:tblGridChange>
      </w:tblGrid>
      <w:tr>
        <w:trPr>
          <w:cantSplit w:val="0"/>
          <w:tblHeader w:val="0"/>
        </w:trPr>
        <w:tc>
          <w:tcPr>
            <w:shd w:fill="f2f2f2"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b w:val="1"/>
                <w:rtl w:val="0"/>
              </w:rPr>
              <w:t xml:space="preserve">Introduction: </w:t>
            </w:r>
            <w:r w:rsidDel="00000000" w:rsidR="00000000" w:rsidRPr="00000000">
              <w:rPr>
                <w:rFonts w:ascii="Arial" w:cs="Arial" w:eastAsia="Arial" w:hAnsi="Arial"/>
                <w:rtl w:val="0"/>
              </w:rPr>
              <w:t xml:space="preserve">Pediatric enterobiasis is a common parasitic infection caused by Enterobius vermicularis, primarily affecting school-aged children. It is characterized by intense anal itching and can significantly impact well-being and academic performance. Effective diagnosis and treatment are essential to prevent transmission and minimize reinfections. </w:t>
            </w:r>
            <w:r w:rsidDel="00000000" w:rsidR="00000000" w:rsidRPr="00000000">
              <w:rPr>
                <w:rFonts w:ascii="Arial" w:cs="Arial" w:eastAsia="Arial" w:hAnsi="Arial"/>
                <w:b w:val="1"/>
                <w:rtl w:val="0"/>
              </w:rPr>
              <w:t xml:space="preserve">Objective:</w:t>
            </w:r>
            <w:r w:rsidDel="00000000" w:rsidR="00000000" w:rsidRPr="00000000">
              <w:rPr>
                <w:rFonts w:ascii="Arial" w:cs="Arial" w:eastAsia="Arial" w:hAnsi="Arial"/>
                <w:rtl w:val="0"/>
              </w:rPr>
              <w:t xml:space="preserve"> To analyze the most effective diagnostic methods and therapeutic approaches for treating enterobiasis in children, focusing on minimizing infection recurrence.</w:t>
            </w:r>
            <w:r w:rsidDel="00000000" w:rsidR="00000000" w:rsidRPr="00000000">
              <w:rPr>
                <w:rFonts w:ascii="Arial" w:cs="Arial" w:eastAsia="Arial" w:hAnsi="Arial"/>
                <w:b w:val="1"/>
                <w:rtl w:val="0"/>
              </w:rPr>
              <w:t xml:space="preserve"> Methodology:</w:t>
            </w:r>
            <w:r w:rsidDel="00000000" w:rsidR="00000000" w:rsidRPr="00000000">
              <w:rPr>
                <w:rFonts w:ascii="Arial" w:cs="Arial" w:eastAsia="Arial" w:hAnsi="Arial"/>
                <w:rtl w:val="0"/>
              </w:rPr>
              <w:t xml:space="preserve"> This was a bibliographic, exploratory-descriptive study with a qualitative approach. Data collection occurred between 2020 and 2024, using sources such as SciELO, PubMed, and BVS. The descriptors used were "Enterobiasis," "Diagnosis," "Treatment," "Prevention," and "Children," in Portuguese and English, with the help of the Boolean operator "AND". </w:t>
            </w:r>
            <w:r w:rsidDel="00000000" w:rsidR="00000000" w:rsidRPr="00000000">
              <w:rPr>
                <w:rFonts w:ascii="Arial" w:cs="Arial" w:eastAsia="Arial" w:hAnsi="Arial"/>
                <w:b w:val="1"/>
                <w:rtl w:val="0"/>
              </w:rPr>
              <w:t xml:space="preserve">Results and Discussion:</w:t>
            </w:r>
            <w:r w:rsidDel="00000000" w:rsidR="00000000" w:rsidRPr="00000000">
              <w:rPr>
                <w:rFonts w:ascii="Arial" w:cs="Arial" w:eastAsia="Arial" w:hAnsi="Arial"/>
                <w:rtl w:val="0"/>
              </w:rPr>
              <w:t xml:space="preserve"> The diagnosis of enterobiasis is widely performed using the adhesive tape test, considered the gold standard for its practicality and effectiveness, with sensitivity reaching 90% after three consecutive collections. Treatment is primarily conducted with mebendazole or albendazole, administered in a single dose and repeated after two weeks to ensure parasite eradication. However, the high reinfection rate remains a challenge, requiring the implementation of prophylactic measures such as strict hygiene, frequent hand washing, and care of the home and school environment. </w:t>
            </w:r>
            <w:r w:rsidDel="00000000" w:rsidR="00000000" w:rsidRPr="00000000">
              <w:rPr>
                <w:rFonts w:ascii="Arial" w:cs="Arial" w:eastAsia="Arial" w:hAnsi="Arial"/>
                <w:b w:val="1"/>
                <w:rtl w:val="0"/>
              </w:rPr>
              <w:t xml:space="preserve">Conclusion:</w:t>
            </w:r>
            <w:r w:rsidDel="00000000" w:rsidR="00000000" w:rsidRPr="00000000">
              <w:rPr>
                <w:rFonts w:ascii="Arial" w:cs="Arial" w:eastAsia="Arial" w:hAnsi="Arial"/>
                <w:rtl w:val="0"/>
              </w:rPr>
              <w:t xml:space="preserve"> Effective control of enterobiasis requires accurate diagnosis, appropriate treatment, and the adoption of integrated preventive strategies, including health education, personal hygiene practices, and environmental measures. Additionally, treating all family members is essential to reduce reinfection rates and ensure better child health outcomes.</w:t>
            </w:r>
            <w:r w:rsidDel="00000000" w:rsidR="00000000" w:rsidRPr="00000000">
              <w:rPr>
                <w:rtl w:val="0"/>
              </w:rPr>
            </w:r>
          </w:p>
        </w:tc>
      </w:tr>
    </w:tbl>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Arial" w:cs="Arial" w:eastAsia="Arial" w:hAnsi="Arial"/>
          <w:i w:val="1"/>
        </w:rPr>
      </w:pPr>
      <w:r w:rsidDel="00000000" w:rsidR="00000000" w:rsidRPr="00000000">
        <w:rPr>
          <w:rFonts w:ascii="Arial" w:cs="Arial" w:eastAsia="Arial" w:hAnsi="Arial"/>
          <w:i w:val="1"/>
          <w:color w:val="000000"/>
          <w:rtl w:val="0"/>
        </w:rPr>
        <w:t xml:space="preserve">Keywords: </w:t>
      </w:r>
      <w:r w:rsidDel="00000000" w:rsidR="00000000" w:rsidRPr="00000000">
        <w:rPr>
          <w:rFonts w:ascii="Arial" w:cs="Arial" w:eastAsia="Arial" w:hAnsi="Arial"/>
          <w:i w:val="1"/>
          <w:rtl w:val="0"/>
        </w:rPr>
        <w:t xml:space="preserve">Enterobiasis, Diagnosis, Treatment, Prevention, Children.</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Arial" w:cs="Arial" w:eastAsia="Arial" w:hAnsi="Arial"/>
          <w:i w:val="1"/>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Arial" w:cs="Arial" w:eastAsia="Arial" w:hAnsi="Arial"/>
          <w:i w:val="1"/>
          <w:color w:val="000000"/>
          <w:sz w:val="18"/>
          <w:szCs w:val="1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14">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1. INTRODUCTION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rtl w:val="0"/>
        </w:rPr>
        <w:t xml:space="preserve">Enterobiasis, caused by the nematode Enterobius vermicularis, is one of the most common parasitic infections in children, particularly in regions with poor sanitation conditions. Transmitted via the fecal-oral cycle, infection occurs when viable eggs adhere to hands or objects and are ingested, primarily affecting children in shared environments such as schools and daycare centers. The main symptoms include intense perianal itching, which often leads to sleep disturbances, irritability, and, in some cases, more severe complications such as appendicitis due to worm migration to the appendix (Murillo-Zavala et al., 2020; Hooshyar, Jannati Dastgerdi &amp; Kazemi, 2021). Studies have highlighted Enterobius vermicularis as a neglected cause of acute appendicitis, emphasizing the importance of routine pathological examination of appendectomy specimens to detect parasitic infestations and avoid unnecessary surgical procedures</w:t>
      </w:r>
      <w:r w:rsidDel="00000000" w:rsidR="00000000" w:rsidRPr="00000000">
        <w:rPr>
          <w:rFonts w:ascii="Arial" w:cs="Arial" w:eastAsia="Arial" w:hAnsi="Arial"/>
          <w:highlight w:val="yellow"/>
          <w:rtl w:val="0"/>
        </w:rPr>
        <w:t xml:space="preserve"> (Alghamdi et al., 2024; Hasan et al., 2020​​).</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diagnosis of enterobiasis is typically performed using the adhesive tape test, considered the gold standard. This method involves applying a transparent adhesive tape to the perianal region to collect eggs, which are then analyzed microscopically. Diagnostic efficacy increases with repeated testing on consecutive days, achieving a sensitivity of up to 90% with three collections (Gunaratna et al., 2020; Sanduni de Kostha et al., 2022). However, this technique has limitations, such as the need for technical skill to avoid false negatives and the difficulty of application in large populations (Gunaratna et al., 2020).</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treatment of enterobiasis typically involves antiparasitic medications such as mebendazole and albendazole. Both are administered in a single dose and repeated after two weeks to prevent self-infection and ensure complete eradication of the parasites. Studies show that mebendazole is highly effective, but the reinfection rate remains high in environments with insufficient hygiene (Muranaka et al., 2023; Gotor-Gil et al., 2022). Thus, treatment efficacy can be enhanced through prophylactic measures, such as hygiene education and surface disinfection (Huang et al., 2023; Romero-Ramírez, 2022).</w:t>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Reinfection is a significant concern, as E. vermicularis eggs can survive on surfaces for days, promoting self-infection and transmission among family members and school communities. Factors such as crowding and poor hygiene practices exacerbate this situation, highlighting the importance of public health interventions focused on hygiene education and improved living conditions (Chitnis et al., 2020; Romero-Ramírez, 2022). Periodic deworming campaigns can also be an important tool to reduce the infection burden in high-risk settings (La et al., 2022).</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This study aims to analyze the most effective diagnostic methods and therapeutic approaches for treating enterobiasis in children, focusing on minimizing infection recurrence. To this end, it seeks to evaluate the accuracy of existing diagnostic methods, such as the adhesive tape test, compare the efficacy and safety of available treatments, and identify the main risk factors associated with reinfection. The goal is to propose preventive strategies that can significantly reduce recurrence rates and improve child health outcomes.</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E">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2. methodology</w:t>
      </w:r>
    </w:p>
    <w:p w:rsidR="00000000" w:rsidDel="00000000" w:rsidP="00000000" w:rsidRDefault="00000000" w:rsidRPr="00000000" w14:paraId="0000001F">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This study is characterized as a bibliographic, exploratory-descriptive research with a qualitative approach, developed based on previously published material on diagnostic methods and treatments for enterobiasis in children. According to Gil (2022), bibliographic research is based on prepared materials, such as books and scientific articles, enabling a theoretical survey for an in-depth understanding of the subject. The exploratory nature aims to identify the main diagnostic and therapeutic methods, analyzing their effectiveness and limitations, as well as highlighting strategies to minimize infection recurrence (GIL, 2022). As Gonçalves (2003) states, descriptive research aims to record, analyze, and interpret data, establishing correlations between observed characteristics. The qualitative approach adopted allows for a detailed and comprehensive analysis, addressing the efficacy of methods and antiparasitic treatments in clinical practice (MINAYO, 1994).</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Data collection included a bibliographic search in recognized databases, such as the Latin American and Caribbean Health Sciences Literature (LILACS), Scientific Electronic Library Online (SciELO), and PubMed, considering publications from the last 10 years (2013–2023). Full and relevant articles available in Portuguese, English, and Spanish were selected to meet the research scope. Articles not aligned with the topic, duplicates, incomplete materials, or opinion pieces were excluded. Searches on LILACS and BDENF databases were conducted via the Virtual Health Library (VHL). Health Sciences Descriptors (DeCS) were used, with the application of Boolean operators “AND” and “OR” to refine the results and maximize the relevance of the publications found.</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Based on the keywords “Enterobiasis,” “Therapeutics,” and “Antiparasitics,” an initial screening was performed based on titles and abstracts, followed by a detailed reading of articles that met the inclusion criteria. Duplicates were eliminated at all stages. Data analysis was guided by three discussion axes: (1) diagnostic methods for enterobiasis, such as the adhesive tape test, (2) comparisons between pharmacological treatments, such as mebendazole and albendazole, and (3) factors contributing to reinfection and preventive strategies to mitigate it.</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structured methodology resulted in a solid foundation for the investigation, ensuring the validity and depth of the presented results. The review of studies allowed the identification of best practices and challenges associated with the diagnosis and treatment of enterobiasis, highlighting the importance of educational and sanitary strategies for effective infection control and reduction of reinfection rates in pediatric populations.</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5">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3. results and discussion</w:t>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Arial" w:cs="Arial" w:eastAsia="Arial" w:hAnsi="Arial"/>
          <w:b w:val="1"/>
        </w:rPr>
      </w:pPr>
      <w:r w:rsidDel="00000000" w:rsidR="00000000" w:rsidRPr="00000000">
        <w:rPr>
          <w:rFonts w:ascii="Arial" w:cs="Arial" w:eastAsia="Arial" w:hAnsi="Arial"/>
          <w:b w:val="1"/>
          <w:rtl w:val="0"/>
        </w:rPr>
        <w:t xml:space="preserve">3.1 Current diagnostic techniques for pediatric enterobiasis</w:t>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diagnosis of enterobiasis is widely performed using the adhesive tape test (also known as the Graham test), considered the standard technique due to its practicality and effectiveness. In this method, adhesive tape is applied to the perianal region and then transferred to a slide for observation of Enterobius vermicularis eggs (LEE et al., 2023). This test is most effective when conducted in the morning before the area is washed, as female parasites deposit eggs overnight. Studies suggest that the sensitivity of the test increases when samples are collected on three consecutive days, achieving a success rate of approximately 90% (GUNARATNA et al., 2020). Despite its effectiveness, the adhesive tape test has limitations and may require multiple collections to increase the likelihood of detecting eggs (MURILLO-ZAVALA et al., 2020).</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In addition to the adhesive tape test, other diagnostic approaches include the use of perianal swabs and microscopic stool analysis. However, stool examinations have a low detection rate of only 5–15%, as eggs and worms are rarely found in such samples (SANDUNI DE KOSTHA et al., 2022). For greater diagnostic accuracy, it is recommended to collect perianal samples on three consecutive days, which enhances detection sensitivity (GUNARATNA et al., 2020). In specific cases, such as suspected chronic infections or inconclusive diagnoses, complementary methods like histological examinations can be performed (HOOSHYAR; JANNATI DASTGERDI; KAZEMI, 2021).</w:t>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More advanced techniques, such as polymerase chain reaction (PCR), have also been explored for diagnosing enterobiasis, particularly in situations where conventional methods yield contradictory results. PCR offers a more sensitive and specific detection of E. vermicularis, especially in fecal samples, and is considered a robust alternative, albeit at a higher cost (LEE et al., 2023). This technique is particularly useful in epidemiological studies and for confirming infections when visual analysis of eggs is inconclusive (GUNARATNA et al., 2020).</w:t>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Perianal sample collection with adhesive tape remains a widely recommended method due to its ease of use and high detection rate. The effectiveness of this procedure can be enhanced by repeated collection and analysis of samples obtained from under children’s nails, where eggs frequently lodge due to perianal itching and scratching (MURANAKA et al., 2023). In high-risk situations, such as schools, repeating the test during school health exams is a relevant practice for early identification and treatment of infections (HUANG et al., 2023).</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The development of molecular methods and the application of PCR techniques represent a significant advancement for detecting Enterobius vermicularis, though these still face cost and accessibility challenges (SANDUNI DE KOSTHA et al., 2022). The adhesive tape test, despite its limitations, remains the method of choice in many regions due to its simplicity and low cost (MURILLO-ZAVALA et al., 2020). Combining methods, including the use of PCR techniques to confirm doubtful cases, can offer a more robust strategy for diagnosing and controlling enterobiasis in children.</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3.2 Recommended treatments for enterobiasis in children</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Arial" w:cs="Arial" w:eastAsia="Arial" w:hAnsi="Arial"/>
          <w:b w:val="1"/>
          <w:highlight w:val="yellow"/>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The treatment of enterobiasis in children is typically carried out with antiparasitic medications such as mebendazole and albendazole, which have demonstrated significant efficacy in eliminating the infection. Mebendazole is administered in a 100 mg dose, followed by a second dose after two weeks to ensure complete eradication of the parasite and prevent reinfection (LEE et al., 2023). Albendazole, commonly used in a single 400 mg dose, also requires a second administration after two weeks to achieve similar results (MURANAKA et al., 2023). Both treatments are safe and widely accepted in clinical practice, standing out for their ability to interfere with the parasite's microtubule function, resulting in its malnutrition and death.</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In addition to mebendazole and albendazole, pyrantel pamoate is another effective treatment option. This medication works by causing neuromuscular blockade, leading to the paralysis of the worms and facilitating their elimination from the body (LEE et al., 2023). The recommended dose for children is 11 mg/kg, also repeated after two weeks to ensure complete eradication of the infection. In specific cases, piperazine can be used as an alternative, inducing flaccid paralysis in adult worms and aiding in parasite removal (MURILLO-ZAVALA et al., 2020).</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Antiparasitic treatment should be complemented by prophylactic measures, such as administering the medication to all family members, even those who do not exhibit symptoms. This approach aims to prevent reinfection and control the spread of the parasite, which can occur through contact with contaminated surfaces (HOOSHYAR; JANNATI DASTGERDI; KAZEMI, 2021). Repeating the treatment after two weeks is crucial to eliminate newly hatched eggs that may have survived the initial dose, thus ensuring the therapy's full effectiveness (ROMERO-RAMÍREZ, 2022).</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Proper management of enterobiasis also involves guidance on personal hygiene and environmental care, as these factors play a fundamental role in preventing new infections. Recommendations include frequent handwashing, keeping nails short and clean, and regularly changing bedding and underwear. These practices, combined with medication, can reduce the reinfection rate (LEE et al., 2023).</w:t>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In cases of treatment resistance or recurrent infections, ivermectin can be considered as a therapeutic alternative. However, its use is less common and generally reserved for situations where standard treatments have failed. Regardless of the chosen medication, clinical follow-up is essential to monitor treatment efficacy and ensure that all preventive measures are adhered to (SANDUNI DE KOSTHA et al., 2022).</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The management of enterobiasis in children requires a comprehensive approach that includes not only treating the infected child but also all family members. This is due to the high transmissibility of the infection, facilitated by contact with eggs that can remain on surfaces such as bedding, furniture, and toys (LEE et al., 2023). Treatment with antiparasitic medications, such as mebendazole or albendazole, is effective in eliminating the parasites. Administration should be in a single dose, followed by a second dose after two weeks to ensure complete eradication and prevent reinfections (MURILLO-ZAVALA et al., 2020).</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Management guidelines emphasize the importance of maintaining rigorous personal and environmental hygiene. This includes frequent handwashing, keeping nails short and clean, regularly changing bedding, and avoiding scratching the perianal region, as this can facilitate the spread of eggs and increase the risk of reinfection (HOOSHYAR; JANNATI DASTGERDI; KAZEMI, 2021). Proper hygiene measures are essential to interrupt the transmission cycle and protect the health of all household members (LEE et al., 2023).</w:t>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Repeating the treatment after 14 days is recommended because antiparasitic medications, such as mebendazole and albendazole, eliminate adult worms but may not affect all eggs. The second treatment cycle ensures that newly hatched parasites are also eradicated (ROMERO-RAMÍREZ, 2022). Prophylaxis should be accompanied by continuous education on good hygiene practices, both at home and in school and community settings, to reduce reinfection rates (LEE et al., 2023).</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In addition to administering medications, effective management of enterobiasis includes periodic examinations of children, particularly in daycare centers and schools, and guiding parents and caregivers on the importance of early symptom identification and seeking treatment (SANDUNI DE KOSTHA et al., 2022). Implementing regular screenings helps in the early detection of cases, enabling a quicker response and preventing outbreaks in high-density environments (MURANAKA et al., 2023).</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To ensure treatment success and prevent reinfections, it is vital that the entire household participates in the infection management process. Alongside pharmacological treatment, rigorous environmental cleaning should be maintained, including washing bedding and toys in hot water. Hygiene care and consistent application of preventive measures are fundamental to interrupting parasite propagation and protecting everyone's health (HOOSHYAR; JANNATI DASTGERDI; KAZEMI, 2021).</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3.3 Prevention strategies for enterobiasis in children</w:t>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Preventing enterobiasis in children requires a multidimensional approach that includes personal hygiene education and strict environmental control. Key practices include frequent handwashing with soap and water, especially after using the bathroom and before meals, and avoiding behaviors such as nail-biting or finger-sucking (LEE et al., 2023). Keeping nails short and clean, regularly changing bedding and pajamas, and washing clothes and linens in hot water are essential practices to prevent reinfection and the spread of parasite eggs (ROMERO-RAMÍREZ, 2022).</w:t>
      </w:r>
    </w:p>
    <w:p w:rsidR="00000000" w:rsidDel="00000000" w:rsidP="00000000" w:rsidRDefault="00000000" w:rsidRPr="00000000" w14:paraId="0000004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Promoting health education programs is crucial to increasing awareness among parents and caregivers about preventive practices, such as avoiding the sharing of sleeping spaces between infected and non-infected individuals. Encouraging personal hygiene in schools and daycare centers is vital to reducing the transmission of enterobiasis, ensuring that children learn and practice proper handwashing and other hygiene measures (HOOSHYAR; JANNATI DASTGERDI; KAZEMI, 2021). Supervising children’s hygiene habits, particularly in institutional settings, should be prioritized to prevent outbreaks (MURILLO-ZAVALA et al., 2020).</w:t>
      </w:r>
    </w:p>
    <w:p w:rsidR="00000000" w:rsidDel="00000000" w:rsidP="00000000" w:rsidRDefault="00000000" w:rsidRPr="00000000" w14:paraId="0000004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Prevention strategies should also include improvements in basic sanitation and access to clean drinking water. Measures such as maintaining the cleanliness of home and school environments and disinfecting surfaces can help reduce the survival of Enterobius vermicularis eggs, which can remain viable for up to three weeks (SANDUNI DE KOSTHA et al., 2022). Regular deworming programs for children in high-risk communities, combined with periodic screening, are effective tools to reduce the prevalence of infection (LEE et al., 2023).</w:t>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In addition to hygiene practices, improving socioeconomic conditions is important to ensure families can adopt preventive habits and access resources for cleaning and treatment. Collaboration between governments, schools, and healthcare professionals to implement education campaigns on the importance of hygiene and regular treatment of positive cases is a key strategy for containing the spread of the parasite (ROMERO-RAMÍREZ, 2022). The use of gloves during sleep for children and thorough cleaning of floors and surfaces with appropriate disinfectants are also recommended to prevent the dispersal of eggs (MURANAKA et al., 2023).</w:t>
      </w:r>
    </w:p>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Effective prevention of enterobiasis should be based on an integrated approach that combines hygiene education, improved sanitation conditions, and the implementation of environmental control measures. Conducting community health programs and fostering active participation from families and educational institutions are fundamental to creating a safe environment and reducing infection rates. These collaborative practices help promote awareness of the importance of hygiene and the prevention of enterobiasis, particularly in high-risk areas (HOOSHYAR; JANNATI DASTGERDI; KAZEMI, 2021).</w:t>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highlight w:val="yellow"/>
        </w:rPr>
      </w:pPr>
      <w:r w:rsidDel="00000000" w:rsidR="00000000" w:rsidRPr="00000000">
        <w:rPr>
          <w:rFonts w:ascii="Arial" w:cs="Arial" w:eastAsia="Arial" w:hAnsi="Arial"/>
          <w:b w:val="1"/>
          <w:smallCaps w:val="1"/>
          <w:color w:val="000000"/>
          <w:sz w:val="22"/>
          <w:szCs w:val="22"/>
          <w:highlight w:val="yellow"/>
          <w:rtl w:val="0"/>
        </w:rPr>
        <w:t xml:space="preserve">4. Conclusion</w:t>
      </w:r>
    </w:p>
    <w:p w:rsidR="00000000" w:rsidDel="00000000" w:rsidP="00000000" w:rsidRDefault="00000000" w:rsidRPr="00000000" w14:paraId="00000049">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highlight w:val="yellow"/>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Arial" w:cs="Arial" w:eastAsia="Arial" w:hAnsi="Arial"/>
          <w:highlight w:val="yellow"/>
        </w:rPr>
      </w:pPr>
      <w:r w:rsidDel="00000000" w:rsidR="00000000" w:rsidRPr="00000000">
        <w:rPr>
          <w:rFonts w:ascii="Arial" w:cs="Arial" w:eastAsia="Arial" w:hAnsi="Arial"/>
          <w:highlight w:val="yellow"/>
          <w:rtl w:val="0"/>
        </w:rPr>
        <w:t xml:space="preserve">Enterobiasis, a common parasitic infection in children, requires an integrated approach for effective control. Early diagnosis through the adhesive tape test, combined with effective treatments such as mebendazole, albendazole, or pyrantel pamoate, is essential. Preventive strategies, including hygiene education, environmental cleaning, and deworming campaigns, are crucial to reducing reinfection rates. Collaboration among families, schools, and healthcare services, alongside improvements in sanitation, is fundamental to eradicating the infection and safeguarding child health.</w:t>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E">
      <w:pPr>
        <w:spacing w:after="20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Disclaimer (Artificial intelligence)</w:t>
      </w:r>
    </w:p>
    <w:p w:rsidR="00000000" w:rsidDel="00000000" w:rsidP="00000000" w:rsidRDefault="00000000" w:rsidRPr="00000000" w14:paraId="0000004F">
      <w:pPr>
        <w:spacing w:after="20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Option 2: </w:t>
      </w:r>
    </w:p>
    <w:p w:rsidR="00000000" w:rsidDel="00000000" w:rsidP="00000000" w:rsidRDefault="00000000" w:rsidRPr="00000000" w14:paraId="00000050">
      <w:pPr>
        <w:spacing w:after="20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51">
      <w:pPr>
        <w:spacing w:after="20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Details of the AI usage are given below:</w:t>
      </w:r>
    </w:p>
    <w:p w:rsidR="00000000" w:rsidDel="00000000" w:rsidP="00000000" w:rsidRDefault="00000000" w:rsidRPr="00000000" w14:paraId="00000052">
      <w:pPr>
        <w:spacing w:after="20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1. Technology Used: OpenAI's GPT-4, version 4.0, model from OpenAI</w:t>
      </w:r>
    </w:p>
    <w:p w:rsidR="00000000" w:rsidDel="00000000" w:rsidP="00000000" w:rsidRDefault="00000000" w:rsidRPr="00000000" w14:paraId="00000053">
      <w:pPr>
        <w:spacing w:after="20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Source: OpenAI API platform</w:t>
      </w:r>
    </w:p>
    <w:p w:rsidR="00000000" w:rsidDel="00000000" w:rsidP="00000000" w:rsidRDefault="00000000" w:rsidRPr="00000000" w14:paraId="00000054">
      <w:pPr>
        <w:spacing w:after="200" w:line="276" w:lineRule="auto"/>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Purpose of Use: Used for generating suggestions, improving clarity, and refining the language in the manuscript, as well as assisting with the synthesis of information and structuring sections of the text.</w:t>
      </w:r>
    </w:p>
    <w:p w:rsidR="00000000" w:rsidDel="00000000" w:rsidP="00000000" w:rsidRDefault="00000000" w:rsidRPr="00000000" w14:paraId="00000055">
      <w:pPr>
        <w:spacing w:after="200" w:line="276" w:lineRule="auto"/>
        <w:rPr>
          <w:rFonts w:ascii="Arial" w:cs="Arial" w:eastAsia="Arial" w:hAnsi="Arial"/>
          <w:color w:val="000000"/>
        </w:rPr>
      </w:pPr>
      <w:r w:rsidDel="00000000" w:rsidR="00000000" w:rsidRPr="00000000">
        <w:rPr>
          <w:rFonts w:ascii="Calibri" w:cs="Calibri" w:eastAsia="Calibri" w:hAnsi="Calibri"/>
          <w:sz w:val="22"/>
          <w:szCs w:val="22"/>
          <w:highlight w:val="yellow"/>
          <w:rtl w:val="0"/>
        </w:rPr>
        <w:t xml:space="preserve">2. Additional Context: The AI was employed solely for enhancing the manuscript's content. No AI-generated content was included without review, and all outputs from the AI were verified and modified by the authors before inclusion in the manuscript.</w:t>
      </w:r>
      <w:r w:rsidDel="00000000" w:rsidR="00000000" w:rsidRPr="00000000">
        <w:rPr>
          <w:rtl w:val="0"/>
        </w:rPr>
      </w:r>
    </w:p>
    <w:p w:rsidR="00000000" w:rsidDel="00000000" w:rsidP="00000000" w:rsidRDefault="00000000" w:rsidRPr="00000000" w14:paraId="00000056">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References</w:t>
      </w:r>
    </w:p>
    <w:p w:rsidR="00000000" w:rsidDel="00000000" w:rsidP="00000000" w:rsidRDefault="00000000" w:rsidRPr="00000000" w14:paraId="00000057">
      <w:pPr>
        <w:keepNext w:val="1"/>
        <w:pBdr>
          <w:top w:space="0" w:sz="0" w:val="nil"/>
          <w:left w:space="0" w:sz="0" w:val="nil"/>
          <w:bottom w:space="0" w:sz="0" w:val="nil"/>
          <w:right w:space="0" w:sz="0" w:val="nil"/>
          <w:between w:space="0" w:sz="0" w:val="nil"/>
        </w:pBdr>
        <w:jc w:val="both"/>
        <w:rPr>
          <w:rFonts w:ascii="Arial" w:cs="Arial" w:eastAsia="Arial" w:hAnsi="Arial"/>
          <w:b w:val="1"/>
          <w:smallCaps w:val="1"/>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CATEAU, E. et al. Enterobius vermicularis in the kidney: an unusual location. Journal of Medical Microbiology, v. 59, n. 7, p. 860–861, 1 jul. 2010b.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CARRANZA-RODRÍGUEZ, C. et al. Refractory Enterobius vermicularis infection in an elderly woman: Mebendazole or albendazole? Revista Española de Quimioterapia, v. 37, n. 5, p. 435–437, 12 jul. 2024.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JAWABREH, I. et al. Enterobius vermicularis (pinworm) infestation mimicking acute appendicitis in two children from Palestine: a case report. Journal of Medical Case Reports, v. 18, n. 1, 24 set. 2024.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BALL, N.; NEWSOM, D. Needles in the haystack: Enterobius vermicularis in the appendix. Journal of Paediatrics and Child Health, v. 55, n. 12, p. 1501–1502, 30 jul. 2019.</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DÖNMEZ, M. E. et al. Enterobius vermicularis: Can it be a possible pathogen in Bartholin gland abscess formation? Journal of Obstetrics and Gynaecology Research, v. 40, n. 1, p. 268–270, 5 set. 2013. </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Iranian Journal of Parasitology. Disponível em: &lt;http://ijpa.tums.ac.ir&gt;.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CHOU, Y.-H. et al. Enterobius vermicularis infection mimicking strongyloidiasis: A case report. Journal of Microbiology Immunology and Infection, v. 51, n. 6, p. 858–859, 25 ago. 2018. </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POWELL, G. et al. Enterobius vermicularis infection of the ovary. BMJ Case Reports, v. 2013, 31 out. 2013.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MURANAKA, E. et al. Enterobiasis in the hospitalized patient. Journal of General and Family Medicine, v. 24, n. 4, p. 266–267, 30 maio 2023.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HUANG, J. et al. Epidemiological Profile and Spatial Patterns of Enterobiasis in Children Aged 3–9 Years in China from 2016 to 2020. Tropical Medicine and Infectious Disease, v. 8, n. 1, p. 25, 29 dez. 2022.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DE KOSTHA, Y. B. N. S. et al. Characterization of antigens of Enterobius vermicularis (pinworm) eggs. Scientific Reports, v. 12, n. 1, 24 ago. 2022. </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GUNARATNA, G. P. et al. DIAGNOSIS OF ENTEROBIUS VERMICULARIS INFESTATIONS. Journal of Paediatrics and Child Health, v. 56, n. 12, p. 1994–1994, dez. 2020.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CHITNIS, A. et al. Enterobius Vermicularis: A Parasitic Cause of Appendicular Colic. Cureus, 9 jun. 2020.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Iranian Journal of Parasitology. Disponível em: &lt;http://ijpa.tums.ac.ir&gt;.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SIIC En Internet. Disponível em: &lt;http://www.siic.info&gt;. Acesso em: 21 nov. 2024.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KOLLI, S.; KOLLI, S. S.; ONA, M. A. Marshall Islands Pinworm. Cureus, 22 maio 2019.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DE LA LUZ GALVÁN-RAMÍREZ, M. et al. Enteroparasitism and Risk Factors Associated with Clinical Manifestations in Children and Adults of Jalisco State in Western Mexico. Osong Public Health and Research Perspectives, v. 10, n. 1, p. 39–48, 1 fev. 2019. </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FRECKLETON, J. T.-A. V. et al. Prevalência de enteroparasitoses em crianças de uma cidade do norte do Paraná e fatores associados. Semina: Ciências Biológicas e da Saúde, v. 40, n. 1, p. 89, 5 set. 2019.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NUNES, M.; THIAGO, J.; MATOS-ROCHA. Aceito em: 2 Abr. J. Health Biol Sci, v. 7, n. 3, p. 265–270, 2018. </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CHOU, Y.-H. et al. Enterobius vermicularis infection mimicking strongyloidiasis: A case report. Journal of Microbiology Immunology and Infection, v. 51, n. 6, p. 858–859, 25 ago. 2018.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TAYLOR, A. et al. A preliminary epidemiological study of pinworm infection in Thaklong Municipal Early Childhood Development Center and Rangsit Babies’ Home, Pathum Thani, Thailand. BMC Research Notes, v. 11, n. 1, 20 ago. 2018.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RIVERO, M. R. et al. Environmental and socio-demographic individual, family and neighborhood factors associated with children intestinal parasitoses at Iguazú, in the subtropical northern border of Argentina. PLoS neglected tropical diseases, v. 11, n. 11, p. e0006098, 1 nov. 2017.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DUNPHY, L.; CLARK, Z.; RAJA, M. H. Enterobius vermicularis(pinworm) infestation in a child presenting with symptoms of acute appendicitis: a wriggly tale! BMJ Case Reports, p. bcr-2017-220473, 6 out. 2017.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HARTUIS, S. et al. The Novodiag® Stool parasites assay, na innovative high-plex technique for fast detection of protozoa, helminths and microsporidia in stool samples: a retrospective and prospective study. Parasite, v. 29, p. 27, 2022.</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DUDLOVÁ, A. et al. The incidence of pinworm (Enterobius vermicularis) in pre-school and school aged children in the Eastern Slovakia. Helminthologia, v. 55, n. 4, p. 275–280, 27 out. 2018.</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ABAH, A. E.; ARENE, F. O. I. Status of Intestinal Parasitic Infections among Primary School Children in Rivers State, Nigeria. Journal of Parasitology Research, v. 2015, p. 1–7, 2015.</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PRYMA, C. et al. Small bowel intussusception and Enterobius vermicularis infestation in a 20-year-old woman. BMJ Case Reports, v. 14, n. 1, p. e238077, jan. 2021.</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COCIANCIC, P. et al. Risk factors for intestinal parasitoses among children and youth of Buenos Aires, Argentina. One Health, v. 9, p. 100116, 1 jun. 2020.</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LI, H.-M. et al. Risk factors for Enterobius vermicularis infection in children in Gaozhou, Guangdong, China. Infectious Diseases of Poverty, v. 4, n. 1, 2 jun. 2015.</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YENTUR DONI, N. et al. Risk Factors and Relationship Between Intestinal Parasites and the Growth Retardation and Psychomotor Development Delays of Children in Şanlıurfa, Turkey. Turkish Journal of Parasitology, v. 39, n. 4, p. 270–276, 26 jan. 2016.</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GIRALDO FORERO, J. C. et al. Prevalencia y variables asociadas a la transmisión de Enterobius vermicularis em niños em edad preescolar y escolar em dos municipios de Cundinamarca, Colombia. Revista Med, v. 27, n. 1, p. 17–27, 15 maio 2020.</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WANG, S. et al. Prevalence ofEnterobius vermicularisamong preschool children in 2003 and 2013 in Xinxiang city, Henan province, Central China. Parasite, v. 23, p. 30, 2016.</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LEE, M.-R. et al. Positive rates for Enterobius vermicularis eggs among preschool children in Yeosu-si, Jeollanam-do, Korea (2017-2021). The Korean Journal of Parasitology, v. 61, n. 1, p. 84–88, 22 fev. 2023.</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TJADEN, B. L.; SCHROPP, K. P. Pediatric Intussusception Associated with Enterobius vermicularis. The Journal of Pediatrics, v. 165, n. 6, p. 1272-1272.e1, dez. 2014.</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KHUBCHANDANI, I. T.; BUB, D. S. Parasitic Infections. Clinics in Colon and Rectal Surgery, v. 32, n. 05, p. 364–371, set. 2019.</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HECHENBLEIKNER, E. M.; MCQUADE, J. A. Parasitic Colitis. Clinics in Colon and Rectal Surgery, v. 28, n. 2, p. 79–86, 1 jun. 2015.</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 INTRA, J. et al. Multiple Parasitic Infestation in a Nine-month-old Patient: A Case Report. Helminthologia, v. 56, n. 1, p. 53–56, 6 mar. 2019.</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MAO, F. et al. Knowledge and Practice of Pinworm Infection in Preschool Children, Jiangsu Province, China, 2019–2020. American Journal of Public Health, v. 112, n. 12, p. 1716–1720, dez. 2022.</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HSIAO, Y.-C. et al. Is pinworm infection still a public health concern among children in resource-rich regions? Trends in pinworm infection prevalence and associated factors among children in Hualien County, Taiwan: a retrospective cross-sectional study. BMC public health, v. 22, n. 1, p. 2200, 28 nov. 2022.</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AL-DAOODY, A. A. K.; AL-BAZZAZ, E. N. H. Impact of Enterobius vermicularis infection on biochemical parameters in the blood of children in Erbil Province, Iraq. BMC Infectious Diseases, v. 20, n. 1, 12 maio 2020.</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CHAI, J.-Y. et al. High Prevalence of Enterobius vermicularis Infection among Schoolchildren in Three Townships around Yangon, Myanmar. The Korean Journal of Parasitology, v. 53, n. 6, p. 771–775, 31 dez. 2015.</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CARDOZO OCAMPOS, G. E.; CAÑETE DUARTE, Z.; LENARTOVICZ, V. Frecuencia de enteroparásitos en niños y niñas del primer ciclo de la educación escolar básica de Escuelas Públicas de Ciudad del Este, Paraguay. Memorias del Instituto de Investigaciones en Ciencias de la Salud, v. 13, n. 1, p. 24–30, 1 abr. 2015.</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AL-SHOULI, S. T. et al. Fatal Case of a Child Harboring Enterobius vermicularis. Healthcare, v. 11, n. 6, p. 917, 1 jan. 2023.</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FAN, C.-K. et al. Epidemiologic Study of Enterobius vermicularis Infection among Schoolchildren in the Republic of Marshall Islands. Journal of Tropical Medicine, v. 2021, p. e6273954, 2 ago. 2021.</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YIN, A.-W. et al. Epidemiologic Investigation of Intestinal Parasite Infection and Associated Risk Factors among Primary Schoolchildren in the Manzini and Lubombo Provinces, the Kingdom of Eswatini. Journal of Tropical Medicine, v. 2022, p. e9190333, 14 nov. 2022.</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CHEN, K.-Y. et al. Enterobius vermicularis infection and its risk factors among pre-school children in Taipei, Taiwan. Journal of Microbiology, Immunology and Infection, v. 51, n. 4, p. 559–564, ago. 2018.</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SHARMA, M.; KAUL, R.; CHANDER, B. Enterobius vermicularis infestation leading to Meckel’s diverticulitis in na adolescent boy: Na extremely rare presentation. Journal of Laboratory Physicians, v. 10, n. 01, p. 106–108, jan. 2018.</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FAN, C.-K. et al. Enterobius vermicularis infection: prevalence and risk factors among preschool children in kindergarten in the capital area, Republic of the Marshall Islands. BMC Infectious Diseases, v. 19, n. 1, 18 jun. 2019.</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SOČAN, M. et al. Enterobius vermicularis infection: a cross-sectional study in preschool and school children in the North-Western part of Slovenia. Helminthologia, v. 59, n. 4, p. 357–363, 1 dez. 2022.</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SHIN, H. et al. Enterobius vermicularis Infection among Preschool Children: A 12-Year (2008-2019) Survey in Large Cities and Provinces of the Republic of Korea. v. 59, n. 4, p. 421–426, 18 ago. 2021.</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AL-ADHROEY, A. H. et al. Enterobiasis among Yemeni children: a cross-sectional study. Journal of Parasitic Diseases, v. 46, n. 3, p. 722–728, 28 abr. 2022.</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KIM, D.-H.; YU, H. S. Effect of a One-Off Educational Session about Enterobiasis on Knowledge, Preventative Practices, and Infection Rates among Schoolchildren in South Korea. PLoS ONE, v. 9, n. 11, p. e112149, 5 nov. 2014.</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EDASO AMANA HUSEN et al. Cross-Sectional Study on Assessment of Frequency of Intestinal Helminth Infections and Its Related Risk Factors among School Children from Adola Town, Ethiopia. v. 2022, p. 1–12, 11 abr. 2022.</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ZANOTTO, M. et al. PREVALENCE OF INTESTINAL PARASITES AND SOCIOECONOMIC EVALUATION OF A COUNTRY TOWN IN THE SERRA GAUCHA REGION, RIO GRANDE DO SUL, BRAZIL. Revista de Patologia Tropical / Journal of Tropical Pathology, v. 47, n. 1, p. 19–30, 29 mar. 2018.</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UMMARINO, A. et al. A PCR-based method for the diagnosis of Enterobius vermicularis in stool samples, specifically designed for clinical application. Frontiers in Microbiology, v. 13, 17 nov. 2022.</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SANTOS, J. D. et al. PARASITOSES INTESTINAIS EM CRIANÇAS DE CRECHE COMUNITÁRIA EM FLORIANÓPOLIS, SC, BRASIL. Revista de Patologia Tropical, v. 43, n. 3, 9 out. 2014.</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CHOI, S.-C. et al. Parasitic Infections Based on 320 Clinical Samples Submitted to Hanyang University, Korea (2004-2011). Korean Journal of Parasitology, v. 52, n. 2, p. 215–220, 18 abr. 2014.</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FERREIRA, A. L. DE C. et al. Prevalência de parasitos intestinais em crianças de pré-escolas públicas na Tríplice Fronteira Brasil, Argentina e Paraguai. ABCS Health Sciences, v. 46, p. e021205–e021205, 8 mar. 2021.</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MOHITE ASHOK ROHIDAS et al. Massive infestation with pinworms causing chronic diarrhea. Journal of the Formosan Medical Association, v. 114, n. 10, p. 1011–1012, 7 abr. 2013.</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TARIQ, S. Enterobiasis: threadworm infection presenting as acute appendicitis in a 13-year-old girl. Case Reports, v. 2015, n. jan14 1, p. bcr2014208543–bcr2014208543, 14 jan. 2015.</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YILDIZ, T. et al. Parasites in the Etiology of Pediatric Appendicitis. Turkish Journal of Parasitology, v. 39, n. 3, p. 190–193, 7 out. 2015.</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ALTINÖZ AYTAR, A. et al. [Investigation of Intestinal Parasites and Level of Hygiene Knowledge of School Students]. Turkiye Parazitolojii Dergisi, v. 39, n. 4, p. 277–285, 1 dez. 2015.</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AMIRI, S. A. N. et al. Prevalence of Enterobius vermicularis infection among preschool children, Babol, North of Iran. Journal of Parasitic Diseases, v. 40, n. 4, p. 1558–1562, 12 jan. 2016.</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AFRAKHTEH, N. et al. Prevalence of Enterobius vermicularis amongst kindergartens and preschool children in Mazandaran Province, North of Iran. Journal of Parasitic Diseases, v. 40, n. 4, p. 1332–1336, 3 abr. 2015.</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NGUI, R. et al. Enterobius vermicularis Salpingitis Seen in the Setting of Ectopic Pregnancy in a Malaysian Patient. Journal of Clinical Microbiology, v. 52, n. 9, p. 3468–3470, 2 jul. 2014.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00" w:lineRule="auto"/>
        <w:jc w:val="both"/>
        <w:rPr>
          <w:rFonts w:ascii="Arial" w:cs="Arial" w:eastAsia="Arial" w:hAnsi="Arial"/>
        </w:rPr>
        <w:sectPr>
          <w:headerReference r:id="rId14" w:type="default"/>
          <w:headerReference r:id="rId15" w:type="first"/>
          <w:headerReference r:id="rId16" w:type="even"/>
          <w:footerReference r:id="rId17" w:type="default"/>
          <w:type w:val="continuous"/>
          <w:pgSz w:h="15840" w:w="12240" w:orient="portrait"/>
          <w:pgMar w:bottom="2016" w:top="1440" w:left="2016" w:right="2016" w:header="720" w:footer="1123"/>
        </w:sectPr>
      </w:pPr>
      <w:r w:rsidDel="00000000" w:rsidR="00000000" w:rsidRPr="00000000">
        <w:rPr>
          <w:rFonts w:ascii="Arial" w:cs="Arial" w:eastAsia="Arial" w:hAnsi="Arial"/>
          <w:rtl w:val="0"/>
        </w:rPr>
        <w:t xml:space="preserve">ZORBOZAN, O.; TURGAY, N. Monitoring the Trends in Intestinal Parasite Frequencies; 2018 and 2022 Data. Turkiye Parazitolojii Dergisi, v. 47, n. 1, p. 59–63, 2 mar. 2023.</w:t>
      </w:r>
    </w:p>
    <w:p w:rsidR="00000000" w:rsidDel="00000000" w:rsidP="00000000" w:rsidRDefault="00000000" w:rsidRPr="00000000" w14:paraId="0000009A">
      <w:pPr>
        <w:keepNext w:val="1"/>
        <w:pBdr>
          <w:top w:space="0" w:sz="0" w:val="nil"/>
          <w:left w:space="0" w:sz="0" w:val="nil"/>
          <w:bottom w:space="0" w:sz="0" w:val="nil"/>
          <w:right w:space="0" w:sz="0" w:val="nil"/>
          <w:between w:space="0" w:sz="0" w:val="nil"/>
        </w:pBdr>
        <w:jc w:val="both"/>
        <w:rPr>
          <w:rFonts w:ascii="Arial" w:cs="Arial" w:eastAsia="Arial" w:hAnsi="Arial"/>
          <w:smallCaps w:val="1"/>
          <w:color w:val="000000"/>
          <w:sz w:val="22"/>
          <w:szCs w:val="22"/>
        </w:rPr>
      </w:pP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320"/>
        <w:tab w:val="right" w:leader="none" w:pos="8640"/>
      </w:tabs>
      <w:rPr>
        <w:rFonts w:ascii="Helvetica Neue" w:cs="Helvetica Neue" w:eastAsia="Helvetica Neue" w:hAnsi="Helvetica Neue"/>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center" w:leader="none" w:pos="4320"/>
        <w:tab w:val="right" w:leader="none" w:pos="864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320"/>
        <w:tab w:val="right" w:leader="none" w:pos="8640"/>
      </w:tabs>
      <w:rPr>
        <w:rFonts w:ascii="Helvetica Neue" w:cs="Helvetica Neue" w:eastAsia="Helvetica Neue" w:hAnsi="Helvetica Neue"/>
        <w:color w:val="000000"/>
      </w:rPr>
    </w:pPr>
    <w:r w:rsidDel="00000000" w:rsidR="00000000" w:rsidRPr="00000000">
      <w:rPr/>
      <w:pict>
        <v:shape id="PowerPlusWaterMarkObject6"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320"/>
        <w:tab w:val="right" w:leader="none" w:pos="8640"/>
      </w:tabs>
      <w:rPr>
        <w:rFonts w:ascii="Helvetica Neue" w:cs="Helvetica Neue" w:eastAsia="Helvetica Neue" w:hAnsi="Helvetica Neue"/>
        <w:color w:val="000000"/>
      </w:rPr>
    </w:pPr>
    <w:r w:rsidDel="00000000" w:rsidR="00000000" w:rsidRPr="00000000">
      <w:rPr/>
      <w:pict>
        <v:shape id="PowerPlusWaterMarkObject4"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ind w:left="2160" w:firstLine="0"/>
      <w:jc w:val="center"/>
      <w:rPr>
        <w:rFonts w:ascii="Times New Roman" w:cs="Times New Roman" w:eastAsia="Times New Roman" w:hAnsi="Times New Roman"/>
        <w:i w:val="1"/>
        <w:sz w:val="18"/>
        <w:szCs w:val="18"/>
      </w:rPr>
    </w:pPr>
    <w:r w:rsidDel="00000000" w:rsidR="00000000" w:rsidRPr="00000000">
      <w:rPr/>
      <w:pict>
        <v:shape id="PowerPlusWaterMarkObject5"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09E">
    <w:pPr>
      <w:ind w:left="4320" w:firstLine="0"/>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9F">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w:t>
    </w:r>
  </w:p>
  <w:p w:rsidR="00000000" w:rsidDel="00000000" w:rsidP="00000000" w:rsidRDefault="00000000" w:rsidRPr="00000000" w14:paraId="000000A0">
    <w:pPr>
      <w:spacing w:after="20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              . </w:t>
    </w:r>
  </w:p>
  <w:p w:rsidR="00000000" w:rsidDel="00000000" w:rsidP="00000000" w:rsidRDefault="00000000" w:rsidRPr="00000000" w14:paraId="000000A1">
    <w:pPr>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 xml:space="preserve">                     </w:t>
    </w:r>
  </w:p>
  <w:p w:rsidR="00000000" w:rsidDel="00000000" w:rsidP="00000000" w:rsidRDefault="00000000" w:rsidRPr="00000000" w14:paraId="000000A2">
    <w:pPr>
      <w:tabs>
        <w:tab w:val="left" w:leader="none" w:pos="2145"/>
      </w:tabs>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i w:val="1"/>
        <w:sz w:val="18"/>
        <w:szCs w:val="18"/>
        <w:rtl w:val="0"/>
      </w:rPr>
      <w:tab/>
      <w:t xml:space="preserve">.</w:t>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320"/>
        <w:tab w:val="right" w:leader="none" w:pos="8640"/>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2"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3"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pict>
        <v:shape id="PowerPlusWaterMarkObject1" style="position:absolute;width:520.65pt;height:57.8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spacing w:after="360" w:lineRule="auto"/>
      <w:jc w:val="right"/>
    </w:pPr>
    <w:rPr>
      <w:b w:val="1"/>
      <w:sz w:val="36"/>
      <w:szCs w:val="36"/>
    </w:rPr>
  </w:style>
  <w:style w:type="paragraph" w:styleId="Normal" w:default="1">
    <w:name w:val="Normal"/>
    <w:qFormat w:val="1"/>
    <w:rsid w:val="00423789"/>
    <w:rPr>
      <w:rFonts w:ascii="Helvetica" w:hAnsi="Helvetica"/>
    </w:rPr>
  </w:style>
  <w:style w:type="paragraph" w:styleId="Heading1">
    <w:name w:val="heading 1"/>
    <w:basedOn w:val="Normal"/>
    <w:next w:val="Normal"/>
    <w:uiPriority w:val="9"/>
    <w:qFormat w:val="1"/>
    <w:rsid w:val="00423789"/>
    <w:pPr>
      <w:keepNext w:val="1"/>
      <w:spacing w:after="60" w:before="240"/>
      <w:outlineLvl w:val="0"/>
    </w:pPr>
    <w:rPr>
      <w:rFonts w:ascii="Arial" w:hAnsi="Arial"/>
      <w:b w:val="1"/>
      <w:kern w:val="28"/>
      <w:sz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rsid w:val="00423789"/>
    <w:pPr>
      <w:spacing w:after="360"/>
      <w:jc w:val="right"/>
    </w:pPr>
    <w:rPr>
      <w:b w:val="1"/>
      <w:kern w:val="28"/>
      <w:sz w:val="36"/>
    </w:rPr>
  </w:style>
  <w:style w:type="paragraph" w:styleId="Author" w:customStyle="1">
    <w:name w:val="Author"/>
    <w:basedOn w:val="Normal"/>
    <w:rsid w:val="00423789"/>
    <w:pPr>
      <w:spacing w:line="280" w:lineRule="exact"/>
      <w:jc w:val="right"/>
    </w:pPr>
    <w:rPr>
      <w:b w:val="1"/>
      <w:sz w:val="24"/>
    </w:rPr>
  </w:style>
  <w:style w:type="paragraph" w:styleId="Affiliation" w:customStyle="1">
    <w:name w:val="Affiliation"/>
    <w:basedOn w:val="Normal"/>
    <w:rsid w:val="00423789"/>
    <w:pPr>
      <w:spacing w:after="240" w:line="240" w:lineRule="exact"/>
      <w:jc w:val="right"/>
    </w:pPr>
  </w:style>
  <w:style w:type="paragraph" w:styleId="Body" w:customStyle="1">
    <w:name w:val="Body"/>
    <w:basedOn w:val="Normal"/>
    <w:rsid w:val="00423789"/>
    <w:pPr>
      <w:spacing w:after="240"/>
      <w:jc w:val="both"/>
    </w:pPr>
  </w:style>
  <w:style w:type="paragraph" w:styleId="AbstHead" w:customStyle="1">
    <w:name w:val="Abst Head"/>
    <w:basedOn w:val="MainHead"/>
    <w:rsid w:val="00423789"/>
    <w:rPr>
      <w:sz w:val="22"/>
    </w:rPr>
  </w:style>
  <w:style w:type="paragraph" w:styleId="IntroHead" w:customStyle="1">
    <w:name w:val="Intro Head"/>
    <w:basedOn w:val="MainHead"/>
    <w:rsid w:val="00423789"/>
    <w:rPr>
      <w:sz w:val="22"/>
    </w:rPr>
  </w:style>
  <w:style w:type="paragraph" w:styleId="PaperNumber" w:customStyle="1">
    <w:name w:val="Paper Number"/>
    <w:basedOn w:val="Normal"/>
    <w:rsid w:val="00423789"/>
    <w:pPr>
      <w:spacing w:after="280" w:line="280" w:lineRule="exact"/>
      <w:jc w:val="right"/>
    </w:pPr>
    <w:rPr>
      <w:b w:val="1"/>
      <w:sz w:val="28"/>
    </w:rPr>
  </w:style>
  <w:style w:type="paragraph" w:styleId="ConcHead" w:customStyle="1">
    <w:name w:val="Conc Head"/>
    <w:basedOn w:val="MainHead"/>
    <w:rsid w:val="00423789"/>
    <w:rPr>
      <w:sz w:val="22"/>
    </w:rPr>
  </w:style>
  <w:style w:type="paragraph" w:styleId="AcknHead" w:customStyle="1">
    <w:name w:val="Ackn Head"/>
    <w:basedOn w:val="MainHead"/>
    <w:rsid w:val="00423789"/>
    <w:rPr>
      <w:sz w:val="22"/>
    </w:rPr>
  </w:style>
  <w:style w:type="paragraph" w:styleId="ReferHead" w:customStyle="1">
    <w:name w:val="Refer Head"/>
    <w:basedOn w:val="MainHead"/>
    <w:rsid w:val="00423789"/>
    <w:rPr>
      <w:sz w:val="22"/>
    </w:rPr>
  </w:style>
  <w:style w:type="paragraph" w:styleId="AddSrcHead" w:customStyle="1">
    <w:name w:val="AddSrc Head"/>
    <w:basedOn w:val="MainHead"/>
    <w:rsid w:val="00423789"/>
    <w:rPr>
      <w:sz w:val="22"/>
    </w:rPr>
  </w:style>
  <w:style w:type="paragraph" w:styleId="DefAcrHead" w:customStyle="1">
    <w:name w:val="DefAcrHead"/>
    <w:basedOn w:val="MainHead"/>
    <w:rsid w:val="00423789"/>
    <w:rPr>
      <w:sz w:val="22"/>
    </w:rPr>
  </w:style>
  <w:style w:type="paragraph" w:styleId="Copyright" w:customStyle="1">
    <w:name w:val="Copyright"/>
    <w:basedOn w:val="Normal"/>
    <w:rsid w:val="00423789"/>
    <w:pPr>
      <w:spacing w:after="960" w:line="200" w:lineRule="exact"/>
    </w:pPr>
    <w:rPr>
      <w:sz w:val="16"/>
    </w:rPr>
  </w:style>
  <w:style w:type="paragraph" w:styleId="Reference" w:customStyle="1">
    <w:name w:val="Reference"/>
    <w:basedOn w:val="Body"/>
    <w:rsid w:val="00423789"/>
    <w:pPr>
      <w:numPr>
        <w:numId w:val="1"/>
      </w:numPr>
      <w:spacing w:after="0" w:line="240" w:lineRule="exact"/>
    </w:pPr>
  </w:style>
  <w:style w:type="paragraph" w:styleId="Head1" w:customStyle="1">
    <w:name w:val="Head1"/>
    <w:basedOn w:val="MainHead"/>
    <w:rsid w:val="00423789"/>
    <w:rPr>
      <w:sz w:val="22"/>
    </w:rPr>
  </w:style>
  <w:style w:type="paragraph" w:styleId="ContactHead" w:customStyle="1">
    <w:name w:val="Contact Head"/>
    <w:basedOn w:val="MainHead"/>
    <w:rsid w:val="00423789"/>
    <w:rPr>
      <w:sz w:val="22"/>
    </w:rPr>
  </w:style>
  <w:style w:type="paragraph" w:styleId="Head3" w:customStyle="1">
    <w:name w:val="Head3"/>
    <w:basedOn w:val="Head2"/>
    <w:rsid w:val="00423789"/>
    <w:rPr>
      <w:caps w:val="0"/>
      <w:u w:val="single"/>
    </w:rPr>
  </w:style>
  <w:style w:type="paragraph" w:styleId="Head4" w:customStyle="1">
    <w:name w:val="Head4"/>
    <w:basedOn w:val="Head3"/>
    <w:rsid w:val="00423789"/>
    <w:rPr>
      <w:u w:val="none"/>
    </w:rPr>
  </w:style>
  <w:style w:type="paragraph" w:styleId="UnordList" w:customStyle="1">
    <w:name w:val="Unord List"/>
    <w:basedOn w:val="Body"/>
    <w:rsid w:val="00423789"/>
    <w:pPr>
      <w:spacing w:after="0"/>
      <w:ind w:left="360" w:hanging="360"/>
    </w:pPr>
  </w:style>
  <w:style w:type="paragraph" w:styleId="OrdList" w:customStyle="1">
    <w:name w:val="Ord List"/>
    <w:basedOn w:val="UnordList"/>
    <w:rsid w:val="00423789"/>
    <w:pPr>
      <w:jc w:val="left"/>
    </w:pPr>
  </w:style>
  <w:style w:type="paragraph" w:styleId="Appendix" w:customStyle="1">
    <w:name w:val="Appendix"/>
    <w:basedOn w:val="MainHead"/>
    <w:rsid w:val="00423789"/>
    <w:rPr>
      <w:sz w:val="22"/>
    </w:rPr>
  </w:style>
  <w:style w:type="paragraph" w:styleId="Term" w:customStyle="1">
    <w:name w:val="Term"/>
    <w:basedOn w:val="Body"/>
    <w:rsid w:val="00423789"/>
    <w:pPr>
      <w:spacing w:after="0"/>
    </w:pPr>
    <w:rPr>
      <w:b w:val="1"/>
    </w:rPr>
  </w:style>
  <w:style w:type="paragraph" w:styleId="Definition" w:customStyle="1">
    <w:name w:val="Definition"/>
    <w:basedOn w:val="Body"/>
    <w:rsid w:val="00423789"/>
  </w:style>
  <w:style w:type="paragraph" w:styleId="Head2" w:customStyle="1">
    <w:name w:val="Head2"/>
    <w:basedOn w:val="Normal"/>
    <w:next w:val="Body"/>
    <w:rsid w:val="00423789"/>
    <w:pPr>
      <w:keepNext w:val="1"/>
      <w:spacing w:after="240"/>
    </w:pPr>
    <w:rPr>
      <w:caps w:val="1"/>
    </w:rPr>
  </w:style>
  <w:style w:type="character" w:styleId="Bold" w:customStyle="1">
    <w:name w:val="Bold"/>
    <w:rsid w:val="00423789"/>
    <w:rPr>
      <w:b w:val="1"/>
    </w:rPr>
  </w:style>
  <w:style w:type="character" w:styleId="Italic" w:customStyle="1">
    <w:name w:val="Italic"/>
    <w:rsid w:val="00423789"/>
    <w:rPr>
      <w:i w:val="1"/>
    </w:rPr>
  </w:style>
  <w:style w:type="character" w:styleId="Underline" w:customStyle="1">
    <w:name w:val="Underline"/>
    <w:rsid w:val="00423789"/>
    <w:rPr>
      <w:u w:val="single"/>
    </w:rPr>
  </w:style>
  <w:style w:type="paragraph" w:styleId="MainHead" w:customStyle="1">
    <w:name w:val="Main Head"/>
    <w:basedOn w:val="Normal"/>
    <w:rsid w:val="00423789"/>
    <w:pPr>
      <w:keepNext w:val="1"/>
      <w:spacing w:after="240"/>
    </w:pPr>
    <w:rPr>
      <w:b w:val="1"/>
      <w:caps w:val="1"/>
    </w:rPr>
  </w:style>
  <w:style w:type="paragraph" w:styleId="Equation" w:customStyle="1">
    <w:name w:val="Equation"/>
    <w:basedOn w:val="Body"/>
    <w:rsid w:val="0053056E"/>
  </w:style>
  <w:style w:type="paragraph" w:styleId="Figure" w:customStyle="1">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styleId="Head40" w:customStyle="1">
    <w:name w:val="Head 4"/>
    <w:basedOn w:val="Head3"/>
    <w:rsid w:val="00423789"/>
    <w:rPr>
      <w:u w:val="none"/>
    </w:rPr>
  </w:style>
  <w:style w:type="paragraph" w:styleId="Header">
    <w:name w:val="header"/>
    <w:basedOn w:val="Normal"/>
    <w:rsid w:val="00423789"/>
    <w:pPr>
      <w:tabs>
        <w:tab w:val="center" w:pos="4320"/>
        <w:tab w:val="right" w:pos="8640"/>
      </w:tabs>
    </w:pPr>
  </w:style>
  <w:style w:type="paragraph" w:styleId="Paper" w:customStyle="1">
    <w:name w:val="Paper"/>
    <w:basedOn w:val="Normal"/>
    <w:rsid w:val="00423789"/>
    <w:pPr>
      <w:spacing w:after="360" w:line="440" w:lineRule="exact"/>
      <w:jc w:val="right"/>
    </w:pPr>
    <w:rPr>
      <w:b w:val="1"/>
      <w:sz w:val="36"/>
    </w:rPr>
  </w:style>
  <w:style w:type="paragraph" w:styleId="Signature">
    <w:name w:val="Signature"/>
    <w:basedOn w:val="Normal"/>
    <w:rsid w:val="00423789"/>
    <w:pPr>
      <w:ind w:left="4320"/>
    </w:pPr>
  </w:style>
  <w:style w:type="character" w:styleId="Subscript" w:customStyle="1">
    <w:name w:val="Subscript"/>
    <w:rsid w:val="00423789"/>
    <w:rPr>
      <w:vertAlign w:val="subscript"/>
    </w:rPr>
  </w:style>
  <w:style w:type="character" w:styleId="Superscript" w:customStyle="1">
    <w:name w:val="Superscript"/>
    <w:rsid w:val="00423789"/>
    <w:rPr>
      <w:vertAlign w:val="superscript"/>
    </w:rPr>
  </w:style>
  <w:style w:type="character" w:styleId="Symbol" w:customStyle="1">
    <w:name w:val="Symbol"/>
    <w:rsid w:val="00423789"/>
    <w:rPr>
      <w:rFonts w:ascii="Symbol" w:hAnsi="Symbol"/>
    </w:rPr>
  </w:style>
  <w:style w:type="paragraph" w:styleId="SymbolP" w:customStyle="1">
    <w:name w:val="Symbol P"/>
    <w:basedOn w:val="Body"/>
    <w:rsid w:val="00423789"/>
    <w:pPr>
      <w:tabs>
        <w:tab w:val="left" w:pos="720"/>
        <w:tab w:val="left" w:pos="3780"/>
      </w:tabs>
      <w:spacing w:after="0"/>
    </w:pPr>
    <w:rPr>
      <w:sz w:val="24"/>
    </w:rPr>
  </w:style>
  <w:style w:type="character" w:styleId="BoldItal" w:customStyle="1">
    <w:name w:val="BoldItal"/>
    <w:basedOn w:val="DefaultParagraphFont"/>
    <w:rsid w:val="00423789"/>
    <w:rPr>
      <w:b w:val="1"/>
      <w:i w:val="1"/>
    </w:rPr>
  </w:style>
  <w:style w:type="character" w:styleId="SubItal" w:customStyle="1">
    <w:name w:val="SubItal"/>
    <w:rsid w:val="00423789"/>
    <w:rPr>
      <w:i w:val="1"/>
      <w:vertAlign w:val="subscript"/>
    </w:rPr>
  </w:style>
  <w:style w:type="character" w:styleId="SuperItal" w:customStyle="1">
    <w:name w:val="SuperItal"/>
    <w:rsid w:val="00423789"/>
    <w:rPr>
      <w:i w:val="1"/>
      <w:vertAlign w:val="superscript"/>
    </w:rPr>
  </w:style>
  <w:style w:type="character" w:styleId="SymItal" w:customStyle="1">
    <w:name w:val="SymItal"/>
    <w:rsid w:val="00423789"/>
    <w:rPr>
      <w:rFonts w:ascii="Symbol" w:hAnsi="Symbol"/>
      <w:i w:val="1"/>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basedOn w:val="Normal"/>
    <w:link w:val="BodyText2Char"/>
    <w:rsid w:val="00EF7FD8"/>
    <w:pPr>
      <w:spacing w:after="120" w:line="480" w:lineRule="auto"/>
    </w:pPr>
  </w:style>
  <w:style w:type="character" w:styleId="BodyText2Char" w:customStyle="1">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val="1"/>
    <w:rsid w:val="00746E59"/>
    <w:rPr>
      <w:sz w:val="16"/>
      <w:szCs w:val="16"/>
    </w:rPr>
  </w:style>
  <w:style w:type="paragraph" w:styleId="CommentText">
    <w:name w:val="annotation text"/>
    <w:basedOn w:val="Normal"/>
    <w:link w:val="CommentTextChar"/>
    <w:uiPriority w:val="99"/>
    <w:unhideWhenUsed w:val="1"/>
    <w:rsid w:val="00746E59"/>
    <w:rPr>
      <w:rFonts w:ascii="Times New Roman" w:hAnsi="Times New Roman"/>
      <w:lang w:eastAsia="nb-NO" w:val="nb-NO"/>
    </w:rPr>
  </w:style>
  <w:style w:type="character" w:styleId="CommentTextChar" w:customStyle="1">
    <w:name w:val="Comment Text Char"/>
    <w:basedOn w:val="DefaultParagraphFont"/>
    <w:link w:val="CommentText"/>
    <w:uiPriority w:val="99"/>
    <w:rsid w:val="00746E59"/>
    <w:rPr>
      <w:lang w:eastAsia="nb-NO" w:val="nb-NO"/>
    </w:rPr>
  </w:style>
  <w:style w:type="paragraph" w:styleId="BalloonText">
    <w:name w:val="Balloon Text"/>
    <w:basedOn w:val="Normal"/>
    <w:link w:val="BalloonTextChar"/>
    <w:rsid w:val="00746E59"/>
    <w:rPr>
      <w:rFonts w:ascii="Tahoma" w:cs="Tahoma" w:hAnsi="Tahoma"/>
      <w:sz w:val="16"/>
      <w:szCs w:val="16"/>
    </w:rPr>
  </w:style>
  <w:style w:type="character" w:styleId="BalloonTextChar" w:customStyle="1">
    <w:name w:val="Balloon Text Char"/>
    <w:basedOn w:val="DefaultParagraphFont"/>
    <w:link w:val="BalloonText"/>
    <w:rsid w:val="00746E59"/>
    <w:rPr>
      <w:rFonts w:ascii="Tahoma" w:cs="Tahoma" w:hAnsi="Tahoma"/>
      <w:sz w:val="16"/>
      <w:szCs w:val="16"/>
    </w:rPr>
  </w:style>
  <w:style w:type="paragraph" w:styleId="BodyText3">
    <w:name w:val="Body Text 3"/>
    <w:basedOn w:val="Normal"/>
    <w:link w:val="BodyText3Char"/>
    <w:rsid w:val="00231920"/>
    <w:pPr>
      <w:spacing w:after="120"/>
    </w:pPr>
    <w:rPr>
      <w:sz w:val="16"/>
      <w:szCs w:val="16"/>
    </w:rPr>
  </w:style>
  <w:style w:type="character" w:styleId="BodyText3Char" w:customStyle="1">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val="1"/>
    <w:rsid w:val="0024282C"/>
    <w:rPr>
      <w:i w:val="1"/>
      <w:iCs w:val="1"/>
    </w:rPr>
  </w:style>
  <w:style w:type="character" w:styleId="UnresolvedMention">
    <w:name w:val="Unresolved Mention"/>
    <w:basedOn w:val="DefaultParagraphFont"/>
    <w:uiPriority w:val="99"/>
    <w:semiHidden w:val="1"/>
    <w:unhideWhenUsed w:val="1"/>
    <w:rsid w:val="00287E68"/>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D9197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Calibri" w:cs="Calibri" w:eastAsia="Calibri" w:hAnsi="Calibri"/>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eader" Target="header6.xml"/><Relationship Id="rId14" Type="http://schemas.openxmlformats.org/officeDocument/2006/relationships/header" Target="header5.xml"/><Relationship Id="rId17" Type="http://schemas.openxmlformats.org/officeDocument/2006/relationships/footer" Target="footer4.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Q4sEm8nrergD31cIO0Z4Ggfhzw==">CgMxLjA4AHIhMXRNSGFXTG5wNDU3Z2NKckNQUFpNYmhCaWY0VEdJQ3l1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coreProperties>
</file>