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6B7D1" w14:textId="77777777" w:rsidR="002320EC" w:rsidRDefault="002320EC" w:rsidP="002320EC">
      <w:pPr>
        <w:rPr>
          <w:rFonts w:ascii="Times New Roman" w:hAnsi="Times New Roman" w:cs="Times New Roman"/>
          <w:b/>
          <w:sz w:val="24"/>
          <w:szCs w:val="24"/>
        </w:rPr>
      </w:pPr>
    </w:p>
    <w:p w14:paraId="68266F64" w14:textId="0350C7FD" w:rsidR="002320EC" w:rsidRPr="00936964" w:rsidRDefault="002320EC" w:rsidP="002320EC">
      <w:pPr>
        <w:rPr>
          <w:rFonts w:ascii="Times New Roman" w:hAnsi="Times New Roman" w:cs="Times New Roman"/>
          <w:b/>
          <w:sz w:val="24"/>
          <w:szCs w:val="24"/>
        </w:rPr>
      </w:pPr>
      <w:bookmarkStart w:id="0" w:name="_GoBack"/>
      <w:r w:rsidRPr="00D8160B">
        <w:rPr>
          <w:rFonts w:ascii="Times New Roman" w:hAnsi="Times New Roman" w:cs="Times New Roman"/>
          <w:b/>
          <w:sz w:val="24"/>
          <w:szCs w:val="24"/>
        </w:rPr>
        <w:t>Stage at initial presentation, management and factors associated wit</w:t>
      </w:r>
      <w:bookmarkEnd w:id="0"/>
      <w:r w:rsidRPr="00D8160B">
        <w:rPr>
          <w:rFonts w:ascii="Times New Roman" w:hAnsi="Times New Roman" w:cs="Times New Roman"/>
          <w:b/>
          <w:sz w:val="24"/>
          <w:szCs w:val="24"/>
        </w:rPr>
        <w:t xml:space="preserve">h progression </w:t>
      </w:r>
      <w:r w:rsidR="001F7837" w:rsidRPr="00D8160B">
        <w:rPr>
          <w:rFonts w:ascii="Times New Roman" w:hAnsi="Times New Roman" w:cs="Times New Roman"/>
          <w:b/>
          <w:sz w:val="24"/>
          <w:szCs w:val="24"/>
        </w:rPr>
        <w:t>among Primary</w:t>
      </w:r>
      <w:r w:rsidR="00983835">
        <w:rPr>
          <w:rFonts w:ascii="Times New Roman" w:hAnsi="Times New Roman" w:cs="Times New Roman"/>
          <w:b/>
          <w:sz w:val="24"/>
          <w:szCs w:val="24"/>
        </w:rPr>
        <w:t xml:space="preserve"> o</w:t>
      </w:r>
      <w:r w:rsidRPr="00D8160B">
        <w:rPr>
          <w:rFonts w:ascii="Times New Roman" w:hAnsi="Times New Roman" w:cs="Times New Roman"/>
          <w:b/>
          <w:sz w:val="24"/>
          <w:szCs w:val="24"/>
        </w:rPr>
        <w:t xml:space="preserve">pen-angle glaucoma </w:t>
      </w:r>
      <w:r>
        <w:rPr>
          <w:rFonts w:ascii="Times New Roman" w:hAnsi="Times New Roman" w:cs="Times New Roman"/>
          <w:b/>
          <w:sz w:val="24"/>
          <w:szCs w:val="24"/>
        </w:rPr>
        <w:t>Patients</w:t>
      </w:r>
      <w:r w:rsidRPr="00D8160B">
        <w:rPr>
          <w:rFonts w:ascii="Times New Roman" w:hAnsi="Times New Roman" w:cs="Times New Roman"/>
          <w:b/>
          <w:sz w:val="24"/>
          <w:szCs w:val="24"/>
        </w:rPr>
        <w:t xml:space="preserve"> treated at a tertiary hospital in Tanzania</w:t>
      </w:r>
    </w:p>
    <w:p w14:paraId="0FB03752" w14:textId="77777777" w:rsidR="002320EC" w:rsidRDefault="002320EC" w:rsidP="002320EC">
      <w:pPr>
        <w:spacing w:after="0"/>
        <w:jc w:val="both"/>
        <w:rPr>
          <w:rFonts w:ascii="Times New Roman" w:hAnsi="Times New Roman" w:cs="Times New Roman"/>
          <w:b/>
          <w:sz w:val="24"/>
          <w:szCs w:val="24"/>
        </w:rPr>
      </w:pPr>
    </w:p>
    <w:p w14:paraId="4DE683F5" w14:textId="77777777" w:rsidR="00CD479B" w:rsidRDefault="00CD479B" w:rsidP="002320EC">
      <w:pPr>
        <w:spacing w:after="0"/>
        <w:jc w:val="both"/>
        <w:rPr>
          <w:rFonts w:ascii="Times New Roman" w:hAnsi="Times New Roman" w:cs="Times New Roman"/>
          <w:b/>
          <w:sz w:val="24"/>
          <w:szCs w:val="24"/>
        </w:rPr>
      </w:pPr>
    </w:p>
    <w:p w14:paraId="7DE02277" w14:textId="77777777" w:rsidR="002320EC" w:rsidRDefault="002320EC" w:rsidP="002320EC">
      <w:pPr>
        <w:spacing w:after="0"/>
        <w:jc w:val="both"/>
        <w:rPr>
          <w:rFonts w:ascii="Times New Roman" w:hAnsi="Times New Roman" w:cs="Times New Roman"/>
          <w:b/>
          <w:sz w:val="24"/>
          <w:szCs w:val="24"/>
        </w:rPr>
      </w:pPr>
    </w:p>
    <w:p w14:paraId="1A97343B" w14:textId="77777777" w:rsidR="002320EC" w:rsidRDefault="002320EC" w:rsidP="002320EC">
      <w:pPr>
        <w:spacing w:after="0"/>
        <w:jc w:val="both"/>
        <w:rPr>
          <w:rFonts w:ascii="Times New Roman" w:hAnsi="Times New Roman" w:cs="Times New Roman"/>
          <w:b/>
          <w:sz w:val="24"/>
          <w:szCs w:val="24"/>
        </w:rPr>
      </w:pPr>
      <w:r w:rsidRPr="00877B56">
        <w:rPr>
          <w:rFonts w:ascii="Times New Roman" w:hAnsi="Times New Roman" w:cs="Times New Roman"/>
          <w:b/>
          <w:sz w:val="24"/>
          <w:szCs w:val="24"/>
        </w:rPr>
        <w:t>ABSTRACT</w:t>
      </w:r>
    </w:p>
    <w:p w14:paraId="35BB7ECC" w14:textId="77777777" w:rsidR="002320EC" w:rsidRPr="00877B56"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Objective</w:t>
      </w:r>
      <w:r w:rsidRPr="00877B56">
        <w:rPr>
          <w:rFonts w:ascii="Times New Roman" w:eastAsia="Times New Roman" w:hAnsi="Times New Roman" w:cs="Times New Roman"/>
          <w:b/>
          <w:bCs/>
          <w:sz w:val="24"/>
          <w:szCs w:val="24"/>
          <w:lang w:eastAsia="en-GB"/>
        </w:rPr>
        <w:t>:</w:t>
      </w:r>
      <w:r w:rsidRPr="00877B56">
        <w:rPr>
          <w:rFonts w:ascii="Times New Roman" w:eastAsia="Times New Roman" w:hAnsi="Times New Roman" w:cs="Times New Roman"/>
          <w:sz w:val="24"/>
          <w:szCs w:val="24"/>
          <w:lang w:eastAsia="en-GB"/>
        </w:rPr>
        <w:t xml:space="preserve"> To assess the stage of Primary Open Angle Glaucoma (POAG) at diagnosis, determine the proportion of patients experiencing disease progression, and identify factors influencing progression.</w:t>
      </w:r>
    </w:p>
    <w:p w14:paraId="74FC16E5" w14:textId="77777777" w:rsidR="002320EC"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r w:rsidRPr="00877B56">
        <w:rPr>
          <w:rFonts w:ascii="Times New Roman" w:eastAsia="Times New Roman" w:hAnsi="Times New Roman" w:cs="Times New Roman"/>
          <w:b/>
          <w:bCs/>
          <w:sz w:val="24"/>
          <w:szCs w:val="24"/>
          <w:lang w:eastAsia="en-GB"/>
        </w:rPr>
        <w:t>Methods:</w:t>
      </w:r>
      <w:r w:rsidRPr="00877B56">
        <w:rPr>
          <w:rFonts w:ascii="Times New Roman" w:eastAsia="Times New Roman" w:hAnsi="Times New Roman" w:cs="Times New Roman"/>
          <w:sz w:val="24"/>
          <w:szCs w:val="24"/>
          <w:lang w:eastAsia="en-GB"/>
        </w:rPr>
        <w:t xml:space="preserve"> </w:t>
      </w:r>
    </w:p>
    <w:p w14:paraId="060757A4" w14:textId="4D21BFC4" w:rsidR="002320EC" w:rsidRPr="00877B56"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r w:rsidRPr="006A7886">
        <w:rPr>
          <w:rFonts w:ascii="Times New Roman" w:hAnsi="Times New Roman" w:cs="Times New Roman"/>
          <w:sz w:val="24"/>
          <w:szCs w:val="24"/>
        </w:rPr>
        <w:t>In this</w:t>
      </w:r>
      <w:r w:rsidRPr="006A7886">
        <w:rPr>
          <w:rFonts w:ascii="Times New Roman" w:eastAsia="Times New Roman" w:hAnsi="Times New Roman" w:cs="Times New Roman"/>
          <w:sz w:val="24"/>
          <w:szCs w:val="24"/>
          <w:lang w:eastAsia="en-GB"/>
        </w:rPr>
        <w:t xml:space="preserve"> </w:t>
      </w:r>
      <w:r w:rsidRPr="00877B56">
        <w:rPr>
          <w:rFonts w:ascii="Times New Roman" w:eastAsia="Times New Roman" w:hAnsi="Times New Roman" w:cs="Times New Roman"/>
          <w:sz w:val="24"/>
          <w:szCs w:val="24"/>
          <w:lang w:eastAsia="en-GB"/>
        </w:rPr>
        <w:t>retrospective cohort</w:t>
      </w:r>
      <w:r w:rsidRPr="006A7886">
        <w:rPr>
          <w:rFonts w:ascii="Times New Roman" w:hAnsi="Times New Roman" w:cs="Times New Roman"/>
          <w:sz w:val="24"/>
          <w:szCs w:val="24"/>
        </w:rPr>
        <w:t xml:space="preserve">, 201 newly diagnosed POAG patients aged 18 years and older, </w:t>
      </w:r>
      <w:r w:rsidRPr="006A7886">
        <w:rPr>
          <w:rFonts w:ascii="Times New Roman" w:eastAsia="Times New Roman" w:hAnsi="Times New Roman" w:cs="Times New Roman"/>
          <w:sz w:val="24"/>
          <w:szCs w:val="24"/>
          <w:lang w:eastAsia="en-GB"/>
        </w:rPr>
        <w:t>each with a min</w:t>
      </w:r>
      <w:r w:rsidR="00B063B9">
        <w:rPr>
          <w:rFonts w:ascii="Times New Roman" w:eastAsia="Times New Roman" w:hAnsi="Times New Roman" w:cs="Times New Roman"/>
          <w:sz w:val="24"/>
          <w:szCs w:val="24"/>
          <w:lang w:eastAsia="en-GB"/>
        </w:rPr>
        <w:t xml:space="preserve">imum of five Humphrey 24-2 SITA </w:t>
      </w:r>
      <w:r w:rsidRPr="006A7886">
        <w:rPr>
          <w:rFonts w:ascii="Times New Roman" w:eastAsia="Times New Roman" w:hAnsi="Times New Roman" w:cs="Times New Roman"/>
          <w:sz w:val="24"/>
          <w:szCs w:val="24"/>
          <w:lang w:eastAsia="en-GB"/>
        </w:rPr>
        <w:t xml:space="preserve">standard visual </w:t>
      </w:r>
      <w:r w:rsidR="00B063B9">
        <w:rPr>
          <w:rFonts w:ascii="Times New Roman" w:eastAsia="Times New Roman" w:hAnsi="Times New Roman" w:cs="Times New Roman"/>
          <w:sz w:val="24"/>
          <w:szCs w:val="24"/>
          <w:lang w:eastAsia="en-GB"/>
        </w:rPr>
        <w:t xml:space="preserve">field tests (VFTs) taken at six </w:t>
      </w:r>
      <w:r w:rsidRPr="006A7886">
        <w:rPr>
          <w:rFonts w:ascii="Times New Roman" w:eastAsia="Times New Roman" w:hAnsi="Times New Roman" w:cs="Times New Roman"/>
          <w:sz w:val="24"/>
          <w:szCs w:val="24"/>
          <w:lang w:eastAsia="en-GB"/>
        </w:rPr>
        <w:t>month intervals</w:t>
      </w:r>
      <w:r w:rsidRPr="006A7886">
        <w:rPr>
          <w:rFonts w:ascii="Times New Roman" w:hAnsi="Times New Roman" w:cs="Times New Roman"/>
          <w:sz w:val="24"/>
          <w:szCs w:val="24"/>
        </w:rPr>
        <w:t xml:space="preserve"> undergoing treatment  were enrolled, for a total of 363 eyes. </w:t>
      </w:r>
      <w:r w:rsidRPr="00877B56">
        <w:rPr>
          <w:rFonts w:ascii="Times New Roman" w:eastAsia="Times New Roman" w:hAnsi="Times New Roman" w:cs="Times New Roman"/>
          <w:sz w:val="24"/>
          <w:szCs w:val="24"/>
          <w:lang w:eastAsia="en-GB"/>
        </w:rPr>
        <w:t>Disease severity was classified based on visual field mean deviation (MD) as mild (MD &gt; -6 dB), moderate (MD -6 to -12 dB), advanced (MD -12 to -20 dB), or severe (MD &lt; -20 dB). The primary outcome was POAG progression defined as an annual VFI deterior</w:t>
      </w:r>
      <w:r w:rsidR="00B063B9">
        <w:rPr>
          <w:rFonts w:ascii="Times New Roman" w:eastAsia="Times New Roman" w:hAnsi="Times New Roman" w:cs="Times New Roman"/>
          <w:sz w:val="24"/>
          <w:szCs w:val="24"/>
          <w:lang w:eastAsia="en-GB"/>
        </w:rPr>
        <w:t xml:space="preserve">ation of ≤ -1% per year. Kaplan </w:t>
      </w:r>
      <w:r w:rsidRPr="00877B56">
        <w:rPr>
          <w:rFonts w:ascii="Times New Roman" w:eastAsia="Times New Roman" w:hAnsi="Times New Roman" w:cs="Times New Roman"/>
          <w:sz w:val="24"/>
          <w:szCs w:val="24"/>
          <w:lang w:eastAsia="en-GB"/>
        </w:rPr>
        <w:t>Meier survival analysis was used to estimate the probability of progression, while Cox regression analysis identified factors associated with disease progression.</w:t>
      </w:r>
    </w:p>
    <w:p w14:paraId="62B9D936" w14:textId="10F84FDE" w:rsidR="002320EC" w:rsidRPr="004E00BA" w:rsidRDefault="002320EC" w:rsidP="002320EC">
      <w:pPr>
        <w:pStyle w:val="NormalWeb"/>
        <w:rPr>
          <w:rFonts w:ascii="HelveticaNeueLTStd" w:hAnsi="HelveticaNeueLTStd"/>
          <w:sz w:val="18"/>
          <w:szCs w:val="18"/>
        </w:rPr>
      </w:pPr>
      <w:r w:rsidRPr="00877B56">
        <w:rPr>
          <w:b/>
          <w:bCs/>
        </w:rPr>
        <w:t>Results:</w:t>
      </w:r>
      <w:r w:rsidRPr="00877B56">
        <w:t xml:space="preserve"> </w:t>
      </w:r>
      <w:r w:rsidRPr="00F60F99">
        <w:t>At diagnosis,</w:t>
      </w:r>
      <w:r>
        <w:t xml:space="preserve"> 228</w:t>
      </w:r>
      <w:r w:rsidRPr="00F60F99">
        <w:t xml:space="preserve"> </w:t>
      </w:r>
      <w:r w:rsidR="007A510A">
        <w:t xml:space="preserve">eyes </w:t>
      </w:r>
      <w:r>
        <w:t>(62.8</w:t>
      </w:r>
      <w:r w:rsidRPr="00F60F99">
        <w:t>%</w:t>
      </w:r>
      <w:r>
        <w:t>)</w:t>
      </w:r>
      <w:r w:rsidRPr="00F60F99">
        <w:t xml:space="preserve"> had mild</w:t>
      </w:r>
      <w:r>
        <w:t xml:space="preserve"> to</w:t>
      </w:r>
      <w:r w:rsidRPr="00F60F99">
        <w:t xml:space="preserve"> moderate</w:t>
      </w:r>
      <w:r>
        <w:t xml:space="preserve"> </w:t>
      </w:r>
      <w:r w:rsidRPr="00F60F99">
        <w:t>POAG</w:t>
      </w:r>
      <w:r>
        <w:t xml:space="preserve"> and 135(37.2%) </w:t>
      </w:r>
      <w:r w:rsidR="001F536E">
        <w:t>had advanced</w:t>
      </w:r>
      <w:r>
        <w:t xml:space="preserve"> to </w:t>
      </w:r>
      <w:r w:rsidRPr="00F60F99">
        <w:t>severe POAG.</w:t>
      </w:r>
      <w:r w:rsidRPr="00E01091">
        <w:t xml:space="preserve"> At an average of</w:t>
      </w:r>
      <w:r w:rsidR="00E01091" w:rsidRPr="00E01091">
        <w:t xml:space="preserve"> 6 </w:t>
      </w:r>
      <w:r w:rsidRPr="00E01091">
        <w:t>years</w:t>
      </w:r>
      <w:r w:rsidR="00E01091">
        <w:t xml:space="preserve"> follow </w:t>
      </w:r>
      <w:r w:rsidRPr="00F60F99">
        <w:t xml:space="preserve">up, 140 eyes (38.6%) showed progression, with a mean VFI decline of -2.2% per year. </w:t>
      </w:r>
      <w:r w:rsidR="007A510A">
        <w:t xml:space="preserve">108 </w:t>
      </w:r>
      <w:r>
        <w:t xml:space="preserve">of 140 </w:t>
      </w:r>
      <w:r w:rsidR="001F536E">
        <w:t>eyes (</w:t>
      </w:r>
      <w:r w:rsidR="001F536E" w:rsidRPr="00F60F99">
        <w:t>77.1</w:t>
      </w:r>
      <w:r w:rsidRPr="00F60F99">
        <w:t>%</w:t>
      </w:r>
      <w:r>
        <w:t>) progressed to</w:t>
      </w:r>
      <w:r w:rsidRPr="00F60F99">
        <w:t xml:space="preserve"> advanced </w:t>
      </w:r>
      <w:r>
        <w:t>and</w:t>
      </w:r>
      <w:r w:rsidRPr="00F60F99">
        <w:t xml:space="preserve"> severe stages. </w:t>
      </w:r>
      <w:r w:rsidR="001F536E">
        <w:t>Uncontrolled</w:t>
      </w:r>
      <w:r>
        <w:t xml:space="preserve"> e</w:t>
      </w:r>
      <w:r w:rsidRPr="00F60F99">
        <w:t xml:space="preserve">levated intraocular pressure strongly predicted disease progression (p &lt; 0.001), and eyes </w:t>
      </w:r>
      <w:r>
        <w:t xml:space="preserve">with </w:t>
      </w:r>
      <w:r w:rsidRPr="00F60F99">
        <w:t xml:space="preserve">IOP </w:t>
      </w:r>
      <w:r>
        <w:t>above</w:t>
      </w:r>
      <w:r w:rsidRPr="00F60F99">
        <w:t xml:space="preserve"> target </w:t>
      </w:r>
      <w:r>
        <w:t xml:space="preserve">values </w:t>
      </w:r>
      <w:r w:rsidRPr="00F60F99">
        <w:t>had a 4.3 times higher risk</w:t>
      </w:r>
      <w:r>
        <w:t xml:space="preserve"> of progression</w:t>
      </w:r>
      <w:r w:rsidRPr="00F60F99">
        <w:t>. Other significant risks includ</w:t>
      </w:r>
      <w:r w:rsidR="00B063B9">
        <w:t xml:space="preserve">ed severe disease stage, normal </w:t>
      </w:r>
      <w:r w:rsidRPr="00F60F99">
        <w:t xml:space="preserve">tension glaucoma, and myopia, </w:t>
      </w:r>
      <w:r w:rsidR="00E01091">
        <w:t xml:space="preserve">while frequent follow </w:t>
      </w:r>
      <w:r w:rsidRPr="00F60F99">
        <w:t>ups and trabeculectomy were protective.</w:t>
      </w:r>
    </w:p>
    <w:p w14:paraId="0ECED406" w14:textId="2A37B17D" w:rsidR="002320EC" w:rsidRPr="00947A00" w:rsidRDefault="002320EC" w:rsidP="005E4B24">
      <w:pPr>
        <w:spacing w:before="100" w:beforeAutospacing="1" w:after="100" w:afterAutospacing="1" w:line="240" w:lineRule="auto"/>
        <w:rPr>
          <w:rFonts w:ascii="Times New Roman" w:hAnsi="Times New Roman" w:cs="Times New Roman"/>
          <w:sz w:val="24"/>
          <w:szCs w:val="24"/>
        </w:rPr>
      </w:pPr>
      <w:r w:rsidRPr="00877B56">
        <w:rPr>
          <w:rFonts w:ascii="Times New Roman" w:eastAsia="Times New Roman" w:hAnsi="Times New Roman" w:cs="Times New Roman"/>
          <w:b/>
          <w:bCs/>
          <w:sz w:val="24"/>
          <w:szCs w:val="24"/>
          <w:lang w:eastAsia="en-GB"/>
        </w:rPr>
        <w:t>Conclusion:</w:t>
      </w:r>
      <w:r w:rsidR="00DD5755">
        <w:rPr>
          <w:rFonts w:ascii="Times New Roman" w:hAnsi="Times New Roman" w:cs="Times New Roman"/>
          <w:sz w:val="24"/>
          <w:szCs w:val="24"/>
        </w:rPr>
        <w:t xml:space="preserve"> </w:t>
      </w:r>
      <w:r w:rsidR="00DD5755" w:rsidRPr="00DD5755">
        <w:rPr>
          <w:rFonts w:ascii="Times New Roman" w:hAnsi="Times New Roman" w:cs="Times New Roman"/>
          <w:sz w:val="24"/>
          <w:szCs w:val="24"/>
        </w:rPr>
        <w:t xml:space="preserve">A significant proportion of POAG patients progressed to </w:t>
      </w:r>
      <w:r w:rsidR="002F1140">
        <w:rPr>
          <w:rFonts w:ascii="Times New Roman" w:hAnsi="Times New Roman" w:cs="Times New Roman"/>
          <w:sz w:val="24"/>
          <w:szCs w:val="24"/>
        </w:rPr>
        <w:t>advanced stages. Elevated IOP was</w:t>
      </w:r>
      <w:r w:rsidR="00DD5755" w:rsidRPr="00DD5755">
        <w:rPr>
          <w:rFonts w:ascii="Times New Roman" w:hAnsi="Times New Roman" w:cs="Times New Roman"/>
          <w:sz w:val="24"/>
          <w:szCs w:val="24"/>
        </w:rPr>
        <w:t xml:space="preserve"> a strong predi</w:t>
      </w:r>
      <w:r w:rsidR="00355D31">
        <w:rPr>
          <w:rFonts w:ascii="Times New Roman" w:hAnsi="Times New Roman" w:cs="Times New Roman"/>
          <w:sz w:val="24"/>
          <w:szCs w:val="24"/>
        </w:rPr>
        <w:t xml:space="preserve">ctor of progression, with a 4.3 </w:t>
      </w:r>
      <w:r w:rsidR="00DD5755" w:rsidRPr="00DD5755">
        <w:rPr>
          <w:rFonts w:ascii="Times New Roman" w:hAnsi="Times New Roman" w:cs="Times New Roman"/>
          <w:sz w:val="24"/>
          <w:szCs w:val="24"/>
        </w:rPr>
        <w:t>fold i</w:t>
      </w:r>
      <w:r w:rsidR="002F1140">
        <w:rPr>
          <w:rFonts w:ascii="Times New Roman" w:hAnsi="Times New Roman" w:cs="Times New Roman"/>
          <w:sz w:val="24"/>
          <w:szCs w:val="24"/>
        </w:rPr>
        <w:t>ncreased risk when target IOP was</w:t>
      </w:r>
      <w:r w:rsidR="00DD5755" w:rsidRPr="00DD5755">
        <w:rPr>
          <w:rFonts w:ascii="Times New Roman" w:hAnsi="Times New Roman" w:cs="Times New Roman"/>
          <w:sz w:val="24"/>
          <w:szCs w:val="24"/>
        </w:rPr>
        <w:t xml:space="preserve"> not</w:t>
      </w:r>
      <w:r w:rsidR="00355D31">
        <w:rPr>
          <w:rFonts w:ascii="Times New Roman" w:hAnsi="Times New Roman" w:cs="Times New Roman"/>
          <w:sz w:val="24"/>
          <w:szCs w:val="24"/>
        </w:rPr>
        <w:t xml:space="preserve"> achieved. Regular follow </w:t>
      </w:r>
      <w:r w:rsidR="00DD5755" w:rsidRPr="00DD5755">
        <w:rPr>
          <w:rFonts w:ascii="Times New Roman" w:hAnsi="Times New Roman" w:cs="Times New Roman"/>
          <w:sz w:val="24"/>
          <w:szCs w:val="24"/>
        </w:rPr>
        <w:t>ups and trabeculectomy reduced the risk of progression. These findings emphasize the importance of achieving targ</w:t>
      </w:r>
      <w:r w:rsidR="00355D31">
        <w:rPr>
          <w:rFonts w:ascii="Times New Roman" w:hAnsi="Times New Roman" w:cs="Times New Roman"/>
          <w:sz w:val="24"/>
          <w:szCs w:val="24"/>
        </w:rPr>
        <w:t xml:space="preserve">et IOP, ensuring regular follow </w:t>
      </w:r>
      <w:r w:rsidR="00DD5755" w:rsidRPr="00DD5755">
        <w:rPr>
          <w:rFonts w:ascii="Times New Roman" w:hAnsi="Times New Roman" w:cs="Times New Roman"/>
          <w:sz w:val="24"/>
          <w:szCs w:val="24"/>
        </w:rPr>
        <w:t>up, and considering early surgical intervention to prevent POAG progression and associated vision loss.</w:t>
      </w:r>
    </w:p>
    <w:p w14:paraId="2FA890C5" w14:textId="177043D8" w:rsidR="002320EC" w:rsidRPr="00877B56" w:rsidRDefault="002320EC" w:rsidP="002320EC">
      <w:pPr>
        <w:spacing w:after="0"/>
        <w:ind w:left="284"/>
        <w:jc w:val="both"/>
        <w:rPr>
          <w:rFonts w:ascii="Times New Roman" w:hAnsi="Times New Roman" w:cs="Times New Roman"/>
          <w:sz w:val="24"/>
          <w:szCs w:val="24"/>
        </w:rPr>
      </w:pPr>
      <w:r w:rsidRPr="00877B56">
        <w:rPr>
          <w:rFonts w:ascii="Times New Roman" w:hAnsi="Times New Roman" w:cs="Times New Roman"/>
          <w:b/>
          <w:sz w:val="24"/>
          <w:szCs w:val="24"/>
        </w:rPr>
        <w:t xml:space="preserve">Keywords: </w:t>
      </w:r>
      <w:r w:rsidR="00355D31">
        <w:rPr>
          <w:rFonts w:ascii="Times New Roman" w:hAnsi="Times New Roman" w:cs="Times New Roman"/>
          <w:sz w:val="24"/>
          <w:szCs w:val="24"/>
        </w:rPr>
        <w:t xml:space="preserve">Primary Open </w:t>
      </w:r>
      <w:r w:rsidRPr="00877B56">
        <w:rPr>
          <w:rFonts w:ascii="Times New Roman" w:hAnsi="Times New Roman" w:cs="Times New Roman"/>
          <w:sz w:val="24"/>
          <w:szCs w:val="24"/>
        </w:rPr>
        <w:t>Angle Glaucoma, Visual Field Test, Visual Field Mean Deviation, Visual Field Index, Glaucoma Progression, Progression Risk Factors</w:t>
      </w:r>
    </w:p>
    <w:p w14:paraId="70C69DF2" w14:textId="77777777" w:rsidR="002320EC" w:rsidRPr="00877B56" w:rsidRDefault="002320EC" w:rsidP="002320EC">
      <w:pPr>
        <w:spacing w:after="0"/>
        <w:jc w:val="both"/>
        <w:rPr>
          <w:rFonts w:ascii="Times New Roman" w:hAnsi="Times New Roman" w:cs="Times New Roman"/>
          <w:sz w:val="24"/>
          <w:szCs w:val="24"/>
        </w:rPr>
        <w:sectPr w:rsidR="002320EC" w:rsidRPr="00877B56" w:rsidSect="002320EC">
          <w:headerReference w:type="even" r:id="rId8"/>
          <w:headerReference w:type="default" r:id="rId9"/>
          <w:footerReference w:type="default" r:id="rId10"/>
          <w:headerReference w:type="first" r:id="rId11"/>
          <w:pgSz w:w="11907" w:h="16839" w:code="9"/>
          <w:pgMar w:top="1440" w:right="1080" w:bottom="1440" w:left="1080" w:header="708" w:footer="708" w:gutter="0"/>
          <w:pgNumType w:start="1"/>
          <w:cols w:space="708"/>
          <w:docGrid w:linePitch="360"/>
        </w:sectPr>
      </w:pPr>
    </w:p>
    <w:p w14:paraId="0EA63897" w14:textId="77777777" w:rsidR="002320EC" w:rsidRDefault="002320EC" w:rsidP="002320EC">
      <w:pPr>
        <w:pStyle w:val="ListParagraph"/>
        <w:spacing w:line="360" w:lineRule="auto"/>
        <w:ind w:left="0"/>
        <w:jc w:val="both"/>
        <w:rPr>
          <w:rFonts w:ascii="Times New Roman" w:hAnsi="Times New Roman" w:cs="Times New Roman"/>
          <w:b/>
          <w:sz w:val="24"/>
          <w:szCs w:val="24"/>
        </w:rPr>
      </w:pPr>
    </w:p>
    <w:p w14:paraId="19D5AD15" w14:textId="77777777" w:rsidR="00C94E34" w:rsidRDefault="00C94E34" w:rsidP="002320EC">
      <w:pPr>
        <w:pStyle w:val="ListParagraph"/>
        <w:spacing w:line="360" w:lineRule="auto"/>
        <w:ind w:left="0"/>
        <w:jc w:val="both"/>
        <w:rPr>
          <w:rFonts w:ascii="Times New Roman" w:hAnsi="Times New Roman" w:cs="Times New Roman"/>
          <w:b/>
          <w:sz w:val="24"/>
          <w:szCs w:val="24"/>
        </w:rPr>
      </w:pPr>
    </w:p>
    <w:p w14:paraId="355DC942" w14:textId="77777777" w:rsidR="00C94E34" w:rsidRDefault="00C94E34" w:rsidP="002320EC">
      <w:pPr>
        <w:pStyle w:val="ListParagraph"/>
        <w:spacing w:line="360" w:lineRule="auto"/>
        <w:ind w:left="0"/>
        <w:jc w:val="both"/>
        <w:rPr>
          <w:rFonts w:ascii="Times New Roman" w:hAnsi="Times New Roman" w:cs="Times New Roman"/>
          <w:b/>
          <w:sz w:val="24"/>
          <w:szCs w:val="24"/>
        </w:rPr>
      </w:pPr>
    </w:p>
    <w:p w14:paraId="69FEBF84" w14:textId="77777777" w:rsidR="00C94E34" w:rsidRDefault="00C94E34" w:rsidP="002320EC">
      <w:pPr>
        <w:pStyle w:val="ListParagraph"/>
        <w:spacing w:line="360" w:lineRule="auto"/>
        <w:ind w:left="0"/>
        <w:jc w:val="both"/>
        <w:rPr>
          <w:rFonts w:ascii="Times New Roman" w:hAnsi="Times New Roman" w:cs="Times New Roman"/>
          <w:b/>
          <w:sz w:val="24"/>
          <w:szCs w:val="24"/>
        </w:rPr>
      </w:pPr>
    </w:p>
    <w:p w14:paraId="6D062349" w14:textId="77777777" w:rsidR="00C94E34" w:rsidRDefault="00C94E34" w:rsidP="002320EC">
      <w:pPr>
        <w:pStyle w:val="ListParagraph"/>
        <w:spacing w:line="360" w:lineRule="auto"/>
        <w:ind w:left="0"/>
        <w:jc w:val="both"/>
        <w:rPr>
          <w:rFonts w:ascii="Times New Roman" w:hAnsi="Times New Roman" w:cs="Times New Roman"/>
          <w:b/>
          <w:sz w:val="24"/>
          <w:szCs w:val="24"/>
        </w:rPr>
      </w:pPr>
    </w:p>
    <w:p w14:paraId="1F849CC9" w14:textId="77777777" w:rsidR="00C94E34" w:rsidRDefault="00C94E34" w:rsidP="002320EC">
      <w:pPr>
        <w:pStyle w:val="ListParagraph"/>
        <w:spacing w:line="360" w:lineRule="auto"/>
        <w:ind w:left="0"/>
        <w:jc w:val="both"/>
        <w:rPr>
          <w:rFonts w:ascii="Times New Roman" w:hAnsi="Times New Roman" w:cs="Times New Roman"/>
          <w:b/>
          <w:sz w:val="24"/>
          <w:szCs w:val="24"/>
        </w:rPr>
      </w:pPr>
    </w:p>
    <w:p w14:paraId="3D7F88D6" w14:textId="77777777" w:rsidR="00C94E34" w:rsidRDefault="00C94E34" w:rsidP="002320EC">
      <w:pPr>
        <w:pStyle w:val="ListParagraph"/>
        <w:spacing w:line="360" w:lineRule="auto"/>
        <w:ind w:left="0"/>
        <w:jc w:val="both"/>
        <w:rPr>
          <w:rFonts w:ascii="Times New Roman" w:hAnsi="Times New Roman" w:cs="Times New Roman"/>
          <w:b/>
          <w:sz w:val="24"/>
          <w:szCs w:val="24"/>
        </w:rPr>
      </w:pPr>
    </w:p>
    <w:p w14:paraId="60B14DF6" w14:textId="77777777" w:rsidR="00C94E34" w:rsidRDefault="00C94E34" w:rsidP="002320EC">
      <w:pPr>
        <w:pStyle w:val="ListParagraph"/>
        <w:spacing w:line="360" w:lineRule="auto"/>
        <w:ind w:left="0"/>
        <w:jc w:val="both"/>
        <w:rPr>
          <w:rFonts w:ascii="Times New Roman" w:hAnsi="Times New Roman" w:cs="Times New Roman"/>
          <w:b/>
          <w:sz w:val="24"/>
          <w:szCs w:val="24"/>
        </w:rPr>
      </w:pPr>
    </w:p>
    <w:p w14:paraId="0D08B681" w14:textId="77777777" w:rsidR="00C94E34" w:rsidRDefault="00C94E34" w:rsidP="002320EC">
      <w:pPr>
        <w:pStyle w:val="ListParagraph"/>
        <w:spacing w:line="360" w:lineRule="auto"/>
        <w:ind w:left="0"/>
        <w:jc w:val="both"/>
        <w:rPr>
          <w:rFonts w:ascii="Times New Roman" w:hAnsi="Times New Roman" w:cs="Times New Roman"/>
          <w:b/>
          <w:sz w:val="24"/>
          <w:szCs w:val="24"/>
        </w:rPr>
      </w:pPr>
    </w:p>
    <w:p w14:paraId="224E2811" w14:textId="77777777" w:rsidR="00C94E34" w:rsidRDefault="00C94E34" w:rsidP="002320EC">
      <w:pPr>
        <w:pStyle w:val="ListParagraph"/>
        <w:spacing w:line="360" w:lineRule="auto"/>
        <w:ind w:left="0"/>
        <w:jc w:val="both"/>
        <w:rPr>
          <w:rFonts w:ascii="Times New Roman" w:hAnsi="Times New Roman" w:cs="Times New Roman"/>
          <w:b/>
          <w:sz w:val="24"/>
          <w:szCs w:val="24"/>
        </w:rPr>
      </w:pPr>
    </w:p>
    <w:p w14:paraId="7F21EE7C" w14:textId="77777777" w:rsidR="002320EC" w:rsidRDefault="002320EC" w:rsidP="002320EC">
      <w:pPr>
        <w:pStyle w:val="ListParagraph"/>
        <w:spacing w:line="360" w:lineRule="auto"/>
        <w:ind w:left="0"/>
        <w:jc w:val="both"/>
        <w:rPr>
          <w:rFonts w:ascii="Times New Roman" w:hAnsi="Times New Roman" w:cs="Times New Roman"/>
          <w:b/>
          <w:sz w:val="24"/>
          <w:szCs w:val="24"/>
        </w:rPr>
        <w:sectPr w:rsidR="002320EC" w:rsidSect="00C84E08">
          <w:type w:val="continuous"/>
          <w:pgSz w:w="11907" w:h="16839" w:code="9"/>
          <w:pgMar w:top="1440" w:right="1080" w:bottom="1440" w:left="1080" w:header="708" w:footer="708" w:gutter="0"/>
          <w:pgNumType w:start="1"/>
          <w:cols w:num="2" w:space="708"/>
          <w:docGrid w:linePitch="360"/>
        </w:sectPr>
      </w:pPr>
    </w:p>
    <w:p w14:paraId="53C71417" w14:textId="77777777" w:rsidR="002320EC" w:rsidRPr="00D254D9" w:rsidRDefault="002320EC" w:rsidP="002320EC">
      <w:pPr>
        <w:autoSpaceDE w:val="0"/>
        <w:autoSpaceDN w:val="0"/>
        <w:adjustRightInd w:val="0"/>
        <w:spacing w:after="0" w:line="240" w:lineRule="auto"/>
        <w:rPr>
          <w:rFonts w:ascii="Times New Roman" w:hAnsi="Times New Roman" w:cs="Times New Roman"/>
          <w:sz w:val="18"/>
          <w:szCs w:val="18"/>
        </w:rPr>
        <w:sectPr w:rsidR="002320EC" w:rsidRPr="00D254D9" w:rsidSect="00C84E08">
          <w:type w:val="continuous"/>
          <w:pgSz w:w="11907" w:h="16839" w:code="9"/>
          <w:pgMar w:top="1440" w:right="1080" w:bottom="1440" w:left="1080" w:header="708" w:footer="708" w:gutter="0"/>
          <w:pgNumType w:start="1"/>
          <w:cols w:space="708"/>
          <w:docGrid w:linePitch="360"/>
        </w:sectPr>
      </w:pPr>
    </w:p>
    <w:p w14:paraId="6F9DF6A0" w14:textId="77777777" w:rsidR="00FE5F24" w:rsidRDefault="00FE5F24" w:rsidP="002320EC">
      <w:pPr>
        <w:pStyle w:val="ListParagraph"/>
        <w:spacing w:line="360" w:lineRule="auto"/>
        <w:ind w:left="0"/>
        <w:jc w:val="both"/>
        <w:rPr>
          <w:rFonts w:ascii="Times New Roman" w:hAnsi="Times New Roman" w:cs="Times New Roman"/>
          <w:b/>
          <w:sz w:val="24"/>
          <w:szCs w:val="24"/>
        </w:rPr>
      </w:pPr>
    </w:p>
    <w:p w14:paraId="106CD8B2" w14:textId="77777777" w:rsidR="00FE5F24" w:rsidRDefault="00FE5F24" w:rsidP="002320EC">
      <w:pPr>
        <w:pStyle w:val="ListParagraph"/>
        <w:spacing w:line="360" w:lineRule="auto"/>
        <w:ind w:left="0"/>
        <w:jc w:val="both"/>
        <w:rPr>
          <w:rFonts w:ascii="Times New Roman" w:hAnsi="Times New Roman" w:cs="Times New Roman"/>
          <w:b/>
          <w:sz w:val="24"/>
          <w:szCs w:val="24"/>
        </w:rPr>
      </w:pPr>
    </w:p>
    <w:p w14:paraId="3AC1E52E" w14:textId="77777777" w:rsidR="00FE5F24" w:rsidRDefault="00FE5F24" w:rsidP="002320EC">
      <w:pPr>
        <w:pStyle w:val="ListParagraph"/>
        <w:spacing w:line="360" w:lineRule="auto"/>
        <w:ind w:left="0"/>
        <w:jc w:val="both"/>
        <w:rPr>
          <w:rFonts w:ascii="Times New Roman" w:hAnsi="Times New Roman" w:cs="Times New Roman"/>
          <w:b/>
          <w:sz w:val="24"/>
          <w:szCs w:val="24"/>
        </w:rPr>
      </w:pPr>
    </w:p>
    <w:p w14:paraId="3B81D83F" w14:textId="77777777" w:rsidR="00FE5F24" w:rsidRDefault="00FE5F24" w:rsidP="002320EC">
      <w:pPr>
        <w:pStyle w:val="ListParagraph"/>
        <w:spacing w:line="360" w:lineRule="auto"/>
        <w:ind w:left="0"/>
        <w:jc w:val="both"/>
        <w:rPr>
          <w:rFonts w:ascii="Times New Roman" w:hAnsi="Times New Roman" w:cs="Times New Roman"/>
          <w:b/>
          <w:sz w:val="24"/>
          <w:szCs w:val="24"/>
        </w:rPr>
      </w:pPr>
    </w:p>
    <w:p w14:paraId="7F51CE1C" w14:textId="77777777" w:rsidR="00FE5F24" w:rsidRPr="00877B56" w:rsidRDefault="00FE5F24" w:rsidP="002320EC">
      <w:pPr>
        <w:pStyle w:val="ListParagraph"/>
        <w:spacing w:line="360" w:lineRule="auto"/>
        <w:ind w:left="0"/>
        <w:jc w:val="both"/>
        <w:rPr>
          <w:rFonts w:ascii="Times New Roman" w:hAnsi="Times New Roman" w:cs="Times New Roman"/>
          <w:b/>
          <w:sz w:val="24"/>
          <w:szCs w:val="24"/>
        </w:rPr>
      </w:pPr>
    </w:p>
    <w:p w14:paraId="005D1797" w14:textId="77777777" w:rsidR="002320EC" w:rsidRPr="00877B56" w:rsidRDefault="002320EC" w:rsidP="002320EC">
      <w:pPr>
        <w:pStyle w:val="ListParagraph"/>
        <w:spacing w:line="360" w:lineRule="auto"/>
        <w:ind w:left="0"/>
        <w:jc w:val="both"/>
        <w:rPr>
          <w:rFonts w:ascii="Times New Roman" w:hAnsi="Times New Roman" w:cs="Times New Roman"/>
          <w:b/>
          <w:sz w:val="24"/>
          <w:szCs w:val="24"/>
        </w:rPr>
      </w:pPr>
    </w:p>
    <w:p w14:paraId="0E5EA272" w14:textId="77777777" w:rsidR="002320EC" w:rsidRPr="00877B56" w:rsidRDefault="002320EC" w:rsidP="002320EC">
      <w:pPr>
        <w:pStyle w:val="ListParagraph"/>
        <w:spacing w:line="360" w:lineRule="auto"/>
        <w:ind w:left="0"/>
        <w:jc w:val="both"/>
        <w:rPr>
          <w:rFonts w:ascii="Times New Roman" w:hAnsi="Times New Roman" w:cs="Times New Roman"/>
          <w:b/>
          <w:sz w:val="24"/>
          <w:szCs w:val="24"/>
        </w:rPr>
      </w:pPr>
    </w:p>
    <w:p w14:paraId="5F8AB7CB" w14:textId="77777777" w:rsidR="002320EC" w:rsidRPr="00877B56" w:rsidRDefault="002320EC" w:rsidP="002320EC">
      <w:pPr>
        <w:pStyle w:val="ListParagraph"/>
        <w:spacing w:line="360" w:lineRule="auto"/>
        <w:ind w:left="0"/>
        <w:jc w:val="both"/>
        <w:rPr>
          <w:rFonts w:ascii="Times New Roman" w:hAnsi="Times New Roman" w:cs="Times New Roman"/>
          <w:b/>
          <w:sz w:val="24"/>
          <w:szCs w:val="24"/>
        </w:rPr>
        <w:sectPr w:rsidR="002320EC" w:rsidRPr="00877B56" w:rsidSect="00C84E08">
          <w:type w:val="continuous"/>
          <w:pgSz w:w="11907" w:h="16839" w:code="9"/>
          <w:pgMar w:top="1440" w:right="1080" w:bottom="1440" w:left="1080" w:header="708" w:footer="708" w:gutter="0"/>
          <w:pgNumType w:start="1"/>
          <w:cols w:num="2" w:space="708"/>
          <w:docGrid w:linePitch="360"/>
        </w:sectPr>
      </w:pPr>
    </w:p>
    <w:p w14:paraId="67B9E0C9" w14:textId="77777777" w:rsidR="00FE5F24" w:rsidRDefault="00FE5F24" w:rsidP="002320EC">
      <w:pPr>
        <w:pStyle w:val="ListParagraph"/>
        <w:spacing w:line="360" w:lineRule="auto"/>
        <w:ind w:left="0"/>
        <w:jc w:val="both"/>
        <w:rPr>
          <w:rFonts w:ascii="Times New Roman" w:hAnsi="Times New Roman" w:cs="Times New Roman"/>
          <w:b/>
          <w:sz w:val="24"/>
          <w:szCs w:val="24"/>
        </w:rPr>
      </w:pPr>
    </w:p>
    <w:p w14:paraId="60F15C9A" w14:textId="77777777" w:rsidR="002320EC" w:rsidRPr="00877B56" w:rsidRDefault="002320EC" w:rsidP="002320EC">
      <w:pPr>
        <w:pStyle w:val="ListParagraph"/>
        <w:spacing w:line="360" w:lineRule="auto"/>
        <w:ind w:left="0"/>
        <w:jc w:val="both"/>
        <w:rPr>
          <w:rFonts w:ascii="Times New Roman" w:hAnsi="Times New Roman" w:cs="Times New Roman"/>
          <w:b/>
          <w:sz w:val="24"/>
          <w:szCs w:val="24"/>
        </w:rPr>
        <w:sectPr w:rsidR="002320EC" w:rsidRPr="00877B56" w:rsidSect="00C84E08">
          <w:type w:val="continuous"/>
          <w:pgSz w:w="11907" w:h="16839" w:code="9"/>
          <w:pgMar w:top="1440" w:right="1080" w:bottom="1440" w:left="1080" w:header="708" w:footer="708" w:gutter="0"/>
          <w:pgNumType w:start="1"/>
          <w:cols w:space="708"/>
          <w:docGrid w:linePitch="360"/>
        </w:sectPr>
      </w:pPr>
      <w:r w:rsidRPr="00877B56">
        <w:rPr>
          <w:rFonts w:ascii="Times New Roman" w:hAnsi="Times New Roman" w:cs="Times New Roman"/>
          <w:b/>
          <w:sz w:val="24"/>
          <w:szCs w:val="24"/>
        </w:rPr>
        <w:t>INTR</w:t>
      </w:r>
      <w:r>
        <w:rPr>
          <w:rFonts w:ascii="Times New Roman" w:hAnsi="Times New Roman" w:cs="Times New Roman"/>
          <w:b/>
          <w:sz w:val="24"/>
          <w:szCs w:val="24"/>
        </w:rPr>
        <w:t>ODUCTION</w:t>
      </w:r>
    </w:p>
    <w:p w14:paraId="267A7B21" w14:textId="66C620B7" w:rsidR="002320EC" w:rsidRPr="00174DC0" w:rsidRDefault="001427CC" w:rsidP="002320EC">
      <w:pPr>
        <w:pStyle w:val="ListParagraph"/>
        <w:tabs>
          <w:tab w:val="left" w:pos="6373"/>
        </w:tabs>
        <w:spacing w:line="240" w:lineRule="auto"/>
        <w:ind w:left="0"/>
        <w:jc w:val="both"/>
        <w:rPr>
          <w:rFonts w:ascii="Times New Roman" w:hAnsi="Times New Roman" w:cs="Times New Roman"/>
          <w:color w:val="FF0000"/>
          <w:sz w:val="24"/>
          <w:szCs w:val="24"/>
        </w:rPr>
      </w:pPr>
      <w:bookmarkStart w:id="1" w:name="_Toc171879351"/>
      <w:r>
        <w:rPr>
          <w:rFonts w:ascii="Times New Roman" w:eastAsia="Times New Roman" w:hAnsi="Times New Roman" w:cs="Times New Roman"/>
          <w:sz w:val="24"/>
          <w:szCs w:val="24"/>
          <w:lang w:eastAsia="en-GB"/>
        </w:rPr>
        <w:t xml:space="preserve">Primary Open </w:t>
      </w:r>
      <w:r w:rsidR="002320EC" w:rsidRPr="00877B56">
        <w:rPr>
          <w:rFonts w:ascii="Times New Roman" w:eastAsia="Times New Roman" w:hAnsi="Times New Roman" w:cs="Times New Roman"/>
          <w:sz w:val="24"/>
          <w:szCs w:val="24"/>
          <w:lang w:eastAsia="en-GB"/>
        </w:rPr>
        <w:t xml:space="preserve">Angle Glaucoma (POAG) is the most common subtype of glaucoma, affecting approximately 58.9 million people worldwide, with an estimated 6 million developing bilateral blindness </w:t>
      </w:r>
      <w:r w:rsidR="002320EC" w:rsidRPr="00877B56">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{"citationItems":[{"id":"ITEM-1","itemData":{"DOI":"10.1016/j.ophtha.2014.05.013","ISSN":"15494713","PMID":"24974815","abstract":"Purpose Glaucoma is the leading cause of global irreversible blindness. Present estimates of global glaucoma prevalence are not up-to-date and focused mainly on European ancestry populations. We systematically examined the global prevalence of primary open-angle glaucoma (POAG) and primary angle-closure glaucoma (PACG), and projected the number of affected people in 2020 and 2040.\nDesign Systematic review and meta-analysis.\nParticipantsData from 50 population-based studies (3770 POAG cases among 140 ≥496 examined individuals and 786 PACG cases among 112 398 examined individuals).\nMethods We searched PubMed, Medline, and Web of Science for population-based studies of glaucoma prevalence published up to March 25, 2013. Hierarchical Bayesian approach was used to estimate the pooled glaucoma prevalence of the population aged 40-80 years along with 95% credible intervals (CrIs). Projections of glaucoma were estimated based on the United Nations World Population Prospects. Bayesian meta-regression models were performed to assess the association between the prevalence of POAG and the relevant factors.\nMain Outcome Measures Prevalence and projection numbers of glaucoma cases.\nResults The global prevalence of glaucoma for population aged 40-80 years is 3.54% (95% CrI, 2.09-5.82). The prevalence of POAG is highest in Africa (4.20%; 95% CrI, 2.08-7.35), and the prevalence of PACG is highest in Asia (1.09%; 95% CrI, 0.43-2.32). In 2013, the number of people (aged 40-80 years) with glaucoma worldwide was estimated to be 64.3 million, increasing to 76.0 million in 2020 and 111.8 million in 2040. In the Bayesian meta-regression model, men were more likely to have POAG than women (odds ratio [OR], 1.36; 95% CrI, 1.23-1.52), and after adjusting for age, gender, habitation type, response rate, and year of study, people of African ancestry were more likely to have POAG than people of European ancestry (OR, 2.80; 95% CrI, 1.83-4.06), and people living in urban areas were more likely to have POAG than those in rural areas (OR, 1.58; 95% CrI, 1.19-2.04).\nConclusions The number of people with glaucoma worldwide will increase to 111.8 million in 2040, disproportionally affecting people residing in Asia and Africa. These estimates are important in guiding the designs of glaucoma screening, treatment, and related public health strategies.","author":[{"dropping-particle":"","family":"Tham","given":"Yih Chung","non-dropping-particle":"","parse-names":false,"suffix":""},{"dropping-particle":"","family":"Li","given":"Xiang","non-dropping-particle":"","parse-names":false,"suffix":""},{"dropping-particle":"","family":"Wong","given":"Tien Y.","non-dropping-particle":"","parse-names":false,"suffix":""},{"dropping-particle":"","family":"Quigley","given":"Harry A.","non-dropping-particle":"","parse-names":false,"suffix":""},{"dropping-particle":"","family":"Aung","given":"Tin","non-dropping-particle":"","parse-names":false,"suffix":""},{"dropping-particle":"","family":"Cheng","given":"Ching Yu","non-dropping-particle":"","parse-names":false,"suffix":""}],"container-title":"Ophthalmology","id":"ITEM-1","issue":"11","issued":{"date-parts":[["2014"]]},"page":"2081-2090","publisher":"Elsevier Inc","title":"Global prevalence of glaucoma and projections of glaucoma burden through 2040: A systematic review and meta-analysis","type":"article-journal","volume":"121"},"uris":["http://www.mendeley.com/documents/?uuid=01e8abad-4c2e-44da-a242-6436232b5d8f"]}],"mendeley":{"formattedCitation":"(Y. C. Tham &lt;i&gt;et al.&lt;/i&gt;, 2014)","plainTextFormattedCitation":"(Y. C. Tham et al., 2014)","previouslyFormattedCitation":"(Y. C. Tham &lt;i&gt;et al.&lt;/i&gt;, 2014)"},"properties":{"noteIndex":0},"schema":"https://github.com/citation-style-language/schema/raw/master/csl-citation.json"}</w:instrText>
      </w:r>
      <w:r w:rsidR="002320EC" w:rsidRPr="00877B56">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(Y. C. Tham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2014)</w:t>
      </w:r>
      <w:r w:rsidR="002320EC" w:rsidRPr="00877B56">
        <w:rPr>
          <w:rFonts w:ascii="Times New Roman" w:hAnsi="Times New Roman" w:cs="Times New Roman"/>
          <w:sz w:val="24"/>
          <w:szCs w:val="24"/>
        </w:rPr>
        <w:fldChar w:fldCharType="end"/>
      </w:r>
      <w:r w:rsidR="002320EC" w:rsidRPr="00877B56">
        <w:rPr>
          <w:rFonts w:ascii="Times New Roman" w:hAnsi="Times New Roman" w:cs="Times New Roman"/>
          <w:sz w:val="24"/>
          <w:szCs w:val="24"/>
        </w:rPr>
        <w:t>.</w:t>
      </w:r>
      <w:r w:rsidR="002320EC" w:rsidRPr="00877B56">
        <w:rPr>
          <w:rFonts w:ascii="Times New Roman" w:eastAsia="Times New Roman" w:hAnsi="Times New Roman" w:cs="Times New Roman"/>
          <w:sz w:val="24"/>
          <w:szCs w:val="24"/>
          <w:lang w:eastAsia="en-GB"/>
        </w:rPr>
        <w:t xml:space="preserve"> Africa bears a disproportionately high burden, with the highest global prevalence of POAG. Compared to Western Europe, the African population experiences a fourfold higher rate of blindness due to POAG, presents with more severe disease at diagnosis, and has a faster rate of progression </w:t>
      </w:r>
      <w:r w:rsidR="002320EC" w:rsidRPr="00877B56">
        <w:rPr>
          <w:rFonts w:ascii="Times New Roman" w:hAnsi="Times New Roman" w:cs="Times New Roman"/>
          <w:b/>
          <w:sz w:val="24"/>
          <w:szCs w:val="24"/>
        </w:rPr>
        <w:fldChar w:fldCharType="begin" w:fldLock="1"/>
      </w:r>
      <w:r w:rsidR="00C45B32">
        <w:rPr>
          <w:rFonts w:ascii="Times New Roman" w:hAnsi="Times New Roman" w:cs="Times New Roman"/>
          <w:b/>
          <w:sz w:val="24"/>
          <w:szCs w:val="24"/>
        </w:rPr>
        <w:instrText>ADDIN CSL_CITATION {"citationItems":[{"id":"ITEM-1","itemData":{"ISSN":"0007-1161","author":[{"dropping-particle":"","family":"Fraser","given":"Scott","non-dropping-particle":"","parse-names":false,"suffix":""},{"dropping-particle":"","family":"Bunce","given":"Catey","non-dropping-particle":"","parse-names":false,"suffix":""},{"dropping-particle":"","family":"Wormald","given":"Richard","non-dropping-particle":"","parse-names":false,"suffix":""}],"container-title":"British journal of ophthalmology","id":"ITEM-1","issue":"1","issued":{"date-parts":[["1999"]]},"page":"24-28","publisher":"BMJ Publishing Group Ltd","title":"Retrospective analysis of risk factors for late presentation of chronic glaucoma","type":"article-journal","volume":"83"},"uris":["http://www.mendeley.com/documents/?uuid=1629f0df-5a01-4e98-9c9c-d9fc272c144d"]},{"id":"ITEM-2","itemData":{"ISSN":"0928-6586","author":[{"dropping-particle":"","family":"Mafwiri","given":"M","non-dropping-particle":"","parse-names":false,"suffix":""},{"dropping-particle":"","family":"Bowman","given":"R J C","non-dropping-particle":"","parse-names":false,"suffix":""},{"dropping-particle":"","family":"Wood","given":"M","non-dropping-particle":"","parse-names":false,"suffix":""},{"dropping-particle":"","family":"Kabiru","given":"J","non-dropping-particle":"","parse-names":false,"suffix":""}],"container-title":"Ophthalmic epidemiology","id":"ITEM-2","issue":"5","issued":{"date-parts":[["2005"]]},"page":"299-302","publisher":"Taylor &amp; Francis","title":"Primary open-angle glaucoma presentation at a tertiary unit in Africa: intraocular pressure levels and visual status","type":"article-journal","volume":"12"},"uris":["http://www.mendeley.com/documents/?uuid=de15b5ca-6d99-4d89-9118-fcc9ae0cc97f"]},{"id":"ITEM-3","itemData":{"ISSN":"0002-9394","author":[{"dropping-particle":"","family":"Drance","given":"Stephen","non-dropping-particle":"","parse-names":false,"suffix":""},{"dropping-particle":"","family":"Anderson","given":"Douglas R","non-dropping-particle":"","parse-names":false,"suffix":""},{"dropping-particle":"","family":"Schulzer","given":"Michael","non-dropping-particle":"","parse-names":false,"suffix":""},{"dropping-particle":"","family":"Group","given":"Collaborative Normal-Tension Glaucoma Study","non-dropping-particle":"","parse-names":false,"suffix":""}],"container-title":"American journal of ophthalmology","id":"ITEM-3","issue":"6","issued":{"date-parts":[["2001"]]},"page":"699-708","publisher":"Elsevier","title":"Risk factors for progression of visual field abnormalities in normal-tension glaucoma","type":"article-journal","volume":"131"},"uris":["http://www.mendeley.com/documents/?uuid=7d83642b-7078-4031-808c-f6abaf74f827"]},{"id":"ITEM-4","itemData":{"ISSN":"0049-4755","author":[{"dropping-particle":"","family":"Ntim-Amponsah","given":"C T","non-dropping-particle":"","parse-names":false,"suffix":""}],"container-title":"Tropical doctor","id":"ITEM-4","issue":"2","issued":{"date-parts":[["2002"]]},"page":"102-104","publisher":"SAGE Publications Sage UK: London, England","title":"Visual loss in urban and rural chronic glaucoma patients in Ghana","type":"article-journal","volume":"32"},"uris":["http://www.mendeley.com/documents/?uuid=387f81a4-8061-4b8b-8d62-ba7774633905"]},{"id":"ITEM-5","itemData":{"author":[{"dropping-particle":"","family":"Kyari","given":"Fatima","non-dropping-particle":"","parse-names":false,"suffix":""},{"dropping-particle":"","family":"Abdull","given":"Mohammed M","non-dropping-particle":"","parse-names":false,"suffix":""},{"dropping-particle":"","family":"Bastawrous","given":"Andrew","non-dropping-particle":"","parse-names":false,"suffix":""},{"dropping-particle":"","family":"Gilbert","given":"Clare E","non-dropping-particle":"","parse-names":false,"suffix":""},{"dropping-particle":"","family":"Faal","given":"Hannah","non-dropping-particle":"","parse-names":false,"suffix":""}],"container-title":"Middle East African journal of ophthalmology","id":"ITEM-5","issue":"2","issued":{"date-parts":[["2013"]]},"page":"111","publisher":"Wolters Kluwer--Medknow Publications","title":"Epidemiology of glaucoma in sub-saharan Africa: prevalence, incidence and risk factors","type":"article-journal","volume":"20"},"uris":["http://www.mendeley.com/documents/?uuid=a9cd9911-15ae-42b0-a92f-65b51803a1c0"]}],"mendeley":{"formattedCitation":"(Fraser, Bunce and Wormald, 1999a; Drance &lt;i&gt;et al.&lt;/i&gt;, 2001; Ntim-Amponsah, 2002; Mafwiri &lt;i&gt;et al.&lt;/i&gt;, 2005; Kyari &lt;i&gt;et al.&lt;/i&gt;, 2013)","plainTextFormattedCitation":"(Fraser, Bunce and Wormald, 1999a; Drance et al., 2001; Ntim-Amponsah, 2002; Mafwiri et al., 2005; Kyari et al., 2013)","previouslyFormattedCitation":"(Fraser, Bunce and Wormald, 1999a; Drance &lt;i&gt;et al.&lt;/i&gt;, 2001; Ntim-Amponsah, 2002; Mafwiri &lt;i&gt;et al.&lt;/i&gt;, 2005; Kyari &lt;i&gt;et al.&lt;/i&gt;, 2013)"},"properties":{"noteIndex":0},"schema":"https://github.com/citation-style-language/schema/raw/master/csl-citation.json"}</w:instrText>
      </w:r>
      <w:r w:rsidR="002320EC" w:rsidRPr="00877B56">
        <w:rPr>
          <w:rFonts w:ascii="Times New Roman" w:hAnsi="Times New Roman" w:cs="Times New Roman"/>
          <w:b/>
          <w:sz w:val="24"/>
          <w:szCs w:val="24"/>
        </w:rPr>
        <w:fldChar w:fldCharType="separate"/>
      </w:r>
      <w:r w:rsidR="00086E2E" w:rsidRPr="00086E2E">
        <w:rPr>
          <w:rFonts w:ascii="Times New Roman" w:hAnsi="Times New Roman" w:cs="Times New Roman"/>
          <w:noProof/>
          <w:sz w:val="24"/>
          <w:szCs w:val="24"/>
        </w:rPr>
        <w:t xml:space="preserve">(Fraser, Bunce and Wormald, 1999a; Drance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2001; Ntim-Amponsah, 2002; Mafwiri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2005; Kyari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2013)</w:t>
      </w:r>
      <w:r w:rsidR="002320EC" w:rsidRPr="00877B56">
        <w:rPr>
          <w:rFonts w:ascii="Times New Roman" w:hAnsi="Times New Roman" w:cs="Times New Roman"/>
          <w:b/>
          <w:sz w:val="24"/>
          <w:szCs w:val="24"/>
        </w:rPr>
        <w:fldChar w:fldCharType="end"/>
      </w:r>
      <w:r w:rsidR="002320EC" w:rsidRPr="00877B56">
        <w:rPr>
          <w:rFonts w:ascii="Times New Roman" w:hAnsi="Times New Roman" w:cs="Times New Roman"/>
          <w:sz w:val="24"/>
          <w:szCs w:val="24"/>
        </w:rPr>
        <w:t xml:space="preserve"> .</w:t>
      </w:r>
    </w:p>
    <w:p w14:paraId="43D26C24" w14:textId="47687DD5" w:rsidR="002320EC" w:rsidRPr="00877B56"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r w:rsidRPr="00877B56">
        <w:rPr>
          <w:rFonts w:ascii="Times New Roman" w:eastAsia="Times New Roman" w:hAnsi="Times New Roman" w:cs="Times New Roman"/>
          <w:sz w:val="24"/>
          <w:szCs w:val="24"/>
          <w:lang w:eastAsia="en-GB"/>
        </w:rPr>
        <w:t xml:space="preserve">Elevated intraocular pressure (IOP) is the most frequently reported risk factor for glaucoma onset and progression </w:t>
      </w:r>
      <w:r w:rsidRPr="00877B56">
        <w:rPr>
          <w:rFonts w:ascii="Times New Roman" w:hAnsi="Times New Roman" w:cs="Times New Roman"/>
          <w:b/>
          <w:sz w:val="24"/>
          <w:szCs w:val="24"/>
        </w:rPr>
        <w:fldChar w:fldCharType="begin" w:fldLock="1"/>
      </w:r>
      <w:r w:rsidR="00C45B32">
        <w:rPr>
          <w:rFonts w:ascii="Times New Roman" w:hAnsi="Times New Roman" w:cs="Times New Roman"/>
          <w:b/>
          <w:sz w:val="24"/>
          <w:szCs w:val="24"/>
        </w:rPr>
        <w:instrText>ADDIN CSL_CITATION {"citationItems":[{"id":"ITEM-1","itemData":{"DOI":"https://doi.org/10.1016/j.ophtha.2007.03.016","ISSN":"0161-6420","abstract":"Purpose To determine progression factors at the end of the Early Manifest Glaucoma Trial (EMGT) based on all EMGT patients and evaluate separately patients with higher and lower baseline intraocular pressure (IOP; median split). Design Cohort of clinical trial participants. Participants Patients with early open-angle glaucoma randomized to argon laser trabeculoplasty plus betaxolol (n = 129) or no immediate treatment (n = 126), examined every 3 months for up to 11 years. Methods Cox proportional hazard analyses, expressed by hazard ratios (HRs) and 95% confidence intervals (CIs). Main Outcome Measure Time to progression, defined by perimetric and photographic disc criteria. Results Overall progression was 67% when follow-up ended (median, 8 years). Treatment approximately halved progression risk (HR, 0.53; 95% CI, 0.39–0.72); results were similar for patients with higher and lower baseline IOP (HRs, 0.41 and 0.55). Baseline progression factors (HRs, 1.51–2.12; P&lt;0.01) were higher IOP, exfoliation, bilateral disease, and older age, as previously reported. New baseline predictors were lower ocular systolic perfusion pressure in all patients (≤160 mmHg; HR, 1.42; 95% CI, 1.04–1.94), cardiovascular disease history (HR, 2.75; 95% CI, 1.44–5.26) in patients with higher baseline IOP, and lower systolic blood pressure (BP) (≤125 mmHg; HR, 0.46; 95% CI, 0.21–1.02) in patients with lower baseline IOP. Postbaseline progression factors were IOP levels at follow-up, with 12% to 13% average increase per millimeter of mercury in all patients (HRs, 1.12–1.13 per mmHg higher) and similar results in patients with higher and lower baseline IOP (HRs, 1.15 and 1.13 per mmHg higher). Disc hemorrhages (HR, 1.02; 95% CI, 1.01–1.03 per percent higher frequency) also predicted progression. Thinner central corneal thickness (CCT) (HR, 1.25; 95% CI, 1.01–1.55 per 40 μm lower) was a new significant factor, a result observed in patients with higher baseline IOP (HR, 1.42; 95% CI, 1.05–1.92 per 40 μm lower) but not lower baseline IOP, with significant IOP–CCT interaction. Conclusions Treatment and follow-up IOP continued to have a marked influence on progression, regardless of baseline IOP. Other significant factors were age, bilaterality, exfoliation, and disc hemorrhages, as previously determined. Lower systolic perfusion pressure, lower systolic BP, and cardiovascular disease history emerged as new predictors, suggesting a vascular role in glaucoma progression. Another new factor …","author":[{"dropping-particle":"","family":"Le","given":"","non-dropping-particle":"","parse-names":false,"suffix":""}],"container-title":"Ophthalmology","id":"ITEM-1","issue":"11","issued":{"date-parts":[["2007"]]},"page":"1965-1972","title":"Predictors of Long-term Progression in the Early Manske, M Cristina Heijl, Anders Hyman, Leslie Bengtsson, Boel Dong, LiMing Yang, Zhongmingifest Glaucoma Trial","type":"article-journal","volume":"114"},"uris":["http://www.mendeley.com/documents/?uuid=161168d4-f8f2-40e3-a78f-6122e3561ded"]},{"id":"ITEM-2","itemData":{"DOI":"10.1177/112067211002000209","ISSN":"1120-6721 (Print)","PMID":"19882542","abstract":"PURPOSE: To determine the incidence of progression of primary open-angle glaucoma  at individual levels of mean intraocular pressure (IOP) in patients in Ethiopia. METHODS: A retrospective, multicenter, cohort analysis of patient records with at least 5 years of potential follow-up were evaluated for risk factors associated with progressive optic disc and visual field loss. RESULTS: There were 300 patients with the potential of 5 years of follow-up. In total, 166 patients progressed before 5 years and 134 remained stable for the full 5-year follow-up period. Of the total sample, 84% of patients with IOPs &lt; or =19 (n=117/139), 53% of patients with IOPs of 20 (n=9/17), 14% of patients with IOPs of 21-24 (n=9/63), and 0% of the patients with IOPs of &gt; or =25 mmHg (n=0/79) remained stable over at least 5 years. The mean IOP was 17.4+/-2.1 in the stable group and 25.0+/-5.9 mmHg in the progressed group (p&lt;0.0001). The highest average peak IOP was 24.5+/-4.5 in the stable group and 29.0+/-6.1 mmHg in the progressed group (p&lt;0.0001). A multivariant regression analysis to determine risk factors for progression was positive for mean IOP (p=0.0097). CONCLUSIONS: This study suggests that IOP reduction in a developing country, despite potential limitations in diagnostic techniques, follow-up, and compliance, can be effective in reducing the risk of glaucomatous progression over long-term follow-up.","author":[{"dropping-particle":"","family":"Alemu","given":"Abiye M","non-dropping-particle":"","parse-names":false,"suffix":""},{"dropping-particle":"","family":"Kristoffersen","given":"Caroline J","non-dropping-particle":"","parse-names":false,"suffix":""},{"dropping-particle":"","family":"Kristoffersen","given":"Michael S","non-dropping-particle":"","parse-names":false,"suffix":""},{"dropping-particle":"","family":"Stewart","given":"Jeanette A","non-dropping-particle":"","parse-names":false,"suffix":""},{"dropping-particle":"","family":"Stewart","given":"William C","non-dropping-particle":"","parse-names":false,"suffix":""}],"container-title":"European journal of ophthalmology","id":"ITEM-2","issue":"2","issued":{"date-parts":[["2010"]]},"language":"eng","page":"310-315","publisher-place":"United States","title":"Long-term benefit of reduced intraocular pressure in primary open-angle glaucoma  patients in Ethiopia.","type":"article-journal","volume":"20"},"uris":["http://www.mendeley.com/documents/?uuid=be67e161-3ed8-441d-8507-a2e246655391"]},{"id":"ITEM-3","itemData":{"ISSN":"0007-1161","author":[{"dropping-particle":"","family":"Wang","given":"Ya X","non-dropping-particle":"","parse-names":false,"suffix":""},{"dropping-particle":"","family":"Hu","given":"Lian N","non-dropping-particle":"","parse-names":false,"suffix":""},{"dropping-particle":"","family":"Yang","given":"Hua","non-dropping-particle":"","parse-names":false,"suffix":""},{"dropping-particle":"","family":"Jonas","given":"Jost B","non-dropping-particle":"","parse-names":false,"suffix":""},{"dropping-particle":"","family":"Xu","given":"Liang","non-dropping-particle":"","parse-names":false,"suffix":""}],"container-title":"British journal of ophthalmology","id":"ITEM-3","issue":"6","issued":{"date-parts":[["2012"]]},"page":"811-815","publisher":"BMJ Publishing Group Ltd","title":"Frequency and associated factors of structural progression of open-angle glaucoma in the Beijing Eye Study","type":"article-journal","volume":"96"},"uris":["http://www.mendeley.com/documents/?uuid=ee6a93e0-79ba-4abd-a3f0-a68477ef0ab1"]},{"id":"ITEM-4","itemData":{"author":[{"dropping-particle":"","family":"Kocatürk","given":"Tolga","non-dropping-particle":"","parse-names":false,"suffix":""},{"dropping-particle":"","family":"Bekmez","given":"Sinan","non-dropping-particle":"","parse-names":false,"suffix":""},{"dropping-particle":"","family":"Katrancı","given":"Merve","non-dropping-particle":"","parse-names":false,"suffix":""},{"dropping-particle":"","family":"Çakmak","given":"Harun","non-dropping-particle":"","parse-names":false,"suffix":""},{"dropping-particle":"","family":"Dayanır","given":"Volkan","non-dropping-particle":"","parse-names":false,"suffix":""}],"container-title":"The Open Ophthalmology Journal","id":"ITEM-4","issued":{"date-parts":[["2015"]]},"page":"116","publisher":"Bentham Science Publishers","title":"Long term results of visual field progression analysis in open angle glaucoma patients under treatment","type":"article-journal","volume":"9"},"uris":["http://www.mendeley.com/documents/?uuid=0f90aff3-bf16-449c-be49-d0b0f6d101da"]},{"id":"ITEM-5","itemData":{"ISSN":"24574325","PMID":"29450344","abstract":"Aim: Investigation of perimetric progression rate and associated risk factors in open angle glaucoma, in clinical practice. Methods: Retrospective study based on clinical charts reviews of patients with primary open angle glaucoma (POAG) being followed for &gt; 5 years with &gt;/ = 5 SITA Standard visual fields. Demographics, visual acuity (VA), central corneal thickness (CCT), intraocular pressure (IOP) and IOP variation, treatment (number of medications), visual fields and associated systemic pathologies were recorded. Patients were followed at every 3-6 months, when identical tests were performed. VF progression rate was calculated as slope of mean deviation (MD) over time by Glaucoma Progression Analysis software. Results: 121 eyes of 121 patients with POAG were included in the study and were followed for a mean period of 68.81 months (SD +/ - 31.7). The mean MD at start was -3.55 dB (SD +/ -5.19)., with a mean number of VF tests of 9.3+/ -2.9. Progression rate reached -0.21 +/ -0.1 db/ year. Mean IOP of all visits decreased over time from 18.20 mmHg to 16.53 mmHg (p&lt;0.05). Systemic factors like positive history of hypertension reached statistical relevance in terms of increased risk for glaucoma progression, but only after age and sex were corrected. MD slope was explained in ANOVA univariate analysis, by the level of MD at baseline, IOP baseline, number of topical medications and CCT in a proportion equal to 71.7% (p=0.004). Conclusion: Rate of visual field changes in POAG was correlated and dependent on the baseline MD level, IOP at baseline, number of topical medications and a thin CCT.","author":[{"dropping-particle":"","family":"Pantalon","given":"Anca Delia","non-dropping-particle":"","parse-names":false,"suffix":""},{"dropping-particle":"","family":"Feraru","given":"Crenguţa","non-dropping-particle":"","parse-names":false,"suffix":""},{"dropping-particle":"","family":"Chiseliţă","given":"Dorin","non-dropping-particle":"","parse-names":false,"suffix":""}],"container-title":"Romanian journal of ophthalmology","id":"ITEM-5","issue":"3","issued":{"date-parts":[["2016"]]},"page":"174-180","title":"Risk factors and long term progression in open angle glaucoma patients","type":"article","volume":"60"},"uris":["http://www.mendeley.com/documents/?uuid=49dc0df0-82ed-4f26-94b2-70979d0eee59"]},{"id":"ITEM-6","itemData":{"DOI":"10.1080/09286586.2016.1193207","ISSN":"17445086","PMID":"27348239","abstract":"Purpose: To determine the risk factors associated with progression to blindness from primary open-angle glaucoma (POAG) in an African-American population. Methods: This study examined 2119 patients enrolled in the Primary Open-Angle African-American Glaucoma Genetics (POAAGG) study. A total of 59 eyes were identified as legally blind as a result of POAG (cases) and were age-and sex-matched to 59 non-blind eyes with glaucoma (controls). Chart reviews were performed to record known and suspected risk factors. Results: Cases were diagnosed with POAG at an earlier age than controls (p = 0.005). Of the 59 eyes of cases, 16 eyes (27.1%) presented with blindness at diagnosis. Cases had worse visual acuity (VA) at diagnosis (p &lt; 0.0001), with VA worse than 20/40 conferring a 27 times higher risk of progression to blindness (p = 0.0005). Blind eyes also demonstrated more visual field defects (p = 0.01), higher pre-treatment intraocular pressure (IOP; p &lt; 0.0001), and higher cup-to-disc ratio (p = 0.006) at diagnosis. IOP was less controlled in cases, and those with IOP ≥21 mmHg at more than 20% of follow-up visits were 73 times more likely to become blind (p &lt; 0.0001). Cases missed a greater number of appointments per year (p = 0.003) and had non-adherence issues noted in their charts more often than controls (p = 0.03). However, other compliance data did not significantly differ between groups. Conclusion: Access to care, initial VA worse than 20/40, and poor control of IOP were the major risk factors associated with blindness from POAG. Future studies should examine earlier, more effective approaches to glaucoma screening as well as the role of genetics in these significantly younger patients who progress to blindness.","author":[{"dropping-particle":"","family":"Pleet","given":"Alexander","non-dropping-particle":"","parse-names":false,"suffix":""},{"dropping-particle":"","family":"Sulewski","given":"Melanie","non-dropping-particle":"","parse-names":false,"suffix":""},{"dropping-particle":"","family":"Salowe","given":"Rebecca J.","non-dropping-particle":"","parse-names":false,"suffix":""},{"dropping-particle":"","family":"Fertig","given":"Raymond","non-dropping-particle":"","parse-names":false,"suffix":""},{"dropping-particle":"","family":"Salinas","given":"Julia","non-dropping-particle":"","parse-names":false,"suffix":""},{"dropping-particle":"","family":"Rhodes","given":"Allison","non-dropping-particle":"","parse-names":false,"suffix":""},{"dropping-particle":"","family":"Merritt","given":"William","non-dropping-particle":"","parse-names":false,"suffix":""},{"dropping-particle":"","family":"Natesh","given":"Vikas","non-dropping-particle":"","parse-names":false,"suffix":""},{"dropping-particle":"","family":"Huang","given":"Jiayan","non-dropping-particle":"","parse-names":false,"suffix":""},{"dropping-particle":"V.","family":"Gudiseva","given":"Harini","non-dropping-particle":"","parse-names":false,"suffix":""},{"dropping-particle":"","family":"Collins","given":"David W.","non-dropping-particle":"","parse-names":false,"suffix":""},{"dropping-particle":"","family":"Chavali","given":"Venkata Ramana Murthy","non-dropping-particle":"","parse-names":false,"suffix":""},{"dropping-particle":"","family":"Tapino","given":"Paul","non-dropping-particle":"","parse-names":false,"suffix":""},{"dropping-particle":"","family":"Lehman","given":"Amanda","non-dropping-particle":"","parse-names":false,"suffix":""},{"dropping-particle":"","family":"Regina-Gigiliotti","given":"Meredith","non-dropping-particle":"","parse-names":false,"suffix":""},{"dropping-particle":"","family":"Miller-Ellis","given":"Eydie","non-dropping-particle":"","parse-names":false,"suffix":""},{"dropping-particle":"","family":"Sankar","given":"Prithvi","non-dropping-particle":"","parse-names":false,"suffix":""},{"dropping-particle":"","family":"Ying","given":"Gui Shuang","non-dropping-particle":"","parse-names":false,"suffix":""},{"dropping-particle":"","family":"O’Brien","given":"Joan M.","non-dropping-particle":"","parse-names":false,"suffix":""}],"container-title":"Ophthalmic Epidemiology","id":"ITEM-6","issue":"4","issued":{"date-parts":[["2016"]]},"page":"248-256","title":"Risk Factors Associated with Progression to Blindness from Primary Open-Angle Glaucoma in an African-American Population","type":"article-journal","volume":"23"},"uris":["http://www.mendeley.com/documents/?uuid=db87eea0-8c52-4414-b75c-50ce79b24ac0"]},{"id":"ITEM-7","itemData":{"DOI":"10.2174/1874364101610010129","ISSN":"1874-3641 (Print)","PMID":"27347249","abstract":"PURPOSE: Aim of this retrospective, observational study is to describe features  of a population sample, affected by primary open angle glaucoma (POAG) in order to evaluate damage progression on the basis of the emerged individual risk factors. METHODS: We included 190 caucasian patients (377 eyes), evaluating relationship between individual risk factors (explicative variables) and MD (Mean Deviation) of standard automated perimetry. We also considered the dependent variable NFI (Neural Fiber Index) of GDx scanning laser polarimetry. Progression has been evaluated through a statistic General Linear Model on four follow up steps (mean follow up 79 months). RESULTS: Factors reaching statistical significance, determining a worsening of the MD variable, are: age (P&lt;0.0001), intraocular pressure (IOP) at follow up (P &lt; 0.0001), female gender (P&lt;0.0001), hypertension (P&lt; 0.0001) and familiarity (P = 0.0006). Factors reaching statistical significance, determining a worsening of the NFI variable, are only IOP at follow up (P = 0.0159) and depression (P = 0.0104). CONCLUSION: Results of this study confirm and enforce data coming from most recent studies: IOP remains the main risk factor for glaucoma assess and progression; age and familiarity are great risk factors as underlined in the last decades; female sex can be an important risk factors as emerged only in the last years; arterial hypertension should always be evaluated in timing of our clinic follow up.","author":[{"dropping-particle":"","family":"Actis","given":"A G","non-dropping-particle":"","parse-names":false,"suffix":""},{"dropping-particle":"","family":"Versino","given":"E","non-dropping-particle":"","parse-names":false,"suffix":""},{"dropping-particle":"","family":"Brogliatti","given":"B","non-dropping-particle":"","parse-names":false,"suffix":""},{"dropping-particle":"","family":"Rolle","given":"T","non-dropping-particle":"","parse-names":false,"suffix":""}],"container-title":"The open ophthalmology journal","id":"ITEM-7","issued":{"date-parts":[["2016"]]},"language":"eng","page":"129-139","publisher-place":"Netherlands","title":"Risk Factors for Primary Open Angle Glaucoma (POAG) Progression: A Study Ruled in  Torino.","type":"article-journal","volume":"10"},"uris":["http://www.mendeley.com/documents/?uuid=7286cbe5-301b-4ab4-90a5-a88795339c21"]},{"id":"ITEM-8","itemData":{"DOI":"10.1016/j.ajo.2019.06.019","ISSN":"18791891","PMID":"31238025","abstract":"Purpose: To identify baseline and longitudinal risk factors for fast visual field (VF) decay in patients with open-angle glaucoma. Design: Retrospective cohort study. Methods: Patients with open-angle glaucoma with ≥6 VFs and ≥4 years of follow-up were included. VF decay rates were measured with the following methods: mean deviation (MD) rate, VF index (VFI) rate, and the Glaucoma Rate Index (GRI). The relationship between VF rates and clinical variables were investigated with linear mixed models. Logistic regression analysis was performed to determine which factors were associated with fast progression. Results: A total of 1317 eyes of 745 patients with a mean (± SD) age of 63.3 (±10.9) years and a median (interquartile range) MD −2.4 (−0.7 to −5.6) dB at baseline were analyzed. The median (interquartile range) number of VFs was 12 (9 to 16), and mean follow-up duration was 11.5 (±3.7) years. Older age (P &lt; .001), higher peak intraocular pressure (IOP) (P &lt; .001), and glaucoma surgery during the study period (P &lt; .001) were associated with faster rates of progression regardless of the method used. Worse baseline MD was associated with MD rate (P = .02), but neither with VFI rate (P = .37) nor GRI (P = .31); whereas pseudoexfoliative glaucoma was associated with faster rates of progression with MD (P = .008) and VFI (P = .01) rates, but not with GRI. Higher peak IOPs (P = .005) was a significant predictor for fast progression. Conclusion: In this cohort, older age, peak IOP, pseudoexfoliative glaucoma, and baseline MD were associated with the rate of glaucomatous VF worsening. Fast progressors had a higher peak IOP than non–fast progressors. The identification and appropriately aggressive treatment of fast progressors would reduce visual disability from glaucoma.","author":[{"dropping-particle":"","family":"Kim","given":"Ji Hyun","non-dropping-particle":"","parse-names":false,"suffix":""},{"dropping-particle":"","family":"Rabiolo","given":"Alessandro","non-dropping-particle":"","parse-names":false,"suffix":""},{"dropping-particle":"","family":"Morales","given":"Esteban","non-dropping-particle":"","parse-names":false,"suffix":""},{"dropping-particle":"","family":"Yu","given":"Fei","non-dropping-particle":"","parse-names":false,"suffix":""},{"dropping-particle":"","family":"Afifi","given":"Abdelmonem A.","non-dropping-particle":"","parse-names":false,"suffix":""},{"dropping-particle":"","family":"Nouri-Mahdavi","given":"Kouros","non-dropping-particle":"","parse-names":false,"suffix":""},{"dropping-particle":"","family":"Caprioli","given":"Joseph","non-dropping-particle":"","parse-names":false,"suffix":""}],"container-title":"American Journal of Ophthalmology","id":"ITEM-8","issued":{"date-parts":[["2019"]]},"page":"268-278","publisher":"Elsevier Inc.","title":"Risk Factors for Fast Visual Field Progression in Glaucoma","type":"article-journal","volume":"207"},"uris":["http://www.mendeley.com/documents/?uuid=de61a9af-d157-40fe-84a2-e50ab34ddb92"]},{"id":"ITEM-9","itemData":{"DOI":"10.4103/ssajm.ssajm_28_18","abstract":"\n&lt;b&gt;Introduction:&lt;/b&gt; Glaucoma is a blinding eye disease, the hallmark of which is elevation of intraocular pressure (IOP). Glaucoma is nearly impossible to diagnose and treat without expensive equipment and IOP reduction, respectively. Hence, the need for a biomarker is an aid in diagnosis and an alternative treatment option to IOP reduction. Brain-derived neurotrophic factor (BDNF) may serve as both a biomarker and a therapeutic option. However, the exact role of BDNF and its dynamics during glaucoma is not well demonstrated, especially in a Sub-Saharan African population. This study, therefore, examines the serum levels of BDNF and its relationship with IOP. &lt;b&gt;Patients and Methods:&lt;/b&gt; Intraocular pressure (IOP) and serum BDNF were measured in 44 glaucoma patients and 41 controls. &lt;b&gt;Results:&lt;/b&gt; Glaucoma patients had higher IOP compared to controls. They also had higher BDNF (2.578&amp;#8201;&amp;#177;&amp;#8201;0.210) compared to controls (1.745&amp;#8201;&amp;#177;&amp;#8201;0.111). Glaucoma patients on medications had higher BDNF (3.086&amp;#8201;&amp;#177;&amp;#8201;0.180) compared to those not on medications (0.605&amp;#8201;&amp;#177;&amp;#8201;0.116). Serum BDNF significantly correlated with IOP. &lt;b&gt;Conclusion:&lt;/b&gt; In conclusion, glaucoma patients have higher IOP and serum BDNF concentrations compared to nonglaucoma controls. IOP negatively correlates with serum BDNF in patients with glaucoma. Untreated glaucoma appears to decrease serum levels of BDNF, whereas treatment of the condition increases it. Serum BDNF may serve as a potential therapeutic target and useful diagnostic and monitoring tool in the management of glaucoma.\n","author":[{"dropping-particle":"","family":"Yarube","given":"Isyaku","non-dropping-particle":"","parse-names":false,"suffix":""},{"dropping-particle":"","family":"Saidu","given":"Ahmed","non-dropping-particle":"","parse-names":false,"suffix":""},{"dropping-particle":"","family":"Hassan","given":"Sadiq","non-dropping-particle":"","parse-names":false,"suffix":""}],"container-title":"Sub-Saharan African Journal of Medicine","id":"ITEM-9","issue":"1","issued":{"date-parts":[["2019","1","1"]]},"page":"10-15","title":"Intraocular pressure negatively correlates with serum brain-derived neurotrophic factor in patients with primary open-angle glaucoma","type":"article-journal","volume":"6"},"uris":["http://www.mendeley.com/documents/?uuid=be7c9aae-6e2f-424a-a926-69f260dd76d2"]},{"id":"ITEM-10","itemData":{"DOI":"10.1136/bmjophth-2022-001120","ISSN":"23973269","abstract":"Background/aims To investigate the rates of structural and functional progression of primary open-angle glaucoma in an African ancestry cohort and identify risk factors for progression. Methods This retrospective study included 1424 eyes from glaucoma cases in the Primary Open-Angle African American Glaucoma Genetics cohort, with ≥2 visits for retinal nerve fibre layer (RNFL) thickness and mean deviation (MD) measurements over ≥6-month follow-up. The rates of structural progression (change in RNFL thickness/year) and functional progression (change in MD/year) were calculated from linear mixed effects models, accounting for intereye correlation and longitudinal correlation. Eyes were categorised as slow, moderate or fast progressors. Risk factors for progression rates were assessed using univariable and multivariable regression models. Results The median (interquartile) rates of progression were -1.60 (-2.05 to -1.15) μm/year for RNFL thickness and -0.40 (-0.44 to -0.34) decibels/year for MD. Eyes were categorised as slow (structural: 19%, functional: 88%), moderate (structural: 54%, functional: 11%) and fast (structural: 27%, functional: 1%) progressors. In multivariable analysis, faster RNFL progression was independently associated with thicker baseline RNFL (p&lt;0.0001), lower baseline MD (p=0.003) and beta peripapillary atrophy (p=0.03). Faster MD progression was independently associated with higher baseline MD (p&lt;0.0001), larger cup-to-disc ratios (p=0.02) and lower body mass index (p=0.0004). Conclusion The median rates of structural and functional progression in this African ancestry cohort were faster than the rates reported from previously published studies in other ethnic groups. Higher baseline RNFL thickness and MD values were associated with faster progression rates. Results highlight the importance of monitoring structural and functional glaucoma progression to provide timely treatment in early disease.","author":[{"dropping-particle":"","family":"Salowe","given":"Rebecca J.","non-dropping-particle":"","parse-names":false,"suffix":""},{"dropping-particle":"","family":"Chen","given":"Yineng","non-dropping-particle":"","parse-names":false,"suffix":""},{"dropping-particle":"","family":"Zenebe-Gete","given":"Selam","non-dropping-particle":"","parse-names":false,"suffix":""},{"dropping-particle":"","family":"Lee","given":"Roy","non-dropping-particle":"","parse-names":false,"suffix":""},{"dropping-particle":"V.","family":"Gudiseva","given":"Harini","non-dropping-particle":"","parse-names":false,"suffix":""},{"dropping-particle":"","family":"Rosa","given":"Isabel","non-dropping-particle":"Di","parse-names":false,"suffix":""},{"dropping-particle":"","family":"Ross","given":"Ahmara G.","non-dropping-particle":"","parse-names":false,"suffix":""},{"dropping-particle":"","family":"Cui","given":"Qi N.","non-dropping-particle":"","parse-names":false,"suffix":""},{"dropping-particle":"","family":"Miller-Ellis","given":"Eydie","non-dropping-particle":"","parse-names":false,"suffix":""},{"dropping-particle":"","family":"Addis","given":"Victoria","non-dropping-particle":"","parse-names":false,"suffix":""},{"dropping-particle":"","family":"Sankar","given":"Prithvi S.","non-dropping-particle":"","parse-names":false,"suffix":""},{"dropping-particle":"","family":"Daniel","given":"Ebenezer","non-dropping-particle":"","parse-names":false,"suffix":""},{"dropping-particle":"","family":"Ying","given":"Gui Shuang","non-dropping-particle":"","parse-names":false,"suffix":""},{"dropping-particle":"","family":"O'Brien","given":"Joan M.","non-dropping-particle":"","parse-names":false,"suffix":""}],"container-title":"BMJ Open Ophthalmology","id":"ITEM-10","issue":"1","issued":{"date-parts":[["2023"]]},"page":"1-9","title":"Risk factors for structural and functional progression of primary open-angle glaucoma in an African ancestry cohort","type":"article-journal","volume":"8"},"uris":["http://www.mendeley.com/documents/?uuid=6aeacafa-e8ec-4f83-b56b-f8494bdb2e0b"]}],"mendeley":{"formattedCitation":"(Le, 2007; Alemu &lt;i&gt;et al.&lt;/i&gt;, 2010; Wang &lt;i&gt;et al.&lt;/i&gt;, 2012; Kocatürk &lt;i&gt;et al.&lt;/i&gt;, 2015; Actis &lt;i&gt;et al.&lt;/i&gt;, 2016; Pantalon, Feraru and Chiseliţă, 2016; Pleet &lt;i&gt;et al.&lt;/i&gt;, 2016; Kim &lt;i&gt;et al.&lt;/i&gt;, 2019; Yarube, Saidu and Hassan, 2019; Salowe &lt;i&gt;et al.&lt;/i&gt;, 2023)","plainTextFormattedCitation":"(Le, 2007; Alemu et al., 2010; Wang et al., 2012; Kocatürk et al., 2015; Actis et al., 2016; Pantalon, Feraru and Chiseliţă, 2016; Pleet et al., 2016; Kim et al., 2019; Yarube, Saidu and Hassan, 2019; Salowe et al., 2023)","previouslyFormattedCitation":"(Le, 2007; Alemu &lt;i&gt;et al.&lt;/i&gt;, 2010; Wang &lt;i&gt;et al.&lt;/i&gt;, 2012; Kocatürk &lt;i&gt;et al.&lt;/i&gt;, 2015; Actis &lt;i&gt;et al.&lt;/i&gt;, 2016; Pantalon, Feraru and Chiseliţă, 2016; Pleet &lt;i&gt;et al.&lt;/i&gt;, 2016; Kim &lt;i&gt;et al.&lt;/i&gt;, 2019; Yarube, Saidu and Hassan, 2019; Salowe &lt;i&gt;et al.&lt;/i&gt;, 2023)"},"properties":{"noteIndex":0},"schema":"https://github.com/citation-style-language/schema/raw/master/csl-citation.json"}</w:instrText>
      </w:r>
      <w:r w:rsidRPr="00877B56">
        <w:rPr>
          <w:rFonts w:ascii="Times New Roman" w:hAnsi="Times New Roman" w:cs="Times New Roman"/>
          <w:b/>
          <w:sz w:val="24"/>
          <w:szCs w:val="24"/>
        </w:rPr>
        <w:fldChar w:fldCharType="separate"/>
      </w:r>
      <w:r w:rsidR="00086E2E" w:rsidRPr="00086E2E">
        <w:rPr>
          <w:rFonts w:ascii="Times New Roman" w:hAnsi="Times New Roman" w:cs="Times New Roman"/>
          <w:noProof/>
          <w:sz w:val="24"/>
          <w:szCs w:val="24"/>
        </w:rPr>
        <w:t xml:space="preserve">(Le, 2007; Alemu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2010; Wang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2012; Kocatürk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2015; Actis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2016; Pantalon, Feraru and Chiseliţă, 2016; Pleet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2016; Kim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2019; Yarube, Saidu and Hassan, 2019; Salowe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2023)</w:t>
      </w:r>
      <w:r w:rsidRPr="00877B56">
        <w:rPr>
          <w:rFonts w:ascii="Times New Roman" w:hAnsi="Times New Roman" w:cs="Times New Roman"/>
          <w:b/>
          <w:sz w:val="24"/>
          <w:szCs w:val="24"/>
        </w:rPr>
        <w:fldChar w:fldCharType="end"/>
      </w:r>
      <w:r w:rsidRPr="00877B56">
        <w:rPr>
          <w:rFonts w:ascii="Times New Roman" w:hAnsi="Times New Roman" w:cs="Times New Roman"/>
          <w:sz w:val="24"/>
          <w:szCs w:val="24"/>
        </w:rPr>
        <w:t xml:space="preserve">. </w:t>
      </w:r>
      <w:r w:rsidRPr="00877B56">
        <w:rPr>
          <w:rFonts w:ascii="Times New Roman" w:eastAsia="Times New Roman" w:hAnsi="Times New Roman" w:cs="Times New Roman"/>
          <w:sz w:val="24"/>
          <w:szCs w:val="24"/>
          <w:lang w:eastAsia="en-GB"/>
        </w:rPr>
        <w:t xml:space="preserve">However other factors such as older age, thinner central corneal thickness (CCT), severe mean deviation (MD) at diagnosis, diabetes mellitus (DM), hypertension (HTN), myopia, disc </w:t>
      </w:r>
      <w:proofErr w:type="spellStart"/>
      <w:r w:rsidRPr="00877B56">
        <w:rPr>
          <w:rFonts w:ascii="Times New Roman" w:eastAsia="Times New Roman" w:hAnsi="Times New Roman" w:cs="Times New Roman"/>
          <w:sz w:val="24"/>
          <w:szCs w:val="24"/>
          <w:lang w:eastAsia="en-GB"/>
        </w:rPr>
        <w:t>hemorrhages</w:t>
      </w:r>
      <w:proofErr w:type="spellEnd"/>
      <w:r w:rsidRPr="00877B56">
        <w:rPr>
          <w:rFonts w:ascii="Times New Roman" w:eastAsia="Times New Roman" w:hAnsi="Times New Roman" w:cs="Times New Roman"/>
          <w:sz w:val="24"/>
          <w:szCs w:val="24"/>
          <w:lang w:eastAsia="en-GB"/>
        </w:rPr>
        <w:t xml:space="preserve">, peripapillary atrophy, and a family history of glaucoma have also been linked to disease progression </w:t>
      </w:r>
      <w:r w:rsidRPr="00877B56">
        <w:rPr>
          <w:rFonts w:ascii="Times New Roman" w:hAnsi="Times New Roman" w:cs="Times New Roman"/>
          <w:sz w:val="24"/>
          <w:szCs w:val="24"/>
        </w:rPr>
        <w:t xml:space="preserve"> </w:t>
      </w:r>
      <w:r w:rsidRPr="00877B56">
        <w:rPr>
          <w:rFonts w:ascii="Times New Roman" w:hAnsi="Times New Roman" w:cs="Times New Roman"/>
          <w:sz w:val="24"/>
          <w:szCs w:val="24"/>
        </w:rPr>
        <w:fldChar w:fldCharType="begin" w:fldLock="1"/>
      </w:r>
      <w:r w:rsidR="006C6472">
        <w:rPr>
          <w:rFonts w:ascii="Times New Roman" w:hAnsi="Times New Roman" w:cs="Times New Roman"/>
          <w:sz w:val="24"/>
          <w:szCs w:val="24"/>
        </w:rPr>
        <w:instrText>ADDIN CSL_CITATION {"citationItems":[{"id":"ITEM-1","itemData":{"DOI":"10.2174/1874364101610010129","ISSN":"1874-3641 (Print)","PMID":"27347249","abstract":"PURPOSE: Aim of this retrospective, observational study is to describe features  of a population sample, affected by primary open angle glaucoma (POAG) in order to evaluate damage progression on the basis of the emerged individual risk factors. METHODS: We included 190 caucasian patients (377 eyes), evaluating relationship between individual risk factors (explicative variables) and MD (Mean Deviation) of standard automated perimetry. We also considered the dependent variable NFI (Neural Fiber Index) of GDx scanning laser polarimetry. Progression has been evaluated through a statistic General Linear Model on four follow up steps (mean follow up 79 months). RESULTS: Factors reaching statistical significance, determining a worsening of the MD variable, are: age (P&lt;0.0001), intraocular pressure (IOP) at follow up (P &lt; 0.0001), female gender (P&lt;0.0001), hypertension (P&lt; 0.0001) and familiarity (P = 0.0006). Factors reaching statistical significance, determining a worsening of the NFI variable, are only IOP at follow up (P = 0.0159) and depression (P = 0.0104). CONCLUSION: Results of this study confirm and enforce data coming from most recent studies: IOP remains the main risk factor for glaucoma assess and progression; age and familiarity are great risk factors as underlined in the last decades; female sex can be an important risk factors as emerged only in the last years; arterial hypertension should always be evaluated in timing of our clinic follow up.","author":[{"dropping-particle":"","family":"Actis","given":"A G","non-dropping-particle":"","parse-names":false,"suffix":""},{"dropping-particle":"","family":"Versino","given":"E","non-dropping-particle":"","parse-names":false,"suffix":""},{"dropping-particle":"","family":"Brogliatti","given":"B","non-dropping-particle":"","parse-names":false,"suffix":""},{"dropping-particle":"","family":"Rolle","given":"T","non-dropping-particle":"","parse-names":false,"suffix":""}],"container-title":"The open ophthalmology journal","id":"ITEM-1","issued":{"date-parts":[["2016"]]},"language":"eng","page":"129-139","publisher-place":"Netherlands","title":"Risk Factors for Primary Open Angle Glaucoma (POAG) Progression: A Study Ruled in  Torino.","type":"article-journal","volume":"10"},"uris":["http://www.mendeley.com/documents/?uuid=823a88fb-3964-4378-8f9c-f1ab5620c5cd"]},{"id":"ITEM-2","itemData":{"DOI":"10.1097/00055735-200304000-00006","ISSN":"1040-8738 (Print)","PMID":"12698048","abstract":"PURPOSE OF REVIEW: Before this study was done, there was a difference of opinion  concerning whether intraocular pressure (IOP) was involved in producing optic nerve damage when there was glaucomatous damage to the optic nerve and characteristic visual field loss, even though the IOP was in the statistically normal range. This article reviews the findings of a collaborative study aimed at finding the answer to this question. RECENT FINDINGS: The level of pressure influences the course of normal tension glaucoma, as evidenced by a slower rate of incident visual field loss in cases with 30% or more lowering of intraocular pressure. The rate of progression without treatment is highly variable, but often slow enough that half of the patients have no progression in 5 years. A faster rate occurs in women, in patients with migraine headaches, and in the presence of disc hemorrhages. Some patients may experience greater benefit from lowering of IOP than others, but further research is needed to be able to identify those most likely to benefit. SUMMARY: As a group, patients with normal tension glaucoma benefit from lowering of IOP. Variable rate of deterioration, as well as lack of progression in a substantial number in 5 years, suggest that treatment should be individualized according to the stage of disease and rate of progression. Traits that help predict risk and rate of progression and response to treatment are beginning to become known and, when fully known, will help guide management decisions.","author":[{"dropping-particle":"","family":"Anderson","given":"Douglas R","non-dropping-particle":"","parse-names":false,"suffix":""}],"container-title":"Current opinion in ophthalmology","id":"ITEM-2","issue":"2","issued":{"date-parts":[["2003","4"]]},"language":"eng","page":"86-90","publisher-place":"United States","title":"Collaborative normal tension glaucoma study.","type":"article-journal","volume":"14"},"uris":["http://www.mendeley.com/documents/?uuid=e3e9d52e-1b1e-4b2f-bcb2-be6b52267e77"]},{"id":"ITEM-3","itemData":{"DOI":"10.1001/archopht.120.10.1268","ISSN":"0003-9950","abstract":"To provide the results of the Early Manifest Glaucoma Trial, which compared the effect of immediately lowering the intraocular pressure (IOP), vs no treatment or later treatment, on the progression of newly detected open-angle glaucoma.Randomized clinical trial.Two hundred fifty-five patients aged 50 to 80 years (median, 68 years) with early glaucoma, visual field defects (median mean deviation, −4 dB), and a median IOP of 20 mm Hg, mainly identified through a population screening. Patients with an IOP greater than 30 mm Hg or advanced visual field loss were ineligible.Patients were randomized to either laser trabeculoplasty plus topical betaxolol hydrochloride (n = 129) or no initial treatment (n = 126). Study visits included Humphrey Full Threshold 30-2 visual field tests and tonometry every 3 months, and optic disc photography every 6 months. Decisions regarding treatment were made jointly with the patient when progression occurred and thereafter.Glaucoma progression was defined by specific visual field and optic disc outcomes. Criteria for perimetric progression were computer based and defined as the same 3 or more test point locations showing significant deterioration from baseline in glaucoma change probability maps from 3 consecutive tests. Optic disc progression was determined by masked graders using flicker chronoscopy plus side-by-side photogradings.After a median follow-up period of 6 years (range, 51-102 months), retention was excellent, with only 6 patients lost to follow-up for reasons other than death. On average, treatment reduced the IOP by 5.1 mm Hg or 25%, a reduction maintained throughout follow-up. Progression was less frequent in the treatment group (58/129; 45%) than in controls (78/126; 62%) (P =.007) and occurred significantly later in treated patients. Treatment effects were also evident when stratifying patients by median IOP, mean deviation, and age as well as exfoliation status. Although patients reported few systemic or ocular conditions, increases in clinical nuclear lens opacity gradings were associated with treatment (P = .002).The Early Manifest Glaucoma Trial is the first adequately powered randomized trial with an untreated control arm to evaluate the effects of IOP reduction in patients with open-angle glaucoma who have elevated and normal IOP. Its intent-to-treat analysis showed considerable beneficial effects of treatment that significantly delayed progression. Whereas progression varied across patient categories, …","author":[{"dropping-particle":"","family":"Heijl","given":"Anders","non-dropping-particle":"","parse-names":false,"suffix":""},{"dropping-particle":"","family":"Leske","given":"M Cristina","non-dropping-particle":"","parse-names":false,"suffix":""},{"dropping-particle":"","family":"Bengtsson","given":"Bo","non-dropping-particle":"","parse-names":false,"suffix":""},{"dropping-particle":"","family":"Hyman","given":"Leslie","non-dropping-particle":"","parse-names":false,"suffix":""},{"dropping-particle":"","family":"Bengtsson","given":"Boel","non-dropping-particle":"","parse-names":false,"suffix":""},{"dropping-particle":"","family":"Hussein","given":"Mohamed","non-dropping-particle":"","parse-names":false,"suffix":""},{"dropping-particle":"","family":"Group","given":"Early Manifest Glaucoma Trial","non-dropping-particle":"","parse-names":false,"suffix":""}],"container-title":"Archives of Ophthalmology","id":"ITEM-3","issue":"10","issued":{"date-parts":[["2002","10","1"]]},"page":"1268-1279","title":"https://doi.org/10.1016/S0161-6420(01)00873-9","type":"article-journal","volume":"120"},"uris":["http://www.mendeley.com/documents/?uuid=03ff3149-bf7c-4e23-9b35-fbd02629e40c"]},{"id":"ITEM-4","itemData":{"ISSN":"24574325","PMID":"29450344","abstract":"Aim: Investigation of perimetric progression rate and associated risk factors in open angle glaucoma, in clinical practice. Methods: Retrospective study based on clinical charts reviews of patients with primary open angle glaucoma (POAG) being followed for &gt; 5 years with &gt;/ = 5 SITA Standard visual fields. Demographics, visual acuity (VA), central corneal thickness (CCT), intraocular pressure (IOP) and IOP variation, treatment (number of medications), visual fields and associated systemic pathologies were recorded. Patients were followed at every 3-6 months, when identical tests were performed. VF progression rate was calculated as slope of mean deviation (MD) over time by Glaucoma Progression Analysis software. Results: 121 eyes of 121 patients with POAG were included in the study and were followed for a mean period of 68.81 months (SD +/ - 31.7). The mean MD at start was -3.55 dB (SD +/ -5.19)., with a mean number of VF tests of 9.3+/ -2.9. Progression rate reached -0.21 +/ -0.1 db/ year. Mean IOP of all visits decreased over time from 18.20 mmHg to 16.53 mmHg (p&lt;0.05). Systemic factors like positive history of hypertension reached statistical relevance in terms of increased risk for glaucoma progression, but only after age and sex were corrected. MD slope was explained in ANOVA univariate analysis, by the level of MD at baseline, IOP baseline, number of topical medications and CCT in a proportion equal to 71.7% (p=0.004). Conclusion: Rate of visual field changes in POAG was correlated and dependent on the baseline MD level, IOP at baseline, number of topical medications and a thin CCT.","author":[{"dropping-particle":"","family":"Pantalon","given":"Anca Delia","non-dropping-particle":"","parse-names":false,"suffix":""},{"dropping-particle":"","family":"Feraru","given":"Crenguţa","non-dropping-particle":"","parse-names":false,"suffix":""},{"dropping-particle":"","family":"Chiseliţă","given":"Dorin","non-dropping-particle":"","parse-names":false,"suffix":""}],"container-title":"Romanian journal of ophthalmology","id":"ITEM-4","issue":"3","issued":{"date-parts":[["2016"]]},"page":"174-180","title":"Risk factors and long term progression in open angle glaucoma patients","type":"article","volume":"60"},"uris":["http://www.mendeley.com/documents/?uuid=49dc0df0-82ed-4f26-94b2-70979d0eee59"]}],"mendeley":{"formattedCitation":"(Heijl, Leske, Bengtsson, Hyman, Bengtsson, Hussein, &lt;i&gt;et al.&lt;/i&gt;, 2002; Anderson, 2003; Actis &lt;i&gt;et al.&lt;/i&gt;, 2016; Pantalon, Feraru and Chiseliţă, 2016)","plainTextFormattedCitation":"(Heijl, Leske, Bengtsson, Hyman, Bengtsson, Hussein, et al., 2002; Anderson, 2003; Actis et al., 2016; Pantalon, Feraru and Chiseliţă, 2016)","previouslyFormattedCitation":"(Heijl &lt;i&gt;et al.&lt;/i&gt;, 2002; Anderson, 2003; Actis &lt;i&gt;et al.&lt;/i&gt;, 2016; Pantalon, Feraru and Chiseliţă, 2016)"},"properties":{"noteIndex":0},"schema":"https://github.com/citation-style-language/schema/raw/master/csl-citation.json"}</w:instrText>
      </w:r>
      <w:r w:rsidRPr="00877B56">
        <w:rPr>
          <w:rFonts w:ascii="Times New Roman" w:hAnsi="Times New Roman" w:cs="Times New Roman"/>
          <w:sz w:val="24"/>
          <w:szCs w:val="24"/>
        </w:rPr>
        <w:fldChar w:fldCharType="separate"/>
      </w:r>
      <w:r w:rsidR="006C6472" w:rsidRPr="006C6472">
        <w:rPr>
          <w:rFonts w:ascii="Times New Roman" w:hAnsi="Times New Roman" w:cs="Times New Roman"/>
          <w:noProof/>
          <w:sz w:val="24"/>
          <w:szCs w:val="24"/>
        </w:rPr>
        <w:t xml:space="preserve">(Heijl, Leske, Bengtsson, Hyman, Bengtsson, Hussein, </w:t>
      </w:r>
      <w:r w:rsidR="006C6472" w:rsidRPr="006C6472">
        <w:rPr>
          <w:rFonts w:ascii="Times New Roman" w:hAnsi="Times New Roman" w:cs="Times New Roman"/>
          <w:i/>
          <w:noProof/>
          <w:sz w:val="24"/>
          <w:szCs w:val="24"/>
        </w:rPr>
        <w:t>et al.</w:t>
      </w:r>
      <w:r w:rsidR="006C6472" w:rsidRPr="006C6472">
        <w:rPr>
          <w:rFonts w:ascii="Times New Roman" w:hAnsi="Times New Roman" w:cs="Times New Roman"/>
          <w:noProof/>
          <w:sz w:val="24"/>
          <w:szCs w:val="24"/>
        </w:rPr>
        <w:t xml:space="preserve">, 2002; Anderson, 2003; Actis </w:t>
      </w:r>
      <w:r w:rsidR="006C6472" w:rsidRPr="006C6472">
        <w:rPr>
          <w:rFonts w:ascii="Times New Roman" w:hAnsi="Times New Roman" w:cs="Times New Roman"/>
          <w:i/>
          <w:noProof/>
          <w:sz w:val="24"/>
          <w:szCs w:val="24"/>
        </w:rPr>
        <w:t>et al.</w:t>
      </w:r>
      <w:r w:rsidR="006C6472" w:rsidRPr="006C6472">
        <w:rPr>
          <w:rFonts w:ascii="Times New Roman" w:hAnsi="Times New Roman" w:cs="Times New Roman"/>
          <w:noProof/>
          <w:sz w:val="24"/>
          <w:szCs w:val="24"/>
        </w:rPr>
        <w:t>, 2016; Pantalon, Feraru and Chiseliţă, 2016)</w:t>
      </w:r>
      <w:r w:rsidRPr="00877B56">
        <w:rPr>
          <w:rFonts w:ascii="Times New Roman" w:hAnsi="Times New Roman" w:cs="Times New Roman"/>
          <w:sz w:val="24"/>
          <w:szCs w:val="24"/>
        </w:rPr>
        <w:fldChar w:fldCharType="end"/>
      </w:r>
      <w:r w:rsidRPr="00877B56">
        <w:rPr>
          <w:rFonts w:ascii="Times New Roman" w:eastAsia="Times New Roman" w:hAnsi="Times New Roman" w:cs="Times New Roman"/>
          <w:sz w:val="24"/>
          <w:szCs w:val="24"/>
          <w:lang w:eastAsia="en-GB"/>
        </w:rPr>
        <w:t>.</w:t>
      </w:r>
    </w:p>
    <w:p w14:paraId="7A8B8208" w14:textId="4634870C" w:rsidR="002320EC" w:rsidRPr="00877B56"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r w:rsidRPr="00877B56">
        <w:rPr>
          <w:rFonts w:ascii="Times New Roman" w:eastAsia="Times New Roman" w:hAnsi="Times New Roman" w:cs="Times New Roman"/>
          <w:sz w:val="24"/>
          <w:szCs w:val="24"/>
          <w:lang w:eastAsia="en-GB"/>
        </w:rPr>
        <w:t xml:space="preserve">The primary goal of POAG management is to control IOP to slow or prevent disease progression </w:t>
      </w:r>
      <w:r w:rsidRPr="00877B56">
        <w:rPr>
          <w:rFonts w:ascii="Times New Roman" w:eastAsia="Times New Roman" w:hAnsi="Times New Roman" w:cs="Times New Roman"/>
          <w:sz w:val="24"/>
          <w:szCs w:val="24"/>
          <w:lang w:eastAsia="en-GB"/>
        </w:rPr>
        <w:fldChar w:fldCharType="begin" w:fldLock="1"/>
      </w:r>
      <w:r w:rsidR="00C45B32">
        <w:rPr>
          <w:rFonts w:ascii="Times New Roman" w:eastAsia="Times New Roman" w:hAnsi="Times New Roman" w:cs="Times New Roman"/>
          <w:sz w:val="24"/>
          <w:szCs w:val="24"/>
          <w:lang w:eastAsia="en-GB"/>
        </w:rPr>
        <w:instrText>ADDIN CSL_CITATION {"citationItems":[{"id":"ITEM-1","itemData":{"ISSN":"1442-6404","author":[{"dropping-particle":"","family":"Zahari","given":"Mimiwati","non-dropping-particle":"","parse-names":false,"suffix":""},{"dropping-particle":"","family":"Mukesh","given":"Bickol N","non-dropping-particle":"","parse-names":false,"suffix":""},{"dropping-particle":"","family":"Rait","given":"Julian L","non-dropping-particle":"","parse-names":false,"suffix":""},{"dropping-particle":"","family":"Taylor","given":"Hugh R","non-dropping-particle":"","parse-names":false,"suffix":""},{"dropping-particle":"","family":"McCarty","given":"Catherine A","non-dropping-particle":"","parse-names":false,"suffix":""}],"container-title":"Clinical &amp; experimental ophthalmology","id":"ITEM-1","issue":"1","issued":{"date-parts":[["2006"]]},"page":"20-26","publisher":"Wiley Online Library","title":"Progression of visual field loss in open angle glaucoma in the Melbourne Visual Impairment Project","type":"article-journal","volume":"34"},"uris":["http://www.mendeley.com/documents/?uuid=9061c280-6202-4503-ae8e-cdf4b7c14b65"]}],"mendeley":{"formattedCitation":"(Zahari &lt;i&gt;et al.&lt;/i&gt;, 2006)","plainTextFormattedCitation":"(Zahari et al., 2006)","previouslyFormattedCitation":"(Zahari &lt;i&gt;et al.&lt;/i&gt;, 2006)"},"properties":{"noteIndex":0},"schema":"https://github.com/citation-style-language/schema/raw/master/csl-citation.json"}</w:instrText>
      </w:r>
      <w:r w:rsidRPr="00877B56">
        <w:rPr>
          <w:rFonts w:ascii="Times New Roman" w:eastAsia="Times New Roman" w:hAnsi="Times New Roman" w:cs="Times New Roman"/>
          <w:sz w:val="24"/>
          <w:szCs w:val="24"/>
          <w:lang w:eastAsia="en-GB"/>
        </w:rPr>
        <w:fldChar w:fldCharType="separate"/>
      </w:r>
      <w:r w:rsidR="00086E2E" w:rsidRPr="00086E2E">
        <w:rPr>
          <w:rFonts w:ascii="Times New Roman" w:eastAsia="Times New Roman" w:hAnsi="Times New Roman" w:cs="Times New Roman"/>
          <w:noProof/>
          <w:sz w:val="24"/>
          <w:szCs w:val="24"/>
          <w:lang w:eastAsia="en-GB"/>
        </w:rPr>
        <w:t xml:space="preserve">(Zahari </w:t>
      </w:r>
      <w:r w:rsidR="00086E2E" w:rsidRPr="00086E2E">
        <w:rPr>
          <w:rFonts w:ascii="Times New Roman" w:eastAsia="Times New Roman" w:hAnsi="Times New Roman" w:cs="Times New Roman"/>
          <w:i/>
          <w:noProof/>
          <w:sz w:val="24"/>
          <w:szCs w:val="24"/>
          <w:lang w:eastAsia="en-GB"/>
        </w:rPr>
        <w:t>et al.</w:t>
      </w:r>
      <w:r w:rsidR="00086E2E" w:rsidRPr="00086E2E">
        <w:rPr>
          <w:rFonts w:ascii="Times New Roman" w:eastAsia="Times New Roman" w:hAnsi="Times New Roman" w:cs="Times New Roman"/>
          <w:noProof/>
          <w:sz w:val="24"/>
          <w:szCs w:val="24"/>
          <w:lang w:eastAsia="en-GB"/>
        </w:rPr>
        <w:t>, 2006)</w:t>
      </w:r>
      <w:r w:rsidRPr="00877B56">
        <w:rPr>
          <w:rFonts w:ascii="Times New Roman" w:eastAsia="Times New Roman" w:hAnsi="Times New Roman" w:cs="Times New Roman"/>
          <w:sz w:val="24"/>
          <w:szCs w:val="24"/>
          <w:lang w:eastAsia="en-GB"/>
        </w:rPr>
        <w:fldChar w:fldCharType="end"/>
      </w:r>
      <w:r w:rsidRPr="00877B56">
        <w:rPr>
          <w:rFonts w:ascii="Times New Roman" w:eastAsia="Times New Roman" w:hAnsi="Times New Roman" w:cs="Times New Roman"/>
          <w:sz w:val="24"/>
          <w:szCs w:val="24"/>
          <w:lang w:eastAsia="en-GB"/>
        </w:rPr>
        <w:t>. However, progression rates vary significantly among individuals. Some patients experience rapid visual field deterioration despite aggressive treatment, while others progress slowly even with conservative management</w:t>
      </w:r>
      <w:r w:rsidR="00A9556E">
        <w:rPr>
          <w:rFonts w:ascii="Times New Roman" w:eastAsia="Times New Roman" w:hAnsi="Times New Roman" w:cs="Times New Roman"/>
          <w:sz w:val="24"/>
          <w:szCs w:val="24"/>
          <w:lang w:eastAsia="en-GB"/>
        </w:rPr>
        <w:fldChar w:fldCharType="begin" w:fldLock="1"/>
      </w:r>
      <w:r w:rsidR="00C63B2B">
        <w:rPr>
          <w:rFonts w:ascii="Times New Roman" w:eastAsia="Times New Roman" w:hAnsi="Times New Roman" w:cs="Times New Roman"/>
          <w:sz w:val="24"/>
          <w:szCs w:val="24"/>
          <w:lang w:eastAsia="en-GB"/>
        </w:rPr>
        <w:instrText>ADDIN CSL_CITATION {"citationItems":[{"id":"ITEM-1","itemData":{"DOI":"10.1016/j.ophtha.2009.06.042","ISSN":"1549-4713 (Electronic)","PMID":"19854514","abstract":"OBJECTIVE: This article, based on the Early Manifest Glaucoma Trial (EMGT),  provides prospective natural history data on progression of glaucomatous field defects in 3 of the most common glaucoma types. DESIGN: Cohort of EMGT patients randomized to the untreated control group and followed up to the time of progression, when treatment could be initiated. PARTICIPANTS: We evaluated 118 control patients: 46 with high-tension glaucoma (HTG), 57 with normal-tension glaucoma (NTG), and 15 with pseudoexfoliation glaucoma (PEXG). METHODS: Visual fields were tested every 3 months with the Humphrey 30-2 Full Threshold test program. MAIN OUTCOME MEASURES: Linear regression analyses of the perimetric mean deviation (MD) values were performed, and the rate of progression was defined as the regression coefficient in decibels per year. Percentages of progressed eyes and time to progression were determined using EMGT event-based predetermined progression criteria derived from Glaucoma Change Probability Maps. RESULTS: The median and interquartile rates of visual function loss were -0.40 (1.05) dB/year overall and -0.46 (1.61) in HTG, -0.22 (0.65) in NTG, and -1.13 (6.13) in PEXG. Thus, interpatient variability was large. Mean rates were considerably higher than medians: -1.08 dB/year overall, -1.31 in HTG, -0.36 in NTG, and -3.13 in PEXG. Differences in median visual function progression rates among groups were statistically significant (NTG vs. HTG, P = 0.003; PEXG vs. non-PEXG, P&lt;0.001). Progression was considerably and significantly faster in older than in younger patients (P = 0.002). By 6 years, 68% of patients had progressed overall, 74% of those with HTG, 56% of those with NTG, and 93% of those with PEXG (P = 0.012). Median time to progression also differed considerably among groups: 19.5 months in PEXG, 44.8 months in HTG, and particularly 61.1 months in NTG (P&lt;0.0001). CONCLUSIONS: In this 6-year follow-up study, the median untreated rate of progression corresponded to advancing from normal visual function to blindness in approximately 70 years, whereas on the basis of the mean rate, visual function would show the same deterioration in approximately 25 years. Large differences existed among patients and different glaucoma types, with PEXG progressing considerably faster than HTG, and NTG progressing at the lowest rate.","author":[{"dropping-particle":"","family":"Heijl","given":"Anders","non-dropping-particle":"","parse-names":false,"suffix":""},{"dropping-particle":"","family":"Bengtsson","given":"Boel","non-dropping-particle":"","parse-names":false,"suffix":""},{"dropping-particle":"","family":"Hyman","given":"Leslie","non-dropping-particle":"","parse-names":false,"suffix":""},{"dropping-particle":"","family":"Leske","given":"M Cristina","non-dropping-particle":"","parse-names":false,"suffix":""}],"container-title":"Ophthalmology","id":"ITEM-1","issue":"12","issued":{"date-parts":[["2009","12"]]},"language":"eng","page":"2271-2276","publisher-place":"United States","title":"Natural history of open-angle glaucoma.","type":"article-journal","volume":"116"},"uris":["http://www.mendeley.com/documents/?uuid=7563995d-bf25-4c51-be82-1e34e33ed8e7"]}],"mendeley":{"formattedCitation":"(Heijl &lt;i&gt;et al.&lt;/i&gt;, 2009)","manualFormatting":"(Heijl et al., 2009","plainTextFormattedCitation":"(Heijl et al., 2009)","previouslyFormattedCitation":"(Heijl &lt;i&gt;et al.&lt;/i&gt;, 2009)"},"properties":{"noteIndex":0},"schema":"https://github.com/citation-style-language/schema/raw/master/csl-citation.json"}</w:instrText>
      </w:r>
      <w:r w:rsidR="00A9556E">
        <w:rPr>
          <w:rFonts w:ascii="Times New Roman" w:eastAsia="Times New Roman" w:hAnsi="Times New Roman" w:cs="Times New Roman"/>
          <w:sz w:val="24"/>
          <w:szCs w:val="24"/>
          <w:lang w:eastAsia="en-GB"/>
        </w:rPr>
        <w:fldChar w:fldCharType="separate"/>
      </w:r>
      <w:r w:rsidR="00A9556E" w:rsidRPr="00A9556E">
        <w:rPr>
          <w:rFonts w:ascii="Times New Roman" w:eastAsia="Times New Roman" w:hAnsi="Times New Roman" w:cs="Times New Roman"/>
          <w:noProof/>
          <w:sz w:val="24"/>
          <w:szCs w:val="24"/>
          <w:lang w:eastAsia="en-GB"/>
        </w:rPr>
        <w:t xml:space="preserve">(Heijl </w:t>
      </w:r>
      <w:r w:rsidR="00A9556E" w:rsidRPr="00A9556E">
        <w:rPr>
          <w:rFonts w:ascii="Times New Roman" w:eastAsia="Times New Roman" w:hAnsi="Times New Roman" w:cs="Times New Roman"/>
          <w:i/>
          <w:noProof/>
          <w:sz w:val="24"/>
          <w:szCs w:val="24"/>
          <w:lang w:eastAsia="en-GB"/>
        </w:rPr>
        <w:t>et al.</w:t>
      </w:r>
      <w:r w:rsidR="00A9556E" w:rsidRPr="00A9556E">
        <w:rPr>
          <w:rFonts w:ascii="Times New Roman" w:eastAsia="Times New Roman" w:hAnsi="Times New Roman" w:cs="Times New Roman"/>
          <w:noProof/>
          <w:sz w:val="24"/>
          <w:szCs w:val="24"/>
          <w:lang w:eastAsia="en-GB"/>
        </w:rPr>
        <w:t>, 2009</w:t>
      </w:r>
      <w:r w:rsidR="00A9556E">
        <w:rPr>
          <w:rFonts w:ascii="Times New Roman" w:eastAsia="Times New Roman" w:hAnsi="Times New Roman" w:cs="Times New Roman"/>
          <w:sz w:val="24"/>
          <w:szCs w:val="24"/>
          <w:lang w:eastAsia="en-GB"/>
        </w:rPr>
        <w:fldChar w:fldCharType="end"/>
      </w:r>
      <w:r w:rsidR="00A9556E">
        <w:rPr>
          <w:rFonts w:ascii="Times New Roman" w:eastAsia="Times New Roman" w:hAnsi="Times New Roman" w:cs="Times New Roman"/>
          <w:sz w:val="24"/>
          <w:szCs w:val="24"/>
          <w:lang w:eastAsia="en-GB"/>
        </w:rPr>
        <w:t>;</w:t>
      </w:r>
      <w:r w:rsidRPr="00877B56">
        <w:rPr>
          <w:rFonts w:ascii="Times New Roman" w:eastAsia="Times New Roman" w:hAnsi="Times New Roman" w:cs="Times New Roman"/>
          <w:sz w:val="24"/>
          <w:szCs w:val="24"/>
          <w:lang w:eastAsia="en-GB"/>
        </w:rPr>
        <w:t xml:space="preserve"> </w:t>
      </w:r>
      <w:r w:rsidRPr="00877B56">
        <w:rPr>
          <w:rFonts w:ascii="Times New Roman" w:hAnsi="Times New Roman" w:cs="Times New Roman"/>
          <w:sz w:val="24"/>
          <w:szCs w:val="24"/>
        </w:rPr>
        <w:fldChar w:fldCharType="begin" w:fldLock="1"/>
      </w:r>
      <w:r w:rsidR="00A9556E">
        <w:rPr>
          <w:rFonts w:ascii="Times New Roman" w:hAnsi="Times New Roman" w:cs="Times New Roman"/>
          <w:sz w:val="24"/>
          <w:szCs w:val="24"/>
        </w:rPr>
        <w:instrText>ADDIN CSL_CITATION {"citationItems":[{"id":"ITEM-1","itemData":{"DOI":"10.1111/aos.12788","ISSN":"17553768","PMID":"26095771","abstract":"Purpose To evaluate the visual field rate of progression of patients with treated ocular hypertension (OHT) and primary open-angle glaucoma (POAG) in clinical practice, using the mean deviation (MD) and the visual field index (VFI). Methods Non-interventional cohort study. From a large multicentre database representative of the French population, 441 eyes of 228 patients with treated OHT or POAG followed up at least 6 years with Humphrey 24.2 Sita-Standard visual field examination at least twice a year were identified. From initial data, eyes were classified in five groups: 121 with OHT, 188 with early glaucoma (MD greater than -6 dB), 45 with moderate glaucoma (MD -6 to -12 dB), 41 with advanced glaucoma (MD -12 to -18 dB) and 46 with severe glaucoma (MD less than -18 dB). Rate of progression during the follow-up period was calculated using the trend analysis of the Guided Progression Analysis software. Results The mean duration of follow-up was 8.4 ± 2.7 years and the mean number of visual field, 18.4 ± 3.5. In eyes with OHT, rate of progression was -0.09 dB/year (-0.17%VFI/year). In eyes with POAG, rate of progression was -0.32 dB/year (-0.83%VFI/year) in eyes with early glaucoma, -0.52 dB/year (-1.81%VFI/year) in moderate glaucoma, -0.54 dB/year (-2.35%VFI/year) in advanced glaucoma and -0.45 dB/year (-1.97%VFI/year) in severe glaucoma. In eyes with POAG, a significant progression (p &lt; 0.05) was detected in 159 of 320 eyes (49.7%) with trend analysis and 117 of 320 eyes (36.6%, likely progression) or 183 of 320 eyes (57.2%, possible and likely progression) with event analysis. Conclusions Primary open-angle glaucoma is a progressive disease in the majority of patients despite cautioned treatment and follow-up. The rate of progression varies greatly among subjects.","author":[{"dropping-particle":"","family":"Aptel","given":"Florent","non-dropping-particle":"","parse-names":false,"suffix":""},{"dropping-particle":"","family":"Aryal-Charles","given":"Nishal","non-dropping-particle":"","parse-names":false,"suffix":""},{"dropping-particle":"","family":"Giraud","given":"Jean Marie","non-dropping-particle":"","parse-names":false,"suffix":""},{"dropping-particle":"","family":"Chehab","given":"Hussam","non-dropping-particle":"El","parse-names":false,"suffix":""},{"dropping-particle":"","family":"Delbarre","given":"Maxime","non-dropping-particle":"","parse-names":false,"suffix":""},{"dropping-particle":"","family":"Chiquet","given":"Christophe","non-dropping-particle":"","parse-names":false,"suffix":""},{"dropping-particle":"","family":"Romanet","given":"Jean Paul","non-dropping-particle":"","parse-names":false,"suffix":""},{"dropping-particle":"","family":"Renard","given":"Jean Paul","non-dropping-particle":"","parse-names":false,"suffix":""}],"container-title":"Acta Ophthalmologica","id":"ITEM-1","issue":"8","issued":{"date-parts":[["2015"]]},"page":"e615-e620","title":"Progression of visual field in patients with primary open-angle glaucoma - ProgF study 1","type":"article-journal","volume":"93"},"uris":["http://www.mendeley.com/documents/?uuid=dc452583-dedf-48b6-85d5-b5aa783f1488"]},{"id":"ITEM-2","itemData":{"DOI":"10.1080/17469899.2016.1180246","ISSN":"17469902","abstract":"ABSTRACT: Introduction: Clinically important rates of glaucoma progression (worsening) are ones that put a patient at risk of future functional impairment or reduction of vision-related quality of life (VRQoL). Most treated eyes do not progress at rates that will lead to future visual impairment, but there are a significant proportion (3–17%) of eyes, that are at risk of impairment even under clinical care. While very fast rates of progression (e.g. MD progression of –1.5 dB/year) are generally problematic, much slower rates also may be deleterious for young patients, particularly those diagnosed with late disease. Areas covered: This review provides an overview of what we know about rates of glaucomatous visual field and structural loss. It also summarizes the literature on what stage of vision loss affects vision related quality of life, and the value of predicting functional impairment based on life expectancy and severity of the disease. Expert commentary: It is important to consider life expectancy, disease severity and vision-related quality of life based treatment targets to estimate future prognosis when evaluating whether a rate of glaucoma progression can be clinically relevant.","author":[{"dropping-particle":"","family":"Saunders","given":"Luke J.","non-dropping-particle":"","parse-names":false,"suffix":""},{"dropping-particle":"","family":"Medeiros","given":"Felipe A.","non-dropping-particle":"","parse-names":false,"suffix":""},{"dropping-particle":"","family":"Weinreb","given":"Robert N.","non-dropping-particle":"","parse-names":false,"suffix":""},{"dropping-particle":"","family":"Zangwill","given":"Linda M.","non-dropping-particle":"","parse-names":false,"suffix":""}],"container-title":"Expert Review of Ophthalmology","id":"ITEM-2","issue":"3","issued":{"date-parts":[["2016"]]},"page":"227-234","title":"What rates of glaucoma progression are clinically significant?","type":"article","volume":"11"},"uris":["http://www.mendeley.com/documents/?uuid=e16f7c7d-9e18-4474-bb65-22206d03a575"]},{"id":"ITEM-3","itemData":{"author":[{"dropping-particle":"","family":"Spaeth","given":"George L","non-dropping-particle":"","parse-names":false,"suffix":""}],"container-title":"British Journal of Ophthalmology","id":"ITEM-3","issue":"Suppl 1","issued":{"date-parts":[["2021"]]},"page":"1-169","publisher":"BMJ","title":"European glaucoma society terminology and guidelines for glaucoma","type":"article-journal","volume":"105"},"uris":["http://www.mendeley.com/documents/?uuid=0b5a58be-866e-4b32-9f11-846df64cb0ab"]}],"mendeley":{"formattedCitation":"(Aptel &lt;i&gt;et al.&lt;/i&gt;, 2015; Saunders &lt;i&gt;et al.&lt;/i&gt;, 2016; Spaeth, 2021)","manualFormatting":"Aptel et al., 2015; Saunders et al., 2016; Spaeth, 2021)","plainTextFormattedCitation":"(Aptel et al., 2015; Saunders et al., 2016; Spaeth, 2021)","previouslyFormattedCitation":"(Aptel &lt;i&gt;et al.&lt;/i&gt;, 2015; Saunders &lt;i&gt;et al.&lt;/i&gt;, 2016; Spaeth, 2021)"},"properties":{"noteIndex":0},"schema":"https://github.com/citation-style-language/schema/raw/master/csl-citation.json"}</w:instrText>
      </w:r>
      <w:r w:rsidRPr="00877B56">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Aptel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2015; Saunders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2016; Spaeth, 2021)</w:t>
      </w:r>
      <w:r w:rsidRPr="00877B56">
        <w:rPr>
          <w:rFonts w:ascii="Times New Roman" w:hAnsi="Times New Roman" w:cs="Times New Roman"/>
          <w:sz w:val="24"/>
          <w:szCs w:val="24"/>
        </w:rPr>
        <w:fldChar w:fldCharType="end"/>
      </w:r>
      <w:r w:rsidRPr="00877B56">
        <w:rPr>
          <w:rFonts w:ascii="Times New Roman" w:eastAsia="Times New Roman" w:hAnsi="Times New Roman" w:cs="Times New Roman"/>
          <w:sz w:val="24"/>
          <w:szCs w:val="24"/>
          <w:lang w:eastAsia="en-GB"/>
        </w:rPr>
        <w:t xml:space="preserve"> This variability highlights the need to better understand risk factors influencing disease progression, particularly in regions where limited data exist on disease patterns. Identifying these risk factors can help clinicians monitor disease m</w:t>
      </w:r>
      <w:r w:rsidR="005C3071">
        <w:rPr>
          <w:rFonts w:ascii="Times New Roman" w:eastAsia="Times New Roman" w:hAnsi="Times New Roman" w:cs="Times New Roman"/>
          <w:sz w:val="24"/>
          <w:szCs w:val="24"/>
          <w:lang w:eastAsia="en-GB"/>
        </w:rPr>
        <w:t xml:space="preserve">ore effectively, recognize high </w:t>
      </w:r>
      <w:r w:rsidRPr="00877B56">
        <w:rPr>
          <w:rFonts w:ascii="Times New Roman" w:eastAsia="Times New Roman" w:hAnsi="Times New Roman" w:cs="Times New Roman"/>
          <w:sz w:val="24"/>
          <w:szCs w:val="24"/>
          <w:lang w:eastAsia="en-GB"/>
        </w:rPr>
        <w:t xml:space="preserve">risk patients, intervene promptly, and adjust treatment strategies </w:t>
      </w:r>
      <w:r w:rsidR="005C3071" w:rsidRPr="00877B56">
        <w:rPr>
          <w:rFonts w:ascii="Times New Roman" w:eastAsia="Times New Roman" w:hAnsi="Times New Roman" w:cs="Times New Roman"/>
          <w:sz w:val="24"/>
          <w:szCs w:val="24"/>
          <w:lang w:eastAsia="en-GB"/>
        </w:rPr>
        <w:t>accordingly;</w:t>
      </w:r>
      <w:r w:rsidRPr="00877B56">
        <w:rPr>
          <w:rFonts w:ascii="Times New Roman" w:eastAsia="Times New Roman" w:hAnsi="Times New Roman" w:cs="Times New Roman"/>
          <w:sz w:val="24"/>
          <w:szCs w:val="24"/>
          <w:lang w:eastAsia="en-GB"/>
        </w:rPr>
        <w:t xml:space="preserve"> ultimately reducing the risk of permanent visual d</w:t>
      </w:r>
      <w:r w:rsidR="005C3071">
        <w:rPr>
          <w:rFonts w:ascii="Times New Roman" w:eastAsia="Times New Roman" w:hAnsi="Times New Roman" w:cs="Times New Roman"/>
          <w:sz w:val="24"/>
          <w:szCs w:val="24"/>
          <w:lang w:eastAsia="en-GB"/>
        </w:rPr>
        <w:t xml:space="preserve">isability and preserving vision </w:t>
      </w:r>
      <w:r w:rsidRPr="00877B56">
        <w:rPr>
          <w:rFonts w:ascii="Times New Roman" w:eastAsia="Times New Roman" w:hAnsi="Times New Roman" w:cs="Times New Roman"/>
          <w:sz w:val="24"/>
          <w:szCs w:val="24"/>
          <w:lang w:eastAsia="en-GB"/>
        </w:rPr>
        <w:t>related quality of life.</w:t>
      </w:r>
    </w:p>
    <w:p w14:paraId="55086EC2" w14:textId="16270D79" w:rsidR="002320EC" w:rsidRPr="00877B56"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r w:rsidRPr="00877B56">
        <w:rPr>
          <w:rFonts w:ascii="Times New Roman" w:eastAsia="Times New Roman" w:hAnsi="Times New Roman" w:cs="Times New Roman"/>
          <w:sz w:val="24"/>
          <w:szCs w:val="24"/>
          <w:lang w:eastAsia="en-GB"/>
        </w:rPr>
        <w:t>This study aimed to assess the stage of POAG at initial presentation, determine the proportion of patients who experienced di</w:t>
      </w:r>
      <w:r w:rsidR="00CD5258">
        <w:rPr>
          <w:rFonts w:ascii="Times New Roman" w:eastAsia="Times New Roman" w:hAnsi="Times New Roman" w:cs="Times New Roman"/>
          <w:sz w:val="24"/>
          <w:szCs w:val="24"/>
          <w:lang w:eastAsia="en-GB"/>
        </w:rPr>
        <w:t xml:space="preserve">sease progression during follow </w:t>
      </w:r>
      <w:r w:rsidRPr="00877B56">
        <w:rPr>
          <w:rFonts w:ascii="Times New Roman" w:eastAsia="Times New Roman" w:hAnsi="Times New Roman" w:cs="Times New Roman"/>
          <w:sz w:val="24"/>
          <w:szCs w:val="24"/>
          <w:lang w:eastAsia="en-GB"/>
        </w:rPr>
        <w:t>up at Kilimanjaro Christian Medical Centre (KCMC), and identify key predictive risk factors associated with progression.</w:t>
      </w:r>
    </w:p>
    <w:p w14:paraId="3F8DDA13" w14:textId="77777777" w:rsidR="002320EC" w:rsidRPr="00877B56"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p>
    <w:p w14:paraId="3FF3DD53" w14:textId="77777777" w:rsidR="002320EC" w:rsidRDefault="002320EC" w:rsidP="002320EC">
      <w:pPr>
        <w:pStyle w:val="ListParagraph"/>
        <w:spacing w:line="360" w:lineRule="auto"/>
        <w:ind w:left="0"/>
        <w:jc w:val="both"/>
        <w:rPr>
          <w:rFonts w:ascii="Times New Roman" w:hAnsi="Times New Roman" w:cs="Times New Roman"/>
          <w:sz w:val="24"/>
          <w:szCs w:val="24"/>
        </w:rPr>
      </w:pPr>
    </w:p>
    <w:p w14:paraId="7C56BDBB" w14:textId="77777777" w:rsidR="006B3867" w:rsidRDefault="006B3867" w:rsidP="002320EC">
      <w:pPr>
        <w:pStyle w:val="ListParagraph"/>
        <w:spacing w:line="360" w:lineRule="auto"/>
        <w:ind w:left="0"/>
        <w:jc w:val="both"/>
        <w:rPr>
          <w:rFonts w:ascii="Times New Roman" w:hAnsi="Times New Roman" w:cs="Times New Roman"/>
          <w:sz w:val="24"/>
          <w:szCs w:val="24"/>
        </w:rPr>
      </w:pPr>
    </w:p>
    <w:p w14:paraId="26B9AAF1" w14:textId="77777777" w:rsidR="006B3867" w:rsidRDefault="006B3867" w:rsidP="002320EC">
      <w:pPr>
        <w:pStyle w:val="ListParagraph"/>
        <w:spacing w:line="360" w:lineRule="auto"/>
        <w:ind w:left="0"/>
        <w:jc w:val="both"/>
        <w:rPr>
          <w:rFonts w:ascii="Times New Roman" w:hAnsi="Times New Roman" w:cs="Times New Roman"/>
          <w:sz w:val="24"/>
          <w:szCs w:val="24"/>
        </w:rPr>
      </w:pPr>
    </w:p>
    <w:p w14:paraId="3BDFAAB4" w14:textId="77777777" w:rsidR="006B3867" w:rsidRDefault="006B3867" w:rsidP="002320EC">
      <w:pPr>
        <w:pStyle w:val="ListParagraph"/>
        <w:spacing w:line="360" w:lineRule="auto"/>
        <w:ind w:left="0"/>
        <w:jc w:val="both"/>
        <w:rPr>
          <w:rFonts w:ascii="Times New Roman" w:hAnsi="Times New Roman" w:cs="Times New Roman"/>
          <w:sz w:val="24"/>
          <w:szCs w:val="24"/>
        </w:rPr>
      </w:pPr>
    </w:p>
    <w:p w14:paraId="097E8B81" w14:textId="77777777" w:rsidR="002320EC" w:rsidRDefault="002320EC" w:rsidP="002320EC">
      <w:pPr>
        <w:pStyle w:val="ListParagraph"/>
        <w:spacing w:line="360" w:lineRule="auto"/>
        <w:ind w:left="0"/>
        <w:jc w:val="both"/>
        <w:rPr>
          <w:rFonts w:ascii="Times New Roman" w:hAnsi="Times New Roman" w:cs="Times New Roman"/>
          <w:sz w:val="24"/>
          <w:szCs w:val="24"/>
        </w:rPr>
      </w:pPr>
    </w:p>
    <w:p w14:paraId="56BA78E0" w14:textId="77777777" w:rsidR="002320EC" w:rsidRPr="00877B56" w:rsidRDefault="002320EC" w:rsidP="002320EC">
      <w:pPr>
        <w:pStyle w:val="ListParagraph"/>
        <w:spacing w:line="360" w:lineRule="auto"/>
        <w:ind w:left="0"/>
        <w:jc w:val="both"/>
        <w:rPr>
          <w:rFonts w:ascii="Times New Roman" w:hAnsi="Times New Roman" w:cs="Times New Roman"/>
          <w:sz w:val="24"/>
          <w:szCs w:val="24"/>
        </w:rPr>
      </w:pPr>
    </w:p>
    <w:p w14:paraId="4ABC1F3D" w14:textId="77777777" w:rsidR="002320EC" w:rsidRDefault="002320EC" w:rsidP="002320EC">
      <w:pPr>
        <w:pStyle w:val="ListParagraph"/>
        <w:spacing w:line="360" w:lineRule="auto"/>
        <w:ind w:left="0"/>
        <w:jc w:val="both"/>
        <w:rPr>
          <w:rFonts w:ascii="Times New Roman" w:hAnsi="Times New Roman" w:cs="Times New Roman"/>
          <w:b/>
          <w:sz w:val="24"/>
          <w:szCs w:val="24"/>
        </w:rPr>
      </w:pPr>
      <w:r w:rsidRPr="00877B56">
        <w:rPr>
          <w:rFonts w:ascii="Times New Roman" w:hAnsi="Times New Roman" w:cs="Times New Roman"/>
          <w:b/>
          <w:sz w:val="24"/>
          <w:szCs w:val="24"/>
        </w:rPr>
        <w:lastRenderedPageBreak/>
        <w:t>MATERIALS AND METHODS</w:t>
      </w:r>
      <w:bookmarkStart w:id="2" w:name="_Toc171879372"/>
      <w:bookmarkEnd w:id="1"/>
    </w:p>
    <w:p w14:paraId="2FB75A42" w14:textId="7E9AA597" w:rsidR="00A873A4" w:rsidRPr="006441AE" w:rsidRDefault="002320EC" w:rsidP="006441AE">
      <w:pPr>
        <w:pStyle w:val="ListParagraph"/>
        <w:spacing w:line="240" w:lineRule="auto"/>
        <w:ind w:left="0"/>
        <w:jc w:val="both"/>
        <w:rPr>
          <w:rStyle w:val="Strong"/>
          <w:rFonts w:ascii="Times New Roman" w:hAnsi="Times New Roman" w:cs="Times New Roman"/>
          <w:bCs w:val="0"/>
          <w:sz w:val="24"/>
          <w:szCs w:val="24"/>
        </w:rPr>
      </w:pPr>
      <w:r w:rsidRPr="00174DC0">
        <w:rPr>
          <w:rStyle w:val="Strong"/>
          <w:rFonts w:ascii="Times New Roman" w:hAnsi="Times New Roman" w:cs="Times New Roman"/>
          <w:sz w:val="24"/>
          <w:szCs w:val="24"/>
        </w:rPr>
        <w:t xml:space="preserve">Study Design and Setting: </w:t>
      </w:r>
      <w:r w:rsidRPr="00174DC0">
        <w:rPr>
          <w:rFonts w:ascii="Times New Roman" w:hAnsi="Times New Roman" w:cs="Times New Roman"/>
          <w:sz w:val="24"/>
          <w:szCs w:val="24"/>
        </w:rPr>
        <w:t>A retrospective cohort study was conducted at the KCMC Eye Clinic in northern Tanzania from January 2010 to December 2020. KCMC Eye Clinic is a specialized facility and the primary referral site for ophthalmic cases in the region (northern Tanzania).</w:t>
      </w:r>
    </w:p>
    <w:p w14:paraId="65BA612A" w14:textId="00E13CAD" w:rsidR="002320EC" w:rsidRDefault="002320EC" w:rsidP="002320EC">
      <w:pPr>
        <w:pStyle w:val="NormalWeb"/>
      </w:pPr>
      <w:r w:rsidRPr="00877B56">
        <w:rPr>
          <w:rStyle w:val="Strong"/>
        </w:rPr>
        <w:t xml:space="preserve">Study Population: </w:t>
      </w:r>
      <w:r w:rsidRPr="00877B56">
        <w:t xml:space="preserve"> The study included all patients diagnosed with primary open-angle glaucoma (POAG) at the KCMC Eye Clinic during the study period. Inclusion criteria comprised newly diagnosed POAG patients aged 18 years and older with a minimum of five reliable visual field tests (VFTs) performed at least six months apart, ensuring adequate assessment of visual field progression. Patients were excluded if they had conditions affecting VFT results, such as advanced proliferative diabetic retinopathy, retinal vein occlusion,</w:t>
      </w:r>
      <w:r w:rsidR="005C3071">
        <w:t xml:space="preserve"> macular degeneration, or end </w:t>
      </w:r>
      <w:r w:rsidRPr="00877B56">
        <w:t>stage glaucoma at presentation.</w:t>
      </w:r>
    </w:p>
    <w:p w14:paraId="5166E0F6" w14:textId="7F403A94" w:rsidR="00A873A4" w:rsidRPr="00877B56" w:rsidRDefault="00A873A4" w:rsidP="002320EC">
      <w:pPr>
        <w:pStyle w:val="NormalWeb"/>
      </w:pPr>
      <w:r w:rsidRPr="00A873A4">
        <w:rPr>
          <w:b/>
        </w:rPr>
        <w:t>Data source:</w:t>
      </w:r>
      <w:r>
        <w:t xml:space="preserve"> This study utilized data obtained from a </w:t>
      </w:r>
      <w:r w:rsidRPr="00877B56">
        <w:t>retrospective review of m</w:t>
      </w:r>
      <w:r>
        <w:t>edical records of</w:t>
      </w:r>
      <w:r w:rsidRPr="00877B56">
        <w:t xml:space="preserve"> patients meeting the study’s eligibility criteria.</w:t>
      </w:r>
    </w:p>
    <w:p w14:paraId="2278B39B" w14:textId="68303BC7" w:rsidR="002320EC" w:rsidRPr="00877B56" w:rsidRDefault="002320EC" w:rsidP="002320EC">
      <w:pPr>
        <w:pStyle w:val="NormalWeb"/>
      </w:pPr>
      <w:r w:rsidRPr="00877B56">
        <w:rPr>
          <w:rStyle w:val="Strong"/>
        </w:rPr>
        <w:t>Data Collection Methods and Tools</w:t>
      </w:r>
      <w:r w:rsidR="00E94F7D">
        <w:t xml:space="preserve">: </w:t>
      </w:r>
      <w:r w:rsidRPr="00877B56">
        <w:t>A structured data collection sheet, developed based on variables from previous studies (</w:t>
      </w:r>
      <w:r w:rsidR="006C6472">
        <w:t xml:space="preserve"> </w:t>
      </w:r>
      <w:r w:rsidR="006C6472">
        <w:fldChar w:fldCharType="begin" w:fldLock="1"/>
      </w:r>
      <w:r w:rsidR="006C6472">
        <w:instrText>ADDIN CSL_CITATION {"citationItems":[{"id":"ITEM-1","itemData":{"DOI":"10.1016/s0161-6420(99)90497-9","ISSN":"0161-6420 (Print)","PMID":"10571351","abstract":"OBJECTIVES: The Early Manifest Glaucoma Trial (EMGT) will evaluate the  effectiveness of reducing intraocular pressure (IOP) in early, previously untreated open-angle glaucoma. Its secondary aims are to explore factors related to glaucoma progression and to study the natural history of the disease. This article describes the EMGT design and presents baseline data. DESIGN: Randomized, clinical trial. PARTICIPANTS: Newly diagnosed patients 50 to 80 years of age with early glaucomatous visual field defects were mainly identified from a population-based screening of more than 44,000 residents of Malmö and Helsingborg, Sweden. Exclusion criteria were advanced visual field loss; mean IOP greater than 30 mmHg or any IOP greater than 35 mmHg; visual acuity less than 0.5; and inability to complete follow-up protocols. INTERVENTIONS: After informed consent, patients were randomized to treatment or no initial treatment with close follow-up. Treated patients had laser trabeculoplasty and started receiving topical betaxolol twice daily in eligible eyes. Follow-up visits include computerized perimetry and tonometry every 3 months and fundus photography every 6 months. Decisions to change or begin treatment are made jointly with the patient when EMGT progression occurs and also later if clinically needed. MAIN OUTCOME MEASURES: The EMGT progression is defined by sustained increases of visual field loss in three consecutive C30-2 Humphrey tests, as determined from computer-based analyses, or by optic disc changes, as determined from flicker chronoscopy and side-by-side comparisons of fundus photographs performed by masked, independent graders. RESULTS: A total of 255 patients were randomized between 1993 and 1997 and will be followed for at least 4 years. All had generally good health status; mean age was 68.1 years, and 66% were women. At baseline, mean IOP was 20.6 mmHg and 80% of eyes had IOP less than 25 mmHg. CONCLUSIONS: The Early Manifest Glaucoma Trial is the first large randomized, clinical trial to evaluate the role of immediate pressure reduction, as compared to no initial reduction, in patients with early glaucoma and normal or moderately elevated IOP. Its results will have implications for: (1) the clinical management of glaucoma; (2) understanding the role of IOP and the natural history of glaucoma; and (3) evaluating the rationale for glaucoma screening.","author":[{"dropping-particle":"","family":"Leske","given":"M C","non-dropping-particle":"","parse-names":false,"suffix":""},{"dropping-particle":"","family":"Heijl","given":"A","non-dropping-particle":"","parse-names":false,"suffix":""},{"dropping-particle":"","family":"Hyman","given":"L","non-dropping-particle":"","parse-names":false,"suffix":""},{"dropping-particle":"","family":"Bengtsson","given":"B","non-dropping-particle":"","parse-names":false,"suffix":""}],"container-title":"Ophthalmology","id":"ITEM-1","issue":"11","issued":{"date-parts":[["1999","11"]]},"language":"eng","page":"2144-2153","publisher-place":"United States","title":"Early Manifest Glaucoma Trial: design and baseline data.","type":"article-journal","volume":"106"},"uris":["http://www.mendeley.com/documents/?uuid=197ca8b6-ada0-43b0-9eda-1048e728e22e"]}],"mendeley":{"formattedCitation":"(Leske &lt;i&gt;et al.&lt;/i&gt;, 1999)","manualFormatting":"Leske et al., 1999 ","plainTextFormattedCitation":"(Leske et al., 1999)","previouslyFormattedCitation":"(Leske &lt;i&gt;et al.&lt;/i&gt;, 1999)"},"properties":{"noteIndex":0},"schema":"https://github.com/citation-style-language/schema/raw/master/csl-citation.json"}</w:instrText>
      </w:r>
      <w:r w:rsidR="006C6472">
        <w:fldChar w:fldCharType="separate"/>
      </w:r>
      <w:r w:rsidR="006C6472" w:rsidRPr="006C6472">
        <w:rPr>
          <w:noProof/>
        </w:rPr>
        <w:t xml:space="preserve">Leske </w:t>
      </w:r>
      <w:r w:rsidR="006C6472" w:rsidRPr="006C6472">
        <w:rPr>
          <w:i/>
          <w:noProof/>
        </w:rPr>
        <w:t>et al.</w:t>
      </w:r>
      <w:r w:rsidR="006C6472" w:rsidRPr="006C6472">
        <w:rPr>
          <w:noProof/>
        </w:rPr>
        <w:t>, 1999</w:t>
      </w:r>
      <w:r w:rsidR="006C6472">
        <w:rPr>
          <w:noProof/>
        </w:rPr>
        <w:t xml:space="preserve"> </w:t>
      </w:r>
      <w:r w:rsidR="006C6472">
        <w:fldChar w:fldCharType="end"/>
      </w:r>
      <w:r w:rsidR="00E94F7D">
        <w:t>;</w:t>
      </w:r>
      <w:r w:rsidR="00CE6A06">
        <w:t xml:space="preserve"> </w:t>
      </w:r>
      <w:r w:rsidR="006C6472">
        <w:fldChar w:fldCharType="begin" w:fldLock="1"/>
      </w:r>
      <w:r w:rsidR="006C6472">
        <w:instrText>ADDIN CSL_CITATION {"citationItems":[{"id":"ITEM-1","itemData":{"DOI":"10.1001/archopht.120.10.1268","ISSN":"0003-9950 (Print)","PMID":"12365904","abstract":"OBJECTIVE: To provide the results of the Early Manifest Glaucoma Trial, which  compared the effect of immediately lowering the intraocular pressure (IOP), vs no treatment or later treatment, on the progression of newly detected open-angle glaucoma. DESIGN: Randomized clinical trial. PARTICIPANTS: Two hundred fifty-five patients aged 50 to 80 years (median, 68 years) with early glaucoma, visual field defects (median mean deviation, -4 dB), and a median IOP of 20 mm Hg, mainly identified through a population screening. Patients with an IOP greater than 30 mm Hg or advanced visual field loss were ineligible. INTERVENTIONS: Patients were randomized to either laser trabeculoplasty plus topical betaxolol hydrochloride (n = 129) or no initial treatment (n = 126). Study visits included Humphrey Full Threshold 30-2 visual field tests and tonometry every 3 months, and optic disc photography every 6 months. Decisions regarding treatment were made jointly with the patient when progression occurred and thereafter. MAIN OUTCOME MEASURES: Glaucoma progression was defined by specific visual field and optic disc outcomes. Criteria for perimetric progression were computer based and defined as the same 3 or more test point locations showing significant deterioration from baseline in glaucoma change probability maps from 3 consecutive tests. Optic disc progression was determined by masked graders using flicker chronoscopy plus side-by-side photogradings. RESULTS: After a median follow-up period of 6 years (range, 51-102 months), retention was excellent, with only 6 patients lost to follow-up for reasons other than death. On average, treatment reduced the IOP by 5.1 mm Hg or 25%, a reduction maintained throughout follow-up. Progression was less frequent in the treatment group (58/129; 45%) than in controls (78/126; 62%) (P =.007) and occurred significantly later in treated patients. Treatment effects were also evident when stratifying patients by median IOP, mean deviation, and age as well as exfoliation status. Although patients reported few systemic or ocular conditions, increases in clinical nuclear lens opacity gradings were associated with treatment (P =.002). CONCLUSIONS: The Early Manifest Glaucoma Trial is the first adequately powered randomized trial with an untreated control arm to evaluate the effects of IOP reduction in patients with open-angle glaucoma who have elevated and normal IOP. Its intent-to-treat analysis showed considerable beneficial effects of treat…","author":[{"dropping-particle":"","family":"Heijl","given":"Anders","non-dropping-particle":"","parse-names":false,"suffix":""},{"dropping-particle":"","family":"Leske","given":"M Cristina","non-dropping-particle":"","parse-names":false,"suffix":""},{"dropping-particle":"","family":"Bengtsson","given":"Bo","non-dropping-particle":"","parse-names":false,"suffix":""},{"dropping-particle":"","family":"Hyman","given":"Leslie","non-dropping-particle":"","parse-names":false,"suffix":""},{"dropping-particle":"","family":"Bengtsson","given":"Boel","non-dropping-particle":"","parse-names":false,"suffix":""},{"dropping-particle":"","family":"Hussein","given":"Mohamed","non-dropping-particle":"","parse-names":false,"suffix":""}],"container-title":"Archives of ophthalmology (Chicago, Ill. : 1960)","id":"ITEM-1","issue":"10","issued":{"date-parts":[["2002","10"]]},"language":"eng","page":"1268-1279","publisher-place":"United States","title":"Reduction of intraocular pressure and glaucoma progression: results from the  Early Manifest Glaucoma Trial.","type":"article-journal","volume":"120"},"uris":["http://www.mendeley.com/documents/?uuid=9b651eeb-94a7-431b-99fa-4987bdbd5625"]}],"mendeley":{"formattedCitation":"(Heijl, Leske, Bengtsson, Hyman, Bengtsson and Hussein, 2002)","manualFormatting":" Heijl, Leske, Bengtsson, Hyman, Bengtsson and Hussein, 2002","plainTextFormattedCitation":"(Heijl, Leske, Bengtsson, Hyman, Bengtsson and Hussein, 2002)"},"properties":{"noteIndex":0},"schema":"https://github.com/citation-style-language/schema/raw/master/csl-citation.json"}</w:instrText>
      </w:r>
      <w:r w:rsidR="006C6472">
        <w:fldChar w:fldCharType="separate"/>
      </w:r>
      <w:r w:rsidR="006C6472">
        <w:rPr>
          <w:noProof/>
        </w:rPr>
        <w:t xml:space="preserve"> </w:t>
      </w:r>
      <w:r w:rsidR="006C6472" w:rsidRPr="006C6472">
        <w:rPr>
          <w:noProof/>
        </w:rPr>
        <w:t>Heijl, Leske, Bengtsson, Hyman, Bengtsson and Hussein, 2002</w:t>
      </w:r>
      <w:r w:rsidR="006C6472">
        <w:fldChar w:fldCharType="end"/>
      </w:r>
      <w:r w:rsidR="006C6472">
        <w:t xml:space="preserve"> </w:t>
      </w:r>
      <w:r w:rsidR="00C63B2B">
        <w:t>;</w:t>
      </w:r>
      <w:r w:rsidR="00C63B2B" w:rsidRPr="00877B56">
        <w:t xml:space="preserve"> </w:t>
      </w:r>
      <w:r w:rsidR="00C63B2B">
        <w:fldChar w:fldCharType="begin" w:fldLock="1"/>
      </w:r>
      <w:r w:rsidR="00C63B2B">
        <w:instrText>ADDIN CSL_CITATION {"citationItems":[{"id":"ITEM-1","itemData":{"DOI":"10.1111/j.1755-3768.2012.02492.x","ISSN":"1755375X","PMID":"23066646","abstract":"Purpose: To investigate rates of visual field progression and factors associated with progression rate in open-angle glaucoma in clinical glaucoma care. Methods: We performed a retrospective chart review of all patients with manifest primary open-angle glaucoma (POAG) and pseudoexfoliation glaucoma (PEXG) followed ≥ 5 years with ≥5 SITA Standard fields. Exclusion criteria were minimal. Demographics, intraocular pressure values (IOP), treatment and treatment changes, and visual field (VF) data were recorded. VF progression rates were calculated as slopes of mean deviation (MD) over time. Results: Five hundred and eighty-three patients were eligible. Three hundred and sixty-seven (62%) had POAG and 221 (38%) PEXG. Median MD at study start was -10.0 dB. Mean follow-up time was 7.8 years (SD ± 1.2); mean number of VF tests was 8.9 (SD ± 2.8). Progression rates varied very much among patients with a mean of -0.80 dB/year (SD ± 0.82; median rate, -0.62), and 5.6% of patients progressed at rates worse than -2.5 dB per year A negative slope of MD values was observed in 89% of patients. Mean IOP of all visits decreased over the study period from 20.15 to 18.10 mmHg. Higher age and mean IOP, and more intensive treatment were associated with more rapid progression, while PEXG and IOP variation were not, if treatment intensity was taken into account. Conclusion: Rates of visual field progression in manifest glaucoma with field loss in ordinary clinical care were highly variable. Progression rates rapid enough to influence quality of life were common. © 2012 The Authors. Acta Ophthalmologica © 2012 Acta Ophthalmologica Scandinavica Foundation.","author":[{"dropping-particle":"","family":"Heijl","given":"Anders","non-dropping-particle":"","parse-names":false,"suffix":""},{"dropping-particle":"","family":"Buchholz","given":"Patricia","non-dropping-particle":"","parse-names":false,"suffix":""},{"dropping-particle":"","family":"Norrgren","given":"Gunilla","non-dropping-particle":"","parse-names":false,"suffix":""},{"dropping-particle":"","family":"Bengtsson","given":"Boel","non-dropping-particle":"","parse-names":false,"suffix":""}],"container-title":"Acta Ophthalmologica","id":"ITEM-1","issue":"5","issued":{"date-parts":[["2013"]]},"page":"406-412","title":"Rates of visual field progression in clinical glaucoma care","type":"article","volume":"91"},"uris":["http://www.mendeley.com/documents/?uuid=801dfc4a-4853-48a3-8299-90b7471cd01f"]}],"mendeley":{"formattedCitation":"(Heijl &lt;i&gt;et al.&lt;/i&gt;, 2013)","manualFormatting":"Heijl et al., 2013","plainTextFormattedCitation":"(Heijl et al., 2013)","previouslyFormattedCitation":"(Heijl &lt;i&gt;et al.&lt;/i&gt;, 2013)"},"properties":{"noteIndex":0},"schema":"https://github.com/citation-style-language/schema/raw/master/csl-citation.json"}</w:instrText>
      </w:r>
      <w:r w:rsidR="00C63B2B">
        <w:fldChar w:fldCharType="separate"/>
      </w:r>
      <w:r w:rsidR="00C63B2B" w:rsidRPr="00C63B2B">
        <w:rPr>
          <w:noProof/>
        </w:rPr>
        <w:t xml:space="preserve">Heijl </w:t>
      </w:r>
      <w:r w:rsidR="00C63B2B" w:rsidRPr="00C63B2B">
        <w:rPr>
          <w:i/>
          <w:noProof/>
        </w:rPr>
        <w:t>et al.</w:t>
      </w:r>
      <w:r w:rsidR="00C63B2B" w:rsidRPr="00C63B2B">
        <w:rPr>
          <w:noProof/>
        </w:rPr>
        <w:t>, 2013</w:t>
      </w:r>
      <w:r w:rsidR="00C63B2B">
        <w:fldChar w:fldCharType="end"/>
      </w:r>
      <w:r w:rsidRPr="00877B56">
        <w:t xml:space="preserve">; </w:t>
      </w:r>
      <w:r w:rsidR="007717C8">
        <w:fldChar w:fldCharType="begin" w:fldLock="1"/>
      </w:r>
      <w:r w:rsidR="005306E8">
        <w:instrText>ADDIN CSL_CITATION {"citationItems":[{"id":"ITEM-1","itemData":{"DOI":"10.1016/s0002-9394(00)00487-6","ISSN":"0002-9394 (Print)","PMID":"11020404","abstract":"PURPOSE: To evaluate long-term risk factors for progression or stability in  patients with primary open-angle glaucoma. METHOD: We retrospectively included consecutively reviewed patients who had primary open-angle glaucoma for at least 5 years in this multicenter trial. Historical and clinical factors in these patients were evaluated for their association with stability or progression of the glaucoma. RESULTS: We included 218 patients in this study; of these, 34 progressed over an average length of follow-up of 45.5 +/- 30.0 months, and 184 were stable over an average of 72.8 +/- 18.3 months. The mean intraocular pressure over the follow-up period for the progressed group was 19.5 +/- 3.8 mm Hg and for the stable group 17. 2 +/- 3.1 mm Hg (P =.001). The average standard deviation of individual intraocular pressures was greater in the progressed group (5.1 mm Hg) than the stable group (3.9 mm Hg, P =.012). Baseline characteristics indicating a greater potential to progress were a larger cup-to-disk ratio (P &lt;.001), a greater number of medications (P =.02), older age (P.007), and worse visual acuity (P =.003). However, no difference was observed in pressure levels that prevented progression in these subpopulations compared with the total sample size. CONCLUSIONS: This study suggests that lowering the intraocular pressure is important in the treatment of primary open-angle glaucoma to help prevent long-term progression. Lowering the pressure, however, is not uniformly effective in preventing progression. Additionally, risk factors for progression do not further help identify pressure levels that prevent worsening of glaucoma.","author":[{"dropping-particle":"","family":"Stewart","given":"W C","non-dropping-particle":"","parse-names":false,"suffix":""},{"dropping-particle":"","family":"Kolker","given":"A E","non-dropping-particle":"","parse-names":false,"suffix":""},{"dropping-particle":"","family":"Sharpe","given":"E D","non-dropping-particle":"","parse-names":false,"suffix":""},{"dropping-particle":"","family":"Day","given":"D G","non-dropping-particle":"","parse-names":false,"suffix":""},{"dropping-particle":"","family":"Holmes","given":"K T","non-dropping-particle":"","parse-names":false,"suffix":""},{"dropping-particle":"","family":"Leech","given":"J N","non-dropping-particle":"","parse-names":false,"suffix":""},{"dropping-particle":"","family":"Johnson","given":"M","non-dropping-particle":"","parse-names":false,"suffix":""},{"dropping-particle":"","family":"Cantrell","given":"J B","non-dropping-particle":"","parse-names":false,"suffix":""}],"container-title":"American journal of ophthalmology","id":"ITEM-1","issue":"3","issued":{"date-parts":[["2000","9"]]},"language":"eng","page":"274-279","publisher-place":"United States","title":"Factors associated with long-term progression or stability in primary open-angle  glaucoma.","type":"article-journal","volume":"130"},"uris":["http://www.mendeley.com/documents/?uuid=96d898fd-6e88-4f39-a4d9-8159192d1917"]}],"mendeley":{"formattedCitation":"(Stewart &lt;i&gt;et al.&lt;/i&gt;, 2000)","manualFormatting":"Stewart et al., 2000 ; ","plainTextFormattedCitation":"(Stewart et al., 2000)","previouslyFormattedCitation":"(Stewart &lt;i&gt;et al.&lt;/i&gt;, 2000)"},"properties":{"noteIndex":0},"schema":"https://github.com/citation-style-language/schema/raw/master/csl-citation.json"}</w:instrText>
      </w:r>
      <w:r w:rsidR="007717C8">
        <w:fldChar w:fldCharType="separate"/>
      </w:r>
      <w:r w:rsidR="007717C8" w:rsidRPr="007717C8">
        <w:rPr>
          <w:noProof/>
        </w:rPr>
        <w:t xml:space="preserve">Stewart </w:t>
      </w:r>
      <w:r w:rsidR="007717C8" w:rsidRPr="007717C8">
        <w:rPr>
          <w:i/>
          <w:noProof/>
        </w:rPr>
        <w:t>et al.</w:t>
      </w:r>
      <w:r w:rsidR="007717C8" w:rsidRPr="007717C8">
        <w:rPr>
          <w:noProof/>
        </w:rPr>
        <w:t>, 2000</w:t>
      </w:r>
      <w:r w:rsidR="007717C8">
        <w:rPr>
          <w:noProof/>
        </w:rPr>
        <w:t xml:space="preserve"> ; </w:t>
      </w:r>
      <w:r w:rsidR="007717C8">
        <w:fldChar w:fldCharType="end"/>
      </w:r>
      <w:r w:rsidR="00C63B2B">
        <w:fldChar w:fldCharType="begin" w:fldLock="1"/>
      </w:r>
      <w:r w:rsidR="00C63B2B">
        <w:instrText>ADDIN CSL_CITATION {"citationItems":[{"id":"ITEM-1","itemData":{"DOI":"10.1177/112067211002000209","ISSN":"1120-6721 (Print)","PMID":"19882542","abstract":"PURPOSE: To determine the incidence of progression of primary open-angle glaucoma  at individual levels of mean intraocular pressure (IOP) in patients in Ethiopia. METHODS: A retrospective, multicenter, cohort analysis of patient records with at least 5 years of potential follow-up were evaluated for risk factors associated with progressive optic disc and visual field loss. RESULTS: There were 300 patients with the potential of 5 years of follow-up. In total, 166 patients progressed before 5 years and 134 remained stable for the full 5-year follow-up period. Of the total sample, 84% of patients with IOPs &lt; or =19 (n=117/139), 53% of patients with IOPs of 20 (n=9/17), 14% of patients with IOPs of 21-24 (n=9/63), and 0% of the patients with IOPs of &gt; or =25 mmHg (n=0/79) remained stable over at least 5 years. The mean IOP was 17.4+/-2.1 in the stable group and 25.0+/-5.9 mmHg in the progressed group (p&lt;0.0001). The highest average peak IOP was 24.5+/-4.5 in the stable group and 29.0+/-6.1 mmHg in the progressed group (p&lt;0.0001). A multivariant regression analysis to determine risk factors for progression was positive for mean IOP (p=0.0097). CONCLUSIONS: This study suggests that IOP reduction in a developing country, despite potential limitations in diagnostic techniques, follow-up, and compliance, can be effective in reducing the risk of glaucomatous progression over long-term follow-up.","author":[{"dropping-particle":"","family":"Alemu","given":"Abiye M","non-dropping-particle":"","parse-names":false,"suffix":""},{"dropping-particle":"","family":"Kristoffersen","given":"Caroline J","non-dropping-particle":"","parse-names":false,"suffix":""},{"dropping-particle":"","family":"Kristoffersen","given":"Michael S","non-dropping-particle":"","parse-names":false,"suffix":""},{"dropping-particle":"","family":"Stewart","given":"Jeanette A","non-dropping-particle":"","parse-names":false,"suffix":""},{"dropping-particle":"","family":"Stewart","given":"William C","non-dropping-particle":"","parse-names":false,"suffix":""}],"container-title":"European journal of ophthalmology","id":"ITEM-1","issue":"2","issued":{"date-parts":[["2010"]]},"language":"eng","page":"310-315","publisher-place":"United States","title":"Long-term benefit of reduced intraocular pressure in primary open-angle glaucoma  patients in Ethiopia.","type":"article-journal","volume":"20"},"uris":["http://www.mendeley.com/documents/?uuid=be67e161-3ed8-441d-8507-a2e246655391"]}],"mendeley":{"formattedCitation":"(Alemu &lt;i&gt;et al.&lt;/i&gt;, 2010)","manualFormatting":"Alemu et al., 2010","plainTextFormattedCitation":"(Alemu et al., 2010)","previouslyFormattedCitation":"(Alemu &lt;i&gt;et al.&lt;/i&gt;, 2010)"},"properties":{"noteIndex":0},"schema":"https://github.com/citation-style-language/schema/raw/master/csl-citation.json"}</w:instrText>
      </w:r>
      <w:r w:rsidR="00C63B2B">
        <w:fldChar w:fldCharType="separate"/>
      </w:r>
      <w:r w:rsidR="00C63B2B" w:rsidRPr="00C63B2B">
        <w:rPr>
          <w:noProof/>
        </w:rPr>
        <w:t xml:space="preserve">Alemu </w:t>
      </w:r>
      <w:r w:rsidR="00C63B2B" w:rsidRPr="00C63B2B">
        <w:rPr>
          <w:i/>
          <w:noProof/>
        </w:rPr>
        <w:t>et al.</w:t>
      </w:r>
      <w:r w:rsidR="00C63B2B" w:rsidRPr="00C63B2B">
        <w:rPr>
          <w:noProof/>
        </w:rPr>
        <w:t>, 2010</w:t>
      </w:r>
      <w:r w:rsidR="00C63B2B">
        <w:fldChar w:fldCharType="end"/>
      </w:r>
      <w:r w:rsidR="007717C8">
        <w:t xml:space="preserve"> </w:t>
      </w:r>
      <w:r w:rsidRPr="00877B56">
        <w:t>;</w:t>
      </w:r>
      <w:r w:rsidR="00C45B32">
        <w:t xml:space="preserve"> </w:t>
      </w:r>
      <w:r w:rsidR="00C45B32">
        <w:fldChar w:fldCharType="begin" w:fldLock="1"/>
      </w:r>
      <w:r w:rsidR="007717C8">
        <w:instrText>ADDIN CSL_CITATION {"citationItems":[{"id":"ITEM-1","itemData":{"DOI":"https://doi.org/10.1016/j.ophtha.2018.10.016","ISSN":"0161-6420","abstract":"Purpose To determine the incidence of open-angle glaucoma (OAG) and its risk factors in the Tema Eye Survey in Ghana, West Africa. Design Longitudinal, observational population-based study. Participants One thousand two hundred five of 1500 participants 40 years of age or older selected randomly from 5603 participants originally drawn from the population and who had undergone a baseline examination. Methods All participants underwent baseline and follow-up ophthalmologic examinations 8 years apart. Glaucoma diagnosis was determined based on the International Society for Geographical and Epidemiologic Ophthalmology criteria. Main Outcome Measures Incidence and odds ratio (OR). Results The response rate was 80.3%. Of 1101 nonglaucomatous participants at baseline who had complete follow-up data, 4.6% (95% confidence interval [CI], 3.7%–5.2%) demonstrated OAG over the 8-year period, or 0.58% (95% CI, 0.4%–0.8%) per year. The 8-year incidence increased with age from 3.1% in those 40 to 49 years old to 7.0% in those 60 to 69 years old. Baseline risk factors for incident OAG were male gender (OR, 2.1; 95% CI, 1.1–4.0; P = 0.025), older age relative to those 40 to 49 years old (those 50–50 years old: OR, 2.6; 95% CI, 1.2–5.7; those 60–69 years old: OR, 4.3; 95% CI, 2.0–8.8; and for those 70 years of age and older: OR, 6.3; 95% CI, 2.6–15.4; all P &lt; 0.001), higher intraocular pressure (IOP; OR, 1.4; 95% CI, 1.1–1.8; P &lt; 0.001), larger vertical cup-to-disc ratio (OR, 5.8; 95% CI, 5.2–6.6; P &lt; 0.001), and thinner central cornea (OR, 1.2; 95% CI, 1.03–1.5; P = 0.013). A separate analysis performed with central corneal thickness-based IOP correction did not change the outcome of the associative model of incident glaucoma. Conclusions The incidence of OAG is higher in this population than reported in nonblack populations outside Africa. This is important not only in Ghana and probably other West African countries but also wherever people of the West African diaspora reside. These data enhance our understanding of the epidemiologic factors of OAG in this setting and may serve as reference for public health policy and planning.","author":[{"dropping-particle":"","family":"Mwanza","given":"Jean-Claude","non-dropping-particle":"","parse-names":false,"suffix":""},{"dropping-particle":"","family":"Tulenko","given":"Samantha E","non-dropping-particle":"","parse-names":false,"suffix":""},{"dropping-particle":"","family":"Barton","given":"Keith","non-dropping-particle":"","parse-names":false,"suffix":""},{"dropping-particle":"","family":"Herndon","given":"Leon W","non-dropping-particle":"","parse-names":false,"suffix":""},{"dropping-particle":"","family":"Mathenge","given":"Elizabeth","non-dropping-particle":"","parse-names":false,"suffix":""},{"dropping-particle":"","family":"Hall","given":"Alyson","non-dropping-particle":"","parse-names":false,"suffix":""},{"dropping-particle":"","family":"Kim","given":"Hanna Y","non-dropping-particle":"","parse-names":false,"suffix":""},{"dropping-particle":"","family":"Hay-Smith","given":"Graham","non-dropping-particle":"","parse-names":false,"suffix":""},{"dropping-particle":"","family":"Budenz","given":"Donald L","non-dropping-particle":"","parse-names":false,"suffix":""}],"container-title":"Ophthalmology","id":"ITEM-1","issue":"3","issued":{"date-parts":[["2019"]]},"page":"372-380","title":"Eight-Year Incidence of Open-Angle Glaucoma in the Tema Eye Survey","type":"article-journal","volume":"126"},"uris":["http://www.mendeley.com/documents/?uuid=061c396a-54ed-4756-8b93-4f5e972bd3f7"]}],"mendeley":{"formattedCitation":"(Mwanza &lt;i&gt;et al.&lt;/i&gt;, 2019)","manualFormatting":"Mwanza et al., 2019; ","plainTextFormattedCitation":"(Mwanza et al., 2019)","previouslyFormattedCitation":"(Mwanza &lt;i&gt;et al.&lt;/i&gt;, 2019)"},"properties":{"noteIndex":0},"schema":"https://github.com/citation-style-language/schema/raw/master/csl-citation.json"}</w:instrText>
      </w:r>
      <w:r w:rsidR="00C45B32">
        <w:fldChar w:fldCharType="separate"/>
      </w:r>
      <w:r w:rsidR="00C45B32" w:rsidRPr="00C45B32">
        <w:rPr>
          <w:noProof/>
        </w:rPr>
        <w:t xml:space="preserve">Mwanza </w:t>
      </w:r>
      <w:r w:rsidR="00C45B32" w:rsidRPr="00C45B32">
        <w:rPr>
          <w:i/>
          <w:noProof/>
        </w:rPr>
        <w:t>et al.</w:t>
      </w:r>
      <w:r w:rsidR="00C45B32" w:rsidRPr="00C45B32">
        <w:rPr>
          <w:noProof/>
        </w:rPr>
        <w:t>, 2019</w:t>
      </w:r>
      <w:r w:rsidR="00C45B32">
        <w:rPr>
          <w:noProof/>
        </w:rPr>
        <w:t xml:space="preserve">; </w:t>
      </w:r>
      <w:r w:rsidR="00C45B32">
        <w:fldChar w:fldCharType="end"/>
      </w:r>
      <w:r w:rsidR="00C63B2B">
        <w:fldChar w:fldCharType="begin" w:fldLock="1"/>
      </w:r>
      <w:r w:rsidR="00CE6A06">
        <w:instrText>ADDIN CSL_CITATION {"citationItems":[{"id":"ITEM-1","itemData":{"ISSN":"1057-0829","abstract":"Précis: The annual incidence of glaucoma progression (9.7%) and rates of visual field mean deviation (MD) change in progressors (−1.02±0.06 dB/y) are high in a small cohort of urban Ghanaians. Purpose: To report the incidence of glaucoma progression and the rate of visual field deterioration in a small cohort of Ghanaians. Methods: One hundred ten subjects (204 eyes) diagnosed with glaucoma at a baseline population-based screening examination were re-examined a mean of 8.3±0.8 years later. Eyes were classified as having progressed if the optic disc alone, visual field alone or both showed significant glaucomatous changes on follow-up. Visual field MD was used to calculate the rate of visual field progression. Results: Progression was observed in 89 (80.9%, 9.7%/year) subjects (130 eyes). Progression occurred in 32 (31.7%, 3.8%/year) subjects by optic disc alone (46 eyes), 38 (44.7%, 5.4%/year) subjects by visual field alone (58 eyes), and 19 (25.0%, 3.0%/year) subjects by both modalities (26 eyes). The average rate of change in MD differed significantly between progressors (−1.02±1.06 dB/y) and nonprogressors (+0.089±0.49 dB/y), P=0.001. The rate of visual field worsening was greater among those who were classified as having progressed by both structure and function (−1.29±0.68 dB/y) and by function alone (−1.21±1.20 dB/y) than by structure alone (−0.55±0.76 dB/y). Progression was significantly associated with older age [odds ratio (OR), 1.42; P&lt;0.001] and higher baseline intraocular pressure (OR, 1.18; P=0.002). Factors associated with rate of MD change were baseline older age (OR, 1.66; P=0.003), higher intraocular pressure (OR, 2.81; P=0.007), better visual field MD (OR, 1.41; P=0.004), and systemic hypertension (OR, 1.15; P=0.029). Conclusion: The incidence and rate of visual field progression are high in this longitudinal study of Ghanaian subjects with glaucoma. The findings may have important clinical and public health policy ramifications.","author":[{"dropping-particle":"","family":"Mwanza","given":"Jean-Claude","non-dropping-particle":"","parse-names":false,"suffix":""},{"dropping-particle":"","family":"Tulenko","given":"Samantha E","non-dropping-particle":"","parse-names":false,"suffix":""},{"dropping-particle":"","family":"Budenz","given":"Donald L","non-dropping-particle":"","parse-names":false,"suffix":""},{"dropping-particle":"","family":"Herndon","given":"Leon W","non-dropping-particle":"","parse-names":false,"suffix":""},{"dropping-particle":"","family":"Hall","given":"Alyson","non-dropping-particle":"","parse-names":false,"suffix":""},{"dropping-particle":"","family":"Hay-Smith","given":"Graham","non-dropping-particle":"","parse-names":false,"suffix":""},{"dropping-particle":"","family":"Kim","given":"Hanna Y","non-dropping-particle":"","parse-names":false,"suffix":""},{"dropping-particle":"","family":"Mathenge","given":"Elizabeth","non-dropping-particle":"","parse-names":false,"suffix":""},{"dropping-particle":"","family":"Spratt","given":"Alexander","non-dropping-particle":"","parse-names":false,"suffix":""},{"dropping-particle":"","family":"Tanna","given":"Angelo P","non-dropping-particle":"","parse-names":false,"suffix":""},{"dropping-particle":"","family":"Barton","given":"Keith","non-dropping-particle":"","parse-names":false,"suffix":""}],"container-title":"Journal of Glaucoma","id":"ITEM-1","issue":"7","issued":{"date-parts":[["2022"]]},"title":"ncidence of Glaucoma Progression and Rate of Visual Field Deterioration in a Cohort of Urban GhanaiansI","type":"article-journal","volume":"31"},"uris":["http://www.mendeley.com/documents/?uuid=c60484ee-1b68-4569-b925-04bba33fe2b7"]}],"mendeley":{"formattedCitation":"(Mwanza &lt;i&gt;et al.&lt;/i&gt;, 2022)","manualFormatting":"Mwanza et al., 2022","plainTextFormattedCitation":"(Mwanza et al., 2022)","previouslyFormattedCitation":"(Mwanza &lt;i&gt;et al.&lt;/i&gt;, 2022)"},"properties":{"noteIndex":0},"schema":"https://github.com/citation-style-language/schema/raw/master/csl-citation.json"}</w:instrText>
      </w:r>
      <w:r w:rsidR="00C63B2B">
        <w:fldChar w:fldCharType="separate"/>
      </w:r>
      <w:r w:rsidR="00C63B2B" w:rsidRPr="00C63B2B">
        <w:rPr>
          <w:noProof/>
        </w:rPr>
        <w:t xml:space="preserve">Mwanza </w:t>
      </w:r>
      <w:r w:rsidR="00C63B2B" w:rsidRPr="00C63B2B">
        <w:rPr>
          <w:i/>
          <w:noProof/>
        </w:rPr>
        <w:t>et al.</w:t>
      </w:r>
      <w:r w:rsidR="00C63B2B" w:rsidRPr="00C63B2B">
        <w:rPr>
          <w:noProof/>
        </w:rPr>
        <w:t>, 2022</w:t>
      </w:r>
      <w:r w:rsidR="00C63B2B">
        <w:fldChar w:fldCharType="end"/>
      </w:r>
      <w:r w:rsidRPr="00877B56">
        <w:t>), was utilized</w:t>
      </w:r>
      <w:r w:rsidR="00A873A4">
        <w:t xml:space="preserve"> for data collection</w:t>
      </w:r>
      <w:r w:rsidR="005C3071">
        <w:t xml:space="preserve">. The sheet captured socio </w:t>
      </w:r>
      <w:r w:rsidRPr="00877B56">
        <w:t>demographic details, clinical profiles, and risk factors for POAG progression.</w:t>
      </w:r>
    </w:p>
    <w:p w14:paraId="0B8F11EF" w14:textId="7A26177A" w:rsidR="002320EC" w:rsidRPr="00877B56" w:rsidRDefault="00A873A4" w:rsidP="002320EC">
      <w:pPr>
        <w:pStyle w:val="NormalWeb"/>
        <w:rPr>
          <w:rStyle w:val="Strong"/>
          <w:b w:val="0"/>
          <w:bCs w:val="0"/>
        </w:rPr>
      </w:pPr>
      <w:r>
        <w:t xml:space="preserve">Visual Field Test </w:t>
      </w:r>
      <w:r w:rsidR="002320EC" w:rsidRPr="00877B56">
        <w:t>results were obtained from the Humphrey Visual Field Analyzer (Model: 740i S/N 7401-17434) at the KCMC Eye Clinic. This device has a high diagnostic accuracy, with 100% sensitivity and 94% specificity for glaucoma detection. It employs Software Guided Progression Analysis (GPA) for VFI slope analysis, which has 93% specificity in detecting glaucoma progression.</w:t>
      </w:r>
    </w:p>
    <w:p w14:paraId="0AAFC263" w14:textId="77777777" w:rsidR="002320EC" w:rsidRPr="00877B56" w:rsidRDefault="002320EC" w:rsidP="002320EC">
      <w:pPr>
        <w:pStyle w:val="Heading3"/>
        <w:spacing w:line="240" w:lineRule="auto"/>
      </w:pPr>
      <w:r w:rsidRPr="00A873A4">
        <w:rPr>
          <w:rStyle w:val="Strong"/>
          <w:b/>
        </w:rPr>
        <w:t>Data Collection Procedure:</w:t>
      </w:r>
      <w:r w:rsidRPr="00877B56">
        <w:t xml:space="preserve"> </w:t>
      </w:r>
      <w:r w:rsidRPr="00877B56">
        <w:rPr>
          <w:b w:val="0"/>
        </w:rPr>
        <w:t xml:space="preserve">A list of glaucoma patients attending KCMC during the study period was obtained from the hospital's electronic system. Medical records of patients aged 18 years and older were reviewed to identify newly diagnosed POAG cases. The initial reliable VFT results, conducted within three months of the first visit, were assessed for glaucomatous damage based on the </w:t>
      </w:r>
      <w:proofErr w:type="spellStart"/>
      <w:r w:rsidRPr="00877B56">
        <w:rPr>
          <w:b w:val="0"/>
        </w:rPr>
        <w:t>Hodapp</w:t>
      </w:r>
      <w:proofErr w:type="spellEnd"/>
      <w:r w:rsidRPr="00877B56">
        <w:rPr>
          <w:b w:val="0"/>
        </w:rPr>
        <w:t xml:space="preserve">, Parrish, and Anderson criteria. Recorded gonioscopy findings were used to determine the anterior chamber angle status, with Shaffer classification grades 3 and 4 indicating open-angle glaucoma. In cases without gonioscopy findings, the recorded Van </w:t>
      </w:r>
      <w:proofErr w:type="spellStart"/>
      <w:r w:rsidRPr="00877B56">
        <w:rPr>
          <w:b w:val="0"/>
        </w:rPr>
        <w:t>Herick</w:t>
      </w:r>
      <w:proofErr w:type="spellEnd"/>
      <w:r w:rsidRPr="00877B56">
        <w:rPr>
          <w:b w:val="0"/>
        </w:rPr>
        <w:t xml:space="preserve"> grade of anterior chamber status was applied, with grades 3 and 4 considered indicative of an open angle. Eligible patients were then enrolled in the study.</w:t>
      </w:r>
    </w:p>
    <w:p w14:paraId="13C10B29" w14:textId="4FFF44BE" w:rsidR="002320EC" w:rsidRPr="00877B56" w:rsidRDefault="002320EC" w:rsidP="002320EC">
      <w:pPr>
        <w:pStyle w:val="NormalWeb"/>
      </w:pPr>
      <w:r w:rsidRPr="00877B56">
        <w:rPr>
          <w:rStyle w:val="Strong"/>
        </w:rPr>
        <w:t>Study Variables</w:t>
      </w:r>
      <w:r w:rsidRPr="00877B56">
        <w:t xml:space="preserve"> The primary outcome variable was POAG progression, categorized dichotomously as either “Yes” (progression) or “No” (no progression). Progression was defined as an annual VFI deterioration of ≤ -1% per year, whereas patients with a VFI decline greater than -1% </w:t>
      </w:r>
      <w:r w:rsidR="00CD5258">
        <w:t xml:space="preserve">per year were classified as </w:t>
      </w:r>
      <w:proofErr w:type="spellStart"/>
      <w:r w:rsidR="00CD5258">
        <w:t xml:space="preserve">non </w:t>
      </w:r>
      <w:r w:rsidRPr="00877B56">
        <w:t>progressors</w:t>
      </w:r>
      <w:proofErr w:type="spellEnd"/>
      <w:r w:rsidRPr="00877B56">
        <w:t>.</w:t>
      </w:r>
    </w:p>
    <w:p w14:paraId="6FD5EA66" w14:textId="63045ADE" w:rsidR="002320EC" w:rsidRPr="00877B56" w:rsidRDefault="002320EC" w:rsidP="002320EC">
      <w:pPr>
        <w:pStyle w:val="NormalWeb"/>
      </w:pPr>
      <w:r w:rsidRPr="00877B56">
        <w:t>Indep</w:t>
      </w:r>
      <w:r w:rsidR="00CD5258">
        <w:t xml:space="preserve">endent variables included socio </w:t>
      </w:r>
      <w:r w:rsidRPr="00877B56">
        <w:t>demographic factors (age at diagnosis, gender, residence) and clinical characteristi</w:t>
      </w:r>
      <w:r w:rsidR="00CD5258">
        <w:t xml:space="preserve">cs such as POAG subtype (normal tension vs. high </w:t>
      </w:r>
      <w:r w:rsidRPr="00877B56">
        <w:t>tension), stage at presentation, mean intraocular pressure (IOP), refractive errors (myopia and hyperopia), number of follow-up visits, number of VFTs, stage at presentation based on mean deviation values, comorbidities (hypertension and diabetes), and treatment modalities (medication, laser, trabeculectomy).</w:t>
      </w:r>
    </w:p>
    <w:p w14:paraId="7C8E4855" w14:textId="77777777" w:rsidR="002320EC" w:rsidRPr="00877B56" w:rsidRDefault="002320EC" w:rsidP="002320EC">
      <w:pPr>
        <w:pStyle w:val="NormalWeb"/>
        <w:rPr>
          <w:rStyle w:val="Strong"/>
        </w:rPr>
      </w:pPr>
    </w:p>
    <w:p w14:paraId="7979D9B0" w14:textId="77777777" w:rsidR="002320EC" w:rsidRPr="00877B56" w:rsidRDefault="002320EC" w:rsidP="002320EC">
      <w:pPr>
        <w:pStyle w:val="NormalWeb"/>
      </w:pPr>
      <w:r w:rsidRPr="00877B56">
        <w:rPr>
          <w:rStyle w:val="Strong"/>
        </w:rPr>
        <w:t>Operational Definitions:</w:t>
      </w:r>
    </w:p>
    <w:p w14:paraId="52A13C08" w14:textId="77777777" w:rsidR="002320EC" w:rsidRPr="00877B56" w:rsidRDefault="002320EC" w:rsidP="002320EC">
      <w:pPr>
        <w:pStyle w:val="NormalWeb"/>
        <w:numPr>
          <w:ilvl w:val="0"/>
          <w:numId w:val="40"/>
        </w:numPr>
      </w:pPr>
      <w:r w:rsidRPr="00877B56">
        <w:rPr>
          <w:rStyle w:val="Strong"/>
        </w:rPr>
        <w:t>Significant POAG Progression:</w:t>
      </w:r>
      <w:r w:rsidRPr="00877B56">
        <w:t xml:space="preserve"> A VFI slope ≤ -1% per year.</w:t>
      </w:r>
    </w:p>
    <w:p w14:paraId="0E88EBEE" w14:textId="704EEA14" w:rsidR="002320EC" w:rsidRPr="00877B56" w:rsidRDefault="002320EC" w:rsidP="002320EC">
      <w:pPr>
        <w:pStyle w:val="NormalWeb"/>
        <w:numPr>
          <w:ilvl w:val="0"/>
          <w:numId w:val="40"/>
        </w:numPr>
      </w:pPr>
      <w:r w:rsidRPr="00877B56">
        <w:rPr>
          <w:rStyle w:val="Strong"/>
        </w:rPr>
        <w:t>Target IOP:</w:t>
      </w:r>
      <w:r w:rsidRPr="00877B56">
        <w:t xml:space="preserve"> Defined cut-off values were 15-17 mmHg for mild glaucoma (MD 0.01 - 6 dB), 12-15 mmHg for moderate glaucoma (MD 6.01 - 12 dB), and 10-12 mmHg for severe glaucoma (MD </w:t>
      </w:r>
      <w:r w:rsidR="00086E2E">
        <w:t xml:space="preserve">&lt; -12 dB) </w:t>
      </w:r>
      <w:r w:rsidR="00086E2E">
        <w:fldChar w:fldCharType="begin" w:fldLock="1"/>
      </w:r>
      <w:r w:rsidR="00C45B32">
        <w:instrText>ADDIN CSL_CITATION {"citationItems":[{"id":"ITEM-1","itemData":{"DOI":"10.4103/0301-4738.216734","ISSN":"1998-3689 (Electronic)","PMID":"29044061","abstract":"PURPOSE: To determine rate of change over time on scanning laser ophthalmoscopy,  HRT, compared to perimetry, and to determine incidence, parametric changes, and risk factors for progression in primary open angle glaucoma (POAG) and chronic primary angle closure angle glaucoma (CPACG) eyes. METHODS: Prospective clinical study of 116 POAG eyes and 129 CPACG eyes of different severities of glaucoma. Standard automated perimetry and optic nerve head topography were studied at baseline and thereafter every 6 months. Changes in HFA and HRT parameters, in response to IOP, were compared over at least 5 years. RESULTS: Fourteen POAG eyes (12.1%) and 20 CPACG eyes (15.5%) showed progression on SAP over time. Percentage drop of IOP was similar in eyes that progressed and in stable eyes. The change in MD in CPACG eyes was 1.8 dB/year on SAP and 1.36 dB/year in POAG eyes, P = 0.1. Twenty-nine eyes showed progression on HRT with 24 confirmed on SAP. Trend analysis picked up progression more frequently than other HRT parameters. Eyes that progressed in both groups, in all severities of glaucoma, had intermittent fluctuations of ≥ 4 mmHg over mean IOP on ≥3 follow up visits, P ≤ 0.001. CONCLUSION: IOP fluctuations of ≥ 4 mmHg over the mean IOP and duration of disease were associated with progression in POAG and CPACG eyes.","author":[{"dropping-particle":"","family":"Sihota","given":"Ramanjit","non-dropping-particle":"","parse-names":false,"suffix":""},{"dropping-particle":"","family":"Rao","given":"Aparna","non-dropping-particle":"","parse-names":false,"suffix":""},{"dropping-particle":"","family":"Srinivasan","given":"Geetha","non-dropping-particle":"","parse-names":false,"suffix":""},{"dropping-particle":"","family":"Gupta","given":"Viney","non-dropping-particle":"","parse-names":false,"suffix":""},{"dropping-particle":"","family":"Sharma","given":"Ajay","non-dropping-particle":"","parse-names":false,"suffix":""},{"dropping-particle":"","family":"Dada","given":"Tanuj","non-dropping-particle":"","parse-names":false,"suffix":""},{"dropping-particle":"","family":"Kalaiwani","given":"M","non-dropping-particle":"","parse-names":false,"suffix":""}],"container-title":"Indian journal of ophthalmology","id":"ITEM-1","issue":"10","issued":{"date-parts":[["2017","10"]]},"language":"eng","page":"963-968","publisher-place":"India","title":"Long-term scanning laser ophthalmoscopy and perimetry in different severities of  primary open and chronic angle closure glaucoma eyes.","type":"article-journal","volume":"65"},"uris":["http://www.mendeley.com/documents/?uuid=6f89fd46-dee0-46f9-90cd-86230890ea09"]}],"mendeley":{"formattedCitation":"(Sihota &lt;i&gt;et al.&lt;/i&gt;, 2017)","plainTextFormattedCitation":"(Sihota et al., 2017)","previouslyFormattedCitation":"(Sihota &lt;i&gt;et al.&lt;/i&gt;, 2017)"},"properties":{"noteIndex":0},"schema":"https://github.com/citation-style-language/schema/raw/master/csl-citation.json"}</w:instrText>
      </w:r>
      <w:r w:rsidR="00086E2E">
        <w:fldChar w:fldCharType="separate"/>
      </w:r>
      <w:r w:rsidR="00086E2E" w:rsidRPr="00086E2E">
        <w:rPr>
          <w:noProof/>
        </w:rPr>
        <w:t xml:space="preserve">(Sihota </w:t>
      </w:r>
      <w:r w:rsidR="00086E2E" w:rsidRPr="00086E2E">
        <w:rPr>
          <w:i/>
          <w:noProof/>
        </w:rPr>
        <w:t>et al.</w:t>
      </w:r>
      <w:r w:rsidR="00086E2E" w:rsidRPr="00086E2E">
        <w:rPr>
          <w:noProof/>
        </w:rPr>
        <w:t>, 2017)</w:t>
      </w:r>
      <w:r w:rsidR="00086E2E">
        <w:fldChar w:fldCharType="end"/>
      </w:r>
    </w:p>
    <w:p w14:paraId="35CFC7F4" w14:textId="77777777" w:rsidR="002320EC" w:rsidRPr="00877B56" w:rsidRDefault="002320EC" w:rsidP="002320EC">
      <w:pPr>
        <w:pStyle w:val="Heading3"/>
        <w:rPr>
          <w:rStyle w:val="Strong"/>
          <w:b/>
          <w:bCs w:val="0"/>
        </w:rPr>
      </w:pPr>
    </w:p>
    <w:p w14:paraId="7F36A1D8" w14:textId="77777777" w:rsidR="00FE5F24" w:rsidRDefault="00FE5F24" w:rsidP="002320EC">
      <w:pPr>
        <w:pStyle w:val="Heading3"/>
        <w:rPr>
          <w:rStyle w:val="Strong"/>
          <w:b/>
        </w:rPr>
      </w:pPr>
    </w:p>
    <w:p w14:paraId="6DEBE33D" w14:textId="77777777" w:rsidR="00FE5F24" w:rsidRDefault="00FE5F24" w:rsidP="002320EC">
      <w:pPr>
        <w:pStyle w:val="Heading3"/>
        <w:rPr>
          <w:rStyle w:val="Strong"/>
          <w:b/>
        </w:rPr>
      </w:pPr>
    </w:p>
    <w:p w14:paraId="0D797A19" w14:textId="77777777" w:rsidR="002320EC" w:rsidRPr="000D4E4D" w:rsidRDefault="002320EC" w:rsidP="002320EC">
      <w:pPr>
        <w:pStyle w:val="Heading3"/>
        <w:rPr>
          <w:b w:val="0"/>
        </w:rPr>
      </w:pPr>
      <w:r w:rsidRPr="000D4E4D">
        <w:rPr>
          <w:rStyle w:val="Strong"/>
          <w:b/>
        </w:rPr>
        <w:t>Data Management and Analysis</w:t>
      </w:r>
    </w:p>
    <w:p w14:paraId="084DC9F5" w14:textId="77777777" w:rsidR="002320EC" w:rsidRPr="00877B56" w:rsidRDefault="002320EC" w:rsidP="002320EC">
      <w:pPr>
        <w:pStyle w:val="NormalWeb"/>
      </w:pPr>
      <w:r w:rsidRPr="00877B56">
        <w:t xml:space="preserve">Data were </w:t>
      </w:r>
      <w:proofErr w:type="spellStart"/>
      <w:r w:rsidRPr="00877B56">
        <w:t>analyzed</w:t>
      </w:r>
      <w:proofErr w:type="spellEnd"/>
      <w:r w:rsidRPr="00877B56">
        <w:t xml:space="preserve"> using STATA version 17 (</w:t>
      </w:r>
      <w:proofErr w:type="spellStart"/>
      <w:r w:rsidRPr="00877B56">
        <w:t>StataCorp</w:t>
      </w:r>
      <w:proofErr w:type="spellEnd"/>
      <w:r w:rsidRPr="00877B56">
        <w:t xml:space="preserve"> LLC, College Station, Texas, USA). The dataset was cleaned, and descriptive statistics were performed, summarizing categorical variables with frequencies and percentages, and numeric variables with means and standard deviations (SD).</w:t>
      </w:r>
    </w:p>
    <w:p w14:paraId="2B496A50" w14:textId="201E0EF7" w:rsidR="002320EC" w:rsidRPr="00877B56" w:rsidRDefault="002320EC" w:rsidP="002320EC">
      <w:pPr>
        <w:pStyle w:val="NormalWeb"/>
      </w:pPr>
      <w:r w:rsidRPr="00877B56">
        <w:t>Survival analysis was performed using the “</w:t>
      </w:r>
      <w:proofErr w:type="spellStart"/>
      <w:r w:rsidRPr="00877B56">
        <w:t>stset</w:t>
      </w:r>
      <w:proofErr w:type="spellEnd"/>
      <w:r w:rsidRPr="00877B56">
        <w:t>” command to declare the d</w:t>
      </w:r>
      <w:r w:rsidR="001427CC">
        <w:t xml:space="preserve">ataset as survival data. Kaplan </w:t>
      </w:r>
      <w:r w:rsidRPr="00877B56">
        <w:t>Meier survival curves were used to estimate the probability of disease progression and compare progression across disease stages an</w:t>
      </w:r>
      <w:r w:rsidR="00CD5258">
        <w:t xml:space="preserve">d treatment modalities. The log </w:t>
      </w:r>
      <w:r w:rsidRPr="00877B56">
        <w:t>rank test assessed differences in progression times, with significance set at P-value &lt; 0.05.</w:t>
      </w:r>
    </w:p>
    <w:p w14:paraId="3A803C48" w14:textId="76A7834F" w:rsidR="002320EC" w:rsidRPr="00877B56" w:rsidRDefault="002320EC" w:rsidP="002320EC">
      <w:pPr>
        <w:pStyle w:val="NormalWeb"/>
      </w:pPr>
      <w:r w:rsidRPr="00877B56">
        <w:t>Cox regression analysis was performed to assess factors associated with POAG progression. Univariate analysis was done to obtain crude hazard ratios (CHR), followed by multivariable analysis to obtain adjusted hazard r</w:t>
      </w:r>
      <w:r w:rsidR="001427CC">
        <w:t xml:space="preserve">atios (AHR). Variables with a P </w:t>
      </w:r>
      <w:r w:rsidRPr="00877B56">
        <w:t>value of &lt; 0.05 were considered statistically significant</w:t>
      </w:r>
    </w:p>
    <w:p w14:paraId="5083E303" w14:textId="5E8BF405" w:rsidR="00FE5E86" w:rsidRPr="00FE5E86" w:rsidRDefault="00FE5E86" w:rsidP="00FE5E86">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FE5E86">
        <w:rPr>
          <w:rFonts w:ascii="Times New Roman" w:eastAsia="Times New Roman" w:hAnsi="Times New Roman" w:cs="Times New Roman"/>
          <w:b/>
          <w:bCs/>
          <w:sz w:val="24"/>
          <w:szCs w:val="24"/>
          <w:lang w:eastAsia="en-GB"/>
        </w:rPr>
        <w:t xml:space="preserve">Dissemination of Results Plan: </w:t>
      </w:r>
      <w:r w:rsidRPr="00FE5E86">
        <w:rPr>
          <w:rFonts w:ascii="Times New Roman" w:eastAsia="Times New Roman" w:hAnsi="Times New Roman" w:cs="Times New Roman"/>
          <w:sz w:val="24"/>
          <w:szCs w:val="24"/>
          <w:lang w:eastAsia="en-GB"/>
        </w:rPr>
        <w:t>The research findings will be disseminated to the Kilimanjaro Christian Medical University College (</w:t>
      </w:r>
      <w:proofErr w:type="spellStart"/>
      <w:r w:rsidRPr="00FE5E86">
        <w:rPr>
          <w:rFonts w:ascii="Times New Roman" w:eastAsia="Times New Roman" w:hAnsi="Times New Roman" w:cs="Times New Roman"/>
          <w:sz w:val="24"/>
          <w:szCs w:val="24"/>
          <w:lang w:eastAsia="en-GB"/>
        </w:rPr>
        <w:t>KCMUCo</w:t>
      </w:r>
      <w:proofErr w:type="spellEnd"/>
      <w:r w:rsidRPr="00FE5E86">
        <w:rPr>
          <w:rFonts w:ascii="Times New Roman" w:eastAsia="Times New Roman" w:hAnsi="Times New Roman" w:cs="Times New Roman"/>
          <w:sz w:val="24"/>
          <w:szCs w:val="24"/>
          <w:lang w:eastAsia="en-GB"/>
        </w:rPr>
        <w:t xml:space="preserve">) and the Department of Ophthalmology. A copy of the final report will be made available at the </w:t>
      </w:r>
      <w:proofErr w:type="spellStart"/>
      <w:r w:rsidRPr="00FE5E86">
        <w:rPr>
          <w:rFonts w:ascii="Times New Roman" w:eastAsia="Times New Roman" w:hAnsi="Times New Roman" w:cs="Times New Roman"/>
          <w:sz w:val="24"/>
          <w:szCs w:val="24"/>
          <w:lang w:eastAsia="en-GB"/>
        </w:rPr>
        <w:t>KCMUCo</w:t>
      </w:r>
      <w:proofErr w:type="spellEnd"/>
      <w:r w:rsidRPr="00FE5E86">
        <w:rPr>
          <w:rFonts w:ascii="Times New Roman" w:eastAsia="Times New Roman" w:hAnsi="Times New Roman" w:cs="Times New Roman"/>
          <w:sz w:val="24"/>
          <w:szCs w:val="24"/>
          <w:lang w:eastAsia="en-GB"/>
        </w:rPr>
        <w:t xml:space="preserve"> and Ophthalmology Department libraries for reference. In addition, the final manuscript will be subm</w:t>
      </w:r>
      <w:r w:rsidR="00CD5258">
        <w:rPr>
          <w:rFonts w:ascii="Times New Roman" w:eastAsia="Times New Roman" w:hAnsi="Times New Roman" w:cs="Times New Roman"/>
          <w:sz w:val="24"/>
          <w:szCs w:val="24"/>
          <w:lang w:eastAsia="en-GB"/>
        </w:rPr>
        <w:t xml:space="preserve">itted for publication in a peer </w:t>
      </w:r>
      <w:r w:rsidRPr="00FE5E86">
        <w:rPr>
          <w:rFonts w:ascii="Times New Roman" w:eastAsia="Times New Roman" w:hAnsi="Times New Roman" w:cs="Times New Roman"/>
          <w:sz w:val="24"/>
          <w:szCs w:val="24"/>
          <w:lang w:eastAsia="en-GB"/>
        </w:rPr>
        <w:t>reviewed medical journal to ensure broader dissemination within the scientific and medical community.</w:t>
      </w:r>
    </w:p>
    <w:p w14:paraId="6EA8C2A7" w14:textId="77777777" w:rsidR="002320EC" w:rsidRPr="00895BE3" w:rsidRDefault="002320EC" w:rsidP="002320EC">
      <w:pPr>
        <w:pStyle w:val="Heading1"/>
        <w:rPr>
          <w:rFonts w:asciiTheme="minorHAnsi" w:hAnsiTheme="minorHAnsi" w:cstheme="minorHAnsi"/>
          <w:color w:val="943634" w:themeColor="accent2" w:themeShade="BF"/>
        </w:rPr>
      </w:pPr>
    </w:p>
    <w:p w14:paraId="5B407554" w14:textId="77777777" w:rsidR="002320EC" w:rsidRDefault="002320EC" w:rsidP="002320EC">
      <w:pPr>
        <w:pStyle w:val="Heading2"/>
        <w:rPr>
          <w:rFonts w:asciiTheme="minorHAnsi" w:hAnsiTheme="minorHAnsi" w:cstheme="minorHAnsi"/>
          <w:b w:val="0"/>
          <w:lang w:eastAsia="en-GB"/>
        </w:rPr>
      </w:pPr>
      <w:bookmarkStart w:id="3" w:name="_Toc171879373"/>
      <w:bookmarkEnd w:id="2"/>
    </w:p>
    <w:p w14:paraId="52E210AD" w14:textId="77777777" w:rsidR="00FE5F24" w:rsidRDefault="00FE5F24" w:rsidP="00FE5F24">
      <w:pPr>
        <w:rPr>
          <w:lang w:eastAsia="en-GB"/>
        </w:rPr>
      </w:pPr>
    </w:p>
    <w:p w14:paraId="55040D1F" w14:textId="77777777" w:rsidR="007817F2" w:rsidRDefault="007817F2" w:rsidP="002320EC">
      <w:pPr>
        <w:pStyle w:val="Heading2"/>
      </w:pPr>
    </w:p>
    <w:p w14:paraId="177844A7" w14:textId="77777777" w:rsidR="002320EC" w:rsidRPr="00877B56" w:rsidRDefault="002320EC" w:rsidP="002320EC">
      <w:pPr>
        <w:pStyle w:val="Heading2"/>
      </w:pPr>
      <w:r w:rsidRPr="00877B56">
        <w:t>RESULTS</w:t>
      </w:r>
      <w:bookmarkStart w:id="4" w:name="_Toc140237959"/>
      <w:bookmarkStart w:id="5" w:name="_Toc140309427"/>
      <w:bookmarkStart w:id="6" w:name="_Toc140339302"/>
      <w:bookmarkEnd w:id="3"/>
    </w:p>
    <w:p w14:paraId="7BEE897D" w14:textId="77777777" w:rsidR="002320EC" w:rsidRPr="00877B56" w:rsidRDefault="002320EC" w:rsidP="002320EC">
      <w:pPr>
        <w:rPr>
          <w:rFonts w:ascii="Times New Roman" w:hAnsi="Times New Roman" w:cs="Times New Roman"/>
          <w:sz w:val="24"/>
          <w:szCs w:val="24"/>
        </w:rPr>
      </w:pPr>
      <w:r w:rsidRPr="00877B56">
        <w:rPr>
          <w:rFonts w:ascii="Times New Roman" w:hAnsi="Times New Roman" w:cs="Times New Roman"/>
          <w:sz w:val="24"/>
          <w:szCs w:val="24"/>
        </w:rPr>
        <w:lastRenderedPageBreak/>
        <w:t>Of the 8,942 glaucoma patients attended, 201 primary open-angle glaucoma patients (363 eyes) met the eligibility criteria for enrolment in the study. (Figure 1)</w:t>
      </w:r>
    </w:p>
    <w:p w14:paraId="091D83EA" w14:textId="77777777" w:rsidR="002320EC" w:rsidRDefault="002320EC" w:rsidP="002320EC">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noProof/>
          <w:sz w:val="24"/>
          <w:szCs w:val="24"/>
          <w:lang w:eastAsia="en-GB"/>
        </w:rPr>
        <w:drawing>
          <wp:inline distT="0" distB="0" distL="0" distR="0" wp14:anchorId="73D2BA8E" wp14:editId="764BD0B8">
            <wp:extent cx="4822915" cy="271288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2915" cy="2712888"/>
                    </a:xfrm>
                    <a:prstGeom prst="rect">
                      <a:avLst/>
                    </a:prstGeom>
                    <a:noFill/>
                  </pic:spPr>
                </pic:pic>
              </a:graphicData>
            </a:graphic>
          </wp:inline>
        </w:drawing>
      </w:r>
    </w:p>
    <w:p w14:paraId="4C5A5317" w14:textId="77777777" w:rsidR="002320EC" w:rsidRPr="008C62DD" w:rsidRDefault="002320EC" w:rsidP="002320EC">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                          </w:t>
      </w:r>
      <w:r w:rsidRPr="008C62DD">
        <w:rPr>
          <w:rFonts w:ascii="Times New Roman" w:eastAsia="Times New Roman" w:hAnsi="Times New Roman" w:cs="Times New Roman"/>
          <w:b/>
          <w:bCs/>
          <w:sz w:val="24"/>
          <w:szCs w:val="24"/>
          <w:lang w:eastAsia="en-GB"/>
        </w:rPr>
        <w:t xml:space="preserve">Figure 1: </w:t>
      </w:r>
      <w:r>
        <w:rPr>
          <w:rFonts w:ascii="Times New Roman" w:eastAsia="Times New Roman" w:hAnsi="Times New Roman" w:cs="Times New Roman"/>
          <w:sz w:val="24"/>
          <w:szCs w:val="24"/>
          <w:lang w:eastAsia="en-GB"/>
        </w:rPr>
        <w:t>Flowchart of patient</w:t>
      </w:r>
      <w:r w:rsidRPr="008C62DD">
        <w:rPr>
          <w:rFonts w:ascii="Times New Roman" w:eastAsia="Times New Roman" w:hAnsi="Times New Roman" w:cs="Times New Roman"/>
          <w:sz w:val="24"/>
          <w:szCs w:val="24"/>
          <w:lang w:eastAsia="en-GB"/>
        </w:rPr>
        <w:t xml:space="preserve"> selection process</w:t>
      </w:r>
    </w:p>
    <w:p w14:paraId="40328434" w14:textId="77777777" w:rsidR="002320EC" w:rsidRPr="00914B83" w:rsidRDefault="002320EC" w:rsidP="002320EC">
      <w:pPr>
        <w:tabs>
          <w:tab w:val="left" w:pos="3113"/>
          <w:tab w:val="left" w:pos="3829"/>
          <w:tab w:val="left" w:pos="3863"/>
        </w:tabs>
      </w:pPr>
      <w:bookmarkStart w:id="7" w:name="_Toc171879375"/>
    </w:p>
    <w:p w14:paraId="6D06997A" w14:textId="77777777" w:rsidR="002320EC" w:rsidRDefault="002320EC" w:rsidP="002320EC">
      <w:pPr>
        <w:pStyle w:val="Heading2"/>
        <w:spacing w:line="240" w:lineRule="auto"/>
      </w:pPr>
      <w:r w:rsidRPr="005426A3">
        <w:t>Demographic and clinical characteristics</w:t>
      </w:r>
      <w:bookmarkEnd w:id="4"/>
      <w:bookmarkEnd w:id="5"/>
      <w:bookmarkEnd w:id="6"/>
      <w:bookmarkEnd w:id="7"/>
      <w:r>
        <w:t xml:space="preserve"> </w:t>
      </w:r>
    </w:p>
    <w:p w14:paraId="313ACE50" w14:textId="35C8E09B" w:rsidR="002320EC" w:rsidRDefault="002320EC" w:rsidP="002320EC">
      <w:pPr>
        <w:rPr>
          <w:rFonts w:ascii="Times New Roman" w:hAnsi="Times New Roman" w:cs="Times New Roman"/>
          <w:sz w:val="24"/>
          <w:szCs w:val="24"/>
        </w:rPr>
      </w:pPr>
      <w:r w:rsidRPr="005765A4">
        <w:rPr>
          <w:rFonts w:ascii="Times New Roman" w:hAnsi="Times New Roman" w:cs="Times New Roman"/>
          <w:sz w:val="24"/>
          <w:szCs w:val="24"/>
        </w:rPr>
        <w:t>The median age at diagnosis was 64 years (IQR: 57-71), with a slight male predomin</w:t>
      </w:r>
      <w:r w:rsidR="007131D1">
        <w:rPr>
          <w:rFonts w:ascii="Times New Roman" w:hAnsi="Times New Roman" w:cs="Times New Roman"/>
          <w:sz w:val="24"/>
          <w:szCs w:val="24"/>
        </w:rPr>
        <w:t xml:space="preserve">ance (55.2%). The median follow </w:t>
      </w:r>
      <w:r w:rsidRPr="005765A4">
        <w:rPr>
          <w:rFonts w:ascii="Times New Roman" w:hAnsi="Times New Roman" w:cs="Times New Roman"/>
          <w:sz w:val="24"/>
          <w:szCs w:val="24"/>
        </w:rPr>
        <w:t>up period was 6 years (IQR: 5-8). Systemic comorbidities (hypertension or diabetes mellitus) were present</w:t>
      </w:r>
      <w:r w:rsidR="007131D1">
        <w:rPr>
          <w:rFonts w:ascii="Times New Roman" w:hAnsi="Times New Roman" w:cs="Times New Roman"/>
          <w:sz w:val="24"/>
          <w:szCs w:val="24"/>
        </w:rPr>
        <w:t xml:space="preserve"> in 37.8% of participants. High </w:t>
      </w:r>
      <w:r w:rsidRPr="005765A4">
        <w:rPr>
          <w:rFonts w:ascii="Times New Roman" w:hAnsi="Times New Roman" w:cs="Times New Roman"/>
          <w:sz w:val="24"/>
          <w:szCs w:val="24"/>
        </w:rPr>
        <w:t>tension POAG accounted for 86.1% of cases, and the most common presenting complaint</w:t>
      </w:r>
      <w:r w:rsidR="00B063B9">
        <w:rPr>
          <w:rFonts w:ascii="Times New Roman" w:hAnsi="Times New Roman" w:cs="Times New Roman"/>
          <w:sz w:val="24"/>
          <w:szCs w:val="24"/>
        </w:rPr>
        <w:t xml:space="preserve"> was poor vision (83.1%) (Table </w:t>
      </w:r>
      <w:r w:rsidRPr="005765A4">
        <w:rPr>
          <w:rFonts w:ascii="Times New Roman" w:hAnsi="Times New Roman" w:cs="Times New Roman"/>
          <w:sz w:val="24"/>
          <w:szCs w:val="24"/>
        </w:rPr>
        <w:t xml:space="preserve">1). </w:t>
      </w:r>
    </w:p>
    <w:p w14:paraId="3809A99B" w14:textId="19CCA668" w:rsidR="002320EC" w:rsidRPr="005765A4" w:rsidRDefault="002320EC" w:rsidP="002320EC">
      <w:pPr>
        <w:rPr>
          <w:rFonts w:ascii="Times New Roman" w:hAnsi="Times New Roman" w:cs="Times New Roman"/>
          <w:sz w:val="24"/>
          <w:szCs w:val="24"/>
        </w:rPr>
      </w:pPr>
      <w:r w:rsidRPr="005765A4">
        <w:rPr>
          <w:rFonts w:ascii="Times New Roman" w:hAnsi="Times New Roman" w:cs="Times New Roman"/>
          <w:sz w:val="24"/>
          <w:szCs w:val="24"/>
        </w:rPr>
        <w:t>Refractive errors were observed in 34.2% of eyes, with myopia being the most p</w:t>
      </w:r>
      <w:r w:rsidR="00CD5258">
        <w:rPr>
          <w:rFonts w:ascii="Times New Roman" w:hAnsi="Times New Roman" w:cs="Times New Roman"/>
          <w:sz w:val="24"/>
          <w:szCs w:val="24"/>
        </w:rPr>
        <w:t xml:space="preserve">revalent (73.4%). During follow </w:t>
      </w:r>
      <w:r w:rsidRPr="005765A4">
        <w:rPr>
          <w:rFonts w:ascii="Times New Roman" w:hAnsi="Times New Roman" w:cs="Times New Roman"/>
          <w:sz w:val="24"/>
          <w:szCs w:val="24"/>
        </w:rPr>
        <w:t>up, treatment included medication alone (38%), laser treatment (36.6%), surgery alone (18.5%), and combined laser and surgery (6.9%).</w:t>
      </w:r>
    </w:p>
    <w:p w14:paraId="65BC7147" w14:textId="77777777" w:rsidR="002320EC" w:rsidRDefault="002320EC" w:rsidP="002320EC">
      <w:pPr>
        <w:spacing w:before="100" w:beforeAutospacing="1" w:after="100" w:afterAutospacing="1" w:line="240" w:lineRule="auto"/>
        <w:rPr>
          <w:rFonts w:cstheme="minorHAnsi"/>
          <w:b/>
          <w:sz w:val="24"/>
          <w:szCs w:val="24"/>
        </w:rPr>
      </w:pPr>
      <w:bookmarkStart w:id="8" w:name="_Toc171879311"/>
    </w:p>
    <w:p w14:paraId="0952A60F" w14:textId="77777777" w:rsidR="002320EC" w:rsidRDefault="002320EC" w:rsidP="007817F2">
      <w:pPr>
        <w:spacing w:before="100" w:beforeAutospacing="1" w:after="100" w:afterAutospacing="1" w:line="240" w:lineRule="auto"/>
        <w:rPr>
          <w:rFonts w:cstheme="minorHAnsi"/>
          <w:b/>
          <w:sz w:val="24"/>
          <w:szCs w:val="24"/>
        </w:rPr>
      </w:pPr>
    </w:p>
    <w:p w14:paraId="42B94B31" w14:textId="77777777" w:rsidR="007817F2" w:rsidRDefault="007817F2" w:rsidP="007817F2">
      <w:pPr>
        <w:spacing w:before="100" w:beforeAutospacing="1" w:after="100" w:afterAutospacing="1" w:line="240" w:lineRule="auto"/>
        <w:rPr>
          <w:rFonts w:cstheme="minorHAnsi"/>
          <w:b/>
          <w:sz w:val="24"/>
          <w:szCs w:val="24"/>
        </w:rPr>
      </w:pPr>
    </w:p>
    <w:p w14:paraId="5986640D" w14:textId="77777777" w:rsidR="007817F2" w:rsidRDefault="007817F2" w:rsidP="007817F2">
      <w:pPr>
        <w:spacing w:before="100" w:beforeAutospacing="1" w:after="100" w:afterAutospacing="1" w:line="240" w:lineRule="auto"/>
        <w:rPr>
          <w:rFonts w:cstheme="minorHAnsi"/>
          <w:b/>
          <w:sz w:val="24"/>
          <w:szCs w:val="24"/>
        </w:rPr>
      </w:pPr>
    </w:p>
    <w:p w14:paraId="13B92AFB" w14:textId="77777777" w:rsidR="007817F2" w:rsidRDefault="007817F2" w:rsidP="007817F2">
      <w:pPr>
        <w:spacing w:before="100" w:beforeAutospacing="1" w:after="100" w:afterAutospacing="1" w:line="240" w:lineRule="auto"/>
        <w:rPr>
          <w:rFonts w:cstheme="minorHAnsi"/>
          <w:b/>
          <w:sz w:val="24"/>
          <w:szCs w:val="24"/>
        </w:rPr>
      </w:pPr>
    </w:p>
    <w:p w14:paraId="41B29402" w14:textId="77777777" w:rsidR="007817F2" w:rsidRDefault="007817F2" w:rsidP="007817F2">
      <w:pPr>
        <w:spacing w:before="100" w:beforeAutospacing="1" w:after="100" w:afterAutospacing="1" w:line="240" w:lineRule="auto"/>
        <w:rPr>
          <w:rFonts w:cstheme="minorHAnsi"/>
          <w:b/>
          <w:sz w:val="24"/>
          <w:szCs w:val="24"/>
        </w:rPr>
      </w:pPr>
    </w:p>
    <w:p w14:paraId="7AE4ECBC" w14:textId="77777777" w:rsidR="007817F2" w:rsidRDefault="007817F2" w:rsidP="007817F2">
      <w:pPr>
        <w:spacing w:before="100" w:beforeAutospacing="1" w:after="100" w:afterAutospacing="1" w:line="240" w:lineRule="auto"/>
        <w:rPr>
          <w:rFonts w:cstheme="minorHAnsi"/>
          <w:b/>
          <w:sz w:val="24"/>
          <w:szCs w:val="24"/>
        </w:rPr>
      </w:pPr>
    </w:p>
    <w:p w14:paraId="3B5AEA99" w14:textId="77777777" w:rsidR="002320EC" w:rsidRPr="00877B56" w:rsidRDefault="002320EC" w:rsidP="002320EC">
      <w:pPr>
        <w:spacing w:before="100" w:beforeAutospacing="1" w:after="100" w:afterAutospacing="1" w:line="240" w:lineRule="auto"/>
        <w:rPr>
          <w:rFonts w:ascii="Times New Roman" w:eastAsia="Times New Roman" w:hAnsi="Times New Roman" w:cs="Times New Roman"/>
          <w:b/>
          <w:sz w:val="24"/>
          <w:szCs w:val="24"/>
          <w:lang w:eastAsia="en-GB"/>
        </w:rPr>
      </w:pPr>
      <w:r w:rsidRPr="00877B56">
        <w:rPr>
          <w:rFonts w:ascii="Times New Roman" w:hAnsi="Times New Roman" w:cs="Times New Roman"/>
          <w:b/>
          <w:sz w:val="24"/>
          <w:szCs w:val="24"/>
        </w:rPr>
        <w:t xml:space="preserve">Table </w:t>
      </w:r>
      <w:r w:rsidRPr="00877B56">
        <w:rPr>
          <w:rFonts w:ascii="Times New Roman" w:hAnsi="Times New Roman" w:cs="Times New Roman"/>
          <w:b/>
          <w:sz w:val="24"/>
          <w:szCs w:val="24"/>
        </w:rPr>
        <w:fldChar w:fldCharType="begin"/>
      </w:r>
      <w:r w:rsidRPr="00877B56">
        <w:rPr>
          <w:rFonts w:ascii="Times New Roman" w:hAnsi="Times New Roman" w:cs="Times New Roman"/>
          <w:b/>
          <w:sz w:val="24"/>
          <w:szCs w:val="24"/>
        </w:rPr>
        <w:instrText xml:space="preserve"> SEQ Table \* ARABIC </w:instrText>
      </w:r>
      <w:r w:rsidRPr="00877B56">
        <w:rPr>
          <w:rFonts w:ascii="Times New Roman" w:hAnsi="Times New Roman" w:cs="Times New Roman"/>
          <w:b/>
          <w:sz w:val="24"/>
          <w:szCs w:val="24"/>
        </w:rPr>
        <w:fldChar w:fldCharType="separate"/>
      </w:r>
      <w:r w:rsidRPr="00877B56">
        <w:rPr>
          <w:rFonts w:ascii="Times New Roman" w:hAnsi="Times New Roman" w:cs="Times New Roman"/>
          <w:b/>
          <w:noProof/>
          <w:sz w:val="24"/>
          <w:szCs w:val="24"/>
        </w:rPr>
        <w:t>1</w:t>
      </w:r>
      <w:r w:rsidRPr="00877B56">
        <w:rPr>
          <w:rFonts w:ascii="Times New Roman" w:hAnsi="Times New Roman" w:cs="Times New Roman"/>
          <w:b/>
          <w:noProof/>
          <w:sz w:val="24"/>
          <w:szCs w:val="24"/>
        </w:rPr>
        <w:fldChar w:fldCharType="end"/>
      </w:r>
      <w:r w:rsidRPr="00877B56">
        <w:rPr>
          <w:rFonts w:ascii="Times New Roman" w:hAnsi="Times New Roman" w:cs="Times New Roman"/>
          <w:b/>
          <w:sz w:val="24"/>
          <w:szCs w:val="24"/>
        </w:rPr>
        <w:t xml:space="preserve"> : Participants demographics and clinical characteristics (N=201)</w:t>
      </w:r>
      <w:bookmarkEnd w:id="8"/>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772"/>
        <w:gridCol w:w="2693"/>
        <w:gridCol w:w="2691"/>
      </w:tblGrid>
      <w:tr w:rsidR="002320EC" w:rsidRPr="00877B56" w14:paraId="35FB7DBC" w14:textId="77777777" w:rsidTr="00C84E08">
        <w:trPr>
          <w:jc w:val="center"/>
        </w:trPr>
        <w:tc>
          <w:tcPr>
            <w:tcW w:w="3087" w:type="dxa"/>
            <w:tcBorders>
              <w:top w:val="single" w:sz="12" w:space="0" w:color="auto"/>
              <w:bottom w:val="single" w:sz="12" w:space="0" w:color="auto"/>
            </w:tcBorders>
          </w:tcPr>
          <w:p w14:paraId="29E6C4A1" w14:textId="77777777" w:rsidR="002320EC" w:rsidRPr="00877B56" w:rsidRDefault="002320EC" w:rsidP="00C84E08">
            <w:pPr>
              <w:jc w:val="both"/>
              <w:rPr>
                <w:rFonts w:ascii="Times New Roman" w:hAnsi="Times New Roman" w:cs="Times New Roman"/>
                <w:b/>
                <w:bCs/>
              </w:rPr>
            </w:pPr>
            <w:r w:rsidRPr="00877B56">
              <w:rPr>
                <w:rFonts w:ascii="Times New Roman" w:hAnsi="Times New Roman" w:cs="Times New Roman"/>
                <w:b/>
                <w:bCs/>
              </w:rPr>
              <w:lastRenderedPageBreak/>
              <w:t>Variable</w:t>
            </w:r>
          </w:p>
        </w:tc>
        <w:tc>
          <w:tcPr>
            <w:tcW w:w="3465" w:type="dxa"/>
            <w:gridSpan w:val="2"/>
            <w:tcBorders>
              <w:top w:val="single" w:sz="12" w:space="0" w:color="auto"/>
              <w:bottom w:val="single" w:sz="12" w:space="0" w:color="auto"/>
            </w:tcBorders>
          </w:tcPr>
          <w:p w14:paraId="15120E30" w14:textId="77777777" w:rsidR="002320EC" w:rsidRPr="00877B56" w:rsidRDefault="002320EC" w:rsidP="00C84E08">
            <w:pPr>
              <w:jc w:val="center"/>
              <w:rPr>
                <w:rFonts w:ascii="Times New Roman" w:hAnsi="Times New Roman" w:cs="Times New Roman"/>
                <w:b/>
                <w:bCs/>
              </w:rPr>
            </w:pPr>
            <w:r w:rsidRPr="00877B56">
              <w:rPr>
                <w:rFonts w:ascii="Times New Roman" w:hAnsi="Times New Roman" w:cs="Times New Roman"/>
                <w:b/>
                <w:bCs/>
              </w:rPr>
              <w:t xml:space="preserve">            Frequency (n)</w:t>
            </w:r>
          </w:p>
        </w:tc>
        <w:tc>
          <w:tcPr>
            <w:tcW w:w="2691" w:type="dxa"/>
            <w:tcBorders>
              <w:top w:val="single" w:sz="12" w:space="0" w:color="auto"/>
              <w:bottom w:val="single" w:sz="12" w:space="0" w:color="auto"/>
            </w:tcBorders>
          </w:tcPr>
          <w:p w14:paraId="70B6F5AA" w14:textId="77777777" w:rsidR="002320EC" w:rsidRPr="00877B56" w:rsidRDefault="002320EC" w:rsidP="00C84E08">
            <w:pPr>
              <w:jc w:val="center"/>
              <w:rPr>
                <w:rFonts w:ascii="Times New Roman" w:hAnsi="Times New Roman" w:cs="Times New Roman"/>
                <w:b/>
                <w:bCs/>
              </w:rPr>
            </w:pPr>
            <w:r w:rsidRPr="00877B56">
              <w:rPr>
                <w:rFonts w:ascii="Times New Roman" w:hAnsi="Times New Roman" w:cs="Times New Roman"/>
                <w:b/>
                <w:bCs/>
              </w:rPr>
              <w:t>Percentage (%)</w:t>
            </w:r>
          </w:p>
        </w:tc>
      </w:tr>
      <w:tr w:rsidR="002320EC" w:rsidRPr="00877B56" w14:paraId="401BCC30" w14:textId="77777777" w:rsidTr="00C84E08">
        <w:trPr>
          <w:jc w:val="center"/>
        </w:trPr>
        <w:tc>
          <w:tcPr>
            <w:tcW w:w="3859" w:type="dxa"/>
            <w:gridSpan w:val="2"/>
            <w:tcBorders>
              <w:top w:val="single" w:sz="12" w:space="0" w:color="auto"/>
              <w:left w:val="nil"/>
              <w:bottom w:val="nil"/>
              <w:right w:val="nil"/>
            </w:tcBorders>
          </w:tcPr>
          <w:p w14:paraId="0C135C42" w14:textId="77777777" w:rsidR="002320EC" w:rsidRPr="00877B56" w:rsidRDefault="002320EC" w:rsidP="00C84E08">
            <w:pPr>
              <w:jc w:val="both"/>
              <w:rPr>
                <w:rFonts w:ascii="Times New Roman" w:hAnsi="Times New Roman" w:cs="Times New Roman"/>
                <w:b/>
                <w:bCs/>
              </w:rPr>
            </w:pPr>
            <w:r w:rsidRPr="00877B56">
              <w:rPr>
                <w:rFonts w:ascii="Times New Roman" w:hAnsi="Times New Roman" w:cs="Times New Roman"/>
                <w:b/>
                <w:bCs/>
              </w:rPr>
              <w:t>Age (</w:t>
            </w:r>
            <w:r w:rsidRPr="00877B56">
              <w:rPr>
                <w:rFonts w:ascii="Times New Roman" w:hAnsi="Times New Roman" w:cs="Times New Roman"/>
                <w:bCs/>
              </w:rPr>
              <w:t>years,</w:t>
            </w:r>
            <w:r w:rsidRPr="00877B56">
              <w:rPr>
                <w:rFonts w:ascii="Times New Roman" w:hAnsi="Times New Roman" w:cs="Times New Roman"/>
                <w:b/>
                <w:bCs/>
              </w:rPr>
              <w:t xml:space="preserve"> </w:t>
            </w:r>
            <w:r w:rsidRPr="00877B56">
              <w:rPr>
                <w:rFonts w:ascii="Times New Roman" w:hAnsi="Times New Roman" w:cs="Times New Roman"/>
              </w:rPr>
              <w:t>Median IQR*: 64 (57,71))</w:t>
            </w:r>
          </w:p>
        </w:tc>
        <w:tc>
          <w:tcPr>
            <w:tcW w:w="2693" w:type="dxa"/>
            <w:tcBorders>
              <w:top w:val="single" w:sz="12" w:space="0" w:color="auto"/>
              <w:left w:val="nil"/>
              <w:bottom w:val="nil"/>
              <w:right w:val="nil"/>
            </w:tcBorders>
          </w:tcPr>
          <w:p w14:paraId="5DC703FA" w14:textId="77777777" w:rsidR="002320EC" w:rsidRPr="00877B56" w:rsidRDefault="002320EC" w:rsidP="00C84E08">
            <w:pPr>
              <w:jc w:val="center"/>
              <w:rPr>
                <w:rFonts w:ascii="Times New Roman" w:hAnsi="Times New Roman" w:cs="Times New Roman"/>
              </w:rPr>
            </w:pPr>
          </w:p>
        </w:tc>
        <w:tc>
          <w:tcPr>
            <w:tcW w:w="2691" w:type="dxa"/>
            <w:tcBorders>
              <w:top w:val="single" w:sz="12" w:space="0" w:color="auto"/>
              <w:left w:val="nil"/>
              <w:bottom w:val="nil"/>
              <w:right w:val="nil"/>
            </w:tcBorders>
          </w:tcPr>
          <w:p w14:paraId="36F069E8" w14:textId="77777777" w:rsidR="002320EC" w:rsidRPr="00877B56" w:rsidRDefault="002320EC" w:rsidP="00C84E08">
            <w:pPr>
              <w:jc w:val="center"/>
              <w:rPr>
                <w:rFonts w:ascii="Times New Roman" w:hAnsi="Times New Roman" w:cs="Times New Roman"/>
              </w:rPr>
            </w:pPr>
          </w:p>
        </w:tc>
      </w:tr>
      <w:tr w:rsidR="002320EC" w:rsidRPr="00877B56" w14:paraId="1FE5DFBB" w14:textId="77777777" w:rsidTr="00C84E08">
        <w:trPr>
          <w:jc w:val="center"/>
        </w:trPr>
        <w:tc>
          <w:tcPr>
            <w:tcW w:w="3859" w:type="dxa"/>
            <w:gridSpan w:val="2"/>
            <w:tcBorders>
              <w:top w:val="nil"/>
              <w:left w:val="nil"/>
              <w:bottom w:val="nil"/>
              <w:right w:val="nil"/>
            </w:tcBorders>
          </w:tcPr>
          <w:p w14:paraId="05751E4A" w14:textId="77777777" w:rsidR="002320EC" w:rsidRPr="00877B56" w:rsidRDefault="002320EC" w:rsidP="00C84E08">
            <w:pPr>
              <w:ind w:left="284"/>
              <w:jc w:val="both"/>
              <w:rPr>
                <w:rFonts w:ascii="Times New Roman" w:hAnsi="Times New Roman" w:cs="Times New Roman"/>
              </w:rPr>
            </w:pPr>
            <w:r w:rsidRPr="00877B56">
              <w:rPr>
                <w:rFonts w:ascii="Times New Roman" w:hAnsi="Times New Roman" w:cs="Times New Roman"/>
              </w:rPr>
              <w:t>&lt;60</w:t>
            </w:r>
          </w:p>
        </w:tc>
        <w:tc>
          <w:tcPr>
            <w:tcW w:w="2693" w:type="dxa"/>
            <w:tcBorders>
              <w:top w:val="nil"/>
              <w:left w:val="nil"/>
              <w:bottom w:val="nil"/>
              <w:right w:val="nil"/>
            </w:tcBorders>
          </w:tcPr>
          <w:p w14:paraId="7917AFFB"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33</w:t>
            </w:r>
          </w:p>
        </w:tc>
        <w:tc>
          <w:tcPr>
            <w:tcW w:w="2691" w:type="dxa"/>
            <w:tcBorders>
              <w:top w:val="nil"/>
              <w:left w:val="nil"/>
              <w:bottom w:val="nil"/>
              <w:right w:val="nil"/>
            </w:tcBorders>
          </w:tcPr>
          <w:p w14:paraId="1CC72BBE"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16.4</w:t>
            </w:r>
          </w:p>
        </w:tc>
      </w:tr>
      <w:tr w:rsidR="002320EC" w:rsidRPr="00877B56" w14:paraId="4D7317D3" w14:textId="77777777" w:rsidTr="00C84E08">
        <w:trPr>
          <w:jc w:val="center"/>
        </w:trPr>
        <w:tc>
          <w:tcPr>
            <w:tcW w:w="3859" w:type="dxa"/>
            <w:gridSpan w:val="2"/>
            <w:tcBorders>
              <w:top w:val="nil"/>
              <w:left w:val="nil"/>
              <w:bottom w:val="nil"/>
              <w:right w:val="nil"/>
            </w:tcBorders>
          </w:tcPr>
          <w:p w14:paraId="50C4DC41" w14:textId="77777777" w:rsidR="002320EC" w:rsidRPr="00877B56" w:rsidRDefault="002320EC" w:rsidP="00C84E08">
            <w:pPr>
              <w:ind w:left="284"/>
              <w:jc w:val="both"/>
              <w:rPr>
                <w:rFonts w:ascii="Times New Roman" w:hAnsi="Times New Roman" w:cs="Times New Roman"/>
              </w:rPr>
            </w:pPr>
            <w:r w:rsidRPr="00877B56">
              <w:rPr>
                <w:rFonts w:ascii="Times New Roman" w:hAnsi="Times New Roman" w:cs="Times New Roman"/>
              </w:rPr>
              <w:t>60-80</w:t>
            </w:r>
          </w:p>
        </w:tc>
        <w:tc>
          <w:tcPr>
            <w:tcW w:w="2693" w:type="dxa"/>
            <w:tcBorders>
              <w:top w:val="nil"/>
              <w:left w:val="nil"/>
              <w:bottom w:val="nil"/>
              <w:right w:val="nil"/>
            </w:tcBorders>
          </w:tcPr>
          <w:p w14:paraId="2B4282DB"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143</w:t>
            </w:r>
          </w:p>
        </w:tc>
        <w:tc>
          <w:tcPr>
            <w:tcW w:w="2691" w:type="dxa"/>
            <w:tcBorders>
              <w:top w:val="nil"/>
              <w:left w:val="nil"/>
              <w:bottom w:val="nil"/>
              <w:right w:val="nil"/>
            </w:tcBorders>
          </w:tcPr>
          <w:p w14:paraId="31A2CBD9"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71.2</w:t>
            </w:r>
          </w:p>
        </w:tc>
      </w:tr>
      <w:tr w:rsidR="002320EC" w:rsidRPr="00877B56" w14:paraId="52BE1D56" w14:textId="77777777" w:rsidTr="00C84E08">
        <w:trPr>
          <w:jc w:val="center"/>
        </w:trPr>
        <w:tc>
          <w:tcPr>
            <w:tcW w:w="3859" w:type="dxa"/>
            <w:gridSpan w:val="2"/>
            <w:tcBorders>
              <w:top w:val="nil"/>
              <w:left w:val="nil"/>
              <w:bottom w:val="nil"/>
              <w:right w:val="nil"/>
            </w:tcBorders>
          </w:tcPr>
          <w:p w14:paraId="5365EB3E" w14:textId="77777777" w:rsidR="002320EC" w:rsidRPr="00877B56" w:rsidRDefault="002320EC" w:rsidP="00C84E08">
            <w:pPr>
              <w:ind w:left="284"/>
              <w:jc w:val="both"/>
              <w:rPr>
                <w:rFonts w:ascii="Times New Roman" w:hAnsi="Times New Roman" w:cs="Times New Roman"/>
              </w:rPr>
            </w:pPr>
            <w:r w:rsidRPr="00877B56">
              <w:rPr>
                <w:rFonts w:ascii="Times New Roman" w:hAnsi="Times New Roman" w:cs="Times New Roman"/>
              </w:rPr>
              <w:t>&gt;80</w:t>
            </w:r>
          </w:p>
        </w:tc>
        <w:tc>
          <w:tcPr>
            <w:tcW w:w="2693" w:type="dxa"/>
            <w:tcBorders>
              <w:top w:val="nil"/>
              <w:left w:val="nil"/>
              <w:bottom w:val="nil"/>
              <w:right w:val="nil"/>
            </w:tcBorders>
          </w:tcPr>
          <w:p w14:paraId="07FE9174"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25</w:t>
            </w:r>
          </w:p>
        </w:tc>
        <w:tc>
          <w:tcPr>
            <w:tcW w:w="2691" w:type="dxa"/>
            <w:tcBorders>
              <w:top w:val="nil"/>
              <w:left w:val="nil"/>
              <w:bottom w:val="nil"/>
              <w:right w:val="nil"/>
            </w:tcBorders>
          </w:tcPr>
          <w:p w14:paraId="4C1EC025"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12.4</w:t>
            </w:r>
          </w:p>
        </w:tc>
      </w:tr>
      <w:tr w:rsidR="002320EC" w:rsidRPr="00877B56" w14:paraId="7CF7895D" w14:textId="77777777" w:rsidTr="00C84E08">
        <w:trPr>
          <w:jc w:val="center"/>
        </w:trPr>
        <w:tc>
          <w:tcPr>
            <w:tcW w:w="3859" w:type="dxa"/>
            <w:gridSpan w:val="2"/>
            <w:tcBorders>
              <w:top w:val="nil"/>
              <w:left w:val="nil"/>
              <w:bottom w:val="nil"/>
              <w:right w:val="nil"/>
            </w:tcBorders>
          </w:tcPr>
          <w:p w14:paraId="62785A89" w14:textId="77777777" w:rsidR="002320EC" w:rsidRPr="00877B56" w:rsidRDefault="002320EC" w:rsidP="00C84E08">
            <w:pPr>
              <w:jc w:val="both"/>
              <w:rPr>
                <w:rFonts w:ascii="Times New Roman" w:hAnsi="Times New Roman" w:cs="Times New Roman"/>
                <w:b/>
                <w:bCs/>
              </w:rPr>
            </w:pPr>
            <w:r w:rsidRPr="00877B56">
              <w:rPr>
                <w:rFonts w:ascii="Times New Roman" w:hAnsi="Times New Roman" w:cs="Times New Roman"/>
                <w:b/>
                <w:bCs/>
              </w:rPr>
              <w:t>Sex</w:t>
            </w:r>
          </w:p>
        </w:tc>
        <w:tc>
          <w:tcPr>
            <w:tcW w:w="2693" w:type="dxa"/>
            <w:tcBorders>
              <w:top w:val="nil"/>
              <w:left w:val="nil"/>
              <w:bottom w:val="nil"/>
              <w:right w:val="nil"/>
            </w:tcBorders>
          </w:tcPr>
          <w:p w14:paraId="3E3621FF" w14:textId="77777777" w:rsidR="002320EC" w:rsidRPr="00877B56" w:rsidRDefault="002320EC" w:rsidP="00C84E08">
            <w:pPr>
              <w:jc w:val="center"/>
              <w:rPr>
                <w:rFonts w:ascii="Times New Roman" w:hAnsi="Times New Roman" w:cs="Times New Roman"/>
              </w:rPr>
            </w:pPr>
          </w:p>
        </w:tc>
        <w:tc>
          <w:tcPr>
            <w:tcW w:w="2691" w:type="dxa"/>
            <w:tcBorders>
              <w:top w:val="nil"/>
              <w:left w:val="nil"/>
              <w:bottom w:val="nil"/>
              <w:right w:val="nil"/>
            </w:tcBorders>
          </w:tcPr>
          <w:p w14:paraId="3DC30083" w14:textId="77777777" w:rsidR="002320EC" w:rsidRPr="00877B56" w:rsidRDefault="002320EC" w:rsidP="00C84E08">
            <w:pPr>
              <w:jc w:val="center"/>
              <w:rPr>
                <w:rFonts w:ascii="Times New Roman" w:hAnsi="Times New Roman" w:cs="Times New Roman"/>
              </w:rPr>
            </w:pPr>
          </w:p>
        </w:tc>
      </w:tr>
      <w:tr w:rsidR="002320EC" w:rsidRPr="00877B56" w14:paraId="7EA5D022" w14:textId="77777777" w:rsidTr="00C84E08">
        <w:trPr>
          <w:jc w:val="center"/>
        </w:trPr>
        <w:tc>
          <w:tcPr>
            <w:tcW w:w="3859" w:type="dxa"/>
            <w:gridSpan w:val="2"/>
            <w:tcBorders>
              <w:top w:val="nil"/>
              <w:left w:val="nil"/>
              <w:bottom w:val="nil"/>
              <w:right w:val="nil"/>
            </w:tcBorders>
          </w:tcPr>
          <w:p w14:paraId="3F5DA494" w14:textId="77777777" w:rsidR="002320EC" w:rsidRPr="00877B56" w:rsidRDefault="002320EC" w:rsidP="00C84E08">
            <w:pPr>
              <w:ind w:left="284"/>
              <w:jc w:val="both"/>
              <w:rPr>
                <w:rFonts w:ascii="Times New Roman" w:hAnsi="Times New Roman" w:cs="Times New Roman"/>
              </w:rPr>
            </w:pPr>
            <w:r w:rsidRPr="00877B56">
              <w:rPr>
                <w:rFonts w:ascii="Times New Roman" w:hAnsi="Times New Roman" w:cs="Times New Roman"/>
              </w:rPr>
              <w:t>Female</w:t>
            </w:r>
          </w:p>
        </w:tc>
        <w:tc>
          <w:tcPr>
            <w:tcW w:w="2693" w:type="dxa"/>
            <w:tcBorders>
              <w:top w:val="nil"/>
              <w:left w:val="nil"/>
              <w:bottom w:val="nil"/>
              <w:right w:val="nil"/>
            </w:tcBorders>
          </w:tcPr>
          <w:p w14:paraId="067F9BE8"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90</w:t>
            </w:r>
          </w:p>
        </w:tc>
        <w:tc>
          <w:tcPr>
            <w:tcW w:w="2691" w:type="dxa"/>
            <w:tcBorders>
              <w:top w:val="nil"/>
              <w:left w:val="nil"/>
              <w:bottom w:val="nil"/>
              <w:right w:val="nil"/>
            </w:tcBorders>
          </w:tcPr>
          <w:p w14:paraId="688CDA76"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44.8</w:t>
            </w:r>
          </w:p>
        </w:tc>
      </w:tr>
      <w:tr w:rsidR="002320EC" w:rsidRPr="00877B56" w14:paraId="44912B00" w14:textId="77777777" w:rsidTr="00C84E08">
        <w:trPr>
          <w:jc w:val="center"/>
        </w:trPr>
        <w:tc>
          <w:tcPr>
            <w:tcW w:w="3859" w:type="dxa"/>
            <w:gridSpan w:val="2"/>
            <w:tcBorders>
              <w:top w:val="nil"/>
              <w:left w:val="nil"/>
              <w:bottom w:val="nil"/>
              <w:right w:val="nil"/>
            </w:tcBorders>
          </w:tcPr>
          <w:p w14:paraId="3A2E9E70" w14:textId="77777777" w:rsidR="002320EC" w:rsidRPr="00877B56" w:rsidRDefault="002320EC" w:rsidP="00C84E08">
            <w:pPr>
              <w:ind w:left="284"/>
              <w:jc w:val="both"/>
              <w:rPr>
                <w:rFonts w:ascii="Times New Roman" w:hAnsi="Times New Roman" w:cs="Times New Roman"/>
              </w:rPr>
            </w:pPr>
            <w:r w:rsidRPr="00877B56">
              <w:rPr>
                <w:rFonts w:ascii="Times New Roman" w:hAnsi="Times New Roman" w:cs="Times New Roman"/>
              </w:rPr>
              <w:t>Male</w:t>
            </w:r>
          </w:p>
        </w:tc>
        <w:tc>
          <w:tcPr>
            <w:tcW w:w="2693" w:type="dxa"/>
            <w:tcBorders>
              <w:top w:val="nil"/>
              <w:left w:val="nil"/>
              <w:bottom w:val="nil"/>
              <w:right w:val="nil"/>
            </w:tcBorders>
          </w:tcPr>
          <w:p w14:paraId="298112B8"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111</w:t>
            </w:r>
          </w:p>
        </w:tc>
        <w:tc>
          <w:tcPr>
            <w:tcW w:w="2691" w:type="dxa"/>
            <w:tcBorders>
              <w:top w:val="nil"/>
              <w:left w:val="nil"/>
              <w:bottom w:val="nil"/>
              <w:right w:val="nil"/>
            </w:tcBorders>
          </w:tcPr>
          <w:p w14:paraId="57B7E320"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55.2</w:t>
            </w:r>
          </w:p>
        </w:tc>
      </w:tr>
      <w:tr w:rsidR="002320EC" w:rsidRPr="00877B56" w14:paraId="7583A295" w14:textId="77777777" w:rsidTr="00C84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859" w:type="dxa"/>
            <w:gridSpan w:val="2"/>
            <w:tcBorders>
              <w:top w:val="nil"/>
              <w:left w:val="nil"/>
              <w:bottom w:val="nil"/>
              <w:right w:val="nil"/>
            </w:tcBorders>
          </w:tcPr>
          <w:p w14:paraId="102B79D1" w14:textId="77777777" w:rsidR="002320EC" w:rsidRPr="00877B56" w:rsidRDefault="002320EC" w:rsidP="00C84E08">
            <w:pPr>
              <w:jc w:val="both"/>
              <w:rPr>
                <w:rFonts w:ascii="Times New Roman" w:hAnsi="Times New Roman" w:cs="Times New Roman"/>
                <w:b/>
                <w:bCs/>
              </w:rPr>
            </w:pPr>
            <w:r w:rsidRPr="00877B56">
              <w:rPr>
                <w:rFonts w:ascii="Times New Roman" w:hAnsi="Times New Roman" w:cs="Times New Roman"/>
                <w:b/>
                <w:bCs/>
              </w:rPr>
              <w:t>Comorbidities</w:t>
            </w:r>
          </w:p>
        </w:tc>
        <w:tc>
          <w:tcPr>
            <w:tcW w:w="2693" w:type="dxa"/>
            <w:tcBorders>
              <w:top w:val="nil"/>
              <w:left w:val="nil"/>
              <w:bottom w:val="nil"/>
              <w:right w:val="nil"/>
            </w:tcBorders>
          </w:tcPr>
          <w:p w14:paraId="6EED0018" w14:textId="77777777" w:rsidR="002320EC" w:rsidRPr="00877B56" w:rsidRDefault="002320EC" w:rsidP="00C84E08">
            <w:pPr>
              <w:ind w:left="284"/>
              <w:rPr>
                <w:rFonts w:ascii="Times New Roman" w:hAnsi="Times New Roman" w:cs="Times New Roman"/>
              </w:rPr>
            </w:pPr>
          </w:p>
        </w:tc>
        <w:tc>
          <w:tcPr>
            <w:tcW w:w="2691" w:type="dxa"/>
            <w:tcBorders>
              <w:top w:val="nil"/>
              <w:left w:val="nil"/>
              <w:bottom w:val="nil"/>
              <w:right w:val="nil"/>
            </w:tcBorders>
          </w:tcPr>
          <w:p w14:paraId="15298944" w14:textId="77777777" w:rsidR="002320EC" w:rsidRPr="00877B56" w:rsidRDefault="002320EC" w:rsidP="00C84E08">
            <w:pPr>
              <w:jc w:val="center"/>
              <w:rPr>
                <w:rFonts w:ascii="Times New Roman" w:hAnsi="Times New Roman" w:cs="Times New Roman"/>
              </w:rPr>
            </w:pPr>
          </w:p>
        </w:tc>
      </w:tr>
      <w:tr w:rsidR="002320EC" w:rsidRPr="00877B56" w14:paraId="2BE5BA90" w14:textId="77777777" w:rsidTr="00C84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859" w:type="dxa"/>
            <w:gridSpan w:val="2"/>
            <w:tcBorders>
              <w:top w:val="nil"/>
              <w:left w:val="nil"/>
              <w:bottom w:val="nil"/>
              <w:right w:val="nil"/>
            </w:tcBorders>
          </w:tcPr>
          <w:p w14:paraId="560126C3" w14:textId="77777777" w:rsidR="002320EC" w:rsidRPr="00877B56" w:rsidRDefault="002320EC" w:rsidP="00C84E08">
            <w:pPr>
              <w:jc w:val="both"/>
              <w:rPr>
                <w:rFonts w:ascii="Times New Roman" w:hAnsi="Times New Roman" w:cs="Times New Roman"/>
                <w:bCs/>
              </w:rPr>
            </w:pPr>
            <w:r w:rsidRPr="00877B56">
              <w:rPr>
                <w:rFonts w:ascii="Times New Roman" w:hAnsi="Times New Roman" w:cs="Times New Roman"/>
                <w:bCs/>
              </w:rPr>
              <w:t xml:space="preserve">    None</w:t>
            </w:r>
          </w:p>
        </w:tc>
        <w:tc>
          <w:tcPr>
            <w:tcW w:w="2693" w:type="dxa"/>
            <w:tcBorders>
              <w:top w:val="nil"/>
              <w:left w:val="nil"/>
              <w:bottom w:val="nil"/>
              <w:right w:val="nil"/>
            </w:tcBorders>
          </w:tcPr>
          <w:p w14:paraId="0538F1C4" w14:textId="77777777" w:rsidR="002320EC" w:rsidRPr="00877B56" w:rsidRDefault="002320EC" w:rsidP="00C84E08">
            <w:pPr>
              <w:ind w:left="284"/>
              <w:jc w:val="center"/>
              <w:rPr>
                <w:rFonts w:ascii="Times New Roman" w:hAnsi="Times New Roman" w:cs="Times New Roman"/>
              </w:rPr>
            </w:pPr>
            <w:r w:rsidRPr="00877B56">
              <w:rPr>
                <w:rFonts w:ascii="Times New Roman" w:hAnsi="Times New Roman" w:cs="Times New Roman"/>
              </w:rPr>
              <w:t>125</w:t>
            </w:r>
          </w:p>
        </w:tc>
        <w:tc>
          <w:tcPr>
            <w:tcW w:w="2691" w:type="dxa"/>
            <w:tcBorders>
              <w:top w:val="nil"/>
              <w:left w:val="nil"/>
              <w:bottom w:val="nil"/>
              <w:right w:val="nil"/>
            </w:tcBorders>
          </w:tcPr>
          <w:p w14:paraId="749FA765"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62.2</w:t>
            </w:r>
          </w:p>
        </w:tc>
      </w:tr>
      <w:tr w:rsidR="002320EC" w:rsidRPr="00877B56" w14:paraId="691BCCA8" w14:textId="77777777" w:rsidTr="00C84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859" w:type="dxa"/>
            <w:gridSpan w:val="2"/>
            <w:tcBorders>
              <w:top w:val="nil"/>
              <w:left w:val="nil"/>
              <w:bottom w:val="nil"/>
              <w:right w:val="nil"/>
            </w:tcBorders>
          </w:tcPr>
          <w:p w14:paraId="2732FD4E" w14:textId="77777777" w:rsidR="002320EC" w:rsidRPr="00877B56" w:rsidRDefault="002320EC" w:rsidP="00C84E08">
            <w:pPr>
              <w:ind w:left="284"/>
              <w:jc w:val="both"/>
              <w:rPr>
                <w:rFonts w:ascii="Times New Roman" w:hAnsi="Times New Roman" w:cs="Times New Roman"/>
              </w:rPr>
            </w:pPr>
            <w:r w:rsidRPr="00877B56">
              <w:rPr>
                <w:rFonts w:ascii="Times New Roman" w:hAnsi="Times New Roman" w:cs="Times New Roman"/>
              </w:rPr>
              <w:t>Hypertension</w:t>
            </w:r>
          </w:p>
        </w:tc>
        <w:tc>
          <w:tcPr>
            <w:tcW w:w="2693" w:type="dxa"/>
            <w:tcBorders>
              <w:top w:val="nil"/>
              <w:left w:val="nil"/>
              <w:bottom w:val="nil"/>
              <w:right w:val="nil"/>
            </w:tcBorders>
          </w:tcPr>
          <w:p w14:paraId="6A2C6EC0" w14:textId="77777777" w:rsidR="002320EC" w:rsidRPr="00877B56" w:rsidRDefault="002320EC" w:rsidP="00C84E08">
            <w:pPr>
              <w:ind w:left="284"/>
              <w:jc w:val="center"/>
              <w:rPr>
                <w:rFonts w:ascii="Times New Roman" w:hAnsi="Times New Roman" w:cs="Times New Roman"/>
              </w:rPr>
            </w:pPr>
            <w:r w:rsidRPr="00877B56">
              <w:rPr>
                <w:rFonts w:ascii="Times New Roman" w:hAnsi="Times New Roman" w:cs="Times New Roman"/>
              </w:rPr>
              <w:t>24</w:t>
            </w:r>
          </w:p>
        </w:tc>
        <w:tc>
          <w:tcPr>
            <w:tcW w:w="2691" w:type="dxa"/>
            <w:tcBorders>
              <w:top w:val="nil"/>
              <w:left w:val="nil"/>
              <w:bottom w:val="nil"/>
              <w:right w:val="nil"/>
            </w:tcBorders>
          </w:tcPr>
          <w:p w14:paraId="45A1BEA6"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31.6</w:t>
            </w:r>
          </w:p>
        </w:tc>
      </w:tr>
      <w:tr w:rsidR="002320EC" w:rsidRPr="00877B56" w14:paraId="7C578E86" w14:textId="77777777" w:rsidTr="00C84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859" w:type="dxa"/>
            <w:gridSpan w:val="2"/>
            <w:tcBorders>
              <w:top w:val="nil"/>
              <w:left w:val="nil"/>
              <w:bottom w:val="nil"/>
              <w:right w:val="nil"/>
            </w:tcBorders>
          </w:tcPr>
          <w:p w14:paraId="6A872783" w14:textId="77777777" w:rsidR="002320EC" w:rsidRPr="00877B56" w:rsidRDefault="002320EC" w:rsidP="00C84E08">
            <w:pPr>
              <w:ind w:left="284"/>
              <w:jc w:val="both"/>
              <w:rPr>
                <w:rFonts w:ascii="Times New Roman" w:hAnsi="Times New Roman" w:cs="Times New Roman"/>
              </w:rPr>
            </w:pPr>
            <w:r w:rsidRPr="00877B56">
              <w:rPr>
                <w:rFonts w:ascii="Times New Roman" w:hAnsi="Times New Roman" w:cs="Times New Roman"/>
              </w:rPr>
              <w:t>Diabetes Mellitus</w:t>
            </w:r>
          </w:p>
        </w:tc>
        <w:tc>
          <w:tcPr>
            <w:tcW w:w="2693" w:type="dxa"/>
            <w:tcBorders>
              <w:top w:val="nil"/>
              <w:left w:val="nil"/>
              <w:bottom w:val="nil"/>
              <w:right w:val="nil"/>
            </w:tcBorders>
          </w:tcPr>
          <w:p w14:paraId="5E03CEAA" w14:textId="77777777" w:rsidR="002320EC" w:rsidRPr="00877B56" w:rsidRDefault="002320EC" w:rsidP="00C84E08">
            <w:pPr>
              <w:ind w:left="284"/>
              <w:jc w:val="center"/>
              <w:rPr>
                <w:rFonts w:ascii="Times New Roman" w:hAnsi="Times New Roman" w:cs="Times New Roman"/>
              </w:rPr>
            </w:pPr>
            <w:r w:rsidRPr="00877B56">
              <w:rPr>
                <w:rFonts w:ascii="Times New Roman" w:hAnsi="Times New Roman" w:cs="Times New Roman"/>
              </w:rPr>
              <w:t>27</w:t>
            </w:r>
          </w:p>
        </w:tc>
        <w:tc>
          <w:tcPr>
            <w:tcW w:w="2691" w:type="dxa"/>
            <w:tcBorders>
              <w:top w:val="nil"/>
              <w:left w:val="nil"/>
              <w:bottom w:val="nil"/>
              <w:right w:val="nil"/>
            </w:tcBorders>
          </w:tcPr>
          <w:p w14:paraId="531C362F"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35.5</w:t>
            </w:r>
          </w:p>
        </w:tc>
      </w:tr>
      <w:tr w:rsidR="002320EC" w:rsidRPr="00877B56" w14:paraId="0D5B25D3" w14:textId="77777777" w:rsidTr="00C84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859" w:type="dxa"/>
            <w:gridSpan w:val="2"/>
            <w:tcBorders>
              <w:top w:val="nil"/>
              <w:left w:val="nil"/>
              <w:bottom w:val="nil"/>
              <w:right w:val="nil"/>
            </w:tcBorders>
          </w:tcPr>
          <w:p w14:paraId="4603A8A2" w14:textId="77777777" w:rsidR="002320EC" w:rsidRPr="00877B56" w:rsidRDefault="002320EC" w:rsidP="00C84E08">
            <w:pPr>
              <w:ind w:left="284"/>
              <w:jc w:val="both"/>
              <w:rPr>
                <w:rFonts w:ascii="Times New Roman" w:hAnsi="Times New Roman" w:cs="Times New Roman"/>
              </w:rPr>
            </w:pPr>
            <w:r w:rsidRPr="00877B56">
              <w:rPr>
                <w:rFonts w:ascii="Times New Roman" w:hAnsi="Times New Roman" w:cs="Times New Roman"/>
              </w:rPr>
              <w:t>Both</w:t>
            </w:r>
          </w:p>
        </w:tc>
        <w:tc>
          <w:tcPr>
            <w:tcW w:w="2693" w:type="dxa"/>
            <w:tcBorders>
              <w:top w:val="nil"/>
              <w:left w:val="nil"/>
              <w:bottom w:val="nil"/>
              <w:right w:val="nil"/>
            </w:tcBorders>
          </w:tcPr>
          <w:p w14:paraId="156935BB" w14:textId="77777777" w:rsidR="002320EC" w:rsidRPr="00877B56" w:rsidRDefault="002320EC" w:rsidP="00C84E08">
            <w:pPr>
              <w:ind w:left="284"/>
              <w:jc w:val="center"/>
              <w:rPr>
                <w:rFonts w:ascii="Times New Roman" w:hAnsi="Times New Roman" w:cs="Times New Roman"/>
              </w:rPr>
            </w:pPr>
            <w:r w:rsidRPr="00877B56">
              <w:rPr>
                <w:rFonts w:ascii="Times New Roman" w:hAnsi="Times New Roman" w:cs="Times New Roman"/>
              </w:rPr>
              <w:t>25</w:t>
            </w:r>
          </w:p>
        </w:tc>
        <w:tc>
          <w:tcPr>
            <w:tcW w:w="2691" w:type="dxa"/>
            <w:tcBorders>
              <w:top w:val="nil"/>
              <w:left w:val="nil"/>
              <w:bottom w:val="nil"/>
              <w:right w:val="nil"/>
            </w:tcBorders>
          </w:tcPr>
          <w:p w14:paraId="003F0979"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32.9</w:t>
            </w:r>
          </w:p>
        </w:tc>
      </w:tr>
      <w:tr w:rsidR="002320EC" w:rsidRPr="00877B56" w14:paraId="2575F4FC" w14:textId="77777777" w:rsidTr="00C84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859" w:type="dxa"/>
            <w:gridSpan w:val="2"/>
            <w:tcBorders>
              <w:top w:val="nil"/>
              <w:left w:val="nil"/>
              <w:bottom w:val="nil"/>
              <w:right w:val="nil"/>
            </w:tcBorders>
          </w:tcPr>
          <w:p w14:paraId="7CC6D256" w14:textId="77777777" w:rsidR="002320EC" w:rsidRPr="00877B56" w:rsidRDefault="002320EC" w:rsidP="00C84E08">
            <w:pPr>
              <w:jc w:val="both"/>
              <w:rPr>
                <w:rFonts w:ascii="Times New Roman" w:hAnsi="Times New Roman" w:cs="Times New Roman"/>
                <w:b/>
                <w:bCs/>
              </w:rPr>
            </w:pPr>
            <w:r w:rsidRPr="00877B56">
              <w:rPr>
                <w:rFonts w:ascii="Times New Roman" w:hAnsi="Times New Roman" w:cs="Times New Roman"/>
                <w:b/>
                <w:bCs/>
              </w:rPr>
              <w:t>POAG type</w:t>
            </w:r>
          </w:p>
        </w:tc>
        <w:tc>
          <w:tcPr>
            <w:tcW w:w="2693" w:type="dxa"/>
            <w:tcBorders>
              <w:top w:val="nil"/>
              <w:left w:val="nil"/>
              <w:bottom w:val="nil"/>
              <w:right w:val="nil"/>
            </w:tcBorders>
          </w:tcPr>
          <w:p w14:paraId="72802EC6" w14:textId="77777777" w:rsidR="002320EC" w:rsidRPr="00877B56" w:rsidRDefault="002320EC" w:rsidP="00C84E08">
            <w:pPr>
              <w:ind w:left="284"/>
              <w:jc w:val="center"/>
              <w:rPr>
                <w:rFonts w:ascii="Times New Roman" w:hAnsi="Times New Roman" w:cs="Times New Roman"/>
              </w:rPr>
            </w:pPr>
          </w:p>
        </w:tc>
        <w:tc>
          <w:tcPr>
            <w:tcW w:w="2691" w:type="dxa"/>
            <w:tcBorders>
              <w:top w:val="nil"/>
              <w:left w:val="nil"/>
              <w:bottom w:val="nil"/>
              <w:right w:val="nil"/>
            </w:tcBorders>
          </w:tcPr>
          <w:p w14:paraId="3A8F45CF" w14:textId="77777777" w:rsidR="002320EC" w:rsidRPr="00877B56" w:rsidRDefault="002320EC" w:rsidP="00C84E08">
            <w:pPr>
              <w:jc w:val="center"/>
              <w:rPr>
                <w:rFonts w:ascii="Times New Roman" w:hAnsi="Times New Roman" w:cs="Times New Roman"/>
              </w:rPr>
            </w:pPr>
          </w:p>
        </w:tc>
      </w:tr>
      <w:tr w:rsidR="002320EC" w:rsidRPr="00877B56" w14:paraId="54E8D337" w14:textId="77777777" w:rsidTr="00C84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859" w:type="dxa"/>
            <w:gridSpan w:val="2"/>
            <w:tcBorders>
              <w:top w:val="nil"/>
              <w:left w:val="nil"/>
              <w:bottom w:val="nil"/>
              <w:right w:val="nil"/>
            </w:tcBorders>
          </w:tcPr>
          <w:p w14:paraId="394438C5" w14:textId="77777777" w:rsidR="002320EC" w:rsidRPr="00877B56" w:rsidRDefault="002320EC" w:rsidP="00C84E08">
            <w:pPr>
              <w:ind w:left="284"/>
              <w:jc w:val="both"/>
              <w:rPr>
                <w:rFonts w:ascii="Times New Roman" w:hAnsi="Times New Roman" w:cs="Times New Roman"/>
              </w:rPr>
            </w:pPr>
            <w:r w:rsidRPr="00877B56">
              <w:rPr>
                <w:rFonts w:ascii="Times New Roman" w:hAnsi="Times New Roman" w:cs="Times New Roman"/>
              </w:rPr>
              <w:t>High tension POAG</w:t>
            </w:r>
          </w:p>
        </w:tc>
        <w:tc>
          <w:tcPr>
            <w:tcW w:w="2693" w:type="dxa"/>
            <w:tcBorders>
              <w:top w:val="nil"/>
              <w:left w:val="nil"/>
              <w:bottom w:val="nil"/>
              <w:right w:val="nil"/>
            </w:tcBorders>
          </w:tcPr>
          <w:p w14:paraId="0942B383" w14:textId="77777777" w:rsidR="002320EC" w:rsidRPr="00877B56" w:rsidRDefault="002320EC" w:rsidP="00C84E08">
            <w:pPr>
              <w:ind w:left="284"/>
              <w:jc w:val="center"/>
              <w:rPr>
                <w:rFonts w:ascii="Times New Roman" w:hAnsi="Times New Roman" w:cs="Times New Roman"/>
              </w:rPr>
            </w:pPr>
            <w:r w:rsidRPr="00877B56">
              <w:rPr>
                <w:rFonts w:ascii="Times New Roman" w:hAnsi="Times New Roman" w:cs="Times New Roman"/>
              </w:rPr>
              <w:t>173</w:t>
            </w:r>
          </w:p>
        </w:tc>
        <w:tc>
          <w:tcPr>
            <w:tcW w:w="2691" w:type="dxa"/>
            <w:tcBorders>
              <w:top w:val="nil"/>
              <w:left w:val="nil"/>
              <w:bottom w:val="nil"/>
              <w:right w:val="nil"/>
            </w:tcBorders>
          </w:tcPr>
          <w:p w14:paraId="5EED692D"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86.1</w:t>
            </w:r>
          </w:p>
        </w:tc>
      </w:tr>
      <w:tr w:rsidR="002320EC" w:rsidRPr="00877B56" w14:paraId="712C805F" w14:textId="77777777" w:rsidTr="00C84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859" w:type="dxa"/>
            <w:gridSpan w:val="2"/>
            <w:tcBorders>
              <w:top w:val="nil"/>
              <w:left w:val="nil"/>
              <w:bottom w:val="nil"/>
              <w:right w:val="nil"/>
            </w:tcBorders>
          </w:tcPr>
          <w:p w14:paraId="02FBC617" w14:textId="77777777" w:rsidR="002320EC" w:rsidRPr="00877B56" w:rsidRDefault="002320EC" w:rsidP="00C84E08">
            <w:pPr>
              <w:ind w:left="284"/>
              <w:jc w:val="both"/>
              <w:rPr>
                <w:rFonts w:ascii="Times New Roman" w:hAnsi="Times New Roman" w:cs="Times New Roman"/>
              </w:rPr>
            </w:pPr>
            <w:r w:rsidRPr="00877B56">
              <w:rPr>
                <w:rFonts w:ascii="Times New Roman" w:hAnsi="Times New Roman" w:cs="Times New Roman"/>
              </w:rPr>
              <w:t>Normal tension POAG</w:t>
            </w:r>
          </w:p>
        </w:tc>
        <w:tc>
          <w:tcPr>
            <w:tcW w:w="2693" w:type="dxa"/>
            <w:tcBorders>
              <w:top w:val="nil"/>
              <w:left w:val="nil"/>
              <w:bottom w:val="nil"/>
              <w:right w:val="nil"/>
            </w:tcBorders>
          </w:tcPr>
          <w:p w14:paraId="0FEB236B" w14:textId="77777777" w:rsidR="002320EC" w:rsidRPr="00877B56" w:rsidRDefault="002320EC" w:rsidP="00C84E08">
            <w:pPr>
              <w:ind w:left="284"/>
              <w:jc w:val="center"/>
              <w:rPr>
                <w:rFonts w:ascii="Times New Roman" w:hAnsi="Times New Roman" w:cs="Times New Roman"/>
              </w:rPr>
            </w:pPr>
            <w:r w:rsidRPr="00877B56">
              <w:rPr>
                <w:rFonts w:ascii="Times New Roman" w:hAnsi="Times New Roman" w:cs="Times New Roman"/>
              </w:rPr>
              <w:t>28</w:t>
            </w:r>
          </w:p>
        </w:tc>
        <w:tc>
          <w:tcPr>
            <w:tcW w:w="2691" w:type="dxa"/>
            <w:tcBorders>
              <w:top w:val="nil"/>
              <w:left w:val="nil"/>
              <w:bottom w:val="nil"/>
              <w:right w:val="nil"/>
            </w:tcBorders>
          </w:tcPr>
          <w:p w14:paraId="4ABA8927"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13.9</w:t>
            </w:r>
          </w:p>
        </w:tc>
      </w:tr>
      <w:tr w:rsidR="002320EC" w:rsidRPr="00877B56" w14:paraId="2592D859" w14:textId="77777777" w:rsidTr="00C84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859" w:type="dxa"/>
            <w:gridSpan w:val="2"/>
            <w:tcBorders>
              <w:top w:val="nil"/>
              <w:left w:val="nil"/>
              <w:bottom w:val="nil"/>
              <w:right w:val="nil"/>
            </w:tcBorders>
          </w:tcPr>
          <w:p w14:paraId="5345A93B" w14:textId="77777777" w:rsidR="002320EC" w:rsidRPr="00877B56" w:rsidRDefault="002320EC" w:rsidP="00C84E08">
            <w:pPr>
              <w:jc w:val="both"/>
              <w:rPr>
                <w:rFonts w:ascii="Times New Roman" w:hAnsi="Times New Roman" w:cs="Times New Roman"/>
                <w:b/>
                <w:bCs/>
              </w:rPr>
            </w:pPr>
            <w:r w:rsidRPr="00877B56">
              <w:rPr>
                <w:rFonts w:ascii="Times New Roman" w:hAnsi="Times New Roman" w:cs="Times New Roman"/>
                <w:b/>
                <w:bCs/>
              </w:rPr>
              <w:t>Complaints at presentation</w:t>
            </w:r>
          </w:p>
        </w:tc>
        <w:tc>
          <w:tcPr>
            <w:tcW w:w="2693" w:type="dxa"/>
            <w:tcBorders>
              <w:top w:val="nil"/>
              <w:left w:val="nil"/>
              <w:bottom w:val="nil"/>
              <w:right w:val="nil"/>
            </w:tcBorders>
          </w:tcPr>
          <w:p w14:paraId="327A2BDA" w14:textId="77777777" w:rsidR="002320EC" w:rsidRPr="00877B56" w:rsidRDefault="002320EC" w:rsidP="00C84E08">
            <w:pPr>
              <w:ind w:left="284"/>
              <w:jc w:val="center"/>
              <w:rPr>
                <w:rFonts w:ascii="Times New Roman" w:hAnsi="Times New Roman" w:cs="Times New Roman"/>
              </w:rPr>
            </w:pPr>
          </w:p>
        </w:tc>
        <w:tc>
          <w:tcPr>
            <w:tcW w:w="2691" w:type="dxa"/>
            <w:tcBorders>
              <w:top w:val="nil"/>
              <w:left w:val="nil"/>
              <w:bottom w:val="nil"/>
              <w:right w:val="nil"/>
            </w:tcBorders>
          </w:tcPr>
          <w:p w14:paraId="13F127DC" w14:textId="77777777" w:rsidR="002320EC" w:rsidRPr="00877B56" w:rsidRDefault="002320EC" w:rsidP="00C84E08">
            <w:pPr>
              <w:jc w:val="center"/>
              <w:rPr>
                <w:rFonts w:ascii="Times New Roman" w:hAnsi="Times New Roman" w:cs="Times New Roman"/>
              </w:rPr>
            </w:pPr>
          </w:p>
        </w:tc>
      </w:tr>
      <w:tr w:rsidR="002320EC" w:rsidRPr="00877B56" w14:paraId="1D8E4191" w14:textId="77777777" w:rsidTr="00C84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859" w:type="dxa"/>
            <w:gridSpan w:val="2"/>
            <w:tcBorders>
              <w:top w:val="nil"/>
              <w:left w:val="nil"/>
              <w:bottom w:val="nil"/>
              <w:right w:val="nil"/>
            </w:tcBorders>
          </w:tcPr>
          <w:p w14:paraId="0D82955E" w14:textId="77777777" w:rsidR="002320EC" w:rsidRPr="00877B56" w:rsidRDefault="002320EC" w:rsidP="00C84E08">
            <w:pPr>
              <w:ind w:left="284"/>
              <w:jc w:val="both"/>
              <w:rPr>
                <w:rFonts w:ascii="Times New Roman" w:hAnsi="Times New Roman" w:cs="Times New Roman"/>
              </w:rPr>
            </w:pPr>
            <w:r w:rsidRPr="00877B56">
              <w:rPr>
                <w:rFonts w:ascii="Times New Roman" w:hAnsi="Times New Roman" w:cs="Times New Roman"/>
              </w:rPr>
              <w:t>Poor vision</w:t>
            </w:r>
          </w:p>
        </w:tc>
        <w:tc>
          <w:tcPr>
            <w:tcW w:w="2693" w:type="dxa"/>
            <w:tcBorders>
              <w:top w:val="nil"/>
              <w:left w:val="nil"/>
              <w:bottom w:val="nil"/>
              <w:right w:val="nil"/>
            </w:tcBorders>
          </w:tcPr>
          <w:p w14:paraId="65A8F21D" w14:textId="77777777" w:rsidR="002320EC" w:rsidRPr="00877B56" w:rsidRDefault="002320EC" w:rsidP="00C84E08">
            <w:pPr>
              <w:ind w:left="284"/>
              <w:jc w:val="center"/>
              <w:rPr>
                <w:rFonts w:ascii="Times New Roman" w:hAnsi="Times New Roman" w:cs="Times New Roman"/>
              </w:rPr>
            </w:pPr>
            <w:r w:rsidRPr="00877B56">
              <w:rPr>
                <w:rFonts w:ascii="Times New Roman" w:hAnsi="Times New Roman" w:cs="Times New Roman"/>
              </w:rPr>
              <w:t>167</w:t>
            </w:r>
          </w:p>
        </w:tc>
        <w:tc>
          <w:tcPr>
            <w:tcW w:w="2691" w:type="dxa"/>
            <w:tcBorders>
              <w:top w:val="nil"/>
              <w:left w:val="nil"/>
              <w:bottom w:val="nil"/>
              <w:right w:val="nil"/>
            </w:tcBorders>
          </w:tcPr>
          <w:p w14:paraId="1D5D40DE"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83.0</w:t>
            </w:r>
          </w:p>
        </w:tc>
      </w:tr>
      <w:tr w:rsidR="002320EC" w:rsidRPr="00877B56" w14:paraId="5131E130" w14:textId="77777777" w:rsidTr="00C84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859" w:type="dxa"/>
            <w:gridSpan w:val="2"/>
            <w:tcBorders>
              <w:top w:val="nil"/>
              <w:left w:val="nil"/>
              <w:bottom w:val="nil"/>
              <w:right w:val="nil"/>
            </w:tcBorders>
          </w:tcPr>
          <w:p w14:paraId="75762500" w14:textId="77777777" w:rsidR="002320EC" w:rsidRPr="00877B56" w:rsidRDefault="002320EC" w:rsidP="00C84E08">
            <w:pPr>
              <w:ind w:left="284"/>
              <w:jc w:val="both"/>
              <w:rPr>
                <w:rFonts w:ascii="Times New Roman" w:hAnsi="Times New Roman" w:cs="Times New Roman"/>
              </w:rPr>
            </w:pPr>
            <w:r w:rsidRPr="00877B56">
              <w:rPr>
                <w:rFonts w:ascii="Times New Roman" w:hAnsi="Times New Roman" w:cs="Times New Roman"/>
              </w:rPr>
              <w:t>Eye check-up</w:t>
            </w:r>
          </w:p>
        </w:tc>
        <w:tc>
          <w:tcPr>
            <w:tcW w:w="2693" w:type="dxa"/>
            <w:tcBorders>
              <w:top w:val="nil"/>
              <w:left w:val="nil"/>
              <w:bottom w:val="nil"/>
              <w:right w:val="nil"/>
            </w:tcBorders>
          </w:tcPr>
          <w:p w14:paraId="50765C39" w14:textId="77777777" w:rsidR="002320EC" w:rsidRPr="00877B56" w:rsidRDefault="002320EC" w:rsidP="00C84E08">
            <w:pPr>
              <w:ind w:left="284"/>
              <w:jc w:val="center"/>
              <w:rPr>
                <w:rFonts w:ascii="Times New Roman" w:hAnsi="Times New Roman" w:cs="Times New Roman"/>
              </w:rPr>
            </w:pPr>
            <w:r w:rsidRPr="00877B56">
              <w:rPr>
                <w:rFonts w:ascii="Times New Roman" w:hAnsi="Times New Roman" w:cs="Times New Roman"/>
              </w:rPr>
              <w:t>14</w:t>
            </w:r>
          </w:p>
        </w:tc>
        <w:tc>
          <w:tcPr>
            <w:tcW w:w="2691" w:type="dxa"/>
            <w:tcBorders>
              <w:top w:val="nil"/>
              <w:left w:val="nil"/>
              <w:bottom w:val="nil"/>
              <w:right w:val="nil"/>
            </w:tcBorders>
          </w:tcPr>
          <w:p w14:paraId="67BCCDD9"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7.0</w:t>
            </w:r>
          </w:p>
        </w:tc>
      </w:tr>
      <w:tr w:rsidR="002320EC" w:rsidRPr="00877B56" w14:paraId="2D167973" w14:textId="77777777" w:rsidTr="00C84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859" w:type="dxa"/>
            <w:gridSpan w:val="2"/>
            <w:tcBorders>
              <w:top w:val="nil"/>
              <w:left w:val="nil"/>
              <w:bottom w:val="single" w:sz="12" w:space="0" w:color="auto"/>
              <w:right w:val="nil"/>
            </w:tcBorders>
          </w:tcPr>
          <w:p w14:paraId="0198C2BC" w14:textId="77777777" w:rsidR="002320EC" w:rsidRPr="00877B56" w:rsidRDefault="002320EC" w:rsidP="00C84E08">
            <w:pPr>
              <w:ind w:left="284"/>
              <w:jc w:val="both"/>
              <w:rPr>
                <w:rFonts w:ascii="Times New Roman" w:hAnsi="Times New Roman" w:cs="Times New Roman"/>
              </w:rPr>
            </w:pPr>
            <w:r w:rsidRPr="00877B56">
              <w:rPr>
                <w:rFonts w:ascii="Times New Roman" w:hAnsi="Times New Roman" w:cs="Times New Roman"/>
              </w:rPr>
              <w:t>Others †</w:t>
            </w:r>
          </w:p>
        </w:tc>
        <w:tc>
          <w:tcPr>
            <w:tcW w:w="2693" w:type="dxa"/>
            <w:tcBorders>
              <w:top w:val="nil"/>
              <w:left w:val="nil"/>
              <w:bottom w:val="single" w:sz="12" w:space="0" w:color="auto"/>
              <w:right w:val="nil"/>
            </w:tcBorders>
          </w:tcPr>
          <w:p w14:paraId="5C736709" w14:textId="77777777" w:rsidR="002320EC" w:rsidRPr="00877B56" w:rsidRDefault="002320EC" w:rsidP="00C84E08">
            <w:pPr>
              <w:ind w:left="284"/>
              <w:jc w:val="center"/>
              <w:rPr>
                <w:rFonts w:ascii="Times New Roman" w:hAnsi="Times New Roman" w:cs="Times New Roman"/>
              </w:rPr>
            </w:pPr>
            <w:r w:rsidRPr="00877B56">
              <w:rPr>
                <w:rFonts w:ascii="Times New Roman" w:hAnsi="Times New Roman" w:cs="Times New Roman"/>
              </w:rPr>
              <w:t>20</w:t>
            </w:r>
          </w:p>
        </w:tc>
        <w:tc>
          <w:tcPr>
            <w:tcW w:w="2691" w:type="dxa"/>
            <w:tcBorders>
              <w:top w:val="nil"/>
              <w:left w:val="nil"/>
              <w:bottom w:val="single" w:sz="12" w:space="0" w:color="auto"/>
              <w:right w:val="nil"/>
            </w:tcBorders>
          </w:tcPr>
          <w:p w14:paraId="52449BB6"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10.0</w:t>
            </w:r>
          </w:p>
        </w:tc>
      </w:tr>
    </w:tbl>
    <w:p w14:paraId="523DEC92" w14:textId="77777777" w:rsidR="002320EC" w:rsidRPr="00877B56" w:rsidRDefault="002320EC" w:rsidP="002320EC">
      <w:pPr>
        <w:spacing w:after="0" w:line="240" w:lineRule="auto"/>
        <w:rPr>
          <w:rFonts w:ascii="Times New Roman" w:hAnsi="Times New Roman" w:cs="Times New Roman"/>
          <w:sz w:val="24"/>
          <w:szCs w:val="24"/>
        </w:rPr>
      </w:pPr>
      <w:r w:rsidRPr="00877B56">
        <w:rPr>
          <w:rFonts w:ascii="Times New Roman" w:hAnsi="Times New Roman" w:cs="Times New Roman"/>
          <w:sz w:val="24"/>
          <w:szCs w:val="24"/>
        </w:rPr>
        <w:t xml:space="preserve">* Interquartile range </w:t>
      </w:r>
    </w:p>
    <w:p w14:paraId="2CA974EE" w14:textId="77777777" w:rsidR="002320EC" w:rsidRPr="00877B56" w:rsidRDefault="002320EC" w:rsidP="002320EC">
      <w:pPr>
        <w:spacing w:after="0" w:line="240" w:lineRule="auto"/>
        <w:rPr>
          <w:rFonts w:ascii="Times New Roman" w:hAnsi="Times New Roman" w:cs="Times New Roman"/>
          <w:sz w:val="24"/>
          <w:szCs w:val="24"/>
        </w:rPr>
      </w:pPr>
      <w:r w:rsidRPr="00877B56">
        <w:rPr>
          <w:rFonts w:ascii="Times New Roman" w:hAnsi="Times New Roman" w:cs="Times New Roman"/>
          <w:sz w:val="24"/>
          <w:szCs w:val="24"/>
        </w:rPr>
        <w:t>† Ocular pain, headache, change glass</w:t>
      </w:r>
    </w:p>
    <w:p w14:paraId="7BF7AAC5" w14:textId="77777777" w:rsidR="002320EC" w:rsidRPr="00895BE3" w:rsidRDefault="002320EC" w:rsidP="002320EC">
      <w:pPr>
        <w:rPr>
          <w:rFonts w:cstheme="minorHAnsi"/>
          <w:sz w:val="24"/>
          <w:szCs w:val="24"/>
        </w:rPr>
      </w:pPr>
    </w:p>
    <w:p w14:paraId="675F3F60" w14:textId="77777777" w:rsidR="002320EC" w:rsidRPr="00895BE3" w:rsidRDefault="002320EC" w:rsidP="002320EC">
      <w:pPr>
        <w:spacing w:line="360" w:lineRule="auto"/>
        <w:rPr>
          <w:rFonts w:cstheme="minorHAnsi"/>
          <w:sz w:val="24"/>
          <w:szCs w:val="24"/>
        </w:rPr>
      </w:pPr>
    </w:p>
    <w:p w14:paraId="4C0F30CC" w14:textId="77777777" w:rsidR="002320EC" w:rsidRPr="00895BE3" w:rsidRDefault="002320EC" w:rsidP="002320EC">
      <w:pPr>
        <w:rPr>
          <w:rFonts w:cstheme="minorHAnsi"/>
          <w:sz w:val="24"/>
          <w:szCs w:val="24"/>
        </w:rPr>
      </w:pPr>
      <w:r w:rsidRPr="00895BE3">
        <w:rPr>
          <w:rFonts w:cstheme="minorHAnsi"/>
          <w:sz w:val="24"/>
          <w:szCs w:val="24"/>
        </w:rPr>
        <w:br w:type="page"/>
      </w:r>
    </w:p>
    <w:p w14:paraId="7DCFE3AA" w14:textId="77777777" w:rsidR="002320EC" w:rsidRPr="00877B56" w:rsidRDefault="002320EC" w:rsidP="002320EC">
      <w:pPr>
        <w:pStyle w:val="Heading2"/>
      </w:pPr>
      <w:bookmarkStart w:id="9" w:name="_Toc171879377"/>
      <w:r w:rsidRPr="00877B56">
        <w:lastRenderedPageBreak/>
        <w:t>Disease Stages at Diagnosis</w:t>
      </w:r>
      <w:bookmarkStart w:id="10" w:name="_Toc171879313"/>
      <w:bookmarkEnd w:id="9"/>
    </w:p>
    <w:p w14:paraId="2B5DDDA1" w14:textId="77777777" w:rsidR="002320EC" w:rsidRPr="00877B56" w:rsidRDefault="002320EC" w:rsidP="002320EC">
      <w:pPr>
        <w:pStyle w:val="Heading2"/>
      </w:pPr>
      <w:r w:rsidRPr="00877B56">
        <w:rPr>
          <w:rFonts w:eastAsia="Times New Roman"/>
          <w:b w:val="0"/>
          <w:lang w:eastAsia="en-GB"/>
        </w:rPr>
        <w:t>At diagnosis, 43% of eyes had mild disease (average MD -3.0 dB), 19.8% had moderate disease (average MD -8.4 dB), 13.2% had advanced disease (average MD -17.1 dB), and 24% had severe disease (average MD -27.9 dB). The overall mean deviation (MD) at diagnosis was -11.9 (±1.3), indicating moderately advanced glaucoma (Table 2).</w:t>
      </w:r>
    </w:p>
    <w:p w14:paraId="4B0C407B" w14:textId="77777777" w:rsidR="002320EC" w:rsidRPr="00877B56" w:rsidRDefault="002320EC" w:rsidP="002320EC">
      <w:pPr>
        <w:pStyle w:val="Caption"/>
        <w:ind w:left="0" w:firstLine="0"/>
        <w:rPr>
          <w:szCs w:val="24"/>
        </w:rPr>
      </w:pPr>
      <w:r w:rsidRPr="00877B56">
        <w:rPr>
          <w:szCs w:val="24"/>
        </w:rPr>
        <w:t>Table 2</w:t>
      </w:r>
      <w:bookmarkStart w:id="11" w:name="_Toc171879319"/>
      <w:bookmarkEnd w:id="10"/>
      <w:r w:rsidRPr="00877B56">
        <w:rPr>
          <w:szCs w:val="24"/>
        </w:rPr>
        <w:t>: Distribution of POAG stages at Diagnosis (N=363)</w:t>
      </w:r>
      <w:bookmarkEnd w:id="11"/>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560"/>
        <w:gridCol w:w="4459"/>
        <w:gridCol w:w="1993"/>
      </w:tblGrid>
      <w:tr w:rsidR="002320EC" w:rsidRPr="00877B56" w14:paraId="31120B54" w14:textId="77777777" w:rsidTr="00C84E08">
        <w:trPr>
          <w:trHeight w:val="447"/>
          <w:jc w:val="center"/>
        </w:trPr>
        <w:tc>
          <w:tcPr>
            <w:tcW w:w="979" w:type="pct"/>
            <w:tcBorders>
              <w:top w:val="single" w:sz="12" w:space="0" w:color="auto"/>
              <w:bottom w:val="single" w:sz="12" w:space="0" w:color="auto"/>
            </w:tcBorders>
          </w:tcPr>
          <w:p w14:paraId="3012841A" w14:textId="77777777" w:rsidR="002320EC" w:rsidRPr="00877B56" w:rsidRDefault="002320EC" w:rsidP="00C84E08">
            <w:pPr>
              <w:jc w:val="both"/>
              <w:rPr>
                <w:rFonts w:ascii="Times New Roman" w:hAnsi="Times New Roman" w:cs="Times New Roman"/>
                <w:b/>
                <w:bCs/>
              </w:rPr>
            </w:pPr>
            <w:r w:rsidRPr="00877B56">
              <w:rPr>
                <w:rFonts w:ascii="Times New Roman" w:hAnsi="Times New Roman" w:cs="Times New Roman"/>
                <w:b/>
                <w:bCs/>
              </w:rPr>
              <w:t>Disease stage</w:t>
            </w:r>
          </w:p>
        </w:tc>
        <w:tc>
          <w:tcPr>
            <w:tcW w:w="783" w:type="pct"/>
            <w:tcBorders>
              <w:top w:val="single" w:sz="12" w:space="0" w:color="auto"/>
              <w:bottom w:val="single" w:sz="12" w:space="0" w:color="auto"/>
            </w:tcBorders>
          </w:tcPr>
          <w:p w14:paraId="5162B5FB" w14:textId="77777777" w:rsidR="002320EC" w:rsidRPr="00877B56" w:rsidRDefault="002320EC" w:rsidP="00C84E08">
            <w:pPr>
              <w:jc w:val="center"/>
              <w:rPr>
                <w:rFonts w:ascii="Times New Roman" w:hAnsi="Times New Roman" w:cs="Times New Roman"/>
                <w:b/>
                <w:bCs/>
              </w:rPr>
            </w:pPr>
            <w:r w:rsidRPr="00877B56">
              <w:rPr>
                <w:rFonts w:ascii="Times New Roman" w:hAnsi="Times New Roman" w:cs="Times New Roman"/>
                <w:b/>
                <w:bCs/>
              </w:rPr>
              <w:t>n (%)</w:t>
            </w:r>
          </w:p>
        </w:tc>
        <w:tc>
          <w:tcPr>
            <w:tcW w:w="2238" w:type="pct"/>
            <w:tcBorders>
              <w:top w:val="single" w:sz="12" w:space="0" w:color="auto"/>
              <w:bottom w:val="single" w:sz="12" w:space="0" w:color="auto"/>
            </w:tcBorders>
          </w:tcPr>
          <w:p w14:paraId="52EC4489" w14:textId="77777777" w:rsidR="002320EC" w:rsidRPr="00877B56" w:rsidRDefault="002320EC" w:rsidP="00C84E08">
            <w:pPr>
              <w:jc w:val="center"/>
              <w:rPr>
                <w:rFonts w:ascii="Times New Roman" w:hAnsi="Times New Roman" w:cs="Times New Roman"/>
                <w:b/>
                <w:bCs/>
              </w:rPr>
            </w:pPr>
            <w:r w:rsidRPr="00877B56">
              <w:rPr>
                <w:rFonts w:ascii="Times New Roman" w:hAnsi="Times New Roman" w:cs="Times New Roman"/>
                <w:b/>
                <w:bCs/>
              </w:rPr>
              <w:t>Average Mean deviation (Mean ±SD)</w:t>
            </w:r>
          </w:p>
        </w:tc>
        <w:tc>
          <w:tcPr>
            <w:tcW w:w="1000" w:type="pct"/>
            <w:tcBorders>
              <w:top w:val="single" w:sz="12" w:space="0" w:color="auto"/>
              <w:bottom w:val="single" w:sz="12" w:space="0" w:color="auto"/>
            </w:tcBorders>
          </w:tcPr>
          <w:p w14:paraId="4D0E1A41" w14:textId="77777777" w:rsidR="002320EC" w:rsidRPr="00877B56" w:rsidRDefault="002320EC" w:rsidP="00C84E08">
            <w:pPr>
              <w:jc w:val="center"/>
              <w:rPr>
                <w:rFonts w:ascii="Times New Roman" w:hAnsi="Times New Roman" w:cs="Times New Roman"/>
                <w:b/>
                <w:bCs/>
              </w:rPr>
            </w:pPr>
            <w:r w:rsidRPr="00877B56">
              <w:rPr>
                <w:rFonts w:ascii="Times New Roman" w:hAnsi="Times New Roman" w:cs="Times New Roman"/>
                <w:b/>
                <w:bCs/>
              </w:rPr>
              <w:t>MD Reference  ranges</w:t>
            </w:r>
          </w:p>
        </w:tc>
      </w:tr>
      <w:tr w:rsidR="002320EC" w:rsidRPr="00877B56" w14:paraId="7CD46E0E" w14:textId="77777777" w:rsidTr="00C84E08">
        <w:trPr>
          <w:trHeight w:val="236"/>
          <w:jc w:val="center"/>
        </w:trPr>
        <w:tc>
          <w:tcPr>
            <w:tcW w:w="979" w:type="pct"/>
            <w:tcBorders>
              <w:top w:val="nil"/>
            </w:tcBorders>
          </w:tcPr>
          <w:p w14:paraId="1C495595" w14:textId="77777777" w:rsidR="002320EC" w:rsidRPr="00877B56" w:rsidRDefault="002320EC" w:rsidP="00C84E08">
            <w:pPr>
              <w:jc w:val="both"/>
              <w:rPr>
                <w:rFonts w:ascii="Times New Roman" w:hAnsi="Times New Roman" w:cs="Times New Roman"/>
              </w:rPr>
            </w:pPr>
            <w:r w:rsidRPr="00877B56">
              <w:rPr>
                <w:rFonts w:ascii="Times New Roman" w:hAnsi="Times New Roman" w:cs="Times New Roman"/>
              </w:rPr>
              <w:t>Mild</w:t>
            </w:r>
          </w:p>
        </w:tc>
        <w:tc>
          <w:tcPr>
            <w:tcW w:w="783" w:type="pct"/>
            <w:tcBorders>
              <w:top w:val="nil"/>
            </w:tcBorders>
          </w:tcPr>
          <w:p w14:paraId="4464F438"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156 (43)</w:t>
            </w:r>
          </w:p>
        </w:tc>
        <w:tc>
          <w:tcPr>
            <w:tcW w:w="2238" w:type="pct"/>
            <w:tcBorders>
              <w:top w:val="nil"/>
            </w:tcBorders>
          </w:tcPr>
          <w:p w14:paraId="6FF9DFEF"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-3.0 (-1.4)</w:t>
            </w:r>
          </w:p>
        </w:tc>
        <w:tc>
          <w:tcPr>
            <w:tcW w:w="1000" w:type="pct"/>
            <w:tcBorders>
              <w:top w:val="nil"/>
            </w:tcBorders>
          </w:tcPr>
          <w:p w14:paraId="6010BAA0"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&gt; -6dB</w:t>
            </w:r>
          </w:p>
        </w:tc>
      </w:tr>
      <w:tr w:rsidR="002320EC" w:rsidRPr="00877B56" w14:paraId="6DC502DD" w14:textId="77777777" w:rsidTr="00C84E08">
        <w:trPr>
          <w:trHeight w:val="224"/>
          <w:jc w:val="center"/>
        </w:trPr>
        <w:tc>
          <w:tcPr>
            <w:tcW w:w="979" w:type="pct"/>
          </w:tcPr>
          <w:p w14:paraId="7C8EF86F" w14:textId="77777777" w:rsidR="002320EC" w:rsidRPr="00877B56" w:rsidRDefault="002320EC" w:rsidP="00C84E08">
            <w:pPr>
              <w:jc w:val="both"/>
              <w:rPr>
                <w:rFonts w:ascii="Times New Roman" w:hAnsi="Times New Roman" w:cs="Times New Roman"/>
              </w:rPr>
            </w:pPr>
            <w:r w:rsidRPr="00877B56">
              <w:rPr>
                <w:rFonts w:ascii="Times New Roman" w:hAnsi="Times New Roman" w:cs="Times New Roman"/>
              </w:rPr>
              <w:t>Moderate</w:t>
            </w:r>
          </w:p>
        </w:tc>
        <w:tc>
          <w:tcPr>
            <w:tcW w:w="783" w:type="pct"/>
          </w:tcPr>
          <w:p w14:paraId="13DDA327"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72 (19.8)</w:t>
            </w:r>
          </w:p>
        </w:tc>
        <w:tc>
          <w:tcPr>
            <w:tcW w:w="2238" w:type="pct"/>
          </w:tcPr>
          <w:p w14:paraId="38C8C724"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-8.4 (-1.8)</w:t>
            </w:r>
          </w:p>
        </w:tc>
        <w:tc>
          <w:tcPr>
            <w:tcW w:w="1000" w:type="pct"/>
          </w:tcPr>
          <w:p w14:paraId="098C7DDB"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-6 to -12 dB</w:t>
            </w:r>
          </w:p>
        </w:tc>
      </w:tr>
      <w:tr w:rsidR="002320EC" w:rsidRPr="00877B56" w14:paraId="4DAB5711" w14:textId="77777777" w:rsidTr="00C84E08">
        <w:trPr>
          <w:trHeight w:val="224"/>
          <w:jc w:val="center"/>
        </w:trPr>
        <w:tc>
          <w:tcPr>
            <w:tcW w:w="979" w:type="pct"/>
            <w:tcBorders>
              <w:bottom w:val="nil"/>
            </w:tcBorders>
          </w:tcPr>
          <w:p w14:paraId="3A0BBCFD" w14:textId="77777777" w:rsidR="002320EC" w:rsidRPr="00877B56" w:rsidRDefault="002320EC" w:rsidP="00C84E08">
            <w:pPr>
              <w:jc w:val="both"/>
              <w:rPr>
                <w:rFonts w:ascii="Times New Roman" w:hAnsi="Times New Roman" w:cs="Times New Roman"/>
              </w:rPr>
            </w:pPr>
            <w:r w:rsidRPr="00877B56">
              <w:rPr>
                <w:rFonts w:ascii="Times New Roman" w:hAnsi="Times New Roman" w:cs="Times New Roman"/>
              </w:rPr>
              <w:t>Advanced</w:t>
            </w:r>
          </w:p>
        </w:tc>
        <w:tc>
          <w:tcPr>
            <w:tcW w:w="783" w:type="pct"/>
            <w:tcBorders>
              <w:bottom w:val="nil"/>
            </w:tcBorders>
          </w:tcPr>
          <w:p w14:paraId="6F5E148B"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48 (13.2)</w:t>
            </w:r>
          </w:p>
        </w:tc>
        <w:tc>
          <w:tcPr>
            <w:tcW w:w="2238" w:type="pct"/>
            <w:tcBorders>
              <w:bottom w:val="nil"/>
            </w:tcBorders>
          </w:tcPr>
          <w:p w14:paraId="07470226"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-17.1 (-2.4)</w:t>
            </w:r>
          </w:p>
        </w:tc>
        <w:tc>
          <w:tcPr>
            <w:tcW w:w="1000" w:type="pct"/>
            <w:tcBorders>
              <w:bottom w:val="nil"/>
            </w:tcBorders>
          </w:tcPr>
          <w:p w14:paraId="4A2A23C7"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-12 to -20 dB</w:t>
            </w:r>
          </w:p>
        </w:tc>
      </w:tr>
      <w:tr w:rsidR="002320EC" w:rsidRPr="00877B56" w14:paraId="1C9F9FB2" w14:textId="77777777" w:rsidTr="00C84E08">
        <w:trPr>
          <w:trHeight w:val="236"/>
          <w:jc w:val="center"/>
        </w:trPr>
        <w:tc>
          <w:tcPr>
            <w:tcW w:w="979" w:type="pct"/>
            <w:tcBorders>
              <w:top w:val="nil"/>
              <w:bottom w:val="nil"/>
            </w:tcBorders>
          </w:tcPr>
          <w:p w14:paraId="413815D8" w14:textId="77777777" w:rsidR="002320EC" w:rsidRPr="00877B56" w:rsidRDefault="002320EC" w:rsidP="00C84E08">
            <w:pPr>
              <w:jc w:val="both"/>
              <w:rPr>
                <w:rFonts w:ascii="Times New Roman" w:hAnsi="Times New Roman" w:cs="Times New Roman"/>
              </w:rPr>
            </w:pPr>
            <w:r w:rsidRPr="00877B56">
              <w:rPr>
                <w:rFonts w:ascii="Times New Roman" w:hAnsi="Times New Roman" w:cs="Times New Roman"/>
              </w:rPr>
              <w:t>Severe</w:t>
            </w:r>
          </w:p>
        </w:tc>
        <w:tc>
          <w:tcPr>
            <w:tcW w:w="783" w:type="pct"/>
            <w:tcBorders>
              <w:top w:val="nil"/>
              <w:bottom w:val="nil"/>
            </w:tcBorders>
          </w:tcPr>
          <w:p w14:paraId="1FAAE42D"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87 (24)</w:t>
            </w:r>
          </w:p>
        </w:tc>
        <w:tc>
          <w:tcPr>
            <w:tcW w:w="2238" w:type="pct"/>
            <w:tcBorders>
              <w:top w:val="nil"/>
              <w:bottom w:val="nil"/>
            </w:tcBorders>
          </w:tcPr>
          <w:p w14:paraId="7A004A9E"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-27.9 (-2.7)</w:t>
            </w:r>
          </w:p>
        </w:tc>
        <w:tc>
          <w:tcPr>
            <w:tcW w:w="1000" w:type="pct"/>
            <w:tcBorders>
              <w:top w:val="nil"/>
              <w:bottom w:val="nil"/>
            </w:tcBorders>
          </w:tcPr>
          <w:p w14:paraId="783B790B" w14:textId="77777777" w:rsidR="002320EC" w:rsidRPr="00877B56" w:rsidRDefault="002320EC" w:rsidP="00C84E08">
            <w:pPr>
              <w:jc w:val="center"/>
              <w:rPr>
                <w:rFonts w:ascii="Times New Roman" w:hAnsi="Times New Roman" w:cs="Times New Roman"/>
              </w:rPr>
            </w:pPr>
            <w:r w:rsidRPr="00877B56">
              <w:rPr>
                <w:rFonts w:ascii="Times New Roman" w:hAnsi="Times New Roman" w:cs="Times New Roman"/>
              </w:rPr>
              <w:t>&lt; -20 dB</w:t>
            </w:r>
          </w:p>
        </w:tc>
      </w:tr>
      <w:tr w:rsidR="002320EC" w:rsidRPr="00895BE3" w14:paraId="015A9CFB" w14:textId="77777777" w:rsidTr="00C84E08">
        <w:trPr>
          <w:trHeight w:val="236"/>
          <w:jc w:val="center"/>
        </w:trPr>
        <w:tc>
          <w:tcPr>
            <w:tcW w:w="979" w:type="pct"/>
            <w:tcBorders>
              <w:top w:val="nil"/>
              <w:bottom w:val="single" w:sz="12" w:space="0" w:color="auto"/>
            </w:tcBorders>
          </w:tcPr>
          <w:p w14:paraId="32BE3D84" w14:textId="77777777" w:rsidR="002320EC" w:rsidRPr="00895BE3" w:rsidRDefault="002320EC" w:rsidP="00C84E08">
            <w:pPr>
              <w:jc w:val="both"/>
              <w:rPr>
                <w:rFonts w:cstheme="minorHAnsi"/>
              </w:rPr>
            </w:pPr>
            <w:r w:rsidRPr="00895BE3">
              <w:rPr>
                <w:rFonts w:cstheme="minorHAnsi"/>
              </w:rPr>
              <w:t>Total</w:t>
            </w:r>
          </w:p>
        </w:tc>
        <w:tc>
          <w:tcPr>
            <w:tcW w:w="783" w:type="pct"/>
            <w:tcBorders>
              <w:top w:val="nil"/>
              <w:bottom w:val="single" w:sz="12" w:space="0" w:color="auto"/>
            </w:tcBorders>
          </w:tcPr>
          <w:p w14:paraId="474AC03A" w14:textId="77777777" w:rsidR="002320EC" w:rsidRPr="00895BE3" w:rsidRDefault="002320EC" w:rsidP="00C84E08">
            <w:pPr>
              <w:jc w:val="center"/>
              <w:rPr>
                <w:rFonts w:cstheme="minorHAnsi"/>
              </w:rPr>
            </w:pPr>
            <w:r w:rsidRPr="00895BE3">
              <w:rPr>
                <w:rFonts w:cstheme="minorHAnsi"/>
              </w:rPr>
              <w:t>363 (100)</w:t>
            </w:r>
          </w:p>
        </w:tc>
        <w:tc>
          <w:tcPr>
            <w:tcW w:w="2238" w:type="pct"/>
            <w:tcBorders>
              <w:top w:val="nil"/>
              <w:bottom w:val="single" w:sz="12" w:space="0" w:color="auto"/>
            </w:tcBorders>
          </w:tcPr>
          <w:p w14:paraId="19BD51A8" w14:textId="77777777" w:rsidR="002320EC" w:rsidRPr="00895BE3" w:rsidRDefault="002320EC" w:rsidP="00C84E08">
            <w:pPr>
              <w:jc w:val="center"/>
              <w:rPr>
                <w:rFonts w:cstheme="minorHAnsi"/>
              </w:rPr>
            </w:pPr>
          </w:p>
        </w:tc>
        <w:tc>
          <w:tcPr>
            <w:tcW w:w="1000" w:type="pct"/>
            <w:tcBorders>
              <w:top w:val="nil"/>
              <w:bottom w:val="single" w:sz="12" w:space="0" w:color="auto"/>
            </w:tcBorders>
          </w:tcPr>
          <w:p w14:paraId="0EF252AE" w14:textId="77777777" w:rsidR="002320EC" w:rsidRPr="00895BE3" w:rsidRDefault="002320EC" w:rsidP="00C84E08">
            <w:pPr>
              <w:jc w:val="center"/>
              <w:rPr>
                <w:rFonts w:cstheme="minorHAnsi"/>
              </w:rPr>
            </w:pPr>
          </w:p>
        </w:tc>
      </w:tr>
    </w:tbl>
    <w:p w14:paraId="0C44EC67" w14:textId="77777777" w:rsidR="002320EC" w:rsidRPr="00895BE3" w:rsidRDefault="002320EC" w:rsidP="002320EC">
      <w:pPr>
        <w:spacing w:line="360" w:lineRule="auto"/>
        <w:jc w:val="both"/>
        <w:rPr>
          <w:rFonts w:cstheme="minorHAnsi"/>
          <w:sz w:val="24"/>
          <w:szCs w:val="24"/>
        </w:rPr>
      </w:pPr>
    </w:p>
    <w:p w14:paraId="4B2DED22" w14:textId="77777777" w:rsidR="002320EC" w:rsidRPr="00B279FC" w:rsidRDefault="002320EC" w:rsidP="002320EC">
      <w:pPr>
        <w:pStyle w:val="NormalWeb"/>
        <w:rPr>
          <w:b/>
          <w:bCs/>
        </w:rPr>
      </w:pPr>
      <w:r w:rsidRPr="00B279FC">
        <w:rPr>
          <w:b/>
          <w:bCs/>
        </w:rPr>
        <w:t>Proportion of Eyes with POAG Progression based on Visual field index deterioration</w:t>
      </w:r>
    </w:p>
    <w:p w14:paraId="3BEEFBCB" w14:textId="11ABDFB6" w:rsidR="002320EC" w:rsidRPr="00B279FC" w:rsidRDefault="00CD5258" w:rsidP="002320EC">
      <w:pPr>
        <w:pStyle w:val="NormalWeb"/>
      </w:pPr>
      <w:r>
        <w:br/>
        <w:t xml:space="preserve">During follow </w:t>
      </w:r>
      <w:r w:rsidR="002320EC" w:rsidRPr="00B279FC">
        <w:t>up, 38.6% (140 eyes) showed progression at an average rate of -2.2% VFI/year. Among these, 30.7% had severe disease at diagnosis, 28.6% had mild disease, 25.7% had moderate disease, and 15% had advanced disease. Progression rates were -2.1% for mild, -3.31% for moderate, -2.9% for advanced, and -1.51% for severe disease stages. Notably, 77.1% of the 140 progressed eyes moved to more severe stages.</w:t>
      </w:r>
    </w:p>
    <w:p w14:paraId="5A3E7303" w14:textId="6C74D12D" w:rsidR="002320EC" w:rsidRPr="00B279FC" w:rsidRDefault="00CD5258" w:rsidP="002320E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During follow </w:t>
      </w:r>
      <w:r w:rsidR="002320EC" w:rsidRPr="00B279FC">
        <w:rPr>
          <w:rFonts w:ascii="Times New Roman" w:eastAsia="Times New Roman" w:hAnsi="Times New Roman" w:cs="Times New Roman"/>
          <w:sz w:val="24"/>
          <w:szCs w:val="24"/>
          <w:lang w:eastAsia="en-GB"/>
        </w:rPr>
        <w:t>up, 76.3% of eyes achieved normal intraocular pressure (IOP, 9-21 mmHg), but only 18.5% of eyes reached the target IOP for their disease stage. Among eyes that progressed, 90.6% did not attain target IOP.</w:t>
      </w:r>
    </w:p>
    <w:p w14:paraId="28CF12E2" w14:textId="77777777" w:rsidR="002320EC" w:rsidRPr="00B279FC" w:rsidRDefault="002320EC" w:rsidP="002320EC">
      <w:pPr>
        <w:pStyle w:val="Heading2"/>
      </w:pPr>
      <w:bookmarkStart w:id="12" w:name="_Toc171879314"/>
      <w:r>
        <w:t xml:space="preserve">       </w:t>
      </w:r>
      <w:r w:rsidRPr="00B279FC">
        <w:t>Table 3: Proportion eyes with POAG progression (N=140)</w:t>
      </w:r>
      <w:bookmarkEnd w:id="12"/>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2062"/>
        <w:gridCol w:w="2797"/>
        <w:gridCol w:w="2228"/>
      </w:tblGrid>
      <w:tr w:rsidR="002320EC" w:rsidRPr="00B279FC" w14:paraId="2FC0D854" w14:textId="77777777" w:rsidTr="00C84E08">
        <w:trPr>
          <w:trHeight w:val="430"/>
          <w:jc w:val="center"/>
        </w:trPr>
        <w:tc>
          <w:tcPr>
            <w:tcW w:w="1765" w:type="dxa"/>
            <w:tcBorders>
              <w:top w:val="single" w:sz="12" w:space="0" w:color="auto"/>
              <w:bottom w:val="single" w:sz="12" w:space="0" w:color="auto"/>
            </w:tcBorders>
          </w:tcPr>
          <w:p w14:paraId="2B1424F2" w14:textId="77777777" w:rsidR="002320EC" w:rsidRPr="00B279FC" w:rsidRDefault="002320EC" w:rsidP="00C84E08">
            <w:pPr>
              <w:jc w:val="both"/>
              <w:rPr>
                <w:rFonts w:ascii="Times New Roman" w:hAnsi="Times New Roman" w:cs="Times New Roman"/>
                <w:b/>
                <w:bCs/>
              </w:rPr>
            </w:pPr>
            <w:r w:rsidRPr="00B279FC">
              <w:rPr>
                <w:rFonts w:ascii="Times New Roman" w:hAnsi="Times New Roman" w:cs="Times New Roman"/>
                <w:b/>
                <w:bCs/>
              </w:rPr>
              <w:t>Disease stage</w:t>
            </w:r>
          </w:p>
        </w:tc>
        <w:tc>
          <w:tcPr>
            <w:tcW w:w="2062" w:type="dxa"/>
            <w:tcBorders>
              <w:top w:val="single" w:sz="12" w:space="0" w:color="auto"/>
              <w:bottom w:val="single" w:sz="12" w:space="0" w:color="auto"/>
            </w:tcBorders>
          </w:tcPr>
          <w:p w14:paraId="3EDA1E46" w14:textId="77777777" w:rsidR="002320EC" w:rsidRPr="00B279FC" w:rsidRDefault="002320EC" w:rsidP="00C84E08">
            <w:pPr>
              <w:jc w:val="center"/>
              <w:rPr>
                <w:rFonts w:ascii="Times New Roman" w:hAnsi="Times New Roman" w:cs="Times New Roman"/>
                <w:b/>
                <w:bCs/>
              </w:rPr>
            </w:pPr>
            <w:r w:rsidRPr="00B279FC">
              <w:rPr>
                <w:rFonts w:ascii="Times New Roman" w:hAnsi="Times New Roman" w:cs="Times New Roman"/>
                <w:b/>
                <w:bCs/>
              </w:rPr>
              <w:t>Eyes progressed</w:t>
            </w:r>
          </w:p>
          <w:p w14:paraId="50C82C69" w14:textId="77777777" w:rsidR="002320EC" w:rsidRPr="00B279FC" w:rsidRDefault="002320EC" w:rsidP="00C84E08">
            <w:pPr>
              <w:jc w:val="center"/>
              <w:rPr>
                <w:rFonts w:ascii="Times New Roman" w:hAnsi="Times New Roman" w:cs="Times New Roman"/>
                <w:b/>
                <w:bCs/>
              </w:rPr>
            </w:pPr>
            <w:r w:rsidRPr="00B279FC">
              <w:rPr>
                <w:rFonts w:ascii="Times New Roman" w:hAnsi="Times New Roman" w:cs="Times New Roman"/>
                <w:b/>
                <w:bCs/>
              </w:rPr>
              <w:t>n (%)</w:t>
            </w:r>
          </w:p>
        </w:tc>
        <w:tc>
          <w:tcPr>
            <w:tcW w:w="2797" w:type="dxa"/>
            <w:tcBorders>
              <w:top w:val="single" w:sz="12" w:space="0" w:color="auto"/>
              <w:bottom w:val="single" w:sz="12" w:space="0" w:color="auto"/>
            </w:tcBorders>
          </w:tcPr>
          <w:p w14:paraId="2A5C8ED7" w14:textId="77777777" w:rsidR="002320EC" w:rsidRPr="00B279FC" w:rsidRDefault="002320EC" w:rsidP="00C84E08">
            <w:pPr>
              <w:jc w:val="center"/>
              <w:rPr>
                <w:rFonts w:ascii="Times New Roman" w:hAnsi="Times New Roman" w:cs="Times New Roman"/>
                <w:b/>
                <w:bCs/>
              </w:rPr>
            </w:pPr>
            <w:r w:rsidRPr="00B279FC">
              <w:rPr>
                <w:rFonts w:ascii="Times New Roman" w:hAnsi="Times New Roman" w:cs="Times New Roman"/>
                <w:b/>
                <w:bCs/>
              </w:rPr>
              <w:t>Eyes progressed into subsequent stages n (%)</w:t>
            </w:r>
          </w:p>
        </w:tc>
        <w:tc>
          <w:tcPr>
            <w:tcW w:w="2228" w:type="dxa"/>
            <w:tcBorders>
              <w:top w:val="single" w:sz="12" w:space="0" w:color="auto"/>
              <w:bottom w:val="single" w:sz="12" w:space="0" w:color="auto"/>
            </w:tcBorders>
          </w:tcPr>
          <w:p w14:paraId="3BE087A7" w14:textId="77777777" w:rsidR="002320EC" w:rsidRPr="00B279FC" w:rsidRDefault="002320EC" w:rsidP="00C84E08">
            <w:pPr>
              <w:jc w:val="center"/>
              <w:rPr>
                <w:rFonts w:ascii="Times New Roman" w:hAnsi="Times New Roman" w:cs="Times New Roman"/>
                <w:b/>
                <w:bCs/>
              </w:rPr>
            </w:pPr>
            <w:r w:rsidRPr="00B279FC">
              <w:rPr>
                <w:rFonts w:ascii="Times New Roman" w:hAnsi="Times New Roman" w:cs="Times New Roman"/>
                <w:b/>
                <w:bCs/>
              </w:rPr>
              <w:t>Progression rates (%VFI/year)</w:t>
            </w:r>
          </w:p>
        </w:tc>
      </w:tr>
      <w:tr w:rsidR="002320EC" w:rsidRPr="00B279FC" w14:paraId="6E028C4E" w14:textId="77777777" w:rsidTr="00C84E08">
        <w:trPr>
          <w:trHeight w:val="221"/>
          <w:jc w:val="center"/>
        </w:trPr>
        <w:tc>
          <w:tcPr>
            <w:tcW w:w="1765" w:type="dxa"/>
            <w:tcBorders>
              <w:top w:val="single" w:sz="12" w:space="0" w:color="auto"/>
            </w:tcBorders>
          </w:tcPr>
          <w:p w14:paraId="1437CD02" w14:textId="77777777" w:rsidR="002320EC" w:rsidRPr="00B279FC" w:rsidRDefault="002320EC" w:rsidP="00C84E08">
            <w:pPr>
              <w:jc w:val="both"/>
              <w:rPr>
                <w:rFonts w:ascii="Times New Roman" w:hAnsi="Times New Roman" w:cs="Times New Roman"/>
              </w:rPr>
            </w:pPr>
            <w:r w:rsidRPr="00B279FC">
              <w:rPr>
                <w:rFonts w:ascii="Times New Roman" w:hAnsi="Times New Roman" w:cs="Times New Roman"/>
              </w:rPr>
              <w:t>Mild</w:t>
            </w:r>
          </w:p>
        </w:tc>
        <w:tc>
          <w:tcPr>
            <w:tcW w:w="2062" w:type="dxa"/>
            <w:tcBorders>
              <w:top w:val="single" w:sz="12" w:space="0" w:color="auto"/>
            </w:tcBorders>
          </w:tcPr>
          <w:p w14:paraId="3BC08BEF" w14:textId="77777777" w:rsidR="002320EC" w:rsidRPr="00B279FC" w:rsidRDefault="002320EC" w:rsidP="00C84E08">
            <w:pPr>
              <w:jc w:val="center"/>
              <w:rPr>
                <w:rFonts w:ascii="Times New Roman" w:hAnsi="Times New Roman" w:cs="Times New Roman"/>
              </w:rPr>
            </w:pPr>
            <w:r w:rsidRPr="00B279FC">
              <w:rPr>
                <w:rFonts w:ascii="Times New Roman" w:hAnsi="Times New Roman" w:cs="Times New Roman"/>
              </w:rPr>
              <w:t>40 (28.6)</w:t>
            </w:r>
          </w:p>
        </w:tc>
        <w:tc>
          <w:tcPr>
            <w:tcW w:w="2797" w:type="dxa"/>
            <w:tcBorders>
              <w:top w:val="single" w:sz="12" w:space="0" w:color="auto"/>
            </w:tcBorders>
          </w:tcPr>
          <w:p w14:paraId="64C5313B" w14:textId="77777777" w:rsidR="002320EC" w:rsidRPr="00B279FC" w:rsidRDefault="002320EC" w:rsidP="00C84E08">
            <w:pPr>
              <w:jc w:val="center"/>
              <w:rPr>
                <w:rFonts w:ascii="Times New Roman" w:hAnsi="Times New Roman" w:cs="Times New Roman"/>
              </w:rPr>
            </w:pPr>
            <w:r w:rsidRPr="00B279FC">
              <w:rPr>
                <w:rFonts w:ascii="Times New Roman" w:hAnsi="Times New Roman" w:cs="Times New Roman"/>
              </w:rPr>
              <w:t>39 (97.5)</w:t>
            </w:r>
          </w:p>
        </w:tc>
        <w:tc>
          <w:tcPr>
            <w:tcW w:w="2228" w:type="dxa"/>
            <w:tcBorders>
              <w:top w:val="single" w:sz="12" w:space="0" w:color="auto"/>
            </w:tcBorders>
          </w:tcPr>
          <w:p w14:paraId="7BFE835D" w14:textId="77777777" w:rsidR="002320EC" w:rsidRPr="00B279FC" w:rsidRDefault="002320EC" w:rsidP="00C84E08">
            <w:pPr>
              <w:jc w:val="center"/>
              <w:rPr>
                <w:rFonts w:ascii="Times New Roman" w:hAnsi="Times New Roman" w:cs="Times New Roman"/>
              </w:rPr>
            </w:pPr>
            <w:r w:rsidRPr="00B279FC">
              <w:rPr>
                <w:rFonts w:ascii="Times New Roman" w:hAnsi="Times New Roman" w:cs="Times New Roman"/>
              </w:rPr>
              <w:t>-2.1</w:t>
            </w:r>
          </w:p>
        </w:tc>
      </w:tr>
      <w:tr w:rsidR="002320EC" w:rsidRPr="00B279FC" w14:paraId="20FBB06B" w14:textId="77777777" w:rsidTr="00C84E08">
        <w:trPr>
          <w:trHeight w:val="209"/>
          <w:jc w:val="center"/>
        </w:trPr>
        <w:tc>
          <w:tcPr>
            <w:tcW w:w="1765" w:type="dxa"/>
          </w:tcPr>
          <w:p w14:paraId="72CD808C" w14:textId="77777777" w:rsidR="002320EC" w:rsidRPr="00B279FC" w:rsidRDefault="002320EC" w:rsidP="00C84E08">
            <w:pPr>
              <w:jc w:val="both"/>
              <w:rPr>
                <w:rFonts w:ascii="Times New Roman" w:hAnsi="Times New Roman" w:cs="Times New Roman"/>
              </w:rPr>
            </w:pPr>
            <w:r w:rsidRPr="00B279FC">
              <w:rPr>
                <w:rFonts w:ascii="Times New Roman" w:hAnsi="Times New Roman" w:cs="Times New Roman"/>
              </w:rPr>
              <w:t>Moderate</w:t>
            </w:r>
          </w:p>
        </w:tc>
        <w:tc>
          <w:tcPr>
            <w:tcW w:w="2062" w:type="dxa"/>
          </w:tcPr>
          <w:p w14:paraId="50C97092" w14:textId="77777777" w:rsidR="002320EC" w:rsidRPr="00B279FC" w:rsidRDefault="002320EC" w:rsidP="00C84E08">
            <w:pPr>
              <w:jc w:val="center"/>
              <w:rPr>
                <w:rFonts w:ascii="Times New Roman" w:hAnsi="Times New Roman" w:cs="Times New Roman"/>
              </w:rPr>
            </w:pPr>
            <w:r w:rsidRPr="00B279FC">
              <w:rPr>
                <w:rFonts w:ascii="Times New Roman" w:hAnsi="Times New Roman" w:cs="Times New Roman"/>
              </w:rPr>
              <w:t>36 (25.7)</w:t>
            </w:r>
          </w:p>
        </w:tc>
        <w:tc>
          <w:tcPr>
            <w:tcW w:w="2797" w:type="dxa"/>
          </w:tcPr>
          <w:p w14:paraId="5AF078AA" w14:textId="77777777" w:rsidR="002320EC" w:rsidRPr="00B279FC" w:rsidRDefault="002320EC" w:rsidP="00C84E08">
            <w:pPr>
              <w:jc w:val="center"/>
              <w:rPr>
                <w:rFonts w:ascii="Times New Roman" w:hAnsi="Times New Roman" w:cs="Times New Roman"/>
              </w:rPr>
            </w:pPr>
            <w:r w:rsidRPr="00B279FC">
              <w:rPr>
                <w:rFonts w:ascii="Times New Roman" w:hAnsi="Times New Roman" w:cs="Times New Roman"/>
              </w:rPr>
              <w:t>30 (83.3)</w:t>
            </w:r>
          </w:p>
        </w:tc>
        <w:tc>
          <w:tcPr>
            <w:tcW w:w="2228" w:type="dxa"/>
          </w:tcPr>
          <w:p w14:paraId="5651F39D" w14:textId="77777777" w:rsidR="002320EC" w:rsidRPr="00B279FC" w:rsidRDefault="002320EC" w:rsidP="00C84E08">
            <w:pPr>
              <w:jc w:val="center"/>
              <w:rPr>
                <w:rFonts w:ascii="Times New Roman" w:hAnsi="Times New Roman" w:cs="Times New Roman"/>
              </w:rPr>
            </w:pPr>
            <w:r w:rsidRPr="00B279FC">
              <w:rPr>
                <w:rFonts w:ascii="Times New Roman" w:hAnsi="Times New Roman" w:cs="Times New Roman"/>
              </w:rPr>
              <w:t>-3.31</w:t>
            </w:r>
          </w:p>
        </w:tc>
      </w:tr>
      <w:tr w:rsidR="002320EC" w:rsidRPr="00B279FC" w14:paraId="5BAF14C1" w14:textId="77777777" w:rsidTr="00C84E08">
        <w:trPr>
          <w:trHeight w:val="209"/>
          <w:jc w:val="center"/>
        </w:trPr>
        <w:tc>
          <w:tcPr>
            <w:tcW w:w="1765" w:type="dxa"/>
          </w:tcPr>
          <w:p w14:paraId="72ABBF4D" w14:textId="77777777" w:rsidR="002320EC" w:rsidRPr="00B279FC" w:rsidRDefault="002320EC" w:rsidP="00C84E08">
            <w:pPr>
              <w:jc w:val="both"/>
              <w:rPr>
                <w:rFonts w:ascii="Times New Roman" w:hAnsi="Times New Roman" w:cs="Times New Roman"/>
              </w:rPr>
            </w:pPr>
            <w:r w:rsidRPr="00B279FC">
              <w:rPr>
                <w:rFonts w:ascii="Times New Roman" w:hAnsi="Times New Roman" w:cs="Times New Roman"/>
              </w:rPr>
              <w:t>Advanced</w:t>
            </w:r>
          </w:p>
        </w:tc>
        <w:tc>
          <w:tcPr>
            <w:tcW w:w="2062" w:type="dxa"/>
          </w:tcPr>
          <w:p w14:paraId="41D6E349" w14:textId="77777777" w:rsidR="002320EC" w:rsidRPr="00B279FC" w:rsidRDefault="002320EC" w:rsidP="00C84E08">
            <w:pPr>
              <w:jc w:val="center"/>
              <w:rPr>
                <w:rFonts w:ascii="Times New Roman" w:hAnsi="Times New Roman" w:cs="Times New Roman"/>
              </w:rPr>
            </w:pPr>
            <w:r w:rsidRPr="00B279FC">
              <w:rPr>
                <w:rFonts w:ascii="Times New Roman" w:hAnsi="Times New Roman" w:cs="Times New Roman"/>
              </w:rPr>
              <w:t>21 (15)</w:t>
            </w:r>
          </w:p>
        </w:tc>
        <w:tc>
          <w:tcPr>
            <w:tcW w:w="2797" w:type="dxa"/>
          </w:tcPr>
          <w:p w14:paraId="6BDA3A2A" w14:textId="77777777" w:rsidR="002320EC" w:rsidRPr="00B279FC" w:rsidRDefault="002320EC" w:rsidP="00C84E08">
            <w:pPr>
              <w:jc w:val="center"/>
              <w:rPr>
                <w:rFonts w:ascii="Times New Roman" w:hAnsi="Times New Roman" w:cs="Times New Roman"/>
              </w:rPr>
            </w:pPr>
            <w:r w:rsidRPr="00B279FC">
              <w:rPr>
                <w:rFonts w:ascii="Times New Roman" w:hAnsi="Times New Roman" w:cs="Times New Roman"/>
              </w:rPr>
              <w:t>21 (100)</w:t>
            </w:r>
          </w:p>
        </w:tc>
        <w:tc>
          <w:tcPr>
            <w:tcW w:w="2228" w:type="dxa"/>
          </w:tcPr>
          <w:p w14:paraId="2DF64483" w14:textId="77777777" w:rsidR="002320EC" w:rsidRPr="00B279FC" w:rsidRDefault="002320EC" w:rsidP="00C84E08">
            <w:pPr>
              <w:jc w:val="center"/>
              <w:rPr>
                <w:rFonts w:ascii="Times New Roman" w:hAnsi="Times New Roman" w:cs="Times New Roman"/>
              </w:rPr>
            </w:pPr>
            <w:r w:rsidRPr="00B279FC">
              <w:rPr>
                <w:rFonts w:ascii="Times New Roman" w:hAnsi="Times New Roman" w:cs="Times New Roman"/>
              </w:rPr>
              <w:t>-2.9</w:t>
            </w:r>
          </w:p>
        </w:tc>
      </w:tr>
      <w:tr w:rsidR="002320EC" w:rsidRPr="00B279FC" w14:paraId="61EE9B25" w14:textId="77777777" w:rsidTr="00C84E08">
        <w:trPr>
          <w:trHeight w:val="156"/>
          <w:jc w:val="center"/>
        </w:trPr>
        <w:tc>
          <w:tcPr>
            <w:tcW w:w="1765" w:type="dxa"/>
          </w:tcPr>
          <w:p w14:paraId="66BC0EAC" w14:textId="77777777" w:rsidR="002320EC" w:rsidRPr="00B279FC" w:rsidRDefault="002320EC" w:rsidP="00C84E08">
            <w:pPr>
              <w:jc w:val="both"/>
              <w:rPr>
                <w:rFonts w:ascii="Times New Roman" w:hAnsi="Times New Roman" w:cs="Times New Roman"/>
              </w:rPr>
            </w:pPr>
            <w:r w:rsidRPr="00B279FC">
              <w:rPr>
                <w:rFonts w:ascii="Times New Roman" w:hAnsi="Times New Roman" w:cs="Times New Roman"/>
              </w:rPr>
              <w:t>Severe</w:t>
            </w:r>
          </w:p>
        </w:tc>
        <w:tc>
          <w:tcPr>
            <w:tcW w:w="2062" w:type="dxa"/>
          </w:tcPr>
          <w:p w14:paraId="578BBF2A" w14:textId="77777777" w:rsidR="002320EC" w:rsidRPr="00B279FC" w:rsidRDefault="002320EC" w:rsidP="00C84E08">
            <w:pPr>
              <w:jc w:val="center"/>
              <w:rPr>
                <w:rFonts w:ascii="Times New Roman" w:hAnsi="Times New Roman" w:cs="Times New Roman"/>
              </w:rPr>
            </w:pPr>
            <w:r w:rsidRPr="00B279FC">
              <w:rPr>
                <w:rFonts w:ascii="Times New Roman" w:hAnsi="Times New Roman" w:cs="Times New Roman"/>
              </w:rPr>
              <w:t>43 (30.7)</w:t>
            </w:r>
          </w:p>
        </w:tc>
        <w:tc>
          <w:tcPr>
            <w:tcW w:w="2797" w:type="dxa"/>
          </w:tcPr>
          <w:p w14:paraId="27319091" w14:textId="77777777" w:rsidR="002320EC" w:rsidRPr="00B279FC" w:rsidRDefault="002320EC" w:rsidP="00C84E08">
            <w:pPr>
              <w:jc w:val="center"/>
              <w:rPr>
                <w:rFonts w:ascii="Times New Roman" w:hAnsi="Times New Roman" w:cs="Times New Roman"/>
              </w:rPr>
            </w:pPr>
            <w:r w:rsidRPr="00B279FC">
              <w:rPr>
                <w:rFonts w:ascii="Times New Roman" w:hAnsi="Times New Roman" w:cs="Times New Roman"/>
              </w:rPr>
              <w:t>18 (41.9)</w:t>
            </w:r>
          </w:p>
        </w:tc>
        <w:tc>
          <w:tcPr>
            <w:tcW w:w="2228" w:type="dxa"/>
          </w:tcPr>
          <w:p w14:paraId="3383CA24" w14:textId="77777777" w:rsidR="002320EC" w:rsidRPr="00B279FC" w:rsidRDefault="002320EC" w:rsidP="00C84E08">
            <w:pPr>
              <w:jc w:val="center"/>
              <w:rPr>
                <w:rFonts w:ascii="Times New Roman" w:hAnsi="Times New Roman" w:cs="Times New Roman"/>
              </w:rPr>
            </w:pPr>
            <w:r w:rsidRPr="00B279FC">
              <w:rPr>
                <w:rFonts w:ascii="Times New Roman" w:hAnsi="Times New Roman" w:cs="Times New Roman"/>
              </w:rPr>
              <w:t>-1.51</w:t>
            </w:r>
          </w:p>
        </w:tc>
      </w:tr>
    </w:tbl>
    <w:p w14:paraId="19C2D301" w14:textId="77777777" w:rsidR="002320EC" w:rsidRPr="00895BE3" w:rsidRDefault="002320EC" w:rsidP="002320EC">
      <w:pPr>
        <w:rPr>
          <w:rFonts w:cstheme="minorHAnsi"/>
          <w:sz w:val="24"/>
          <w:szCs w:val="24"/>
        </w:rPr>
      </w:pPr>
    </w:p>
    <w:p w14:paraId="62258ACD" w14:textId="77777777" w:rsidR="002320EC" w:rsidRPr="00895BE3" w:rsidRDefault="002320EC" w:rsidP="002320EC">
      <w:pPr>
        <w:rPr>
          <w:rFonts w:cstheme="minorHAnsi"/>
          <w:sz w:val="24"/>
          <w:szCs w:val="24"/>
        </w:rPr>
      </w:pPr>
    </w:p>
    <w:p w14:paraId="554AD893" w14:textId="77777777" w:rsidR="002320EC" w:rsidRDefault="002320EC" w:rsidP="002320EC">
      <w:pPr>
        <w:spacing w:before="100" w:beforeAutospacing="1" w:after="100" w:afterAutospacing="1" w:line="240" w:lineRule="auto"/>
        <w:rPr>
          <w:rFonts w:cstheme="minorHAnsi"/>
          <w:sz w:val="24"/>
          <w:szCs w:val="24"/>
        </w:rPr>
      </w:pPr>
    </w:p>
    <w:p w14:paraId="33637424" w14:textId="77777777" w:rsidR="002320EC" w:rsidRDefault="002320EC" w:rsidP="002320EC">
      <w:pPr>
        <w:spacing w:before="100" w:beforeAutospacing="1" w:after="100" w:afterAutospacing="1" w:line="240" w:lineRule="auto"/>
        <w:rPr>
          <w:rFonts w:cstheme="minorHAnsi"/>
          <w:sz w:val="24"/>
          <w:szCs w:val="24"/>
        </w:rPr>
      </w:pPr>
    </w:p>
    <w:p w14:paraId="0AF4E29C" w14:textId="19A0876F" w:rsidR="002320EC" w:rsidRPr="003B0E4D" w:rsidRDefault="002320EC" w:rsidP="003B0E4D">
      <w:pPr>
        <w:spacing w:before="100" w:beforeAutospacing="1" w:after="100" w:afterAutospacing="1" w:line="240" w:lineRule="auto"/>
        <w:rPr>
          <w:rFonts w:ascii="Times New Roman" w:hAnsi="Times New Roman" w:cs="Times New Roman"/>
          <w:sz w:val="24"/>
          <w:szCs w:val="24"/>
        </w:rPr>
      </w:pPr>
      <w:r w:rsidRPr="00B279FC">
        <w:rPr>
          <w:rFonts w:ascii="Times New Roman" w:eastAsia="Times New Roman" w:hAnsi="Times New Roman" w:cs="Times New Roman"/>
          <w:b/>
          <w:bCs/>
          <w:sz w:val="24"/>
          <w:szCs w:val="24"/>
          <w:lang w:eastAsia="en-GB"/>
        </w:rPr>
        <w:lastRenderedPageBreak/>
        <w:t>Kaplan-Meier Survival Analysis (Figure 2)</w:t>
      </w:r>
      <w:r w:rsidRPr="00B279FC">
        <w:rPr>
          <w:rFonts w:ascii="Times New Roman" w:eastAsia="Times New Roman" w:hAnsi="Times New Roman" w:cs="Times New Roman"/>
          <w:sz w:val="24"/>
          <w:szCs w:val="24"/>
          <w:lang w:eastAsia="en-GB"/>
        </w:rPr>
        <w:br/>
        <w:t>The Kaplan-M</w:t>
      </w:r>
      <w:r w:rsidR="00CD5258">
        <w:rPr>
          <w:rFonts w:ascii="Times New Roman" w:eastAsia="Times New Roman" w:hAnsi="Times New Roman" w:cs="Times New Roman"/>
          <w:sz w:val="24"/>
          <w:szCs w:val="24"/>
          <w:lang w:eastAsia="en-GB"/>
        </w:rPr>
        <w:t>eier survival curve (Figure 2</w:t>
      </w:r>
      <w:r w:rsidRPr="00B279FC">
        <w:rPr>
          <w:rFonts w:ascii="Times New Roman" w:eastAsia="Times New Roman" w:hAnsi="Times New Roman" w:cs="Times New Roman"/>
          <w:sz w:val="24"/>
          <w:szCs w:val="24"/>
          <w:lang w:eastAsia="en-GB"/>
        </w:rPr>
        <w:t>) indicates that 50%</w:t>
      </w:r>
      <w:r w:rsidR="00CD5258">
        <w:rPr>
          <w:rFonts w:ascii="Times New Roman" w:eastAsia="Times New Roman" w:hAnsi="Times New Roman" w:cs="Times New Roman"/>
          <w:sz w:val="24"/>
          <w:szCs w:val="24"/>
          <w:lang w:eastAsia="en-GB"/>
        </w:rPr>
        <w:t xml:space="preserve"> of eyes with POAG remained </w:t>
      </w:r>
      <w:proofErr w:type="gramStart"/>
      <w:r w:rsidR="00CD5258">
        <w:rPr>
          <w:rFonts w:ascii="Times New Roman" w:eastAsia="Times New Roman" w:hAnsi="Times New Roman" w:cs="Times New Roman"/>
          <w:sz w:val="24"/>
          <w:szCs w:val="24"/>
          <w:lang w:eastAsia="en-GB"/>
        </w:rPr>
        <w:t xml:space="preserve">non </w:t>
      </w:r>
      <w:r w:rsidRPr="00B279FC">
        <w:rPr>
          <w:rFonts w:ascii="Times New Roman" w:eastAsia="Times New Roman" w:hAnsi="Times New Roman" w:cs="Times New Roman"/>
          <w:sz w:val="24"/>
          <w:szCs w:val="24"/>
          <w:lang w:eastAsia="en-GB"/>
        </w:rPr>
        <w:t>progressive</w:t>
      </w:r>
      <w:proofErr w:type="gramEnd"/>
      <w:r w:rsidRPr="00B279FC">
        <w:rPr>
          <w:rFonts w:ascii="Times New Roman" w:eastAsia="Times New Roman" w:hAnsi="Times New Roman" w:cs="Times New Roman"/>
          <w:sz w:val="24"/>
          <w:szCs w:val="24"/>
          <w:lang w:eastAsia="en-GB"/>
        </w:rPr>
        <w:t xml:space="preserve"> for 9 years. Eyes diagnose</w:t>
      </w:r>
      <w:r w:rsidR="00CD5258">
        <w:rPr>
          <w:rFonts w:ascii="Times New Roman" w:eastAsia="Times New Roman" w:hAnsi="Times New Roman" w:cs="Times New Roman"/>
          <w:sz w:val="24"/>
          <w:szCs w:val="24"/>
          <w:lang w:eastAsia="en-GB"/>
        </w:rPr>
        <w:t>d with severe disease (Figure 3a</w:t>
      </w:r>
      <w:r w:rsidRPr="00B279FC">
        <w:rPr>
          <w:rFonts w:ascii="Times New Roman" w:eastAsia="Times New Roman" w:hAnsi="Times New Roman" w:cs="Times New Roman"/>
          <w:sz w:val="24"/>
          <w:szCs w:val="24"/>
          <w:lang w:eastAsia="en-GB"/>
        </w:rPr>
        <w:t>) and those treated with medicat</w:t>
      </w:r>
      <w:r w:rsidR="00CD5258">
        <w:rPr>
          <w:rFonts w:ascii="Times New Roman" w:eastAsia="Times New Roman" w:hAnsi="Times New Roman" w:cs="Times New Roman"/>
          <w:sz w:val="24"/>
          <w:szCs w:val="24"/>
          <w:lang w:eastAsia="en-GB"/>
        </w:rPr>
        <w:t>ion followed by laser (figure 3b</w:t>
      </w:r>
      <w:r w:rsidRPr="00B279FC">
        <w:rPr>
          <w:rFonts w:ascii="Times New Roman" w:eastAsia="Times New Roman" w:hAnsi="Times New Roman" w:cs="Times New Roman"/>
          <w:sz w:val="24"/>
          <w:szCs w:val="24"/>
          <w:lang w:eastAsia="en-GB"/>
        </w:rPr>
        <w:t>) had the fastest progression, with a 50</w:t>
      </w:r>
      <w:r w:rsidR="00CD5258">
        <w:rPr>
          <w:rFonts w:ascii="Times New Roman" w:eastAsia="Times New Roman" w:hAnsi="Times New Roman" w:cs="Times New Roman"/>
          <w:sz w:val="24"/>
          <w:szCs w:val="24"/>
          <w:lang w:eastAsia="en-GB"/>
        </w:rPr>
        <w:t>% non-</w:t>
      </w:r>
      <w:r w:rsidRPr="00B279FC">
        <w:rPr>
          <w:rFonts w:ascii="Times New Roman" w:eastAsia="Times New Roman" w:hAnsi="Times New Roman" w:cs="Times New Roman"/>
          <w:sz w:val="24"/>
          <w:szCs w:val="24"/>
          <w:lang w:eastAsia="en-GB"/>
        </w:rPr>
        <w:t>progression probability at 7 years.</w:t>
      </w:r>
    </w:p>
    <w:p w14:paraId="027F8382" w14:textId="77777777" w:rsidR="003B0E4D" w:rsidRDefault="003B0E4D" w:rsidP="003B0E4D">
      <w:pPr>
        <w:jc w:val="center"/>
      </w:pPr>
      <w:r>
        <w:rPr>
          <w:noProof/>
          <w:lang w:eastAsia="en-GB"/>
        </w:rPr>
        <w:drawing>
          <wp:inline distT="0" distB="0" distL="0" distR="0" wp14:anchorId="5C06EE36" wp14:editId="10ED6237">
            <wp:extent cx="4476750" cy="3255818"/>
            <wp:effectExtent l="0" t="0" r="0" b="1905"/>
            <wp:docPr id="251600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00471" name="Picture 251600471"/>
                    <pic:cNvPicPr/>
                  </pic:nvPicPr>
                  <pic:blipFill>
                    <a:blip r:embed="rId13">
                      <a:extLst>
                        <a:ext uri="{28A0092B-C50C-407E-A947-70E740481C1C}">
                          <a14:useLocalDpi xmlns:a14="http://schemas.microsoft.com/office/drawing/2010/main" val="0"/>
                        </a:ext>
                      </a:extLst>
                    </a:blip>
                    <a:stretch>
                      <a:fillRect/>
                    </a:stretch>
                  </pic:blipFill>
                  <pic:spPr>
                    <a:xfrm>
                      <a:off x="0" y="0"/>
                      <a:ext cx="4497262" cy="3270736"/>
                    </a:xfrm>
                    <a:prstGeom prst="rect">
                      <a:avLst/>
                    </a:prstGeom>
                  </pic:spPr>
                </pic:pic>
              </a:graphicData>
            </a:graphic>
          </wp:inline>
        </w:drawing>
      </w:r>
    </w:p>
    <w:p w14:paraId="10EC39D0" w14:textId="55A63F40" w:rsidR="003B0E4D" w:rsidRPr="003B0E4D" w:rsidRDefault="003B0E4D" w:rsidP="003B0E4D">
      <w:pPr>
        <w:jc w:val="both"/>
        <w:rPr>
          <w:rFonts w:ascii="Times New Roman" w:hAnsi="Times New Roman" w:cs="Times New Roman"/>
          <w:b/>
          <w:bCs/>
        </w:rPr>
      </w:pPr>
      <w:r>
        <w:rPr>
          <w:noProof/>
          <w:lang w:eastAsia="en-GB"/>
        </w:rPr>
        <mc:AlternateContent>
          <mc:Choice Requires="wps">
            <w:drawing>
              <wp:anchor distT="45720" distB="45720" distL="114300" distR="114300" simplePos="0" relativeHeight="251659264" behindDoc="0" locked="0" layoutInCell="1" allowOverlap="1" wp14:anchorId="7DDD8E3A" wp14:editId="65D56BC4">
                <wp:simplePos x="0" y="0"/>
                <wp:positionH relativeFrom="column">
                  <wp:posOffset>-19050</wp:posOffset>
                </wp:positionH>
                <wp:positionV relativeFrom="paragraph">
                  <wp:posOffset>668020</wp:posOffset>
                </wp:positionV>
                <wp:extent cx="6438900" cy="3219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219450"/>
                        </a:xfrm>
                        <a:prstGeom prst="rect">
                          <a:avLst/>
                        </a:prstGeom>
                        <a:solidFill>
                          <a:srgbClr val="FFFFFF"/>
                        </a:solidFill>
                        <a:ln w="9525">
                          <a:solidFill>
                            <a:srgbClr val="000000"/>
                          </a:solidFill>
                          <a:miter lim="800000"/>
                          <a:headEnd/>
                          <a:tailEnd/>
                        </a:ln>
                      </wps:spPr>
                      <wps:txbx>
                        <w:txbxContent>
                          <w:p w14:paraId="428A6ED8" w14:textId="77777777" w:rsidR="003B0E4D" w:rsidRDefault="003B0E4D" w:rsidP="003B0E4D">
                            <w:bookmarkStart w:id="13" w:name="_Hlk198717285"/>
                            <w:r>
                              <w:t>a)</w:t>
                            </w:r>
                            <w:r>
                              <w:rPr>
                                <w:noProof/>
                                <w:lang w:eastAsia="en-GB"/>
                              </w:rPr>
                              <w:drawing>
                                <wp:inline distT="0" distB="0" distL="0" distR="0" wp14:anchorId="4FCD7ECB" wp14:editId="19860AD7">
                                  <wp:extent cx="2977873" cy="2505075"/>
                                  <wp:effectExtent l="0" t="0" r="0" b="0"/>
                                  <wp:docPr id="20020731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73190" name="Picture 2002073190"/>
                                          <pic:cNvPicPr/>
                                        </pic:nvPicPr>
                                        <pic:blipFill>
                                          <a:blip r:embed="rId14">
                                            <a:extLst>
                                              <a:ext uri="{28A0092B-C50C-407E-A947-70E740481C1C}">
                                                <a14:useLocalDpi xmlns:a14="http://schemas.microsoft.com/office/drawing/2010/main" val="0"/>
                                              </a:ext>
                                            </a:extLst>
                                          </a:blip>
                                          <a:stretch>
                                            <a:fillRect/>
                                          </a:stretch>
                                        </pic:blipFill>
                                        <pic:spPr>
                                          <a:xfrm>
                                            <a:off x="0" y="0"/>
                                            <a:ext cx="3019232" cy="2539867"/>
                                          </a:xfrm>
                                          <a:prstGeom prst="rect">
                                            <a:avLst/>
                                          </a:prstGeom>
                                        </pic:spPr>
                                      </pic:pic>
                                    </a:graphicData>
                                  </a:graphic>
                                </wp:inline>
                              </w:drawing>
                            </w:r>
                            <w:r>
                              <w:t>b)</w:t>
                            </w:r>
                            <w:r>
                              <w:rPr>
                                <w:noProof/>
                                <w:lang w:eastAsia="en-GB"/>
                              </w:rPr>
                              <w:drawing>
                                <wp:inline distT="0" distB="0" distL="0" distR="0" wp14:anchorId="465A8C75" wp14:editId="1ACB40BE">
                                  <wp:extent cx="2978993" cy="2638425"/>
                                  <wp:effectExtent l="0" t="0" r="0" b="0"/>
                                  <wp:docPr id="9643919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91978" name="Picture 964391978"/>
                                          <pic:cNvPicPr/>
                                        </pic:nvPicPr>
                                        <pic:blipFill>
                                          <a:blip r:embed="rId15">
                                            <a:extLst>
                                              <a:ext uri="{28A0092B-C50C-407E-A947-70E740481C1C}">
                                                <a14:useLocalDpi xmlns:a14="http://schemas.microsoft.com/office/drawing/2010/main" val="0"/>
                                              </a:ext>
                                            </a:extLst>
                                          </a:blip>
                                          <a:stretch>
                                            <a:fillRect/>
                                          </a:stretch>
                                        </pic:blipFill>
                                        <pic:spPr>
                                          <a:xfrm>
                                            <a:off x="0" y="0"/>
                                            <a:ext cx="3010544" cy="2666369"/>
                                          </a:xfrm>
                                          <a:prstGeom prst="rect">
                                            <a:avLst/>
                                          </a:prstGeom>
                                        </pic:spPr>
                                      </pic:pic>
                                    </a:graphicData>
                                  </a:graphic>
                                </wp:inline>
                              </w:drawing>
                            </w:r>
                          </w:p>
                          <w:bookmarkEnd w:id="13"/>
                          <w:p w14:paraId="53CB2FA8" w14:textId="77777777" w:rsidR="003B0E4D" w:rsidRDefault="003B0E4D" w:rsidP="003B0E4D"/>
                          <w:p w14:paraId="34F01C0B" w14:textId="77777777" w:rsidR="003B0E4D" w:rsidRDefault="003B0E4D" w:rsidP="003B0E4D"/>
                          <w:p w14:paraId="7A70ADEE" w14:textId="77777777" w:rsidR="003B0E4D" w:rsidRDefault="003B0E4D" w:rsidP="003B0E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D8E3A" id="_x0000_t202" coordsize="21600,21600" o:spt="202" path="m,l,21600r21600,l21600,xe">
                <v:stroke joinstyle="miter"/>
                <v:path gradientshapeok="t" o:connecttype="rect"/>
              </v:shapetype>
              <v:shape id="Text Box 2" o:spid="_x0000_s1026" type="#_x0000_t202" style="position:absolute;left:0;text-align:left;margin-left:-1.5pt;margin-top:52.6pt;width:507pt;height:25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2eJQIAAEc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">
                <v:textbox>
                  <w:txbxContent>
                    <w:p w14:paraId="428A6ED8" w14:textId="77777777" w:rsidR="003B0E4D" w:rsidRDefault="003B0E4D" w:rsidP="003B0E4D">
                      <w:bookmarkStart w:id="14" w:name="_Hlk198717285"/>
                      <w:r>
                        <w:t>a)</w:t>
                      </w:r>
                      <w:r>
                        <w:rPr>
                          <w:noProof/>
                          <w:lang w:eastAsia="en-GB"/>
                        </w:rPr>
                        <w:drawing>
                          <wp:inline distT="0" distB="0" distL="0" distR="0" wp14:anchorId="4FCD7ECB" wp14:editId="19860AD7">
                            <wp:extent cx="2977873" cy="2505075"/>
                            <wp:effectExtent l="0" t="0" r="0" b="0"/>
                            <wp:docPr id="20020731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73190" name="Picture 2002073190"/>
                                    <pic:cNvPicPr/>
                                  </pic:nvPicPr>
                                  <pic:blipFill>
                                    <a:blip r:embed="rId14">
                                      <a:extLst>
                                        <a:ext uri="{28A0092B-C50C-407E-A947-70E740481C1C}">
                                          <a14:useLocalDpi xmlns:a14="http://schemas.microsoft.com/office/drawing/2010/main" val="0"/>
                                        </a:ext>
                                      </a:extLst>
                                    </a:blip>
                                    <a:stretch>
                                      <a:fillRect/>
                                    </a:stretch>
                                  </pic:blipFill>
                                  <pic:spPr>
                                    <a:xfrm>
                                      <a:off x="0" y="0"/>
                                      <a:ext cx="3019232" cy="2539867"/>
                                    </a:xfrm>
                                    <a:prstGeom prst="rect">
                                      <a:avLst/>
                                    </a:prstGeom>
                                  </pic:spPr>
                                </pic:pic>
                              </a:graphicData>
                            </a:graphic>
                          </wp:inline>
                        </w:drawing>
                      </w:r>
                      <w:r>
                        <w:t>b)</w:t>
                      </w:r>
                      <w:r>
                        <w:rPr>
                          <w:noProof/>
                          <w:lang w:eastAsia="en-GB"/>
                        </w:rPr>
                        <w:drawing>
                          <wp:inline distT="0" distB="0" distL="0" distR="0" wp14:anchorId="465A8C75" wp14:editId="1ACB40BE">
                            <wp:extent cx="2978993" cy="2638425"/>
                            <wp:effectExtent l="0" t="0" r="0" b="0"/>
                            <wp:docPr id="9643919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91978" name="Picture 964391978"/>
                                    <pic:cNvPicPr/>
                                  </pic:nvPicPr>
                                  <pic:blipFill>
                                    <a:blip r:embed="rId15">
                                      <a:extLst>
                                        <a:ext uri="{28A0092B-C50C-407E-A947-70E740481C1C}">
                                          <a14:useLocalDpi xmlns:a14="http://schemas.microsoft.com/office/drawing/2010/main" val="0"/>
                                        </a:ext>
                                      </a:extLst>
                                    </a:blip>
                                    <a:stretch>
                                      <a:fillRect/>
                                    </a:stretch>
                                  </pic:blipFill>
                                  <pic:spPr>
                                    <a:xfrm>
                                      <a:off x="0" y="0"/>
                                      <a:ext cx="3010544" cy="2666369"/>
                                    </a:xfrm>
                                    <a:prstGeom prst="rect">
                                      <a:avLst/>
                                    </a:prstGeom>
                                  </pic:spPr>
                                </pic:pic>
                              </a:graphicData>
                            </a:graphic>
                          </wp:inline>
                        </w:drawing>
                      </w:r>
                    </w:p>
                    <w:bookmarkEnd w:id="14"/>
                    <w:p w14:paraId="53CB2FA8" w14:textId="77777777" w:rsidR="003B0E4D" w:rsidRDefault="003B0E4D" w:rsidP="003B0E4D"/>
                    <w:p w14:paraId="34F01C0B" w14:textId="77777777" w:rsidR="003B0E4D" w:rsidRDefault="003B0E4D" w:rsidP="003B0E4D"/>
                    <w:p w14:paraId="7A70ADEE" w14:textId="77777777" w:rsidR="003B0E4D" w:rsidRDefault="003B0E4D" w:rsidP="003B0E4D"/>
                  </w:txbxContent>
                </v:textbox>
                <w10:wrap type="square"/>
              </v:shape>
            </w:pict>
          </mc:Fallback>
        </mc:AlternateContent>
      </w:r>
      <w:r>
        <w:rPr>
          <w:rFonts w:ascii="Times New Roman" w:hAnsi="Times New Roman" w:cs="Times New Roman"/>
          <w:b/>
          <w:bCs/>
        </w:rPr>
        <w:t xml:space="preserve">Figure 2: </w:t>
      </w:r>
      <w:r w:rsidRPr="00B279FC">
        <w:rPr>
          <w:rFonts w:ascii="Times New Roman" w:hAnsi="Times New Roman" w:cs="Times New Roman"/>
          <w:sz w:val="24"/>
          <w:szCs w:val="24"/>
        </w:rPr>
        <w:t>Kaplan-Me</w:t>
      </w:r>
      <w:r>
        <w:rPr>
          <w:rFonts w:ascii="Times New Roman" w:hAnsi="Times New Roman" w:cs="Times New Roman"/>
          <w:sz w:val="24"/>
          <w:szCs w:val="24"/>
        </w:rPr>
        <w:t>ier Survival Curve showing the o</w:t>
      </w:r>
      <w:r w:rsidRPr="00B279FC">
        <w:rPr>
          <w:rFonts w:ascii="Times New Roman" w:hAnsi="Times New Roman" w:cs="Times New Roman"/>
          <w:sz w:val="24"/>
          <w:szCs w:val="24"/>
        </w:rPr>
        <w:t>verall Probability of POAG Eyes Remaining Non-Progressive during Follow-Up</w:t>
      </w:r>
      <w:r>
        <w:rPr>
          <w:noProof/>
          <w:lang w:eastAsia="en-GB"/>
        </w:rPr>
        <w:t xml:space="preserve"> </w:t>
      </w:r>
    </w:p>
    <w:p w14:paraId="39F4D34D" w14:textId="36E66F52" w:rsidR="002320EC" w:rsidRPr="00A70F43" w:rsidRDefault="003B0E4D" w:rsidP="002320EC">
      <w:pPr>
        <w:rPr>
          <w:rFonts w:ascii="Times New Roman" w:hAnsi="Times New Roman" w:cs="Times New Roman"/>
          <w:b/>
          <w:bCs/>
        </w:rPr>
      </w:pPr>
      <w:r>
        <w:rPr>
          <w:rFonts w:ascii="Times New Roman" w:hAnsi="Times New Roman" w:cs="Times New Roman"/>
          <w:b/>
          <w:bCs/>
        </w:rPr>
        <w:lastRenderedPageBreak/>
        <w:t>Figure 3</w:t>
      </w:r>
      <w:r w:rsidRPr="00270FCD">
        <w:rPr>
          <w:rFonts w:ascii="Times New Roman" w:hAnsi="Times New Roman" w:cs="Times New Roman"/>
          <w:b/>
          <w:bCs/>
        </w:rPr>
        <w:t>:</w:t>
      </w:r>
      <w:r w:rsidR="00A70F43">
        <w:rPr>
          <w:rFonts w:ascii="Times New Roman" w:hAnsi="Times New Roman" w:cs="Times New Roman"/>
          <w:b/>
          <w:bCs/>
        </w:rPr>
        <w:t xml:space="preserve"> </w:t>
      </w:r>
      <w:r w:rsidR="00A70F43" w:rsidRPr="00B279FC">
        <w:rPr>
          <w:rFonts w:ascii="Times New Roman" w:hAnsi="Times New Roman" w:cs="Times New Roman"/>
          <w:sz w:val="24"/>
          <w:szCs w:val="24"/>
        </w:rPr>
        <w:t>Kaplan-Mei</w:t>
      </w:r>
      <w:r w:rsidR="00A70F43">
        <w:rPr>
          <w:rFonts w:ascii="Times New Roman" w:hAnsi="Times New Roman" w:cs="Times New Roman"/>
          <w:sz w:val="24"/>
          <w:szCs w:val="24"/>
        </w:rPr>
        <w:t>er Survival Curve Showing: (a</w:t>
      </w:r>
      <w:r w:rsidR="00A70F43" w:rsidRPr="00B279FC">
        <w:rPr>
          <w:rFonts w:ascii="Times New Roman" w:hAnsi="Times New Roman" w:cs="Times New Roman"/>
          <w:sz w:val="24"/>
          <w:szCs w:val="24"/>
        </w:rPr>
        <w:t>) Probability of Non-Progression across Different Disease Stage</w:t>
      </w:r>
      <w:r w:rsidR="00A70F43">
        <w:rPr>
          <w:rFonts w:ascii="Times New Roman" w:hAnsi="Times New Roman" w:cs="Times New Roman"/>
          <w:sz w:val="24"/>
          <w:szCs w:val="24"/>
        </w:rPr>
        <w:t>s at Diagnosis (b</w:t>
      </w:r>
      <w:r w:rsidR="00A70F43" w:rsidRPr="00B279FC">
        <w:rPr>
          <w:rFonts w:ascii="Times New Roman" w:hAnsi="Times New Roman" w:cs="Times New Roman"/>
          <w:sz w:val="24"/>
          <w:szCs w:val="24"/>
        </w:rPr>
        <w:t>) Probability of Non-Progression across Different Treatment Modalities</w:t>
      </w:r>
      <w:bookmarkStart w:id="15" w:name="_Toc171879380"/>
    </w:p>
    <w:p w14:paraId="005B0951" w14:textId="77777777" w:rsidR="002320EC" w:rsidRPr="00B279FC" w:rsidRDefault="002320EC" w:rsidP="002320EC">
      <w:pPr>
        <w:rPr>
          <w:rFonts w:ascii="Times New Roman" w:hAnsi="Times New Roman" w:cs="Times New Roman"/>
          <w:b/>
          <w:sz w:val="24"/>
          <w:szCs w:val="24"/>
        </w:rPr>
      </w:pPr>
    </w:p>
    <w:p w14:paraId="3F8121D2" w14:textId="77777777" w:rsidR="002320EC" w:rsidRPr="00B279FC" w:rsidRDefault="002320EC" w:rsidP="002320EC">
      <w:pPr>
        <w:rPr>
          <w:rFonts w:ascii="Times New Roman" w:hAnsi="Times New Roman" w:cs="Times New Roman"/>
          <w:b/>
          <w:sz w:val="24"/>
          <w:szCs w:val="24"/>
        </w:rPr>
      </w:pPr>
      <w:r w:rsidRPr="00B279FC">
        <w:rPr>
          <w:rFonts w:ascii="Times New Roman" w:hAnsi="Times New Roman" w:cs="Times New Roman"/>
          <w:b/>
          <w:sz w:val="24"/>
          <w:szCs w:val="24"/>
        </w:rPr>
        <w:t>Factors associated with POAG progression</w:t>
      </w:r>
      <w:bookmarkEnd w:id="15"/>
    </w:p>
    <w:p w14:paraId="57FB5460" w14:textId="4C902631" w:rsidR="002320EC" w:rsidRPr="00B279FC" w:rsidRDefault="002320EC" w:rsidP="002320EC">
      <w:pPr>
        <w:rPr>
          <w:rFonts w:ascii="Times New Roman" w:hAnsi="Times New Roman" w:cs="Times New Roman"/>
          <w:sz w:val="24"/>
          <w:szCs w:val="24"/>
        </w:rPr>
      </w:pPr>
      <w:r w:rsidRPr="00B279FC">
        <w:rPr>
          <w:rFonts w:ascii="Times New Roman" w:hAnsi="Times New Roman" w:cs="Times New Roman"/>
          <w:sz w:val="24"/>
          <w:szCs w:val="24"/>
        </w:rPr>
        <w:t xml:space="preserve">POAG progression was significantly associated with normal tension </w:t>
      </w:r>
      <w:r w:rsidR="00CD5258" w:rsidRPr="00B279FC">
        <w:rPr>
          <w:rFonts w:ascii="Times New Roman" w:hAnsi="Times New Roman" w:cs="Times New Roman"/>
          <w:sz w:val="24"/>
          <w:szCs w:val="24"/>
        </w:rPr>
        <w:t>g</w:t>
      </w:r>
      <w:r w:rsidR="00CD5258">
        <w:rPr>
          <w:rFonts w:ascii="Times New Roman" w:hAnsi="Times New Roman" w:cs="Times New Roman"/>
          <w:sz w:val="24"/>
          <w:szCs w:val="24"/>
        </w:rPr>
        <w:t>laucoma,</w:t>
      </w:r>
      <w:r w:rsidRPr="00B279FC">
        <w:rPr>
          <w:rFonts w:ascii="Times New Roman" w:hAnsi="Times New Roman" w:cs="Times New Roman"/>
          <w:sz w:val="24"/>
          <w:szCs w:val="24"/>
        </w:rPr>
        <w:t xml:space="preserve"> disease stage, myopia, and high mean and target I</w:t>
      </w:r>
      <w:r w:rsidR="00CD5258">
        <w:rPr>
          <w:rFonts w:ascii="Times New Roman" w:hAnsi="Times New Roman" w:cs="Times New Roman"/>
          <w:sz w:val="24"/>
          <w:szCs w:val="24"/>
        </w:rPr>
        <w:t xml:space="preserve">OP, while more follow </w:t>
      </w:r>
      <w:r w:rsidRPr="00B279FC">
        <w:rPr>
          <w:rFonts w:ascii="Times New Roman" w:hAnsi="Times New Roman" w:cs="Times New Roman"/>
          <w:sz w:val="24"/>
          <w:szCs w:val="24"/>
        </w:rPr>
        <w:t>up visits reduced progression risk. Trabeculectomy lowered progression by 50% in univariate analysis but was not significant in multivariate analysis</w:t>
      </w:r>
      <w:bookmarkStart w:id="16" w:name="_Toc171879317"/>
      <w:r w:rsidRPr="00B279FC">
        <w:rPr>
          <w:rFonts w:ascii="Times New Roman" w:hAnsi="Times New Roman" w:cs="Times New Roman"/>
          <w:sz w:val="24"/>
          <w:szCs w:val="24"/>
        </w:rPr>
        <w:t>.</w:t>
      </w:r>
    </w:p>
    <w:p w14:paraId="5FE0BBFE" w14:textId="77777777" w:rsidR="002320EC" w:rsidRPr="00B279FC" w:rsidRDefault="002320EC" w:rsidP="002320EC">
      <w:pPr>
        <w:pStyle w:val="Caption"/>
        <w:rPr>
          <w:szCs w:val="24"/>
        </w:rPr>
      </w:pPr>
      <w:r w:rsidRPr="00B279FC">
        <w:rPr>
          <w:szCs w:val="24"/>
        </w:rPr>
        <w:t>Table 4: Univariate and Multivariate analysis of factors associated with POAG progression (N=363)</w:t>
      </w:r>
      <w:bookmarkEnd w:id="1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50"/>
        <w:gridCol w:w="1890"/>
        <w:gridCol w:w="1080"/>
        <w:gridCol w:w="1980"/>
        <w:gridCol w:w="985"/>
      </w:tblGrid>
      <w:tr w:rsidR="002320EC" w:rsidRPr="00B279FC" w14:paraId="447CE743" w14:textId="77777777" w:rsidTr="00C84E08">
        <w:tc>
          <w:tcPr>
            <w:tcW w:w="2065" w:type="dxa"/>
            <w:tcBorders>
              <w:top w:val="single" w:sz="12" w:space="0" w:color="auto"/>
              <w:bottom w:val="single" w:sz="12" w:space="0" w:color="auto"/>
            </w:tcBorders>
          </w:tcPr>
          <w:p w14:paraId="4B98E64D" w14:textId="77777777" w:rsidR="002320EC" w:rsidRPr="00B279FC" w:rsidRDefault="002320EC" w:rsidP="00C84E08">
            <w:pPr>
              <w:rPr>
                <w:rFonts w:ascii="Times New Roman" w:hAnsi="Times New Roman" w:cs="Times New Roman"/>
                <w:b/>
                <w:bCs/>
              </w:rPr>
            </w:pPr>
            <w:r w:rsidRPr="00B279FC">
              <w:rPr>
                <w:rFonts w:ascii="Times New Roman" w:hAnsi="Times New Roman" w:cs="Times New Roman"/>
                <w:b/>
                <w:bCs/>
              </w:rPr>
              <w:t>Variable</w:t>
            </w:r>
          </w:p>
        </w:tc>
        <w:tc>
          <w:tcPr>
            <w:tcW w:w="1350" w:type="dxa"/>
            <w:tcBorders>
              <w:top w:val="single" w:sz="12" w:space="0" w:color="auto"/>
              <w:bottom w:val="single" w:sz="12" w:space="0" w:color="auto"/>
            </w:tcBorders>
          </w:tcPr>
          <w:p w14:paraId="43C7E872" w14:textId="77777777" w:rsidR="002320EC" w:rsidRPr="00B279FC" w:rsidRDefault="002320EC" w:rsidP="00C84E08">
            <w:pPr>
              <w:rPr>
                <w:rFonts w:ascii="Times New Roman" w:hAnsi="Times New Roman" w:cs="Times New Roman"/>
                <w:b/>
                <w:bCs/>
              </w:rPr>
            </w:pPr>
            <w:r w:rsidRPr="00B279FC">
              <w:rPr>
                <w:rFonts w:ascii="Times New Roman" w:hAnsi="Times New Roman" w:cs="Times New Roman"/>
                <w:b/>
                <w:bCs/>
              </w:rPr>
              <w:t>Yes n (%)</w:t>
            </w:r>
          </w:p>
        </w:tc>
        <w:tc>
          <w:tcPr>
            <w:tcW w:w="1890" w:type="dxa"/>
            <w:tcBorders>
              <w:top w:val="single" w:sz="12" w:space="0" w:color="auto"/>
              <w:bottom w:val="single" w:sz="12" w:space="0" w:color="auto"/>
            </w:tcBorders>
          </w:tcPr>
          <w:p w14:paraId="672D3A66" w14:textId="77777777" w:rsidR="002320EC" w:rsidRPr="00B279FC" w:rsidRDefault="002320EC" w:rsidP="00C84E08">
            <w:pPr>
              <w:rPr>
                <w:rFonts w:ascii="Times New Roman" w:hAnsi="Times New Roman" w:cs="Times New Roman"/>
                <w:b/>
                <w:bCs/>
              </w:rPr>
            </w:pPr>
            <w:proofErr w:type="spellStart"/>
            <w:r w:rsidRPr="00B279FC">
              <w:rPr>
                <w:rFonts w:ascii="Times New Roman" w:hAnsi="Times New Roman" w:cs="Times New Roman"/>
                <w:b/>
                <w:bCs/>
              </w:rPr>
              <w:t>cHR</w:t>
            </w:r>
            <w:proofErr w:type="spellEnd"/>
            <w:r w:rsidRPr="00B279FC">
              <w:rPr>
                <w:rFonts w:ascii="Times New Roman" w:hAnsi="Times New Roman" w:cs="Times New Roman"/>
                <w:b/>
                <w:bCs/>
              </w:rPr>
              <w:t>* (95% CI)</w:t>
            </w:r>
          </w:p>
        </w:tc>
        <w:tc>
          <w:tcPr>
            <w:tcW w:w="1080" w:type="dxa"/>
            <w:tcBorders>
              <w:top w:val="single" w:sz="12" w:space="0" w:color="auto"/>
              <w:bottom w:val="single" w:sz="12" w:space="0" w:color="auto"/>
            </w:tcBorders>
          </w:tcPr>
          <w:p w14:paraId="4D2644DA" w14:textId="77777777" w:rsidR="002320EC" w:rsidRPr="00B279FC" w:rsidRDefault="002320EC" w:rsidP="00C84E08">
            <w:pPr>
              <w:rPr>
                <w:rFonts w:ascii="Times New Roman" w:hAnsi="Times New Roman" w:cs="Times New Roman"/>
                <w:b/>
                <w:bCs/>
              </w:rPr>
            </w:pPr>
            <w:r w:rsidRPr="00B279FC">
              <w:rPr>
                <w:rFonts w:ascii="Times New Roman" w:hAnsi="Times New Roman" w:cs="Times New Roman"/>
                <w:b/>
                <w:bCs/>
              </w:rPr>
              <w:t>p-value</w:t>
            </w:r>
          </w:p>
        </w:tc>
        <w:tc>
          <w:tcPr>
            <w:tcW w:w="1980" w:type="dxa"/>
            <w:tcBorders>
              <w:top w:val="single" w:sz="12" w:space="0" w:color="auto"/>
              <w:bottom w:val="single" w:sz="12" w:space="0" w:color="auto"/>
            </w:tcBorders>
          </w:tcPr>
          <w:p w14:paraId="502C4B51" w14:textId="77777777" w:rsidR="002320EC" w:rsidRPr="00B279FC" w:rsidRDefault="002320EC" w:rsidP="00C84E08">
            <w:pPr>
              <w:rPr>
                <w:rFonts w:ascii="Times New Roman" w:hAnsi="Times New Roman" w:cs="Times New Roman"/>
                <w:b/>
                <w:bCs/>
              </w:rPr>
            </w:pPr>
            <w:proofErr w:type="spellStart"/>
            <w:r w:rsidRPr="00B279FC">
              <w:rPr>
                <w:rFonts w:ascii="Times New Roman" w:hAnsi="Times New Roman" w:cs="Times New Roman"/>
                <w:b/>
                <w:bCs/>
              </w:rPr>
              <w:t>aHR</w:t>
            </w:r>
            <w:proofErr w:type="spellEnd"/>
            <w:r w:rsidRPr="00B279FC">
              <w:rPr>
                <w:rFonts w:ascii="Times New Roman" w:hAnsi="Times New Roman" w:cs="Times New Roman"/>
                <w:b/>
                <w:bCs/>
              </w:rPr>
              <w:t>† (95% CI)</w:t>
            </w:r>
          </w:p>
        </w:tc>
        <w:tc>
          <w:tcPr>
            <w:tcW w:w="985" w:type="dxa"/>
            <w:tcBorders>
              <w:top w:val="single" w:sz="12" w:space="0" w:color="auto"/>
              <w:bottom w:val="single" w:sz="12" w:space="0" w:color="auto"/>
            </w:tcBorders>
          </w:tcPr>
          <w:p w14:paraId="4E524063" w14:textId="77777777" w:rsidR="002320EC" w:rsidRPr="00B279FC" w:rsidRDefault="002320EC" w:rsidP="00C84E08">
            <w:pPr>
              <w:rPr>
                <w:rFonts w:ascii="Times New Roman" w:hAnsi="Times New Roman" w:cs="Times New Roman"/>
                <w:b/>
                <w:bCs/>
              </w:rPr>
            </w:pPr>
            <w:r w:rsidRPr="00B279FC">
              <w:rPr>
                <w:rFonts w:ascii="Times New Roman" w:hAnsi="Times New Roman" w:cs="Times New Roman"/>
                <w:b/>
                <w:bCs/>
              </w:rPr>
              <w:t>p-value</w:t>
            </w:r>
          </w:p>
        </w:tc>
      </w:tr>
      <w:tr w:rsidR="002320EC" w:rsidRPr="00B279FC" w14:paraId="7E356A11" w14:textId="77777777" w:rsidTr="00C84E08">
        <w:tc>
          <w:tcPr>
            <w:tcW w:w="2065" w:type="dxa"/>
            <w:tcBorders>
              <w:top w:val="single" w:sz="12" w:space="0" w:color="auto"/>
              <w:bottom w:val="nil"/>
            </w:tcBorders>
          </w:tcPr>
          <w:p w14:paraId="06C0D241" w14:textId="77777777" w:rsidR="002320EC" w:rsidRPr="00B279FC" w:rsidRDefault="002320EC" w:rsidP="00C84E08">
            <w:pPr>
              <w:rPr>
                <w:rFonts w:ascii="Times New Roman" w:hAnsi="Times New Roman" w:cs="Times New Roman"/>
                <w:b/>
                <w:bCs/>
              </w:rPr>
            </w:pPr>
            <w:r w:rsidRPr="00B279FC">
              <w:rPr>
                <w:rFonts w:ascii="Times New Roman" w:hAnsi="Times New Roman" w:cs="Times New Roman"/>
                <w:b/>
                <w:bCs/>
              </w:rPr>
              <w:t>Age (years)</w:t>
            </w:r>
          </w:p>
        </w:tc>
        <w:tc>
          <w:tcPr>
            <w:tcW w:w="1350" w:type="dxa"/>
            <w:tcBorders>
              <w:top w:val="single" w:sz="12" w:space="0" w:color="auto"/>
              <w:bottom w:val="nil"/>
            </w:tcBorders>
          </w:tcPr>
          <w:p w14:paraId="2E4EC415" w14:textId="77777777" w:rsidR="002320EC" w:rsidRPr="00B279FC" w:rsidRDefault="002320EC" w:rsidP="00C84E08">
            <w:pPr>
              <w:rPr>
                <w:rFonts w:ascii="Times New Roman" w:hAnsi="Times New Roman" w:cs="Times New Roman"/>
                <w:b/>
                <w:bCs/>
              </w:rPr>
            </w:pPr>
          </w:p>
        </w:tc>
        <w:tc>
          <w:tcPr>
            <w:tcW w:w="1890" w:type="dxa"/>
            <w:tcBorders>
              <w:top w:val="single" w:sz="12" w:space="0" w:color="auto"/>
              <w:bottom w:val="nil"/>
            </w:tcBorders>
          </w:tcPr>
          <w:p w14:paraId="1EC52383" w14:textId="77777777" w:rsidR="002320EC" w:rsidRPr="00B279FC" w:rsidRDefault="002320EC" w:rsidP="00C84E08">
            <w:pPr>
              <w:rPr>
                <w:rFonts w:ascii="Times New Roman" w:hAnsi="Times New Roman" w:cs="Times New Roman"/>
                <w:b/>
                <w:bCs/>
              </w:rPr>
            </w:pPr>
          </w:p>
        </w:tc>
        <w:tc>
          <w:tcPr>
            <w:tcW w:w="1080" w:type="dxa"/>
            <w:tcBorders>
              <w:top w:val="single" w:sz="12" w:space="0" w:color="auto"/>
              <w:bottom w:val="nil"/>
            </w:tcBorders>
          </w:tcPr>
          <w:p w14:paraId="0BF00FD1" w14:textId="77777777" w:rsidR="002320EC" w:rsidRPr="00B279FC" w:rsidRDefault="002320EC" w:rsidP="00C84E08">
            <w:pPr>
              <w:rPr>
                <w:rFonts w:ascii="Times New Roman" w:hAnsi="Times New Roman" w:cs="Times New Roman"/>
                <w:b/>
                <w:bCs/>
              </w:rPr>
            </w:pPr>
          </w:p>
        </w:tc>
        <w:tc>
          <w:tcPr>
            <w:tcW w:w="1980" w:type="dxa"/>
            <w:tcBorders>
              <w:top w:val="single" w:sz="12" w:space="0" w:color="auto"/>
              <w:bottom w:val="nil"/>
            </w:tcBorders>
          </w:tcPr>
          <w:p w14:paraId="139B7362" w14:textId="77777777" w:rsidR="002320EC" w:rsidRPr="00B279FC" w:rsidRDefault="002320EC" w:rsidP="00C84E08">
            <w:pPr>
              <w:rPr>
                <w:rFonts w:ascii="Times New Roman" w:hAnsi="Times New Roman" w:cs="Times New Roman"/>
                <w:b/>
                <w:bCs/>
              </w:rPr>
            </w:pPr>
          </w:p>
        </w:tc>
        <w:tc>
          <w:tcPr>
            <w:tcW w:w="985" w:type="dxa"/>
            <w:tcBorders>
              <w:top w:val="single" w:sz="12" w:space="0" w:color="auto"/>
              <w:bottom w:val="nil"/>
            </w:tcBorders>
          </w:tcPr>
          <w:p w14:paraId="4DA641C1" w14:textId="77777777" w:rsidR="002320EC" w:rsidRPr="00B279FC" w:rsidRDefault="002320EC" w:rsidP="00C84E08">
            <w:pPr>
              <w:rPr>
                <w:rFonts w:ascii="Times New Roman" w:hAnsi="Times New Roman" w:cs="Times New Roman"/>
                <w:b/>
                <w:bCs/>
              </w:rPr>
            </w:pPr>
          </w:p>
        </w:tc>
      </w:tr>
      <w:tr w:rsidR="002320EC" w:rsidRPr="00B279FC" w14:paraId="5F120606" w14:textId="77777777" w:rsidTr="00C84E08">
        <w:tc>
          <w:tcPr>
            <w:tcW w:w="2065" w:type="dxa"/>
            <w:tcBorders>
              <w:top w:val="nil"/>
            </w:tcBorders>
          </w:tcPr>
          <w:p w14:paraId="62331006" w14:textId="77777777" w:rsidR="002320EC" w:rsidRPr="00B279FC" w:rsidRDefault="002320EC" w:rsidP="00C84E08">
            <w:pPr>
              <w:ind w:left="284"/>
              <w:rPr>
                <w:rFonts w:ascii="Times New Roman" w:hAnsi="Times New Roman" w:cs="Times New Roman"/>
              </w:rPr>
            </w:pPr>
            <w:r w:rsidRPr="00B279FC">
              <w:rPr>
                <w:rFonts w:ascii="Times New Roman" w:hAnsi="Times New Roman" w:cs="Times New Roman"/>
              </w:rPr>
              <w:t>&lt;60</w:t>
            </w:r>
          </w:p>
        </w:tc>
        <w:tc>
          <w:tcPr>
            <w:tcW w:w="1350" w:type="dxa"/>
            <w:tcBorders>
              <w:top w:val="nil"/>
            </w:tcBorders>
          </w:tcPr>
          <w:p w14:paraId="5BFAAE23" w14:textId="77777777" w:rsidR="002320EC" w:rsidRPr="00B279FC" w:rsidRDefault="002320EC" w:rsidP="00C84E08">
            <w:pPr>
              <w:rPr>
                <w:rFonts w:ascii="Times New Roman" w:hAnsi="Times New Roman" w:cs="Times New Roman"/>
                <w:b/>
                <w:bCs/>
              </w:rPr>
            </w:pPr>
            <w:r w:rsidRPr="00B279FC">
              <w:rPr>
                <w:rFonts w:ascii="Times New Roman" w:hAnsi="Times New Roman" w:cs="Times New Roman"/>
              </w:rPr>
              <w:t>13 (22.0)</w:t>
            </w:r>
          </w:p>
        </w:tc>
        <w:tc>
          <w:tcPr>
            <w:tcW w:w="1890" w:type="dxa"/>
            <w:tcBorders>
              <w:top w:val="nil"/>
            </w:tcBorders>
          </w:tcPr>
          <w:p w14:paraId="3AF76D80"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w:t>
            </w:r>
          </w:p>
        </w:tc>
        <w:tc>
          <w:tcPr>
            <w:tcW w:w="1080" w:type="dxa"/>
            <w:tcBorders>
              <w:top w:val="nil"/>
            </w:tcBorders>
          </w:tcPr>
          <w:p w14:paraId="413099D9" w14:textId="77777777" w:rsidR="002320EC" w:rsidRPr="00B279FC" w:rsidRDefault="002320EC" w:rsidP="00C84E08">
            <w:pPr>
              <w:rPr>
                <w:rFonts w:ascii="Times New Roman" w:hAnsi="Times New Roman" w:cs="Times New Roman"/>
              </w:rPr>
            </w:pPr>
          </w:p>
        </w:tc>
        <w:tc>
          <w:tcPr>
            <w:tcW w:w="1980" w:type="dxa"/>
            <w:tcBorders>
              <w:top w:val="nil"/>
            </w:tcBorders>
          </w:tcPr>
          <w:p w14:paraId="008AE537"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w:t>
            </w:r>
          </w:p>
        </w:tc>
        <w:tc>
          <w:tcPr>
            <w:tcW w:w="985" w:type="dxa"/>
            <w:tcBorders>
              <w:top w:val="nil"/>
            </w:tcBorders>
          </w:tcPr>
          <w:p w14:paraId="6B88181D" w14:textId="77777777" w:rsidR="002320EC" w:rsidRPr="00B279FC" w:rsidRDefault="002320EC" w:rsidP="00C84E08">
            <w:pPr>
              <w:rPr>
                <w:rFonts w:ascii="Times New Roman" w:hAnsi="Times New Roman" w:cs="Times New Roman"/>
              </w:rPr>
            </w:pPr>
          </w:p>
        </w:tc>
      </w:tr>
      <w:tr w:rsidR="002320EC" w:rsidRPr="00B279FC" w14:paraId="565F9358" w14:textId="77777777" w:rsidTr="00C84E08">
        <w:tc>
          <w:tcPr>
            <w:tcW w:w="2065" w:type="dxa"/>
          </w:tcPr>
          <w:p w14:paraId="517DF25D" w14:textId="77777777" w:rsidR="002320EC" w:rsidRPr="00B279FC" w:rsidRDefault="002320EC" w:rsidP="00C84E08">
            <w:pPr>
              <w:ind w:left="284"/>
              <w:rPr>
                <w:rFonts w:ascii="Times New Roman" w:hAnsi="Times New Roman" w:cs="Times New Roman"/>
              </w:rPr>
            </w:pPr>
            <w:r w:rsidRPr="00B279FC">
              <w:rPr>
                <w:rFonts w:ascii="Times New Roman" w:hAnsi="Times New Roman" w:cs="Times New Roman"/>
              </w:rPr>
              <w:t>60-80</w:t>
            </w:r>
          </w:p>
        </w:tc>
        <w:tc>
          <w:tcPr>
            <w:tcW w:w="1350" w:type="dxa"/>
          </w:tcPr>
          <w:p w14:paraId="67C7BFFC" w14:textId="77777777" w:rsidR="002320EC" w:rsidRPr="00B279FC" w:rsidRDefault="002320EC" w:rsidP="00C84E08">
            <w:pPr>
              <w:rPr>
                <w:rFonts w:ascii="Times New Roman" w:hAnsi="Times New Roman" w:cs="Times New Roman"/>
                <w:b/>
                <w:bCs/>
              </w:rPr>
            </w:pPr>
            <w:r w:rsidRPr="00B279FC">
              <w:rPr>
                <w:rFonts w:ascii="Times New Roman" w:hAnsi="Times New Roman" w:cs="Times New Roman"/>
              </w:rPr>
              <w:t>100 (38.5)</w:t>
            </w:r>
          </w:p>
        </w:tc>
        <w:tc>
          <w:tcPr>
            <w:tcW w:w="1890" w:type="dxa"/>
          </w:tcPr>
          <w:p w14:paraId="751D1D75"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1.4 (0.7-2.7)</w:t>
            </w:r>
          </w:p>
        </w:tc>
        <w:tc>
          <w:tcPr>
            <w:tcW w:w="1080" w:type="dxa"/>
          </w:tcPr>
          <w:p w14:paraId="78FFF575"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0.397</w:t>
            </w:r>
          </w:p>
        </w:tc>
        <w:tc>
          <w:tcPr>
            <w:tcW w:w="1980" w:type="dxa"/>
          </w:tcPr>
          <w:p w14:paraId="0E786F56"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1.2 (0.6-2.5)</w:t>
            </w:r>
          </w:p>
        </w:tc>
        <w:tc>
          <w:tcPr>
            <w:tcW w:w="985" w:type="dxa"/>
          </w:tcPr>
          <w:p w14:paraId="3D53E406"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0.717</w:t>
            </w:r>
          </w:p>
        </w:tc>
      </w:tr>
      <w:tr w:rsidR="002320EC" w:rsidRPr="00B279FC" w14:paraId="1A67C883" w14:textId="77777777" w:rsidTr="00C84E08">
        <w:tc>
          <w:tcPr>
            <w:tcW w:w="2065" w:type="dxa"/>
          </w:tcPr>
          <w:p w14:paraId="2BA476A7" w14:textId="77777777" w:rsidR="002320EC" w:rsidRPr="00B279FC" w:rsidRDefault="002320EC" w:rsidP="00C84E08">
            <w:pPr>
              <w:ind w:left="284"/>
              <w:rPr>
                <w:rFonts w:ascii="Times New Roman" w:hAnsi="Times New Roman" w:cs="Times New Roman"/>
              </w:rPr>
            </w:pPr>
            <w:r w:rsidRPr="00B279FC">
              <w:rPr>
                <w:rFonts w:ascii="Times New Roman" w:hAnsi="Times New Roman" w:cs="Times New Roman"/>
              </w:rPr>
              <w:t>&gt;80</w:t>
            </w:r>
          </w:p>
        </w:tc>
        <w:tc>
          <w:tcPr>
            <w:tcW w:w="1350" w:type="dxa"/>
          </w:tcPr>
          <w:p w14:paraId="5F68BCC8"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27 (61.4)</w:t>
            </w:r>
          </w:p>
        </w:tc>
        <w:tc>
          <w:tcPr>
            <w:tcW w:w="1890" w:type="dxa"/>
          </w:tcPr>
          <w:p w14:paraId="501F35DF"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1.5 (0.7-3.4</w:t>
            </w:r>
          </w:p>
        </w:tc>
        <w:tc>
          <w:tcPr>
            <w:tcW w:w="1080" w:type="dxa"/>
          </w:tcPr>
          <w:p w14:paraId="58629775"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0.307</w:t>
            </w:r>
          </w:p>
        </w:tc>
        <w:tc>
          <w:tcPr>
            <w:tcW w:w="1980" w:type="dxa"/>
          </w:tcPr>
          <w:p w14:paraId="59594F79"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1.3 (0.5-3.2)</w:t>
            </w:r>
          </w:p>
        </w:tc>
        <w:tc>
          <w:tcPr>
            <w:tcW w:w="985" w:type="dxa"/>
          </w:tcPr>
          <w:p w14:paraId="524ACB58"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0.690</w:t>
            </w:r>
          </w:p>
        </w:tc>
      </w:tr>
      <w:tr w:rsidR="002320EC" w:rsidRPr="00B279FC" w14:paraId="6DACD3C4" w14:textId="77777777" w:rsidTr="00C84E08">
        <w:tc>
          <w:tcPr>
            <w:tcW w:w="2065" w:type="dxa"/>
            <w:shd w:val="clear" w:color="auto" w:fill="auto"/>
          </w:tcPr>
          <w:p w14:paraId="1A83FF64" w14:textId="77777777" w:rsidR="002320EC" w:rsidRPr="00B279FC" w:rsidRDefault="002320EC" w:rsidP="00C84E08">
            <w:pPr>
              <w:rPr>
                <w:rFonts w:ascii="Times New Roman" w:hAnsi="Times New Roman" w:cs="Times New Roman"/>
                <w:b/>
                <w:bCs/>
              </w:rPr>
            </w:pPr>
            <w:r w:rsidRPr="00B279FC">
              <w:rPr>
                <w:rFonts w:ascii="Times New Roman" w:hAnsi="Times New Roman" w:cs="Times New Roman"/>
                <w:b/>
                <w:bCs/>
              </w:rPr>
              <w:t>Sex</w:t>
            </w:r>
          </w:p>
        </w:tc>
        <w:tc>
          <w:tcPr>
            <w:tcW w:w="1350" w:type="dxa"/>
            <w:shd w:val="clear" w:color="auto" w:fill="auto"/>
          </w:tcPr>
          <w:p w14:paraId="54E962D6" w14:textId="77777777" w:rsidR="002320EC" w:rsidRPr="00B279FC" w:rsidRDefault="002320EC" w:rsidP="00C84E08">
            <w:pPr>
              <w:rPr>
                <w:rFonts w:ascii="Times New Roman" w:hAnsi="Times New Roman" w:cs="Times New Roman"/>
                <w:b/>
                <w:bCs/>
                <w:highlight w:val="cyan"/>
              </w:rPr>
            </w:pPr>
          </w:p>
        </w:tc>
        <w:tc>
          <w:tcPr>
            <w:tcW w:w="1890" w:type="dxa"/>
            <w:shd w:val="clear" w:color="auto" w:fill="auto"/>
          </w:tcPr>
          <w:p w14:paraId="18819ED6" w14:textId="77777777" w:rsidR="002320EC" w:rsidRPr="00B279FC" w:rsidRDefault="002320EC" w:rsidP="00C84E08">
            <w:pPr>
              <w:rPr>
                <w:rFonts w:ascii="Times New Roman" w:hAnsi="Times New Roman" w:cs="Times New Roman"/>
                <w:b/>
                <w:bCs/>
              </w:rPr>
            </w:pPr>
          </w:p>
        </w:tc>
        <w:tc>
          <w:tcPr>
            <w:tcW w:w="1080" w:type="dxa"/>
            <w:shd w:val="clear" w:color="auto" w:fill="auto"/>
          </w:tcPr>
          <w:p w14:paraId="3FB72B38" w14:textId="77777777" w:rsidR="002320EC" w:rsidRPr="00B279FC" w:rsidRDefault="002320EC" w:rsidP="00C84E08">
            <w:pPr>
              <w:rPr>
                <w:rFonts w:ascii="Times New Roman" w:hAnsi="Times New Roman" w:cs="Times New Roman"/>
                <w:b/>
                <w:bCs/>
              </w:rPr>
            </w:pPr>
          </w:p>
        </w:tc>
        <w:tc>
          <w:tcPr>
            <w:tcW w:w="1980" w:type="dxa"/>
          </w:tcPr>
          <w:p w14:paraId="7101D503" w14:textId="77777777" w:rsidR="002320EC" w:rsidRPr="00B279FC" w:rsidRDefault="002320EC" w:rsidP="00C84E08">
            <w:pPr>
              <w:rPr>
                <w:rFonts w:ascii="Times New Roman" w:hAnsi="Times New Roman" w:cs="Times New Roman"/>
                <w:b/>
                <w:bCs/>
              </w:rPr>
            </w:pPr>
          </w:p>
        </w:tc>
        <w:tc>
          <w:tcPr>
            <w:tcW w:w="985" w:type="dxa"/>
          </w:tcPr>
          <w:p w14:paraId="6E55D3D7" w14:textId="77777777" w:rsidR="002320EC" w:rsidRPr="00B279FC" w:rsidRDefault="002320EC" w:rsidP="00C84E08">
            <w:pPr>
              <w:rPr>
                <w:rFonts w:ascii="Times New Roman" w:hAnsi="Times New Roman" w:cs="Times New Roman"/>
                <w:b/>
                <w:bCs/>
              </w:rPr>
            </w:pPr>
          </w:p>
        </w:tc>
      </w:tr>
      <w:tr w:rsidR="002320EC" w:rsidRPr="00B279FC" w14:paraId="1C94DCCB" w14:textId="77777777" w:rsidTr="00C84E08">
        <w:tc>
          <w:tcPr>
            <w:tcW w:w="2065" w:type="dxa"/>
            <w:shd w:val="clear" w:color="auto" w:fill="auto"/>
          </w:tcPr>
          <w:p w14:paraId="1A44FF5D" w14:textId="77777777" w:rsidR="002320EC" w:rsidRPr="00B279FC" w:rsidRDefault="002320EC" w:rsidP="00C84E08">
            <w:pPr>
              <w:ind w:left="284"/>
              <w:rPr>
                <w:rFonts w:ascii="Times New Roman" w:hAnsi="Times New Roman" w:cs="Times New Roman"/>
                <w:b/>
                <w:bCs/>
              </w:rPr>
            </w:pPr>
            <w:r w:rsidRPr="00B279FC">
              <w:rPr>
                <w:rFonts w:ascii="Times New Roman" w:hAnsi="Times New Roman" w:cs="Times New Roman"/>
              </w:rPr>
              <w:t>Female</w:t>
            </w:r>
          </w:p>
        </w:tc>
        <w:tc>
          <w:tcPr>
            <w:tcW w:w="1350" w:type="dxa"/>
            <w:shd w:val="clear" w:color="auto" w:fill="auto"/>
          </w:tcPr>
          <w:p w14:paraId="640561AF"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64 (39.3)</w:t>
            </w:r>
          </w:p>
        </w:tc>
        <w:tc>
          <w:tcPr>
            <w:tcW w:w="1890" w:type="dxa"/>
            <w:shd w:val="clear" w:color="auto" w:fill="auto"/>
          </w:tcPr>
          <w:p w14:paraId="3D815AAE"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w:t>
            </w:r>
          </w:p>
        </w:tc>
        <w:tc>
          <w:tcPr>
            <w:tcW w:w="1080" w:type="dxa"/>
            <w:shd w:val="clear" w:color="auto" w:fill="auto"/>
          </w:tcPr>
          <w:p w14:paraId="26809277" w14:textId="77777777" w:rsidR="002320EC" w:rsidRPr="00B279FC" w:rsidRDefault="002320EC" w:rsidP="00C84E08">
            <w:pPr>
              <w:rPr>
                <w:rFonts w:ascii="Times New Roman" w:hAnsi="Times New Roman" w:cs="Times New Roman"/>
              </w:rPr>
            </w:pPr>
          </w:p>
        </w:tc>
        <w:tc>
          <w:tcPr>
            <w:tcW w:w="1980" w:type="dxa"/>
          </w:tcPr>
          <w:p w14:paraId="2D7F9D1F"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w:t>
            </w:r>
          </w:p>
        </w:tc>
        <w:tc>
          <w:tcPr>
            <w:tcW w:w="985" w:type="dxa"/>
          </w:tcPr>
          <w:p w14:paraId="13BB8974" w14:textId="77777777" w:rsidR="002320EC" w:rsidRPr="00B279FC" w:rsidRDefault="002320EC" w:rsidP="00C84E08">
            <w:pPr>
              <w:rPr>
                <w:rFonts w:ascii="Times New Roman" w:hAnsi="Times New Roman" w:cs="Times New Roman"/>
              </w:rPr>
            </w:pPr>
          </w:p>
        </w:tc>
      </w:tr>
      <w:tr w:rsidR="002320EC" w:rsidRPr="00B279FC" w14:paraId="3F637523" w14:textId="77777777" w:rsidTr="00C84E08">
        <w:tc>
          <w:tcPr>
            <w:tcW w:w="2065" w:type="dxa"/>
            <w:shd w:val="clear" w:color="auto" w:fill="auto"/>
          </w:tcPr>
          <w:p w14:paraId="15E70D53" w14:textId="77777777" w:rsidR="002320EC" w:rsidRPr="00B279FC" w:rsidRDefault="002320EC" w:rsidP="00C84E08">
            <w:pPr>
              <w:ind w:left="284"/>
              <w:rPr>
                <w:rFonts w:ascii="Times New Roman" w:hAnsi="Times New Roman" w:cs="Times New Roman"/>
                <w:b/>
                <w:bCs/>
              </w:rPr>
            </w:pPr>
            <w:r w:rsidRPr="00B279FC">
              <w:rPr>
                <w:rFonts w:ascii="Times New Roman" w:hAnsi="Times New Roman" w:cs="Times New Roman"/>
              </w:rPr>
              <w:t>Male</w:t>
            </w:r>
          </w:p>
        </w:tc>
        <w:tc>
          <w:tcPr>
            <w:tcW w:w="1350" w:type="dxa"/>
            <w:shd w:val="clear" w:color="auto" w:fill="auto"/>
          </w:tcPr>
          <w:p w14:paraId="5BF6D7C2"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76 (38.0)</w:t>
            </w:r>
          </w:p>
        </w:tc>
        <w:tc>
          <w:tcPr>
            <w:tcW w:w="1890" w:type="dxa"/>
            <w:shd w:val="clear" w:color="auto" w:fill="auto"/>
          </w:tcPr>
          <w:p w14:paraId="27C00691"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0.8 (0.6-1.2)</w:t>
            </w:r>
          </w:p>
        </w:tc>
        <w:tc>
          <w:tcPr>
            <w:tcW w:w="1080" w:type="dxa"/>
            <w:shd w:val="clear" w:color="auto" w:fill="auto"/>
          </w:tcPr>
          <w:p w14:paraId="0CC8C165"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0.396</w:t>
            </w:r>
          </w:p>
        </w:tc>
        <w:tc>
          <w:tcPr>
            <w:tcW w:w="1980" w:type="dxa"/>
          </w:tcPr>
          <w:p w14:paraId="0CAFF591"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0.9 (0.6-1.6)</w:t>
            </w:r>
          </w:p>
        </w:tc>
        <w:tc>
          <w:tcPr>
            <w:tcW w:w="985" w:type="dxa"/>
          </w:tcPr>
          <w:p w14:paraId="556C8627"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0.819</w:t>
            </w:r>
          </w:p>
        </w:tc>
      </w:tr>
      <w:tr w:rsidR="002320EC" w:rsidRPr="00B279FC" w14:paraId="39FC27E3" w14:textId="77777777" w:rsidTr="00C84E08">
        <w:tc>
          <w:tcPr>
            <w:tcW w:w="2065" w:type="dxa"/>
            <w:shd w:val="clear" w:color="auto" w:fill="auto"/>
          </w:tcPr>
          <w:p w14:paraId="659199ED" w14:textId="77777777" w:rsidR="002320EC" w:rsidRPr="00B279FC" w:rsidRDefault="002320EC" w:rsidP="00C84E08">
            <w:pPr>
              <w:rPr>
                <w:rFonts w:ascii="Times New Roman" w:hAnsi="Times New Roman" w:cs="Times New Roman"/>
                <w:b/>
                <w:bCs/>
              </w:rPr>
            </w:pPr>
            <w:r w:rsidRPr="00B279FC">
              <w:rPr>
                <w:rFonts w:ascii="Times New Roman" w:hAnsi="Times New Roman" w:cs="Times New Roman"/>
                <w:b/>
                <w:bCs/>
              </w:rPr>
              <w:t>Comorbidity</w:t>
            </w:r>
          </w:p>
        </w:tc>
        <w:tc>
          <w:tcPr>
            <w:tcW w:w="1350" w:type="dxa"/>
            <w:shd w:val="clear" w:color="auto" w:fill="auto"/>
          </w:tcPr>
          <w:p w14:paraId="1DCB0D9D" w14:textId="77777777" w:rsidR="002320EC" w:rsidRPr="00B279FC" w:rsidRDefault="002320EC" w:rsidP="00C84E08">
            <w:pPr>
              <w:rPr>
                <w:rFonts w:ascii="Times New Roman" w:hAnsi="Times New Roman" w:cs="Times New Roman"/>
                <w:b/>
                <w:bCs/>
                <w:highlight w:val="yellow"/>
              </w:rPr>
            </w:pPr>
          </w:p>
        </w:tc>
        <w:tc>
          <w:tcPr>
            <w:tcW w:w="1890" w:type="dxa"/>
            <w:shd w:val="clear" w:color="auto" w:fill="auto"/>
          </w:tcPr>
          <w:p w14:paraId="11D604D3" w14:textId="77777777" w:rsidR="002320EC" w:rsidRPr="00B279FC" w:rsidRDefault="002320EC" w:rsidP="00C84E08">
            <w:pPr>
              <w:rPr>
                <w:rFonts w:ascii="Times New Roman" w:hAnsi="Times New Roman" w:cs="Times New Roman"/>
                <w:b/>
                <w:bCs/>
              </w:rPr>
            </w:pPr>
          </w:p>
        </w:tc>
        <w:tc>
          <w:tcPr>
            <w:tcW w:w="1080" w:type="dxa"/>
            <w:shd w:val="clear" w:color="auto" w:fill="auto"/>
          </w:tcPr>
          <w:p w14:paraId="5A83BC63" w14:textId="77777777" w:rsidR="002320EC" w:rsidRPr="00B279FC" w:rsidRDefault="002320EC" w:rsidP="00C84E08">
            <w:pPr>
              <w:rPr>
                <w:rFonts w:ascii="Times New Roman" w:hAnsi="Times New Roman" w:cs="Times New Roman"/>
                <w:b/>
                <w:bCs/>
              </w:rPr>
            </w:pPr>
          </w:p>
        </w:tc>
        <w:tc>
          <w:tcPr>
            <w:tcW w:w="1980" w:type="dxa"/>
          </w:tcPr>
          <w:p w14:paraId="0ADF027A" w14:textId="77777777" w:rsidR="002320EC" w:rsidRPr="00B279FC" w:rsidRDefault="002320EC" w:rsidP="00C84E08">
            <w:pPr>
              <w:rPr>
                <w:rFonts w:ascii="Times New Roman" w:hAnsi="Times New Roman" w:cs="Times New Roman"/>
                <w:b/>
                <w:bCs/>
              </w:rPr>
            </w:pPr>
          </w:p>
        </w:tc>
        <w:tc>
          <w:tcPr>
            <w:tcW w:w="985" w:type="dxa"/>
          </w:tcPr>
          <w:p w14:paraId="286EB400" w14:textId="77777777" w:rsidR="002320EC" w:rsidRPr="00B279FC" w:rsidRDefault="002320EC" w:rsidP="00C84E08">
            <w:pPr>
              <w:rPr>
                <w:rFonts w:ascii="Times New Roman" w:hAnsi="Times New Roman" w:cs="Times New Roman"/>
                <w:b/>
                <w:bCs/>
              </w:rPr>
            </w:pPr>
          </w:p>
        </w:tc>
      </w:tr>
      <w:tr w:rsidR="002320EC" w:rsidRPr="00B279FC" w14:paraId="6445AE92" w14:textId="77777777" w:rsidTr="00C84E08">
        <w:tc>
          <w:tcPr>
            <w:tcW w:w="2065" w:type="dxa"/>
            <w:shd w:val="clear" w:color="auto" w:fill="auto"/>
          </w:tcPr>
          <w:p w14:paraId="1992F8AC" w14:textId="77777777" w:rsidR="002320EC" w:rsidRPr="00B279FC" w:rsidRDefault="002320EC" w:rsidP="00C84E08">
            <w:pPr>
              <w:ind w:left="284"/>
              <w:rPr>
                <w:rFonts w:ascii="Times New Roman" w:hAnsi="Times New Roman" w:cs="Times New Roman"/>
                <w:b/>
                <w:bCs/>
              </w:rPr>
            </w:pPr>
            <w:r w:rsidRPr="00B279FC">
              <w:rPr>
                <w:rFonts w:ascii="Times New Roman" w:hAnsi="Times New Roman" w:cs="Times New Roman"/>
              </w:rPr>
              <w:t>No</w:t>
            </w:r>
          </w:p>
        </w:tc>
        <w:tc>
          <w:tcPr>
            <w:tcW w:w="1350" w:type="dxa"/>
            <w:shd w:val="clear" w:color="auto" w:fill="auto"/>
          </w:tcPr>
          <w:p w14:paraId="365AA3B8"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73 (49.3)</w:t>
            </w:r>
          </w:p>
        </w:tc>
        <w:tc>
          <w:tcPr>
            <w:tcW w:w="1890" w:type="dxa"/>
            <w:shd w:val="clear" w:color="auto" w:fill="auto"/>
          </w:tcPr>
          <w:p w14:paraId="4E479D63"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w:t>
            </w:r>
          </w:p>
        </w:tc>
        <w:tc>
          <w:tcPr>
            <w:tcW w:w="1080" w:type="dxa"/>
            <w:shd w:val="clear" w:color="auto" w:fill="auto"/>
          </w:tcPr>
          <w:p w14:paraId="2C6DCD1C" w14:textId="77777777" w:rsidR="002320EC" w:rsidRPr="00B279FC" w:rsidRDefault="002320EC" w:rsidP="00C84E08">
            <w:pPr>
              <w:rPr>
                <w:rFonts w:ascii="Times New Roman" w:hAnsi="Times New Roman" w:cs="Times New Roman"/>
              </w:rPr>
            </w:pPr>
          </w:p>
        </w:tc>
        <w:tc>
          <w:tcPr>
            <w:tcW w:w="1980" w:type="dxa"/>
          </w:tcPr>
          <w:p w14:paraId="0B628577"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w:t>
            </w:r>
          </w:p>
        </w:tc>
        <w:tc>
          <w:tcPr>
            <w:tcW w:w="985" w:type="dxa"/>
          </w:tcPr>
          <w:p w14:paraId="5DA6D4FC" w14:textId="77777777" w:rsidR="002320EC" w:rsidRPr="00B279FC" w:rsidRDefault="002320EC" w:rsidP="00C84E08">
            <w:pPr>
              <w:rPr>
                <w:rFonts w:ascii="Times New Roman" w:hAnsi="Times New Roman" w:cs="Times New Roman"/>
              </w:rPr>
            </w:pPr>
          </w:p>
        </w:tc>
      </w:tr>
      <w:tr w:rsidR="002320EC" w:rsidRPr="00B279FC" w14:paraId="37BADA12" w14:textId="77777777" w:rsidTr="00C84E08">
        <w:tc>
          <w:tcPr>
            <w:tcW w:w="2065" w:type="dxa"/>
            <w:shd w:val="clear" w:color="auto" w:fill="auto"/>
          </w:tcPr>
          <w:p w14:paraId="60470DE0" w14:textId="77777777" w:rsidR="002320EC" w:rsidRPr="00B279FC" w:rsidRDefault="002320EC" w:rsidP="00C84E08">
            <w:pPr>
              <w:ind w:left="284"/>
              <w:rPr>
                <w:rFonts w:ascii="Times New Roman" w:hAnsi="Times New Roman" w:cs="Times New Roman"/>
                <w:b/>
                <w:bCs/>
              </w:rPr>
            </w:pPr>
            <w:r w:rsidRPr="00B279FC">
              <w:rPr>
                <w:rFonts w:ascii="Times New Roman" w:hAnsi="Times New Roman" w:cs="Times New Roman"/>
              </w:rPr>
              <w:t>Yes</w:t>
            </w:r>
          </w:p>
        </w:tc>
        <w:tc>
          <w:tcPr>
            <w:tcW w:w="1350" w:type="dxa"/>
            <w:shd w:val="clear" w:color="auto" w:fill="auto"/>
          </w:tcPr>
          <w:p w14:paraId="20EC275D"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67 (89.3)</w:t>
            </w:r>
          </w:p>
        </w:tc>
        <w:tc>
          <w:tcPr>
            <w:tcW w:w="1890" w:type="dxa"/>
            <w:shd w:val="clear" w:color="auto" w:fill="auto"/>
          </w:tcPr>
          <w:p w14:paraId="1EAEDE39"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1.1 (0.7-1.7)</w:t>
            </w:r>
          </w:p>
        </w:tc>
        <w:tc>
          <w:tcPr>
            <w:tcW w:w="1080" w:type="dxa"/>
            <w:shd w:val="clear" w:color="auto" w:fill="auto"/>
          </w:tcPr>
          <w:p w14:paraId="358FF677"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0.580</w:t>
            </w:r>
          </w:p>
        </w:tc>
        <w:tc>
          <w:tcPr>
            <w:tcW w:w="1980" w:type="dxa"/>
          </w:tcPr>
          <w:p w14:paraId="6EEF1130"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1.6 (0.9-2.7)</w:t>
            </w:r>
          </w:p>
        </w:tc>
        <w:tc>
          <w:tcPr>
            <w:tcW w:w="985" w:type="dxa"/>
          </w:tcPr>
          <w:p w14:paraId="64735619"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0.076</w:t>
            </w:r>
          </w:p>
        </w:tc>
      </w:tr>
      <w:tr w:rsidR="002320EC" w:rsidRPr="00B279FC" w14:paraId="2729018A" w14:textId="77777777" w:rsidTr="00C84E08">
        <w:tc>
          <w:tcPr>
            <w:tcW w:w="2065" w:type="dxa"/>
            <w:shd w:val="clear" w:color="auto" w:fill="auto"/>
          </w:tcPr>
          <w:p w14:paraId="164CA7FA" w14:textId="77777777" w:rsidR="002320EC" w:rsidRPr="00B279FC" w:rsidRDefault="002320EC" w:rsidP="00C84E08">
            <w:pPr>
              <w:rPr>
                <w:rFonts w:ascii="Times New Roman" w:hAnsi="Times New Roman" w:cs="Times New Roman"/>
                <w:b/>
                <w:bCs/>
              </w:rPr>
            </w:pPr>
            <w:r w:rsidRPr="00B279FC">
              <w:rPr>
                <w:rFonts w:ascii="Times New Roman" w:hAnsi="Times New Roman" w:cs="Times New Roman"/>
                <w:b/>
                <w:bCs/>
              </w:rPr>
              <w:t>Normal tension POAG</w:t>
            </w:r>
          </w:p>
        </w:tc>
        <w:tc>
          <w:tcPr>
            <w:tcW w:w="1350" w:type="dxa"/>
            <w:shd w:val="clear" w:color="auto" w:fill="auto"/>
          </w:tcPr>
          <w:p w14:paraId="15D4E795" w14:textId="77777777" w:rsidR="002320EC" w:rsidRPr="00B279FC" w:rsidRDefault="002320EC" w:rsidP="00C84E08">
            <w:pPr>
              <w:rPr>
                <w:rFonts w:ascii="Times New Roman" w:hAnsi="Times New Roman" w:cs="Times New Roman"/>
                <w:b/>
                <w:bCs/>
                <w:highlight w:val="yellow"/>
              </w:rPr>
            </w:pPr>
          </w:p>
        </w:tc>
        <w:tc>
          <w:tcPr>
            <w:tcW w:w="1890" w:type="dxa"/>
            <w:shd w:val="clear" w:color="auto" w:fill="auto"/>
          </w:tcPr>
          <w:p w14:paraId="23C4F6BA" w14:textId="77777777" w:rsidR="002320EC" w:rsidRPr="00B279FC" w:rsidRDefault="002320EC" w:rsidP="00C84E08">
            <w:pPr>
              <w:rPr>
                <w:rFonts w:ascii="Times New Roman" w:hAnsi="Times New Roman" w:cs="Times New Roman"/>
              </w:rPr>
            </w:pPr>
          </w:p>
        </w:tc>
        <w:tc>
          <w:tcPr>
            <w:tcW w:w="1080" w:type="dxa"/>
            <w:shd w:val="clear" w:color="auto" w:fill="auto"/>
          </w:tcPr>
          <w:p w14:paraId="563A0EDE" w14:textId="77777777" w:rsidR="002320EC" w:rsidRPr="00B279FC" w:rsidRDefault="002320EC" w:rsidP="00C84E08">
            <w:pPr>
              <w:rPr>
                <w:rFonts w:ascii="Times New Roman" w:hAnsi="Times New Roman" w:cs="Times New Roman"/>
              </w:rPr>
            </w:pPr>
          </w:p>
        </w:tc>
        <w:tc>
          <w:tcPr>
            <w:tcW w:w="1980" w:type="dxa"/>
          </w:tcPr>
          <w:p w14:paraId="0C593790" w14:textId="77777777" w:rsidR="002320EC" w:rsidRPr="00B279FC" w:rsidRDefault="002320EC" w:rsidP="00C84E08">
            <w:pPr>
              <w:rPr>
                <w:rFonts w:ascii="Times New Roman" w:hAnsi="Times New Roman" w:cs="Times New Roman"/>
              </w:rPr>
            </w:pPr>
          </w:p>
        </w:tc>
        <w:tc>
          <w:tcPr>
            <w:tcW w:w="985" w:type="dxa"/>
          </w:tcPr>
          <w:p w14:paraId="55B54BC7" w14:textId="77777777" w:rsidR="002320EC" w:rsidRPr="00B279FC" w:rsidRDefault="002320EC" w:rsidP="00C84E08">
            <w:pPr>
              <w:rPr>
                <w:rFonts w:ascii="Times New Roman" w:hAnsi="Times New Roman" w:cs="Times New Roman"/>
              </w:rPr>
            </w:pPr>
          </w:p>
        </w:tc>
      </w:tr>
      <w:tr w:rsidR="002320EC" w:rsidRPr="00B279FC" w14:paraId="5F2CCD12" w14:textId="77777777" w:rsidTr="00C84E08">
        <w:tc>
          <w:tcPr>
            <w:tcW w:w="2065" w:type="dxa"/>
            <w:shd w:val="clear" w:color="auto" w:fill="auto"/>
          </w:tcPr>
          <w:p w14:paraId="6B2CC25A" w14:textId="77777777" w:rsidR="002320EC" w:rsidRPr="00B279FC" w:rsidRDefault="002320EC" w:rsidP="00C84E08">
            <w:pPr>
              <w:ind w:left="284"/>
              <w:rPr>
                <w:rFonts w:ascii="Times New Roman" w:hAnsi="Times New Roman" w:cs="Times New Roman"/>
              </w:rPr>
            </w:pPr>
            <w:r w:rsidRPr="00B279FC">
              <w:rPr>
                <w:rFonts w:ascii="Times New Roman" w:hAnsi="Times New Roman" w:cs="Times New Roman"/>
              </w:rPr>
              <w:t>No</w:t>
            </w:r>
          </w:p>
        </w:tc>
        <w:tc>
          <w:tcPr>
            <w:tcW w:w="1350" w:type="dxa"/>
            <w:shd w:val="clear" w:color="auto" w:fill="auto"/>
          </w:tcPr>
          <w:p w14:paraId="2F28F1E1"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104 (33.6)</w:t>
            </w:r>
          </w:p>
        </w:tc>
        <w:tc>
          <w:tcPr>
            <w:tcW w:w="1890" w:type="dxa"/>
            <w:shd w:val="clear" w:color="auto" w:fill="auto"/>
          </w:tcPr>
          <w:p w14:paraId="50D40FE4"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w:t>
            </w:r>
          </w:p>
        </w:tc>
        <w:tc>
          <w:tcPr>
            <w:tcW w:w="1080" w:type="dxa"/>
            <w:shd w:val="clear" w:color="auto" w:fill="auto"/>
          </w:tcPr>
          <w:p w14:paraId="72727EC8" w14:textId="77777777" w:rsidR="002320EC" w:rsidRPr="00B279FC" w:rsidRDefault="002320EC" w:rsidP="00C84E08">
            <w:pPr>
              <w:rPr>
                <w:rFonts w:ascii="Times New Roman" w:hAnsi="Times New Roman" w:cs="Times New Roman"/>
              </w:rPr>
            </w:pPr>
          </w:p>
        </w:tc>
        <w:tc>
          <w:tcPr>
            <w:tcW w:w="1980" w:type="dxa"/>
          </w:tcPr>
          <w:p w14:paraId="2D76C082"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w:t>
            </w:r>
          </w:p>
        </w:tc>
        <w:tc>
          <w:tcPr>
            <w:tcW w:w="985" w:type="dxa"/>
          </w:tcPr>
          <w:p w14:paraId="3FC40CD3" w14:textId="77777777" w:rsidR="002320EC" w:rsidRPr="00B279FC" w:rsidRDefault="002320EC" w:rsidP="00C84E08">
            <w:pPr>
              <w:rPr>
                <w:rFonts w:ascii="Times New Roman" w:hAnsi="Times New Roman" w:cs="Times New Roman"/>
              </w:rPr>
            </w:pPr>
          </w:p>
        </w:tc>
      </w:tr>
      <w:tr w:rsidR="002320EC" w:rsidRPr="00B279FC" w14:paraId="64237E39" w14:textId="77777777" w:rsidTr="00C84E08">
        <w:tc>
          <w:tcPr>
            <w:tcW w:w="2065" w:type="dxa"/>
            <w:shd w:val="clear" w:color="auto" w:fill="auto"/>
          </w:tcPr>
          <w:p w14:paraId="54C4243F" w14:textId="77777777" w:rsidR="002320EC" w:rsidRPr="00B279FC" w:rsidRDefault="002320EC" w:rsidP="00C84E08">
            <w:pPr>
              <w:ind w:left="284"/>
              <w:rPr>
                <w:rFonts w:ascii="Times New Roman" w:hAnsi="Times New Roman" w:cs="Times New Roman"/>
              </w:rPr>
            </w:pPr>
            <w:r w:rsidRPr="00B279FC">
              <w:rPr>
                <w:rFonts w:ascii="Times New Roman" w:hAnsi="Times New Roman" w:cs="Times New Roman"/>
              </w:rPr>
              <w:t>Yes</w:t>
            </w:r>
          </w:p>
        </w:tc>
        <w:tc>
          <w:tcPr>
            <w:tcW w:w="1350" w:type="dxa"/>
            <w:shd w:val="clear" w:color="auto" w:fill="auto"/>
          </w:tcPr>
          <w:p w14:paraId="03AF76A2"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36 (66.7)</w:t>
            </w:r>
          </w:p>
        </w:tc>
        <w:tc>
          <w:tcPr>
            <w:tcW w:w="1890" w:type="dxa"/>
            <w:shd w:val="clear" w:color="auto" w:fill="auto"/>
          </w:tcPr>
          <w:p w14:paraId="7D66CDFC"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2.0 (1.3-3.3)</w:t>
            </w:r>
          </w:p>
        </w:tc>
        <w:tc>
          <w:tcPr>
            <w:tcW w:w="1080" w:type="dxa"/>
            <w:shd w:val="clear" w:color="auto" w:fill="auto"/>
          </w:tcPr>
          <w:p w14:paraId="6BF93208"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0.003</w:t>
            </w:r>
          </w:p>
        </w:tc>
        <w:tc>
          <w:tcPr>
            <w:tcW w:w="1980" w:type="dxa"/>
          </w:tcPr>
          <w:p w14:paraId="520155EA"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2.6 (1.4-4.8)</w:t>
            </w:r>
          </w:p>
        </w:tc>
        <w:tc>
          <w:tcPr>
            <w:tcW w:w="985" w:type="dxa"/>
          </w:tcPr>
          <w:p w14:paraId="1849D956"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0.002</w:t>
            </w:r>
          </w:p>
        </w:tc>
      </w:tr>
      <w:tr w:rsidR="002320EC" w:rsidRPr="00B279FC" w14:paraId="4281F3B6" w14:textId="77777777" w:rsidTr="00C84E08">
        <w:tc>
          <w:tcPr>
            <w:tcW w:w="2065" w:type="dxa"/>
            <w:shd w:val="clear" w:color="auto" w:fill="auto"/>
          </w:tcPr>
          <w:p w14:paraId="40AE4393" w14:textId="77777777" w:rsidR="002320EC" w:rsidRPr="00B279FC" w:rsidRDefault="002320EC" w:rsidP="00C84E08">
            <w:pPr>
              <w:rPr>
                <w:rFonts w:ascii="Times New Roman" w:hAnsi="Times New Roman" w:cs="Times New Roman"/>
              </w:rPr>
            </w:pPr>
            <w:r w:rsidRPr="00B279FC">
              <w:rPr>
                <w:rFonts w:ascii="Times New Roman" w:hAnsi="Times New Roman" w:cs="Times New Roman"/>
                <w:b/>
                <w:bCs/>
              </w:rPr>
              <w:t>Disease stage</w:t>
            </w:r>
          </w:p>
        </w:tc>
        <w:tc>
          <w:tcPr>
            <w:tcW w:w="1350" w:type="dxa"/>
            <w:shd w:val="clear" w:color="auto" w:fill="auto"/>
          </w:tcPr>
          <w:p w14:paraId="78632355" w14:textId="77777777" w:rsidR="002320EC" w:rsidRPr="00B279FC" w:rsidRDefault="002320EC" w:rsidP="00C84E08">
            <w:pPr>
              <w:rPr>
                <w:rFonts w:ascii="Times New Roman" w:hAnsi="Times New Roman" w:cs="Times New Roman"/>
                <w:highlight w:val="yellow"/>
              </w:rPr>
            </w:pPr>
          </w:p>
        </w:tc>
        <w:tc>
          <w:tcPr>
            <w:tcW w:w="1890" w:type="dxa"/>
            <w:shd w:val="clear" w:color="auto" w:fill="auto"/>
          </w:tcPr>
          <w:p w14:paraId="0E4F7848" w14:textId="77777777" w:rsidR="002320EC" w:rsidRPr="00B279FC" w:rsidRDefault="002320EC" w:rsidP="00C84E08">
            <w:pPr>
              <w:rPr>
                <w:rFonts w:ascii="Times New Roman" w:hAnsi="Times New Roman" w:cs="Times New Roman"/>
              </w:rPr>
            </w:pPr>
          </w:p>
        </w:tc>
        <w:tc>
          <w:tcPr>
            <w:tcW w:w="1080" w:type="dxa"/>
            <w:shd w:val="clear" w:color="auto" w:fill="auto"/>
          </w:tcPr>
          <w:p w14:paraId="19C61423" w14:textId="77777777" w:rsidR="002320EC" w:rsidRPr="00B279FC" w:rsidRDefault="002320EC" w:rsidP="00C84E08">
            <w:pPr>
              <w:rPr>
                <w:rFonts w:ascii="Times New Roman" w:hAnsi="Times New Roman" w:cs="Times New Roman"/>
              </w:rPr>
            </w:pPr>
          </w:p>
        </w:tc>
        <w:tc>
          <w:tcPr>
            <w:tcW w:w="1980" w:type="dxa"/>
          </w:tcPr>
          <w:p w14:paraId="5EFF3C1C" w14:textId="77777777" w:rsidR="002320EC" w:rsidRPr="00B279FC" w:rsidRDefault="002320EC" w:rsidP="00C84E08">
            <w:pPr>
              <w:rPr>
                <w:rFonts w:ascii="Times New Roman" w:hAnsi="Times New Roman" w:cs="Times New Roman"/>
              </w:rPr>
            </w:pPr>
          </w:p>
        </w:tc>
        <w:tc>
          <w:tcPr>
            <w:tcW w:w="985" w:type="dxa"/>
          </w:tcPr>
          <w:p w14:paraId="00B1DD43" w14:textId="77777777" w:rsidR="002320EC" w:rsidRPr="00B279FC" w:rsidRDefault="002320EC" w:rsidP="00C84E08">
            <w:pPr>
              <w:rPr>
                <w:rFonts w:ascii="Times New Roman" w:hAnsi="Times New Roman" w:cs="Times New Roman"/>
              </w:rPr>
            </w:pPr>
          </w:p>
        </w:tc>
      </w:tr>
      <w:tr w:rsidR="002320EC" w:rsidRPr="00B279FC" w14:paraId="50B5F8EB" w14:textId="77777777" w:rsidTr="00C84E08">
        <w:tc>
          <w:tcPr>
            <w:tcW w:w="2065" w:type="dxa"/>
            <w:tcBorders>
              <w:bottom w:val="nil"/>
            </w:tcBorders>
          </w:tcPr>
          <w:p w14:paraId="0E6F5295" w14:textId="77777777" w:rsidR="002320EC" w:rsidRPr="00B279FC" w:rsidRDefault="002320EC" w:rsidP="00C84E08">
            <w:pPr>
              <w:ind w:left="284"/>
              <w:rPr>
                <w:rFonts w:ascii="Times New Roman" w:hAnsi="Times New Roman" w:cs="Times New Roman"/>
                <w:b/>
                <w:bCs/>
              </w:rPr>
            </w:pPr>
            <w:r w:rsidRPr="00B279FC">
              <w:rPr>
                <w:rFonts w:ascii="Times New Roman" w:hAnsi="Times New Roman" w:cs="Times New Roman"/>
              </w:rPr>
              <w:t>Mild</w:t>
            </w:r>
          </w:p>
        </w:tc>
        <w:tc>
          <w:tcPr>
            <w:tcW w:w="1350" w:type="dxa"/>
            <w:tcBorders>
              <w:bottom w:val="nil"/>
            </w:tcBorders>
          </w:tcPr>
          <w:p w14:paraId="5FBFC551"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40 (25.6)</w:t>
            </w:r>
          </w:p>
        </w:tc>
        <w:tc>
          <w:tcPr>
            <w:tcW w:w="1890" w:type="dxa"/>
            <w:tcBorders>
              <w:bottom w:val="nil"/>
            </w:tcBorders>
          </w:tcPr>
          <w:p w14:paraId="5B018E30"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w:t>
            </w:r>
          </w:p>
        </w:tc>
        <w:tc>
          <w:tcPr>
            <w:tcW w:w="1080" w:type="dxa"/>
            <w:tcBorders>
              <w:bottom w:val="nil"/>
            </w:tcBorders>
          </w:tcPr>
          <w:p w14:paraId="65B8B881" w14:textId="77777777" w:rsidR="002320EC" w:rsidRPr="00B279FC" w:rsidRDefault="002320EC" w:rsidP="00C84E08">
            <w:pPr>
              <w:rPr>
                <w:rFonts w:ascii="Times New Roman" w:hAnsi="Times New Roman" w:cs="Times New Roman"/>
              </w:rPr>
            </w:pPr>
          </w:p>
        </w:tc>
        <w:tc>
          <w:tcPr>
            <w:tcW w:w="1980" w:type="dxa"/>
            <w:tcBorders>
              <w:bottom w:val="nil"/>
            </w:tcBorders>
          </w:tcPr>
          <w:p w14:paraId="7A8B0A5F"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w:t>
            </w:r>
          </w:p>
        </w:tc>
        <w:tc>
          <w:tcPr>
            <w:tcW w:w="985" w:type="dxa"/>
            <w:tcBorders>
              <w:bottom w:val="nil"/>
            </w:tcBorders>
          </w:tcPr>
          <w:p w14:paraId="4319D2BA" w14:textId="77777777" w:rsidR="002320EC" w:rsidRPr="00B279FC" w:rsidRDefault="002320EC" w:rsidP="00C84E08">
            <w:pPr>
              <w:rPr>
                <w:rFonts w:ascii="Times New Roman" w:hAnsi="Times New Roman" w:cs="Times New Roman"/>
              </w:rPr>
            </w:pPr>
          </w:p>
        </w:tc>
      </w:tr>
      <w:tr w:rsidR="002320EC" w:rsidRPr="00B279FC" w14:paraId="237A2228" w14:textId="77777777" w:rsidTr="00C84E08">
        <w:tc>
          <w:tcPr>
            <w:tcW w:w="2065" w:type="dxa"/>
            <w:tcBorders>
              <w:top w:val="nil"/>
              <w:bottom w:val="nil"/>
            </w:tcBorders>
          </w:tcPr>
          <w:p w14:paraId="701B36EB" w14:textId="77777777" w:rsidR="002320EC" w:rsidRPr="00B279FC" w:rsidRDefault="002320EC" w:rsidP="00C84E08">
            <w:pPr>
              <w:ind w:left="284"/>
              <w:rPr>
                <w:rFonts w:ascii="Times New Roman" w:hAnsi="Times New Roman" w:cs="Times New Roman"/>
              </w:rPr>
            </w:pPr>
            <w:r w:rsidRPr="00B279FC">
              <w:rPr>
                <w:rFonts w:ascii="Times New Roman" w:hAnsi="Times New Roman" w:cs="Times New Roman"/>
              </w:rPr>
              <w:t>Moderate</w:t>
            </w:r>
          </w:p>
        </w:tc>
        <w:tc>
          <w:tcPr>
            <w:tcW w:w="1350" w:type="dxa"/>
            <w:tcBorders>
              <w:top w:val="nil"/>
              <w:bottom w:val="nil"/>
            </w:tcBorders>
          </w:tcPr>
          <w:p w14:paraId="5F16D69F"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36 (50.0)</w:t>
            </w:r>
          </w:p>
        </w:tc>
        <w:tc>
          <w:tcPr>
            <w:tcW w:w="1890" w:type="dxa"/>
            <w:tcBorders>
              <w:top w:val="nil"/>
              <w:bottom w:val="nil"/>
            </w:tcBorders>
          </w:tcPr>
          <w:p w14:paraId="0A347858"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1.2 (0.7-2.1)</w:t>
            </w:r>
          </w:p>
        </w:tc>
        <w:tc>
          <w:tcPr>
            <w:tcW w:w="1080" w:type="dxa"/>
            <w:tcBorders>
              <w:top w:val="nil"/>
              <w:bottom w:val="nil"/>
            </w:tcBorders>
          </w:tcPr>
          <w:p w14:paraId="19F96EA2"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0.538</w:t>
            </w:r>
          </w:p>
        </w:tc>
        <w:tc>
          <w:tcPr>
            <w:tcW w:w="1980" w:type="dxa"/>
            <w:tcBorders>
              <w:top w:val="nil"/>
              <w:bottom w:val="nil"/>
            </w:tcBorders>
          </w:tcPr>
          <w:p w14:paraId="11160C34"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1.4 (0.7-2.7)</w:t>
            </w:r>
          </w:p>
        </w:tc>
        <w:tc>
          <w:tcPr>
            <w:tcW w:w="985" w:type="dxa"/>
            <w:tcBorders>
              <w:top w:val="nil"/>
              <w:bottom w:val="nil"/>
            </w:tcBorders>
          </w:tcPr>
          <w:p w14:paraId="15DEE815"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0.297</w:t>
            </w:r>
          </w:p>
        </w:tc>
      </w:tr>
      <w:tr w:rsidR="002320EC" w:rsidRPr="00B279FC" w14:paraId="6E87AE8B" w14:textId="77777777" w:rsidTr="00C84E08">
        <w:tc>
          <w:tcPr>
            <w:tcW w:w="2065" w:type="dxa"/>
            <w:tcBorders>
              <w:top w:val="nil"/>
              <w:bottom w:val="nil"/>
            </w:tcBorders>
          </w:tcPr>
          <w:p w14:paraId="1F7D18AC" w14:textId="77777777" w:rsidR="002320EC" w:rsidRPr="00B279FC" w:rsidRDefault="002320EC" w:rsidP="00C84E08">
            <w:pPr>
              <w:ind w:left="284"/>
              <w:rPr>
                <w:rFonts w:ascii="Times New Roman" w:hAnsi="Times New Roman" w:cs="Times New Roman"/>
              </w:rPr>
            </w:pPr>
            <w:r w:rsidRPr="00B279FC">
              <w:rPr>
                <w:rFonts w:ascii="Times New Roman" w:hAnsi="Times New Roman" w:cs="Times New Roman"/>
              </w:rPr>
              <w:t>Advanced</w:t>
            </w:r>
          </w:p>
        </w:tc>
        <w:tc>
          <w:tcPr>
            <w:tcW w:w="1350" w:type="dxa"/>
            <w:tcBorders>
              <w:top w:val="nil"/>
              <w:bottom w:val="nil"/>
            </w:tcBorders>
          </w:tcPr>
          <w:p w14:paraId="1D28448B"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21 (43.8)</w:t>
            </w:r>
          </w:p>
        </w:tc>
        <w:tc>
          <w:tcPr>
            <w:tcW w:w="1890" w:type="dxa"/>
            <w:tcBorders>
              <w:top w:val="nil"/>
              <w:bottom w:val="nil"/>
            </w:tcBorders>
          </w:tcPr>
          <w:p w14:paraId="2CDA5BF8"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1.3 (0.6-2.5)</w:t>
            </w:r>
          </w:p>
        </w:tc>
        <w:tc>
          <w:tcPr>
            <w:tcW w:w="1080" w:type="dxa"/>
            <w:tcBorders>
              <w:top w:val="nil"/>
              <w:bottom w:val="nil"/>
            </w:tcBorders>
          </w:tcPr>
          <w:p w14:paraId="5006F9E8"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0.524</w:t>
            </w:r>
          </w:p>
        </w:tc>
        <w:tc>
          <w:tcPr>
            <w:tcW w:w="1980" w:type="dxa"/>
            <w:tcBorders>
              <w:top w:val="nil"/>
              <w:bottom w:val="nil"/>
            </w:tcBorders>
          </w:tcPr>
          <w:p w14:paraId="36AE17B1" w14:textId="77777777" w:rsidR="002320EC" w:rsidRPr="00B279FC" w:rsidRDefault="002320EC" w:rsidP="00C84E08">
            <w:pPr>
              <w:rPr>
                <w:rFonts w:ascii="Times New Roman" w:hAnsi="Times New Roman" w:cs="Times New Roman"/>
              </w:rPr>
            </w:pPr>
            <w:bookmarkStart w:id="17" w:name="_Hlk168853623"/>
            <w:r w:rsidRPr="00B279FC">
              <w:rPr>
                <w:rFonts w:ascii="Times New Roman" w:hAnsi="Times New Roman" w:cs="Times New Roman"/>
              </w:rPr>
              <w:t>2.6 (1.2-5.8)</w:t>
            </w:r>
            <w:bookmarkEnd w:id="17"/>
          </w:p>
        </w:tc>
        <w:tc>
          <w:tcPr>
            <w:tcW w:w="985" w:type="dxa"/>
            <w:tcBorders>
              <w:top w:val="nil"/>
              <w:bottom w:val="nil"/>
            </w:tcBorders>
          </w:tcPr>
          <w:p w14:paraId="4FCFB60B"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0.017</w:t>
            </w:r>
          </w:p>
        </w:tc>
      </w:tr>
      <w:tr w:rsidR="002320EC" w:rsidRPr="00B279FC" w14:paraId="0F1978C3" w14:textId="77777777" w:rsidTr="00C84E08">
        <w:tc>
          <w:tcPr>
            <w:tcW w:w="2065" w:type="dxa"/>
            <w:tcBorders>
              <w:top w:val="nil"/>
            </w:tcBorders>
          </w:tcPr>
          <w:p w14:paraId="663FEF93" w14:textId="77777777" w:rsidR="002320EC" w:rsidRPr="00B279FC" w:rsidRDefault="002320EC" w:rsidP="00C84E08">
            <w:pPr>
              <w:ind w:left="284"/>
              <w:rPr>
                <w:rFonts w:ascii="Times New Roman" w:hAnsi="Times New Roman" w:cs="Times New Roman"/>
              </w:rPr>
            </w:pPr>
            <w:r w:rsidRPr="00B279FC">
              <w:rPr>
                <w:rFonts w:ascii="Times New Roman" w:hAnsi="Times New Roman" w:cs="Times New Roman"/>
              </w:rPr>
              <w:t>Severe</w:t>
            </w:r>
          </w:p>
        </w:tc>
        <w:tc>
          <w:tcPr>
            <w:tcW w:w="1350" w:type="dxa"/>
            <w:tcBorders>
              <w:top w:val="nil"/>
            </w:tcBorders>
          </w:tcPr>
          <w:p w14:paraId="3DD6B597"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43 (49.4)</w:t>
            </w:r>
          </w:p>
        </w:tc>
        <w:tc>
          <w:tcPr>
            <w:tcW w:w="1890" w:type="dxa"/>
            <w:tcBorders>
              <w:top w:val="nil"/>
            </w:tcBorders>
          </w:tcPr>
          <w:p w14:paraId="71013DDD"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1.9 (1.1-3.2)</w:t>
            </w:r>
          </w:p>
        </w:tc>
        <w:tc>
          <w:tcPr>
            <w:tcW w:w="1080" w:type="dxa"/>
            <w:tcBorders>
              <w:top w:val="nil"/>
            </w:tcBorders>
          </w:tcPr>
          <w:p w14:paraId="57AF4996"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0.020</w:t>
            </w:r>
          </w:p>
        </w:tc>
        <w:tc>
          <w:tcPr>
            <w:tcW w:w="1980" w:type="dxa"/>
            <w:tcBorders>
              <w:top w:val="nil"/>
            </w:tcBorders>
          </w:tcPr>
          <w:p w14:paraId="7AA6D488"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3.0 (1.7-5.5)</w:t>
            </w:r>
          </w:p>
        </w:tc>
        <w:tc>
          <w:tcPr>
            <w:tcW w:w="985" w:type="dxa"/>
            <w:tcBorders>
              <w:top w:val="nil"/>
            </w:tcBorders>
          </w:tcPr>
          <w:p w14:paraId="6D346BD3"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&lt;0.001</w:t>
            </w:r>
          </w:p>
        </w:tc>
      </w:tr>
      <w:tr w:rsidR="002320EC" w:rsidRPr="00B279FC" w14:paraId="0048E6C3" w14:textId="77777777" w:rsidTr="00C84E08">
        <w:tc>
          <w:tcPr>
            <w:tcW w:w="2065" w:type="dxa"/>
            <w:shd w:val="clear" w:color="auto" w:fill="auto"/>
          </w:tcPr>
          <w:p w14:paraId="5F3A9519" w14:textId="77777777" w:rsidR="002320EC" w:rsidRPr="00B279FC" w:rsidRDefault="002320EC" w:rsidP="00C84E08">
            <w:pPr>
              <w:rPr>
                <w:rFonts w:ascii="Times New Roman" w:hAnsi="Times New Roman" w:cs="Times New Roman"/>
              </w:rPr>
            </w:pPr>
            <w:r w:rsidRPr="00B279FC">
              <w:rPr>
                <w:rFonts w:ascii="Times New Roman" w:hAnsi="Times New Roman" w:cs="Times New Roman"/>
                <w:b/>
                <w:bCs/>
              </w:rPr>
              <w:t>Refractive error</w:t>
            </w:r>
          </w:p>
        </w:tc>
        <w:tc>
          <w:tcPr>
            <w:tcW w:w="1350" w:type="dxa"/>
            <w:shd w:val="clear" w:color="auto" w:fill="auto"/>
          </w:tcPr>
          <w:p w14:paraId="6576CC20" w14:textId="77777777" w:rsidR="002320EC" w:rsidRPr="00B279FC" w:rsidRDefault="002320EC" w:rsidP="00C84E08">
            <w:pPr>
              <w:rPr>
                <w:rFonts w:ascii="Times New Roman" w:hAnsi="Times New Roman" w:cs="Times New Roman"/>
                <w:highlight w:val="yellow"/>
              </w:rPr>
            </w:pPr>
          </w:p>
        </w:tc>
        <w:tc>
          <w:tcPr>
            <w:tcW w:w="1890" w:type="dxa"/>
            <w:shd w:val="clear" w:color="auto" w:fill="auto"/>
          </w:tcPr>
          <w:p w14:paraId="1981E4FC" w14:textId="77777777" w:rsidR="002320EC" w:rsidRPr="00B279FC" w:rsidRDefault="002320EC" w:rsidP="00C84E08">
            <w:pPr>
              <w:rPr>
                <w:rFonts w:ascii="Times New Roman" w:hAnsi="Times New Roman" w:cs="Times New Roman"/>
              </w:rPr>
            </w:pPr>
          </w:p>
        </w:tc>
        <w:tc>
          <w:tcPr>
            <w:tcW w:w="1080" w:type="dxa"/>
            <w:shd w:val="clear" w:color="auto" w:fill="auto"/>
          </w:tcPr>
          <w:p w14:paraId="273A469B" w14:textId="77777777" w:rsidR="002320EC" w:rsidRPr="00B279FC" w:rsidRDefault="002320EC" w:rsidP="00C84E08">
            <w:pPr>
              <w:rPr>
                <w:rFonts w:ascii="Times New Roman" w:hAnsi="Times New Roman" w:cs="Times New Roman"/>
              </w:rPr>
            </w:pPr>
          </w:p>
        </w:tc>
        <w:tc>
          <w:tcPr>
            <w:tcW w:w="1980" w:type="dxa"/>
          </w:tcPr>
          <w:p w14:paraId="01B35E7C" w14:textId="77777777" w:rsidR="002320EC" w:rsidRPr="00B279FC" w:rsidRDefault="002320EC" w:rsidP="00C84E08">
            <w:pPr>
              <w:rPr>
                <w:rFonts w:ascii="Times New Roman" w:hAnsi="Times New Roman" w:cs="Times New Roman"/>
              </w:rPr>
            </w:pPr>
          </w:p>
        </w:tc>
        <w:tc>
          <w:tcPr>
            <w:tcW w:w="985" w:type="dxa"/>
          </w:tcPr>
          <w:p w14:paraId="593C7B09" w14:textId="77777777" w:rsidR="002320EC" w:rsidRPr="00B279FC" w:rsidRDefault="002320EC" w:rsidP="00C84E08">
            <w:pPr>
              <w:rPr>
                <w:rFonts w:ascii="Times New Roman" w:hAnsi="Times New Roman" w:cs="Times New Roman"/>
              </w:rPr>
            </w:pPr>
          </w:p>
        </w:tc>
      </w:tr>
      <w:tr w:rsidR="002320EC" w:rsidRPr="00B279FC" w14:paraId="5818635F" w14:textId="77777777" w:rsidTr="00C84E08">
        <w:tc>
          <w:tcPr>
            <w:tcW w:w="2065" w:type="dxa"/>
            <w:shd w:val="clear" w:color="auto" w:fill="auto"/>
          </w:tcPr>
          <w:p w14:paraId="07C96CD5" w14:textId="77777777" w:rsidR="002320EC" w:rsidRPr="00B279FC" w:rsidRDefault="002320EC" w:rsidP="00C84E08">
            <w:pPr>
              <w:ind w:left="284"/>
              <w:rPr>
                <w:rFonts w:ascii="Times New Roman" w:hAnsi="Times New Roman" w:cs="Times New Roman"/>
              </w:rPr>
            </w:pPr>
            <w:r w:rsidRPr="00B279FC">
              <w:rPr>
                <w:rFonts w:ascii="Times New Roman" w:hAnsi="Times New Roman" w:cs="Times New Roman"/>
              </w:rPr>
              <w:t>Absent</w:t>
            </w:r>
          </w:p>
        </w:tc>
        <w:tc>
          <w:tcPr>
            <w:tcW w:w="1350" w:type="dxa"/>
            <w:shd w:val="clear" w:color="auto" w:fill="auto"/>
          </w:tcPr>
          <w:p w14:paraId="5560DE60"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88 (36.8)</w:t>
            </w:r>
          </w:p>
        </w:tc>
        <w:tc>
          <w:tcPr>
            <w:tcW w:w="1890" w:type="dxa"/>
            <w:shd w:val="clear" w:color="auto" w:fill="auto"/>
          </w:tcPr>
          <w:p w14:paraId="003FFD88"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w:t>
            </w:r>
          </w:p>
        </w:tc>
        <w:tc>
          <w:tcPr>
            <w:tcW w:w="1080" w:type="dxa"/>
            <w:shd w:val="clear" w:color="auto" w:fill="auto"/>
          </w:tcPr>
          <w:p w14:paraId="31EE0DD8" w14:textId="77777777" w:rsidR="002320EC" w:rsidRPr="00B279FC" w:rsidRDefault="002320EC" w:rsidP="00C84E08">
            <w:pPr>
              <w:rPr>
                <w:rFonts w:ascii="Times New Roman" w:hAnsi="Times New Roman" w:cs="Times New Roman"/>
              </w:rPr>
            </w:pPr>
          </w:p>
        </w:tc>
        <w:tc>
          <w:tcPr>
            <w:tcW w:w="1980" w:type="dxa"/>
          </w:tcPr>
          <w:p w14:paraId="1495DD3B"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w:t>
            </w:r>
          </w:p>
        </w:tc>
        <w:tc>
          <w:tcPr>
            <w:tcW w:w="985" w:type="dxa"/>
          </w:tcPr>
          <w:p w14:paraId="5454E66A" w14:textId="77777777" w:rsidR="002320EC" w:rsidRPr="00B279FC" w:rsidRDefault="002320EC" w:rsidP="00C84E08">
            <w:pPr>
              <w:rPr>
                <w:rFonts w:ascii="Times New Roman" w:hAnsi="Times New Roman" w:cs="Times New Roman"/>
              </w:rPr>
            </w:pPr>
          </w:p>
        </w:tc>
      </w:tr>
      <w:tr w:rsidR="002320EC" w:rsidRPr="00B279FC" w14:paraId="6ED35A05" w14:textId="77777777" w:rsidTr="00C84E08">
        <w:tc>
          <w:tcPr>
            <w:tcW w:w="2065" w:type="dxa"/>
          </w:tcPr>
          <w:p w14:paraId="3AA91ECF" w14:textId="77777777" w:rsidR="002320EC" w:rsidRPr="00B279FC" w:rsidRDefault="002320EC" w:rsidP="00C84E08">
            <w:pPr>
              <w:ind w:left="284"/>
              <w:rPr>
                <w:rFonts w:ascii="Times New Roman" w:hAnsi="Times New Roman" w:cs="Times New Roman"/>
                <w:b/>
                <w:bCs/>
              </w:rPr>
            </w:pPr>
            <w:r w:rsidRPr="00B279FC">
              <w:rPr>
                <w:rFonts w:ascii="Times New Roman" w:hAnsi="Times New Roman" w:cs="Times New Roman"/>
              </w:rPr>
              <w:t>Myopia</w:t>
            </w:r>
          </w:p>
        </w:tc>
        <w:tc>
          <w:tcPr>
            <w:tcW w:w="1350" w:type="dxa"/>
          </w:tcPr>
          <w:p w14:paraId="050FC93D"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34 (37.4)</w:t>
            </w:r>
          </w:p>
        </w:tc>
        <w:tc>
          <w:tcPr>
            <w:tcW w:w="1890" w:type="dxa"/>
          </w:tcPr>
          <w:p w14:paraId="49A7DB10"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2.6 (1.2-4.3)</w:t>
            </w:r>
          </w:p>
        </w:tc>
        <w:tc>
          <w:tcPr>
            <w:tcW w:w="1080" w:type="dxa"/>
          </w:tcPr>
          <w:p w14:paraId="478BCD9A"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0.001</w:t>
            </w:r>
          </w:p>
        </w:tc>
        <w:tc>
          <w:tcPr>
            <w:tcW w:w="1980" w:type="dxa"/>
          </w:tcPr>
          <w:p w14:paraId="595B7026"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2.1 (1.9-4.4)</w:t>
            </w:r>
          </w:p>
        </w:tc>
        <w:tc>
          <w:tcPr>
            <w:tcW w:w="985" w:type="dxa"/>
          </w:tcPr>
          <w:p w14:paraId="23EA4E87"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0.002</w:t>
            </w:r>
          </w:p>
        </w:tc>
      </w:tr>
      <w:tr w:rsidR="002320EC" w:rsidRPr="00B279FC" w14:paraId="1029610C" w14:textId="77777777" w:rsidTr="00C84E08">
        <w:tc>
          <w:tcPr>
            <w:tcW w:w="2065" w:type="dxa"/>
          </w:tcPr>
          <w:p w14:paraId="3D316EDF" w14:textId="77777777" w:rsidR="002320EC" w:rsidRPr="00B279FC" w:rsidRDefault="002320EC" w:rsidP="00C84E08">
            <w:pPr>
              <w:ind w:left="284"/>
              <w:rPr>
                <w:rFonts w:ascii="Times New Roman" w:hAnsi="Times New Roman" w:cs="Times New Roman"/>
              </w:rPr>
            </w:pPr>
            <w:r w:rsidRPr="00B279FC">
              <w:rPr>
                <w:rFonts w:ascii="Times New Roman" w:hAnsi="Times New Roman" w:cs="Times New Roman"/>
              </w:rPr>
              <w:t>Hyperopia</w:t>
            </w:r>
          </w:p>
        </w:tc>
        <w:tc>
          <w:tcPr>
            <w:tcW w:w="1350" w:type="dxa"/>
          </w:tcPr>
          <w:p w14:paraId="2C7740FF"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18 (54.5)</w:t>
            </w:r>
          </w:p>
        </w:tc>
        <w:tc>
          <w:tcPr>
            <w:tcW w:w="1890" w:type="dxa"/>
          </w:tcPr>
          <w:p w14:paraId="76054442"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0.9 (0.6-1.5)</w:t>
            </w:r>
          </w:p>
        </w:tc>
        <w:tc>
          <w:tcPr>
            <w:tcW w:w="1080" w:type="dxa"/>
          </w:tcPr>
          <w:p w14:paraId="43189F13"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0.726</w:t>
            </w:r>
          </w:p>
        </w:tc>
        <w:tc>
          <w:tcPr>
            <w:tcW w:w="1980" w:type="dxa"/>
          </w:tcPr>
          <w:p w14:paraId="229B6290"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1.1 (0.6-1.7)</w:t>
            </w:r>
          </w:p>
        </w:tc>
        <w:tc>
          <w:tcPr>
            <w:tcW w:w="985" w:type="dxa"/>
          </w:tcPr>
          <w:p w14:paraId="3E20ECCE"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0.995</w:t>
            </w:r>
          </w:p>
        </w:tc>
      </w:tr>
      <w:tr w:rsidR="002320EC" w:rsidRPr="00B279FC" w14:paraId="201392A3" w14:textId="77777777" w:rsidTr="00C84E08">
        <w:tc>
          <w:tcPr>
            <w:tcW w:w="2065" w:type="dxa"/>
            <w:tcBorders>
              <w:top w:val="nil"/>
              <w:bottom w:val="nil"/>
            </w:tcBorders>
          </w:tcPr>
          <w:p w14:paraId="1E7CC468" w14:textId="77777777" w:rsidR="002320EC" w:rsidRPr="00B279FC" w:rsidRDefault="002320EC" w:rsidP="00C84E08">
            <w:pPr>
              <w:rPr>
                <w:rFonts w:ascii="Times New Roman" w:hAnsi="Times New Roman" w:cs="Times New Roman"/>
              </w:rPr>
            </w:pPr>
            <w:r w:rsidRPr="00B279FC">
              <w:rPr>
                <w:rFonts w:ascii="Times New Roman" w:hAnsi="Times New Roman" w:cs="Times New Roman"/>
                <w:b/>
                <w:bCs/>
              </w:rPr>
              <w:t>Average IOP</w:t>
            </w:r>
          </w:p>
        </w:tc>
        <w:tc>
          <w:tcPr>
            <w:tcW w:w="1350" w:type="dxa"/>
            <w:tcBorders>
              <w:top w:val="nil"/>
              <w:bottom w:val="nil"/>
            </w:tcBorders>
          </w:tcPr>
          <w:p w14:paraId="3387825A" w14:textId="77777777" w:rsidR="002320EC" w:rsidRPr="00B279FC" w:rsidRDefault="002320EC" w:rsidP="00C84E08">
            <w:pPr>
              <w:rPr>
                <w:rFonts w:ascii="Times New Roman" w:hAnsi="Times New Roman" w:cs="Times New Roman"/>
              </w:rPr>
            </w:pPr>
          </w:p>
        </w:tc>
        <w:tc>
          <w:tcPr>
            <w:tcW w:w="1890" w:type="dxa"/>
            <w:tcBorders>
              <w:top w:val="nil"/>
              <w:bottom w:val="nil"/>
            </w:tcBorders>
          </w:tcPr>
          <w:p w14:paraId="70A095DA" w14:textId="77777777" w:rsidR="002320EC" w:rsidRPr="00B279FC" w:rsidRDefault="002320EC" w:rsidP="00C84E08">
            <w:pPr>
              <w:rPr>
                <w:rFonts w:ascii="Times New Roman" w:hAnsi="Times New Roman" w:cs="Times New Roman"/>
              </w:rPr>
            </w:pPr>
          </w:p>
        </w:tc>
        <w:tc>
          <w:tcPr>
            <w:tcW w:w="1080" w:type="dxa"/>
            <w:tcBorders>
              <w:top w:val="nil"/>
              <w:bottom w:val="nil"/>
            </w:tcBorders>
          </w:tcPr>
          <w:p w14:paraId="5BA1C042" w14:textId="77777777" w:rsidR="002320EC" w:rsidRPr="00B279FC" w:rsidRDefault="002320EC" w:rsidP="00C84E08">
            <w:pPr>
              <w:rPr>
                <w:rFonts w:ascii="Times New Roman" w:hAnsi="Times New Roman" w:cs="Times New Roman"/>
              </w:rPr>
            </w:pPr>
          </w:p>
        </w:tc>
        <w:tc>
          <w:tcPr>
            <w:tcW w:w="1980" w:type="dxa"/>
            <w:tcBorders>
              <w:top w:val="nil"/>
              <w:bottom w:val="nil"/>
            </w:tcBorders>
          </w:tcPr>
          <w:p w14:paraId="67598BC0" w14:textId="77777777" w:rsidR="002320EC" w:rsidRPr="00B279FC" w:rsidRDefault="002320EC" w:rsidP="00C84E08">
            <w:pPr>
              <w:rPr>
                <w:rFonts w:ascii="Times New Roman" w:hAnsi="Times New Roman" w:cs="Times New Roman"/>
              </w:rPr>
            </w:pPr>
          </w:p>
        </w:tc>
        <w:tc>
          <w:tcPr>
            <w:tcW w:w="985" w:type="dxa"/>
            <w:tcBorders>
              <w:top w:val="nil"/>
              <w:bottom w:val="nil"/>
            </w:tcBorders>
          </w:tcPr>
          <w:p w14:paraId="7153348A" w14:textId="77777777" w:rsidR="002320EC" w:rsidRPr="00B279FC" w:rsidRDefault="002320EC" w:rsidP="00C84E08">
            <w:pPr>
              <w:rPr>
                <w:rFonts w:ascii="Times New Roman" w:hAnsi="Times New Roman" w:cs="Times New Roman"/>
              </w:rPr>
            </w:pPr>
          </w:p>
        </w:tc>
      </w:tr>
      <w:tr w:rsidR="002320EC" w:rsidRPr="00B279FC" w14:paraId="1E072C4F" w14:textId="77777777" w:rsidTr="00C84E08">
        <w:tc>
          <w:tcPr>
            <w:tcW w:w="2065" w:type="dxa"/>
            <w:tcBorders>
              <w:top w:val="nil"/>
              <w:bottom w:val="nil"/>
            </w:tcBorders>
          </w:tcPr>
          <w:p w14:paraId="29ED3E79" w14:textId="77777777" w:rsidR="002320EC" w:rsidRPr="00B279FC" w:rsidRDefault="002320EC" w:rsidP="00C84E08">
            <w:pPr>
              <w:ind w:left="284"/>
              <w:rPr>
                <w:rFonts w:ascii="Times New Roman" w:hAnsi="Times New Roman" w:cs="Times New Roman"/>
                <w:b/>
                <w:bCs/>
              </w:rPr>
            </w:pPr>
            <w:r w:rsidRPr="00B279FC">
              <w:rPr>
                <w:rFonts w:ascii="Times New Roman" w:hAnsi="Times New Roman" w:cs="Times New Roman"/>
              </w:rPr>
              <w:t>Normal</w:t>
            </w:r>
          </w:p>
        </w:tc>
        <w:tc>
          <w:tcPr>
            <w:tcW w:w="1350" w:type="dxa"/>
            <w:tcBorders>
              <w:top w:val="nil"/>
              <w:bottom w:val="nil"/>
            </w:tcBorders>
          </w:tcPr>
          <w:p w14:paraId="0D8277D6"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13 (19.1)</w:t>
            </w:r>
          </w:p>
        </w:tc>
        <w:tc>
          <w:tcPr>
            <w:tcW w:w="1890" w:type="dxa"/>
            <w:tcBorders>
              <w:top w:val="nil"/>
              <w:bottom w:val="nil"/>
            </w:tcBorders>
          </w:tcPr>
          <w:p w14:paraId="613BF1FB"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w:t>
            </w:r>
          </w:p>
        </w:tc>
        <w:tc>
          <w:tcPr>
            <w:tcW w:w="1080" w:type="dxa"/>
            <w:tcBorders>
              <w:top w:val="nil"/>
              <w:bottom w:val="nil"/>
            </w:tcBorders>
          </w:tcPr>
          <w:p w14:paraId="53BF0E96" w14:textId="77777777" w:rsidR="002320EC" w:rsidRPr="00B279FC" w:rsidRDefault="002320EC" w:rsidP="00C84E08">
            <w:pPr>
              <w:rPr>
                <w:rFonts w:ascii="Times New Roman" w:hAnsi="Times New Roman" w:cs="Times New Roman"/>
              </w:rPr>
            </w:pPr>
          </w:p>
        </w:tc>
        <w:tc>
          <w:tcPr>
            <w:tcW w:w="1980" w:type="dxa"/>
            <w:tcBorders>
              <w:top w:val="nil"/>
              <w:bottom w:val="nil"/>
            </w:tcBorders>
          </w:tcPr>
          <w:p w14:paraId="639F799D"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w:t>
            </w:r>
          </w:p>
        </w:tc>
        <w:tc>
          <w:tcPr>
            <w:tcW w:w="985" w:type="dxa"/>
            <w:tcBorders>
              <w:top w:val="nil"/>
              <w:bottom w:val="nil"/>
            </w:tcBorders>
          </w:tcPr>
          <w:p w14:paraId="7809762A" w14:textId="77777777" w:rsidR="002320EC" w:rsidRPr="00B279FC" w:rsidRDefault="002320EC" w:rsidP="00C84E08">
            <w:pPr>
              <w:rPr>
                <w:rFonts w:ascii="Times New Roman" w:hAnsi="Times New Roman" w:cs="Times New Roman"/>
              </w:rPr>
            </w:pPr>
          </w:p>
        </w:tc>
      </w:tr>
      <w:tr w:rsidR="002320EC" w:rsidRPr="00B279FC" w14:paraId="46BD4930" w14:textId="77777777" w:rsidTr="00C84E08">
        <w:tc>
          <w:tcPr>
            <w:tcW w:w="2065" w:type="dxa"/>
            <w:tcBorders>
              <w:top w:val="nil"/>
              <w:bottom w:val="nil"/>
            </w:tcBorders>
          </w:tcPr>
          <w:p w14:paraId="143BA0B4" w14:textId="77777777" w:rsidR="002320EC" w:rsidRPr="00B279FC" w:rsidRDefault="002320EC" w:rsidP="00C84E08">
            <w:pPr>
              <w:ind w:left="284"/>
              <w:rPr>
                <w:rFonts w:ascii="Times New Roman" w:hAnsi="Times New Roman" w:cs="Times New Roman"/>
              </w:rPr>
            </w:pPr>
            <w:r w:rsidRPr="00B279FC">
              <w:rPr>
                <w:rFonts w:ascii="Times New Roman" w:hAnsi="Times New Roman" w:cs="Times New Roman"/>
              </w:rPr>
              <w:t>High</w:t>
            </w:r>
          </w:p>
        </w:tc>
        <w:tc>
          <w:tcPr>
            <w:tcW w:w="1350" w:type="dxa"/>
            <w:tcBorders>
              <w:top w:val="nil"/>
              <w:bottom w:val="nil"/>
            </w:tcBorders>
          </w:tcPr>
          <w:p w14:paraId="4E90D03D"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127 (43.1)</w:t>
            </w:r>
          </w:p>
        </w:tc>
        <w:tc>
          <w:tcPr>
            <w:tcW w:w="1890" w:type="dxa"/>
            <w:tcBorders>
              <w:top w:val="nil"/>
              <w:bottom w:val="nil"/>
            </w:tcBorders>
          </w:tcPr>
          <w:p w14:paraId="24918C81"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2.1 (1.3-3.2)</w:t>
            </w:r>
          </w:p>
        </w:tc>
        <w:tc>
          <w:tcPr>
            <w:tcW w:w="1080" w:type="dxa"/>
            <w:tcBorders>
              <w:top w:val="nil"/>
              <w:bottom w:val="nil"/>
            </w:tcBorders>
          </w:tcPr>
          <w:p w14:paraId="7EC7EA41"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0.001</w:t>
            </w:r>
          </w:p>
        </w:tc>
        <w:tc>
          <w:tcPr>
            <w:tcW w:w="1980" w:type="dxa"/>
            <w:tcBorders>
              <w:top w:val="nil"/>
              <w:bottom w:val="nil"/>
            </w:tcBorders>
          </w:tcPr>
          <w:p w14:paraId="5672C50F"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3.7 (2.1-6.8)</w:t>
            </w:r>
          </w:p>
        </w:tc>
        <w:tc>
          <w:tcPr>
            <w:tcW w:w="985" w:type="dxa"/>
            <w:tcBorders>
              <w:top w:val="nil"/>
              <w:bottom w:val="nil"/>
            </w:tcBorders>
          </w:tcPr>
          <w:p w14:paraId="0BFEBDA0"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&lt;0.001</w:t>
            </w:r>
          </w:p>
        </w:tc>
      </w:tr>
      <w:tr w:rsidR="002320EC" w:rsidRPr="00B279FC" w14:paraId="103EC4AD" w14:textId="77777777" w:rsidTr="00C84E08">
        <w:tc>
          <w:tcPr>
            <w:tcW w:w="2065" w:type="dxa"/>
            <w:tcBorders>
              <w:top w:val="nil"/>
              <w:bottom w:val="nil"/>
            </w:tcBorders>
          </w:tcPr>
          <w:p w14:paraId="66AD9AC4" w14:textId="77777777" w:rsidR="002320EC" w:rsidRPr="00B279FC" w:rsidRDefault="002320EC" w:rsidP="00C84E08">
            <w:pPr>
              <w:rPr>
                <w:rFonts w:ascii="Times New Roman" w:hAnsi="Times New Roman" w:cs="Times New Roman"/>
                <w:b/>
                <w:bCs/>
              </w:rPr>
            </w:pPr>
            <w:r w:rsidRPr="00B279FC">
              <w:rPr>
                <w:rFonts w:ascii="Times New Roman" w:hAnsi="Times New Roman" w:cs="Times New Roman"/>
                <w:b/>
                <w:bCs/>
              </w:rPr>
              <w:t>Follow-up visits</w:t>
            </w:r>
          </w:p>
        </w:tc>
        <w:tc>
          <w:tcPr>
            <w:tcW w:w="1350" w:type="dxa"/>
            <w:tcBorders>
              <w:top w:val="nil"/>
              <w:bottom w:val="nil"/>
            </w:tcBorders>
          </w:tcPr>
          <w:p w14:paraId="2D17335C" w14:textId="77777777" w:rsidR="002320EC" w:rsidRPr="00B279FC" w:rsidRDefault="002320EC" w:rsidP="00C84E08">
            <w:pPr>
              <w:rPr>
                <w:rFonts w:ascii="Times New Roman" w:hAnsi="Times New Roman" w:cs="Times New Roman"/>
                <w:highlight w:val="yellow"/>
              </w:rPr>
            </w:pPr>
            <w:r w:rsidRPr="00B279FC">
              <w:rPr>
                <w:rFonts w:ascii="Times New Roman" w:hAnsi="Times New Roman" w:cs="Times New Roman"/>
              </w:rPr>
              <w:t>140 (38.6)</w:t>
            </w:r>
          </w:p>
        </w:tc>
        <w:tc>
          <w:tcPr>
            <w:tcW w:w="1890" w:type="dxa"/>
            <w:tcBorders>
              <w:top w:val="nil"/>
              <w:bottom w:val="nil"/>
            </w:tcBorders>
          </w:tcPr>
          <w:p w14:paraId="6E1A284F"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0.9 (0.93-0.96)</w:t>
            </w:r>
          </w:p>
        </w:tc>
        <w:tc>
          <w:tcPr>
            <w:tcW w:w="1080" w:type="dxa"/>
            <w:tcBorders>
              <w:top w:val="nil"/>
              <w:bottom w:val="nil"/>
            </w:tcBorders>
          </w:tcPr>
          <w:p w14:paraId="7C89615F"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&lt;0.001</w:t>
            </w:r>
          </w:p>
        </w:tc>
        <w:tc>
          <w:tcPr>
            <w:tcW w:w="1980" w:type="dxa"/>
            <w:tcBorders>
              <w:top w:val="nil"/>
              <w:bottom w:val="nil"/>
            </w:tcBorders>
          </w:tcPr>
          <w:p w14:paraId="3D697153"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0.9 (0.8-0.9)</w:t>
            </w:r>
          </w:p>
        </w:tc>
        <w:tc>
          <w:tcPr>
            <w:tcW w:w="985" w:type="dxa"/>
            <w:tcBorders>
              <w:top w:val="nil"/>
              <w:bottom w:val="nil"/>
            </w:tcBorders>
          </w:tcPr>
          <w:p w14:paraId="112D41B7"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&lt;0.001</w:t>
            </w:r>
          </w:p>
        </w:tc>
      </w:tr>
      <w:tr w:rsidR="002320EC" w:rsidRPr="00B279FC" w14:paraId="7633DB95" w14:textId="77777777" w:rsidTr="00C84E08">
        <w:tc>
          <w:tcPr>
            <w:tcW w:w="2065" w:type="dxa"/>
            <w:tcBorders>
              <w:top w:val="nil"/>
            </w:tcBorders>
          </w:tcPr>
          <w:p w14:paraId="530BE75B" w14:textId="77777777" w:rsidR="002320EC" w:rsidRPr="00B279FC" w:rsidRDefault="002320EC" w:rsidP="00C84E08">
            <w:pPr>
              <w:rPr>
                <w:rFonts w:ascii="Times New Roman" w:hAnsi="Times New Roman" w:cs="Times New Roman"/>
              </w:rPr>
            </w:pPr>
            <w:r w:rsidRPr="00B279FC">
              <w:rPr>
                <w:rFonts w:ascii="Times New Roman" w:hAnsi="Times New Roman" w:cs="Times New Roman"/>
                <w:b/>
                <w:bCs/>
              </w:rPr>
              <w:t>Surgery(TE)</w:t>
            </w:r>
          </w:p>
        </w:tc>
        <w:tc>
          <w:tcPr>
            <w:tcW w:w="1350" w:type="dxa"/>
            <w:tcBorders>
              <w:top w:val="nil"/>
            </w:tcBorders>
          </w:tcPr>
          <w:p w14:paraId="0AB764FB" w14:textId="77777777" w:rsidR="002320EC" w:rsidRPr="00B279FC" w:rsidRDefault="002320EC" w:rsidP="00C84E08">
            <w:pPr>
              <w:rPr>
                <w:rFonts w:ascii="Times New Roman" w:hAnsi="Times New Roman" w:cs="Times New Roman"/>
              </w:rPr>
            </w:pPr>
          </w:p>
        </w:tc>
        <w:tc>
          <w:tcPr>
            <w:tcW w:w="1890" w:type="dxa"/>
            <w:tcBorders>
              <w:top w:val="nil"/>
            </w:tcBorders>
          </w:tcPr>
          <w:p w14:paraId="38A99945" w14:textId="77777777" w:rsidR="002320EC" w:rsidRPr="00B279FC" w:rsidRDefault="002320EC" w:rsidP="00C84E08">
            <w:pPr>
              <w:rPr>
                <w:rFonts w:ascii="Times New Roman" w:hAnsi="Times New Roman" w:cs="Times New Roman"/>
              </w:rPr>
            </w:pPr>
          </w:p>
        </w:tc>
        <w:tc>
          <w:tcPr>
            <w:tcW w:w="1080" w:type="dxa"/>
            <w:tcBorders>
              <w:top w:val="nil"/>
            </w:tcBorders>
          </w:tcPr>
          <w:p w14:paraId="5D69CCB9" w14:textId="77777777" w:rsidR="002320EC" w:rsidRPr="00B279FC" w:rsidRDefault="002320EC" w:rsidP="00C84E08">
            <w:pPr>
              <w:rPr>
                <w:rFonts w:ascii="Times New Roman" w:hAnsi="Times New Roman" w:cs="Times New Roman"/>
              </w:rPr>
            </w:pPr>
          </w:p>
        </w:tc>
        <w:tc>
          <w:tcPr>
            <w:tcW w:w="1980" w:type="dxa"/>
            <w:tcBorders>
              <w:top w:val="nil"/>
            </w:tcBorders>
          </w:tcPr>
          <w:p w14:paraId="3EDFBB2F" w14:textId="77777777" w:rsidR="002320EC" w:rsidRPr="00B279FC" w:rsidRDefault="002320EC" w:rsidP="00C84E08">
            <w:pPr>
              <w:rPr>
                <w:rFonts w:ascii="Times New Roman" w:hAnsi="Times New Roman" w:cs="Times New Roman"/>
              </w:rPr>
            </w:pPr>
          </w:p>
        </w:tc>
        <w:tc>
          <w:tcPr>
            <w:tcW w:w="985" w:type="dxa"/>
            <w:tcBorders>
              <w:top w:val="nil"/>
            </w:tcBorders>
          </w:tcPr>
          <w:p w14:paraId="281CDC15" w14:textId="77777777" w:rsidR="002320EC" w:rsidRPr="00B279FC" w:rsidRDefault="002320EC" w:rsidP="00C84E08">
            <w:pPr>
              <w:rPr>
                <w:rFonts w:ascii="Times New Roman" w:hAnsi="Times New Roman" w:cs="Times New Roman"/>
              </w:rPr>
            </w:pPr>
          </w:p>
        </w:tc>
      </w:tr>
      <w:tr w:rsidR="002320EC" w:rsidRPr="00B279FC" w14:paraId="6DADD85D" w14:textId="77777777" w:rsidTr="00C84E08">
        <w:tc>
          <w:tcPr>
            <w:tcW w:w="2065" w:type="dxa"/>
          </w:tcPr>
          <w:p w14:paraId="3E7BC7AF" w14:textId="77777777" w:rsidR="002320EC" w:rsidRPr="00B279FC" w:rsidRDefault="002320EC" w:rsidP="00C84E08">
            <w:pPr>
              <w:ind w:left="284"/>
              <w:rPr>
                <w:rFonts w:ascii="Times New Roman" w:hAnsi="Times New Roman" w:cs="Times New Roman"/>
                <w:b/>
                <w:bCs/>
              </w:rPr>
            </w:pPr>
            <w:r w:rsidRPr="00B279FC">
              <w:rPr>
                <w:rFonts w:ascii="Times New Roman" w:hAnsi="Times New Roman" w:cs="Times New Roman"/>
              </w:rPr>
              <w:t>No</w:t>
            </w:r>
          </w:p>
        </w:tc>
        <w:tc>
          <w:tcPr>
            <w:tcW w:w="1350" w:type="dxa"/>
          </w:tcPr>
          <w:p w14:paraId="2DA8556C" w14:textId="77777777" w:rsidR="002320EC" w:rsidRPr="00B279FC" w:rsidRDefault="002320EC" w:rsidP="00C84E08">
            <w:pPr>
              <w:rPr>
                <w:rFonts w:ascii="Times New Roman" w:hAnsi="Times New Roman" w:cs="Times New Roman"/>
                <w:highlight w:val="yellow"/>
              </w:rPr>
            </w:pPr>
            <w:r w:rsidRPr="00B279FC">
              <w:rPr>
                <w:rFonts w:ascii="Times New Roman" w:hAnsi="Times New Roman" w:cs="Times New Roman"/>
              </w:rPr>
              <w:t>109 (41.3)</w:t>
            </w:r>
          </w:p>
        </w:tc>
        <w:tc>
          <w:tcPr>
            <w:tcW w:w="1890" w:type="dxa"/>
          </w:tcPr>
          <w:p w14:paraId="2DE1E9B3"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1</w:t>
            </w:r>
          </w:p>
        </w:tc>
        <w:tc>
          <w:tcPr>
            <w:tcW w:w="1080" w:type="dxa"/>
          </w:tcPr>
          <w:p w14:paraId="4ECF4D38" w14:textId="77777777" w:rsidR="002320EC" w:rsidRPr="00B279FC" w:rsidRDefault="002320EC" w:rsidP="00C84E08">
            <w:pPr>
              <w:rPr>
                <w:rFonts w:ascii="Times New Roman" w:hAnsi="Times New Roman" w:cs="Times New Roman"/>
              </w:rPr>
            </w:pPr>
          </w:p>
        </w:tc>
        <w:tc>
          <w:tcPr>
            <w:tcW w:w="1980" w:type="dxa"/>
          </w:tcPr>
          <w:p w14:paraId="01D24B58" w14:textId="77777777" w:rsidR="002320EC" w:rsidRPr="00B279FC" w:rsidRDefault="002320EC" w:rsidP="00C84E08">
            <w:pPr>
              <w:rPr>
                <w:rFonts w:ascii="Times New Roman" w:hAnsi="Times New Roman" w:cs="Times New Roman"/>
              </w:rPr>
            </w:pPr>
          </w:p>
        </w:tc>
        <w:tc>
          <w:tcPr>
            <w:tcW w:w="985" w:type="dxa"/>
          </w:tcPr>
          <w:p w14:paraId="7BA114F4" w14:textId="77777777" w:rsidR="002320EC" w:rsidRPr="00B279FC" w:rsidRDefault="002320EC" w:rsidP="00C84E08">
            <w:pPr>
              <w:rPr>
                <w:rFonts w:ascii="Times New Roman" w:hAnsi="Times New Roman" w:cs="Times New Roman"/>
              </w:rPr>
            </w:pPr>
          </w:p>
        </w:tc>
      </w:tr>
      <w:tr w:rsidR="002320EC" w:rsidRPr="00B279FC" w14:paraId="271F8875" w14:textId="77777777" w:rsidTr="00C84E08">
        <w:tc>
          <w:tcPr>
            <w:tcW w:w="2065" w:type="dxa"/>
          </w:tcPr>
          <w:p w14:paraId="41526524" w14:textId="77777777" w:rsidR="002320EC" w:rsidRPr="00B279FC" w:rsidRDefault="002320EC" w:rsidP="00C84E08">
            <w:pPr>
              <w:ind w:left="284"/>
              <w:rPr>
                <w:rFonts w:ascii="Times New Roman" w:hAnsi="Times New Roman" w:cs="Times New Roman"/>
              </w:rPr>
            </w:pPr>
            <w:r w:rsidRPr="00B279FC">
              <w:rPr>
                <w:rFonts w:ascii="Times New Roman" w:hAnsi="Times New Roman" w:cs="Times New Roman"/>
              </w:rPr>
              <w:t>Yes</w:t>
            </w:r>
          </w:p>
        </w:tc>
        <w:tc>
          <w:tcPr>
            <w:tcW w:w="1350" w:type="dxa"/>
          </w:tcPr>
          <w:p w14:paraId="10FEEB93"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31 (31.3)</w:t>
            </w:r>
          </w:p>
        </w:tc>
        <w:tc>
          <w:tcPr>
            <w:tcW w:w="1890" w:type="dxa"/>
          </w:tcPr>
          <w:p w14:paraId="1EA0238C"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0.5 (0.3-0.9)</w:t>
            </w:r>
          </w:p>
        </w:tc>
        <w:tc>
          <w:tcPr>
            <w:tcW w:w="1080" w:type="dxa"/>
          </w:tcPr>
          <w:p w14:paraId="00806DBB"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0.022</w:t>
            </w:r>
          </w:p>
        </w:tc>
        <w:tc>
          <w:tcPr>
            <w:tcW w:w="1980" w:type="dxa"/>
          </w:tcPr>
          <w:p w14:paraId="59FE576E"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0.94 (0.5-1.7)</w:t>
            </w:r>
          </w:p>
        </w:tc>
        <w:tc>
          <w:tcPr>
            <w:tcW w:w="985" w:type="dxa"/>
          </w:tcPr>
          <w:p w14:paraId="0D6CEF28" w14:textId="77777777" w:rsidR="002320EC" w:rsidRPr="00B279FC" w:rsidRDefault="002320EC" w:rsidP="00C84E08">
            <w:pPr>
              <w:rPr>
                <w:rFonts w:ascii="Times New Roman" w:hAnsi="Times New Roman" w:cs="Times New Roman"/>
              </w:rPr>
            </w:pPr>
            <w:r w:rsidRPr="00B279FC">
              <w:rPr>
                <w:rFonts w:ascii="Times New Roman" w:hAnsi="Times New Roman" w:cs="Times New Roman"/>
              </w:rPr>
              <w:t>0.847</w:t>
            </w:r>
          </w:p>
        </w:tc>
      </w:tr>
    </w:tbl>
    <w:p w14:paraId="7FC2A972" w14:textId="77777777" w:rsidR="002320EC" w:rsidRPr="00B279FC" w:rsidRDefault="002320EC" w:rsidP="002320EC">
      <w:pPr>
        <w:spacing w:line="240" w:lineRule="auto"/>
        <w:jc w:val="both"/>
        <w:rPr>
          <w:rFonts w:ascii="Times New Roman" w:hAnsi="Times New Roman" w:cs="Times New Roman"/>
          <w:sz w:val="24"/>
          <w:szCs w:val="24"/>
        </w:rPr>
      </w:pPr>
      <w:r w:rsidRPr="00B279FC">
        <w:rPr>
          <w:rFonts w:ascii="Times New Roman" w:hAnsi="Times New Roman" w:cs="Times New Roman"/>
          <w:sz w:val="24"/>
          <w:szCs w:val="24"/>
        </w:rPr>
        <w:t>*Crude Hazard Ratio   † Adjusted Hazard Ratio</w:t>
      </w:r>
    </w:p>
    <w:p w14:paraId="4D1DD6F5" w14:textId="77777777" w:rsidR="00A70F43" w:rsidRDefault="00A70F43" w:rsidP="00A70F43">
      <w:pPr>
        <w:pStyle w:val="NormalWeb"/>
        <w:rPr>
          <w:rFonts w:asciiTheme="minorHAnsi" w:hAnsiTheme="minorHAnsi" w:cstheme="minorHAnsi"/>
        </w:rPr>
      </w:pPr>
    </w:p>
    <w:p w14:paraId="0CCC5A03" w14:textId="77777777" w:rsidR="00A70F43" w:rsidRDefault="00A70F43" w:rsidP="00A70F43">
      <w:pPr>
        <w:pStyle w:val="NormalWeb"/>
        <w:rPr>
          <w:rFonts w:asciiTheme="minorHAnsi" w:hAnsiTheme="minorHAnsi" w:cstheme="minorHAnsi"/>
        </w:rPr>
      </w:pPr>
    </w:p>
    <w:p w14:paraId="41BD462D" w14:textId="3667F48F" w:rsidR="002320EC" w:rsidRPr="00A70F43" w:rsidRDefault="002320EC" w:rsidP="00A70F43">
      <w:pPr>
        <w:pStyle w:val="NormalWeb"/>
        <w:rPr>
          <w:rFonts w:asciiTheme="minorHAnsi" w:hAnsiTheme="minorHAnsi" w:cstheme="minorHAnsi"/>
        </w:rPr>
      </w:pPr>
      <w:r w:rsidRPr="00B279FC">
        <w:rPr>
          <w:b/>
        </w:rPr>
        <w:t>DISCUSSION</w:t>
      </w:r>
    </w:p>
    <w:p w14:paraId="1539FF72" w14:textId="527014B5" w:rsidR="002320EC" w:rsidRPr="00B279FC" w:rsidRDefault="002320EC" w:rsidP="002320EC">
      <w:pPr>
        <w:pStyle w:val="NormalWeb"/>
      </w:pPr>
      <w:r w:rsidRPr="00B279FC">
        <w:t>This study examined Primary Open Angle Glaucoma (POAG) from diagnosis to progression and identified the key factors influencing the disease p</w:t>
      </w:r>
      <w:r w:rsidR="00CD5258">
        <w:t xml:space="preserve">rogression over a median follow </w:t>
      </w:r>
      <w:r w:rsidRPr="00B279FC">
        <w:t>up period of six years. The study findings provided critical insights into the natural history of POAG, its response to treatment modalities, and prognostic factors that may guide clinical management.</w:t>
      </w:r>
    </w:p>
    <w:p w14:paraId="6D097CBF" w14:textId="2A394998" w:rsidR="002320EC" w:rsidRPr="00B279FC"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r w:rsidRPr="00B279FC">
        <w:rPr>
          <w:rFonts w:ascii="Times New Roman" w:eastAsia="Times New Roman" w:hAnsi="Times New Roman" w:cs="Times New Roman"/>
          <w:sz w:val="24"/>
          <w:szCs w:val="24"/>
          <w:lang w:eastAsia="en-GB"/>
        </w:rPr>
        <w:t xml:space="preserve">The median age of the study population was 64 years (IQR: </w:t>
      </w:r>
      <w:r w:rsidR="00CD5258">
        <w:rPr>
          <w:rFonts w:ascii="Times New Roman" w:eastAsia="Times New Roman" w:hAnsi="Times New Roman" w:cs="Times New Roman"/>
          <w:sz w:val="24"/>
          <w:szCs w:val="24"/>
          <w:lang w:eastAsia="en-GB"/>
        </w:rPr>
        <w:t xml:space="preserve">57-71), consistent with the age </w:t>
      </w:r>
      <w:r w:rsidRPr="00B279FC">
        <w:rPr>
          <w:rFonts w:ascii="Times New Roman" w:eastAsia="Times New Roman" w:hAnsi="Times New Roman" w:cs="Times New Roman"/>
          <w:sz w:val="24"/>
          <w:szCs w:val="24"/>
          <w:lang w:eastAsia="en-GB"/>
        </w:rPr>
        <w:t xml:space="preserve">related nature of POAG as reported in previous studies </w:t>
      </w:r>
      <w:r w:rsidRPr="00B279FC">
        <w:rPr>
          <w:rFonts w:ascii="Times New Roman" w:eastAsia="Times New Roman" w:hAnsi="Times New Roman" w:cs="Times New Roman"/>
          <w:sz w:val="24"/>
          <w:szCs w:val="24"/>
          <w:lang w:eastAsia="en-GB"/>
        </w:rPr>
        <w:fldChar w:fldCharType="begin" w:fldLock="1"/>
      </w:r>
      <w:r w:rsidR="00C45B32">
        <w:rPr>
          <w:rFonts w:ascii="Times New Roman" w:eastAsia="Times New Roman" w:hAnsi="Times New Roman" w:cs="Times New Roman"/>
          <w:sz w:val="24"/>
          <w:szCs w:val="24"/>
          <w:lang w:eastAsia="en-GB"/>
        </w:rPr>
        <w:instrText>ADDIN CSL_CITATION {"citationItems":[{"id":"ITEM-1","itemData":{"DOI":"https://doi.org/10.1016/S0161-6420(94)31090-6","ISSN":"0161-6420","abstract":"Purpose: The objective of this study is to assess the prevalence of primary open-angle glaucoma (POAG) in a defined population in Rotterdam, The Netherlands. Methods: The Rotterdam Study is a single-center prospective cohort study of a total population of more than 10,000 people, 55 years of age or older. For the current analysis, the first 3062 consecutive, unselected, noninstitutionalized participants were examined according to standard protocols, including perimetry. The diagnosis of POAG was based on the presence of a glaucomatous visual field defect combined with either a vertical cup: disc ratio of 0.5 or more or a cup:disc ratio asymmetry of 0.2 or more, or an intraocular pressure (IOP) more than 21 mmHg, with open and normal anterior chamber angles. Results: The overall prevalence of POAG in the current study was 1.10% (95% confidence interval [CI]: 1.09,1.11). Age-specific prevalence figures increased from 0.2% (95% CI: 0.16,0.24) in the age group of 55 to 59 years to 3.3% (95% CI: 2.57,4.04) in the age group of 85 to 89 years. Men had a more than three times higher risk of having POAG than women (odds ratio, 3.6). In 52.9% of the patients, POAG had not been diagnosed previously. Of these patients, 38.9% had lOPs of 21 mmHg or lower. In 8.8% of the eyes (2.9% of patients), visual acuity was 20/200 or less due to POAG. Conclusion: The overall prevalence of POAG in the current study was 1.1%. The prevalence of POAG was higher in men than in women. Of the untreated patients, 38.9% had lOPs of 21 mmHg or lower.","author":[{"dropping-particle":"","family":"Dielemans","given":"Ida","non-dropping-particle":"","parse-names":false,"suffix":""},{"dropping-particle":"","family":"Vingerling","given":"Johannes R","non-dropping-particle":"","parse-names":false,"suffix":""},{"dropping-particle":"","family":"Wolfs","given":"Roger C W","non-dropping-particle":"","parse-names":false,"suffix":""},{"dropping-particle":"","family":"Hofman","given":"Albert","non-dropping-particle":"","parse-names":false,"suffix":""},{"dropping-particle":"","family":"Grobbee","given":"Diederick E","non-dropping-particle":"","parse-names":false,"suffix":""},{"dropping-particle":"","family":"Jong","given":"Paulus T V M","non-dropping-particle":"de","parse-names":false,"suffix":""}],"container-title":"Ophthalmology","id":"ITEM-1","issue":"11","issued":{"date-parts":[["1994"]]},"page":"1851-1855","title":"The Prevalence of Primary Open-angle Glaucoma in a Population-based Study in The Netherlands: The Rotterdam Study","type":"article-journal","volume":"101"},"uris":["http://www.mendeley.com/documents/?uuid=315b599e-102f-4799-aac3-a518448c79b6"]},{"id":"ITEM-2","itemData":{"ISSN":"0161-6420","author":[{"dropping-particle":"","family":"Tham","given":"Yih-Chung","non-dropping-particle":"","parse-names":false,"suffix":""},{"dropping-particle":"","family":"Li","given":"Xiang","non-dropping-particle":"","parse-names":false,"suffix":""},{"dropping-particle":"","family":"Wong","given":"Tien Y","non-dropping-particle":"","parse-names":false,"suffix":""},{"dropping-particle":"","family":"Quigley","given":"Harry A","non-dropping-particle":"","parse-names":false,"suffix":""},{"dropping-particle":"","family":"Aung","given":"Tin","non-dropping-particle":"","parse-names":false,"suffix":""},{"dropping-particle":"","family":"Cheng","given":"Ching-Yu","non-dropping-particle":"","parse-names":false,"suffix":""}],"container-title":"Ophthalmology","id":"ITEM-2","issue":"11","issued":{"date-parts":[["2014"]]},"page":"2081-2090","publisher":"Elsevier","title":"Global prevalence of glaucoma and projections of glaucoma burden through 2040: a systematic review and meta-analysis","type":"article-journal","volume":"121"},"uris":["http://www.mendeley.com/documents/?uuid=9b5a3b97-cbe5-4abe-93e1-2eb13e52f9e3"]},{"id":"ITEM-3","itemData":{"DOI":"https://doi.org/10.1016/j.ophtha.2015.11.004","ISSN":"0161-6420","abstract":"Purpose To investigate the prevalence, awareness, and risk factors for primary open-angle glaucoma (POAG) in the Korean population. Design The Korea National Health and Nutrition Examination Survey (KNHANES), a population-based cross-sectional study using a complex, stratified, multistage, probability-cluster survey. Participants A total of 13 831 participants 40 years of age or older were included from the KNHANES database for the years 2008 through 2011. Methods Glaucoma diagnosis was based on the International Society of Geographical and Epidemiological Ophthalmology criteria. The prevalence of POAG and the proportion of POAG patients previously informed of the disease were calculated using KNHANES sample weights. Ocular and systemic factors were compared between the POAG and control groups. Univariate and multivariate logistic regression analyses were used to evaluate the risk factors for POAG. Main Outcome Measures Weighted prevalence, awareness, and risk factors for POAG. Results The prevalence of POAG in the Korean population was 4.7% (95% confidence interval, 4.2–5.1): 5.5% in men and 3.9% in women, respectively, which increased with age (P &lt; 0.001). The mean intraocular pressure (IOP) in POAG eyes was 15.0±0.4 mmHg, which was higher than that of the control group (14.0±0.1 mmHg; P &lt; 0.001). Multivariate logistic regression analysis revealed that older age (P &lt; 0.001), male gender (P &lt; 0.001), higher IOP (P &lt; 0.001), myopia (P &lt; 0.001), hypertension (P = 0.031), and nonoverweight status (P = 0.017) were associated significantly with POAG in the Korean population. Among the 710 study participants diagnosed with POAG, only 8.0% were aware of the disease. Conclusions This was the first study to examine the prevalence, awareness, and risk factors of POAG in the Korean population using 4-year KNHANES data. Koreans with higher IOP, myopia, older age, male gender, hypertension, and nonoverweight status require more attention and support from the glaucoma screening and surveillance systems.","author":[{"dropping-particle":"","family":"Kim","given":"Ko Eun","non-dropping-particle":"","parse-names":false,"suffix":""},{"dropping-particle":"","family":"Kim","given":"Moon Jung","non-dropping-particle":"","parse-names":false,"suffix":""},{"dropping-particle":"","family":"Park","given":"Ki Ho","non-dropping-particle":"","parse-names":false,"suffix":""},{"dropping-particle":"","family":"Jeoung","given":"Jin Wook","non-dropping-particle":"","parse-names":false,"suffix":""},{"dropping-particle":"","family":"Kim","given":"Seok Hwan","non-dropping-particle":"","parse-names":false,"suffix":""},{"dropping-particle":"","family":"Kim","given":"Chan Yun","non-dropping-particle":"","parse-names":false,"suffix":""},{"dropping-particle":"","family":"Kang","given":"Se Woong","non-dropping-particle":"","parse-names":false,"suffix":""}],"container-title":"Ophthalmology","id":"ITEM-3","issue":"3","issued":{"date-parts":[["2016"]]},"page":"532-541","title":"Prevalence, Awareness, and Risk Factors of Primary Open-Angle Glaucoma: Korea National Health and Nutrition Examination Survey 2008–2011","type":"article-journal","volume":"123"},"uris":["http://www.mendeley.com/documents/?uuid=dad8f974-6cc4-4736-9d9d-5e0df4ca8476"]},{"id":"ITEM-4","itemData":{"DOI":"10.1038/s41598-021-92971-w","ISBN":"4159802192","ISSN":"20452322","PMID":"34215769","abstract":"Primary open-angle glaucoma (POAG) is a leading cause of irreversible blindness in the world and is influenced by various sociodemographic factors. This meta-analysis aims to determine the worldwide prevalence of POAG in the adult general population for the last 20 years, and explore variation in prevalence by age, gender and geographical location. An electronic literature search was performed using the PubMed, Embase, and Web of Science databases. Population-based cross-sectional or cohort studies published in the last 20 years (2000–2020) that reported prevalence of POAG were recruited. Relevant studies meeting defined eligibility criteria were selected and reviewed systematically by meta-analysis. The prevalence of POAG was analyzed according to various risk factors. A random effect model was used for the meta-analysis. Fifty publications with a total of 198,259 subjects were included in this meta-analysis. The worldwide overall prevalence of POAG was 2.4% (95% CI 2.0 ~ 2.8%). The prevalence increases with age. Men are found to be more susceptible to POAG than women (RR 1.28, p &lt; 0.01). Africa is found to have the highest prevalence of POAG (4.0%) among all continents. The current estimated global population of POAG is 68.56 million (95% CI 59.99 ~ 79.98). POAG is a worldwide vision threatening disease with high prevalence for the last 20 years. The population-based prevalence of POAG varies widely across individual studies, due to variations in risk factors of age, gender, and population geographic location.","author":[{"dropping-particle":"","family":"Zhang","given":"Nan","non-dropping-particle":"","parse-names":false,"suffix":""},{"dropping-particle":"","family":"Wang","given":"Jiaxing","non-dropping-particle":"","parse-names":false,"suffix":""},{"dropping-particle":"","family":"Li","given":"Ying","non-dropping-particle":"","parse-names":false,"suffix":""},{"dropping-particle":"","family":"Jiang","given":"Bing","non-dropping-particle":"","parse-names":false,"suffix":""}],"container-title":"Scientific Reports","id":"ITEM-4","issue":"1","issued":{"date-parts":[["2021"]]},"page":"1-12","publisher":"Nature Publishing Group UK","title":"Prevalence of primary open angle glaucoma in the last 20 years: a meta-analysis and systematic review","type":"article-journal","volume":"11"},"uris":["http://www.mendeley.com/documents/?uuid=5a15f8e5-43d5-434e-bd8f-64788dfcedae"]}],"mendeley":{"formattedCitation":"(Dielemans &lt;i&gt;et al.&lt;/i&gt;, 1994; Y.-C. Tham &lt;i&gt;et al.&lt;/i&gt;, 2014; Kim &lt;i&gt;et al.&lt;/i&gt;, 2016; Zhang &lt;i&gt;et al.&lt;/i&gt;, 2021)","plainTextFormattedCitation":"(Dielemans et al., 1994; Y.-C. Tham et al., 2014; Kim et al., 2016; Zhang et al., 2021)","previouslyFormattedCitation":"(Dielemans &lt;i&gt;et al.&lt;/i&gt;, 1994; Y.-C. Tham &lt;i&gt;et al.&lt;/i&gt;, 2014; Kim &lt;i&gt;et al.&lt;/i&gt;, 2016; Zhang &lt;i&gt;et al.&lt;/i&gt;, 2021)"},"properties":{"noteIndex":0},"schema":"https://github.com/citation-style-language/schema/raw/master/csl-citation.json"}</w:instrText>
      </w:r>
      <w:r w:rsidRPr="00B279FC">
        <w:rPr>
          <w:rFonts w:ascii="Times New Roman" w:eastAsia="Times New Roman" w:hAnsi="Times New Roman" w:cs="Times New Roman"/>
          <w:sz w:val="24"/>
          <w:szCs w:val="24"/>
          <w:lang w:eastAsia="en-GB"/>
        </w:rPr>
        <w:fldChar w:fldCharType="separate"/>
      </w:r>
      <w:r w:rsidR="00086E2E" w:rsidRPr="00086E2E">
        <w:rPr>
          <w:rFonts w:ascii="Times New Roman" w:eastAsia="Times New Roman" w:hAnsi="Times New Roman" w:cs="Times New Roman"/>
          <w:noProof/>
          <w:sz w:val="24"/>
          <w:szCs w:val="24"/>
          <w:lang w:eastAsia="en-GB"/>
        </w:rPr>
        <w:t xml:space="preserve">(Dielemans </w:t>
      </w:r>
      <w:r w:rsidR="00086E2E" w:rsidRPr="00086E2E">
        <w:rPr>
          <w:rFonts w:ascii="Times New Roman" w:eastAsia="Times New Roman" w:hAnsi="Times New Roman" w:cs="Times New Roman"/>
          <w:i/>
          <w:noProof/>
          <w:sz w:val="24"/>
          <w:szCs w:val="24"/>
          <w:lang w:eastAsia="en-GB"/>
        </w:rPr>
        <w:t>et al.</w:t>
      </w:r>
      <w:r w:rsidR="00086E2E" w:rsidRPr="00086E2E">
        <w:rPr>
          <w:rFonts w:ascii="Times New Roman" w:eastAsia="Times New Roman" w:hAnsi="Times New Roman" w:cs="Times New Roman"/>
          <w:noProof/>
          <w:sz w:val="24"/>
          <w:szCs w:val="24"/>
          <w:lang w:eastAsia="en-GB"/>
        </w:rPr>
        <w:t xml:space="preserve">, 1994; Y.-C. Tham </w:t>
      </w:r>
      <w:r w:rsidR="00086E2E" w:rsidRPr="00086E2E">
        <w:rPr>
          <w:rFonts w:ascii="Times New Roman" w:eastAsia="Times New Roman" w:hAnsi="Times New Roman" w:cs="Times New Roman"/>
          <w:i/>
          <w:noProof/>
          <w:sz w:val="24"/>
          <w:szCs w:val="24"/>
          <w:lang w:eastAsia="en-GB"/>
        </w:rPr>
        <w:t>et al.</w:t>
      </w:r>
      <w:r w:rsidR="00086E2E" w:rsidRPr="00086E2E">
        <w:rPr>
          <w:rFonts w:ascii="Times New Roman" w:eastAsia="Times New Roman" w:hAnsi="Times New Roman" w:cs="Times New Roman"/>
          <w:noProof/>
          <w:sz w:val="24"/>
          <w:szCs w:val="24"/>
          <w:lang w:eastAsia="en-GB"/>
        </w:rPr>
        <w:t xml:space="preserve">, 2014; Kim </w:t>
      </w:r>
      <w:r w:rsidR="00086E2E" w:rsidRPr="00086E2E">
        <w:rPr>
          <w:rFonts w:ascii="Times New Roman" w:eastAsia="Times New Roman" w:hAnsi="Times New Roman" w:cs="Times New Roman"/>
          <w:i/>
          <w:noProof/>
          <w:sz w:val="24"/>
          <w:szCs w:val="24"/>
          <w:lang w:eastAsia="en-GB"/>
        </w:rPr>
        <w:t>et al.</w:t>
      </w:r>
      <w:r w:rsidR="00086E2E" w:rsidRPr="00086E2E">
        <w:rPr>
          <w:rFonts w:ascii="Times New Roman" w:eastAsia="Times New Roman" w:hAnsi="Times New Roman" w:cs="Times New Roman"/>
          <w:noProof/>
          <w:sz w:val="24"/>
          <w:szCs w:val="24"/>
          <w:lang w:eastAsia="en-GB"/>
        </w:rPr>
        <w:t xml:space="preserve">, 2016; Zhang </w:t>
      </w:r>
      <w:r w:rsidR="00086E2E" w:rsidRPr="00086E2E">
        <w:rPr>
          <w:rFonts w:ascii="Times New Roman" w:eastAsia="Times New Roman" w:hAnsi="Times New Roman" w:cs="Times New Roman"/>
          <w:i/>
          <w:noProof/>
          <w:sz w:val="24"/>
          <w:szCs w:val="24"/>
          <w:lang w:eastAsia="en-GB"/>
        </w:rPr>
        <w:t>et al.</w:t>
      </w:r>
      <w:r w:rsidR="00086E2E" w:rsidRPr="00086E2E">
        <w:rPr>
          <w:rFonts w:ascii="Times New Roman" w:eastAsia="Times New Roman" w:hAnsi="Times New Roman" w:cs="Times New Roman"/>
          <w:noProof/>
          <w:sz w:val="24"/>
          <w:szCs w:val="24"/>
          <w:lang w:eastAsia="en-GB"/>
        </w:rPr>
        <w:t>, 2021)</w:t>
      </w:r>
      <w:r w:rsidRPr="00B279FC">
        <w:rPr>
          <w:rFonts w:ascii="Times New Roman" w:eastAsia="Times New Roman" w:hAnsi="Times New Roman" w:cs="Times New Roman"/>
          <w:sz w:val="24"/>
          <w:szCs w:val="24"/>
          <w:lang w:eastAsia="en-GB"/>
        </w:rPr>
        <w:fldChar w:fldCharType="end"/>
      </w:r>
      <w:r w:rsidRPr="00B279FC">
        <w:rPr>
          <w:rFonts w:ascii="Times New Roman" w:eastAsia="Times New Roman" w:hAnsi="Times New Roman" w:cs="Times New Roman"/>
          <w:sz w:val="24"/>
          <w:szCs w:val="24"/>
          <w:lang w:eastAsia="en-GB"/>
        </w:rPr>
        <w:t xml:space="preserve">. A slightly higher prevalence was observed in males (55.2%), aligning with previous studies </w:t>
      </w:r>
      <w:r w:rsidRPr="00B279FC">
        <w:rPr>
          <w:rFonts w:ascii="Times New Roman" w:eastAsia="Times New Roman" w:hAnsi="Times New Roman" w:cs="Times New Roman"/>
          <w:sz w:val="24"/>
          <w:szCs w:val="24"/>
          <w:lang w:eastAsia="en-GB"/>
        </w:rPr>
        <w:fldChar w:fldCharType="begin" w:fldLock="1"/>
      </w:r>
      <w:r w:rsidR="00C45B32">
        <w:rPr>
          <w:rFonts w:ascii="Times New Roman" w:eastAsia="Times New Roman" w:hAnsi="Times New Roman" w:cs="Times New Roman"/>
          <w:sz w:val="24"/>
          <w:szCs w:val="24"/>
          <w:lang w:eastAsia="en-GB"/>
        </w:rPr>
        <w:instrText>ADDIN CSL_CITATION {"citationItems":[{"id":"ITEM-1","itemData":{"DOI":"10.1097/01.ijg.0000185617.98915.36","ISSN":"1057-0829 (Print)","PMID":"16276273","abstract":"AIM: To audit medium-term results of trabeculectomy at a tertiary referral unit  in east Africa. METHODS: A retrospective review of the files of all patients who underwent trabeculectomy surgery at our hospital during the year 2001. RESULTS: One hundred fifty-seven patients were included. Mean age was 61 years (SD = 12). Thirty-one patients (20%) were women; 120 of 145 (83%) eyes had cup/disc ratios of 0.8 or greater preoperatively. Intraoperative 5-fluorouracil (5FU) was used in 57 cases (36%). Mean follow-up was 8 months (0-28, SD = 7). Mean intraocular pressures (IOP) was 25 mm Hg (6-70, SD = 10) preoperatively, 11 mm Hg (0-32, SD = 5) at 2 weeks postoperatively, and 13 mm Hg (0-42, SD = 6) at latest follow-up. One hundred fifteen patients (73%) had intraocular pressure of 15 mm Hg or less at latest follow-up and 141 (90%) had intraocular pressure of 21 mm Hg or less. Twenty (13%) had restarted antiglaucoma medication during the follow-up period. Thirty-seven of 148 (25%) lost 2 lines of Snellen acuity or equivalent between preoperative measurement and latest follow-up. Early postoperative complications (usually leaking bleb or shallow anterior chamber with hypotony) occurred in 18 patients (12%) and this was associated with postoperative loss of 2 or more lines of Snellen acuity (OR = 1.11 95% CI 1.02-1.22, P= 0.02). Patients having had 5FU had lower (t = 3.11, P= 0.02) mean intraocular pressure at 2-month follow-up (12 mm Hg, SD = 5) than those who did not receive it (16 mm Hg, SD = 6) but there was no significant difference at later follow-ups. Men (mean 14 mm Hg, SD = 6) had higher (t = 2.71, P= 0.01) intraocular pressures at latest follow-up than women (mean 11 mm Hg, SD = 3). CONCLUSIONS: The results of surgery compare well with other reported series. 5FU did not demonstrate significant benefit in terms of intraocular pressure lowering beyond 2 months postoperatively. Early postoperative hypotony should be avoided. The gender difference in intraocular pressure results has not previously been reported and deserves further investigation.","author":[{"dropping-particle":"","family":"Kabiru","given":"Joy","non-dropping-particle":"","parse-names":false,"suffix":""},{"dropping-particle":"","family":"Bowman","given":"Richard","non-dropping-particle":"","parse-names":false,"suffix":""},{"dropping-particle":"","family":"Wood","given":"Mark","non-dropping-particle":"","parse-names":false,"suffix":""},{"dropping-particle":"","family":"Mafwiri","given":"Milka","non-dropping-particle":"","parse-names":false,"suffix":""}],"container-title":"Journal of glaucoma","id":"ITEM-1","issue":"6","issued":{"date-parts":[["2005","12"]]},"language":"eng","page":"432-434","publisher-place":"United States","title":"Audit of trabeculectomy at a tertiary referral hospital in East Africa.","type":"article-journal","volume":"14"},"uris":["http://www.mendeley.com/documents/?uuid=fb641c74-4e0c-4da6-8494-687651a68a64"]},{"id":"ITEM-2","itemData":{"DOI":"10.1038/eye.2009.132","ISSN":"1476-5454 (Electronic)","PMID":"19521428","abstract":"AIM: To investigate visual and intra-ocular pressure (IOP) outcomes of combined  cataract and glaucoma surgery at a high-volume centre in East Africa carried out over a 1-year period (2006). METHODS: A retrospective analysis of patient records. RESULTS: A total of 163 patients were identified. Mean age was 67 years (SD 11, range 21-86 years) and 113 (69%) were men. Presenting visual acuity in the operated eye was 6/60 or worse in 135/163 (93%) and was &lt;3/60 in 76 of 163 (47%) patients. Mean presenting IOP was 28 mm Hg (SD 9, range 12-60). Pre-operative cup disc ratios were 0.8 or worse in 131 of 163 (85%) patients. Phacotrabeculectomy (PT) was carried out in 130 (80%) cases, small incision cataract surgery trabeculectomy (SICST) in 10 (6.1%) cases, and extra-capsular cataract extraction trabeculectomy (ECCET) in 23 (14.1%) cases. In all, 107 (66%) attended for follow-up (mean interval 104 days, range: 6-390 years, SD 88) and at follow-up 75 (70%) patients had improved visual acuity pre-operatively. Pre-operative cup disc ratio of 0.9 or greater predicted failure to improve VA at follow-up (OR 4.0 95% confidence interval (CI) 1.30-12.1). Fifty-nine (62% (95%CI 52-71%)) patients had follow-up IOPs of 6-15 mm Hg and 82 (85% (95% CI 78-92%)) had follow-up IOPs of 6-20 mm Hg. CONCLUSION: Combined surgery produces visual benefit for most patients with similar pressure control to pure trabeculectomy and is therefore a useful option in practises where follow-up may be doubtful.","author":[{"dropping-particle":"","family":"Bowman","given":"R J C","non-dropping-particle":"","parse-names":false,"suffix":""},{"dropping-particle":"","family":"Hay","given":"A","non-dropping-particle":"","parse-names":false,"suffix":""},{"dropping-particle":"","family":"Wood","given":"M L","non-dropping-particle":"","parse-names":false,"suffix":""},{"dropping-particle":"","family":"Murdoch","given":"I E","non-dropping-particle":"","parse-names":false,"suffix":""}],"container-title":"Eye (London, England)","id":"ITEM-2","issue":"4","issued":{"date-parts":[["2010","4"]]},"language":"eng","page":"573-577","publisher-place":"England","title":"Combined cataract and trabeculectomy surgery for advanced glaucoma in East  Africa; visual and intra-ocular pressure outcomes.","type":"article-journal","volume":"24"},"uris":["http://www.mendeley.com/documents/?uuid=50fb23a5-4799-4b26-b00a-4d6e7ab412ff"]},{"id":"ITEM-3","itemData":{"DOI":"https://doi.org/10.1016/j.ophtha.2015.11.004","ISSN":"0161-6420","abstract":"Purpose To investigate the prevalence, awareness, and risk factors for primary open-angle glaucoma (POAG) in the Korean population. Design The Korea National Health and Nutrition Examination Survey (KNHANES), a population-based cross-sectional study using a complex, stratified, multistage, probability-cluster survey. Participants A total of 13 831 participants 40 years of age or older were included from the KNHANES database for the years 2008 through 2011. Methods Glaucoma diagnosis was based on the International Society of Geographical and Epidemiological Ophthalmology criteria. The prevalence of POAG and the proportion of POAG patients previously informed of the disease were calculated using KNHANES sample weights. Ocular and systemic factors were compared between the POAG and control groups. Univariate and multivariate logistic regression analyses were used to evaluate the risk factors for POAG. Main Outcome Measures Weighted prevalence, awareness, and risk factors for POAG. Results The prevalence of POAG in the Korean population was 4.7% (95% confidence interval, 4.2–5.1): 5.5% in men and 3.9% in women, respectively, which increased with age (P &lt; 0.001). The mean intraocular pressure (IOP) in POAG eyes was 15.0±0.4 mmHg, which was higher than that of the control group (14.0±0.1 mmHg; P &lt; 0.001). Multivariate logistic regression analysis revealed that older age (P &lt; 0.001), male gender (P &lt; 0.001), higher IOP (P &lt; 0.001), myopia (P &lt; 0.001), hypertension (P = 0.031), and nonoverweight status (P = 0.017) were associated significantly with POAG in the Korean population. Among the 710 study participants diagnosed with POAG, only 8.0% were aware of the disease. Conclusions This was the first study to examine the prevalence, awareness, and risk factors of POAG in the Korean population using 4-year KNHANES data. Koreans with higher IOP, myopia, older age, male gender, hypertension, and nonoverweight status require more attention and support from the glaucoma screening and surveillance systems.","author":[{"dropping-particle":"","family":"Kim","given":"Ko Eun","non-dropping-particle":"","parse-names":false,"suffix":""},{"dropping-particle":"","family":"Kim","given":"Moon Jung","non-dropping-particle":"","parse-names":false,"suffix":""},{"dropping-particle":"","family":"Park","given":"Ki Ho","non-dropping-particle":"","parse-names":false,"suffix":""},{"dropping-particle":"","family":"Jeoung","given":"Jin Wook","non-dropping-particle":"","parse-names":false,"suffix":""},{"dropping-particle":"","family":"Kim","given":"Seok Hwan","non-dropping-particle":"","parse-names":false,"suffix":""},{"dropping-particle":"","family":"Kim","given":"Chan Yun","non-dropping-particle":"","parse-names":false,"suffix":""},{"dropping-particle":"","family":"Kang","given":"Se Woong","non-dropping-particle":"","parse-names":false,"suffix":""}],"container-title":"Ophthalmology","id":"ITEM-3","issue":"3","issued":{"date-parts":[["2016"]]},"page":"532-541","title":"Prevalence, Awareness, and Risk Factors of Primary Open-Angle Glaucoma: Korea National Health and Nutrition Examination Survey 2008–2011","type":"article-journal","volume":"123"},"uris":["http://www.mendeley.com/documents/?uuid=dad8f974-6cc4-4736-9d9d-5e0df4ca8476"]},{"id":"ITEM-4","itemData":{"abstract":"Background: Primary Open Angle Glaucoma (POAG) tends to progress slowly&amp;nbsp;and patients are often asymptomatic until the disease reaches an advanced stage. Injury due to glaucoma is largely irreversible, so early detection and prevention is of vital importance.Objectives: To study the clinical presentation of primary open-angle glaucoma at initial diagnosis.Study design: A descriptive hospital-based study.Participants: 196 patients aged &amp;gt; 40 years presenting first time with POAG.Methods: After obtaining ethical clearance from the Institution Ethical&amp;nbsp;Committee, a detailed history was taken from every patient. Complete systemic and ocular examination was done.Results: The mean age in our study is 58.1yrs.60.2% were males and&amp;nbsp;39.8% were females.63.3% of the study cases presented with the blurring of vision.13.3% presented with headache, 9.7% had watering, 7.1% had irritation, whereas 3.6% had burning sensation and 3.1% had itching respectively.16.8% had glaucomatous optic atrophy in the right eye and 39.8% had glaucomatous optic atrophy in the left eye.Conclusion: Majority of our study patients presented with the complaint of blurring of vision. In our study we found most of the patients presented late in the disease stage, indicating a lack of awareness about the disease, especially in rural areas. A health service response is required to prevent blindness from&amp;nbsp;glaucoma.Implications: In view of our study, improving glaucoma awareness among masses shall go long way in reducing the incidence and morbidity of POAG. This can be done through print media, electronic media and social networking sites.","author":[{"dropping-particle":"","family":"Bhat","given":"Afrin","non-dropping-particle":"","parse-names":false,"suffix":""},{"dropping-particle":"","family":"untoo","given":"Reyaz","non-dropping-particle":"","parse-names":false,"suffix":""}],"container-title":"JMS SKIMS","id":"ITEM-4","issue":"Suppl 1 SE - PGRPP Abstracts","issued":{"date-parts":[["2020","12","12"]]},"title":"Epidemiological Study And Presenting Features Of Primary Open Angle  Glaucoma(POAG) At Initial Diagnosis ","type":"article-journal","volume":"23"},"uris":["http://www.mendeley.com/documents/?uuid=17511f1c-9a9a-45a6-b3be-8b6b1daad7a1"]},{"id":"ITEM-5","itemData":{"DOI":"10.9790/0853-2202024249","author":[{"dropping-particle":"","family":"State","given":"Rivers","non-dropping-particle":"","parse-names":false,"suffix":""},{"dropping-particle":"","family":"Health","given":"Primary","non-dropping-particle":"","parse-names":false,"suffix":""},{"dropping-particle":"","family":"Management","given":"Care","non-dropping-particle":"","parse-names":false,"suffix":""},{"dropping-particle":"","family":"Harcourt","given":"Port","non-dropping-particle":"","parse-names":false,"suffix":""},{"dropping-particle":"","family":"Awoyesuku","given":"E A","non-dropping-particle":"","parse-names":false,"suffix":""}],"id":"ITEM-5","issue":"2","issued":{"date-parts":[["2023"]]},"page":"42-49","title":"Profile of Primary Open Angle Glaucoma Patients Attending a Tertiary Health Institution in Niger Delta , Nigeria – A case study of 1000 patients","type":"article-journal","volume":"22"},"uris":["http://www.mendeley.com/documents/?uuid=f9b037f9-0dba-4b6e-a601-6feb3987bcfd"]},{"id":"ITEM-6","itemData":{"DOI":"10.1038/s41598-021-92971-w","ISBN":"4159802192","ISSN":"20452322","PMID":"34215769","abstract":"Primary open-angle glaucoma (POAG) is a leading cause of irreversible blindness in the world and is influenced by various sociodemographic factors. This meta-analysis aims to determine the worldwide prevalence of POAG in the adult general population for the last 20 years, and explore variation in prevalence by age, gender and geographical location. An electronic literature search was performed using the PubMed, Embase, and Web of Science databases. Population-based cross-sectional or cohort studies published in the last 20 years (2000–2020) that reported prevalence of POAG were recruited. Relevant studies meeting defined eligibility criteria were selected and reviewed systematically by meta-analysis. The prevalence of POAG was analyzed according to various risk factors. A random effect model was used for the meta-analysis. Fifty publications with a total of 198,259 subjects were included in this meta-analysis. The worldwide overall prevalence of POAG was 2.4% (95% CI 2.0 ~ 2.8%). The prevalence increases with age. Men are found to be more susceptible to POAG than women (RR 1.28, p &lt; 0.01). Africa is found to have the highest prevalence of POAG (4.0%) among all continents. The current estimated global population of POAG is 68.56 million (95% CI 59.99 ~ 79.98). POAG is a worldwide vision threatening disease with high prevalence for the last 20 years. The population-based prevalence of POAG varies widely across individual studies, due to variations in risk factors of age, gender, and population geographic location.","author":[{"dropping-particle":"","family":"Zhang","given":"Nan","non-dropping-particle":"","parse-names":false,"suffix":""},{"dropping-particle":"","family":"Wang","given":"Jiaxing","non-dropping-particle":"","parse-names":false,"suffix":""},{"dropping-particle":"","family":"Li","given":"Ying","non-dropping-particle":"","parse-names":false,"suffix":""},{"dropping-particle":"","family":"Jiang","given":"Bing","non-dropping-particle":"","parse-names":false,"suffix":""}],"container-title":"Scientific Reports","id":"ITEM-6","issue":"1","issued":{"date-parts":[["2021"]]},"page":"1-12","publisher":"Nature Publishing Group UK","title":"Prevalence of primary open angle glaucoma in the last 20 years: a meta-analysis and systematic review","type":"article-journal","volume":"11"},"uris":["http://www.mendeley.com/documents/?uuid=5a15f8e5-43d5-434e-bd8f-64788dfcedae"]}],"mendeley":{"formattedCitation":"(Kabiru &lt;i&gt;et al.&lt;/i&gt;, 2005; Bowman &lt;i&gt;et al.&lt;/i&gt;, 2010; Kim &lt;i&gt;et al.&lt;/i&gt;, 2016; Bhat and untoo, 2020; Zhang &lt;i&gt;et al.&lt;/i&gt;, 2021; State &lt;i&gt;et al.&lt;/i&gt;, 2023)","plainTextFormattedCitation":"(Kabiru et al., 2005; Bowman et al., 2010; Kim et al., 2016; Bhat and untoo, 2020; Zhang et al., 2021; State et al., 2023)","previouslyFormattedCitation":"(Kabiru &lt;i&gt;et al.&lt;/i&gt;, 2005; Bowman &lt;i&gt;et al.&lt;/i&gt;, 2010; Kim &lt;i&gt;et al.&lt;/i&gt;, 2016; Bhat and untoo, 2020; Zhang &lt;i&gt;et al.&lt;/i&gt;, 2021; State &lt;i&gt;et al.&lt;/i&gt;, 2023)"},"properties":{"noteIndex":0},"schema":"https://github.com/citation-style-language/schema/raw/master/csl-citation.json"}</w:instrText>
      </w:r>
      <w:r w:rsidRPr="00B279FC">
        <w:rPr>
          <w:rFonts w:ascii="Times New Roman" w:eastAsia="Times New Roman" w:hAnsi="Times New Roman" w:cs="Times New Roman"/>
          <w:sz w:val="24"/>
          <w:szCs w:val="24"/>
          <w:lang w:eastAsia="en-GB"/>
        </w:rPr>
        <w:fldChar w:fldCharType="separate"/>
      </w:r>
      <w:r w:rsidR="00086E2E" w:rsidRPr="00086E2E">
        <w:rPr>
          <w:rFonts w:ascii="Times New Roman" w:eastAsia="Times New Roman" w:hAnsi="Times New Roman" w:cs="Times New Roman"/>
          <w:noProof/>
          <w:sz w:val="24"/>
          <w:szCs w:val="24"/>
          <w:lang w:eastAsia="en-GB"/>
        </w:rPr>
        <w:t xml:space="preserve">(Kabiru </w:t>
      </w:r>
      <w:r w:rsidR="00086E2E" w:rsidRPr="00086E2E">
        <w:rPr>
          <w:rFonts w:ascii="Times New Roman" w:eastAsia="Times New Roman" w:hAnsi="Times New Roman" w:cs="Times New Roman"/>
          <w:i/>
          <w:noProof/>
          <w:sz w:val="24"/>
          <w:szCs w:val="24"/>
          <w:lang w:eastAsia="en-GB"/>
        </w:rPr>
        <w:t>et al.</w:t>
      </w:r>
      <w:r w:rsidR="00086E2E" w:rsidRPr="00086E2E">
        <w:rPr>
          <w:rFonts w:ascii="Times New Roman" w:eastAsia="Times New Roman" w:hAnsi="Times New Roman" w:cs="Times New Roman"/>
          <w:noProof/>
          <w:sz w:val="24"/>
          <w:szCs w:val="24"/>
          <w:lang w:eastAsia="en-GB"/>
        </w:rPr>
        <w:t xml:space="preserve">, 2005; Bowman </w:t>
      </w:r>
      <w:r w:rsidR="00086E2E" w:rsidRPr="00086E2E">
        <w:rPr>
          <w:rFonts w:ascii="Times New Roman" w:eastAsia="Times New Roman" w:hAnsi="Times New Roman" w:cs="Times New Roman"/>
          <w:i/>
          <w:noProof/>
          <w:sz w:val="24"/>
          <w:szCs w:val="24"/>
          <w:lang w:eastAsia="en-GB"/>
        </w:rPr>
        <w:t>et al.</w:t>
      </w:r>
      <w:r w:rsidR="00086E2E" w:rsidRPr="00086E2E">
        <w:rPr>
          <w:rFonts w:ascii="Times New Roman" w:eastAsia="Times New Roman" w:hAnsi="Times New Roman" w:cs="Times New Roman"/>
          <w:noProof/>
          <w:sz w:val="24"/>
          <w:szCs w:val="24"/>
          <w:lang w:eastAsia="en-GB"/>
        </w:rPr>
        <w:t xml:space="preserve">, 2010; Kim </w:t>
      </w:r>
      <w:r w:rsidR="00086E2E" w:rsidRPr="00086E2E">
        <w:rPr>
          <w:rFonts w:ascii="Times New Roman" w:eastAsia="Times New Roman" w:hAnsi="Times New Roman" w:cs="Times New Roman"/>
          <w:i/>
          <w:noProof/>
          <w:sz w:val="24"/>
          <w:szCs w:val="24"/>
          <w:lang w:eastAsia="en-GB"/>
        </w:rPr>
        <w:t>et al.</w:t>
      </w:r>
      <w:r w:rsidR="00086E2E" w:rsidRPr="00086E2E">
        <w:rPr>
          <w:rFonts w:ascii="Times New Roman" w:eastAsia="Times New Roman" w:hAnsi="Times New Roman" w:cs="Times New Roman"/>
          <w:noProof/>
          <w:sz w:val="24"/>
          <w:szCs w:val="24"/>
          <w:lang w:eastAsia="en-GB"/>
        </w:rPr>
        <w:t xml:space="preserve">, 2016; Bhat and untoo, 2020; Zhang </w:t>
      </w:r>
      <w:r w:rsidR="00086E2E" w:rsidRPr="00086E2E">
        <w:rPr>
          <w:rFonts w:ascii="Times New Roman" w:eastAsia="Times New Roman" w:hAnsi="Times New Roman" w:cs="Times New Roman"/>
          <w:i/>
          <w:noProof/>
          <w:sz w:val="24"/>
          <w:szCs w:val="24"/>
          <w:lang w:eastAsia="en-GB"/>
        </w:rPr>
        <w:t>et al.</w:t>
      </w:r>
      <w:r w:rsidR="00086E2E" w:rsidRPr="00086E2E">
        <w:rPr>
          <w:rFonts w:ascii="Times New Roman" w:eastAsia="Times New Roman" w:hAnsi="Times New Roman" w:cs="Times New Roman"/>
          <w:noProof/>
          <w:sz w:val="24"/>
          <w:szCs w:val="24"/>
          <w:lang w:eastAsia="en-GB"/>
        </w:rPr>
        <w:t xml:space="preserve">, 2021; State </w:t>
      </w:r>
      <w:r w:rsidR="00086E2E" w:rsidRPr="00086E2E">
        <w:rPr>
          <w:rFonts w:ascii="Times New Roman" w:eastAsia="Times New Roman" w:hAnsi="Times New Roman" w:cs="Times New Roman"/>
          <w:i/>
          <w:noProof/>
          <w:sz w:val="24"/>
          <w:szCs w:val="24"/>
          <w:lang w:eastAsia="en-GB"/>
        </w:rPr>
        <w:t>et al.</w:t>
      </w:r>
      <w:r w:rsidR="00086E2E" w:rsidRPr="00086E2E">
        <w:rPr>
          <w:rFonts w:ascii="Times New Roman" w:eastAsia="Times New Roman" w:hAnsi="Times New Roman" w:cs="Times New Roman"/>
          <w:noProof/>
          <w:sz w:val="24"/>
          <w:szCs w:val="24"/>
          <w:lang w:eastAsia="en-GB"/>
        </w:rPr>
        <w:t>, 2023)</w:t>
      </w:r>
      <w:r w:rsidRPr="00B279FC">
        <w:rPr>
          <w:rFonts w:ascii="Times New Roman" w:eastAsia="Times New Roman" w:hAnsi="Times New Roman" w:cs="Times New Roman"/>
          <w:sz w:val="24"/>
          <w:szCs w:val="24"/>
          <w:lang w:eastAsia="en-GB"/>
        </w:rPr>
        <w:fldChar w:fldCharType="end"/>
      </w:r>
      <w:r w:rsidRPr="00B279FC">
        <w:rPr>
          <w:rFonts w:ascii="Times New Roman" w:eastAsia="Times New Roman" w:hAnsi="Times New Roman" w:cs="Times New Roman"/>
          <w:sz w:val="24"/>
          <w:szCs w:val="24"/>
          <w:lang w:eastAsia="en-GB"/>
        </w:rPr>
        <w:t xml:space="preserve"> this could be due to </w:t>
      </w:r>
      <w:proofErr w:type="spellStart"/>
      <w:r w:rsidRPr="00B279FC">
        <w:rPr>
          <w:rFonts w:ascii="Times New Roman" w:eastAsia="Times New Roman" w:hAnsi="Times New Roman" w:cs="Times New Roman"/>
          <w:sz w:val="24"/>
          <w:szCs w:val="24"/>
          <w:lang w:eastAsia="en-GB"/>
        </w:rPr>
        <w:t>estrogen’s</w:t>
      </w:r>
      <w:proofErr w:type="spellEnd"/>
      <w:r w:rsidRPr="00B279FC">
        <w:rPr>
          <w:rFonts w:ascii="Times New Roman" w:eastAsia="Times New Roman" w:hAnsi="Times New Roman" w:cs="Times New Roman"/>
          <w:sz w:val="24"/>
          <w:szCs w:val="24"/>
          <w:lang w:eastAsia="en-GB"/>
        </w:rPr>
        <w:t xml:space="preserve"> neuroprotective role in reducing glaucoma risk in women </w:t>
      </w:r>
      <w:r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 xml:space="preserve">ADDIN CSL_CITATION {"citationItems":[{"id":"ITEM-1","itemData":{"DOI":"10.1093/aje/154.2.138","ISSN":"0002-9262","abstract":"The authors examined the association between age at menopause and open-angle glaucoma among women aged ≥55 years in the population-based Rotterdam Study (1990–1993). Information on age and type of menopause was obtained by interview. Subjects (n = 3,078) were stratified into three categories according to age at menopause: &amp;lt;45 years, 45–49 years, and ≥50 years, with the last group serving as the reference group. Diagnosis of open-angle glaucoma was based on the presence of a glaucomatous visual field defect and glaucomatous optic neuropathy. Open-angle glaucoma was diagnosed in 78 women with a natural menopause and 15 women with an artificial menopause. In the category of natural menopause, women who went through menopause before reaching the age of 45 years had a higher risk of open-angle glaucoma than the reference group (odds ratio = 2.6; 95% confidence interval: 1.5, 4.8), after adjustment for age and use of hormone replacement therapy. Among women who went through menopause between the ages of 45 and 49 years, the odds ratio was 1.1 (95% confidence interval: 0.7, 2.0). These findings suggest that early menopause is associated with a higher risk of open-angle glaucoma.","author":[{"dropping-particle":"","family":"Hulsman","given":"Caroline A A","non-dropping-particle":"","parse-names":false,"suffix":""},{"dropping-particle":"","family":"Westendorp","given":"Iris C D","non-dropping-particle":"","parse-names":false,"suffix":""},{"dropping-particle":"","family":"Ramrattan","given":"Raan S","non-dropping-particle":"","parse-names":false,"suffix":""},{"dropping-particle":"","family":"Wolfs","given":"Roger C W","non-dropping-particle":"","parse-names":false,"suffix":""},{"dropping-particle":"","family":"Witteman","given":"Jacqueline C M","non-dropping-particle":"","parse-names":false,"suffix":""},{"dropping-particle":"","family":"Vingerling","given":"Johannes R","non-dropping-particle":"","parse-names":false,"suffix":""},{"dropping-particle":"","family":"Hofman","given":"Albert","non-dropping-particle":"","parse-names":false,"suffix":""},{"dropping-particle":"","family":"Jong","given":"Paulus T V M","non-dropping-particle":"de","parse-names":false,"suffix":""}],"container-title":"American Journal of Epidemiology","id":"ITEM-1","issue":"2","issued":{"date-parts":[["2001","7","15"]]},"page":"138-144","title":"Is Open-Angle Glaucoma Associated with Early Menopause? : The Rotterdam Study","type":"article-journal","volume":"154"},"uris":["http://www.mendeley.com/documents/?uuid=7585fa56-df57-4137-8c52-c4f33245ca9a"]},{"id":"ITEM-2","itemData":{"DOI":"10.1136/bjo.87.11.1324","abstract":"Aims: To determine whether endogenous oestrogen exposures are associated with open angle glaucoma (OAG). Methods: The Blue Mountains Eye Study examined 2072 women aged 49–97 years during 1992–4. Questions about female reproductive factors included age at menarche and menopause, parity, and use of hormone replacement therapy. Applanation tonometry, visual field tests, and stereo-optic disc photographs were performed. OAG was diagnosed when glaucomatous visual fields matched optic disc changes. Ocular hypertension (OH) was defined in the absence of glaucoma, but with intraocular pressure </w:instrText>
      </w:r>
      <w:r w:rsidR="00C45B32">
        <w:rPr>
          <w:rFonts w:ascii="Cambria Math" w:hAnsi="Cambria Math" w:cs="Cambria Math"/>
          <w:sz w:val="24"/>
          <w:szCs w:val="24"/>
        </w:rPr>
        <w:instrText>⩾</w:instrText>
      </w:r>
      <w:r w:rsidR="00C45B32">
        <w:rPr>
          <w:rFonts w:ascii="Times New Roman" w:hAnsi="Times New Roman" w:cs="Times New Roman"/>
          <w:sz w:val="24"/>
          <w:szCs w:val="24"/>
        </w:rPr>
        <w:instrText>22 mm Hg. Results: A significantly increased OAG risk with later (&amp;amp;gt;13 years) compared with earlier (</w:instrText>
      </w:r>
      <w:r w:rsidR="00C45B32">
        <w:rPr>
          <w:rFonts w:ascii="Cambria Math" w:hAnsi="Cambria Math" w:cs="Cambria Math"/>
          <w:sz w:val="24"/>
          <w:szCs w:val="24"/>
        </w:rPr>
        <w:instrText>⩽</w:instrText>
      </w:r>
      <w:r w:rsidR="00C45B32">
        <w:rPr>
          <w:rFonts w:ascii="Times New Roman" w:hAnsi="Times New Roman" w:cs="Times New Roman"/>
          <w:sz w:val="24"/>
          <w:szCs w:val="24"/>
        </w:rPr>
        <w:instrText>12 years) age of menarche was found, odds ratio (OR) = 2.0; 95% confidence interval (CI) 1.0 to 3.9, p for trend = 0.01, after adjustment for multiple confounders. Non-significant increased odds for OAG were found for early natural menopause (&amp;amp;lt;45 years) compared with the reference group (</w:instrText>
      </w:r>
      <w:r w:rsidR="00C45B32">
        <w:rPr>
          <w:rFonts w:ascii="Cambria Math" w:hAnsi="Cambria Math" w:cs="Cambria Math"/>
          <w:sz w:val="24"/>
          <w:szCs w:val="24"/>
        </w:rPr>
        <w:instrText>⩾</w:instrText>
      </w:r>
      <w:r w:rsidR="00C45B32">
        <w:rPr>
          <w:rFonts w:ascii="Times New Roman" w:hAnsi="Times New Roman" w:cs="Times New Roman"/>
          <w:sz w:val="24"/>
          <w:szCs w:val="24"/>
        </w:rPr>
        <w:instrText>50 years), adjusted OR = 1.7; CI: 0.7 to 3.8, and for shorter duration of endogenous oestrogen exposure (&amp;amp;lt;30 years), adjusted OR = 1.8; CI: 0.6 to 5.3. Increasing parity was associated with an increased risk of OAG (p = 0.03) and decreased risk of OH (p = 0.03). Conclusion: The modest associations found in relation to late menarche and increased parity do not allow the exclusion of a possible role for endogenous female hormones in the pathogenesis of OAG.","author":[{"dropping-particle":"","family":"Lee","given":"A J","non-dropping-particle":"","parse-names":false,"suffix":""},{"dropping-particle":"","family":"Mitchell","given":"P","non-dropping-particle":"","parse-names":false,"suffix":""},{"dropping-particle":"","family":"Rochtchina","given":"E","non-dropping-particle":"","parse-names":false,"suffix":""},{"dropping-particle":"","family":"Healey","given":"P R","non-dropping-particle":"","parse-names":false,"suffix":""}],"container-title":"British Journal of Ophthalmology","id":"ITEM-2","issue":"11","issued":{"date-parts":[["2003","11","1"]]},"page":"1324 LP  - 1328","title":"Female reproductive factors and open angle glaucoma: the Blue Mountains Eye Study","type":"article-journal","volume":"87"},"uris":["http://www.mendeley.com/documents/?uuid=34a3a3de-3e51-42bc-b0c2-4622f9a465a9"]},{"id":"ITEM-3","itemData":{"DOI":"https://doi.org/10.1016/S0378-5122(97)00060-1","ISSN":"0378-5122","abstract":"Objectives: To evaluate the effect of hormone replacement therapy (HRT) on intraocular pressure (IOP) in menopausal women. Methods: The IOP of 25 white menopausal women without an abnormal ophthalmologic history was measured before and during HRT regimen. IOP fluctations were recorded before and 1, 4, and 12 weeks after the beginning of HRT. These measurements were obtained according to a standardized time schedule (08:00, 12:00, 16:00, and 19:00 h). Results: The mean IOP in the left eye decreased from 16.2 ± 2.4 mmHg before therapy to 14.0 ± 2.1 mmHg after 12 weeks of therapy (P&lt;0.001). In the right eye, whose IOP was at 15.3 ± 2.3 mmHg before therapy there was a decrease to 14.0 ± 1.9 mmHg after 12 weeks of therapy (P&lt;0.001). Conclusion: Hormone replacement therapy has a positive effect on IOP in menopausal women.","author":[{"dropping-particle":"","family":"Sator","given":"Michael O","non-dropping-particle":"","parse-names":false,"suffix":""},{"dropping-particle":"","family":"Joura","given":"Elmar A","non-dropping-particle":"","parse-names":false,"suffix":""},{"dropping-particle":"","family":"Frigo","given":"Peter","non-dropping-particle":"","parse-names":false,"suffix":""},{"dropping-particle":"","family":"Kurz","given":"Christine","non-dropping-particle":"","parse-names":false,"suffix":""},{"dropping-particle":"","family":"Metka","given":"Markus","non-dropping-particle":"","parse-names":false,"suffix":""},{"dropping-particle":"","family":"Hommer","given":"Anton","non-dropping-particle":"","parse-names":false,"suffix":""},{"dropping-particle":"","family":"Huber","given":"Johannes C","non-dropping-particle":"","parse-names":false,"suffix":""}],"container-title":"Maturitas","id":"ITEM-3","issue":"1","issued":{"date-parts":[["1997"]]},"page":"55-58","title":"Hormone replacement therapy and intraocular pressure","type":"article-journal","volume":"28"},"uris":["http://www.mendeley.com/documents/?uuid=24f77582-9262-41e8-b4b3-817bffb34cdc"]},{"id":"ITEM-4","itemData":{"DOI":"https://doi.org/10.1016/S0378-5122(97)00091-1","ISSN":"0378-5122","abstract":"Objectives: To show the reducing effect of estrogens and progestins on the elevated intraocular pressure (IOP) in the case of a 56-year-old woman showing typical climacteric complaints, who was admitted to the menopause outpatient unit. She also suffered from a primary open-angle glaucoma treated with betaophtiole eye drops with intraocular pressures of 16–20 mmHg under this local therapy. Methods: IOP patterns were monitored by means of standardised daily pressure profiles four times a day before as well as 4 and 12 weeks after the beginning of hormone replacement therapy (HRT). The local glaucoma therapy remained unchanged. Results: During HRT, IOP levels were reduced from 16–20 mmHg before therapy to 12–15 mmHg at week 4 and to 13–15 mmHg at week 12 after the beginning of HRT. Conclusion: The finding of a close chronological relationship between the onset of menopause and the development of a glaucoma is a potentially new indication for HRT.","author":[{"dropping-particle":"","family":"Sator","given":"Michael O","non-dropping-particle":"","parse-names":false,"suffix":""},{"dropping-particle":"","family":"Akramian","given":"Jinus","non-dropping-particle":"","parse-names":false,"suffix":""},{"dropping-particle":"","family":"Joura","given":"Elmar A","non-dropping-particle":"","parse-names":false,"suffix":""},{"dropping-particle":"","family":"Nessmann","given":"Astrid","non-dropping-particle":"","parse-names":false,"suffix":""},{"dropping-particle":"","family":"Wedrich","given":"Andreas","non-dropping-particle":"","parse-names":false,"suffix":""},{"dropping-particle":"","family":"Gruber","given":"Doris","non-dropping-particle":"","parse-names":false,"suffix":""},{"dropping-particle":"","family":"Metka","given":"Markus","non-dropping-particle":"","parse-names":false,"suffix":""},{"dropping-particle":"","family":"Huber","given":"Johannes C","non-dropping-particle":"","parse-names":false,"suffix":""}],"container-title":"Maturitas","id":"ITEM-4","issue":"1","issued":{"date-parts":[["1998"]]},"page":"93-95","title":"Reduction of intraocular pressure in a glaucoma patient undergoing hormone replacement therapy","type":"article-journal","volume":"29"},"uris":["http://www.mendeley.com/documents/?uuid=7ceed315-6cc0-48d8-9b1c-85644b13316c"]},{"id":"ITEM-5","itemData":{"DOI":"10.1001/jamaophthalmol.2013.7618","ISSN":"21686165","PMID":"24481323","abstract":"IMPORTANCE Retinal ganglion cells are known to express estrogen receptors and prior studies have suggested an association between postmenopausal hormone (PMH) use and decreased intraocular pressure, suggesting that PMH use may decrease the risk for primary open-angle glaucoma (POAG). OBJECTIVE To determine whether the use of 3 different classes of PMH affects the risk for POAG. DESIGN, SETTING, AND PARTICIPANTS Retrospective longitudinal cohort analysis of claims data from women 50 years or older enrolled in a US managed-care plan for at least 4 years in which enrollees had at least 2 visits to an eye care provider during the period 2001 through 2009. EXPOSURE Postmenopausal hormone medications containing estrogen only, estrogen + progesterone, and estrogen + androgen, as captured from outpatient pharmacy claims over a 4-year period. MAIN OUTCOMES AND MEASURES Hazard ratios (HRs) for developing incident POAG. RESULTS Of 152 163 eligible enrollees, 2925 (1.9%) developed POAG. After adjustment for confounding factors, each additional month of use of PMH containing estrogen only was associated with a 0.4%reduced risk for POAG (HR, 0.996 [95%CI, 0.993-0.999]; P = .02). The risk for POAG did not differ with each additional month of use of estrogen + progesterone (HR, 0.994 [95%CI, 0.987-1.001]; P = .08) or estrogen + androgen (HR, 0.999 [95%CI, 0.988-1.011]; P = .89). CONCLUSIONS AND RELEVANCE Use of PMH preparations containing estrogen may help reduce the risk for POAG. If prospective studies confirm the findings of this analysis, novel treatments for this sight-threatening condition may follow. Copyright 2014 American Medical Association. All rights reserved.","author":[{"dropping-particle":"","family":"Newman-Casey","given":"Paula Anne","non-dropping-particle":"","parse-names":false,"suffix":""},{"dropping-particle":"","family":"Talwar","given":"Nidhi","non-dropping-particle":"","parse-names":false,"suffix":""},{"dropping-particle":"","family":"Nan","given":"Bin","non-dropping-particle":"","parse-names":false,"suffix":""},{"dropping-particle":"","family":"Musch","given":"David C.","non-dropping-particle":"","parse-names":false,"suffix":""},{"dropping-particle":"","family":"Pasquale","given":"Louis R.","non-dropping-particle":"","parse-names":false,"suffix":""},{"dropping-particle":"","family":"Stein","given":"Joshua D.","non-dropping-particle":"","parse-names":false,"suffix":""}],"container-title":"JAMA Ophthalmology","id":"ITEM-5","issue":"3","issued":{"date-parts":[["2014"]]},"page":"298-303","title":"The potential association between postmenopausal hormone use and primary open-angle glaucoma","type":"article-journal","volume":"132"},"uris":["http://www.mendeley.com/documents/?uuid=7000f1a1-7540-47bb-9b2b-2d79bc75c398"]},{"id":"ITEM-6","itemData":{"ISSN":"1090-0535 (Electronic)","PMID":"23869166","abstract":"PURPOSE: Circulating estrogen levels are relevant in glaucoma phenotypic traits.  We assessed the association between an estrogen metabolism single nucleotide polymorphism (SNP) panel in relation to primary open angle glaucoma (POAG), accounting for gender. METHODS: We included 3,108 POAG cases and 3,430 controls of both genders from the Glaucoma Genes and Environment (GLAUGEN) study and the National Eye Institute Glaucoma Human Genetics Collaboration (NEIGHBOR) consortium genotyped on the Illumina 660W-Quad platform. We assessed the relation between the SNP panels representative of estrogen metabolism and POAG using pathway- and gene-based approaches with the Pathway Analysis by Randomization Incorporating Structure (PARIS) software. PARIS executes a permutation algorithm to assess statistical significance relative to the pathways and genes of comparable genetic architecture. These analyses were performed using the meta-analyzed results from the GLAUGEN and NEIGHBOR data sets. We evaluated POAG overall as well as two subtypes of POAG defined as intraocular pressure (IOP) ≥22 mmHg (high-pressure glaucoma [HPG]) or IOP &lt;22 mmHg (normal pressure glaucoma [NPG]) at diagnosis. We conducted these analyses for each gender separately and then jointly in men and women. RESULTS: Among women, the estrogen SNP pathway was associated with POAG overall (permuted p=0.006) and HPG (permuted p&lt;0.001) but not NPG (permuted p=0.09). Interestingly, there was no relation between the estrogen SNP pathway and POAG when men were considered alone (permuted p&gt;0.99). Among women, gene-based analyses revealed that the catechol-O-methyltransferase gene showed strong associations with HTG (permuted gene p≤0.001) and NPG (permuted gene p=0.01). CONCLUSIONS: The estrogen SNP pathway was associated with POAG among women.","author":[{"dropping-particle":"","family":"Pasquale","given":"Louis R","non-dropping-particle":"","parse-names":false,"suffix":""},{"dropping-particle":"","family":"Loomis","given":"Stephanie J","non-dropping-particle":"","parse-names":false,"suffix":""},{"dropping-particle":"","family":"Weinreb","given":"Robert N","non-dropping-particle":"","parse-names":false,"suffix":""},{"dropping-particle":"","family":"Kang","given":"Jae H","non-dropping-particle":"","parse-names":false,"suffix":""},{"dropping-particle":"","family":"Yaspan","given":"Brian L","non-dropping-particle":"","parse-names":false,"suffix":""},{"dropping-particle":"","family":"Bailey","given":"Jessica Cooke","non-dropping-particle":"","parse-names":false,"suffix":""},{"dropping-particle":"","family":"Gaasterland","given":"Douglas","non-dropping-particle":"","parse-names":false,"suffix":""},{"dropping-particle":"","family":"Gaasterland","given":"Terry","non-dropping-particle":"","parse-names":false,"suffix":""},{"dropping-particle":"","family":"Lee","given":"Richard K","non-dropping-particle":"","parse-names":false,"suffix":""},{"dropping-particle":"","family":"Scott","given":"William K","non-dropping-particle":"","parse-names":false,"suffix":""},{"dropping-particle":"","family":"Lichter","given":"Paul R","non-dropping-particle":"","parse-names":false,"suffix":""},{"dropping-particle":"","family":"Budenz","given":"Donald L","non-dropping-particle":"","parse-names":false,"suffix":""},{"dropping-particle":"","family":"Liu","given":"Yutao","non-dropping-particle":"","parse-names":false,"suffix":""},{"dropping-particle":"","family":"Realini","given":"Tony","non-dropping-particle":"","parse-names":false,"suffix":""},{"dropping-particle":"","family":"Friedman","given":"David S","non-dropping-particle":"","parse-names":false,"suffix":""},{"dropping-particle":"","family":"McCarty","given":"Catherine A","non-dropping-particle":"","parse-names":false,"suffix":""},{"dropping-particle":"","family":"Moroi","given":"Sayoko E","non-dropping-particle":"","parse-names":false,"suffix":""},{"dropping-particle":"","family":"Olson","given":"Lana","non-dropping-particle":"","parse-names":false,"suffix":""},{"dropping-particle":"","family":"Schuman","given":"Joel S","non-dropping-particle":"","parse-names":false,"suffix":""},{"dropping-particle":"","family":"Singh","given":"Kuldev","non-dropping-particle":"","parse-names":false,"suffix":""},{"dropping-particle":"","family":"Vollrath","given":"Douglas","non-dropping-particle":"","parse-names":false,"suffix":""},{"dropping-particle":"","family":"Wollstein","given":"Gadi","non-dropping-particle":"","parse-names":false,"suffix":""},{"dropping-particle":"","family":"Zack","given":"Donald J","non-dropping-particle":"","parse-names":false,"suffix":""},{"dropping-particle":"","family":"Brilliant","given":"Murray","non-dropping-particle":"","parse-names":false,"suffix":""},{"dropping-particle":"","family":"Sit","given":"Arthur J","non-dropping-particle":"","parse-names":false,"suffix":""},{"dropping-particle":"","family":"Christen","given":"William G","non-dropping-particle":"","parse-names":false,"suffix":""},{"dropping-particle":"","family":"Fingert","given":"John","non-dropping-particle":"","parse-names":false,"suffix":""},{"dropping-particle":"","family":"Kraft","given":"Peter","non-dropping-particle":"","parse-names":false,"suffix":""},{"dropping-particle":"","family":"Zhang","given":"Kang","non-dropping-particle":"","parse-names":false,"suffix":""},{"dropping-particle":"","family":"Allingham","given":"R Rand","non-dropping-particle":"","parse-names":false,"suffix":""},{"dropping-particle":"","family":"Pericak-Vance","given":"Margaret A","non-dropping-particle":"","parse-names":false,"suffix":""},{"dropping-particle":"","family":"Richards","given":"Julia E","non-dropping-particle":"","parse-names":false,"suffix":""},{"dropping-particle":"","family":"Hauser","given":"Michael A","non-dropping-particle":"","parse-names":false,"suffix":""},{"dropping-particle":"","family":"Haines","given":"Jonathan L","non-dropping-particle":"","parse-names":false,"suffix":""},{"dropping-particle":"","family":"Wiggs","given":"Janey L","non-dropping-particle":"","parse-names":false,"suffix":""}],"container-title":"Molecular vision","id":"ITEM-6","issued":{"date-parts":[["2013"]]},"language":"eng","page":"1471-1481","publisher-place":"United States","title":"Estrogen pathway polymorphisms in relation to primary open angle glaucoma: an  analysis accounting for gender from the United States.","type":"article-journal","volume":"19"},"uris":["http://www.mendeley.com/documents/?uuid=32e73c03-ff11-498d-82c0-5f059c45994f"]}],"mendeley":{"formattedCitation":"(Sator &lt;i&gt;et al.&lt;/i&gt;, 1997, 1998; Hulsman &lt;i&gt;et al.&lt;/i&gt;, 2001; Lee &lt;i&gt;et al.&lt;/i&gt;, 2003; Pasquale &lt;i&gt;et al.&lt;/i&gt;, 2013; Newman-Casey &lt;i&gt;et al.&lt;/i&gt;, 2014)","plainTextFormattedCitation":"(Sator et al., 1997, 1998; Hulsman et al., 2001; Lee et al., 2003; Pasquale et al., 2013; Newman-Casey et al., 2014)","previouslyFormattedCitation":"(Sator &lt;i&gt;et al.&lt;/i&gt;, 1997, 1998; Hulsman &lt;i&gt;et al.&lt;/i&gt;, 2001; Lee &lt;i&gt;et al.&lt;/i&gt;, 2003; Pasquale &lt;i&gt;et al.&lt;/i&gt;, 2013; Newman-Casey &lt;i&gt;et al.&lt;/i&gt;, 2014)"},"properties":{"noteIndex":0},"schema":"https://github.com/citation-style-language/schema/raw/master/csl-citation.json"}</w:instrText>
      </w:r>
      <w:r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(Sator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1997, 1998; Hulsman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2001; Lee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2003; Pasquale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2013; Newman-Casey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2014)</w:t>
      </w:r>
      <w:r w:rsidRPr="00B279FC">
        <w:rPr>
          <w:rFonts w:ascii="Times New Roman" w:hAnsi="Times New Roman" w:cs="Times New Roman"/>
          <w:sz w:val="24"/>
          <w:szCs w:val="24"/>
        </w:rPr>
        <w:fldChar w:fldCharType="end"/>
      </w:r>
      <w:r w:rsidRPr="00B279FC">
        <w:rPr>
          <w:rFonts w:ascii="Times New Roman" w:hAnsi="Times New Roman" w:cs="Times New Roman"/>
          <w:sz w:val="24"/>
          <w:szCs w:val="24"/>
        </w:rPr>
        <w:t>.</w:t>
      </w:r>
    </w:p>
    <w:p w14:paraId="20039E67" w14:textId="1C094DD9" w:rsidR="002320EC" w:rsidRPr="00B279FC"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r w:rsidRPr="00B279FC">
        <w:rPr>
          <w:rFonts w:ascii="Times New Roman" w:hAnsi="Times New Roman" w:cs="Times New Roman"/>
          <w:sz w:val="24"/>
          <w:szCs w:val="24"/>
        </w:rPr>
        <w:t>A significant majority (86.1%) of pa</w:t>
      </w:r>
      <w:r w:rsidR="00CD5258">
        <w:rPr>
          <w:rFonts w:ascii="Times New Roman" w:hAnsi="Times New Roman" w:cs="Times New Roman"/>
          <w:sz w:val="24"/>
          <w:szCs w:val="24"/>
        </w:rPr>
        <w:t xml:space="preserve">tients were diagnosed with high </w:t>
      </w:r>
      <w:r w:rsidRPr="00B279FC">
        <w:rPr>
          <w:rFonts w:ascii="Times New Roman" w:hAnsi="Times New Roman" w:cs="Times New Roman"/>
          <w:sz w:val="24"/>
          <w:szCs w:val="24"/>
        </w:rPr>
        <w:t>tension PO</w:t>
      </w:r>
      <w:r w:rsidR="00CD5258">
        <w:rPr>
          <w:rFonts w:ascii="Times New Roman" w:hAnsi="Times New Roman" w:cs="Times New Roman"/>
          <w:sz w:val="24"/>
          <w:szCs w:val="24"/>
        </w:rPr>
        <w:t xml:space="preserve">AG, while only 13.9% had normal </w:t>
      </w:r>
      <w:r w:rsidRPr="00B279FC">
        <w:rPr>
          <w:rFonts w:ascii="Times New Roman" w:hAnsi="Times New Roman" w:cs="Times New Roman"/>
          <w:sz w:val="24"/>
          <w:szCs w:val="24"/>
        </w:rPr>
        <w:t>tension POAG (NTG). This distribution may be attributed to high intraocular pressure (IOP) being the most recognized risk factor for glaucoma development and progression</w:t>
      </w:r>
      <w:r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{"citationItems":[{"id":"ITEM-1","itemData":{"DOI":"https://doi.org/10.1016/j.ophtha.2007.03.016","ISSN":"0161-6420","abstract":"Purpose To determine progression factors at the end of the Early Manifest Glaucoma Trial (EMGT) based on all EMGT patients and evaluate separately patients with higher and lower baseline intraocular pressure (IOP; median split). Design Cohort of clinical trial participants. Participants Patients with early open-angle glaucoma randomized to argon laser trabeculoplasty plus betaxolol (n = 129) or no immediate treatment (n = 126), examined every 3 months for up to 11 years. Methods Cox proportional hazard analyses, expressed by hazard ratios (HRs) and 95% confidence intervals (CIs). Main Outcome Measure Time to progression, defined by perimetric and photographic disc criteria. Results Overall progression was 67% when follow-up ended (median, 8 years). Treatment approximately halved progression risk (HR, 0.53; 95% CI, 0.39–0.72); results were similar for patients with higher and lower baseline IOP (HRs, 0.41 and 0.55). Baseline progression factors (HRs, 1.51–2.12; P&lt;0.01) were higher IOP, exfoliation, bilateral disease, and older age, as previously reported. New baseline predictors were lower ocular systolic perfusion pressure in all patients (≤160 mmHg; HR, 1.42; 95% CI, 1.04–1.94), cardiovascular disease history (HR, 2.75; 95% CI, 1.44–5.26) in patients with higher baseline IOP, and lower systolic blood pressure (BP) (≤125 mmHg; HR, 0.46; 95% CI, 0.21–1.02) in patients with lower baseline IOP. Postbaseline progression factors were IOP levels at follow-up, with 12% to 13% average increase per millimeter of mercury in all patients (HRs, 1.12–1.13 per mmHg higher) and similar results in patients with higher and lower baseline IOP (HRs, 1.15 and 1.13 per mmHg higher). Disc hemorrhages (HR, 1.02; 95% CI, 1.01–1.03 per percent higher frequency) also predicted progression. Thinner central corneal thickness (CCT) (HR, 1.25; 95% CI, 1.01–1.55 per 40 μm lower) was a new significant factor, a result observed in patients with higher baseline IOP (HR, 1.42; 95% CI, 1.05–1.92 per 40 μm lower) but not lower baseline IOP, with significant IOP–CCT interaction. Conclusions Treatment and follow-up IOP continued to have a marked influence on progression, regardless of baseline IOP. Other significant factors were age, bilaterality, exfoliation, and disc hemorrhages, as previously determined. Lower systolic perfusion pressure, lower systolic BP, and cardiovascular disease history emerged as new predictors, suggesting a vascular role in glaucoma progression. Another new factor …","author":[{"dropping-particle":"","family":"Le","given":"","non-dropping-particle":"","parse-names":false,"suffix":""}],"container-title":"Ophthalmology","id":"ITEM-1","issue":"11","issued":{"date-parts":[["2007"]]},"page":"1965-1972","title":"Predictors of Long-term Progression in the Early Manske, M Cristina Heijl, Anders Hyman, Leslie Bengtsson, Boel Dong, LiMing Yang, Zhongmingifest Glaucoma Trial","type":"article-journal","volume":"114"},"uris":["http://www.mendeley.com/documents/?uuid=161168d4-f8f2-40e3-a78f-6122e3561ded"]}],"mendeley":{"formattedCitation":"(Le, 2007)","plainTextFormattedCitation":"(Le, 2007)","previouslyFormattedCitation":"(Le, 2007)"},"properties":{"noteIndex":0},"schema":"https://github.com/citation-style-language/schema/raw/master/csl-citation.json"}</w:instrText>
      </w:r>
      <w:r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(Le, 2007)</w:t>
      </w:r>
      <w:r w:rsidRPr="00B279FC">
        <w:rPr>
          <w:rFonts w:ascii="Times New Roman" w:hAnsi="Times New Roman" w:cs="Times New Roman"/>
          <w:sz w:val="24"/>
          <w:szCs w:val="24"/>
        </w:rPr>
        <w:fldChar w:fldCharType="end"/>
      </w:r>
      <w:r w:rsidRPr="00B279FC">
        <w:rPr>
          <w:rFonts w:ascii="Times New Roman" w:hAnsi="Times New Roman" w:cs="Times New Roman"/>
          <w:sz w:val="24"/>
          <w:szCs w:val="24"/>
        </w:rPr>
        <w:t xml:space="preserve">, </w:t>
      </w:r>
      <w:r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{"citationItems":[{"id":"ITEM-1","itemData":{"DOI":"10.1177/112067211002000209","ISSN":"1120-6721 (Print)","PMID":"19882542","abstract":"PURPOSE: To determine the incidence of progression of primary open-angle glaucoma  at individual levels of mean intraocular pressure (IOP) in patients in Ethiopia. METHODS: A retrospective, multicenter, cohort analysis of patient records with at least 5 years of potential follow-up were evaluated for risk factors associated with progressive optic disc and visual field loss. RESULTS: There were 300 patients with the potential of 5 years of follow-up. In total, 166 patients progressed before 5 years and 134 remained stable for the full 5-year follow-up period. Of the total sample, 84% of patients with IOPs &lt; or =19 (n=117/139), 53% of patients with IOPs of 20 (n=9/17), 14% of patients with IOPs of 21-24 (n=9/63), and 0% of the patients with IOPs of &gt; or =25 mmHg (n=0/79) remained stable over at least 5 years. The mean IOP was 17.4+/-2.1 in the stable group and 25.0+/-5.9 mmHg in the progressed group (p&lt;0.0001). The highest average peak IOP was 24.5+/-4.5 in the stable group and 29.0+/-6.1 mmHg in the progressed group (p&lt;0.0001). A multivariant regression analysis to determine risk factors for progression was positive for mean IOP (p=0.0097). CONCLUSIONS: This study suggests that IOP reduction in a developing country, despite potential limitations in diagnostic techniques, follow-up, and compliance, can be effective in reducing the risk of glaucomatous progression over long-term follow-up.","author":[{"dropping-particle":"","family":"Alemu","given":"Abiye M","non-dropping-particle":"","parse-names":false,"suffix":""},{"dropping-particle":"","family":"Kristoffersen","given":"Caroline J","non-dropping-particle":"","parse-names":false,"suffix":""},{"dropping-particle":"","family":"Kristoffersen","given":"Michael S","non-dropping-particle":"","parse-names":false,"suffix":""},{"dropping-particle":"","family":"Stewart","given":"Jeanette A","non-dropping-particle":"","parse-names":false,"suffix":""},{"dropping-particle":"","family":"Stewart","given":"William C","non-dropping-particle":"","parse-names":false,"suffix":""}],"container-title":"European journal of ophthalmology","id":"ITEM-1","issue":"2","issued":{"date-parts":[["2010"]]},"language":"eng","page":"310-315","publisher-place":"United States","title":"Long-term benefit of reduced intraocular pressure in primary open-angle glaucoma  patients in Ethiopia.","type":"article-journal","volume":"20"},"uris":["http://www.mendeley.com/documents/?uuid=be67e161-3ed8-441d-8507-a2e246655391"]},{"id":"ITEM-2","itemData":{"ISSN":"0007-1161","author":[{"dropping-particle":"","family":"Wang","given":"Ya X","non-dropping-particle":"","parse-names":false,"suffix":""},{"dropping-particle":"","family":"Hu","given":"Lian N","non-dropping-particle":"","parse-names":false,"suffix":""},{"dropping-particle":"","family":"Yang","given":"Hua","non-dropping-particle":"","parse-names":false,"suffix":""},{"dropping-particle":"","family":"Jonas","given":"Jost B","non-dropping-particle":"","parse-names":false,"suffix":""},{"dropping-particle":"","family":"Xu","given":"Liang","non-dropping-particle":"","parse-names":false,"suffix":""}],"container-title":"British journal of ophthalmology","id":"ITEM-2","issue":"6","issued":{"date-parts":[["2012"]]},"page":"811-815","publisher":"BMJ Publishing Group Ltd","title":"Frequency and associated factors of structural progression of open-angle glaucoma in the Beijing Eye Study","type":"article-journal","volume":"96"},"uris":["http://www.mendeley.com/documents/?uuid=ee6a93e0-79ba-4abd-a3f0-a68477ef0ab1"]},{"id":"ITEM-3","itemData":{"author":[{"dropping-particle":"","family":"Kocatürk","given":"Tolga","non-dropping-particle":"","parse-names":false,"suffix":""},{"dropping-particle":"","family":"Bekmez","given":"Sinan","non-dropping-particle":"","parse-names":false,"suffix":""},{"dropping-particle":"","family":"Katrancı","given":"Merve","non-dropping-particle":"","parse-names":false,"suffix":""},{"dropping-particle":"","family":"Çakmak","given":"Harun","non-dropping-particle":"","parse-names":false,"suffix":""},{"dropping-particle":"","family":"Dayanır","given":"Volkan","non-dropping-particle":"","parse-names":false,"suffix":""}],"container-title":"The Open Ophthalmology Journal","id":"ITEM-3","issued":{"date-parts":[["2015"]]},"page":"116","publisher":"Bentham Science Publishers","title":"Long term results of visual field progression analysis in open angle glaucoma patients under treatment","type":"article-journal","volume":"9"},"uris":["http://www.mendeley.com/documents/?uuid=0f90aff3-bf16-449c-be49-d0b0f6d101da"]},{"id":"ITEM-4","itemData":{"ISSN":"24574325","PMID":"29450344","abstract":"Aim: Investigation of perimetric progression rate and associated risk factors in open angle glaucoma, in clinical practice. Methods: Retrospective study based on clinical charts reviews of patients with primary open angle glaucoma (POAG) being followed for &gt; 5 years with &gt;/ = 5 SITA Standard visual fields. Demographics, visual acuity (VA), central corneal thickness (CCT), intraocular pressure (IOP) and IOP variation, treatment (number of medications), visual fields and associated systemic pathologies were recorded. Patients were followed at every 3-6 months, when identical tests were performed. VF progression rate was calculated as slope of mean deviation (MD) over time by Glaucoma Progression Analysis software. Results: 121 eyes of 121 patients with POAG were included in the study and were followed for a mean period of 68.81 months (SD +/ - 31.7). The mean MD at start was -3.55 dB (SD +/ -5.19)., with a mean number of VF tests of 9.3+/ -2.9. Progression rate reached -0.21 +/ -0.1 db/ year. Mean IOP of all visits decreased over time from 18.20 mmHg to 16.53 mmHg (p&lt;0.05). Systemic factors like positive history of hypertension reached statistical relevance in terms of increased risk for glaucoma progression, but only after age and sex were corrected. MD slope was explained in ANOVA univariate analysis, by the level of MD at baseline, IOP baseline, number of topical medications and CCT in a proportion equal to 71.7% (p=0.004). Conclusion: Rate of visual field changes in POAG was correlated and dependent on the baseline MD level, IOP at baseline, number of topical medications and a thin CCT.","author":[{"dropping-particle":"","family":"Pantalon","given":"Anca Delia","non-dropping-particle":"","parse-names":false,"suffix":""},{"dropping-particle":"","family":"Feraru","given":"Crenguţa","non-dropping-particle":"","parse-names":false,"suffix":""},{"dropping-particle":"","family":"Chiseliţă","given":"Dorin","non-dropping-particle":"","parse-names":false,"suffix":""}],"container-title":"Romanian journal of ophthalmology","id":"ITEM-4","issue":"3","issued":{"date-parts":[["2016"]]},"page":"174-180","title":"Risk factors and long term progression in open angle glaucoma patients","type":"article","volume":"60"},"uris":["http://www.mendeley.com/documents/?uuid=49dc0df0-82ed-4f26-94b2-70979d0eee59"]},{"id":"ITEM-5","itemData":{"DOI":"10.1080/09286586.2016.1193207","ISSN":"17445086","PMID":"27348239","abstract":"Purpose: To determine the risk factors associated with progression to blindness from primary open-angle glaucoma (POAG) in an African-American population. Methods: This study examined 2119 patients enrolled in the Primary Open-Angle African-American Glaucoma Genetics (POAAGG) study. A total of 59 eyes were identified as legally blind as a result of POAG (cases) and were age-and sex-matched to 59 non-blind eyes with glaucoma (controls). Chart reviews were performed to record known and suspected risk factors. Results: Cases were diagnosed with POAG at an earlier age than controls (p = 0.005). Of the 59 eyes of cases, 16 eyes (27.1%) presented with blindness at diagnosis. Cases had worse visual acuity (VA) at diagnosis (p &lt; 0.0001), with VA worse than 20/40 conferring a 27 times higher risk of progression to blindness (p = 0.0005). Blind eyes also demonstrated more visual field defects (p = 0.01), higher pre-treatment intraocular pressure (IOP; p &lt; 0.0001), and higher cup-to-disc ratio (p = 0.006) at diagnosis. IOP was less controlled in cases, and those with IOP ≥21 mmHg at more than 20% of follow-up visits were 73 times more likely to become blind (p &lt; 0.0001). Cases missed a greater number of appointments per year (p = 0.003) and had non-adherence issues noted in their charts more often than controls (p = 0.03). However, other compliance data did not significantly differ between groups. Conclusion: Access to care, initial VA worse than 20/40, and poor control of IOP were the major risk factors associated with blindness from POAG. Future studies should examine earlier, more effective approaches to glaucoma screening as well as the role of genetics in these significantly younger patients who progress to blindness.","author":[{"dropping-particle":"","family":"Pleet","given":"Alexander","non-dropping-particle":"","parse-names":false,"suffix":""},{"dropping-particle":"","family":"Sulewski","given":"Melanie","non-dropping-particle":"","parse-names":false,"suffix":""},{"dropping-particle":"","family":"Salowe","given":"Rebecca J.","non-dropping-particle":"","parse-names":false,"suffix":""},{"dropping-particle":"","family":"Fertig","given":"Raymond","non-dropping-particle":"","parse-names":false,"suffix":""},{"dropping-particle":"","family":"Salinas","given":"Julia","non-dropping-particle":"","parse-names":false,"suffix":""},{"dropping-particle":"","family":"Rhodes","given":"Allison","non-dropping-particle":"","parse-names":false,"suffix":""},{"dropping-particle":"","family":"Merritt","given":"William","non-dropping-particle":"","parse-names":false,"suffix":""},{"dropping-particle":"","family":"Natesh","given":"Vikas","non-dropping-particle":"","parse-names":false,"suffix":""},{"dropping-particle":"","family":"Huang","given":"Jiayan","non-dropping-particle":"","parse-names":false,"suffix":""},{"dropping-particle":"V.","family":"Gudiseva","given":"Harini","non-dropping-particle":"","parse-names":false,"suffix":""},{"dropping-particle":"","family":"Collins","given":"David W.","non-dropping-particle":"","parse-names":false,"suffix":""},{"dropping-particle":"","family":"Chavali","given":"Venkata Ramana Murthy","non-dropping-particle":"","parse-names":false,"suffix":""},{"dropping-particle":"","family":"Tapino","given":"Paul","non-dropping-particle":"","parse-names":false,"suffix":""},{"dropping-particle":"","family":"Lehman","given":"Amanda","non-dropping-particle":"","parse-names":false,"suffix":""},{"dropping-particle":"","family":"Regina-Gigiliotti","given":"Meredith","non-dropping-particle":"","parse-names":false,"suffix":""},{"dropping-particle":"","family":"Miller-Ellis","given":"Eydie","non-dropping-particle":"","parse-names":false,"suffix":""},{"dropping-particle":"","family":"Sankar","given":"Prithvi","non-dropping-particle":"","parse-names":false,"suffix":""},{"dropping-particle":"","family":"Ying","given":"Gui Shuang","non-dropping-particle":"","parse-names":false,"suffix":""},{"dropping-particle":"","family":"O’Brien","given":"Joan M.","non-dropping-particle":"","parse-names":false,"suffix":""}],"container-title":"Ophthalmic Epidemiology","id":"ITEM-5","issue":"4","issued":{"date-parts":[["2016"]]},"page":"248-256","title":"Risk Factors Associated with Progression to Blindness from Primary Open-Angle Glaucoma in an African-American Population","type":"article-journal","volume":"23"},"uris":["http://www.mendeley.com/documents/?uuid=db87eea0-8c52-4414-b75c-50ce79b24ac0"]},{"id":"ITEM-6","itemData":{"DOI":"10.2174/1874364101610010129","ISSN":"1874-3641 (Print)","PMID":"27347249","abstract":"PURPOSE: Aim of this retrospective, observational study is to describe features  of a population sample, affected by primary open angle glaucoma (POAG) in order to evaluate damage progression on the basis of the emerged individual risk factors. METHODS: We included 190 caucasian patients (377 eyes), evaluating relationship between individual risk factors (explicative variables) and MD (Mean Deviation) of standard automated perimetry. We also considered the dependent variable NFI (Neural Fiber Index) of GDx scanning laser polarimetry. Progression has been evaluated through a statistic General Linear Model on four follow up steps (mean follow up 79 months). RESULTS: Factors reaching statistical significance, determining a worsening of the MD variable, are: age (P&lt;0.0001), intraocular pressure (IOP) at follow up (P &lt; 0.0001), female gender (P&lt;0.0001), hypertension (P&lt; 0.0001) and familiarity (P = 0.0006). Factors reaching statistical significance, determining a worsening of the NFI variable, are only IOP at follow up (P = 0.0159) and depression (P = 0.0104). CONCLUSION: Results of this study confirm and enforce data coming from most recent studies: IOP remains the main risk factor for glaucoma assess and progression; age and familiarity are great risk factors as underlined in the last decades; female sex can be an important risk factors as emerged only in the last years; arterial hypertension should always be evaluated in timing of our clinic follow up.","author":[{"dropping-particle":"","family":"Actis","given":"A G","non-dropping-particle":"","parse-names":false,"suffix":""},{"dropping-particle":"","family":"Versino","given":"E","non-dropping-particle":"","parse-names":false,"suffix":""},{"dropping-particle":"","family":"Brogliatti","given":"B","non-dropping-particle":"","parse-names":false,"suffix":""},{"dropping-particle":"","family":"Rolle","given":"T","non-dropping-particle":"","parse-names":false,"suffix":""}],"container-title":"The open ophthalmology journal","id":"ITEM-6","issued":{"date-parts":[["2016"]]},"language":"eng","page":"129-139","publisher-place":"Netherlands","title":"Risk Factors for Primary Open Angle Glaucoma (POAG) Progression: A Study Ruled in  Torino.","type":"article-journal","volume":"10"},"uris":["http://www.mendeley.com/documents/?uuid=7286cbe5-301b-4ab4-90a5-a88795339c21"]},{"id":"ITEM-7","itemData":{"DOI":"10.1016/j.ajo.2019.06.019","ISSN":"18791891","PMID":"31238025","abstract":"Purpose: To identify baseline and longitudinal risk factors for fast visual field (VF) decay in patients with open-angle glaucoma. Design: Retrospective cohort study. Methods: Patients with open-angle glaucoma with ≥6 VFs and ≥4 years of follow-up were included. VF decay rates were measured with the following methods: mean deviation (MD) rate, VF index (VFI) rate, and the Glaucoma Rate Index (GRI). The relationship between VF rates and clinical variables were investigated with linear mixed models. Logistic regression analysis was performed to determine which factors were associated with fast progression. Results: A total of 1317 eyes of 745 patients with a mean (± SD) age of 63.3 (±10.9) years and a median (interquartile range) MD −2.4 (−0.7 to −5.6) dB at baseline were analyzed. The median (interquartile range) number of VFs was 12 (9 to 16), and mean follow-up duration was 11.5 (±3.7) years. Older age (P &lt; .001), higher peak intraocular pressure (IOP) (P &lt; .001), and glaucoma surgery during the study period (P &lt; .001) were associated with faster rates of progression regardless of the method used. Worse baseline MD was associated with MD rate (P = .02), but neither with VFI rate (P = .37) nor GRI (P = .31); whereas pseudoexfoliative glaucoma was associated with faster rates of progression with MD (P = .008) and VFI (P = .01) rates, but not with GRI. Higher peak IOPs (P = .005) was a significant predictor for fast progression. Conclusion: In this cohort, older age, peak IOP, pseudoexfoliative glaucoma, and baseline MD were associated with the rate of glaucomatous VF worsening. Fast progressors had a higher peak IOP than non–fast progressors. The identification and appropriately aggressive treatment of fast progressors would reduce visual disability from glaucoma.","author":[{"dropping-particle":"","family":"Kim","given":"Ji Hyun","non-dropping-particle":"","parse-names":false,"suffix":""},{"dropping-particle":"","family":"Rabiolo","given":"Alessandro","non-dropping-particle":"","parse-names":false,"suffix":""},{"dropping-particle":"","family":"Morales","given":"Esteban","non-dropping-particle":"","parse-names":false,"suffix":""},{"dropping-particle":"","family":"Yu","given":"Fei","non-dropping-particle":"","parse-names":false,"suffix":""},{"dropping-particle":"","family":"Afifi","given":"Abdelmonem A.","non-dropping-particle":"","parse-names":false,"suffix":""},{"dropping-particle":"","family":"Nouri-Mahdavi","given":"Kouros","non-dropping-particle":"","parse-names":false,"suffix":""},{"dropping-particle":"","family":"Caprioli","given":"Joseph","non-dropping-particle":"","parse-names":false,"suffix":""}],"container-title":"American Journal of Ophthalmology","id":"ITEM-7","issued":{"date-parts":[["2019"]]},"page":"268-278","publisher":"Elsevier Inc.","title":"Risk Factors for Fast Visual Field Progression in Glaucoma","type":"article-journal","volume":"207"},"uris":["http://www.mendeley.com/documents/?uuid=de61a9af-d157-40fe-84a2-e50ab34ddb92"]},{"id":"ITEM-8","itemData":{"DOI":"10.4103/ssajm.ssajm_28_18","abstract":"\n&lt;b&gt;Introduction:&lt;/b&gt; Glaucoma is a blinding eye disease, the hallmark of which is elevation of intraocular pressure (IOP). Glaucoma is nearly impossible to diagnose and treat without expensive equipment and IOP reduction, respectively. Hence, the need for a biomarker is an aid in diagnosis and an alternative treatment option to IOP reduction. Brain-derived neurotrophic factor (BDNF) may serve as both a biomarker and a therapeutic option. However, the exact role of BDNF and its dynamics during glaucoma is not well demonstrated, especially in a Sub-Saharan African population. This study, therefore, examines the serum levels of BDNF and its relationship with IOP. &lt;b&gt;Patients and Methods:&lt;/b&gt; Intraocular pressure (IOP) and serum BDNF were measured in 44 glaucoma patients and 41 controls. &lt;b&gt;Results:&lt;/b&gt; Glaucoma patients had higher IOP compared to controls. They also had higher BDNF (2.578&amp;#8201;&amp;#177;&amp;#8201;0.210) compared to controls (1.745&amp;#8201;&amp;#177;&amp;#8201;0.111). Glaucoma patients on medications had higher BDNF (3.086&amp;#8201;&amp;#177;&amp;#8201;0.180) compared to those not on medications (0.605&amp;#8201;&amp;#177;&amp;#8201;0.116). Serum BDNF significantly correlated with IOP. &lt;b&gt;Conclusion:&lt;/b&gt; In conclusion, glaucoma patients have higher IOP and serum BDNF concentrations compared to nonglaucoma controls. IOP negatively correlates with serum BDNF in patients with glaucoma. Untreated glaucoma appears to decrease serum levels of BDNF, whereas treatment of the condition increases it. Serum BDNF may serve as a potential therapeutic target and useful diagnostic and monitoring tool in the management of glaucoma.\n","author":[{"dropping-particle":"","family":"Yarube","given":"Isyaku","non-dropping-particle":"","parse-names":false,"suffix":""},{"dropping-particle":"","family":"Saidu","given":"Ahmed","non-dropping-particle":"","parse-names":false,"suffix":""},{"dropping-particle":"","family":"Hassan","given":"Sadiq","non-dropping-particle":"","parse-names":false,"suffix":""}],"container-title":"Sub-Saharan African Journal of Medicine","id":"ITEM-8","issue":"1","issued":{"date-parts":[["2019","1","1"]]},"page":"10-15","title":"Intraocular pressure negatively correlates with serum brain-derived neurotrophic factor in patients with primary open-angle glaucoma","type":"article-journal","volume":"6"},"uris":["http://www.mendeley.com/documents/?uuid=be7c9aae-6e2f-424a-a926-69f260dd76d2"]},{"id":"ITEM-9","itemData":{"DOI":"10.1136/bmjophth-2022-001120","ISSN":"23973269","abstract":"Background/aims To investigate the rates of structural and functional progression of primary open-angle glaucoma in an African ancestry cohort and identify risk factors for progression. Methods This retrospective study included 1424 eyes from glaucoma cases in the Primary Open-Angle African American Glaucoma Genetics cohort, with ≥2 visits for retinal nerve fibre layer (RNFL) thickness and mean deviation (MD) measurements over ≥6-month follow-up. The rates of structural progression (change in RNFL thickness/year) and functional progression (change in MD/year) were calculated from linear mixed effects models, accounting for intereye correlation and longitudinal correlation. Eyes were categorised as slow, moderate or fast progressors. Risk factors for progression rates were assessed using univariable and multivariable regression models. Results The median (interquartile) rates of progression were -1.60 (-2.05 to -1.15) μm/year for RNFL thickness and -0.40 (-0.44 to -0.34) decibels/year for MD. Eyes were categorised as slow (structural: 19%, functional: 88%), moderate (structural: 54%, functional: 11%) and fast (structural: 27%, functional: 1%) progressors. In multivariable analysis, faster RNFL progression was independently associated with thicker baseline RNFL (p&lt;0.0001), lower baseline MD (p=0.003) and beta peripapillary atrophy (p=0.03). Faster MD progression was independently associated with higher baseline MD (p&lt;0.0001), larger cup-to-disc ratios (p=0.02) and lower body mass index (p=0.0004). Conclusion The median rates of structural and functional progression in this African ancestry cohort were faster than the rates reported from previously published studies in other ethnic groups. Higher baseline RNFL thickness and MD values were associated with faster progression rates. Results highlight the importance of monitoring structural and functional glaucoma progression to provide timely treatment in early disease.","author":[{"dropping-particle":"","family":"Salowe","given":"Rebecca J.","non-dropping-particle":"","parse-names":false,"suffix":""},{"dropping-particle":"","family":"Chen","given":"Yineng","non-dropping-particle":"","parse-names":false,"suffix":""},{"dropping-particle":"","family":"Zenebe-Gete","given":"Selam","non-dropping-particle":"","parse-names":false,"suffix":""},{"dropping-particle":"","family":"Lee","given":"Roy","non-dropping-particle":"","parse-names":false,"suffix":""},{"dropping-particle":"V.","family":"Gudiseva","given":"Harini","non-dropping-particle":"","parse-names":false,"suffix":""},{"dropping-particle":"","family":"Rosa","given":"Isabel","non-dropping-particle":"Di","parse-names":false,"suffix":""},{"dropping-particle":"","family":"Ross","given":"Ahmara G.","non-dropping-particle":"","parse-names":false,"suffix":""},{"dropping-particle":"","family":"Cui","given":"Qi N.","non-dropping-particle":"","parse-names":false,"suffix":""},{"dropping-particle":"","family":"Miller-Ellis","given":"Eydie","non-dropping-particle":"","parse-names":false,"suffix":""},{"dropping-particle":"","family":"Addis","given":"Victoria","non-dropping-particle":"","parse-names":false,"suffix":""},{"dropping-particle":"","family":"Sankar","given":"Prithvi S.","non-dropping-particle":"","parse-names":false,"suffix":""},{"dropping-particle":"","family":"Daniel","given":"Ebenezer","non-dropping-particle":"","parse-names":false,"suffix":""},{"dropping-particle":"","family":"Ying","given":"Gui Shuang","non-dropping-particle":"","parse-names":false,"suffix":""},{"dropping-particle":"","family":"O'Brien","given":"Joan M.","non-dropping-particle":"","parse-names":false,"suffix":""}],"container-title":"BMJ Open Ophthalmology","id":"ITEM-9","issue":"1","issued":{"date-parts":[["2023"]]},"page":"1-9","title":"Risk factors for structural and functional progression of primary open-angle glaucoma in an African ancestry cohort","type":"article-journal","volume":"8"},"uris":["http://www.mendeley.com/documents/?uuid=6aeacafa-e8ec-4f83-b56b-f8494bdb2e0b"]}],"mendeley":{"formattedCitation":"(Alemu &lt;i&gt;et al.&lt;/i&gt;, 2010; Wang &lt;i&gt;et al.&lt;/i&gt;, 2012; Kocatürk &lt;i&gt;et al.&lt;/i&gt;, 2015; Actis &lt;i&gt;et al.&lt;/i&gt;, 2016; Pantalon, Feraru and Chiseliţă, 2016; Pleet &lt;i&gt;et al.&lt;/i&gt;, 2016; Kim &lt;i&gt;et al.&lt;/i&gt;, 2019; Yarube, Saidu and Hassan, 2019; Salowe &lt;i&gt;et al.&lt;/i&gt;, 2023)","plainTextFormattedCitation":"(Alemu et al., 2010; Wang et al., 2012; Kocatürk et al., 2015; Actis et al., 2016; Pantalon, Feraru and Chiseliţă, 2016; Pleet et al., 2016; Kim et al., 2019; Yarube, Saidu and Hassan, 2019; Salowe et al., 2023)","previouslyFormattedCitation":"(Alemu &lt;i&gt;et al.&lt;/i&gt;, 2010; Wang &lt;i&gt;et al.&lt;/i&gt;, 2012; Kocatürk &lt;i&gt;et al.&lt;/i&gt;, 2015; Actis &lt;i&gt;et al.&lt;/i&gt;, 2016; Pantalon, Feraru and Chiseliţă, 2016; Pleet &lt;i&gt;et al.&lt;/i&gt;, 2016; Kim &lt;i&gt;et al.&lt;/i&gt;, 2019; Yarube, Saidu and Hassan, 2019; Salowe &lt;i&gt;et al.&lt;/i&gt;, 2023)"},"properties":{"noteIndex":0},"schema":"https://github.com/citation-style-language/schema/raw/master/csl-citation.json"}</w:instrText>
      </w:r>
      <w:r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(Alemu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2010; Wang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2012; Kocatürk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2015; Actis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2016; Pantalon, Feraru and Chiseliţă, 2016; Pleet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2016; Kim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2019; Yarube, Saidu and Hassan, 2019; Salowe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2023)</w:t>
      </w:r>
      <w:r w:rsidRPr="00B279FC">
        <w:rPr>
          <w:rFonts w:ascii="Times New Roman" w:hAnsi="Times New Roman" w:cs="Times New Roman"/>
          <w:sz w:val="24"/>
          <w:szCs w:val="24"/>
        </w:rPr>
        <w:fldChar w:fldCharType="end"/>
      </w:r>
      <w:r w:rsidR="00AB346D">
        <w:rPr>
          <w:rFonts w:ascii="Times New Roman" w:hAnsi="Times New Roman" w:cs="Times New Roman"/>
          <w:sz w:val="24"/>
          <w:szCs w:val="24"/>
        </w:rPr>
        <w:t xml:space="preserve">. </w:t>
      </w:r>
      <w:r w:rsidRPr="00B279FC">
        <w:rPr>
          <w:rFonts w:ascii="Times New Roman" w:hAnsi="Times New Roman" w:cs="Times New Roman"/>
          <w:sz w:val="24"/>
          <w:szCs w:val="24"/>
        </w:rPr>
        <w:t>Similarly, other studies have reported lower NTG prevalence, ranging from 12% to 26%</w:t>
      </w:r>
      <w:r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{"citationItems":[{"id":"ITEM-1","itemData":{"abstract":"Purpose: To study the frequency of normal-tension glaucoma (NTG) in suspected cases of primary open angle glaucoma (POAG). Materials and Methods: A descriptive cross-sectional study was done of 150 patients who attended the glaucoma clinic during one year from January 2005 to January 2006. A detailed history was obtained and a thorough ophthalmic examination was performed, including gonioscopy, ophthalmoscopy, applanation tonometery and automated perimetery. Results: Out of 150 patients of POAG 33 patients (22%) were found to have NTG with mean age 56 ±9.21 years. Mean age of POAG group was 52.5% (±8.7). Of the 33 cases of normal-tension glaucoma 22 patients (66.6%) were male and 11 cases (33.4%) were female, while in POAG 82(70%) were male and 35 (30%) were female. Family history of glaucoma was positive in 42% of NTG cases and 32% of POAG. 82% of NTG and 79.4% of HTPOAG population were ametropic, with mean cup-to-disc ratio 0.5 ±0.24 and mean IOP was 15.13 ± 3.60 mmHg in NTG and 28 mmHg (±6.5), 0.46 (±0.22) in POAG. Maximum IOP in NTG group was 21 mmHg and minimum IOP was observed as 08 mmHg, while these values observed as 50 mmHg and 10 mmHg respectively in POAG. Decreased vision was main complaint of NTG patients, headache was observed in maximum number of POAG patients.","author":[{"dropping-particle":"","family":"Majeed","given":"Farrukh","non-dropping-particle":"","parse-names":false,"suffix":""},{"dropping-particle":"","family":"Tauheed","given":"Shoaib","non-dropping-particle":"","parse-names":false,"suffix":""},{"dropping-particle":"","family":"Aamir","given":"Iram Saddiqa","non-dropping-particle":"","parse-names":false,"suffix":""},{"dropping-particle":"","family":"Atif","given":"Alina","non-dropping-particle":"","parse-names":false,"suffix":""},{"dropping-particle":"","family":"Majeed","given":"Rehana","non-dropping-particle":"","parse-names":false,"suffix":""}],"container-title":"Pakistan Journal of Ophthalmology","id":"ITEM-1","issue":"4","issued":{"date-parts":[["2007"]]},"page":"192-197","title":"Frequency of Normal-Tension Glaucoma in Suspected Cases of Primary Open Angle Glaucoma","type":"article-journal","volume":"23"},"uris":["http://www.mendeley.com/documents/?uuid=9c950b07-a809-4ec1-bd47-b946500ff092"]}],"mendeley":{"formattedCitation":"(Majeed &lt;i&gt;et al.&lt;/i&gt;, 2007)","plainTextFormattedCitation":"(Majeed et al., 2007)","previouslyFormattedCitation":"(Majeed &lt;i&gt;et al.&lt;/i&gt;, 2007)"},"properties":{"noteIndex":0},"schema":"https://github.com/citation-style-language/schema/raw/master/csl-citation.json"}</w:instrText>
      </w:r>
      <w:r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(Majeed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2007)</w:t>
      </w:r>
      <w:r w:rsidRPr="00B279FC">
        <w:rPr>
          <w:rFonts w:ascii="Times New Roman" w:hAnsi="Times New Roman" w:cs="Times New Roman"/>
          <w:sz w:val="24"/>
          <w:szCs w:val="24"/>
        </w:rPr>
        <w:fldChar w:fldCharType="end"/>
      </w:r>
      <w:r w:rsidRPr="00B279FC">
        <w:rPr>
          <w:rFonts w:ascii="Times New Roman" w:hAnsi="Times New Roman" w:cs="Times New Roman"/>
          <w:sz w:val="24"/>
          <w:szCs w:val="24"/>
        </w:rPr>
        <w:t xml:space="preserve">, </w:t>
      </w:r>
      <w:r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{"citationItems":[{"id":"ITEM-1","itemData":{"DOI":"10.1016/j.jcjo.2012.03.031","ISSN":"17153360","abstract":"Objective: To evaluate the severity of glaucoma at presentation and the relationship to referral source and presenting symptoms. Design: Prospective, multicentre, cross-sectional, study. Participants: Patients newly diagnosed with ocular hypertension (OH) or open-angle glaucoma (OAG). Methods: Eligible subjects underwent comprehensive ocular examinations, including medical histories and presenting symptoms. The referral source was also documented. Patients were classified as OH or mild, moderate, or advanced OAG. The proportion of subjects in each disease category was determined and compared for differences in demographics, ocular findings, referral sources, and presenting symptoms. Results: We enrolled 404 subjects; 113 (28%) were diagnosed as having OH and 291 (72%) as having OAG. In the OAG group 151 (52%) had mild, 79 (27%) moderate, and 61 (21%) advanced disease at initial diagnosis. The majority of the referrals were from optometrists (82%), followed by family physicians (7%) and ophthalmologists (7%). Referral patterns and presenting symptoms were significantly different for advanced disease as compared to the other severity levels (p = 0.03 and p 0 .003, respectively). In more than half of the patients, the referral was made because of an abnormality noted by the referring source in an asymptomatic subject. Visual symptoms noted by the subject were more common in advanced OAG (23%) as compared to OH (9%), mild (4%), and moderate (9%) OAG. Conclusions: Nearly half of the patients with OAG had moderate or advanced disease at the time of initial diagnosis. Although optometrists were responsible for the majority of the referrals, the proportion was significantly less for advanced disease. These results raise the possibility of suboptimal detection services for glaucoma. © 2012 Canadian Ophthalmological Society.","author":[{"dropping-particle":"","family":"Buys","given":"Yvonne M.","non-dropping-particle":"","parse-names":false,"suffix":""},{"dropping-particle":"","family":"Gaspo","given":"Rania","non-dropping-particle":"","parse-names":false,"suffix":""},{"dropping-particle":"","family":"Kwok","given":"Kenneth","non-dropping-particle":"","parse-names":false,"suffix":""}],"container-title":"Canadian Journal of Ophthalmology","id":"ITEM-1","issue":"3","issued":{"date-parts":[["2012"]]},"page":"217-222","publisher":"Elsevier","title":"Referral source, symptoms, and severity at diagnosis of ocular hypertension or open-angle glaucoma in various practices","type":"article-journal","volume":"47"},"uris":["http://www.mendeley.com/documents/?uuid=c2e7803e-5fbf-4b6b-b2a2-a1464cb45994"]},{"id":"ITEM-2","itemData":{"DOI":"10.5301/ejo.5000516","ISSN":"11206721","PMID":"25198170","abstract":"Purpose: To compare ocular findings in eyes with primary open-angle glaucoma (POAG) and exfoliation glaucoma (EG) at the time of diagnosis when identical diagnostic criteria for glaucoma were applied. Methods: We conducted a study on records of 519 consecutive, unselected patients with chronic glaucoma filing for cost-free medication from the Finnish National Social Insurance Institute (FSII). Fourteen cases were excluded for having other types of glaucoma. The documents were provided by eye hospitals or by licensed ophthalmologists. The criteria for glaucoma were set by the Parliament of Finland and applied by FSII. A total of 329 patients had POAG and 176 had EG. The main outcome measures were best-corrected visual acuity (BCVA), intraocular pressure (IOP), cup-to-disc ratio of the optic nerve head (C/D), and glaucomatous changes of the visual fields (VF). Results: As regards sex, the 2 groups were comparable: 66% female with POAG and 68% with EG. The EG patients were older (mean ± SD 74 ± 8.6 years) vs POAG (68 ± 11.4 years). The EG eyes had slightly lower BCVA. The POAG eyes had mean intraocular pressure (IOP) 24 ± 5.4 mm Hg. A total of 12% in this group had highest IOP of less than 18 mm Hg (low-tension glaucoma [LTG]) but there were none of EG. All EG eyes had a mean IOP 28.3 ± 9.3 mm Hg. Among EG patients, 26% had unilateral disease, with a mean IOP of 33.7 ± 8.7 mm Hg, while the opposite eyes had a mean of 19 ± 3 mm Hg. There was not much difference in the C/D ratios of POAG and EG eyes and the VF profiles were similar. Conclusions: At diagnosis, patients with EG were older than those with POAG and had higher mean IOP values. Among patients with POAG, there were 12% with LTG, but none among EG. A total of 26% among EG had unilateral disease with marked IOP asymmetry. The C/D and VF profiles were similar because the patients had been seen early in the disease course. Early recognition and lifelong most effective therapy of EG are strongly advocated.","author":[{"dropping-particle":"","family":"Tarkkanen","given":"Ahti H.A.","non-dropping-particle":"","parse-names":false,"suffix":""},{"dropping-particle":"","family":"Kivelä","given":"Tero T.","non-dropping-particle":"","parse-names":false,"suffix":""}],"container-title":"European Journal of Ophthalmology","id":"ITEM-2","issue":"2","issued":{"date-parts":[["2014"]]},"page":"137-139","title":"Comparison of primary open-angle glaucoma and exfoliation glaucoma at diagnosis","type":"article-journal","volume":"25"},"uris":["http://www.mendeley.com/documents/?uuid=38c690b9-60ae-4939-9fdc-44e259ae85d8"]},{"id":"ITEM-3","itemData":{"ISSN":"1552-5783","author":[{"dropping-particle":"","family":"Chen","given":"Yuhong","non-dropping-particle":"","parse-names":false,"suffix":""},{"dropping-particle":"","family":"Hughes","given":"Guy","non-dropping-particle":"","parse-names":false,"suffix":""},{"dropping-particle":"","family":"Chen","given":"Xueli","non-dropping-particle":"","parse-names":false,"suffix":""},{"dropping-particle":"","family":"Qian","given":"Shaohong","non-dropping-particle":"","parse-names":false,"suffix":""},{"dropping-particle":"","family":"Cao","given":"Wenjun","non-dropping-particle":"","parse-names":false,"suffix":""},{"dropping-particle":"","family":"Wang","given":"Li","non-dropping-particle":"","parse-names":false,"suffix":""},{"dropping-particle":"","family":"Wang","given":"Min","non-dropping-particle":"","parse-names":false,"suffix":""},{"dropping-particle":"","family":"Sun","given":"Xinghuai","non-dropping-particle":"","parse-names":false,"suffix":""}],"container-title":"Investigative ophthalmology &amp; visual science","id":"ITEM-3","issue":"4","issued":{"date-parts":[["2015"]]},"page":"2595-2600","publisher":"The Association for Research in Vision and Ophthalmology","title":"Genetic variants associated with different risks for high tension glaucoma and normal tension glaucoma in a Chinese population","type":"article-journal","volume":"56"},"uris":["http://www.mendeley.com/documents/?uuid=e492294b-b600-4d05-bfd3-2b60c77b9f93"]}],"mendeley":{"formattedCitation":"(Buys, Gaspo and Kwok, 2012; Tarkkanen and Kivelä, 2014; Chen &lt;i&gt;et al.&lt;/i&gt;, 2015)","plainTextFormattedCitation":"(Buys, Gaspo and Kwok, 2012; Tarkkanen and Kivelä, 2014; Chen et al., 2015)","previouslyFormattedCitation":"(Buys, Gaspo and Kwok, 2012; Tarkkanen and Kivelä, 2014; Chen &lt;i&gt;et al.&lt;/i&gt;, 2015)"},"properties":{"noteIndex":0},"schema":"https://github.com/citation-style-language/schema/raw/master/csl-citation.json"}</w:instrText>
      </w:r>
      <w:r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(Buys, Gaspo and Kwok, 2012; Tarkkanen and Kivelä, 2014; Chen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2015)</w:t>
      </w:r>
      <w:r w:rsidRPr="00B279FC">
        <w:rPr>
          <w:rFonts w:ascii="Times New Roman" w:hAnsi="Times New Roman" w:cs="Times New Roman"/>
          <w:sz w:val="24"/>
          <w:szCs w:val="24"/>
        </w:rPr>
        <w:fldChar w:fldCharType="end"/>
      </w:r>
      <w:r w:rsidR="00AB346D">
        <w:rPr>
          <w:rFonts w:ascii="Times New Roman" w:hAnsi="Times New Roman" w:cs="Times New Roman"/>
          <w:sz w:val="24"/>
          <w:szCs w:val="24"/>
        </w:rPr>
        <w:t xml:space="preserve">. </w:t>
      </w:r>
      <w:r w:rsidRPr="00B279FC">
        <w:rPr>
          <w:rFonts w:ascii="Times New Roman" w:eastAsia="Times New Roman" w:hAnsi="Times New Roman" w:cs="Times New Roman"/>
          <w:sz w:val="24"/>
          <w:szCs w:val="24"/>
          <w:lang w:eastAsia="en-GB"/>
        </w:rPr>
        <w:t>The predominant presenting complaint was poor vision (83%), highlighting the asymptomatic nature of early POAG and the need for routine screening to facilitate earlier diagnosis.</w:t>
      </w:r>
    </w:p>
    <w:p w14:paraId="45E0A85D" w14:textId="1CCE3095" w:rsidR="002320EC" w:rsidRPr="00B279FC" w:rsidRDefault="002320EC" w:rsidP="002320EC">
      <w:pPr>
        <w:spacing w:after="0" w:line="240" w:lineRule="auto"/>
        <w:jc w:val="both"/>
        <w:rPr>
          <w:rFonts w:ascii="Times New Roman" w:hAnsi="Times New Roman" w:cs="Times New Roman"/>
          <w:sz w:val="24"/>
          <w:szCs w:val="24"/>
        </w:rPr>
      </w:pPr>
      <w:r w:rsidRPr="00B279FC">
        <w:rPr>
          <w:rFonts w:ascii="Times New Roman" w:eastAsia="Times New Roman" w:hAnsi="Times New Roman" w:cs="Times New Roman"/>
          <w:sz w:val="24"/>
          <w:szCs w:val="24"/>
          <w:lang w:eastAsia="en-GB"/>
        </w:rPr>
        <w:t xml:space="preserve">At diagnosis, 43% of eyes had mild disease, while 24% presented with severe disease, with an overall mean deviation (MD) of -11.9 dB (± 1.3), indicative of moderately advanced glaucoma. </w:t>
      </w:r>
      <w:r w:rsidRPr="00B279FC">
        <w:rPr>
          <w:rFonts w:ascii="Times New Roman" w:hAnsi="Times New Roman" w:cs="Times New Roman"/>
          <w:sz w:val="24"/>
          <w:szCs w:val="24"/>
        </w:rPr>
        <w:t xml:space="preserve">These </w:t>
      </w:r>
      <w:r w:rsidRPr="00B279FC">
        <w:rPr>
          <w:rFonts w:ascii="Times New Roman" w:eastAsia="Times New Roman" w:hAnsi="Times New Roman" w:cs="Times New Roman"/>
          <w:sz w:val="24"/>
          <w:szCs w:val="24"/>
          <w:lang w:eastAsia="en-GB"/>
        </w:rPr>
        <w:t>findings suggest a concerning proportion of patients already experiencing significant visual field loss at first presentation</w:t>
      </w:r>
      <w:r w:rsidRPr="00B279FC">
        <w:rPr>
          <w:rFonts w:ascii="Times New Roman" w:hAnsi="Times New Roman" w:cs="Times New Roman"/>
          <w:sz w:val="24"/>
          <w:szCs w:val="24"/>
        </w:rPr>
        <w:t xml:space="preserve"> potentially due to delays in diagnosis. The study did not specifically address factors contributing to this delay, but one possible reason is th</w:t>
      </w:r>
      <w:r w:rsidR="00CD5258">
        <w:rPr>
          <w:rFonts w:ascii="Times New Roman" w:hAnsi="Times New Roman" w:cs="Times New Roman"/>
          <w:sz w:val="24"/>
          <w:szCs w:val="24"/>
        </w:rPr>
        <w:t xml:space="preserve">e low rate of regular eye </w:t>
      </w:r>
      <w:proofErr w:type="spellStart"/>
      <w:r w:rsidR="00CD5258">
        <w:rPr>
          <w:rFonts w:ascii="Times New Roman" w:hAnsi="Times New Roman" w:cs="Times New Roman"/>
          <w:sz w:val="24"/>
          <w:szCs w:val="24"/>
        </w:rPr>
        <w:t xml:space="preserve">check </w:t>
      </w:r>
      <w:r w:rsidRPr="00B279FC">
        <w:rPr>
          <w:rFonts w:ascii="Times New Roman" w:hAnsi="Times New Roman" w:cs="Times New Roman"/>
          <w:sz w:val="24"/>
          <w:szCs w:val="24"/>
        </w:rPr>
        <w:t>ups</w:t>
      </w:r>
      <w:proofErr w:type="spellEnd"/>
      <w:r w:rsidRPr="00B279FC">
        <w:rPr>
          <w:rFonts w:ascii="Times New Roman" w:hAnsi="Times New Roman" w:cs="Times New Roman"/>
          <w:sz w:val="24"/>
          <w:szCs w:val="24"/>
        </w:rPr>
        <w:t xml:space="preserve"> in the community, with only 7% of participants undergoing routine exams. This aligns with findings from previous studies </w:t>
      </w:r>
      <w:r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ISSN":"1552-5783","author":[{"dropping-particle":"","family":"Fraser","given":"Scott","non-dropping-particle":"","parse-names":false,"suffix":""},{"dropping-particle":"","family":"Bunce","given":"Catey","non-dropping-particle":"","parse-names":false,"suffix":""},{"dropping-particle":"","family":"Wormald","given":"Richard","non-dropping-particle":"","parse-names":false,"suffix":""}],"container-title":"Investigative ophthalmology &amp; visual science","id":"ITEM-1","issue":"10","issued":{"date-parts":[["1999"]]},"page":"2251-2257","publisher":"The Association for Research in Vision and Ophthalmology","title":"Risk factors for late presentation in chronic glaucoma","type":"article-journal","volume":"40"},"uris":["http://www.mendeley.com/documents/?uuid=04bcdd3d-6a3d-495b-b9c1-2153dbf6fb3e"]}],"mendeley":{"formattedCitation":"(Fraser, Bunce and Wormald, 1999b)","plainTextFormattedCitation":"(Fraser, Bunce and Wormald, 1999b)","previouslyFormattedCitation":"(Fraser, Bunce and Wormald, 1999b)"},"properties":{"noteIndex":0},"schema":"https://github.com/citation-style-language/schema/raw/master/csl-citation.json"}</w:instrText>
      </w:r>
      <w:r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(Fraser, Bunce and Wormald, 1999b)</w:t>
      </w:r>
      <w:r w:rsidRPr="00B279FC">
        <w:rPr>
          <w:rFonts w:ascii="Times New Roman" w:hAnsi="Times New Roman" w:cs="Times New Roman"/>
          <w:sz w:val="24"/>
          <w:szCs w:val="24"/>
        </w:rPr>
        <w:fldChar w:fldCharType="end"/>
      </w:r>
      <w:r w:rsidRPr="00B279FC">
        <w:rPr>
          <w:rFonts w:ascii="Times New Roman" w:hAnsi="Times New Roman" w:cs="Times New Roman"/>
          <w:sz w:val="24"/>
          <w:szCs w:val="24"/>
          <w:vertAlign w:val="superscript"/>
        </w:rPr>
        <w:t xml:space="preserve"> </w:t>
      </w:r>
      <w:r w:rsidRPr="00B279FC">
        <w:rPr>
          <w:rFonts w:ascii="Times New Roman" w:hAnsi="Times New Roman" w:cs="Times New Roman"/>
          <w:sz w:val="24"/>
          <w:szCs w:val="24"/>
        </w:rPr>
        <w:t xml:space="preserve">and </w:t>
      </w:r>
      <w:r w:rsidRPr="00B279FC">
        <w:rPr>
          <w:rFonts w:ascii="Times New Roman" w:hAnsi="Times New Roman" w:cs="Times New Roman"/>
          <w:sz w:val="24"/>
          <w:szCs w:val="24"/>
          <w:vertAlign w:val="superscript"/>
        </w:rPr>
        <w:fldChar w:fldCharType="begin" w:fldLock="1"/>
      </w:r>
      <w:r w:rsidR="00C45B32">
        <w:rPr>
          <w:rFonts w:ascii="Times New Roman" w:hAnsi="Times New Roman" w:cs="Times New Roman"/>
          <w:sz w:val="24"/>
          <w:szCs w:val="24"/>
          <w:vertAlign w:val="superscript"/>
        </w:rPr>
        <w:instrText>ADDIN CSL_CITATION {"citationItems":[{"id":"ITEM-1","itemData":{"DOI":"10.1136/bjophthalmol-2013-303813","abstract":"Objective To explore the presentation behaviours and pathways to detection of adults who first presented to UK hospital eye services with severe glaucoma. Design Semistructured interviews, based on models of diagnostic delay, to obtain a descriptive self-reported account of when and how participants’ glaucoma was detected. Results 11 patients participated (five in Aberdeen, six in Huddersfield). Four participants reported that the optometry appointment at which their glaucoma was detected was their first ever eye test or their first for over 10 years. Seven participants reported attending regular routine optometrist appointments. Their self-reported experiences and pathways to detection describe a variety of missed detection opportunities and delayed referral and treatment. Conclusions The qualitative data suggest that late detection of glaucoma can result from delays at the patient level but, although based on a small sample, delays also occurred at the healthcare provider (system) level both in terms of accuracy of case detection and effective referral. We suggest that current attempts to address the significant burden of over-referral of glaucoma suspects to hospital eye services (a large proportion of which are false positives) must also focus on the issue of false negatives and on reducing missed detection and service delays.","author":[{"dropping-particle":"","family":"Prior","given":"Maria","non-dropping-particle":"","parse-names":false,"suffix":""},{"dropping-particle":"","family":"Francis","given":"Jill J","non-dropping-particle":"","parse-names":false,"suffix":""},{"dropping-particle":"","family":"Azuara-Blanco","given":"Augusto","non-dropping-particle":"","parse-names":false,"suffix":""},{"dropping-particle":"","family":"Anand","given":"Nitin","non-dropping-particle":"","parse-names":false,"suffix":""},{"dropping-particle":"","family":"Burr","given":"Jennifer M","non-dropping-particle":"","parse-names":false,"suffix":""}],"container-title":"British Journal of Ophthalmology","id":"ITEM-1","issue":"12","issued":{"date-parts":[["2013","12","1"]]},"page":"1574 LP  - 1578","title":"Why do people present late with advanced glaucoma? A qualitative interview study","type":"article-journal","volume":"97"},"uris":["http://www.mendeley.com/documents/?uuid=92fe6afe-863f-4454-bd73-df85534c8457"]}],"mendeley":{"formattedCitation":"(Prior &lt;i&gt;et al.&lt;/i&gt;, 2013)","plainTextFormattedCitation":"(Prior et al., 2013)","previouslyFormattedCitation":"(Prior &lt;i&gt;et al.&lt;/i&gt;, 2013)"},"properties":{"noteIndex":0},"schema":"https://github.com/citation-style-language/schema/raw/master/csl-citation.json"}</w:instrText>
      </w:r>
      <w:r w:rsidRPr="00B279FC">
        <w:rPr>
          <w:rFonts w:ascii="Times New Roman" w:hAnsi="Times New Roman" w:cs="Times New Roman"/>
          <w:sz w:val="24"/>
          <w:szCs w:val="24"/>
          <w:vertAlign w:val="superscript"/>
        </w:rPr>
        <w:fldChar w:fldCharType="separate"/>
      </w:r>
      <w:r w:rsidR="00086E2E" w:rsidRPr="00086E2E">
        <w:rPr>
          <w:rFonts w:ascii="Times New Roman" w:hAnsi="Times New Roman" w:cs="Times New Roman"/>
          <w:noProof/>
          <w:sz w:val="24"/>
          <w:szCs w:val="24"/>
        </w:rPr>
        <w:t xml:space="preserve">(Prior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2013)</w:t>
      </w:r>
      <w:r w:rsidRPr="00B279FC">
        <w:rPr>
          <w:rFonts w:ascii="Times New Roman" w:hAnsi="Times New Roman" w:cs="Times New Roman"/>
          <w:sz w:val="24"/>
          <w:szCs w:val="24"/>
          <w:vertAlign w:val="superscript"/>
        </w:rPr>
        <w:fldChar w:fldCharType="end"/>
      </w:r>
      <w:r w:rsidRPr="00B279FC">
        <w:rPr>
          <w:rFonts w:ascii="Times New Roman" w:hAnsi="Times New Roman" w:cs="Times New Roman"/>
          <w:sz w:val="24"/>
          <w:szCs w:val="24"/>
          <w:vertAlign w:val="superscript"/>
        </w:rPr>
        <w:t xml:space="preserve"> </w:t>
      </w:r>
      <w:r w:rsidRPr="00B279FC">
        <w:rPr>
          <w:rFonts w:ascii="Times New Roman" w:hAnsi="Times New Roman" w:cs="Times New Roman"/>
          <w:sz w:val="24"/>
          <w:szCs w:val="24"/>
        </w:rPr>
        <w:t xml:space="preserve">. Additional factors, such as economic barriers </w:t>
      </w:r>
      <w:r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{"citationItems":[{"id":"ITEM-1","itemData":{"author":[{"dropping-particle":"","family":"Scott Fraser","given":"clinical research fellow 2001","non-dropping-particle":"","parse-names":false,"suffix":""}],"id":"ITEM-1","issued":{"date-parts":[["0"]]},"title":"deprivation-and-late-presentation-of-glaucoma_-case-control-study","type":"article"},"uris":["http://www.mendeley.com/documents/?uuid=3ada330a-6ea4-41d1-878a-96eac43288c3"]}],"mendeley":{"formattedCitation":"(Scott Fraser, no date)","plainTextFormattedCitation":"(Scott Fraser, no date)","previouslyFormattedCitation":"(Scott Fraser, no date)"},"properties":{"noteIndex":0},"schema":"https://github.com/citation-style-language/schema/raw/master/csl-citation.json"}</w:instrText>
      </w:r>
      <w:r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(Scott Fraser, no date)</w:t>
      </w:r>
      <w:r w:rsidRPr="00B279FC">
        <w:rPr>
          <w:rFonts w:ascii="Times New Roman" w:hAnsi="Times New Roman" w:cs="Times New Roman"/>
          <w:sz w:val="24"/>
          <w:szCs w:val="24"/>
        </w:rPr>
        <w:fldChar w:fldCharType="end"/>
      </w:r>
      <w:r w:rsidRPr="00B279FC">
        <w:rPr>
          <w:rFonts w:ascii="Times New Roman" w:hAnsi="Times New Roman" w:cs="Times New Roman"/>
          <w:sz w:val="24"/>
          <w:szCs w:val="24"/>
        </w:rPr>
        <w:t xml:space="preserve"> </w:t>
      </w:r>
      <w:r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{"citationItems":[{"id":"ITEM-1","itemData":{"DOI":"10.3389/fmed.2023.1161980","ISSN":"2296858X","abstract":"Background: Glaucoma has an insidious onset with non-specific early symptoms, often leading patients to delay in seeking help. However, postponing the first ophthalmological consultation can result in delayed diagnosis and treatment, with adverse effects on vision. This study explored the factors associated with delayed first ophthalmological consultation in patients with primary glaucoma, with the overarching aim of informing measures to reduce delayed consultation and avoid the consequent adverse outcomes. Methods: We adopted a phenomenological approach. Semi-structured interviews were conducted with patients admitted to a tertiary eye hospital in Tianjin, China, from January 2021 to April 2021. Data were analyzed by Colaizzi’s seven-step method. Results: We identified 46 patients with primary glaucoma who delayed their first ophthalmological consultation for various reasons. There were four major themes and 16 sub-themes. The major themes were as follows: (1) occult symptoms that are difficult to identify; (2) insufficient knowledge and understanding of glaucoma-related risks and harm; (3) perceived difficulties in accessing medical care; and (4) inadequate support system. Conclusion: In order to avoid patient delay and consequent irreversible damage to the visual field in patients with primary glaucoma, it is essential that medical staff identify symptoms more effectively, change habitual medical behavior of the patients, adopt a medical union model, and promote the use of a social medical support system to address practical difficulties in delivering adequate care.","author":[{"dropping-particle":"","family":"Liu","given":"Hua","non-dropping-particle":"","parse-names":false,"suffix":""},{"dropping-particle":"","family":"Chen","given":"Chen","non-dropping-particle":"","parse-names":false,"suffix":""},{"dropping-particle":"","family":"Chen","given":"Zhuo","non-dropping-particle":"","parse-names":false,"suffix":""},{"dropping-particle":"","family":"Li","given":"Qian","non-dropping-particle":"","parse-names":false,"suffix":""},{"dropping-particle":"","family":"Li","given":"Quan","non-dropping-particle":"","parse-names":false,"suffix":""},{"dropping-particle":"","family":"Liu","given":"Wei","non-dropping-particle":"","parse-names":false,"suffix":""}],"container-title":"Frontiers in Medicine","id":"ITEM-1","issue":"July","issued":{"date-parts":[["2023"]]},"title":"Factors associated with delayed first ophthalmological consultation for primary glaucoma: a qualitative interview study","type":"article-journal","volume":"10"},"uris":["http://www.mendeley.com/documents/?uuid=7025fa6c-f2ea-4eec-83d8-183e873ee29b"]}],"mendeley":{"formattedCitation":"(Liu &lt;i&gt;et al.&lt;/i&gt;, 2023)","plainTextFormattedCitation":"(Liu et al., 2023)","previouslyFormattedCitation":"(Liu &lt;i&gt;et al.&lt;/i&gt;, 2023)"},"properties":{"noteIndex":0},"schema":"https://github.com/citation-style-language/schema/raw/master/csl-citation.json"}</w:instrText>
      </w:r>
      <w:r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(Liu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2023)</w:t>
      </w:r>
      <w:r w:rsidRPr="00B279FC">
        <w:rPr>
          <w:rFonts w:ascii="Times New Roman" w:hAnsi="Times New Roman" w:cs="Times New Roman"/>
          <w:sz w:val="24"/>
          <w:szCs w:val="24"/>
        </w:rPr>
        <w:fldChar w:fldCharType="end"/>
      </w:r>
      <w:r w:rsidRPr="00B279FC">
        <w:rPr>
          <w:rFonts w:ascii="Times New Roman" w:hAnsi="Times New Roman" w:cs="Times New Roman"/>
          <w:sz w:val="24"/>
          <w:szCs w:val="24"/>
        </w:rPr>
        <w:t xml:space="preserve">,  lack of financial and emotional support </w:t>
      </w:r>
      <w:r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{"citationItems":[{"id":"ITEM-1","itemData":{"DOI":"10.1136/bjo.87.4.446","abstract":"Aim: To evaluate the factors associated with lack of awareness of glaucoma and late presentation to the doctor in Singapore Chinese patients with acute angle closure (AAC) Methods: A prospective, hospital based case series of 105 patients aged 35 years and above who presented with a first attack of AAC in a tertiary hospital in Singapore was conducted. A research assistant interviewed all patients face to face in clinic and recorded demographic factors, awareness of glaucoma, and subjective barriers to seeing a doctor. The time from onset of symptoms to presentation at the clinic was noted. Results: Overall, 22.9% of patients had heard of glaucoma. The multivariate adjusted odds ratio (OR) of unawareness of glaucoma in older people (&amp;amp;gt; 60 years) was 1.5 (95% confidence interval (CI) 0.5 to 4.6), 3.2 (95% CI 1.1 to 9.2) for adults who were not working, and 13.8 (95% CI 1.3 to 146.7) for patients who had less than a pre-university education. A significant proportion (31.7%) of patients presented to the doctor 24 hours or more after symptoms occurred. In a multiple logistic regression model, the adjusted OR of late presentation was 8.5 (95% CI 1.04 to 69.5) if there was no car access, 5.0 (95% CI 1.0 to 24.6) if the patients spoke Chinese, and 3.3 (95% CI 0.9 to 11.9) if there was nobody to accompany to hospital. Conclusion: Glaucoma awareness among patients suffering AAC was not high. Lack of awareness was associated with increasing age, lack of formal education, and unemployment. A significant proportion of patients seek medical attention late. Risk factors for late presentation include lack of car access, nobody to accompany the patient, and speaking the Chinese language primarily. Health education programmes may help increase the knowledge and awareness of glaucoma.","author":[{"dropping-particle":"","family":"Saw","given":"S-M","non-dropping-particle":"","parse-names":false,"suffix":""},{"dropping-particle":"","family":"Gazzard","given":"G","non-dropping-particle":"","parse-names":false,"suffix":""},{"dropping-particle":"","family":"Friedman","given":"D","non-dropping-particle":"","parse-names":false,"suffix":""},{"dropping-particle":"","family":"Foster","given":"P J","non-dropping-particle":"","parse-names":false,"suffix":""},{"dropping-particle":"","family":"Devereux","given":"J G","non-dropping-particle":"","parse-names":false,"suffix":""},{"dropping-particle":"","family":"Wong","given":"M L","non-dropping-particle":"","parse-names":false,"suffix":""},{"dropping-particle":"","family":"Seah","given":"S","non-dropping-particle":"","parse-names":false,"suffix":""}],"container-title":"British Journal of Ophthalmology","id":"ITEM-1","issue":"4","issued":{"date-parts":[["2003","4","1"]]},"page":"446 LP  - 449","title":"Awareness of glaucoma, and health beliefs of patients suffering primary acute angle closure","type":"article-journal","volume":"87"},"uris":["http://www.mendeley.com/documents/?uuid=084f4448-9927-4d44-878e-350ed5216853"]}],"mendeley":{"formattedCitation":"(Saw &lt;i&gt;et al.&lt;/i&gt;, 2003)","plainTextFormattedCitation":"(Saw et al., 2003)","previouslyFormattedCitation":"(Saw &lt;i&gt;et al.&lt;/i&gt;, 2003)"},"properties":{"noteIndex":0},"schema":"https://github.com/citation-style-language/schema/raw/master/csl-citation.json"}</w:instrText>
      </w:r>
      <w:r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(Saw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2003)</w:t>
      </w:r>
      <w:r w:rsidRPr="00B279FC">
        <w:rPr>
          <w:rFonts w:ascii="Times New Roman" w:hAnsi="Times New Roman" w:cs="Times New Roman"/>
          <w:sz w:val="24"/>
          <w:szCs w:val="24"/>
        </w:rPr>
        <w:fldChar w:fldCharType="end"/>
      </w:r>
      <w:r w:rsidRPr="00B279FC">
        <w:rPr>
          <w:rFonts w:ascii="Times New Roman" w:hAnsi="Times New Roman" w:cs="Times New Roman"/>
          <w:sz w:val="24"/>
          <w:szCs w:val="24"/>
        </w:rPr>
        <w:t>,  and the shortage of ophthalmologists (only 69 in Tanzania, as per the 2019 RAAB Survey), likely contribute to delays in diagnosis and treatment.</w:t>
      </w:r>
    </w:p>
    <w:p w14:paraId="56A7D48C" w14:textId="5DAD55F5" w:rsidR="002320EC" w:rsidRPr="00B279FC" w:rsidRDefault="00CD5258" w:rsidP="002320E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During follow </w:t>
      </w:r>
      <w:r w:rsidR="002320EC" w:rsidRPr="00B279FC">
        <w:rPr>
          <w:rFonts w:ascii="Times New Roman" w:eastAsia="Times New Roman" w:hAnsi="Times New Roman" w:cs="Times New Roman"/>
          <w:sz w:val="24"/>
          <w:szCs w:val="24"/>
          <w:lang w:eastAsia="en-GB"/>
        </w:rPr>
        <w:t xml:space="preserve">up, 38.6% of eyes showed disease progression, with an average visual field index (VFI) decline of -2.2% per year. This rate was higher than the -1.1% to -1.5% reported in previous studies </w:t>
      </w:r>
      <w:r w:rsidR="002320EC"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{"citationItems":[{"id":"ITEM-1","itemData":{"DOI":"https://doi.org/10.1016/j.ophtha.2010.12.035","ISSN":"0161-6420","abstract":"Objective To evaluate the performance of progression detection and the rate of change of retinal nerve fiber layer (RNFL), neuroretinal rim, and visual field measurements in glaucoma. Design Prospective study. Participants One hundred eight eyes of 70 glaucoma patients. Methods Patients were followed up every 4 months for at least 2.9 years (median, 3.2 years) for measurement of RNFL thickness with the Stratus optical coherence tomograph (OCT) (Carl Zeiss Meditec, Dublin, CA), neuroretinal rim area with the Heidelberg Retinal Tomograph (HRT 3; Heidelberg Engineering, GmbH, Dossenheim, Germany), and visual field with the Humphrey Field Analyzer II (Carl Zeiss Meditec). Linear regression analyses were performed between visual field index (VFI), RNFL, and neuroretinal rim measurements and age, with progression defined when a significant negative trend was detected. The agreement among structural and functional measurements was evaluated with κ statistics. The mean rate of change was estimated with linear mixed modeling. Main Outcome Measures The agreement on progression detection and the rate of change of RNFL, neuroretinal rim, and VFI measurements. Results A total of 1105 OCT, 1062 HRT, and 1099 visual field measurements were analyzed. The agreement of progression detection among the 3 investigations was poor (κ≤0.09). Ten eyes (9.3%; 9 patients) showed progression by average RNFL thickness, 16 (14.8%; 14 patients) by global neuroretinal rim area, and 35 (32.4%; 31 patients) by VFI. Only 1 eye (0.9%) had progression detected by all 3 methods. There were large variations in the rate of change of VFI, average RNFL thickness, and global neuroretinal rim area, with a range between −0.63% and −4.97% per year, −2.32% and −10.12% per year, and −0.61% and −8.48% per year, respectively. The respective mean rate estimates were −1.15% per year (95% confidence interval [CI], −1.56% to −0.73%), −0.70% per year (95% CI, −1.19% to −0.21%), and −1.06% per year (95% CI, −1.56% to −0.55%). Conclusions The agreement of progression detection among RNFL, neuroretinal rim, and visual field measurements was poor, and the rate of RNFL, neuroretinal rim, and visual field progression varied considerably within and between subjects. Given this variability, interpretation of RNFL, neuroretinal rim, and VFI progression always should be evaluated on an individual basis. Financial Disclosure(s) Proprietary or commercial disclosure may be found after the references.","author":[{"dropping-particle":"","family":"Leung","given":"Christopher Kai Shun","non-dropping-particle":"","parse-names":false,"suffix":""},{"dropping-particle":"","family":"Liu","given":"Shu","non-dropping-particle":"","parse-names":false,"suffix":""},{"dropping-particle":"","family":"Weinreb","given":"Robert N","non-dropping-particle":"","parse-names":false,"suffix":""},{"dropping-particle":"","family":"Lai","given":"Gilda","non-dropping-particle":"","parse-names":false,"suffix":""},{"dropping-particle":"","family":"Ye","given":"Cong","non-dropping-particle":"","parse-names":false,"suffix":""},{"dropping-particle":"","family":"Cheung","given":"Carol Yim Lui","non-dropping-particle":"","parse-names":false,"suffix":""},{"dropping-particle":"","family":"Pang","given":"Chi Pui","non-dropping-particle":"","parse-names":false,"suffix":""},{"dropping-particle":"","family":"Tse","given":"Kwok Kay","non-dropping-particle":"","parse-names":false,"suffix":""},{"dropping-particle":"","family":"Lam","given":"Dennis Shun Chiu","non-dropping-particle":"","parse-names":false,"suffix":""}],"container-title":"Ophthalmology","id":"ITEM-1","issue":"8","issued":{"date-parts":[["2011"]]},"page":"1551-1557","title":"Evaluation of Retinal Nerve Fiber Layer Progression in Glaucoma: A Prospective Analysis with Neuroretinal Rim and Visual Field Progression","type":"article-journal","volume":"118"},"uris":["http://www.mendeley.com/documents/?uuid=162aa9ec-a34a-4b76-894b-ff1bd8f49259"]},{"id":"ITEM-2","itemData":{"DOI":"10.1001/archophthalmol.2009.297","ISSN":"0003-9950","abstract":"To investigate how well short-term progression rates can predict long-term visual field outcomes in patients with glaucoma.We calculated visual field rates of progression using linear regression analysis of the Visual Field Index (VFI) for 100 consecutive patients with glaucoma having 10 or more Swedish Interactive Thresholding Algorithm standard field tests. Final VFI was predicted on the basis of linear extrapolation of the slope defined by the initial 5 field test results. Final VFI also was estimated using linear regression of all qualifying examination results for each patient. Primary outcome measures were the absolute difference and the correlation between predicted and estimated final VFI values.Patient follow-up averaged 8.2 years and 11 field examinations. Median VFI progression rate was −1.1% per year both for the initial 5 test results and also for the complete series. Seventy percent of patients had a predicted final VFI within ±10% of the estimated final VFI, and the 2 VFI calculations had a correlation coefficient of 0.84.Linear extrapolation based on 5 initial visual field test results was a reliable predictor of future field loss in most patients. Patients in whom linear regression analysis suggests dangerously rapid rates of visual field progression may be candidates for significant alterations in therapy.Arch Ophthalmol. 2009;127(12):1610-1615--&gt;","author":[{"dropping-particle":"","family":"Bengtsson","given":"Boel","non-dropping-particle":"","parse-names":false,"suffix":""},{"dropping-particle":"","family":"Patella","given":"Vincent Michael","non-dropping-particle":"","parse-names":false,"suffix":""},{"dropping-particle":"","family":"Heijl","given":"Anders","non-dropping-particle":"","parse-names":false,"suffix":""}],"container-title":"Archives of Ophthalmology","id":"ITEM-2","issue":"12","issued":{"date-parts":[["2009","12","14"]]},"page":"1610-1615","title":"Prediction of Glaucomatous Visual Field Loss by Extrapolation of Linear Trends","type":"article-journal","volume":"127"},"uris":["http://www.mendeley.com/documents/?uuid=c952a283-7c4b-4e4e-a261-b04edaf686f4"]},{"id":"ITEM-3","itemData":{"DOI":"10.1111/aos.12788","ISSN":"17553768","PMID":"26095771","abstract":"Purpose To evaluate the visual field rate of progression of patients with treated ocular hypertension (OHT) and primary open-angle glaucoma (POAG) in clinical practice, using the mean deviation (MD) and the visual field index (VFI). Methods Non-interventional cohort study. From a large multicentre database representative of the French population, 441 eyes of 228 patients with treated OHT or POAG followed up at least 6 years with Humphrey 24.2 Sita-Standard visual field examination at least twice a year were identified. From initial data, eyes were classified in five groups: 121 with OHT, 188 with early glaucoma (MD greater than -6 dB), 45 with moderate glaucoma (MD -6 to -12 dB), 41 with advanced glaucoma (MD -12 to -18 dB) and 46 with severe glaucoma (MD less than -18 dB). Rate of progression during the follow-up period was calculated using the trend analysis of the Guided Progression Analysis software. Results The mean duration of follow-up was 8.4 ± 2.7 years and the mean number of visual field, 18.4 ± 3.5. In eyes with OHT, rate of progression was -0.09 dB/year (-0.17%VFI/year). In eyes with POAG, rate of progression was -0.32 dB/year (-0.83%VFI/year) in eyes with early glaucoma, -0.52 dB/year (-1.81%VFI/year) in moderate glaucoma, -0.54 dB/year (-2.35%VFI/year) in advanced glaucoma and -0.45 dB/year (-1.97%VFI/year) in severe glaucoma. In eyes with POAG, a significant progression (p &lt; 0.05) was detected in 159 of 320 eyes (49.7%) with trend analysis and 117 of 320 eyes (36.6%, likely progression) or 183 of 320 eyes (57.2%, possible and likely progression) with event analysis. Conclusions Primary open-angle glaucoma is a progressive disease in the majority of patients despite cautioned treatment and follow-up. The rate of progression varies greatly among subjects.","author":[{"dropping-particle":"","family":"Aptel","given":"Florent","non-dropping-particle":"","parse-names":false,"suffix":""},{"dropping-particle":"","family":"Aryal-Charles","given":"Nishal","non-dropping-particle":"","parse-names":false,"suffix":""},{"dropping-particle":"","family":"Giraud","given":"Jean Marie","non-dropping-particle":"","parse-names":false,"suffix":""},{"dropping-particle":"","family":"Chehab","given":"Hussam","non-dropping-particle":"El","parse-names":false,"suffix":""},{"dropping-particle":"","family":"Delbarre","given":"Maxime","non-dropping-particle":"","parse-names":false,"suffix":""},{"dropping-particle":"","family":"Chiquet","given":"Christophe","non-dropping-particle":"","parse-names":false,"suffix":""},{"dropping-particle":"","family":"Romanet","given":"Jean Paul","non-dropping-particle":"","parse-names":false,"suffix":""},{"dropping-particle":"","family":"Renard","given":"Jean Paul","non-dropping-particle":"","parse-names":false,"suffix":""}],"container-title":"Acta Ophthalmologica","id":"ITEM-3","issue":"8","issued":{"date-parts":[["2015"]]},"page":"e615-e620","title":"Progression of visual field in patients with primary open-angle glaucoma - ProgF study 1","type":"article-journal","volume":"93"},"uris":["http://www.mendeley.com/documents/?uuid=dc452583-dedf-48b6-85d5-b5aa783f1488"]}],"mendeley":{"formattedCitation":"(Bengtsson, Patella and Heijl, 2009; Leung &lt;i&gt;et al.&lt;/i&gt;, 2011; Aptel &lt;i&gt;et al.&lt;/i&gt;, 2015)","plainTextFormattedCitation":"(Bengtsson, Patella and Heijl, 2009; Leung et al., 2011; Aptel et al., 2015)","previouslyFormattedCitation":"(Bengtsson, Patella and Heijl, 2009; Leung &lt;i&gt;et al.&lt;/i&gt;, 2011; Aptel &lt;i&gt;et al.&lt;/i&gt;, 2015)"},"properties":{"noteIndex":0},"schema":"https://github.com/citation-style-language/schema/raw/master/csl-citation.json"}</w:instrText>
      </w:r>
      <w:r w:rsidR="002320EC"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(Bengtsson, Patella and Heijl, 2009; Leung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2011; Aptel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2015)</w:t>
      </w:r>
      <w:r w:rsidR="002320EC" w:rsidRPr="00B279FC">
        <w:rPr>
          <w:rFonts w:ascii="Times New Roman" w:hAnsi="Times New Roman" w:cs="Times New Roman"/>
          <w:sz w:val="24"/>
          <w:szCs w:val="24"/>
        </w:rPr>
        <w:fldChar w:fldCharType="end"/>
      </w:r>
      <w:r w:rsidR="002320EC" w:rsidRPr="00B279FC">
        <w:rPr>
          <w:rFonts w:ascii="Times New Roman" w:eastAsia="Times New Roman" w:hAnsi="Times New Roman" w:cs="Times New Roman"/>
          <w:sz w:val="24"/>
          <w:szCs w:val="24"/>
          <w:lang w:eastAsia="en-GB"/>
        </w:rPr>
        <w:t xml:space="preserve"> suggesting significant worsening over time highlighting the need for vigilant monitoring. The observed progression was comparable to a study in Ghana (44.7%) </w:t>
      </w:r>
      <w:r w:rsidR="002320EC"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{"citationItems":[{"id":"ITEM-1","itemData":{"ISSN":"1057-0829","abstract":"Précis: The annual incidence of glaucoma progression (9.7%) and rates of visual field mean deviation (MD) change in progressors (−1.02±0.06 dB/y) are high in a small cohort of urban Ghanaians. Purpose: To report the incidence of glaucoma progression and the rate of visual field deterioration in a small cohort of Ghanaians. Methods: One hundred ten subjects (204 eyes) diagnosed with glaucoma at a baseline population-based screening examination were re-examined a mean of 8.3±0.8 years later. Eyes were classified as having progressed if the optic disc alone, visual field alone or both showed significant glaucomatous changes on follow-up. Visual field MD was used to calculate the rate of visual field progression. Results: Progression was observed in 89 (80.9%, 9.7%/year) subjects (130 eyes). Progression occurred in 32 (31.7%, 3.8%/year) subjects by optic disc alone (46 eyes), 38 (44.7%, 5.4%/year) subjects by visual field alone (58 eyes), and 19 (25.0%, 3.0%/year) subjects by both modalities (26 eyes). The average rate of change in MD differed significantly between progressors (−1.02±1.06 dB/y) and nonprogressors (+0.089±0.49 dB/y), P=0.001. The rate of visual field worsening was greater among those who were classified as having progressed by both structure and function (−1.29±0.68 dB/y) and by function alone (−1.21±1.20 dB/y) than by structure alone (−0.55±0.76 dB/y). Progression was significantly associated with older age [odds ratio (OR), 1.42; P&lt;0.001] and higher baseline intraocular pressure (OR, 1.18; P=0.002). Factors associated with rate of MD change were baseline older age (OR, 1.66; P=0.003), higher intraocular pressure (OR, 2.81; P=0.007), better visual field MD (OR, 1.41; P=0.004), and systemic hypertension (OR, 1.15; P=0.029). Conclusion: The incidence and rate of visual field progression are high in this longitudinal study of Ghanaian subjects with glaucoma. The findings may have important clinical and public health policy ramifications.","author":[{"dropping-particle":"","family":"Mwanza","given":"Jean-Claude","non-dropping-particle":"","parse-names":false,"suffix":""},{"dropping-particle":"","family":"Tulenko","given":"Samantha E","non-dropping-particle":"","parse-names":false,"suffix":""},{"dropping-particle":"","family":"Budenz","given":"Donald L","non-dropping-particle":"","parse-names":false,"suffix":""},{"dropping-particle":"","family":"Herndon","given":"Leon W","non-dropping-particle":"","parse-names":false,"suffix":""},{"dropping-particle":"","family":"Hall","given":"Alyson","non-dropping-particle":"","parse-names":false,"suffix":""},{"dropping-particle":"","family":"Hay-Smith","given":"Graham","non-dropping-particle":"","parse-names":false,"suffix":""},{"dropping-particle":"","family":"Kim","given":"Hanna Y","non-dropping-particle":"","parse-names":false,"suffix":""},{"dropping-particle":"","family":"Mathenge","given":"Elizabeth","non-dropping-particle":"","parse-names":false,"suffix":""},{"dropping-particle":"","family":"Spratt","given":"Alexander","non-dropping-particle":"","parse-names":false,"suffix":""},{"dropping-particle":"","family":"Tanna","given":"Angelo P","non-dropping-particle":"","parse-names":false,"suffix":""},{"dropping-particle":"","family":"Barton","given":"Keith","non-dropping-particle":"","parse-names":false,"suffix":""}],"container-title":"Journal of Glaucoma","id":"ITEM-1","issue":"7","issued":{"date-parts":[["2022"]]},"title":"ncidence of Glaucoma Progression and Rate of Visual Field Deterioration in a Cohort of Urban GhanaiansI","type":"article-journal","volume":"31"},"uris":["http://www.mendeley.com/documents/?uuid=c60484ee-1b68-4569-b925-04bba33fe2b7"]}],"mendeley":{"formattedCitation":"(Mwanza &lt;i&gt;et al.&lt;/i&gt;, 2022)","plainTextFormattedCitation":"(Mwanza et al., 2022)","previouslyFormattedCitation":"(Mwanza &lt;i&gt;et al.&lt;/i&gt;, 2022)"},"properties":{"noteIndex":0},"schema":"https://github.com/citation-style-language/schema/raw/master/csl-citation.json"}</w:instrText>
      </w:r>
      <w:r w:rsidR="002320EC"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(Mwanza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2022)</w:t>
      </w:r>
      <w:r w:rsidR="002320EC" w:rsidRPr="00B279FC">
        <w:rPr>
          <w:rFonts w:ascii="Times New Roman" w:hAnsi="Times New Roman" w:cs="Times New Roman"/>
          <w:sz w:val="24"/>
          <w:szCs w:val="24"/>
        </w:rPr>
        <w:fldChar w:fldCharType="end"/>
      </w:r>
      <w:r w:rsidR="002320EC" w:rsidRPr="00B279FC">
        <w:rPr>
          <w:rFonts w:ascii="Times New Roman" w:hAnsi="Times New Roman" w:cs="Times New Roman"/>
          <w:sz w:val="24"/>
          <w:szCs w:val="24"/>
        </w:rPr>
        <w:t xml:space="preserve"> </w:t>
      </w:r>
      <w:r w:rsidR="002320EC" w:rsidRPr="00B279FC">
        <w:rPr>
          <w:rFonts w:ascii="Times New Roman" w:eastAsia="Times New Roman" w:hAnsi="Times New Roman" w:cs="Times New Roman"/>
          <w:sz w:val="24"/>
          <w:szCs w:val="24"/>
          <w:lang w:eastAsia="en-GB"/>
        </w:rPr>
        <w:t xml:space="preserve">but lower than Ethiopia’s reported rate of 55.3% </w:t>
      </w:r>
      <w:r w:rsidR="002320EC"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{"citationItems":[{"id":"ITEM-1","itemData":{"DOI":"10.1177/112067211002000209","ISSN":"1120-6721 (Print)","PMID":"19882542","abstract":"PURPOSE: To determine the incidence of progression of primary open-angle glaucoma  at individual levels of mean intraocular pressure (IOP) in patients in Ethiopia. METHODS: A retrospective, multicenter, cohort analysis of patient records with at least 5 years of potential follow-up were evaluated for risk factors associated with progressive optic disc and visual field loss. RESULTS: There were 300 patients with the potential of 5 years of follow-up. In total, 166 patients progressed before 5 years and 134 remained stable for the full 5-year follow-up period. Of the total sample, 84% of patients with IOPs &lt; or =19 (n=117/139), 53% of patients with IOPs of 20 (n=9/17), 14% of patients with IOPs of 21-24 (n=9/63), and 0% of the patients with IOPs of &gt; or =25 mmHg (n=0/79) remained stable over at least 5 years. The mean IOP was 17.4+/-2.1 in the stable group and 25.0+/-5.9 mmHg in the progressed group (p&lt;0.0001). The highest average peak IOP was 24.5+/-4.5 in the stable group and 29.0+/-6.1 mmHg in the progressed group (p&lt;0.0001). A multivariant regression analysis to determine risk factors for progression was positive for mean IOP (p=0.0097). CONCLUSIONS: This study suggests that IOP reduction in a developing country, despite potential limitations in diagnostic techniques, follow-up, and compliance, can be effective in reducing the risk of glaucomatous progression over long-term follow-up.","author":[{"dropping-particle":"","family":"Alemu","given":"Abiye M","non-dropping-particle":"","parse-names":false,"suffix":""},{"dropping-particle":"","family":"Kristoffersen","given":"Caroline J","non-dropping-particle":"","parse-names":false,"suffix":""},{"dropping-particle":"","family":"Kristoffersen","given":"Michael S","non-dropping-particle":"","parse-names":false,"suffix":""},{"dropping-particle":"","family":"Stewart","given":"Jeanette A","non-dropping-particle":"","parse-names":false,"suffix":""},{"dropping-particle":"","family":"Stewart","given":"William C","non-dropping-particle":"","parse-names":false,"suffix":""}],"container-title":"European journal of ophthalmology","id":"ITEM-1","issue":"2","issued":{"date-parts":[["2010"]]},"language":"eng","page":"310-315","publisher-place":"United States","title":"Long-term benefit of reduced intraocular pressure in primary open-angle glaucoma  patients in Ethiopia.","type":"article-journal","volume":"20"},"uris":["http://www.mendeley.com/documents/?uuid=be67e161-3ed8-441d-8507-a2e246655391"]}],"mendeley":{"formattedCitation":"(Alemu &lt;i&gt;et al.&lt;/i&gt;, 2010)","plainTextFormattedCitation":"(Alemu et al., 2010)","previouslyFormattedCitation":"(Alemu &lt;i&gt;et al.&lt;/i&gt;, 2010)"},"properties":{"noteIndex":0},"schema":"https://github.com/citation-style-language/schema/raw/master/csl-citation.json"}</w:instrText>
      </w:r>
      <w:r w:rsidR="002320EC"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(Alemu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2010)</w:t>
      </w:r>
      <w:r w:rsidR="002320EC" w:rsidRPr="00B279FC">
        <w:rPr>
          <w:rFonts w:ascii="Times New Roman" w:hAnsi="Times New Roman" w:cs="Times New Roman"/>
          <w:sz w:val="24"/>
          <w:szCs w:val="24"/>
        </w:rPr>
        <w:fldChar w:fldCharType="end"/>
      </w:r>
      <w:r w:rsidR="002320EC" w:rsidRPr="00B279FC">
        <w:rPr>
          <w:rFonts w:ascii="Times New Roman" w:eastAsia="Times New Roman" w:hAnsi="Times New Roman" w:cs="Times New Roman"/>
          <w:sz w:val="24"/>
          <w:szCs w:val="24"/>
          <w:lang w:eastAsia="en-GB"/>
        </w:rPr>
        <w:t xml:space="preserve">, where higher mean IOP was noted. Studies from Turkey </w:t>
      </w:r>
      <w:r w:rsidR="002320EC"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author":[{"dropping-particle":"","family":"Kocatürk","given":"Tolga","non-dropping-particle":"","parse-names":false,"suffix":""},{"dropping-particle":"","family":"Bekmez","given":"Sinan","non-dropping-particle":"","parse-names":false,"suffix":""},{"dropping-particle":"","family":"Katrancı","given":"Merve","non-dropping-particle":"","parse-names":false,"suffix":""},{"dropping-particle":"","family":"Çakmak","given":"Harun","non-dropping-particle":"","parse-names":false,"suffix":""},{"dropping-particle":"","family":"Dayanır","given":"Volkan","non-dropping-particle":"","parse-names":false,"suffix":""}],"container-title":"The Open Ophthalmology Journal","id":"ITEM-1","issued":{"date-parts":[["2015"]]},"page":"116","publisher":"Bentham Science Publishers","title":"Long term results of visual field progression analysis in open angle glaucoma patients under treatment","type":"article-journal","volume":"9"},"uris":["http://www.mendeley.com/documents/?uuid=0f90aff3-bf16-449c-be49-d0b0f6d101da"]}],"mendeley":{"formattedCitation":"(Kocatürk &lt;i&gt;et al.&lt;/i&gt;, 2015)","plainTextFormattedCitation":"(Kocatürk et al., 2015)","previouslyFormattedCitation":"(Kocatürk &lt;i&gt;et al.&lt;/i&gt;, 2015)"},"properties":{"noteIndex":0},"schema":"https://github.com/citation-style-language/schema/raw/master/csl-citation.json"}</w:instrText>
      </w:r>
      <w:r w:rsidR="002320EC"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(Kocatürk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2015)</w:t>
      </w:r>
      <w:r w:rsidR="002320EC" w:rsidRPr="00B279FC">
        <w:rPr>
          <w:rFonts w:ascii="Times New Roman" w:hAnsi="Times New Roman" w:cs="Times New Roman"/>
          <w:sz w:val="24"/>
          <w:szCs w:val="24"/>
        </w:rPr>
        <w:fldChar w:fldCharType="end"/>
      </w:r>
      <w:r w:rsidR="00AB346D">
        <w:rPr>
          <w:rFonts w:ascii="Times New Roman" w:hAnsi="Times New Roman" w:cs="Times New Roman"/>
          <w:sz w:val="24"/>
          <w:szCs w:val="24"/>
        </w:rPr>
        <w:t xml:space="preserve">, </w:t>
      </w:r>
      <w:r w:rsidR="002320EC" w:rsidRPr="00B279FC">
        <w:rPr>
          <w:rFonts w:ascii="Times New Roman" w:eastAsia="Times New Roman" w:hAnsi="Times New Roman" w:cs="Times New Roman"/>
          <w:sz w:val="24"/>
          <w:szCs w:val="24"/>
          <w:lang w:eastAsia="en-GB"/>
        </w:rPr>
        <w:t xml:space="preserve">the US </w:t>
      </w:r>
      <w:r w:rsidR="002320EC"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{"citationItems":[{"id":"ITEM-1","itemData":{"DOI":"10.1016/j.ajo.2019.06.019","ISSN":"18791891","PMID":"31238025","abstract":"Purpose: To identify baseline and longitudinal risk factors for fast visual field (VF) decay in patients with open-angle glaucoma. Design: Retrospective cohort study. Methods: Patients with open-angle glaucoma with ≥6 VFs and ≥4 years of follow-up were included. VF decay rates were measured with the following methods: mean deviation (MD) rate, VF index (VFI) rate, and the Glaucoma Rate Index (GRI). The relationship between VF rates and clinical variables were investigated with linear mixed models. Logistic regression analysis was performed to determine which factors were associated with fast progression. Results: A total of 1317 eyes of 745 patients with a mean (± SD) age of 63.3 (±10.9) years and a median (interquartile range) MD −2.4 (−0.7 to −5.6) dB at baseline were analyzed. The median (interquartile range) number of VFs was 12 (9 to 16), and mean follow-up duration was 11.5 (±3.7) years. Older age (P &lt; .001), higher peak intraocular pressure (IOP) (P &lt; .001), and glaucoma surgery during the study period (P &lt; .001) were associated with faster rates of progression regardless of the method used. Worse baseline MD was associated with MD rate (P = .02), but neither with VFI rate (P = .37) nor GRI (P = .31); whereas pseudoexfoliative glaucoma was associated with faster rates of progression with MD (P = .008) and VFI (P = .01) rates, but not with GRI. Higher peak IOPs (P = .005) was a significant predictor for fast progression. Conclusion: In this cohort, older age, peak IOP, pseudoexfoliative glaucoma, and baseline MD were associated with the rate of glaucomatous VF worsening. Fast progressors had a higher peak IOP than non–fast progressors. The identification and appropriately aggressive treatment of fast progressors would reduce visual disability from glaucoma.","author":[{"dropping-particle":"","family":"Kim","given":"Ji Hyun","non-dropping-particle":"","parse-names":false,"suffix":""},{"dropping-particle":"","family":"Rabiolo","given":"Alessandro","non-dropping-particle":"","parse-names":false,"suffix":""},{"dropping-particle":"","family":"Morales","given":"Esteban","non-dropping-particle":"","parse-names":false,"suffix":""},{"dropping-particle":"","family":"Yu","given":"Fei","non-dropping-particle":"","parse-names":false,"suffix":""},{"dropping-particle":"","family":"Afifi","given":"Abdelmonem A.","non-dropping-particle":"","parse-names":false,"suffix":""},{"dropping-particle":"","family":"Nouri-Mahdavi","given":"Kouros","non-dropping-particle":"","parse-names":false,"suffix":""},{"dropping-particle":"","family":"Caprioli","given":"Joseph","non-dropping-particle":"","parse-names":false,"suffix":""}],"container-title":"American Journal of Ophthalmology","id":"ITEM-1","issued":{"date-parts":[["2019"]]},"page":"268-278","publisher":"Elsevier Inc.","title":"Risk Factors for Fast Visual Field Progression in Glaucoma","type":"article-journal","volume":"207"},"uris":["http://www.mendeley.com/documents/?uuid=de61a9af-d157-40fe-84a2-e50ab34ddb92"]}],"mendeley":{"formattedCitation":"(Kim &lt;i&gt;et al.&lt;/i&gt;, 2019)","plainTextFormattedCitation":"(Kim et al., 2019)","previouslyFormattedCitation":"(Kim &lt;i&gt;et al.&lt;/i&gt;, 2019)"},"properties":{"noteIndex":0},"schema":"https://github.com/citation-style-language/schema/raw/master/csl-citation.json"}</w:instrText>
      </w:r>
      <w:r w:rsidR="002320EC"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(Kim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2019)</w:t>
      </w:r>
      <w:r w:rsidR="002320EC" w:rsidRPr="00B279FC">
        <w:rPr>
          <w:rFonts w:ascii="Times New Roman" w:hAnsi="Times New Roman" w:cs="Times New Roman"/>
          <w:sz w:val="24"/>
          <w:szCs w:val="24"/>
        </w:rPr>
        <w:fldChar w:fldCharType="end"/>
      </w:r>
      <w:r w:rsidR="002320EC" w:rsidRPr="00B279FC">
        <w:rPr>
          <w:rFonts w:ascii="Times New Roman" w:eastAsia="Times New Roman" w:hAnsi="Times New Roman" w:cs="Times New Roman"/>
          <w:sz w:val="24"/>
          <w:szCs w:val="24"/>
          <w:lang w:eastAsia="en-GB"/>
        </w:rPr>
        <w:t xml:space="preserve">, and France </w:t>
      </w:r>
      <w:r w:rsidR="002320EC"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{"citationItems":[{"id":"ITEM-1","itemData":{"DOI":"10.1111/aos.12788","ISSN":"17553768","PMID":"26095771","abstract":"Purpose To evaluate the visual field rate of progression of patients with treated ocular hypertension (OHT) and primary open-angle glaucoma (POAG) in clinical practice, using the mean deviation (MD) and the visual field index (VFI). Methods Non-interventional cohort study. From a large multicentre database representative of the French population, 441 eyes of 228 patients with treated OHT or POAG followed up at least 6 years with Humphrey 24.2 Sita-Standard visual field examination at least twice a year were identified. From initial data, eyes were classified in five groups: 121 with OHT, 188 with early glaucoma (MD greater than -6 dB), 45 with moderate glaucoma (MD -6 to -12 dB), 41 with advanced glaucoma (MD -12 to -18 dB) and 46 with severe glaucoma (MD less than -18 dB). Rate of progression during the follow-up period was calculated using the trend analysis of the Guided Progression Analysis software. Results The mean duration of follow-up was 8.4 ± 2.7 years and the mean number of visual field, 18.4 ± 3.5. In eyes with OHT, rate of progression was -0.09 dB/year (-0.17%VFI/year). In eyes with POAG, rate of progression was -0.32 dB/year (-0.83%VFI/year) in eyes with early glaucoma, -0.52 dB/year (-1.81%VFI/year) in moderate glaucoma, -0.54 dB/year (-2.35%VFI/year) in advanced glaucoma and -0.45 dB/year (-1.97%VFI/year) in severe glaucoma. In eyes with POAG, a significant progression (p &lt; 0.05) was detected in 159 of 320 eyes (49.7%) with trend analysis and 117 of 320 eyes (36.6%, likely progression) or 183 of 320 eyes (57.2%, possible and likely progression) with event analysis. Conclusions Primary open-angle glaucoma is a progressive disease in the majority of patients despite cautioned treatment and follow-up. The rate of progression varies greatly among subjects.","author":[{"dropping-particle":"","family":"Aptel","given":"Florent","non-dropping-particle":"","parse-names":false,"suffix":""},{"dropping-particle":"","family":"Aryal-Charles","given":"Nishal","non-dropping-particle":"","parse-names":false,"suffix":""},{"dropping-particle":"","family":"Giraud","given":"Jean Marie","non-dropping-particle":"","parse-names":false,"suffix":""},{"dropping-particle":"","family":"Chehab","given":"Hussam","non-dropping-particle":"El","parse-names":false,"suffix":""},{"dropping-particle":"","family":"Delbarre","given":"Maxime","non-dropping-particle":"","parse-names":false,"suffix":""},{"dropping-particle":"","family":"Chiquet","given":"Christophe","non-dropping-particle":"","parse-names":false,"suffix":""},{"dropping-particle":"","family":"Romanet","given":"Jean Paul","non-dropping-particle":"","parse-names":false,"suffix":""},{"dropping-particle":"","family":"Renard","given":"Jean Paul","non-dropping-particle":"","parse-names":false,"suffix":""}],"container-title":"Acta Ophthalmologica","id":"ITEM-1","issue":"8","issued":{"date-parts":[["2015"]]},"page":"e615-e620","title":"Progression of visual field in patients with primary open-angle glaucoma - ProgF study 1","type":"article-journal","volume":"93"},"uris":["http://www.mendeley.com/documents/?uuid=dc452583-dedf-48b6-85d5-b5aa783f1488"]}],"mendeley":{"formattedCitation":"(Aptel &lt;i&gt;et al.&lt;/i&gt;, 2015)","plainTextFormattedCitation":"(Aptel et al., 2015)","previouslyFormattedCitation":"(Aptel &lt;i&gt;et al.&lt;/i&gt;, 2015)"},"properties":{"noteIndex":0},"schema":"https://github.com/citation-style-language/schema/raw/master/csl-citation.json"}</w:instrText>
      </w:r>
      <w:r w:rsidR="002320EC"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(Aptel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2015)</w:t>
      </w:r>
      <w:r w:rsidR="002320EC" w:rsidRPr="00B279FC">
        <w:rPr>
          <w:rFonts w:ascii="Times New Roman" w:hAnsi="Times New Roman" w:cs="Times New Roman"/>
          <w:sz w:val="24"/>
          <w:szCs w:val="24"/>
        </w:rPr>
        <w:fldChar w:fldCharType="end"/>
      </w:r>
      <w:r w:rsidR="002320EC" w:rsidRPr="00B279FC">
        <w:rPr>
          <w:rFonts w:ascii="Times New Roman" w:hAnsi="Times New Roman" w:cs="Times New Roman"/>
          <w:sz w:val="24"/>
          <w:szCs w:val="24"/>
        </w:rPr>
        <w:t xml:space="preserve">, </w:t>
      </w:r>
      <w:r w:rsidR="002320EC" w:rsidRPr="00B279FC">
        <w:rPr>
          <w:rFonts w:ascii="Times New Roman" w:eastAsia="Times New Roman" w:hAnsi="Times New Roman" w:cs="Times New Roman"/>
          <w:sz w:val="24"/>
          <w:szCs w:val="24"/>
          <w:lang w:eastAsia="en-GB"/>
        </w:rPr>
        <w:t xml:space="preserve"> reported slightly higher progression rates, possib</w:t>
      </w:r>
      <w:r>
        <w:rPr>
          <w:rFonts w:ascii="Times New Roman" w:eastAsia="Times New Roman" w:hAnsi="Times New Roman" w:cs="Times New Roman"/>
          <w:sz w:val="24"/>
          <w:szCs w:val="24"/>
          <w:lang w:eastAsia="en-GB"/>
        </w:rPr>
        <w:t xml:space="preserve">ly due to differences in follow </w:t>
      </w:r>
      <w:r w:rsidR="002320EC" w:rsidRPr="00B279FC">
        <w:rPr>
          <w:rFonts w:ascii="Times New Roman" w:eastAsia="Times New Roman" w:hAnsi="Times New Roman" w:cs="Times New Roman"/>
          <w:sz w:val="24"/>
          <w:szCs w:val="24"/>
          <w:lang w:eastAsia="en-GB"/>
        </w:rPr>
        <w:t>up duration and progression definitions.</w:t>
      </w:r>
    </w:p>
    <w:p w14:paraId="7F91D3C0" w14:textId="77777777" w:rsidR="002320EC" w:rsidRPr="00B279FC"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r w:rsidRPr="00B279FC">
        <w:rPr>
          <w:rFonts w:ascii="Times New Roman" w:eastAsia="Times New Roman" w:hAnsi="Times New Roman" w:cs="Times New Roman"/>
          <w:sz w:val="24"/>
          <w:szCs w:val="24"/>
          <w:lang w:eastAsia="en-GB"/>
        </w:rPr>
        <w:lastRenderedPageBreak/>
        <w:t>The highest progression was seen in eyes initially diagnosed with severe disease (30.7%), followed by mild (28.6%), moderate (25.7%), and advanced cases (15%). This confirms that disease severity at diagnosis is a critical predictor of future deterioration, with more severe cases exhibiting faster decline. Notably, 77.1% of progressing eyes advanced to more severe stages, highlighting the relentless nature of glaucoma despite therapeutic interventions.</w:t>
      </w:r>
    </w:p>
    <w:p w14:paraId="1875653D" w14:textId="5DC7871F" w:rsidR="002320EC" w:rsidRPr="00B279FC"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r w:rsidRPr="00B279FC">
        <w:rPr>
          <w:rFonts w:ascii="Times New Roman" w:eastAsia="Times New Roman" w:hAnsi="Times New Roman" w:cs="Times New Roman"/>
          <w:sz w:val="24"/>
          <w:szCs w:val="24"/>
          <w:lang w:eastAsia="en-GB"/>
        </w:rPr>
        <w:t>Multivariate logistic regression identified several key factors associate</w:t>
      </w:r>
      <w:r w:rsidR="00CD5258">
        <w:rPr>
          <w:rFonts w:ascii="Times New Roman" w:eastAsia="Times New Roman" w:hAnsi="Times New Roman" w:cs="Times New Roman"/>
          <w:sz w:val="24"/>
          <w:szCs w:val="24"/>
          <w:lang w:eastAsia="en-GB"/>
        </w:rPr>
        <w:t xml:space="preserve">d with POAG progression. Normal </w:t>
      </w:r>
      <w:r w:rsidRPr="00B279FC">
        <w:rPr>
          <w:rFonts w:ascii="Times New Roman" w:eastAsia="Times New Roman" w:hAnsi="Times New Roman" w:cs="Times New Roman"/>
          <w:sz w:val="24"/>
          <w:szCs w:val="24"/>
          <w:lang w:eastAsia="en-GB"/>
        </w:rPr>
        <w:t>tension POAG was significantly associated with higher progression risk (</w:t>
      </w:r>
      <w:proofErr w:type="spellStart"/>
      <w:r w:rsidRPr="00B279FC">
        <w:rPr>
          <w:rFonts w:ascii="Times New Roman" w:eastAsia="Times New Roman" w:hAnsi="Times New Roman" w:cs="Times New Roman"/>
          <w:sz w:val="24"/>
          <w:szCs w:val="24"/>
          <w:lang w:eastAsia="en-GB"/>
        </w:rPr>
        <w:t>aHR</w:t>
      </w:r>
      <w:proofErr w:type="spellEnd"/>
      <w:r w:rsidRPr="00B279FC">
        <w:rPr>
          <w:rFonts w:ascii="Times New Roman" w:eastAsia="Times New Roman" w:hAnsi="Times New Roman" w:cs="Times New Roman"/>
          <w:sz w:val="24"/>
          <w:szCs w:val="24"/>
          <w:lang w:eastAsia="en-GB"/>
        </w:rPr>
        <w:t xml:space="preserve">: 2.6, 95% CI: 1.4-4.8, p = 0.002), consistent with literature </w:t>
      </w:r>
      <w:r w:rsidRPr="00B279FC">
        <w:rPr>
          <w:rFonts w:ascii="Times New Roman" w:eastAsia="Times New Roman" w:hAnsi="Times New Roman" w:cs="Times New Roman"/>
          <w:sz w:val="24"/>
          <w:szCs w:val="24"/>
          <w:lang w:eastAsia="en-GB"/>
        </w:rPr>
        <w:fldChar w:fldCharType="begin" w:fldLock="1"/>
      </w:r>
      <w:r w:rsidR="00C45B32">
        <w:rPr>
          <w:rFonts w:ascii="Times New Roman" w:eastAsia="Times New Roman" w:hAnsi="Times New Roman" w:cs="Times New Roman"/>
          <w:sz w:val="24"/>
          <w:szCs w:val="24"/>
          <w:lang w:eastAsia="en-GB"/>
        </w:rPr>
        <w:instrText>ADDIN CSL_CITATION {"citationItems":[{"id":"ITEM-1","itemData":{"DOI":"10.1186/s13104-015-1339-x","ISSN":"17560500","PMID":"26286038","abstract":"Background: The characteristics of glaucoma patients and their response to therapy may differ by institution, region and country. Therefore, clinicians should understand the distinctiveness of their patients. Here, we profile primary open angle glaucoma (POAG) and normal tension glaucoma (NTG) patients at a major university hospital in Japan. Methods: This study included 523 eyes from 523 POAG and NTG patients who underwent full clinical ophthalmologic evaluations at Tohoku University Hospital. Clinical characteristics such as age, sex, visual acuity, intraocular pressure, Humphrey field analyzer-measured mean deviation (MD) and MD slope were collected retrospectively. MD slope was calculated from MD data that included the first baseline measurement of MD and 4 subsequent, consecutive, reliable measurements of MD. Refractive error was analyzed in a subgroup with no history of refractive surgery, including intraocular lens implantation. Patient characteristics were analyzed separately in the groups of patients with low (&lt;15 mmHg) and high IOP (≥15 mmHg) and in the groups with MD slope ≥-1.0 and &lt;-1.0 dB/year. Results: Mean age, visual acuity (median), IOP, pre-treatment IOP (from patient history), refractive error and MD were 61.7 ± 12.5 years, -0.08 (interquartile range -0.08 to 0.05) LogMAR, 13.87 ± 3.37 mmHg, 18.35 ± 6.26 mmHg, -4.48 ± 3.81 diopters and -11.73 ± 8.83 dB, respectively. POAG and NTG patients had significant differences in mean age (63.4 ± 12.4 vs. 60.7 ± 12.5 years, P &lt; 0.01), visual acuity, IOP (14.95 ± 4.20 vs. 13.21 ± 2.54 mmHg, P &lt; 0.01) and MD (-13.85 ± 9.32 vs. -10.45 ± 8.27 dB, P &lt; 0.01). Interestingly, MD slope was slightly steeper in the low-IOP group than in the high-IOP group, although the difference was not statistically significant (-0.85 vs. -0.70 dB/year, P = 0.31). Baseline MD was significantly worse in the group with MD slope &lt;-1.0 dB/year than in the group with MD slope ≥-1.0 dB/year (-11.56 vs. -7.64 dB/year, P &lt; 0.01). Conclusions: We identified characteristics of glaucoma patients at a university hospital that may reflect the specialized nature of such an institution.","author":[{"dropping-particle":"","family":"Yokoyama","given":"Yu","non-dropping-particle":"","parse-names":false,"suffix":""},{"dropping-particle":"","family":"Maruyama","given":"Kazuichi","non-dropping-particle":"","parse-names":false,"suffix":""},{"dropping-particle":"","family":"Konno","given":"Hideyuki","non-dropping-particle":"","parse-names":false,"suffix":""},{"dropping-particle":"","family":"Hashimoto","given":"Sayaka","non-dropping-particle":"","parse-names":false,"suffix":""},{"dropping-particle":"","family":"Takahashi","given":"Mai","non-dropping-particle":"","parse-names":false,"suffix":""},{"dropping-particle":"","family":"Kayaba","given":"Hiroko","non-dropping-particle":"","parse-names":false,"suffix":""},{"dropping-particle":"","family":"Kokubun","given":"Taiki","non-dropping-particle":"","parse-names":false,"suffix":""},{"dropping-particle":"","family":"Nakazawa","given":"Toru","non-dropping-particle":"","parse-names":false,"suffix":""}],"container-title":"BMC Research Notes","id":"ITEM-1","issue":"1","issued":{"date-parts":[["2015"]]},"page":"1-8","publisher":"BioMed Central","title":"Characteristics of patients with primary open angle glaucoma and normal tension glaucoma at a university hospital: A cross-sectional retrospective study","type":"article-journal","volume":"8"},"uris":["http://www.mendeley.com/documents/?uuid=76b5e765-1c0b-4d2c-b0ab-5f346f496324"]}],"mendeley":{"formattedCitation":"(Yokoyama &lt;i&gt;et al.&lt;/i&gt;, 2015)","plainTextFormattedCitation":"(Yokoyama et al., 2015)","previouslyFormattedCitation":"(Yokoyama &lt;i&gt;et al.&lt;/i&gt;, 2015)"},"properties":{"noteIndex":0},"schema":"https://github.com/citation-style-language/schema/raw/master/csl-citation.json"}</w:instrText>
      </w:r>
      <w:r w:rsidRPr="00B279FC">
        <w:rPr>
          <w:rFonts w:ascii="Times New Roman" w:eastAsia="Times New Roman" w:hAnsi="Times New Roman" w:cs="Times New Roman"/>
          <w:sz w:val="24"/>
          <w:szCs w:val="24"/>
          <w:lang w:eastAsia="en-GB"/>
        </w:rPr>
        <w:fldChar w:fldCharType="separate"/>
      </w:r>
      <w:r w:rsidR="00086E2E" w:rsidRPr="00086E2E">
        <w:rPr>
          <w:rFonts w:ascii="Times New Roman" w:eastAsia="Times New Roman" w:hAnsi="Times New Roman" w:cs="Times New Roman"/>
          <w:noProof/>
          <w:sz w:val="24"/>
          <w:szCs w:val="24"/>
          <w:lang w:eastAsia="en-GB"/>
        </w:rPr>
        <w:t xml:space="preserve">(Yokoyama </w:t>
      </w:r>
      <w:r w:rsidR="00086E2E" w:rsidRPr="00086E2E">
        <w:rPr>
          <w:rFonts w:ascii="Times New Roman" w:eastAsia="Times New Roman" w:hAnsi="Times New Roman" w:cs="Times New Roman"/>
          <w:i/>
          <w:noProof/>
          <w:sz w:val="24"/>
          <w:szCs w:val="24"/>
          <w:lang w:eastAsia="en-GB"/>
        </w:rPr>
        <w:t>et al.</w:t>
      </w:r>
      <w:r w:rsidR="00086E2E" w:rsidRPr="00086E2E">
        <w:rPr>
          <w:rFonts w:ascii="Times New Roman" w:eastAsia="Times New Roman" w:hAnsi="Times New Roman" w:cs="Times New Roman"/>
          <w:noProof/>
          <w:sz w:val="24"/>
          <w:szCs w:val="24"/>
          <w:lang w:eastAsia="en-GB"/>
        </w:rPr>
        <w:t>, 2015)</w:t>
      </w:r>
      <w:r w:rsidRPr="00B279FC">
        <w:rPr>
          <w:rFonts w:ascii="Times New Roman" w:eastAsia="Times New Roman" w:hAnsi="Times New Roman" w:cs="Times New Roman"/>
          <w:sz w:val="24"/>
          <w:szCs w:val="24"/>
          <w:lang w:eastAsia="en-GB"/>
        </w:rPr>
        <w:fldChar w:fldCharType="end"/>
      </w:r>
      <w:r w:rsidRPr="00B279FC">
        <w:rPr>
          <w:rFonts w:ascii="Times New Roman" w:eastAsia="Times New Roman" w:hAnsi="Times New Roman" w:cs="Times New Roman"/>
          <w:sz w:val="24"/>
          <w:szCs w:val="24"/>
          <w:lang w:eastAsia="en-GB"/>
        </w:rPr>
        <w:t>, suggesting th</w:t>
      </w:r>
      <w:r w:rsidR="00CD5258">
        <w:rPr>
          <w:rFonts w:ascii="Times New Roman" w:eastAsia="Times New Roman" w:hAnsi="Times New Roman" w:cs="Times New Roman"/>
          <w:sz w:val="24"/>
          <w:szCs w:val="24"/>
          <w:lang w:eastAsia="en-GB"/>
        </w:rPr>
        <w:t xml:space="preserve">at NTG may be influenced by non IOP </w:t>
      </w:r>
      <w:r w:rsidRPr="00B279FC">
        <w:rPr>
          <w:rFonts w:ascii="Times New Roman" w:eastAsia="Times New Roman" w:hAnsi="Times New Roman" w:cs="Times New Roman"/>
          <w:sz w:val="24"/>
          <w:szCs w:val="24"/>
          <w:lang w:eastAsia="en-GB"/>
        </w:rPr>
        <w:t xml:space="preserve">related mechanisms such as vascular insufficiency and oxidative stress. Higher baseline disease severity was also predictive of progression similar to other studies </w:t>
      </w:r>
      <w:r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{"citationItems":[{"id":"ITEM-1","itemData":{"DOI":"10.1111/j.1755-3768.2012.02492.x","ISSN":"1755375X","PMID":"23066646","abstract":"Purpose: To investigate rates of visual field progression and factors associated with progression rate in open-angle glaucoma in clinical glaucoma care. Methods: We performed a retrospective chart review of all patients with manifest primary open-angle glaucoma (POAG) and pseudoexfoliation glaucoma (PEXG) followed ≥ 5 years with ≥5 SITA Standard fields. Exclusion criteria were minimal. Demographics, intraocular pressure values (IOP), treatment and treatment changes, and visual field (VF) data were recorded. VF progression rates were calculated as slopes of mean deviation (MD) over time. Results: Five hundred and eighty-three patients were eligible. Three hundred and sixty-seven (62%) had POAG and 221 (38%) PEXG. Median MD at study start was -10.0 dB. Mean follow-up time was 7.8 years (SD ± 1.2); mean number of VF tests was 8.9 (SD ± 2.8). Progression rates varied very much among patients with a mean of -0.80 dB/year (SD ± 0.82; median rate, -0.62), and 5.6% of patients progressed at rates worse than -2.5 dB per year A negative slope of MD values was observed in 89% of patients. Mean IOP of all visits decreased over the study period from 20.15 to 18.10 mmHg. Higher age and mean IOP, and more intensive treatment were associated with more rapid progression, while PEXG and IOP variation were not, if treatment intensity was taken into account. Conclusion: Rates of visual field progression in manifest glaucoma with field loss in ordinary clinical care were highly variable. Progression rates rapid enough to influence quality of life were common. © 2012 The Authors. Acta Ophthalmologica © 2012 Acta Ophthalmologica Scandinavica Foundation.","author":[{"dropping-particle":"","family":"Heijl","given":"Anders","non-dropping-particle":"","parse-names":false,"suffix":""},{"dropping-particle":"","family":"Buchholz","given":"Patricia","non-dropping-particle":"","parse-names":false,"suffix":""},{"dropping-particle":"","family":"Norrgren","given":"Gunilla","non-dropping-particle":"","parse-names":false,"suffix":""},{"dropping-particle":"","family":"Bengtsson","given":"Boel","non-dropping-particle":"","parse-names":false,"suffix":""}],"container-title":"Acta Ophthalmologica","id":"ITEM-1","issue":"5","issued":{"date-parts":[["2013"]]},"page":"406-412","title":"Rates of visual field progression in clinical glaucoma care","type":"article","volume":"91"},"uris":["http://www.mendeley.com/documents/?uuid=801dfc4a-4853-48a3-8299-90b7471cd01f"]},{"id":"ITEM-2","itemData":{"DOI":"10.1016/j.ajo.2019.06.019","ISSN":"18791891","PMID":"31238025","abstract":"Purpose: To identify baseline and longitudinal risk factors for fast visual field (VF) decay in patients with open-angle glaucoma. Design: Retrospective cohort study. Methods: Patients with open-angle glaucoma with ≥6 VFs and ≥4 years of follow-up were included. VF decay rates were measured with the following methods: mean deviation (MD) rate, VF index (VFI) rate, and the Glaucoma Rate Index (GRI). The relationship between VF rates and clinical variables were investigated with linear mixed models. Logistic regression analysis was performed to determine which factors were associated with fast progression. Results: A total of 1317 eyes of 745 patients with a mean (± SD) age of 63.3 (±10.9) years and a median (interquartile range) MD −2.4 (−0.7 to −5.6) dB at baseline were analyzed. The median (interquartile range) number of VFs was 12 (9 to 16), and mean follow-up duration was 11.5 (±3.7) years. Older age (P &lt; .001), higher peak intraocular pressure (IOP) (P &lt; .001), and glaucoma surgery during the study period (P &lt; .001) were associated with faster rates of progression regardless of the method used. Worse baseline MD was associated with MD rate (P = .02), but neither with VFI rate (P = .37) nor GRI (P = .31); whereas pseudoexfoliative glaucoma was associated with faster rates of progression with MD (P = .008) and VFI (P = .01) rates, but not with GRI. Higher peak IOPs (P = .005) was a significant predictor for fast progression. Conclusion: In this cohort, older age, peak IOP, pseudoexfoliative glaucoma, and baseline MD were associated with the rate of glaucomatous VF worsening. Fast progressors had a higher peak IOP than non–fast progressors. The identification and appropriately aggressive treatment of fast progressors would reduce visual disability from glaucoma.","author":[{"dropping-particle":"","family":"Kim","given":"Ji Hyun","non-dropping-particle":"","parse-names":false,"suffix":""},{"dropping-particle":"","family":"Rabiolo","given":"Alessandro","non-dropping-particle":"","parse-names":false,"suffix":""},{"dropping-particle":"","family":"Morales","given":"Esteban","non-dropping-particle":"","parse-names":false,"suffix":""},{"dropping-particle":"","family":"Yu","given":"Fei","non-dropping-particle":"","parse-names":false,"suffix":""},{"dropping-particle":"","family":"Afifi","given":"Abdelmonem A.","non-dropping-particle":"","parse-names":false,"suffix":""},{"dropping-particle":"","family":"Nouri-Mahdavi","given":"Kouros","non-dropping-particle":"","parse-names":false,"suffix":""},{"dropping-particle":"","family":"Caprioli","given":"Joseph","non-dropping-particle":"","parse-names":false,"suffix":""}],"container-title":"American Journal of Ophthalmology","id":"ITEM-2","issued":{"date-parts":[["2019"]]},"page":"268-278","publisher":"Elsevier Inc.","title":"Risk Factors for Fast Visual Field Progression in Glaucoma","type":"article-journal","volume":"207"},"uris":["http://www.mendeley.com/documents/?uuid=de61a9af-d157-40fe-84a2-e50ab34ddb92"]},{"id":"ITEM-3","itemData":{"DOI":"10.1016/j.ajo.2013.05.027","ISSN":"00029394","PMID":"23932216","abstract":"Purpose To determine the lifetime risk and duration of blindness in patients with manifest open-angle glaucoma (OAG). Design Retrospective chart review. Methods We studied glaucoma patients who died between January 2006 and June 2010. Most glaucoma patients living in the catchment area (city of Malmö; n = 305 000) are managed at the Department of Ophthalmology at Skåne University Hospital in Malmö. From the patient records we extracted visual field status, visual acuity, and low vision or blindness as defined by the World Health Organization (WHO) criteria and caused by glaucoma at the time of diagnosis and during follow-up. We also noted age at diagnosis and death and when low vision or blindness occurred. Results Five hundred and ninety-two patients were included. At the time of the last visit 250 patients (42.2%) had at least 1 blind eye because of glaucoma, while 97 patients (16.4%) were bilaterally blind, and 12 patients (0.5%) had low vision. Median time with a glaucoma diagnosis was 12 years (&lt;1-29), median age when developing bilateral blindness was 86 years, and median duration of bilateral blindness was 2 years (&lt;1-13). The cumulative incidences of blindness in at least 1 eye and bilateral blindness from glaucoma were 26.5% and 5.5%, respectively, after 10 years, and 38.1% and 13.5% at 20 years. Conclusions Approximately 1 out of 6 glaucoma patients was bilaterally blind from glaucoma at the last visit. Median duration of bilateral blindness was 2 years.","author":[{"dropping-particle":"","family":"Peters","given":"Dorothea","non-dropping-particle":"","parse-names":false,"suffix":""},{"dropping-particle":"","family":"Bengtsson","given":"Boel","non-dropping-particle":"","parse-names":false,"suffix":""},{"dropping-particle":"","family":"Heijl","given":"Anders","non-dropping-particle":"","parse-names":false,"suffix":""}],"container-title":"American Journal of Ophthalmology","id":"ITEM-3","issue":"4","issued":{"date-parts":[["2013"]]},"page":"724-730","publisher":"The Authors","title":"Lifetime risk of blindness in open-angle glaucoma","type":"article-journal","volume":"156"},"uris":["http://www.mendeley.com/documents/?uuid=3e06208e-4d7a-4c99-bdb0-5b77d1e7da13"]}],"mendeley":{"formattedCitation":"(Heijl &lt;i&gt;et al.&lt;/i&gt;, 2013; Peters, Bengtsson and Heijl, 2013; Kim &lt;i&gt;et al.&lt;/i&gt;, 2019)","plainTextFormattedCitation":"(Heijl et al., 2013; Peters, Bengtsson and Heijl, 2013; Kim et al., 2019)","previouslyFormattedCitation":"(Heijl &lt;i&gt;et al.&lt;/i&gt;, 2013; Peters, Bengtsson and Heijl, 2013; Kim &lt;i&gt;et al.&lt;/i&gt;, 2019)"},"properties":{"noteIndex":0},"schema":"https://github.com/citation-style-language/schema/raw/master/csl-citation.json"}</w:instrText>
      </w:r>
      <w:r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(Heijl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xml:space="preserve">, 2013; Peters, Bengtsson and Heijl, 2013; Kim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2019)</w:t>
      </w:r>
      <w:r w:rsidRPr="00B279FC">
        <w:rPr>
          <w:rFonts w:ascii="Times New Roman" w:hAnsi="Times New Roman" w:cs="Times New Roman"/>
          <w:sz w:val="24"/>
          <w:szCs w:val="24"/>
        </w:rPr>
        <w:fldChar w:fldCharType="end"/>
      </w:r>
      <w:r w:rsidRPr="00B279FC">
        <w:rPr>
          <w:rFonts w:ascii="Times New Roman" w:eastAsia="Times New Roman" w:hAnsi="Times New Roman" w:cs="Times New Roman"/>
          <w:sz w:val="24"/>
          <w:szCs w:val="24"/>
          <w:lang w:eastAsia="en-GB"/>
        </w:rPr>
        <w:t xml:space="preserve"> </w:t>
      </w:r>
      <w:r w:rsidR="00AB346D">
        <w:rPr>
          <w:rFonts w:ascii="Times New Roman" w:eastAsia="Times New Roman" w:hAnsi="Times New Roman" w:cs="Times New Roman"/>
          <w:sz w:val="24"/>
          <w:szCs w:val="24"/>
          <w:lang w:eastAsia="en-GB"/>
        </w:rPr>
        <w:t xml:space="preserve"> </w:t>
      </w:r>
      <w:r w:rsidRPr="00B279FC">
        <w:rPr>
          <w:rFonts w:ascii="Times New Roman" w:eastAsia="Times New Roman" w:hAnsi="Times New Roman" w:cs="Times New Roman"/>
          <w:sz w:val="24"/>
          <w:szCs w:val="24"/>
          <w:lang w:eastAsia="en-GB"/>
        </w:rPr>
        <w:t>with advanced and severe disease stages  in current study demonstrating significantly increased risk (</w:t>
      </w:r>
      <w:proofErr w:type="spellStart"/>
      <w:r w:rsidRPr="00B279FC">
        <w:rPr>
          <w:rFonts w:ascii="Times New Roman" w:eastAsia="Times New Roman" w:hAnsi="Times New Roman" w:cs="Times New Roman"/>
          <w:sz w:val="24"/>
          <w:szCs w:val="24"/>
          <w:lang w:eastAsia="en-GB"/>
        </w:rPr>
        <w:t>aHR</w:t>
      </w:r>
      <w:proofErr w:type="spellEnd"/>
      <w:r w:rsidRPr="00B279FC">
        <w:rPr>
          <w:rFonts w:ascii="Times New Roman" w:eastAsia="Times New Roman" w:hAnsi="Times New Roman" w:cs="Times New Roman"/>
          <w:sz w:val="24"/>
          <w:szCs w:val="24"/>
          <w:lang w:eastAsia="en-GB"/>
        </w:rPr>
        <w:t xml:space="preserve">: 2.6, p = 0.017; </w:t>
      </w:r>
      <w:proofErr w:type="spellStart"/>
      <w:r w:rsidRPr="00B279FC">
        <w:rPr>
          <w:rFonts w:ascii="Times New Roman" w:eastAsia="Times New Roman" w:hAnsi="Times New Roman" w:cs="Times New Roman"/>
          <w:sz w:val="24"/>
          <w:szCs w:val="24"/>
          <w:lang w:eastAsia="en-GB"/>
        </w:rPr>
        <w:t>aHR</w:t>
      </w:r>
      <w:proofErr w:type="spellEnd"/>
      <w:r w:rsidRPr="00B279FC">
        <w:rPr>
          <w:rFonts w:ascii="Times New Roman" w:eastAsia="Times New Roman" w:hAnsi="Times New Roman" w:cs="Times New Roman"/>
          <w:sz w:val="24"/>
          <w:szCs w:val="24"/>
          <w:lang w:eastAsia="en-GB"/>
        </w:rPr>
        <w:t xml:space="preserve">: 3.0, p &lt; 0.001, respectively) </w:t>
      </w:r>
    </w:p>
    <w:p w14:paraId="6AB98BA1" w14:textId="140FE0E8" w:rsidR="002320EC" w:rsidRPr="00B279FC"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r w:rsidRPr="00B279FC">
        <w:rPr>
          <w:rFonts w:ascii="Times New Roman" w:eastAsia="Times New Roman" w:hAnsi="Times New Roman" w:cs="Times New Roman"/>
          <w:sz w:val="24"/>
          <w:szCs w:val="24"/>
          <w:lang w:eastAsia="en-GB"/>
        </w:rPr>
        <w:t>Refractive errors, particularly myopia, were strongly associated with disease progression (</w:t>
      </w:r>
      <w:proofErr w:type="spellStart"/>
      <w:r w:rsidRPr="00B279FC">
        <w:rPr>
          <w:rFonts w:ascii="Times New Roman" w:eastAsia="Times New Roman" w:hAnsi="Times New Roman" w:cs="Times New Roman"/>
          <w:sz w:val="24"/>
          <w:szCs w:val="24"/>
          <w:lang w:eastAsia="en-GB"/>
        </w:rPr>
        <w:t>aHR</w:t>
      </w:r>
      <w:proofErr w:type="spellEnd"/>
      <w:r w:rsidRPr="00B279FC">
        <w:rPr>
          <w:rFonts w:ascii="Times New Roman" w:eastAsia="Times New Roman" w:hAnsi="Times New Roman" w:cs="Times New Roman"/>
          <w:sz w:val="24"/>
          <w:szCs w:val="24"/>
          <w:lang w:eastAsia="en-GB"/>
        </w:rPr>
        <w:t xml:space="preserve">: 2.1, 95% CI: 1.9-4.4, p = 0.002) similar to report by </w:t>
      </w:r>
      <w:r w:rsidRPr="00B279FC">
        <w:rPr>
          <w:rFonts w:ascii="Times New Roman" w:hAnsi="Times New Roman" w:cs="Times New Roman"/>
          <w:sz w:val="24"/>
          <w:szCs w:val="24"/>
        </w:rPr>
        <w:fldChar w:fldCharType="begin" w:fldLock="1"/>
      </w:r>
      <w:r w:rsidR="00C45B32">
        <w:rPr>
          <w:rFonts w:ascii="Times New Roman" w:hAnsi="Times New Roman" w:cs="Times New Roman"/>
          <w:sz w:val="24"/>
          <w:szCs w:val="24"/>
        </w:rPr>
        <w:instrText>ADDIN CSL_CITATION {"citationItems":[{"id":"ITEM-1","itemData":{"DOI":"10.1167/iovs.14-16002","ISSN":"15525783","PMID":"25698704","abstract":"PURPOSE. To evaluate the effect of myopia on the progression of primary open-angle glaucoma. METHODS. In this retrospective cohort study, eyes were classified into nonmyopic (NMG, &gt;0 diopters [D]), mild to moderate (MMG, 0 to 6 D), and highly myopic glaucoma (HMG, &lt; 6D) groups according to the level of spherical equivalent. Glaucoma progression was determined either by optic disc/retinal nerve fiber layer (RNFL) photographs or by serial visual field (VF) data. Cox’s proportional hazard models were used to detect associations between potential risk factors and glaucoma progression.RESULTS. Among 369 eyes from 369 glaucoma patients (average follow-up, 4.4 years), 54 of 178 eyes (30.3%) in the NMG, 49 of 151 eyes (32.5%) in the MMG, and 8 of 40 eyes (20.0%) in the HMG showed progression. When VF was used as a progression criterion, thinner baseline RNFL (hazard ratio [HR]: 0.942, P &lt; 0.001) was predictive of progression. When optic disc/ RNFL photographs were used, worse baseline visual field mean deviation (VF MD) and thinner RNFL were associated. The HMG category was a preventive factor for optic disc/RNFL photographic progression (HR: 0.323, P ¼ 0.031).CONCLUSIONS. No levels of myopia were associated with glaucoma progression in our study. High myopia was a protective factor for optic disc/RNFL progression. These results may be interpreted as a lower progression detection rate because of the difficulty in detecting changes in the optic disc/RNFL in HMG, or as a consequence of some of highly myopic eyes that may not be true cases of glaucoma.","author":[{"dropping-particle":"","family":"Lee","given":"Jin Young","non-dropping-particle":"","parse-names":false,"suffix":""},{"dropping-particle":"","family":"Sung","given":"Kyung Rim","non-dropping-particle":"","parse-names":false,"suffix":""},{"dropping-particle":"","family":"Han","given":"Seungbong","non-dropping-particle":"","parse-names":false,"suffix":""},{"dropping-particle":"","family":"Na","given":"Jung Hwa","non-dropping-particle":"","parse-names":false,"suffix":""}],"container-title":"Investigative Ophthalmology and Visual Science","id":"ITEM-1","issue":"3","issued":{"date-parts":[["2015"]]},"page":"1775-1781","title":"Effect of myopia on the progression of primary openangle glaucoma","type":"article-journal","volume":"56"},"uris":["http://www.mendeley.com/documents/?uuid=17ffe00d-8308-49ed-8dc1-008eafc295da"]}],"mendeley":{"formattedCitation":"(Lee &lt;i&gt;et al.&lt;/i&gt;, 2015)","plainTextFormattedCitation":"(Lee et al., 2015)","previouslyFormattedCitation":"(Lee &lt;i&gt;et al.&lt;/i&gt;, 2015)"},"properties":{"noteIndex":0},"schema":"https://github.com/citation-style-language/schema/raw/master/csl-citation.json"}</w:instrText>
      </w:r>
      <w:r w:rsidRPr="00B279FC">
        <w:rPr>
          <w:rFonts w:ascii="Times New Roman" w:hAnsi="Times New Roman" w:cs="Times New Roman"/>
          <w:sz w:val="24"/>
          <w:szCs w:val="24"/>
        </w:rPr>
        <w:fldChar w:fldCharType="separate"/>
      </w:r>
      <w:r w:rsidR="00086E2E" w:rsidRPr="00086E2E">
        <w:rPr>
          <w:rFonts w:ascii="Times New Roman" w:hAnsi="Times New Roman" w:cs="Times New Roman"/>
          <w:noProof/>
          <w:sz w:val="24"/>
          <w:szCs w:val="24"/>
        </w:rPr>
        <w:t xml:space="preserve">(Lee </w:t>
      </w:r>
      <w:r w:rsidR="00086E2E" w:rsidRPr="00086E2E">
        <w:rPr>
          <w:rFonts w:ascii="Times New Roman" w:hAnsi="Times New Roman" w:cs="Times New Roman"/>
          <w:i/>
          <w:noProof/>
          <w:sz w:val="24"/>
          <w:szCs w:val="24"/>
        </w:rPr>
        <w:t>et al.</w:t>
      </w:r>
      <w:r w:rsidR="00086E2E" w:rsidRPr="00086E2E">
        <w:rPr>
          <w:rFonts w:ascii="Times New Roman" w:hAnsi="Times New Roman" w:cs="Times New Roman"/>
          <w:noProof/>
          <w:sz w:val="24"/>
          <w:szCs w:val="24"/>
        </w:rPr>
        <w:t>, 2015)</w:t>
      </w:r>
      <w:r w:rsidRPr="00B279FC">
        <w:rPr>
          <w:rFonts w:ascii="Times New Roman" w:hAnsi="Times New Roman" w:cs="Times New Roman"/>
          <w:sz w:val="24"/>
          <w:szCs w:val="24"/>
        </w:rPr>
        <w:fldChar w:fldCharType="end"/>
      </w:r>
      <w:r w:rsidRPr="00B279FC">
        <w:rPr>
          <w:rFonts w:ascii="Times New Roman" w:hAnsi="Times New Roman" w:cs="Times New Roman"/>
          <w:sz w:val="24"/>
          <w:szCs w:val="24"/>
        </w:rPr>
        <w:t xml:space="preserve">. </w:t>
      </w:r>
      <w:r w:rsidRPr="00B279FC">
        <w:rPr>
          <w:rFonts w:ascii="Times New Roman" w:eastAsia="Times New Roman" w:hAnsi="Times New Roman" w:cs="Times New Roman"/>
          <w:sz w:val="24"/>
          <w:szCs w:val="24"/>
          <w:lang w:eastAsia="en-GB"/>
        </w:rPr>
        <w:t>Myopia has been linked to structural changes in the optic nerve head, predisposing individuals to glaucomatous damage. On the other</w:t>
      </w:r>
      <w:r w:rsidR="00462185">
        <w:rPr>
          <w:rFonts w:ascii="Times New Roman" w:eastAsia="Times New Roman" w:hAnsi="Times New Roman" w:cs="Times New Roman"/>
          <w:sz w:val="24"/>
          <w:szCs w:val="24"/>
          <w:lang w:eastAsia="en-GB"/>
        </w:rPr>
        <w:t xml:space="preserve"> hand a higher number of follow </w:t>
      </w:r>
      <w:r w:rsidRPr="00B279FC">
        <w:rPr>
          <w:rFonts w:ascii="Times New Roman" w:eastAsia="Times New Roman" w:hAnsi="Times New Roman" w:cs="Times New Roman"/>
          <w:sz w:val="24"/>
          <w:szCs w:val="24"/>
          <w:lang w:eastAsia="en-GB"/>
        </w:rPr>
        <w:t>up visits was inversely associated with progression (</w:t>
      </w:r>
      <w:proofErr w:type="spellStart"/>
      <w:r w:rsidRPr="00B279FC">
        <w:rPr>
          <w:rFonts w:ascii="Times New Roman" w:eastAsia="Times New Roman" w:hAnsi="Times New Roman" w:cs="Times New Roman"/>
          <w:sz w:val="24"/>
          <w:szCs w:val="24"/>
          <w:lang w:eastAsia="en-GB"/>
        </w:rPr>
        <w:t>aHR</w:t>
      </w:r>
      <w:proofErr w:type="spellEnd"/>
      <w:r w:rsidRPr="00B279FC">
        <w:rPr>
          <w:rFonts w:ascii="Times New Roman" w:eastAsia="Times New Roman" w:hAnsi="Times New Roman" w:cs="Times New Roman"/>
          <w:sz w:val="24"/>
          <w:szCs w:val="24"/>
          <w:lang w:eastAsia="en-GB"/>
        </w:rPr>
        <w:t>: 0.9, p &lt; 0.001), emphasizing the importance of regular monitoring in mitigating disease deterioration.</w:t>
      </w:r>
    </w:p>
    <w:p w14:paraId="6B2EA1B6" w14:textId="0D9F1CDC" w:rsidR="002320EC" w:rsidRPr="00B279FC" w:rsidRDefault="002320EC" w:rsidP="002320EC">
      <w:pPr>
        <w:pStyle w:val="NormalWeb"/>
      </w:pPr>
      <w:r w:rsidRPr="00B279FC">
        <w:t>Elevated intraocular pressure (IOP) was a strong predictor of disease progression (</w:t>
      </w:r>
      <w:proofErr w:type="spellStart"/>
      <w:r w:rsidRPr="00B279FC">
        <w:t>aHR</w:t>
      </w:r>
      <w:proofErr w:type="spellEnd"/>
      <w:r w:rsidRPr="00B279FC">
        <w:t xml:space="preserve">: 3.7, 95% CI: 2.1–6.8, p &lt; 0.001), consistent with previous studies </w:t>
      </w:r>
      <w:r w:rsidRPr="00B279FC">
        <w:rPr>
          <w:b/>
        </w:rPr>
        <w:fldChar w:fldCharType="begin" w:fldLock="1"/>
      </w:r>
      <w:r w:rsidR="00C45B32">
        <w:rPr>
          <w:b/>
        </w:rPr>
        <w:instrText>ADDIN CSL_CITATION {"citationItems":[{"id":"ITEM-1","itemData":{"DOI":"https://doi.org/10.1016/j.ophtha.2007.03.016","ISSN":"0161-6420","abstract":"Purpose To determine progression factors at the end of the Early Manifest Glaucoma Trial (EMGT) based on all EMGT patients and evaluate separately patients with higher and lower baseline intraocular pressure (IOP; median split). Design Cohort of clinical trial participants. Participants Patients with early open-angle glaucoma randomized to argon laser trabeculoplasty plus betaxolol (n = 129) or no immediate treatment (n = 126), examined every 3 months for up to 11 years. Methods Cox proportional hazard analyses, expressed by hazard ratios (HRs) and 95% confidence intervals (CIs). Main Outcome Measure Time to progression, defined by perimetric and photographic disc criteria. Results Overall progression was 67% when follow-up ended (median, 8 years). Treatment approximately halved progression risk (HR, 0.53; 95% CI, 0.39–0.72); results were similar for patients with higher and lower baseline IOP (HRs, 0.41 and 0.55). Baseline progression factors (HRs, 1.51–2.12; P&lt;0.01) were higher IOP, exfoliation, bilateral disease, and older age, as previously reported. New baseline predictors were lower ocular systolic perfusion pressure in all patients (≤160 mmHg; HR, 1.42; 95% CI, 1.04–1.94), cardiovascular disease history (HR, 2.75; 95% CI, 1.44–5.26) in patients with higher baseline IOP, and lower systolic blood pressure (BP) (≤125 mmHg; HR, 0.46; 95% CI, 0.21–1.02) in patients with lower baseline IOP. Postbaseline progression factors were IOP levels at follow-up, with 12% to 13% average increase per millimeter of mercury in all patients (HRs, 1.12–1.13 per mmHg higher) and similar results in patients with higher and lower baseline IOP (HRs, 1.15 and 1.13 per mmHg higher). Disc hemorrhages (HR, 1.02; 95% CI, 1.01–1.03 per percent higher frequency) also predicted progression. Thinner central corneal thickness (CCT) (HR, 1.25; 95% CI, 1.01–1.55 per 40 μm lower) was a new significant factor, a result observed in patients with higher baseline IOP (HR, 1.42; 95% CI, 1.05–1.92 per 40 μm lower) but not lower baseline IOP, with significant IOP–CCT interaction. Conclusions Treatment and follow-up IOP continued to have a marked influence on progression, regardless of baseline IOP. Other significant factors were age, bilaterality, exfoliation, and disc hemorrhages, as previously determined. Lower systolic perfusion pressure, lower systolic BP, and cardiovascular disease history emerged as new predictors, suggesting a vascular role in glaucoma progression. Another new factor …","author":[{"dropping-particle":"","family":"Le","given":"","non-dropping-particle":"","parse-names":false,"suffix":""}],"container-title":"Ophthalmology","id":"ITEM-1","issue":"11","issued":{"date-parts":[["2007"]]},"page":"1965-1972","title":"Predictors of Long-term Progression in the Early Manske, M Cristina Heijl, Anders Hyman, Leslie Bengtsson, Boel Dong, LiMing Yang, Zhongmingifest Glaucoma Trial","type":"article-journal","volume":"114"},"uris":["http://www.mendeley.com/documents/?uuid=161168d4-f8f2-40e3-a78f-6122e3561ded"]},{"id":"ITEM-2","itemData":{"DOI":"10.1177/112067211002000209","ISSN":"1120-6721 (Print)","PMID":"19882542","abstract":"PURPOSE: To determine the incidence of progression of primary open-angle glaucoma  at individual levels of mean intraocular pressure (IOP) in patients in Ethiopia. METHODS: A retrospective, multicenter, cohort analysis of patient records with at least 5 years of potential follow-up were evaluated for risk factors associated with progressive optic disc and visual field loss. RESULTS: There were 300 patients with the potential of 5 years of follow-up. In total, 166 patients progressed before 5 years and 134 remained stable for the full 5-year follow-up period. Of the total sample, 84% of patients with IOPs &lt; or =19 (n=117/139), 53% of patients with IOPs of 20 (n=9/17), 14% of patients with IOPs of 21-24 (n=9/63), and 0% of the patients with IOPs of &gt; or =25 mmHg (n=0/79) remained stable over at least 5 years. The mean IOP was 17.4+/-2.1 in the stable group and 25.0+/-5.9 mmHg in the progressed group (p&lt;0.0001). The highest average peak IOP was 24.5+/-4.5 in the stable group and 29.0+/-6.1 mmHg in the progressed group (p&lt;0.0001). A multivariant regression analysis to determine risk factors for progression was positive for mean IOP (p=0.0097). CONCLUSIONS: This study suggests that IOP reduction in a developing country, despite potential limitations in diagnostic techniques, follow-up, and compliance, can be effective in reducing the risk of glaucomatous progression over long-term follow-up.","author":[{"dropping-particle":"","family":"Alemu","given":"Abiye M","non-dropping-particle":"","parse-names":false,"suffix":""},{"dropping-particle":"","family":"Kristoffersen","given":"Caroline J","non-dropping-particle":"","parse-names":false,"suffix":""},{"dropping-particle":"","family":"Kristoffersen","given":"Michael S","non-dropping-particle":"","parse-names":false,"suffix":""},{"dropping-particle":"","family":"Stewart","given":"Jeanette A","non-dropping-particle":"","parse-names":false,"suffix":""},{"dropping-particle":"","family":"Stewart","given":"William C","non-dropping-particle":"","parse-names":false,"suffix":""}],"container-title":"European journal of ophthalmology","id":"ITEM-2","issue":"2","issued":{"date-parts":[["2010"]]},"language":"eng","page":"310-315","publisher-place":"United States","title":"Long-term benefit of reduced intraocular pressure in primary open-angle glaucoma  patients in Ethiopia.","type":"article-journal","volume":"20"},"uris":["http://www.mendeley.com/documents/?uuid=be67e161-3ed8-441d-8507-a2e246655391"]},{"id":"ITEM-3","itemData":{"ISSN":"0007-1161","author":[{"dropping-particle":"","family":"Wang","given":"Ya X","non-dropping-particle":"","parse-names":false,"suffix":""},{"dropping-particle":"","family":"Hu","given":"Lian N","non-dropping-particle":"","parse-names":false,"suffix":""},{"dropping-particle":"","family":"Yang","given":"Hua","non-dropping-particle":"","parse-names":false,"suffix":""},{"dropping-particle":"","family":"Jonas","given":"Jost B","non-dropping-particle":"","parse-names":false,"suffix":""},{"dropping-particle":"","family":"Xu","given":"Liang","non-dropping-particle":"","parse-names":false,"suffix":""}],"container-title":"British journal of ophthalmology","id":"ITEM-3","issue":"6","issued":{"date-parts":[["2012"]]},"page":"811-815","publisher":"BMJ Publishing Group Ltd","title":"Frequency and associated factors of structural progression of open-angle glaucoma in the Beijing Eye Study","type":"article-journal","volume":"96"},"uris":["http://www.mendeley.com/documents/?uuid=ee6a93e0-79ba-4abd-a3f0-a68477ef0ab1"]},{"id":"ITEM-4","itemData":{"author":[{"dropping-particle":"","family":"Kocatürk","given":"Tolga","non-dropping-particle":"","parse-names":false,"suffix":""},{"dropping-particle":"","family":"Bekmez","given":"Sinan","non-dropping-particle":"","parse-names":false,"suffix":""},{"dropping-particle":"","family":"Katrancı","given":"Merve","non-dropping-particle":"","parse-names":false,"suffix":""},{"dropping-particle":"","family":"Çakmak","given":"Harun","non-dropping-particle":"","parse-names":false,"suffix":""},{"dropping-particle":"","family":"Dayanır","given":"Volkan","non-dropping-particle":"","parse-names":false,"suffix":""}],"container-title":"The Open Ophthalmology Journal","id":"ITEM-4","issued":{"date-parts":[["2015"]]},"page":"116","publisher":"Bentham Science Publishers","title":"Long term results of visual field progression analysis in open angle glaucoma patients under treatment","type":"article-journal","volume":"9"},"uris":["http://www.mendeley.com/documents/?uuid=0f90aff3-bf16-449c-be49-d0b0f6d101da"]},{"id":"ITEM-5","itemData":{"ISSN":"24574325","PMID":"29450344","abstract":"Aim: Investigation of perimetric progression rate and associated risk factors in open angle glaucoma, in clinical practice. Methods: Retrospective study based on clinical charts reviews of patients with primary open angle glaucoma (POAG) being followed for &gt; 5 years with &gt;/ = 5 SITA Standard visual fields. Demographics, visual acuity (VA), central corneal thickness (CCT), intraocular pressure (IOP) and IOP variation, treatment (number of medications), visual fields and associated systemic pathologies were recorded. Patients were followed at every 3-6 months, when identical tests were performed. VF progression rate was calculated as slope of mean deviation (MD) over time by Glaucoma Progression Analysis software. Results: 121 eyes of 121 patients with POAG were included in the study and were followed for a mean period of 68.81 months (SD +/ - 31.7). The mean MD at start was -3.55 dB (SD +/ -5.19)., with a mean number of VF tests of 9.3+/ -2.9. Progression rate reached -0.21 +/ -0.1 db/ year. Mean IOP of all visits decreased over time from 18.20 mmHg to 16.53 mmHg (p&lt;0.05). Systemic factors like positive history of hypertension reached statistical relevance in terms of increased risk for glaucoma progression, but only after age and sex were corrected. MD slope was explained in ANOVA univariate analysis, by the level of MD at baseline, IOP baseline, number of topical medications and CCT in a proportion equal to 71.7% (p=0.004). Conclusion: Rate of visual field changes in POAG was correlated and dependent on the baseline MD level, IOP at baseline, number of topical medications and a thin CCT.","author":[{"dropping-particle":"","family":"Pantalon","given":"Anca Delia","non-dropping-particle":"","parse-names":false,"suffix":""},{"dropping-particle":"","family":"Feraru","given":"Crenguţa","non-dropping-particle":"","parse-names":false,"suffix":""},{"dropping-particle":"","family":"Chiseliţă","given":"Dorin","non-dropping-particle":"","parse-names":false,"suffix":""}],"container-title":"Romanian journal of ophthalmology","id":"ITEM-5","issue":"3","issued":{"date-parts":[["2016"]]},"page":"174-180","title":"Risk factors and long term progression in open angle glaucoma patients","type":"article","volume":"60"},"uris":["http://www.mendeley.com/documents/?uuid=49dc0df0-82ed-4f26-94b2-70979d0eee59"]},{"id":"ITEM-6","itemData":{"DOI":"10.1080/09286586.2016.1193207","ISSN":"17445086","PMID":"27348239","abstract":"Purpose: To determine the risk factors associated with progression to blindness from primary open-angle glaucoma (POAG) in an African-American population. Methods: This study examined 2119 patients enrolled in the Primary Open-Angle African-American Glaucoma Genetics (POAAGG) study. A total of 59 eyes were identified as legally blind as a result of POAG (cases) and were age-and sex-matched to 59 non-blind eyes with glaucoma (controls). Chart reviews were performed to record known and suspected risk factors. Results: Cases were diagnosed with POAG at an earlier age than controls (p = 0.005). Of the 59 eyes of cases, 16 eyes (27.1%) presented with blindness at diagnosis. Cases had worse visual acuity (VA) at diagnosis (p &lt; 0.0001), with VA worse than 20/40 conferring a 27 times higher risk of progression to blindness (p = 0.0005). Blind eyes also demonstrated more visual field defects (p = 0.01), higher pre-treatment intraocular pressure (IOP; p &lt; 0.0001), and higher cup-to-disc ratio (p = 0.006) at diagnosis. IOP was less controlled in cases, and those with IOP ≥21 mmHg at more than 20% of follow-up visits were 73 times more likely to become blind (p &lt; 0.0001). Cases missed a greater number of appointments per year (p = 0.003) and had non-adherence issues noted in their charts more often than controls (p = 0.03). However, other compliance data did not significantly differ between groups. Conclusion: Access to care, initial VA worse than 20/40, and poor control of IOP were the major risk factors associated with blindness from POAG. Future studies should examine earlier, more effective approaches to glaucoma screening as well as the role of genetics in these significantly younger patients who progress to blindness.","author":[{"dropping-particle":"","family":"Pleet","given":"Alexander","non-dropping-particle":"","parse-names":false,"suffix":""},{"dropping-particle":"","family":"Sulewski","given":"Melanie","non-dropping-particle":"","parse-names":false,"suffix":""},{"dropping-particle":"","family":"Salowe","given":"Rebecca J.","non-dropping-particle":"","parse-names":false,"suffix":""},{"dropping-particle":"","family":"Fertig","given":"Raymond","non-dropping-particle":"","parse-names":false,"suffix":""},{"dropping-particle":"","family":"Salinas","given":"Julia","non-dropping-particle":"","parse-names":false,"suffix":""},{"dropping-particle":"","family":"Rhodes","given":"Allison","non-dropping-particle":"","parse-names":false,"suffix":""},{"dropping-particle":"","family":"Merritt","given":"William","non-dropping-particle":"","parse-names":false,"suffix":""},{"dropping-particle":"","family":"Natesh","given":"Vikas","non-dropping-particle":"","parse-names":false,"suffix":""},{"dropping-particle":"","family":"Huang","given":"Jiayan","non-dropping-particle":"","parse-names":false,"suffix":""},{"dropping-particle":"V.","family":"Gudiseva","given":"Harini","non-dropping-particle":"","parse-names":false,"suffix":""},{"dropping-particle":"","family":"Collins","given":"David W.","non-dropping-particle":"","parse-names":false,"suffix":""},{"dropping-particle":"","family":"Chavali","given":"Venkata Ramana Murthy","non-dropping-particle":"","parse-names":false,"suffix":""},{"dropping-particle":"","family":"Tapino","given":"Paul","non-dropping-particle":"","parse-names":false,"suffix":""},{"dropping-particle":"","family":"Lehman","given":"Amanda","non-dropping-particle":"","parse-names":false,"suffix":""},{"dropping-particle":"","family":"Regina-Gigiliotti","given":"Meredith","non-dropping-particle":"","parse-names":false,"suffix":""},{"dropping-particle":"","family":"Miller-Ellis","given":"Eydie","non-dropping-particle":"","parse-names":false,"suffix":""},{"dropping-particle":"","family":"Sankar","given":"Prithvi","non-dropping-particle":"","parse-names":false,"suffix":""},{"dropping-particle":"","family":"Ying","given":"Gui Shuang","non-dropping-particle":"","parse-names":false,"suffix":""},{"dropping-particle":"","family":"O’Brien","given":"Joan M.","non-dropping-particle":"","parse-names":false,"suffix":""}],"container-title":"Ophthalmic Epidemiology","id":"ITEM-6","issue":"4","issued":{"date-parts":[["2016"]]},"page":"248-256","title":"Risk Factors Associated with Progression to Blindness from Primary Open-Angle Glaucoma in an African-American Population","type":"article-journal","volume":"23"},"uris":["http://www.mendeley.com/documents/?uuid=db87eea0-8c52-4414-b75c-50ce79b24ac0"]},{"id":"ITEM-7","itemData":{"DOI":"10.2174/1874364101610010129","ISSN":"1874-3641 (Print)","PMID":"27347249","abstract":"PURPOSE: Aim of this retrospective, observational study is to describe features  of a population sample, affected by primary open angle glaucoma (POAG) in order to evaluate damage progression on the basis of the emerged individual risk factors. METHODS: We included 190 caucasian patients (377 eyes), evaluating relationship between individual risk factors (explicative variables) and MD (Mean Deviation) of standard automated perimetry. We also considered the dependent variable NFI (Neural Fiber Index) of GDx scanning laser polarimetry. Progression has been evaluated through a statistic General Linear Model on four follow up steps (mean follow up 79 months). RESULTS: Factors reaching statistical significance, determining a worsening of the MD variable, are: age (P&lt;0.0001), intraocular pressure (IOP) at follow up (P &lt; 0.0001), female gender (P&lt;0.0001), hypertension (P&lt; 0.0001) and familiarity (P = 0.0006). Factors reaching statistical significance, determining a worsening of the NFI variable, are only IOP at follow up (P = 0.0159) and depression (P = 0.0104). CONCLUSION: Results of this study confirm and enforce data coming from most recent studies: IOP remains the main risk factor for glaucoma assess and progression; age and familiarity are great risk factors as underlined in the last decades; female sex can be an important risk factors as emerged only in the last years; arterial hypertension should always be evaluated in timing of our clinic follow up.","author":[{"dropping-particle":"","family":"Actis","given":"A G","non-dropping-particle":"","parse-names":false,"suffix":""},{"dropping-particle":"","family":"Versino","given":"E","non-dropping-particle":"","parse-names":false,"suffix":""},{"dropping-particle":"","family":"Brogliatti","given":"B","non-dropping-particle":"","parse-names":false,"suffix":""},{"dropping-particle":"","family":"Rolle","given":"T","non-dropping-particle":"","parse-names":false,"suffix":""}],"container-title":"The open ophthalmology journal","id":"ITEM-7","issued":{"date-parts":[["2016"]]},"language":"eng","page":"129-139","publisher-place":"Netherlands","title":"Risk Factors for Primary Open Angle Glaucoma (POAG) Progression: A Study Ruled in  Torino.","type":"article-journal","volume":"10"},"uris":["http://www.mendeley.com/documents/?uuid=7286cbe5-301b-4ab4-90a5-a88795339c21"]},{"id":"ITEM-8","itemData":{"DOI":"10.1016/j.ajo.2019.06.019","ISSN":"18791891","PMID":"31238025","abstract":"Purpose: To identify baseline and longitudinal risk factors for fast visual field (VF) decay in patients with open-angle glaucoma. Design: Retrospective cohort study. Methods: Patients with open-angle glaucoma with ≥6 VFs and ≥4 years of follow-up were included. VF decay rates were measured with the following methods: mean deviation (MD) rate, VF index (VFI) rate, and the Glaucoma Rate Index (GRI). The relationship between VF rates and clinical variables were investigated with linear mixed models. Logistic regression analysis was performed to determine which factors were associated with fast progression. Results: A total of 1317 eyes of 745 patients with a mean (± SD) age of 63.3 (±10.9) years and a median (interquartile range) MD −2.4 (−0.7 to −5.6) dB at baseline were analyzed. The median (interquartile range) number of VFs was 12 (9 to 16), and mean follow-up duration was 11.5 (±3.7) years. Older age (P &lt; .001), higher peak intraocular pressure (IOP) (P &lt; .001), and glaucoma surgery during the study period (P &lt; .001) were associated with faster rates of progression regardless of the method used. Worse baseline MD was associated with MD rate (P = .02), but neither with VFI rate (P = .37) nor GRI (P = .31); whereas pseudoexfoliative glaucoma was associated with faster rates of progression with MD (P = .008) and VFI (P = .01) rates, but not with GRI. Higher peak IOPs (P = .005) was a significant predictor for fast progression. Conclusion: In this cohort, older age, peak IOP, pseudoexfoliative glaucoma, and baseline MD were associated with the rate of glaucomatous VF worsening. Fast progressors had a higher peak IOP than non–fast progressors. The identification and appropriately aggressive treatment of fast progressors would reduce visual disability from glaucoma.","author":[{"dropping-particle":"","family":"Kim","given":"Ji Hyun","non-dropping-particle":"","parse-names":false,"suffix":""},{"dropping-particle":"","family":"Rabiolo","given":"Alessandro","non-dropping-particle":"","parse-names":false,"suffix":""},{"dropping-particle":"","family":"Morales","given":"Esteban","non-dropping-particle":"","parse-names":false,"suffix":""},{"dropping-particle":"","family":"Yu","given":"Fei","non-dropping-particle":"","parse-names":false,"suffix":""},{"dropping-particle":"","family":"Afifi","given":"Abdelmonem A.","non-dropping-particle":"","parse-names":false,"suffix":""},{"dropping-particle":"","family":"Nouri-Mahdavi","given":"Kouros","non-dropping-particle":"","parse-names":false,"suffix":""},{"dropping-particle":"","family":"Caprioli","given":"Joseph","non-dropping-particle":"","parse-names":false,"suffix":""}],"container-title":"American Journal of Ophthalmology","id":"ITEM-8","issued":{"date-parts":[["2019"]]},"page":"268-278","publisher":"Elsevier Inc.","title":"Risk Factors for Fast Visual Field Progression in Glaucoma","type":"article-journal","volume":"207"},"uris":["http://www.mendeley.com/documents/?uuid=de61a9af-d157-40fe-84a2-e50ab34ddb92"]},{"id":"ITEM-9","itemData":{"DOI":"10.4103/ssajm.ssajm_28_18","abstract":"\n&lt;b&gt;Introduction:&lt;/b&gt; Glaucoma is a blinding eye disease, the hallmark of which is elevation of intraocular pressure (IOP). Glaucoma is nearly impossible to diagnose and treat without expensive equipment and IOP reduction, respectively. Hence, the need for a biomarker is an aid in diagnosis and an alternative treatment option to IOP reduction. Brain-derived neurotrophic factor (BDNF) may serve as both a biomarker and a therapeutic option. However, the exact role of BDNF and its dynamics during glaucoma is not well demonstrated, especially in a Sub-Saharan African population. This study, therefore, examines the serum levels of BDNF and its relationship with IOP. &lt;b&gt;Patients and Methods:&lt;/b&gt; Intraocular pressure (IOP) and serum BDNF were measured in 44 glaucoma patients and 41 controls. &lt;b&gt;Results:&lt;/b&gt; Glaucoma patients had higher IOP compared to controls. They also had higher BDNF (2.578&amp;#8201;&amp;#177;&amp;#8201;0.210) compared to controls (1.745&amp;#8201;&amp;#177;&amp;#8201;0.111). Glaucoma patients on medications had higher BDNF (3.086&amp;#8201;&amp;#177;&amp;#8201;0.180) compared to those not on medications (0.605&amp;#8201;&amp;#177;&amp;#8201;0.116). Serum BDNF significantly correlated with IOP. &lt;b&gt;Conclusion:&lt;/b&gt; In conclusion, glaucoma patients have higher IOP and serum BDNF concentrations compared to nonglaucoma controls. IOP negatively correlates with serum BDNF in patients with glaucoma. Untreated glaucoma appears to decrease serum levels of BDNF, whereas treatment of the condition increases it. Serum BDNF may serve as a potential therapeutic target and useful diagnostic and monitoring tool in the management of glaucoma.\n","author":[{"dropping-particle":"","family":"Yarube","given":"Isyaku","non-dropping-particle":"","parse-names":false,"suffix":""},{"dropping-particle":"","family":"Saidu","given":"Ahmed","non-dropping-particle":"","parse-names":false,"suffix":""},{"dropping-particle":"","family":"Hassan","given":"Sadiq","non-dropping-particle":"","parse-names":false,"suffix":""}],"container-title":"Sub-Saharan African Journal of Medicine","id":"ITEM-9","issue":"1","issued":{"date-parts":[["2019","1","1"]]},"page":"10-15","title":"Intraocular pressure negatively correlates with serum brain-derived neurotrophic factor in patients with primary open-angle glaucoma","type":"article-journal","volume":"6"},"uris":["http://www.mendeley.com/documents/?uuid=be7c9aae-6e2f-424a-a926-69f260dd76d2"]},{"id":"ITEM-10","itemData":{"DOI":"10.1136/bmjophth-2022-001120","ISSN":"23973269","abstract":"Background/aims To investigate the rates of structural and functional progression of primary open-angle glaucoma in an African ancestry cohort and identify risk factors for progression. Methods This retrospective study included 1424 eyes from glaucoma cases in the Primary Open-Angle African American Glaucoma Genetics cohort, with ≥2 visits for retinal nerve fibre layer (RNFL) thickness and mean deviation (MD) measurements over ≥6-month follow-up. The rates of structural progression (change in RNFL thickness/year) and functional progression (change in MD/year) were calculated from linear mixed effects models, accounting for intereye correlation and longitudinal correlation. Eyes were categorised as slow, moderate or fast progressors. Risk factors for progression rates were assessed using univariable and multivariable regression models. Results The median (interquartile) rates of progression were -1.60 (-2.05 to -1.15) μm/year for RNFL thickness and -0.40 (-0.44 to -0.34) decibels/year for MD. Eyes were categorised as slow (structural: 19%, functional: 88%), moderate (structural: 54%, functional: 11%) and fast (structural: 27%, functional: 1%) progressors. In multivariable analysis, faster RNFL progression was independently associated with thicker baseline RNFL (p&lt;0.0001), lower baseline MD (p=0.003) and beta peripapillary atrophy (p=0.03). Faster MD progression was independently associated with higher baseline MD (p&lt;0.0001), larger cup-to-disc ratios (p=0.02) and lower body mass index (p=0.0004). Conclusion The median rates of structural and functional progression in this African ancestry cohort were faster than the rates reported from previously published studies in other ethnic groups. Higher baseline RNFL thickness and MD values were associated with faster progression rates. Results highlight the importance of monitoring structural and functional glaucoma progression to provide timely treatment in early disease.","author":[{"dropping-particle":"","family":"Salowe","given":"Rebecca J.","non-dropping-particle":"","parse-names":false,"suffix":""},{"dropping-particle":"","family":"Chen","given":"Yineng","non-dropping-particle":"","parse-names":false,"suffix":""},{"dropping-particle":"","family":"Zenebe-Gete","given":"Selam","non-dropping-particle":"","parse-names":false,"suffix":""},{"dropping-particle":"","family":"Lee","given":"Roy","non-dropping-particle":"","parse-names":false,"suffix":""},{"dropping-particle":"V.","family":"Gudiseva","given":"Harini","non-dropping-particle":"","parse-names":false,"suffix":""},{"dropping-particle":"","family":"Rosa","given":"Isabel","non-dropping-particle":"Di","parse-names":false,"suffix":""},{"dropping-particle":"","family":"Ross","given":"Ahmara G.","non-dropping-particle":"","parse-names":false,"suffix":""},{"dropping-particle":"","family":"Cui","given":"Qi N.","non-dropping-particle":"","parse-names":false,"suffix":""},{"dropping-particle":"","family":"Miller-Ellis","given":"Eydie","non-dropping-particle":"","parse-names":false,"suffix":""},{"dropping-particle":"","family":"Addis","given":"Victoria","non-dropping-particle":"","parse-names":false,"suffix":""},{"dropping-particle":"","family":"Sankar","given":"Prithvi S.","non-dropping-particle":"","parse-names":false,"suffix":""},{"dropping-particle":"","family":"Daniel","given":"Ebenezer","non-dropping-particle":"","parse-names":false,"suffix":""},{"dropping-particle":"","family":"Ying","given":"Gui Shuang","non-dropping-particle":"","parse-names":false,"suffix":""},{"dropping-particle":"","family":"O'Brien","given":"Joan M.","non-dropping-particle":"","parse-names":false,"suffix":""}],"container-title":"BMJ Open Ophthalmology","id":"ITEM-10","issue":"1","issued":{"date-parts":[["2023"]]},"page":"1-9","title":"Risk factors for structural and functional progression of primary open-angle glaucoma in an African ancestry cohort","type":"article-journal","volume":"8"},"uris":["http://www.mendeley.com/documents/?uuid=6aeacafa-e8ec-4f83-b56b-f8494bdb2e0b"]}],"mendeley":{"formattedCitation":"(Le, 2007; Alemu &lt;i&gt;et al.&lt;/i&gt;, 2010; Wang &lt;i&gt;et al.&lt;/i&gt;, 2012; Kocatürk &lt;i&gt;et al.&lt;/i&gt;, 2015; Actis &lt;i&gt;et al.&lt;/i&gt;, 2016; Pantalon, Feraru and Chiseliţă, 2016; Pleet &lt;i&gt;et al.&lt;/i&gt;, 2016; Kim &lt;i&gt;et al.&lt;/i&gt;, 2019; Yarube, Saidu and Hassan, 2019; Salowe &lt;i&gt;et al.&lt;/i&gt;, 2023)","plainTextFormattedCitation":"(Le, 2007; Alemu et al., 2010; Wang et al., 2012; Kocatürk et al., 2015; Actis et al., 2016; Pantalon, Feraru and Chiseliţă, 2016; Pleet et al., 2016; Kim et al., 2019; Yarube, Saidu and Hassan, 2019; Salowe et al., 2023)","previouslyFormattedCitation":"(Le, 2007; Alemu &lt;i&gt;et al.&lt;/i&gt;, 2010; Wang &lt;i&gt;et al.&lt;/i&gt;, 2012; Kocatürk &lt;i&gt;et al.&lt;/i&gt;, 2015; Actis &lt;i&gt;et al.&lt;/i&gt;, 2016; Pantalon, Feraru and Chiseliţă, 2016; Pleet &lt;i&gt;et al.&lt;/i&gt;, 2016; Kim &lt;i&gt;et al.&lt;/i&gt;, 2019; Yarube, Saidu and Hassan, 2019; Salowe &lt;i&gt;et al.&lt;/i&gt;, 2023)"},"properties":{"noteIndex":0},"schema":"https://github.com/citation-style-language/schema/raw/master/csl-citation.json"}</w:instrText>
      </w:r>
      <w:r w:rsidRPr="00B279FC">
        <w:rPr>
          <w:b/>
        </w:rPr>
        <w:fldChar w:fldCharType="separate"/>
      </w:r>
      <w:r w:rsidR="00086E2E" w:rsidRPr="00086E2E">
        <w:rPr>
          <w:noProof/>
        </w:rPr>
        <w:t xml:space="preserve">(Le, 2007; Alemu </w:t>
      </w:r>
      <w:r w:rsidR="00086E2E" w:rsidRPr="00086E2E">
        <w:rPr>
          <w:i/>
          <w:noProof/>
        </w:rPr>
        <w:t>et al.</w:t>
      </w:r>
      <w:r w:rsidR="00086E2E" w:rsidRPr="00086E2E">
        <w:rPr>
          <w:noProof/>
        </w:rPr>
        <w:t xml:space="preserve">, 2010; Wang </w:t>
      </w:r>
      <w:r w:rsidR="00086E2E" w:rsidRPr="00086E2E">
        <w:rPr>
          <w:i/>
          <w:noProof/>
        </w:rPr>
        <w:t>et al.</w:t>
      </w:r>
      <w:r w:rsidR="00086E2E" w:rsidRPr="00086E2E">
        <w:rPr>
          <w:noProof/>
        </w:rPr>
        <w:t xml:space="preserve">, 2012; Kocatürk </w:t>
      </w:r>
      <w:r w:rsidR="00086E2E" w:rsidRPr="00086E2E">
        <w:rPr>
          <w:i/>
          <w:noProof/>
        </w:rPr>
        <w:t>et al.</w:t>
      </w:r>
      <w:r w:rsidR="00086E2E" w:rsidRPr="00086E2E">
        <w:rPr>
          <w:noProof/>
        </w:rPr>
        <w:t xml:space="preserve">, 2015; Actis </w:t>
      </w:r>
      <w:r w:rsidR="00086E2E" w:rsidRPr="00086E2E">
        <w:rPr>
          <w:i/>
          <w:noProof/>
        </w:rPr>
        <w:t>et al.</w:t>
      </w:r>
      <w:r w:rsidR="00086E2E" w:rsidRPr="00086E2E">
        <w:rPr>
          <w:noProof/>
        </w:rPr>
        <w:t xml:space="preserve">, 2016; Pantalon, Feraru and Chiseliţă, 2016; Pleet </w:t>
      </w:r>
      <w:r w:rsidR="00086E2E" w:rsidRPr="00086E2E">
        <w:rPr>
          <w:i/>
          <w:noProof/>
        </w:rPr>
        <w:t>et al.</w:t>
      </w:r>
      <w:r w:rsidR="00086E2E" w:rsidRPr="00086E2E">
        <w:rPr>
          <w:noProof/>
        </w:rPr>
        <w:t xml:space="preserve">, 2016; Kim </w:t>
      </w:r>
      <w:r w:rsidR="00086E2E" w:rsidRPr="00086E2E">
        <w:rPr>
          <w:i/>
          <w:noProof/>
        </w:rPr>
        <w:t>et al.</w:t>
      </w:r>
      <w:r w:rsidR="00086E2E" w:rsidRPr="00086E2E">
        <w:rPr>
          <w:noProof/>
        </w:rPr>
        <w:t xml:space="preserve">, 2019; Yarube, Saidu and Hassan, 2019; Salowe </w:t>
      </w:r>
      <w:r w:rsidR="00086E2E" w:rsidRPr="00086E2E">
        <w:rPr>
          <w:i/>
          <w:noProof/>
        </w:rPr>
        <w:t>et al.</w:t>
      </w:r>
      <w:r w:rsidR="00086E2E" w:rsidRPr="00086E2E">
        <w:rPr>
          <w:noProof/>
        </w:rPr>
        <w:t>, 2023)</w:t>
      </w:r>
      <w:r w:rsidRPr="00B279FC">
        <w:rPr>
          <w:b/>
        </w:rPr>
        <w:fldChar w:fldCharType="end"/>
      </w:r>
      <w:r w:rsidR="00462185">
        <w:rPr>
          <w:b/>
        </w:rPr>
        <w:t>.</w:t>
      </w:r>
      <w:r w:rsidRPr="00B279FC">
        <w:t xml:space="preserve"> When eyes were classified based on target IOP (mild = 15–17, moderate = 12–15, severe + advanced = 10–12), 81.5% failed to reach the target IOP. This suggests potential gaps in treatment efficacy, adhere</w:t>
      </w:r>
      <w:r w:rsidR="00462185">
        <w:t xml:space="preserve">nce, or perhaps the need for </w:t>
      </w:r>
      <w:proofErr w:type="spellStart"/>
      <w:r w:rsidR="00462185">
        <w:t xml:space="preserve">re </w:t>
      </w:r>
      <w:r w:rsidRPr="00B279FC">
        <w:t>evaluating</w:t>
      </w:r>
      <w:proofErr w:type="spellEnd"/>
      <w:r w:rsidR="00462185">
        <w:t xml:space="preserve"> treatment protocols and follow </w:t>
      </w:r>
      <w:r w:rsidRPr="00B279FC">
        <w:t>up practices so as to ensure better IOP control in our setting. Furthermore the data shows that 55% of eyes that progressed to subsequent stages did not attain the target IOP, implying a strong correlation between inadequate IOP control and disease progression. Multivariate analysis confirmed that eyes not attaining the target IOP had a 4.3 times higher risk of progression (p &lt; 0.001), compared to a 3.7 t</w:t>
      </w:r>
      <w:r w:rsidR="00462185">
        <w:t xml:space="preserve">imes increased risk when higher </w:t>
      </w:r>
      <w:r w:rsidRPr="00B279FC">
        <w:t>range IOP was considered as a risk for progression. These findings emphasize the critical importance of achieving the target IOP in glaucoma management, rather than solely focusing on</w:t>
      </w:r>
      <w:r w:rsidR="00462185">
        <w:t xml:space="preserve"> normal </w:t>
      </w:r>
      <w:r w:rsidRPr="00B279FC">
        <w:t>range IOP.</w:t>
      </w:r>
    </w:p>
    <w:p w14:paraId="76FEB77A" w14:textId="711EE37F" w:rsidR="002320EC" w:rsidRPr="00B279FC"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r w:rsidRPr="00B279FC">
        <w:rPr>
          <w:rFonts w:ascii="Times New Roman" w:eastAsia="Times New Roman" w:hAnsi="Times New Roman" w:cs="Times New Roman"/>
          <w:sz w:val="24"/>
          <w:szCs w:val="24"/>
          <w:lang w:eastAsia="en-GB"/>
        </w:rPr>
        <w:t>Trabeculectomy significantly reduced progression risk by 50% in univariate analysis but lost statistical significance in the multivariate model. This suggests that while surgical intervention remains a valuable option for advanced cases,</w:t>
      </w:r>
      <w:r w:rsidR="00462185">
        <w:rPr>
          <w:rFonts w:ascii="Times New Roman" w:eastAsia="Times New Roman" w:hAnsi="Times New Roman" w:cs="Times New Roman"/>
          <w:sz w:val="24"/>
          <w:szCs w:val="24"/>
          <w:lang w:eastAsia="en-GB"/>
        </w:rPr>
        <w:t xml:space="preserve"> its long </w:t>
      </w:r>
      <w:r w:rsidRPr="00B279FC">
        <w:rPr>
          <w:rFonts w:ascii="Times New Roman" w:eastAsia="Times New Roman" w:hAnsi="Times New Roman" w:cs="Times New Roman"/>
          <w:sz w:val="24"/>
          <w:szCs w:val="24"/>
          <w:lang w:eastAsia="en-GB"/>
        </w:rPr>
        <w:t xml:space="preserve">term efficacy in preventing progression may be influenced by other factors such as post-surgical IOP fluctuations </w:t>
      </w:r>
      <w:r w:rsidR="00462185">
        <w:rPr>
          <w:rFonts w:ascii="Times New Roman" w:eastAsia="Times New Roman" w:hAnsi="Times New Roman" w:cs="Times New Roman"/>
          <w:sz w:val="24"/>
          <w:szCs w:val="24"/>
          <w:lang w:eastAsia="en-GB"/>
        </w:rPr>
        <w:t xml:space="preserve">and patient adherence to follow </w:t>
      </w:r>
      <w:r w:rsidRPr="00B279FC">
        <w:rPr>
          <w:rFonts w:ascii="Times New Roman" w:eastAsia="Times New Roman" w:hAnsi="Times New Roman" w:cs="Times New Roman"/>
          <w:sz w:val="24"/>
          <w:szCs w:val="24"/>
          <w:lang w:eastAsia="en-GB"/>
        </w:rPr>
        <w:t>up care.</w:t>
      </w:r>
    </w:p>
    <w:p w14:paraId="24D1C6F9" w14:textId="77777777" w:rsidR="002320EC" w:rsidRPr="00B279FC" w:rsidRDefault="002320EC" w:rsidP="002320EC">
      <w:pPr>
        <w:pStyle w:val="NormalWeb"/>
        <w:tabs>
          <w:tab w:val="left" w:pos="5666"/>
        </w:tabs>
      </w:pPr>
      <w:r w:rsidRPr="00B279FC">
        <w:tab/>
        <w:t xml:space="preserve"> </w:t>
      </w:r>
    </w:p>
    <w:p w14:paraId="1ECAF77B" w14:textId="77777777" w:rsidR="002320EC" w:rsidRPr="00B279FC"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p>
    <w:p w14:paraId="6B84E5EC" w14:textId="45CC256C" w:rsidR="002320EC" w:rsidRPr="00B279FC" w:rsidRDefault="002320EC" w:rsidP="002320EC">
      <w:pPr>
        <w:spacing w:before="100" w:beforeAutospacing="1" w:after="100" w:afterAutospacing="1" w:line="240" w:lineRule="auto"/>
        <w:rPr>
          <w:rFonts w:ascii="Times New Roman" w:eastAsia="Times New Roman" w:hAnsi="Times New Roman" w:cs="Times New Roman"/>
          <w:b/>
          <w:sz w:val="24"/>
          <w:szCs w:val="24"/>
          <w:lang w:eastAsia="en-GB"/>
        </w:rPr>
      </w:pPr>
      <w:r w:rsidRPr="00B279FC">
        <w:rPr>
          <w:rFonts w:ascii="Times New Roman" w:eastAsia="Times New Roman" w:hAnsi="Times New Roman" w:cs="Times New Roman"/>
          <w:b/>
          <w:sz w:val="24"/>
          <w:szCs w:val="24"/>
          <w:lang w:eastAsia="en-GB"/>
        </w:rPr>
        <w:t xml:space="preserve">Conclusion: </w:t>
      </w:r>
      <w:r w:rsidRPr="00B279FC">
        <w:rPr>
          <w:rFonts w:ascii="Times New Roman" w:eastAsia="Times New Roman" w:hAnsi="Times New Roman" w:cs="Times New Roman"/>
          <w:sz w:val="24"/>
          <w:szCs w:val="24"/>
          <w:lang w:eastAsia="en-GB"/>
        </w:rPr>
        <w:t>The study on POAG patients attending the KCMC eye clinic in northern Tanzania found significant variation in disease stages at presentation: 43% had mild disease, 13% moderate, 13.2% advanced, and</w:t>
      </w:r>
      <w:r w:rsidR="00462185">
        <w:rPr>
          <w:rFonts w:ascii="Times New Roman" w:eastAsia="Times New Roman" w:hAnsi="Times New Roman" w:cs="Times New Roman"/>
          <w:sz w:val="24"/>
          <w:szCs w:val="24"/>
          <w:lang w:eastAsia="en-GB"/>
        </w:rPr>
        <w:t xml:space="preserve"> 24% severe. Over a mean follow </w:t>
      </w:r>
      <w:r w:rsidRPr="00B279FC">
        <w:rPr>
          <w:rFonts w:ascii="Times New Roman" w:eastAsia="Times New Roman" w:hAnsi="Times New Roman" w:cs="Times New Roman"/>
          <w:sz w:val="24"/>
          <w:szCs w:val="24"/>
          <w:lang w:eastAsia="en-GB"/>
        </w:rPr>
        <w:t xml:space="preserve">up period of 6 years, 38.6% of eyes showed progression, with an average progression rate of -2.2% per year. Factors such as higher intraocular </w:t>
      </w:r>
      <w:r w:rsidRPr="00B279FC">
        <w:rPr>
          <w:rFonts w:ascii="Times New Roman" w:eastAsia="Times New Roman" w:hAnsi="Times New Roman" w:cs="Times New Roman"/>
          <w:sz w:val="24"/>
          <w:szCs w:val="24"/>
          <w:lang w:eastAsia="en-GB"/>
        </w:rPr>
        <w:lastRenderedPageBreak/>
        <w:t>pressure (IOP), severe disease at presentation, and myopia were significantly associated with progression, while trabeculectomy and increased follow-up visits acted as protective factors.</w:t>
      </w:r>
    </w:p>
    <w:p w14:paraId="6475906F" w14:textId="593EABA2" w:rsidR="002320EC" w:rsidRPr="00B279FC"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r w:rsidRPr="00B279FC">
        <w:rPr>
          <w:rFonts w:ascii="Times New Roman" w:eastAsia="Times New Roman" w:hAnsi="Times New Roman" w:cs="Times New Roman"/>
          <w:b/>
          <w:sz w:val="24"/>
          <w:szCs w:val="24"/>
          <w:lang w:eastAsia="en-GB"/>
        </w:rPr>
        <w:t>Strengths of the study</w:t>
      </w:r>
      <w:r w:rsidRPr="00B279FC">
        <w:rPr>
          <w:rFonts w:ascii="Times New Roman" w:eastAsia="Times New Roman" w:hAnsi="Times New Roman" w:cs="Times New Roman"/>
          <w:sz w:val="24"/>
          <w:szCs w:val="24"/>
          <w:lang w:eastAsia="en-GB"/>
        </w:rPr>
        <w:t xml:space="preserve"> include its use of gold standard visual field testing to assess progression, which has a high</w:t>
      </w:r>
      <w:r w:rsidR="00462185">
        <w:rPr>
          <w:rFonts w:ascii="Times New Roman" w:eastAsia="Times New Roman" w:hAnsi="Times New Roman" w:cs="Times New Roman"/>
          <w:sz w:val="24"/>
          <w:szCs w:val="24"/>
          <w:lang w:eastAsia="en-GB"/>
        </w:rPr>
        <w:t xml:space="preserve"> specificity for detecting POAG </w:t>
      </w:r>
      <w:r w:rsidRPr="00B279FC">
        <w:rPr>
          <w:rFonts w:ascii="Times New Roman" w:eastAsia="Times New Roman" w:hAnsi="Times New Roman" w:cs="Times New Roman"/>
          <w:sz w:val="24"/>
          <w:szCs w:val="24"/>
          <w:lang w:eastAsia="en-GB"/>
        </w:rPr>
        <w:t>related changes. However, limitations include potential selection bias due to the specialized setting. The retrospective nature of the study also led to missing data and incomplete records, which may have affected some outcomes.</w:t>
      </w:r>
      <w:r w:rsidRPr="00B279FC">
        <w:rPr>
          <w:rFonts w:ascii="Times New Roman" w:hAnsi="Times New Roman" w:cs="Times New Roman"/>
          <w:sz w:val="24"/>
          <w:szCs w:val="24"/>
        </w:rPr>
        <w:t xml:space="preserve"> To mitigate this issue, we enrolled as many participants as possible.</w:t>
      </w:r>
    </w:p>
    <w:p w14:paraId="0D32DC5A" w14:textId="7CA1D547" w:rsidR="002320EC" w:rsidRDefault="002320EC" w:rsidP="002320EC">
      <w:pPr>
        <w:spacing w:before="100" w:beforeAutospacing="1" w:after="100" w:afterAutospacing="1" w:line="240" w:lineRule="auto"/>
        <w:rPr>
          <w:rFonts w:ascii="Times New Roman" w:eastAsia="Times New Roman" w:hAnsi="Times New Roman" w:cs="Times New Roman"/>
          <w:sz w:val="24"/>
          <w:szCs w:val="24"/>
          <w:lang w:eastAsia="en-GB"/>
        </w:rPr>
      </w:pPr>
      <w:r w:rsidRPr="00B279FC">
        <w:rPr>
          <w:rFonts w:ascii="Times New Roman" w:eastAsia="Times New Roman" w:hAnsi="Times New Roman" w:cs="Times New Roman"/>
          <w:b/>
          <w:sz w:val="24"/>
          <w:szCs w:val="24"/>
          <w:lang w:eastAsia="en-GB"/>
        </w:rPr>
        <w:t>The study recommends</w:t>
      </w:r>
      <w:r w:rsidRPr="00B279FC">
        <w:rPr>
          <w:rFonts w:ascii="Times New Roman" w:eastAsia="Times New Roman" w:hAnsi="Times New Roman" w:cs="Times New Roman"/>
          <w:sz w:val="24"/>
          <w:szCs w:val="24"/>
          <w:lang w:eastAsia="en-GB"/>
        </w:rPr>
        <w:t xml:space="preserve"> personalized treatment plans focusing on target IOP, early surgical inte</w:t>
      </w:r>
      <w:r w:rsidR="00462185">
        <w:rPr>
          <w:rFonts w:ascii="Times New Roman" w:eastAsia="Times New Roman" w:hAnsi="Times New Roman" w:cs="Times New Roman"/>
          <w:sz w:val="24"/>
          <w:szCs w:val="24"/>
          <w:lang w:eastAsia="en-GB"/>
        </w:rPr>
        <w:t xml:space="preserve">rvention, and structured follow </w:t>
      </w:r>
      <w:r w:rsidRPr="00B279FC">
        <w:rPr>
          <w:rFonts w:ascii="Times New Roman" w:eastAsia="Times New Roman" w:hAnsi="Times New Roman" w:cs="Times New Roman"/>
          <w:sz w:val="24"/>
          <w:szCs w:val="24"/>
          <w:lang w:eastAsia="en-GB"/>
        </w:rPr>
        <w:t>up visits. It also</w:t>
      </w:r>
      <w:r w:rsidR="00462185">
        <w:rPr>
          <w:rFonts w:ascii="Times New Roman" w:eastAsia="Times New Roman" w:hAnsi="Times New Roman" w:cs="Times New Roman"/>
          <w:sz w:val="24"/>
          <w:szCs w:val="24"/>
          <w:lang w:eastAsia="en-GB"/>
        </w:rPr>
        <w:t xml:space="preserve"> suggests implementing hospital and community </w:t>
      </w:r>
      <w:r w:rsidRPr="00B279FC">
        <w:rPr>
          <w:rFonts w:ascii="Times New Roman" w:eastAsia="Times New Roman" w:hAnsi="Times New Roman" w:cs="Times New Roman"/>
          <w:sz w:val="24"/>
          <w:szCs w:val="24"/>
          <w:lang w:eastAsia="en-GB"/>
        </w:rPr>
        <w:t>based screening for early detection. Further research is encouraged to enhance und</w:t>
      </w:r>
      <w:r w:rsidR="00462185">
        <w:rPr>
          <w:rFonts w:ascii="Times New Roman" w:eastAsia="Times New Roman" w:hAnsi="Times New Roman" w:cs="Times New Roman"/>
          <w:sz w:val="24"/>
          <w:szCs w:val="24"/>
          <w:lang w:eastAsia="en-GB"/>
        </w:rPr>
        <w:t>erstanding and treatment for Normal tension Glaucoma</w:t>
      </w:r>
      <w:r w:rsidRPr="00B279FC">
        <w:rPr>
          <w:rFonts w:ascii="Times New Roman" w:eastAsia="Times New Roman" w:hAnsi="Times New Roman" w:cs="Times New Roman"/>
          <w:sz w:val="24"/>
          <w:szCs w:val="24"/>
          <w:lang w:eastAsia="en-GB"/>
        </w:rPr>
        <w:t>, to address barriers to early diagnosis, assess treatment strategies, and conduct meta-analyses to define</w:t>
      </w:r>
      <w:bookmarkStart w:id="18" w:name="_Toc171879392"/>
      <w:r w:rsidR="00462185">
        <w:rPr>
          <w:rFonts w:ascii="Times New Roman" w:eastAsia="Times New Roman" w:hAnsi="Times New Roman" w:cs="Times New Roman"/>
          <w:sz w:val="24"/>
          <w:szCs w:val="24"/>
          <w:lang w:eastAsia="en-GB"/>
        </w:rPr>
        <w:t xml:space="preserve"> universal progression cut </w:t>
      </w:r>
      <w:r w:rsidRPr="00B279FC">
        <w:rPr>
          <w:rFonts w:ascii="Times New Roman" w:eastAsia="Times New Roman" w:hAnsi="Times New Roman" w:cs="Times New Roman"/>
          <w:sz w:val="24"/>
          <w:szCs w:val="24"/>
          <w:lang w:eastAsia="en-GB"/>
        </w:rPr>
        <w:t>offs values.</w:t>
      </w:r>
    </w:p>
    <w:p w14:paraId="32507954" w14:textId="77777777" w:rsidR="00AF13F0" w:rsidRDefault="00AF13F0" w:rsidP="002320EC">
      <w:pPr>
        <w:spacing w:before="100" w:beforeAutospacing="1" w:after="100" w:afterAutospacing="1" w:line="240" w:lineRule="auto"/>
        <w:rPr>
          <w:rFonts w:ascii="Times New Roman" w:eastAsia="Times New Roman" w:hAnsi="Times New Roman" w:cs="Times New Roman"/>
          <w:sz w:val="24"/>
          <w:szCs w:val="24"/>
          <w:lang w:eastAsia="en-GB"/>
        </w:rPr>
      </w:pPr>
      <w:r w:rsidRPr="00AF13F0">
        <w:rPr>
          <w:rFonts w:ascii="Times New Roman" w:eastAsia="Times New Roman" w:hAnsi="Times New Roman" w:cs="Times New Roman"/>
          <w:b/>
          <w:sz w:val="24"/>
          <w:szCs w:val="24"/>
          <w:lang w:eastAsia="en-GB"/>
        </w:rPr>
        <w:t>Ethical Approval:</w:t>
      </w:r>
      <w:r>
        <w:rPr>
          <w:rFonts w:ascii="Times New Roman" w:eastAsia="Times New Roman" w:hAnsi="Times New Roman" w:cs="Times New Roman"/>
          <w:sz w:val="24"/>
          <w:szCs w:val="24"/>
          <w:lang w:eastAsia="en-GB"/>
        </w:rPr>
        <w:t xml:space="preserve"> </w:t>
      </w:r>
    </w:p>
    <w:p w14:paraId="67800D3C" w14:textId="3AE30556" w:rsidR="00AF13F0" w:rsidRDefault="00AF13F0" w:rsidP="002320EC">
      <w:pPr>
        <w:spacing w:before="100" w:beforeAutospacing="1" w:after="100" w:afterAutospacing="1" w:line="240" w:lineRule="auto"/>
        <w:rPr>
          <w:rFonts w:ascii="Times New Roman" w:eastAsia="Times New Roman" w:hAnsi="Times New Roman" w:cs="Times New Roman"/>
          <w:sz w:val="24"/>
          <w:szCs w:val="24"/>
          <w:lang w:eastAsia="en-GB"/>
        </w:rPr>
      </w:pPr>
      <w:r w:rsidRPr="00AF13F0">
        <w:rPr>
          <w:rFonts w:ascii="Times New Roman" w:eastAsia="Times New Roman" w:hAnsi="Times New Roman" w:cs="Times New Roman"/>
          <w:sz w:val="24"/>
          <w:szCs w:val="24"/>
          <w:lang w:eastAsia="en-GB"/>
        </w:rPr>
        <w:t>Ethical approval was obtained from the Kilimanjaro Christian Medical University College Research and Ethical Review Committee (KCMU-CRERC) Number PG 72/2023. Permission for the study was granted by the head of hospital services and the head of the ophthalmology department at KCMC. Patient confidentiality was ensured by using file numbers instead of names during data collection.</w:t>
      </w:r>
    </w:p>
    <w:p w14:paraId="796F7027" w14:textId="6A667B7A" w:rsidR="00AF13F0" w:rsidRDefault="00AF13F0" w:rsidP="002320EC">
      <w:pPr>
        <w:spacing w:before="100" w:beforeAutospacing="1" w:after="100" w:afterAutospacing="1" w:line="240" w:lineRule="auto"/>
        <w:rPr>
          <w:rFonts w:ascii="Times New Roman" w:eastAsia="Times New Roman" w:hAnsi="Times New Roman" w:cs="Times New Roman"/>
          <w:sz w:val="24"/>
          <w:szCs w:val="24"/>
          <w:lang w:eastAsia="en-GB"/>
        </w:rPr>
      </w:pPr>
    </w:p>
    <w:p w14:paraId="789BEF6D" w14:textId="77777777" w:rsidR="00AF13F0" w:rsidRPr="00B279FC" w:rsidRDefault="00AF13F0" w:rsidP="002320EC">
      <w:pPr>
        <w:spacing w:before="100" w:beforeAutospacing="1" w:after="100" w:afterAutospacing="1" w:line="240" w:lineRule="auto"/>
        <w:rPr>
          <w:rFonts w:ascii="Times New Roman" w:eastAsia="Times New Roman" w:hAnsi="Times New Roman" w:cs="Times New Roman"/>
          <w:sz w:val="24"/>
          <w:szCs w:val="24"/>
          <w:lang w:eastAsia="en-GB"/>
        </w:rPr>
      </w:pPr>
    </w:p>
    <w:p w14:paraId="3E574833" w14:textId="77777777" w:rsidR="00760F78" w:rsidRPr="00AF13F0" w:rsidRDefault="00760F78" w:rsidP="00760F78">
      <w:pPr>
        <w:rPr>
          <w:rFonts w:ascii="Calibri" w:eastAsia="Calibri" w:hAnsi="Calibri" w:cs="Times New Roman"/>
          <w:b/>
          <w:kern w:val="2"/>
          <w:highlight w:val="yellow"/>
          <w:lang w:val="en-US"/>
        </w:rPr>
      </w:pPr>
      <w:bookmarkStart w:id="19" w:name="_Hlk197682619"/>
      <w:bookmarkStart w:id="20" w:name="_Hlk180402183"/>
      <w:bookmarkStart w:id="21" w:name="_Hlk183680988"/>
      <w:r w:rsidRPr="00AF13F0">
        <w:rPr>
          <w:rFonts w:ascii="Calibri" w:eastAsia="Calibri" w:hAnsi="Calibri" w:cs="Times New Roman"/>
          <w:b/>
          <w:kern w:val="2"/>
          <w:highlight w:val="yellow"/>
          <w:lang w:val="en-US"/>
        </w:rPr>
        <w:t>Disclaimer (Artificial intelligence)</w:t>
      </w:r>
    </w:p>
    <w:p w14:paraId="19239C7A" w14:textId="77777777" w:rsidR="00760F78" w:rsidRPr="009C5487" w:rsidRDefault="00760F78" w:rsidP="00760F7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9"/>
    <w:bookmarkEnd w:id="20"/>
    <w:bookmarkEnd w:id="21"/>
    <w:p w14:paraId="3F5516C5" w14:textId="77777777" w:rsidR="00760F78" w:rsidRDefault="00760F78" w:rsidP="002320EC">
      <w:pPr>
        <w:spacing w:before="100" w:beforeAutospacing="1" w:after="100" w:afterAutospacing="1" w:line="240" w:lineRule="auto"/>
        <w:rPr>
          <w:rFonts w:ascii="Times New Roman" w:hAnsi="Times New Roman" w:cs="Times New Roman"/>
          <w:b/>
          <w:sz w:val="24"/>
          <w:szCs w:val="24"/>
        </w:rPr>
      </w:pPr>
    </w:p>
    <w:p w14:paraId="46F9817B" w14:textId="66680357" w:rsidR="002320EC" w:rsidRPr="00B279FC" w:rsidRDefault="002320EC" w:rsidP="002320EC">
      <w:pPr>
        <w:spacing w:before="100" w:beforeAutospacing="1" w:after="100" w:afterAutospacing="1" w:line="240" w:lineRule="auto"/>
        <w:rPr>
          <w:rFonts w:ascii="Times New Roman" w:eastAsia="Times New Roman" w:hAnsi="Times New Roman" w:cs="Times New Roman"/>
          <w:b/>
          <w:sz w:val="24"/>
          <w:szCs w:val="24"/>
          <w:lang w:eastAsia="en-GB"/>
        </w:rPr>
      </w:pPr>
      <w:r w:rsidRPr="00B279FC">
        <w:rPr>
          <w:rFonts w:ascii="Times New Roman" w:hAnsi="Times New Roman" w:cs="Times New Roman"/>
          <w:b/>
          <w:sz w:val="24"/>
          <w:szCs w:val="24"/>
        </w:rPr>
        <w:t>REFERENCES</w:t>
      </w:r>
      <w:bookmarkEnd w:id="18"/>
    </w:p>
    <w:p w14:paraId="5A579F58" w14:textId="6DAED745" w:rsidR="006C6472" w:rsidRPr="006C6472" w:rsidRDefault="002320EC" w:rsidP="006C6472">
      <w:pPr>
        <w:widowControl w:val="0"/>
        <w:autoSpaceDE w:val="0"/>
        <w:autoSpaceDN w:val="0"/>
        <w:adjustRightInd w:val="0"/>
        <w:spacing w:after="0" w:line="360" w:lineRule="auto"/>
        <w:rPr>
          <w:rFonts w:ascii="Times New Roman" w:hAnsi="Times New Roman" w:cs="Times New Roman"/>
          <w:noProof/>
          <w:sz w:val="24"/>
          <w:szCs w:val="24"/>
        </w:rPr>
      </w:pPr>
      <w:r w:rsidRPr="00B279FC">
        <w:rPr>
          <w:rFonts w:ascii="Times New Roman" w:hAnsi="Times New Roman" w:cs="Times New Roman"/>
          <w:b/>
          <w:sz w:val="24"/>
          <w:szCs w:val="24"/>
        </w:rPr>
        <w:fldChar w:fldCharType="begin" w:fldLock="1"/>
      </w:r>
      <w:r w:rsidRPr="00B279FC">
        <w:rPr>
          <w:rFonts w:ascii="Times New Roman" w:hAnsi="Times New Roman" w:cs="Times New Roman"/>
          <w:b/>
          <w:sz w:val="24"/>
          <w:szCs w:val="24"/>
        </w:rPr>
        <w:instrText xml:space="preserve">ADDIN Mendeley Bibliography CSL_BIBLIOGRAPHY </w:instrText>
      </w:r>
      <w:r w:rsidRPr="00B279FC">
        <w:rPr>
          <w:rFonts w:ascii="Times New Roman" w:hAnsi="Times New Roman" w:cs="Times New Roman"/>
          <w:b/>
          <w:sz w:val="24"/>
          <w:szCs w:val="24"/>
        </w:rPr>
        <w:fldChar w:fldCharType="separate"/>
      </w:r>
      <w:r w:rsidR="006C6472" w:rsidRPr="006C6472">
        <w:rPr>
          <w:rFonts w:ascii="Times New Roman" w:hAnsi="Times New Roman" w:cs="Times New Roman"/>
          <w:noProof/>
          <w:sz w:val="24"/>
          <w:szCs w:val="24"/>
        </w:rPr>
        <w:t xml:space="preserve">Actis, A.G. </w:t>
      </w:r>
      <w:r w:rsidR="006C6472" w:rsidRPr="006C6472">
        <w:rPr>
          <w:rFonts w:ascii="Times New Roman" w:hAnsi="Times New Roman" w:cs="Times New Roman"/>
          <w:i/>
          <w:iCs/>
          <w:noProof/>
          <w:sz w:val="24"/>
          <w:szCs w:val="24"/>
        </w:rPr>
        <w:t>et al.</w:t>
      </w:r>
      <w:r w:rsidR="006C6472" w:rsidRPr="006C6472">
        <w:rPr>
          <w:rFonts w:ascii="Times New Roman" w:hAnsi="Times New Roman" w:cs="Times New Roman"/>
          <w:noProof/>
          <w:sz w:val="24"/>
          <w:szCs w:val="24"/>
        </w:rPr>
        <w:t xml:space="preserve"> (2016) ‘Risk Factors for Primary Open Angle Glaucoma (POAG) Progression: A Study Ruled in  Torino.’, </w:t>
      </w:r>
      <w:r w:rsidR="006C6472" w:rsidRPr="006C6472">
        <w:rPr>
          <w:rFonts w:ascii="Times New Roman" w:hAnsi="Times New Roman" w:cs="Times New Roman"/>
          <w:i/>
          <w:iCs/>
          <w:noProof/>
          <w:sz w:val="24"/>
          <w:szCs w:val="24"/>
        </w:rPr>
        <w:t>The open ophthalmology journal</w:t>
      </w:r>
      <w:r w:rsidR="006C6472" w:rsidRPr="006C6472">
        <w:rPr>
          <w:rFonts w:ascii="Times New Roman" w:hAnsi="Times New Roman" w:cs="Times New Roman"/>
          <w:noProof/>
          <w:sz w:val="24"/>
          <w:szCs w:val="24"/>
        </w:rPr>
        <w:t>, 10, pp. 129–139. Available at: https://doi.org/10.2174/1874364101610010129.</w:t>
      </w:r>
    </w:p>
    <w:p w14:paraId="6E88E648"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Alemu, A.M.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(2010) ‘Long-term benefit of reduced intraocular pressure in primary open-angle glaucoma  patients in Ethiopia.’, </w:t>
      </w:r>
      <w:r w:rsidRPr="006C6472">
        <w:rPr>
          <w:rFonts w:ascii="Times New Roman" w:hAnsi="Times New Roman" w:cs="Times New Roman"/>
          <w:i/>
          <w:iCs/>
          <w:noProof/>
          <w:sz w:val="24"/>
          <w:szCs w:val="24"/>
        </w:rPr>
        <w:t>European journal of ophthalmology</w:t>
      </w:r>
      <w:r w:rsidRPr="006C6472">
        <w:rPr>
          <w:rFonts w:ascii="Times New Roman" w:hAnsi="Times New Roman" w:cs="Times New Roman"/>
          <w:noProof/>
          <w:sz w:val="24"/>
          <w:szCs w:val="24"/>
        </w:rPr>
        <w:t>, 20(2), pp. 310–315. Available at: https://doi.org/10.1177/112067211002000209.</w:t>
      </w:r>
    </w:p>
    <w:p w14:paraId="14F746E7"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Anderson, D.R. (2003) ‘Collaborative normal tension glaucoma study.’, </w:t>
      </w:r>
      <w:r w:rsidRPr="006C6472">
        <w:rPr>
          <w:rFonts w:ascii="Times New Roman" w:hAnsi="Times New Roman" w:cs="Times New Roman"/>
          <w:i/>
          <w:iCs/>
          <w:noProof/>
          <w:sz w:val="24"/>
          <w:szCs w:val="24"/>
        </w:rPr>
        <w:t>Current opinion in ophthalmology</w:t>
      </w:r>
      <w:r w:rsidRPr="006C6472">
        <w:rPr>
          <w:rFonts w:ascii="Times New Roman" w:hAnsi="Times New Roman" w:cs="Times New Roman"/>
          <w:noProof/>
          <w:sz w:val="24"/>
          <w:szCs w:val="24"/>
        </w:rPr>
        <w:t>, 14(2), pp. 86–90. Available at: https://doi.org/10.1097/00055735-200304000-00006.</w:t>
      </w:r>
    </w:p>
    <w:p w14:paraId="6D67D139"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Aptel, F.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(2015) ‘Progression of visual field in patients with primary open-angle glaucoma - </w:t>
      </w:r>
      <w:r w:rsidRPr="006C6472">
        <w:rPr>
          <w:rFonts w:ascii="Times New Roman" w:hAnsi="Times New Roman" w:cs="Times New Roman"/>
          <w:noProof/>
          <w:sz w:val="24"/>
          <w:szCs w:val="24"/>
        </w:rPr>
        <w:lastRenderedPageBreak/>
        <w:t xml:space="preserve">ProgF study 1’, </w:t>
      </w:r>
      <w:r w:rsidRPr="006C6472">
        <w:rPr>
          <w:rFonts w:ascii="Times New Roman" w:hAnsi="Times New Roman" w:cs="Times New Roman"/>
          <w:i/>
          <w:iCs/>
          <w:noProof/>
          <w:sz w:val="24"/>
          <w:szCs w:val="24"/>
        </w:rPr>
        <w:t>Acta Ophthalmologica</w:t>
      </w:r>
      <w:r w:rsidRPr="006C6472">
        <w:rPr>
          <w:rFonts w:ascii="Times New Roman" w:hAnsi="Times New Roman" w:cs="Times New Roman"/>
          <w:noProof/>
          <w:sz w:val="24"/>
          <w:szCs w:val="24"/>
        </w:rPr>
        <w:t>, 93(8), pp. e615–e620. Available at: https://doi.org/10.1111/aos.12788.</w:t>
      </w:r>
    </w:p>
    <w:p w14:paraId="42D27895"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Bengtsson, B., Patella, V.M. and Heijl, A. (2009) ‘Prediction of Glaucomatous Visual Field Loss by Extrapolation of Linear Trends’, </w:t>
      </w:r>
      <w:r w:rsidRPr="006C6472">
        <w:rPr>
          <w:rFonts w:ascii="Times New Roman" w:hAnsi="Times New Roman" w:cs="Times New Roman"/>
          <w:i/>
          <w:iCs/>
          <w:noProof/>
          <w:sz w:val="24"/>
          <w:szCs w:val="24"/>
        </w:rPr>
        <w:t>Archives of Ophthalmology</w:t>
      </w:r>
      <w:r w:rsidRPr="006C6472">
        <w:rPr>
          <w:rFonts w:ascii="Times New Roman" w:hAnsi="Times New Roman" w:cs="Times New Roman"/>
          <w:noProof/>
          <w:sz w:val="24"/>
          <w:szCs w:val="24"/>
        </w:rPr>
        <w:t>, 127(12), pp. 1610–1615. Available at: https://doi.org/10.1001/archophthalmol.2009.297.</w:t>
      </w:r>
    </w:p>
    <w:p w14:paraId="1F68D628"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Bhat, A. and untoo, R. (2020) ‘Epidemiological Study And Presenting Features Of Primary Open Angle  Glaucoma(POAG) At Initial Diagnosis ’, </w:t>
      </w:r>
      <w:r w:rsidRPr="006C6472">
        <w:rPr>
          <w:rFonts w:ascii="Times New Roman" w:hAnsi="Times New Roman" w:cs="Times New Roman"/>
          <w:i/>
          <w:iCs/>
          <w:noProof/>
          <w:sz w:val="24"/>
          <w:szCs w:val="24"/>
        </w:rPr>
        <w:t>JMS SKIMS</w:t>
      </w:r>
      <w:r w:rsidRPr="006C6472">
        <w:rPr>
          <w:rFonts w:ascii="Times New Roman" w:hAnsi="Times New Roman" w:cs="Times New Roman"/>
          <w:noProof/>
          <w:sz w:val="24"/>
          <w:szCs w:val="24"/>
        </w:rPr>
        <w:t>, 23(Suppl 1 SE-PGRPP Abstracts). Available at: https://jmsskims.org/index.php/jms/article/view/710.</w:t>
      </w:r>
    </w:p>
    <w:p w14:paraId="13EC70D6"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Bowman, R.J.C.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(2010) ‘Combined cataract and trabeculectomy surgery for advanced glaucoma in East  Africa; visual and intra-ocular pressure outcomes.’, </w:t>
      </w:r>
      <w:r w:rsidRPr="006C6472">
        <w:rPr>
          <w:rFonts w:ascii="Times New Roman" w:hAnsi="Times New Roman" w:cs="Times New Roman"/>
          <w:i/>
          <w:iCs/>
          <w:noProof/>
          <w:sz w:val="24"/>
          <w:szCs w:val="24"/>
        </w:rPr>
        <w:t>Eye (London, England)</w:t>
      </w:r>
      <w:r w:rsidRPr="006C6472">
        <w:rPr>
          <w:rFonts w:ascii="Times New Roman" w:hAnsi="Times New Roman" w:cs="Times New Roman"/>
          <w:noProof/>
          <w:sz w:val="24"/>
          <w:szCs w:val="24"/>
        </w:rPr>
        <w:t>, 24(4), pp. 573–577. Available at: https://doi.org/10.1038/eye.2009.132.</w:t>
      </w:r>
    </w:p>
    <w:p w14:paraId="70B16CF9"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Buys, Y.M., Gaspo, R. and Kwok, K. (2012) ‘Referral source, symptoms, and severity at diagnosis of ocular hypertension or open-angle glaucoma in various practices’, </w:t>
      </w:r>
      <w:r w:rsidRPr="006C6472">
        <w:rPr>
          <w:rFonts w:ascii="Times New Roman" w:hAnsi="Times New Roman" w:cs="Times New Roman"/>
          <w:i/>
          <w:iCs/>
          <w:noProof/>
          <w:sz w:val="24"/>
          <w:szCs w:val="24"/>
        </w:rPr>
        <w:t>Canadian Journal of Ophthalmology</w:t>
      </w:r>
      <w:r w:rsidRPr="006C6472">
        <w:rPr>
          <w:rFonts w:ascii="Times New Roman" w:hAnsi="Times New Roman" w:cs="Times New Roman"/>
          <w:noProof/>
          <w:sz w:val="24"/>
          <w:szCs w:val="24"/>
        </w:rPr>
        <w:t>, 47(3), pp. 217–222. Available at: https://doi.org/10.1016/j.jcjo.2012.03.031.</w:t>
      </w:r>
    </w:p>
    <w:p w14:paraId="61AE853D"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Chen, Y.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(2015) ‘Genetic variants associated with different risks for high tension glaucoma and normal tension glaucoma in a Chinese population’, </w:t>
      </w:r>
      <w:r w:rsidRPr="006C6472">
        <w:rPr>
          <w:rFonts w:ascii="Times New Roman" w:hAnsi="Times New Roman" w:cs="Times New Roman"/>
          <w:i/>
          <w:iCs/>
          <w:noProof/>
          <w:sz w:val="24"/>
          <w:szCs w:val="24"/>
        </w:rPr>
        <w:t>Investigative ophthalmology &amp; visual science</w:t>
      </w:r>
      <w:r w:rsidRPr="006C6472">
        <w:rPr>
          <w:rFonts w:ascii="Times New Roman" w:hAnsi="Times New Roman" w:cs="Times New Roman"/>
          <w:noProof/>
          <w:sz w:val="24"/>
          <w:szCs w:val="24"/>
        </w:rPr>
        <w:t>, 56(4), pp. 2595–2600.</w:t>
      </w:r>
    </w:p>
    <w:p w14:paraId="7F3A6DDE"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Dielemans, I.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(1994) ‘The Prevalence of Primary Open-angle Glaucoma in a Population-based Study in The Netherlands: The Rotterdam Study’, </w:t>
      </w:r>
      <w:r w:rsidRPr="006C6472">
        <w:rPr>
          <w:rFonts w:ascii="Times New Roman" w:hAnsi="Times New Roman" w:cs="Times New Roman"/>
          <w:i/>
          <w:iCs/>
          <w:noProof/>
          <w:sz w:val="24"/>
          <w:szCs w:val="24"/>
        </w:rPr>
        <w:t>Ophthalmology</w:t>
      </w:r>
      <w:r w:rsidRPr="006C6472">
        <w:rPr>
          <w:rFonts w:ascii="Times New Roman" w:hAnsi="Times New Roman" w:cs="Times New Roman"/>
          <w:noProof/>
          <w:sz w:val="24"/>
          <w:szCs w:val="24"/>
        </w:rPr>
        <w:t>, 101(11), pp. 1851–1855. Available at: https://doi.org/https://doi.org/10.1016/S0161-6420(94)31090-6.</w:t>
      </w:r>
    </w:p>
    <w:p w14:paraId="7F95CF63"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Drance, S.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(2001) ‘Risk factors for progression of visual field abnormalities in normal-tension glaucoma’, </w:t>
      </w:r>
      <w:r w:rsidRPr="006C6472">
        <w:rPr>
          <w:rFonts w:ascii="Times New Roman" w:hAnsi="Times New Roman" w:cs="Times New Roman"/>
          <w:i/>
          <w:iCs/>
          <w:noProof/>
          <w:sz w:val="24"/>
          <w:szCs w:val="24"/>
        </w:rPr>
        <w:t>American journal of ophthalmology</w:t>
      </w:r>
      <w:r w:rsidRPr="006C6472">
        <w:rPr>
          <w:rFonts w:ascii="Times New Roman" w:hAnsi="Times New Roman" w:cs="Times New Roman"/>
          <w:noProof/>
          <w:sz w:val="24"/>
          <w:szCs w:val="24"/>
        </w:rPr>
        <w:t>, 131(6), pp. 699–708.</w:t>
      </w:r>
    </w:p>
    <w:p w14:paraId="3141FED4"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Fraser, S., Bunce, C. and Wormald, R. (1999a) ‘Retrospective analysis of risk factors for late presentation of chronic glaucoma’, </w:t>
      </w:r>
      <w:r w:rsidRPr="006C6472">
        <w:rPr>
          <w:rFonts w:ascii="Times New Roman" w:hAnsi="Times New Roman" w:cs="Times New Roman"/>
          <w:i/>
          <w:iCs/>
          <w:noProof/>
          <w:sz w:val="24"/>
          <w:szCs w:val="24"/>
        </w:rPr>
        <w:t>British journal of ophthalmology</w:t>
      </w:r>
      <w:r w:rsidRPr="006C6472">
        <w:rPr>
          <w:rFonts w:ascii="Times New Roman" w:hAnsi="Times New Roman" w:cs="Times New Roman"/>
          <w:noProof/>
          <w:sz w:val="24"/>
          <w:szCs w:val="24"/>
        </w:rPr>
        <w:t>, 83(1), pp. 24–28.</w:t>
      </w:r>
    </w:p>
    <w:p w14:paraId="4BD9DA37"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Fraser, S., Bunce, C. and Wormald, R. (1999b) ‘Risk factors for late presentation in chronic glaucoma’, </w:t>
      </w:r>
      <w:r w:rsidRPr="006C6472">
        <w:rPr>
          <w:rFonts w:ascii="Times New Roman" w:hAnsi="Times New Roman" w:cs="Times New Roman"/>
          <w:i/>
          <w:iCs/>
          <w:noProof/>
          <w:sz w:val="24"/>
          <w:szCs w:val="24"/>
        </w:rPr>
        <w:t>Investigative ophthalmology &amp; visual science</w:t>
      </w:r>
      <w:r w:rsidRPr="006C6472">
        <w:rPr>
          <w:rFonts w:ascii="Times New Roman" w:hAnsi="Times New Roman" w:cs="Times New Roman"/>
          <w:noProof/>
          <w:sz w:val="24"/>
          <w:szCs w:val="24"/>
        </w:rPr>
        <w:t>, 40(10), pp. 2251–2257.</w:t>
      </w:r>
    </w:p>
    <w:p w14:paraId="7F954997"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Heijl, A., Leske, M.C., Bengtsson, Bo, Hyman, L., Bengtsson, Boel, Hussein, M.,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(2002) ‘https://doi.org/10.1016/S0161-6420(01)00873-9’, </w:t>
      </w:r>
      <w:r w:rsidRPr="006C6472">
        <w:rPr>
          <w:rFonts w:ascii="Times New Roman" w:hAnsi="Times New Roman" w:cs="Times New Roman"/>
          <w:i/>
          <w:iCs/>
          <w:noProof/>
          <w:sz w:val="24"/>
          <w:szCs w:val="24"/>
        </w:rPr>
        <w:t>Archives of Ophthalmology</w:t>
      </w:r>
      <w:r w:rsidRPr="006C6472">
        <w:rPr>
          <w:rFonts w:ascii="Times New Roman" w:hAnsi="Times New Roman" w:cs="Times New Roman"/>
          <w:noProof/>
          <w:sz w:val="24"/>
          <w:szCs w:val="24"/>
        </w:rPr>
        <w:t>, 120(10), pp. 1268–1279. Available at: https://doi.org/10.1001/archopht.120.10.1268.</w:t>
      </w:r>
    </w:p>
    <w:p w14:paraId="1D352F5A"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Heijl, A., Leske, M.C., Bengtsson, Bo, Hyman, L., Bengtsson, Boel and Hussein, M. (2002) ‘Reduction of intraocular pressure and glaucoma progression: results from the  Early Manifest Glaucoma Trial.’, </w:t>
      </w:r>
      <w:r w:rsidRPr="006C6472">
        <w:rPr>
          <w:rFonts w:ascii="Times New Roman" w:hAnsi="Times New Roman" w:cs="Times New Roman"/>
          <w:i/>
          <w:iCs/>
          <w:noProof/>
          <w:sz w:val="24"/>
          <w:szCs w:val="24"/>
        </w:rPr>
        <w:t>Archives of ophthalmology (Chicago, Ill. : 1960)</w:t>
      </w:r>
      <w:r w:rsidRPr="006C6472">
        <w:rPr>
          <w:rFonts w:ascii="Times New Roman" w:hAnsi="Times New Roman" w:cs="Times New Roman"/>
          <w:noProof/>
          <w:sz w:val="24"/>
          <w:szCs w:val="24"/>
        </w:rPr>
        <w:t>, 120(10), pp. 1268–1279. Available at: https://doi.org/10.1001/archopht.120.10.1268.</w:t>
      </w:r>
    </w:p>
    <w:p w14:paraId="1C664F29"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Heijl, A.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(2009) ‘Natural history of open-angle glaucoma.’, </w:t>
      </w:r>
      <w:r w:rsidRPr="006C6472">
        <w:rPr>
          <w:rFonts w:ascii="Times New Roman" w:hAnsi="Times New Roman" w:cs="Times New Roman"/>
          <w:i/>
          <w:iCs/>
          <w:noProof/>
          <w:sz w:val="24"/>
          <w:szCs w:val="24"/>
        </w:rPr>
        <w:t>Ophthalmology</w:t>
      </w:r>
      <w:r w:rsidRPr="006C6472">
        <w:rPr>
          <w:rFonts w:ascii="Times New Roman" w:hAnsi="Times New Roman" w:cs="Times New Roman"/>
          <w:noProof/>
          <w:sz w:val="24"/>
          <w:szCs w:val="24"/>
        </w:rPr>
        <w:t xml:space="preserve">, 116(12), pp. </w:t>
      </w:r>
      <w:r w:rsidRPr="006C6472">
        <w:rPr>
          <w:rFonts w:ascii="Times New Roman" w:hAnsi="Times New Roman" w:cs="Times New Roman"/>
          <w:noProof/>
          <w:sz w:val="24"/>
          <w:szCs w:val="24"/>
        </w:rPr>
        <w:lastRenderedPageBreak/>
        <w:t>2271–2276. Available at: https://doi.org/10.1016/j.ophtha.2009.06.042.</w:t>
      </w:r>
    </w:p>
    <w:p w14:paraId="1BF7ABF7"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Heijl, A.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(2013) ‘Rates of visual field progression in clinical glaucoma care’, </w:t>
      </w:r>
      <w:r w:rsidRPr="006C6472">
        <w:rPr>
          <w:rFonts w:ascii="Times New Roman" w:hAnsi="Times New Roman" w:cs="Times New Roman"/>
          <w:i/>
          <w:iCs/>
          <w:noProof/>
          <w:sz w:val="24"/>
          <w:szCs w:val="24"/>
        </w:rPr>
        <w:t>Acta Ophthalmologica</w:t>
      </w:r>
      <w:r w:rsidRPr="006C6472">
        <w:rPr>
          <w:rFonts w:ascii="Times New Roman" w:hAnsi="Times New Roman" w:cs="Times New Roman"/>
          <w:noProof/>
          <w:sz w:val="24"/>
          <w:szCs w:val="24"/>
        </w:rPr>
        <w:t>, pp. 406–412. Available at: https://doi.org/10.1111/j.1755-3768.2012.02492.x.</w:t>
      </w:r>
    </w:p>
    <w:p w14:paraId="078CF4EE"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Hulsman, C.A.A.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(2001) ‘Is Open-Angle Glaucoma Associated with Early Menopause? : The Rotterdam Study’, </w:t>
      </w:r>
      <w:r w:rsidRPr="006C6472">
        <w:rPr>
          <w:rFonts w:ascii="Times New Roman" w:hAnsi="Times New Roman" w:cs="Times New Roman"/>
          <w:i/>
          <w:iCs/>
          <w:noProof/>
          <w:sz w:val="24"/>
          <w:szCs w:val="24"/>
        </w:rPr>
        <w:t>American Journal of Epidemiology</w:t>
      </w:r>
      <w:r w:rsidRPr="006C6472">
        <w:rPr>
          <w:rFonts w:ascii="Times New Roman" w:hAnsi="Times New Roman" w:cs="Times New Roman"/>
          <w:noProof/>
          <w:sz w:val="24"/>
          <w:szCs w:val="24"/>
        </w:rPr>
        <w:t>, 154(2), pp. 138–144. Available at: https://doi.org/10.1093/aje/154.2.138.</w:t>
      </w:r>
    </w:p>
    <w:p w14:paraId="459D0BE7"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Kabiru, J.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(2005) ‘Audit of trabeculectomy at a tertiary referral hospital in East Africa.’, </w:t>
      </w:r>
      <w:r w:rsidRPr="006C6472">
        <w:rPr>
          <w:rFonts w:ascii="Times New Roman" w:hAnsi="Times New Roman" w:cs="Times New Roman"/>
          <w:i/>
          <w:iCs/>
          <w:noProof/>
          <w:sz w:val="24"/>
          <w:szCs w:val="24"/>
        </w:rPr>
        <w:t>Journal of glaucoma</w:t>
      </w:r>
      <w:r w:rsidRPr="006C6472">
        <w:rPr>
          <w:rFonts w:ascii="Times New Roman" w:hAnsi="Times New Roman" w:cs="Times New Roman"/>
          <w:noProof/>
          <w:sz w:val="24"/>
          <w:szCs w:val="24"/>
        </w:rPr>
        <w:t>, 14(6), pp. 432–434. Available at: https://doi.org/10.1097/01.ijg.0000185617.98915.36.</w:t>
      </w:r>
    </w:p>
    <w:p w14:paraId="34DE74A9"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Kim, J.H.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(2019) ‘Risk Factors for Fast Visual Field Progression in Glaucoma’, </w:t>
      </w:r>
      <w:r w:rsidRPr="006C6472">
        <w:rPr>
          <w:rFonts w:ascii="Times New Roman" w:hAnsi="Times New Roman" w:cs="Times New Roman"/>
          <w:i/>
          <w:iCs/>
          <w:noProof/>
          <w:sz w:val="24"/>
          <w:szCs w:val="24"/>
        </w:rPr>
        <w:t>American Journal of Ophthalmology</w:t>
      </w:r>
      <w:r w:rsidRPr="006C6472">
        <w:rPr>
          <w:rFonts w:ascii="Times New Roman" w:hAnsi="Times New Roman" w:cs="Times New Roman"/>
          <w:noProof/>
          <w:sz w:val="24"/>
          <w:szCs w:val="24"/>
        </w:rPr>
        <w:t>, 207, pp. 268–278. Available at: https://doi.org/10.1016/j.ajo.2019.06.019.</w:t>
      </w:r>
    </w:p>
    <w:p w14:paraId="552E45C5"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Kim, K.E.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(2016) ‘Prevalence, Awareness, and Risk Factors of Primary Open-Angle Glaucoma: Korea National Health and Nutrition Examination Survey 2008–2011’, </w:t>
      </w:r>
      <w:r w:rsidRPr="006C6472">
        <w:rPr>
          <w:rFonts w:ascii="Times New Roman" w:hAnsi="Times New Roman" w:cs="Times New Roman"/>
          <w:i/>
          <w:iCs/>
          <w:noProof/>
          <w:sz w:val="24"/>
          <w:szCs w:val="24"/>
        </w:rPr>
        <w:t>Ophthalmology</w:t>
      </w:r>
      <w:r w:rsidRPr="006C6472">
        <w:rPr>
          <w:rFonts w:ascii="Times New Roman" w:hAnsi="Times New Roman" w:cs="Times New Roman"/>
          <w:noProof/>
          <w:sz w:val="24"/>
          <w:szCs w:val="24"/>
        </w:rPr>
        <w:t>, 123(3), pp. 532–541. Available at: https://doi.org/https://doi.org/10.1016/j.ophtha.2015.11.004.</w:t>
      </w:r>
    </w:p>
    <w:p w14:paraId="6B377041"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Kocatürk, T.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(2015) ‘Long term results of visual field progression analysis in open angle glaucoma patients under treatment’, </w:t>
      </w:r>
      <w:r w:rsidRPr="006C6472">
        <w:rPr>
          <w:rFonts w:ascii="Times New Roman" w:hAnsi="Times New Roman" w:cs="Times New Roman"/>
          <w:i/>
          <w:iCs/>
          <w:noProof/>
          <w:sz w:val="24"/>
          <w:szCs w:val="24"/>
        </w:rPr>
        <w:t>The Open Ophthalmology Journal</w:t>
      </w:r>
      <w:r w:rsidRPr="006C6472">
        <w:rPr>
          <w:rFonts w:ascii="Times New Roman" w:hAnsi="Times New Roman" w:cs="Times New Roman"/>
          <w:noProof/>
          <w:sz w:val="24"/>
          <w:szCs w:val="24"/>
        </w:rPr>
        <w:t>, 9, p. 116.</w:t>
      </w:r>
    </w:p>
    <w:p w14:paraId="48DA57B6"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Kyari, F.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(2013) ‘Epidemiology of glaucoma in sub-saharan Africa: prevalence, incidence and risk factors’, </w:t>
      </w:r>
      <w:r w:rsidRPr="006C6472">
        <w:rPr>
          <w:rFonts w:ascii="Times New Roman" w:hAnsi="Times New Roman" w:cs="Times New Roman"/>
          <w:i/>
          <w:iCs/>
          <w:noProof/>
          <w:sz w:val="24"/>
          <w:szCs w:val="24"/>
        </w:rPr>
        <w:t>Middle East African journal of ophthalmology</w:t>
      </w:r>
      <w:r w:rsidRPr="006C6472">
        <w:rPr>
          <w:rFonts w:ascii="Times New Roman" w:hAnsi="Times New Roman" w:cs="Times New Roman"/>
          <w:noProof/>
          <w:sz w:val="24"/>
          <w:szCs w:val="24"/>
        </w:rPr>
        <w:t>, 20(2), p. 111.</w:t>
      </w:r>
    </w:p>
    <w:p w14:paraId="7B63C2BF"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Le (2007) ‘Predictors of Long-term Progression in the Early Manske, M Cristina Heijl, Anders Hyman, Leslie Bengtsson, Boel Dong, LiMing Yang, Zhongmingifest Glaucoma Trial’, </w:t>
      </w:r>
      <w:r w:rsidRPr="006C6472">
        <w:rPr>
          <w:rFonts w:ascii="Times New Roman" w:hAnsi="Times New Roman" w:cs="Times New Roman"/>
          <w:i/>
          <w:iCs/>
          <w:noProof/>
          <w:sz w:val="24"/>
          <w:szCs w:val="24"/>
        </w:rPr>
        <w:t>Ophthalmology</w:t>
      </w:r>
      <w:r w:rsidRPr="006C6472">
        <w:rPr>
          <w:rFonts w:ascii="Times New Roman" w:hAnsi="Times New Roman" w:cs="Times New Roman"/>
          <w:noProof/>
          <w:sz w:val="24"/>
          <w:szCs w:val="24"/>
        </w:rPr>
        <w:t>, 114(11), pp. 1965–1972. Available at: https://doi.org/https://doi.org/10.1016/j.ophtha.2007.03.016.</w:t>
      </w:r>
    </w:p>
    <w:p w14:paraId="3D330D3A"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Lee, A.J.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(2003) ‘Female reproductive factors and open angle glaucoma: the Blue Mountains Eye Study’, </w:t>
      </w:r>
      <w:r w:rsidRPr="006C6472">
        <w:rPr>
          <w:rFonts w:ascii="Times New Roman" w:hAnsi="Times New Roman" w:cs="Times New Roman"/>
          <w:i/>
          <w:iCs/>
          <w:noProof/>
          <w:sz w:val="24"/>
          <w:szCs w:val="24"/>
        </w:rPr>
        <w:t>British Journal of Ophthalmology</w:t>
      </w:r>
      <w:r w:rsidRPr="006C6472">
        <w:rPr>
          <w:rFonts w:ascii="Times New Roman" w:hAnsi="Times New Roman" w:cs="Times New Roman"/>
          <w:noProof/>
          <w:sz w:val="24"/>
          <w:szCs w:val="24"/>
        </w:rPr>
        <w:t>, 87(11), pp. 1324 LP – 1328. Available at: https://doi.org/10.1136/bjo.87.11.1324.</w:t>
      </w:r>
    </w:p>
    <w:p w14:paraId="6A8F3CDD"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Lee, J.Y.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(2015) ‘Effect of myopia on the progression of primary openangle glaucoma’, </w:t>
      </w:r>
      <w:r w:rsidRPr="006C6472">
        <w:rPr>
          <w:rFonts w:ascii="Times New Roman" w:hAnsi="Times New Roman" w:cs="Times New Roman"/>
          <w:i/>
          <w:iCs/>
          <w:noProof/>
          <w:sz w:val="24"/>
          <w:szCs w:val="24"/>
        </w:rPr>
        <w:t>Investigative Ophthalmology and Visual Science</w:t>
      </w:r>
      <w:r w:rsidRPr="006C6472">
        <w:rPr>
          <w:rFonts w:ascii="Times New Roman" w:hAnsi="Times New Roman" w:cs="Times New Roman"/>
          <w:noProof/>
          <w:sz w:val="24"/>
          <w:szCs w:val="24"/>
        </w:rPr>
        <w:t>, 56(3), pp. 1775–1781. Available at: https://doi.org/10.1167/iovs.14-16002.</w:t>
      </w:r>
    </w:p>
    <w:p w14:paraId="141EDF7A"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Leske, M.C.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(1999) ‘Early Manifest Glaucoma Trial: design and baseline data.’, </w:t>
      </w:r>
      <w:r w:rsidRPr="006C6472">
        <w:rPr>
          <w:rFonts w:ascii="Times New Roman" w:hAnsi="Times New Roman" w:cs="Times New Roman"/>
          <w:i/>
          <w:iCs/>
          <w:noProof/>
          <w:sz w:val="24"/>
          <w:szCs w:val="24"/>
        </w:rPr>
        <w:t>Ophthalmology</w:t>
      </w:r>
      <w:r w:rsidRPr="006C6472">
        <w:rPr>
          <w:rFonts w:ascii="Times New Roman" w:hAnsi="Times New Roman" w:cs="Times New Roman"/>
          <w:noProof/>
          <w:sz w:val="24"/>
          <w:szCs w:val="24"/>
        </w:rPr>
        <w:t>, 106(11), pp. 2144–2153. Available at: https://doi.org/10.1016/s0161-6420(99)90497-9.</w:t>
      </w:r>
    </w:p>
    <w:p w14:paraId="7F700217"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Leung, C.K.S.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(2011) ‘Evaluation of Retinal Nerve Fiber Layer Progression in Glaucoma: A Prospective Analysis with Neuroretinal Rim and Visual Field Progression’, </w:t>
      </w:r>
      <w:r w:rsidRPr="006C6472">
        <w:rPr>
          <w:rFonts w:ascii="Times New Roman" w:hAnsi="Times New Roman" w:cs="Times New Roman"/>
          <w:i/>
          <w:iCs/>
          <w:noProof/>
          <w:sz w:val="24"/>
          <w:szCs w:val="24"/>
        </w:rPr>
        <w:t>Ophthalmology</w:t>
      </w:r>
      <w:r w:rsidRPr="006C6472">
        <w:rPr>
          <w:rFonts w:ascii="Times New Roman" w:hAnsi="Times New Roman" w:cs="Times New Roman"/>
          <w:noProof/>
          <w:sz w:val="24"/>
          <w:szCs w:val="24"/>
        </w:rPr>
        <w:t xml:space="preserve">, 118(8), </w:t>
      </w:r>
      <w:r w:rsidRPr="006C6472">
        <w:rPr>
          <w:rFonts w:ascii="Times New Roman" w:hAnsi="Times New Roman" w:cs="Times New Roman"/>
          <w:noProof/>
          <w:sz w:val="24"/>
          <w:szCs w:val="24"/>
        </w:rPr>
        <w:lastRenderedPageBreak/>
        <w:t>pp. 1551–1557. Available at: https://doi.org/https://doi.org/10.1016/j.ophtha.2010.12.035.</w:t>
      </w:r>
    </w:p>
    <w:p w14:paraId="070D2418"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Liu, H.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(2023) ‘Factors associated with delayed first ophthalmological consultation for primary glaucoma: a qualitative interview study’, </w:t>
      </w:r>
      <w:r w:rsidRPr="006C6472">
        <w:rPr>
          <w:rFonts w:ascii="Times New Roman" w:hAnsi="Times New Roman" w:cs="Times New Roman"/>
          <w:i/>
          <w:iCs/>
          <w:noProof/>
          <w:sz w:val="24"/>
          <w:szCs w:val="24"/>
        </w:rPr>
        <w:t>Frontiers in Medicine</w:t>
      </w:r>
      <w:r w:rsidRPr="006C6472">
        <w:rPr>
          <w:rFonts w:ascii="Times New Roman" w:hAnsi="Times New Roman" w:cs="Times New Roman"/>
          <w:noProof/>
          <w:sz w:val="24"/>
          <w:szCs w:val="24"/>
        </w:rPr>
        <w:t>, 10(July). Available at: https://doi.org/10.3389/fmed.2023.1161980.</w:t>
      </w:r>
    </w:p>
    <w:p w14:paraId="1E2E6A3D"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Mafwiri, M.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(2005) ‘Primary open-angle glaucoma presentation at a tertiary unit in Africa: intraocular pressure levels and visual status’, </w:t>
      </w:r>
      <w:r w:rsidRPr="006C6472">
        <w:rPr>
          <w:rFonts w:ascii="Times New Roman" w:hAnsi="Times New Roman" w:cs="Times New Roman"/>
          <w:i/>
          <w:iCs/>
          <w:noProof/>
          <w:sz w:val="24"/>
          <w:szCs w:val="24"/>
        </w:rPr>
        <w:t>Ophthalmic epidemiology</w:t>
      </w:r>
      <w:r w:rsidRPr="006C6472">
        <w:rPr>
          <w:rFonts w:ascii="Times New Roman" w:hAnsi="Times New Roman" w:cs="Times New Roman"/>
          <w:noProof/>
          <w:sz w:val="24"/>
          <w:szCs w:val="24"/>
        </w:rPr>
        <w:t>, 12(5), pp. 299–302.</w:t>
      </w:r>
    </w:p>
    <w:p w14:paraId="75AE5E81"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Majeed, F.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(2007) ‘Frequency of Normal-Tension Glaucoma in Suspected Cases of Primary Open Angle Glaucoma’, </w:t>
      </w:r>
      <w:r w:rsidRPr="006C6472">
        <w:rPr>
          <w:rFonts w:ascii="Times New Roman" w:hAnsi="Times New Roman" w:cs="Times New Roman"/>
          <w:i/>
          <w:iCs/>
          <w:noProof/>
          <w:sz w:val="24"/>
          <w:szCs w:val="24"/>
        </w:rPr>
        <w:t>Pakistan Journal of Ophthalmology</w:t>
      </w:r>
      <w:r w:rsidRPr="006C6472">
        <w:rPr>
          <w:rFonts w:ascii="Times New Roman" w:hAnsi="Times New Roman" w:cs="Times New Roman"/>
          <w:noProof/>
          <w:sz w:val="24"/>
          <w:szCs w:val="24"/>
        </w:rPr>
        <w:t>, 23(4), pp. 192–197.</w:t>
      </w:r>
    </w:p>
    <w:p w14:paraId="3D6C6B7B"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Mwanza, J.-C.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(2019) ‘Eight-Year Incidence of Open-Angle Glaucoma in the Tema Eye Survey’, </w:t>
      </w:r>
      <w:r w:rsidRPr="006C6472">
        <w:rPr>
          <w:rFonts w:ascii="Times New Roman" w:hAnsi="Times New Roman" w:cs="Times New Roman"/>
          <w:i/>
          <w:iCs/>
          <w:noProof/>
          <w:sz w:val="24"/>
          <w:szCs w:val="24"/>
        </w:rPr>
        <w:t>Ophthalmology</w:t>
      </w:r>
      <w:r w:rsidRPr="006C6472">
        <w:rPr>
          <w:rFonts w:ascii="Times New Roman" w:hAnsi="Times New Roman" w:cs="Times New Roman"/>
          <w:noProof/>
          <w:sz w:val="24"/>
          <w:szCs w:val="24"/>
        </w:rPr>
        <w:t>, 126(3), pp. 372–380. Available at: https://doi.org/https://doi.org/10.1016/j.ophtha.2018.10.016.</w:t>
      </w:r>
    </w:p>
    <w:p w14:paraId="036427D4"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Mwanza, J.-C.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(2022) ‘ncidence of Glaucoma Progression and Rate of Visual Field Deterioration in a Cohort of Urban GhanaiansI’, </w:t>
      </w:r>
      <w:r w:rsidRPr="006C6472">
        <w:rPr>
          <w:rFonts w:ascii="Times New Roman" w:hAnsi="Times New Roman" w:cs="Times New Roman"/>
          <w:i/>
          <w:iCs/>
          <w:noProof/>
          <w:sz w:val="24"/>
          <w:szCs w:val="24"/>
        </w:rPr>
        <w:t>Journal of Glaucoma</w:t>
      </w:r>
      <w:r w:rsidRPr="006C6472">
        <w:rPr>
          <w:rFonts w:ascii="Times New Roman" w:hAnsi="Times New Roman" w:cs="Times New Roman"/>
          <w:noProof/>
          <w:sz w:val="24"/>
          <w:szCs w:val="24"/>
        </w:rPr>
        <w:t>, 31(7). Available at: https://journals.lww.com/glaucomajournal/fulltext/2022/07000/incidence_of_glaucoma_progression_and_rate_of.4.aspx.</w:t>
      </w:r>
    </w:p>
    <w:p w14:paraId="345890D6"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Newman-Casey, P.A.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(2014) ‘The potential association between postmenopausal hormone use and primary open-angle glaucoma’, </w:t>
      </w:r>
      <w:r w:rsidRPr="006C6472">
        <w:rPr>
          <w:rFonts w:ascii="Times New Roman" w:hAnsi="Times New Roman" w:cs="Times New Roman"/>
          <w:i/>
          <w:iCs/>
          <w:noProof/>
          <w:sz w:val="24"/>
          <w:szCs w:val="24"/>
        </w:rPr>
        <w:t>JAMA Ophthalmology</w:t>
      </w:r>
      <w:r w:rsidRPr="006C6472">
        <w:rPr>
          <w:rFonts w:ascii="Times New Roman" w:hAnsi="Times New Roman" w:cs="Times New Roman"/>
          <w:noProof/>
          <w:sz w:val="24"/>
          <w:szCs w:val="24"/>
        </w:rPr>
        <w:t>, 132(3), pp. 298–303. Available at: https://doi.org/10.1001/jamaophthalmol.2013.7618.</w:t>
      </w:r>
    </w:p>
    <w:p w14:paraId="44B92AA6"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Ntim-Amponsah, C.T. (2002) ‘Visual loss in urban and rural chronic glaucoma patients in Ghana’, </w:t>
      </w:r>
      <w:r w:rsidRPr="006C6472">
        <w:rPr>
          <w:rFonts w:ascii="Times New Roman" w:hAnsi="Times New Roman" w:cs="Times New Roman"/>
          <w:i/>
          <w:iCs/>
          <w:noProof/>
          <w:sz w:val="24"/>
          <w:szCs w:val="24"/>
        </w:rPr>
        <w:t>Tropical doctor</w:t>
      </w:r>
      <w:r w:rsidRPr="006C6472">
        <w:rPr>
          <w:rFonts w:ascii="Times New Roman" w:hAnsi="Times New Roman" w:cs="Times New Roman"/>
          <w:noProof/>
          <w:sz w:val="24"/>
          <w:szCs w:val="24"/>
        </w:rPr>
        <w:t>, 32(2), pp. 102–104.</w:t>
      </w:r>
    </w:p>
    <w:p w14:paraId="0EA5F208"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Pantalon, A.D., Feraru, C. and Chiseliţă, D. (2016) ‘Risk factors and long term progression in open angle glaucoma patients’, </w:t>
      </w:r>
      <w:r w:rsidRPr="006C6472">
        <w:rPr>
          <w:rFonts w:ascii="Times New Roman" w:hAnsi="Times New Roman" w:cs="Times New Roman"/>
          <w:i/>
          <w:iCs/>
          <w:noProof/>
          <w:sz w:val="24"/>
          <w:szCs w:val="24"/>
        </w:rPr>
        <w:t>Romanian journal of ophthalmology</w:t>
      </w:r>
      <w:r w:rsidRPr="006C6472">
        <w:rPr>
          <w:rFonts w:ascii="Times New Roman" w:hAnsi="Times New Roman" w:cs="Times New Roman"/>
          <w:noProof/>
          <w:sz w:val="24"/>
          <w:szCs w:val="24"/>
        </w:rPr>
        <w:t>, pp. 174–180.</w:t>
      </w:r>
    </w:p>
    <w:p w14:paraId="0F42DA93"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Pasquale, L.R.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(2013) ‘Estrogen pathway polymorphisms in relation to primary open angle glaucoma: an  analysis accounting for gender from the United States.’, </w:t>
      </w:r>
      <w:r w:rsidRPr="006C6472">
        <w:rPr>
          <w:rFonts w:ascii="Times New Roman" w:hAnsi="Times New Roman" w:cs="Times New Roman"/>
          <w:i/>
          <w:iCs/>
          <w:noProof/>
          <w:sz w:val="24"/>
          <w:szCs w:val="24"/>
        </w:rPr>
        <w:t>Molecular vision</w:t>
      </w:r>
      <w:r w:rsidRPr="006C6472">
        <w:rPr>
          <w:rFonts w:ascii="Times New Roman" w:hAnsi="Times New Roman" w:cs="Times New Roman"/>
          <w:noProof/>
          <w:sz w:val="24"/>
          <w:szCs w:val="24"/>
        </w:rPr>
        <w:t>, 19, pp. 1471–1481.</w:t>
      </w:r>
    </w:p>
    <w:p w14:paraId="12C7FFB0"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Peters, D., Bengtsson, B. and Heijl, A. (2013) ‘Lifetime risk of blindness in open-angle glaucoma’, </w:t>
      </w:r>
      <w:r w:rsidRPr="006C6472">
        <w:rPr>
          <w:rFonts w:ascii="Times New Roman" w:hAnsi="Times New Roman" w:cs="Times New Roman"/>
          <w:i/>
          <w:iCs/>
          <w:noProof/>
          <w:sz w:val="24"/>
          <w:szCs w:val="24"/>
        </w:rPr>
        <w:t>American Journal of Ophthalmology</w:t>
      </w:r>
      <w:r w:rsidRPr="006C6472">
        <w:rPr>
          <w:rFonts w:ascii="Times New Roman" w:hAnsi="Times New Roman" w:cs="Times New Roman"/>
          <w:noProof/>
          <w:sz w:val="24"/>
          <w:szCs w:val="24"/>
        </w:rPr>
        <w:t>, 156(4), pp. 724–730. Available at: https://doi.org/10.1016/j.ajo.2013.05.027.</w:t>
      </w:r>
    </w:p>
    <w:p w14:paraId="1DA8C4F4"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Pleet, A.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(2016) ‘Risk Factors Associated with Progression to Blindness from Primary Open-Angle Glaucoma in an African-American Population’, </w:t>
      </w:r>
      <w:r w:rsidRPr="006C6472">
        <w:rPr>
          <w:rFonts w:ascii="Times New Roman" w:hAnsi="Times New Roman" w:cs="Times New Roman"/>
          <w:i/>
          <w:iCs/>
          <w:noProof/>
          <w:sz w:val="24"/>
          <w:szCs w:val="24"/>
        </w:rPr>
        <w:t>Ophthalmic Epidemiology</w:t>
      </w:r>
      <w:r w:rsidRPr="006C6472">
        <w:rPr>
          <w:rFonts w:ascii="Times New Roman" w:hAnsi="Times New Roman" w:cs="Times New Roman"/>
          <w:noProof/>
          <w:sz w:val="24"/>
          <w:szCs w:val="24"/>
        </w:rPr>
        <w:t>, 23(4), pp. 248–256. Available at: https://doi.org/10.1080/09286586.2016.1193207.</w:t>
      </w:r>
    </w:p>
    <w:p w14:paraId="6E987917"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Prior, M.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(2013) ‘Why do people present late with advanced glaucoma? A qualitative interview study’, </w:t>
      </w:r>
      <w:r w:rsidRPr="006C6472">
        <w:rPr>
          <w:rFonts w:ascii="Times New Roman" w:hAnsi="Times New Roman" w:cs="Times New Roman"/>
          <w:i/>
          <w:iCs/>
          <w:noProof/>
          <w:sz w:val="24"/>
          <w:szCs w:val="24"/>
        </w:rPr>
        <w:t>British Journal of Ophthalmology</w:t>
      </w:r>
      <w:r w:rsidRPr="006C6472">
        <w:rPr>
          <w:rFonts w:ascii="Times New Roman" w:hAnsi="Times New Roman" w:cs="Times New Roman"/>
          <w:noProof/>
          <w:sz w:val="24"/>
          <w:szCs w:val="24"/>
        </w:rPr>
        <w:t>, 97(12), pp. 1574 LP – 1578. Available at: https://doi.org/10.1136/bjophthalmol-2013-303813.</w:t>
      </w:r>
    </w:p>
    <w:p w14:paraId="6A6A46E3"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lastRenderedPageBreak/>
        <w:t xml:space="preserve">Salowe, R.J.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(2023) ‘Risk factors for structural and functional progression of primary open-angle glaucoma in an African ancestry cohort’, </w:t>
      </w:r>
      <w:r w:rsidRPr="006C6472">
        <w:rPr>
          <w:rFonts w:ascii="Times New Roman" w:hAnsi="Times New Roman" w:cs="Times New Roman"/>
          <w:i/>
          <w:iCs/>
          <w:noProof/>
          <w:sz w:val="24"/>
          <w:szCs w:val="24"/>
        </w:rPr>
        <w:t>BMJ Open Ophthalmology</w:t>
      </w:r>
      <w:r w:rsidRPr="006C6472">
        <w:rPr>
          <w:rFonts w:ascii="Times New Roman" w:hAnsi="Times New Roman" w:cs="Times New Roman"/>
          <w:noProof/>
          <w:sz w:val="24"/>
          <w:szCs w:val="24"/>
        </w:rPr>
        <w:t>, 8(1), pp. 1–9. Available at: https://doi.org/10.1136/bmjophth-2022-001120.</w:t>
      </w:r>
    </w:p>
    <w:p w14:paraId="0A2E6316"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Sator, M.O.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(1997) ‘Hormone replacement therapy and intraocular pressure’, </w:t>
      </w:r>
      <w:r w:rsidRPr="006C6472">
        <w:rPr>
          <w:rFonts w:ascii="Times New Roman" w:hAnsi="Times New Roman" w:cs="Times New Roman"/>
          <w:i/>
          <w:iCs/>
          <w:noProof/>
          <w:sz w:val="24"/>
          <w:szCs w:val="24"/>
        </w:rPr>
        <w:t>Maturitas</w:t>
      </w:r>
      <w:r w:rsidRPr="006C6472">
        <w:rPr>
          <w:rFonts w:ascii="Times New Roman" w:hAnsi="Times New Roman" w:cs="Times New Roman"/>
          <w:noProof/>
          <w:sz w:val="24"/>
          <w:szCs w:val="24"/>
        </w:rPr>
        <w:t>, 28(1), pp. 55–58. Available at: https://doi.org/https://doi.org/10.1016/S0378-5122(97)00060-1.</w:t>
      </w:r>
    </w:p>
    <w:p w14:paraId="309BF6B2"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Sator, M.O.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(1998) ‘Reduction of intraocular pressure in a glaucoma patient undergoing hormone replacement therapy’, </w:t>
      </w:r>
      <w:r w:rsidRPr="006C6472">
        <w:rPr>
          <w:rFonts w:ascii="Times New Roman" w:hAnsi="Times New Roman" w:cs="Times New Roman"/>
          <w:i/>
          <w:iCs/>
          <w:noProof/>
          <w:sz w:val="24"/>
          <w:szCs w:val="24"/>
        </w:rPr>
        <w:t>Maturitas</w:t>
      </w:r>
      <w:r w:rsidRPr="006C6472">
        <w:rPr>
          <w:rFonts w:ascii="Times New Roman" w:hAnsi="Times New Roman" w:cs="Times New Roman"/>
          <w:noProof/>
          <w:sz w:val="24"/>
          <w:szCs w:val="24"/>
        </w:rPr>
        <w:t>, 29(1), pp. 93–95. Available at: https://doi.org/https://doi.org/10.1016/S0378-5122(97)00091-1.</w:t>
      </w:r>
    </w:p>
    <w:p w14:paraId="6A53CAE0"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Saunders, L.J.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(2016) ‘What rates of glaucoma progression are clinically significant?’, </w:t>
      </w:r>
      <w:r w:rsidRPr="006C6472">
        <w:rPr>
          <w:rFonts w:ascii="Times New Roman" w:hAnsi="Times New Roman" w:cs="Times New Roman"/>
          <w:i/>
          <w:iCs/>
          <w:noProof/>
          <w:sz w:val="24"/>
          <w:szCs w:val="24"/>
        </w:rPr>
        <w:t>Expert Review of Ophthalmology</w:t>
      </w:r>
      <w:r w:rsidRPr="006C6472">
        <w:rPr>
          <w:rFonts w:ascii="Times New Roman" w:hAnsi="Times New Roman" w:cs="Times New Roman"/>
          <w:noProof/>
          <w:sz w:val="24"/>
          <w:szCs w:val="24"/>
        </w:rPr>
        <w:t>, pp. 227–234. Available at: https://doi.org/10.1080/17469899.2016.1180246.</w:t>
      </w:r>
    </w:p>
    <w:p w14:paraId="2B9AE6C4"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Saw, S.-M.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(2003) ‘Awareness of glaucoma, and health beliefs of patients suffering primary acute angle closure’, </w:t>
      </w:r>
      <w:r w:rsidRPr="006C6472">
        <w:rPr>
          <w:rFonts w:ascii="Times New Roman" w:hAnsi="Times New Roman" w:cs="Times New Roman"/>
          <w:i/>
          <w:iCs/>
          <w:noProof/>
          <w:sz w:val="24"/>
          <w:szCs w:val="24"/>
        </w:rPr>
        <w:t>British Journal of Ophthalmology</w:t>
      </w:r>
      <w:r w:rsidRPr="006C6472">
        <w:rPr>
          <w:rFonts w:ascii="Times New Roman" w:hAnsi="Times New Roman" w:cs="Times New Roman"/>
          <w:noProof/>
          <w:sz w:val="24"/>
          <w:szCs w:val="24"/>
        </w:rPr>
        <w:t>, 87(4), pp. 446 LP – 449. Available at: https://doi.org/10.1136/bjo.87.4.446.</w:t>
      </w:r>
    </w:p>
    <w:p w14:paraId="7093BC8D"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Scott Fraser,  clinical research fellow 2001 (no date) ‘deprivation-and-late-presentation-of-glaucoma_-case-control-study’.</w:t>
      </w:r>
    </w:p>
    <w:p w14:paraId="6EB554C5"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Sihota, R.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(2017) ‘Long-term scanning laser ophthalmoscopy and perimetry in different severities of  primary open and chronic angle closure glaucoma eyes.’, </w:t>
      </w:r>
      <w:r w:rsidRPr="006C6472">
        <w:rPr>
          <w:rFonts w:ascii="Times New Roman" w:hAnsi="Times New Roman" w:cs="Times New Roman"/>
          <w:i/>
          <w:iCs/>
          <w:noProof/>
          <w:sz w:val="24"/>
          <w:szCs w:val="24"/>
        </w:rPr>
        <w:t>Indian journal of ophthalmology</w:t>
      </w:r>
      <w:r w:rsidRPr="006C6472">
        <w:rPr>
          <w:rFonts w:ascii="Times New Roman" w:hAnsi="Times New Roman" w:cs="Times New Roman"/>
          <w:noProof/>
          <w:sz w:val="24"/>
          <w:szCs w:val="24"/>
        </w:rPr>
        <w:t>, 65(10), pp. 963–968. Available at: https://doi.org/10.4103/0301-4738.216734.</w:t>
      </w:r>
    </w:p>
    <w:p w14:paraId="3D820AD1"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Spaeth, G.L. (2021) ‘European glaucoma society terminology and guidelines for glaucoma’, </w:t>
      </w:r>
      <w:r w:rsidRPr="006C6472">
        <w:rPr>
          <w:rFonts w:ascii="Times New Roman" w:hAnsi="Times New Roman" w:cs="Times New Roman"/>
          <w:i/>
          <w:iCs/>
          <w:noProof/>
          <w:sz w:val="24"/>
          <w:szCs w:val="24"/>
        </w:rPr>
        <w:t>British Journal of Ophthalmology</w:t>
      </w:r>
      <w:r w:rsidRPr="006C6472">
        <w:rPr>
          <w:rFonts w:ascii="Times New Roman" w:hAnsi="Times New Roman" w:cs="Times New Roman"/>
          <w:noProof/>
          <w:sz w:val="24"/>
          <w:szCs w:val="24"/>
        </w:rPr>
        <w:t>, 105(Suppl 1), pp. 1–169.</w:t>
      </w:r>
    </w:p>
    <w:p w14:paraId="40E5DA81"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State, R.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(2023) ‘Profile of Primary Open Angle Glaucoma Patients Attending a Tertiary Health Institution in Niger Delta , Nigeria – A case study of 1000 patients’, 22(2), pp. 42–49. Available at: https://doi.org/10.9790/0853-2202024249.</w:t>
      </w:r>
    </w:p>
    <w:p w14:paraId="4CFC53E4"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Stewart, W.C.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(2000) ‘Factors associated with long-term progression or stability in primary open-angle  glaucoma.’, </w:t>
      </w:r>
      <w:r w:rsidRPr="006C6472">
        <w:rPr>
          <w:rFonts w:ascii="Times New Roman" w:hAnsi="Times New Roman" w:cs="Times New Roman"/>
          <w:i/>
          <w:iCs/>
          <w:noProof/>
          <w:sz w:val="24"/>
          <w:szCs w:val="24"/>
        </w:rPr>
        <w:t>American journal of ophthalmology</w:t>
      </w:r>
      <w:r w:rsidRPr="006C6472">
        <w:rPr>
          <w:rFonts w:ascii="Times New Roman" w:hAnsi="Times New Roman" w:cs="Times New Roman"/>
          <w:noProof/>
          <w:sz w:val="24"/>
          <w:szCs w:val="24"/>
        </w:rPr>
        <w:t>, 130(3), pp. 274–279. Available at: https://doi.org/10.1016/s0002-9394(00)00487-6.</w:t>
      </w:r>
    </w:p>
    <w:p w14:paraId="072B212E"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Tarkkanen, A.H.A. and Kivelä, T.T. (2014) ‘Comparison of primary open-angle glaucoma and exfoliation glaucoma at diagnosis’, </w:t>
      </w:r>
      <w:r w:rsidRPr="006C6472">
        <w:rPr>
          <w:rFonts w:ascii="Times New Roman" w:hAnsi="Times New Roman" w:cs="Times New Roman"/>
          <w:i/>
          <w:iCs/>
          <w:noProof/>
          <w:sz w:val="24"/>
          <w:szCs w:val="24"/>
        </w:rPr>
        <w:t>European Journal of Ophthalmology</w:t>
      </w:r>
      <w:r w:rsidRPr="006C6472">
        <w:rPr>
          <w:rFonts w:ascii="Times New Roman" w:hAnsi="Times New Roman" w:cs="Times New Roman"/>
          <w:noProof/>
          <w:sz w:val="24"/>
          <w:szCs w:val="24"/>
        </w:rPr>
        <w:t>, 25(2), pp. 137–139. Available at: https://doi.org/10.5301/ejo.5000516.</w:t>
      </w:r>
    </w:p>
    <w:p w14:paraId="1CA4A2E7"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Tham, Y.-C.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(2014) ‘Global prevalence of glaucoma and projections of glaucoma burden through 2040: a systematic review and meta-analysis’, </w:t>
      </w:r>
      <w:r w:rsidRPr="006C6472">
        <w:rPr>
          <w:rFonts w:ascii="Times New Roman" w:hAnsi="Times New Roman" w:cs="Times New Roman"/>
          <w:i/>
          <w:iCs/>
          <w:noProof/>
          <w:sz w:val="24"/>
          <w:szCs w:val="24"/>
        </w:rPr>
        <w:t>Ophthalmology</w:t>
      </w:r>
      <w:r w:rsidRPr="006C6472">
        <w:rPr>
          <w:rFonts w:ascii="Times New Roman" w:hAnsi="Times New Roman" w:cs="Times New Roman"/>
          <w:noProof/>
          <w:sz w:val="24"/>
          <w:szCs w:val="24"/>
        </w:rPr>
        <w:t>, 121(11), pp. 2081–2090.</w:t>
      </w:r>
    </w:p>
    <w:p w14:paraId="730A2C71"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Tham, Y.C.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(2014) ‘Global prevalence of glaucoma and projections of glaucoma burden through 2040: A systematic review and meta-analysis’, </w:t>
      </w:r>
      <w:r w:rsidRPr="006C6472">
        <w:rPr>
          <w:rFonts w:ascii="Times New Roman" w:hAnsi="Times New Roman" w:cs="Times New Roman"/>
          <w:i/>
          <w:iCs/>
          <w:noProof/>
          <w:sz w:val="24"/>
          <w:szCs w:val="24"/>
        </w:rPr>
        <w:t>Ophthalmology</w:t>
      </w:r>
      <w:r w:rsidRPr="006C6472">
        <w:rPr>
          <w:rFonts w:ascii="Times New Roman" w:hAnsi="Times New Roman" w:cs="Times New Roman"/>
          <w:noProof/>
          <w:sz w:val="24"/>
          <w:szCs w:val="24"/>
        </w:rPr>
        <w:t xml:space="preserve">, 121(11), pp. 2081–2090. </w:t>
      </w:r>
      <w:r w:rsidRPr="006C6472">
        <w:rPr>
          <w:rFonts w:ascii="Times New Roman" w:hAnsi="Times New Roman" w:cs="Times New Roman"/>
          <w:noProof/>
          <w:sz w:val="24"/>
          <w:szCs w:val="24"/>
        </w:rPr>
        <w:lastRenderedPageBreak/>
        <w:t>Available at: https://doi.org/10.1016/j.ophtha.2014.05.013.</w:t>
      </w:r>
    </w:p>
    <w:p w14:paraId="6857D18D"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Wang, Y.X.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(2012) ‘Frequency and associated factors of structural progression of open-angle glaucoma in the Beijing Eye Study’, </w:t>
      </w:r>
      <w:r w:rsidRPr="006C6472">
        <w:rPr>
          <w:rFonts w:ascii="Times New Roman" w:hAnsi="Times New Roman" w:cs="Times New Roman"/>
          <w:i/>
          <w:iCs/>
          <w:noProof/>
          <w:sz w:val="24"/>
          <w:szCs w:val="24"/>
        </w:rPr>
        <w:t>British journal of ophthalmology</w:t>
      </w:r>
      <w:r w:rsidRPr="006C6472">
        <w:rPr>
          <w:rFonts w:ascii="Times New Roman" w:hAnsi="Times New Roman" w:cs="Times New Roman"/>
          <w:noProof/>
          <w:sz w:val="24"/>
          <w:szCs w:val="24"/>
        </w:rPr>
        <w:t>, 96(6), pp. 811–815.</w:t>
      </w:r>
    </w:p>
    <w:p w14:paraId="0C0EFAA6"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Yarube, I., Saidu, A. and Hassan, S. (2019) ‘Intraocular pressure negatively correlates with serum brain-derived neurotrophic factor in patients with primary open-angle glaucoma’, </w:t>
      </w:r>
      <w:r w:rsidRPr="006C6472">
        <w:rPr>
          <w:rFonts w:ascii="Times New Roman" w:hAnsi="Times New Roman" w:cs="Times New Roman"/>
          <w:i/>
          <w:iCs/>
          <w:noProof/>
          <w:sz w:val="24"/>
          <w:szCs w:val="24"/>
        </w:rPr>
        <w:t>Sub-Saharan African Journal of Medicine</w:t>
      </w:r>
      <w:r w:rsidRPr="006C6472">
        <w:rPr>
          <w:rFonts w:ascii="Times New Roman" w:hAnsi="Times New Roman" w:cs="Times New Roman"/>
          <w:noProof/>
          <w:sz w:val="24"/>
          <w:szCs w:val="24"/>
        </w:rPr>
        <w:t>, 6(1), pp. 10–15. Available at: https://doi.org/10.4103/ssajm.ssajm_28_18.</w:t>
      </w:r>
    </w:p>
    <w:p w14:paraId="35B25F6A"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Yokoyama, Y.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(2015) ‘Characteristics of patients with primary open angle glaucoma and normal tension glaucoma at a university hospital: A cross-sectional retrospective study’, </w:t>
      </w:r>
      <w:r w:rsidRPr="006C6472">
        <w:rPr>
          <w:rFonts w:ascii="Times New Roman" w:hAnsi="Times New Roman" w:cs="Times New Roman"/>
          <w:i/>
          <w:iCs/>
          <w:noProof/>
          <w:sz w:val="24"/>
          <w:szCs w:val="24"/>
        </w:rPr>
        <w:t>BMC Research Notes</w:t>
      </w:r>
      <w:r w:rsidRPr="006C6472">
        <w:rPr>
          <w:rFonts w:ascii="Times New Roman" w:hAnsi="Times New Roman" w:cs="Times New Roman"/>
          <w:noProof/>
          <w:sz w:val="24"/>
          <w:szCs w:val="24"/>
        </w:rPr>
        <w:t>, 8(1), pp. 1–8. Available at: https://doi.org/10.1186/s13104-015-1339-x.</w:t>
      </w:r>
    </w:p>
    <w:p w14:paraId="17032653"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szCs w:val="24"/>
        </w:rPr>
      </w:pPr>
      <w:r w:rsidRPr="006C6472">
        <w:rPr>
          <w:rFonts w:ascii="Times New Roman" w:hAnsi="Times New Roman" w:cs="Times New Roman"/>
          <w:noProof/>
          <w:sz w:val="24"/>
          <w:szCs w:val="24"/>
        </w:rPr>
        <w:t xml:space="preserve">Zahari, M.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(2006) ‘Progression of visual field loss in open angle glaucoma in the Melbourne Visual Impairment Project’, </w:t>
      </w:r>
      <w:r w:rsidRPr="006C6472">
        <w:rPr>
          <w:rFonts w:ascii="Times New Roman" w:hAnsi="Times New Roman" w:cs="Times New Roman"/>
          <w:i/>
          <w:iCs/>
          <w:noProof/>
          <w:sz w:val="24"/>
          <w:szCs w:val="24"/>
        </w:rPr>
        <w:t>Clinical &amp; experimental ophthalmology</w:t>
      </w:r>
      <w:r w:rsidRPr="006C6472">
        <w:rPr>
          <w:rFonts w:ascii="Times New Roman" w:hAnsi="Times New Roman" w:cs="Times New Roman"/>
          <w:noProof/>
          <w:sz w:val="24"/>
          <w:szCs w:val="24"/>
        </w:rPr>
        <w:t>, 34(1), pp. 20–26.</w:t>
      </w:r>
    </w:p>
    <w:p w14:paraId="6EE1F632" w14:textId="77777777" w:rsidR="006C6472" w:rsidRPr="006C6472" w:rsidRDefault="006C6472" w:rsidP="006C6472">
      <w:pPr>
        <w:widowControl w:val="0"/>
        <w:autoSpaceDE w:val="0"/>
        <w:autoSpaceDN w:val="0"/>
        <w:adjustRightInd w:val="0"/>
        <w:spacing w:after="0" w:line="360" w:lineRule="auto"/>
        <w:rPr>
          <w:rFonts w:ascii="Times New Roman" w:hAnsi="Times New Roman" w:cs="Times New Roman"/>
          <w:noProof/>
          <w:sz w:val="24"/>
        </w:rPr>
      </w:pPr>
      <w:r w:rsidRPr="006C6472">
        <w:rPr>
          <w:rFonts w:ascii="Times New Roman" w:hAnsi="Times New Roman" w:cs="Times New Roman"/>
          <w:noProof/>
          <w:sz w:val="24"/>
          <w:szCs w:val="24"/>
        </w:rPr>
        <w:t xml:space="preserve">Zhang, N. </w:t>
      </w:r>
      <w:r w:rsidRPr="006C6472">
        <w:rPr>
          <w:rFonts w:ascii="Times New Roman" w:hAnsi="Times New Roman" w:cs="Times New Roman"/>
          <w:i/>
          <w:iCs/>
          <w:noProof/>
          <w:sz w:val="24"/>
          <w:szCs w:val="24"/>
        </w:rPr>
        <w:t>et al.</w:t>
      </w:r>
      <w:r w:rsidRPr="006C6472">
        <w:rPr>
          <w:rFonts w:ascii="Times New Roman" w:hAnsi="Times New Roman" w:cs="Times New Roman"/>
          <w:noProof/>
          <w:sz w:val="24"/>
          <w:szCs w:val="24"/>
        </w:rPr>
        <w:t xml:space="preserve"> (2021) ‘Prevalence of primary open angle glaucoma in the last 20 years: a meta-analysis and systematic review’, </w:t>
      </w:r>
      <w:r w:rsidRPr="006C6472">
        <w:rPr>
          <w:rFonts w:ascii="Times New Roman" w:hAnsi="Times New Roman" w:cs="Times New Roman"/>
          <w:i/>
          <w:iCs/>
          <w:noProof/>
          <w:sz w:val="24"/>
          <w:szCs w:val="24"/>
        </w:rPr>
        <w:t>Scientific Reports</w:t>
      </w:r>
      <w:r w:rsidRPr="006C6472">
        <w:rPr>
          <w:rFonts w:ascii="Times New Roman" w:hAnsi="Times New Roman" w:cs="Times New Roman"/>
          <w:noProof/>
          <w:sz w:val="24"/>
          <w:szCs w:val="24"/>
        </w:rPr>
        <w:t>, 11(1), pp. 1–12. Available at: https://doi.org/10.1038/s41598-021-92971-w.</w:t>
      </w:r>
    </w:p>
    <w:p w14:paraId="3041D972" w14:textId="023CE68C" w:rsidR="002320EC" w:rsidRPr="00B279FC" w:rsidRDefault="002320EC" w:rsidP="006C6472">
      <w:pPr>
        <w:widowControl w:val="0"/>
        <w:autoSpaceDE w:val="0"/>
        <w:autoSpaceDN w:val="0"/>
        <w:adjustRightInd w:val="0"/>
        <w:spacing w:after="0" w:line="360" w:lineRule="auto"/>
        <w:rPr>
          <w:rFonts w:ascii="Times New Roman" w:hAnsi="Times New Roman" w:cs="Times New Roman"/>
          <w:b/>
          <w:sz w:val="24"/>
          <w:szCs w:val="24"/>
        </w:rPr>
      </w:pPr>
      <w:r w:rsidRPr="00B279FC">
        <w:rPr>
          <w:rFonts w:ascii="Times New Roman" w:hAnsi="Times New Roman" w:cs="Times New Roman"/>
          <w:b/>
          <w:sz w:val="24"/>
          <w:szCs w:val="24"/>
        </w:rPr>
        <w:fldChar w:fldCharType="end"/>
      </w:r>
    </w:p>
    <w:p w14:paraId="693FB56A" w14:textId="77777777" w:rsidR="004C6C54" w:rsidRDefault="004C6C54" w:rsidP="004C6C54">
      <w:pPr>
        <w:rPr>
          <w:rFonts w:ascii="Times New Roman" w:hAnsi="Times New Roman" w:cs="Times New Roman"/>
          <w:b/>
          <w:color w:val="1A1A1A"/>
          <w:sz w:val="24"/>
          <w:szCs w:val="24"/>
          <w:shd w:val="clear" w:color="auto" w:fill="FFFFFF"/>
        </w:rPr>
      </w:pPr>
    </w:p>
    <w:p w14:paraId="4C1F9CE4" w14:textId="77777777" w:rsidR="00431EF9" w:rsidRDefault="00431EF9"/>
    <w:sectPr w:rsidR="00431EF9" w:rsidSect="00C84E08">
      <w:type w:val="continuous"/>
      <w:pgSz w:w="11907" w:h="16839" w:code="9"/>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746EA" w14:textId="77777777" w:rsidR="009605EE" w:rsidRDefault="009605EE">
      <w:pPr>
        <w:spacing w:after="0" w:line="240" w:lineRule="auto"/>
      </w:pPr>
      <w:r>
        <w:separator/>
      </w:r>
    </w:p>
  </w:endnote>
  <w:endnote w:type="continuationSeparator" w:id="0">
    <w:p w14:paraId="1BEED653" w14:textId="77777777" w:rsidR="009605EE" w:rsidRDefault="0096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TStd">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881030"/>
      <w:docPartObj>
        <w:docPartGallery w:val="Page Numbers (Bottom of Page)"/>
        <w:docPartUnique/>
      </w:docPartObj>
    </w:sdtPr>
    <w:sdtEndPr>
      <w:rPr>
        <w:rFonts w:ascii="Times New Roman" w:hAnsi="Times New Roman" w:cs="Times New Roman"/>
        <w:noProof/>
        <w:sz w:val="24"/>
      </w:rPr>
    </w:sdtEndPr>
    <w:sdtContent>
      <w:p w14:paraId="6BFB1A94" w14:textId="77777777" w:rsidR="001F536E" w:rsidRPr="00963566" w:rsidRDefault="001F536E">
        <w:pPr>
          <w:pStyle w:val="Footer"/>
          <w:jc w:val="center"/>
          <w:rPr>
            <w:rFonts w:ascii="Times New Roman" w:hAnsi="Times New Roman" w:cs="Times New Roman"/>
            <w:sz w:val="24"/>
          </w:rPr>
        </w:pPr>
        <w:r w:rsidRPr="00963566">
          <w:rPr>
            <w:rFonts w:ascii="Times New Roman" w:hAnsi="Times New Roman" w:cs="Times New Roman"/>
            <w:sz w:val="24"/>
          </w:rPr>
          <w:fldChar w:fldCharType="begin"/>
        </w:r>
        <w:r w:rsidRPr="00963566">
          <w:rPr>
            <w:rFonts w:ascii="Times New Roman" w:hAnsi="Times New Roman" w:cs="Times New Roman"/>
            <w:sz w:val="24"/>
          </w:rPr>
          <w:instrText xml:space="preserve"> PAGE   \* MERGEFORMAT </w:instrText>
        </w:r>
        <w:r w:rsidRPr="00963566">
          <w:rPr>
            <w:rFonts w:ascii="Times New Roman" w:hAnsi="Times New Roman" w:cs="Times New Roman"/>
            <w:sz w:val="24"/>
          </w:rPr>
          <w:fldChar w:fldCharType="separate"/>
        </w:r>
        <w:r w:rsidR="00983835">
          <w:rPr>
            <w:rFonts w:ascii="Times New Roman" w:hAnsi="Times New Roman" w:cs="Times New Roman"/>
            <w:noProof/>
            <w:sz w:val="24"/>
          </w:rPr>
          <w:t>1</w:t>
        </w:r>
        <w:r w:rsidRPr="00963566">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E31A3" w14:textId="77777777" w:rsidR="009605EE" w:rsidRDefault="009605EE">
      <w:pPr>
        <w:spacing w:after="0" w:line="240" w:lineRule="auto"/>
      </w:pPr>
      <w:r>
        <w:separator/>
      </w:r>
    </w:p>
  </w:footnote>
  <w:footnote w:type="continuationSeparator" w:id="0">
    <w:p w14:paraId="6B7431BF" w14:textId="77777777" w:rsidR="009605EE" w:rsidRDefault="00960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CBF46" w14:textId="2DB99A4B" w:rsidR="001F536E" w:rsidRDefault="009605EE">
    <w:pPr>
      <w:pStyle w:val="Header"/>
    </w:pPr>
    <w:r>
      <w:rPr>
        <w:noProof/>
      </w:rPr>
      <w:pict w14:anchorId="681FF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193735" o:spid="_x0000_s2050" type="#_x0000_t136" style="position:absolute;margin-left:0;margin-top:0;width:578.6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1B03" w14:textId="6C94A939" w:rsidR="001F536E" w:rsidRDefault="009605EE" w:rsidP="00C84E08">
    <w:pPr>
      <w:pStyle w:val="Header"/>
      <w:tabs>
        <w:tab w:val="clear" w:pos="4680"/>
        <w:tab w:val="clear" w:pos="9360"/>
        <w:tab w:val="left" w:pos="11873"/>
      </w:tabs>
    </w:pPr>
    <w:r>
      <w:rPr>
        <w:noProof/>
      </w:rPr>
      <w:pict w14:anchorId="56A3F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193736" o:spid="_x0000_s2051" type="#_x0000_t136" style="position:absolute;margin-left:0;margin-top:0;width:578.6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1F536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4BF8E" w14:textId="6BA43029" w:rsidR="001F536E" w:rsidRDefault="009605EE">
    <w:pPr>
      <w:pStyle w:val="Header"/>
    </w:pPr>
    <w:r>
      <w:rPr>
        <w:noProof/>
      </w:rPr>
      <w:pict w14:anchorId="74E76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193734" o:spid="_x0000_s2049" type="#_x0000_t136" style="position:absolute;margin-left:0;margin-top:0;width:578.6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1F16"/>
    <w:multiLevelType w:val="multilevel"/>
    <w:tmpl w:val="9ACE6FEC"/>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04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111F1D"/>
    <w:multiLevelType w:val="multilevel"/>
    <w:tmpl w:val="B74E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E3335"/>
    <w:multiLevelType w:val="hybridMultilevel"/>
    <w:tmpl w:val="3CC2360E"/>
    <w:lvl w:ilvl="0" w:tplc="F3A20F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BD4A53"/>
    <w:multiLevelType w:val="hybridMultilevel"/>
    <w:tmpl w:val="1DA0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47401"/>
    <w:multiLevelType w:val="hybridMultilevel"/>
    <w:tmpl w:val="62667E34"/>
    <w:lvl w:ilvl="0" w:tplc="CA3AC2DE">
      <w:start w:val="1"/>
      <w:numFmt w:val="decimal"/>
      <w:lvlText w:val="%1."/>
      <w:lvlJc w:val="left"/>
      <w:pPr>
        <w:ind w:left="1370" w:hanging="360"/>
      </w:pPr>
      <w:rPr>
        <w:rFonts w:hint="default"/>
      </w:rPr>
    </w:lvl>
    <w:lvl w:ilvl="1" w:tplc="08090019" w:tentative="1">
      <w:start w:val="1"/>
      <w:numFmt w:val="lowerLetter"/>
      <w:lvlText w:val="%2."/>
      <w:lvlJc w:val="left"/>
      <w:pPr>
        <w:ind w:left="2090" w:hanging="360"/>
      </w:pPr>
    </w:lvl>
    <w:lvl w:ilvl="2" w:tplc="0809001B" w:tentative="1">
      <w:start w:val="1"/>
      <w:numFmt w:val="lowerRoman"/>
      <w:lvlText w:val="%3."/>
      <w:lvlJc w:val="right"/>
      <w:pPr>
        <w:ind w:left="2810" w:hanging="180"/>
      </w:pPr>
    </w:lvl>
    <w:lvl w:ilvl="3" w:tplc="0809000F" w:tentative="1">
      <w:start w:val="1"/>
      <w:numFmt w:val="decimal"/>
      <w:lvlText w:val="%4."/>
      <w:lvlJc w:val="left"/>
      <w:pPr>
        <w:ind w:left="3530" w:hanging="360"/>
      </w:pPr>
    </w:lvl>
    <w:lvl w:ilvl="4" w:tplc="08090019" w:tentative="1">
      <w:start w:val="1"/>
      <w:numFmt w:val="lowerLetter"/>
      <w:lvlText w:val="%5."/>
      <w:lvlJc w:val="left"/>
      <w:pPr>
        <w:ind w:left="4250" w:hanging="360"/>
      </w:pPr>
    </w:lvl>
    <w:lvl w:ilvl="5" w:tplc="0809001B" w:tentative="1">
      <w:start w:val="1"/>
      <w:numFmt w:val="lowerRoman"/>
      <w:lvlText w:val="%6."/>
      <w:lvlJc w:val="right"/>
      <w:pPr>
        <w:ind w:left="4970" w:hanging="180"/>
      </w:pPr>
    </w:lvl>
    <w:lvl w:ilvl="6" w:tplc="0809000F" w:tentative="1">
      <w:start w:val="1"/>
      <w:numFmt w:val="decimal"/>
      <w:lvlText w:val="%7."/>
      <w:lvlJc w:val="left"/>
      <w:pPr>
        <w:ind w:left="5690" w:hanging="360"/>
      </w:pPr>
    </w:lvl>
    <w:lvl w:ilvl="7" w:tplc="08090019" w:tentative="1">
      <w:start w:val="1"/>
      <w:numFmt w:val="lowerLetter"/>
      <w:lvlText w:val="%8."/>
      <w:lvlJc w:val="left"/>
      <w:pPr>
        <w:ind w:left="6410" w:hanging="360"/>
      </w:pPr>
    </w:lvl>
    <w:lvl w:ilvl="8" w:tplc="0809001B" w:tentative="1">
      <w:start w:val="1"/>
      <w:numFmt w:val="lowerRoman"/>
      <w:lvlText w:val="%9."/>
      <w:lvlJc w:val="right"/>
      <w:pPr>
        <w:ind w:left="7130" w:hanging="180"/>
      </w:pPr>
    </w:lvl>
  </w:abstractNum>
  <w:abstractNum w:abstractNumId="5" w15:restartNumberingAfterBreak="0">
    <w:nsid w:val="0F1302C3"/>
    <w:multiLevelType w:val="hybridMultilevel"/>
    <w:tmpl w:val="5BF40A30"/>
    <w:lvl w:ilvl="0" w:tplc="11CAD190">
      <w:start w:val="1"/>
      <w:numFmt w:val="bullet"/>
      <w:lvlText w:val="•"/>
      <w:lvlJc w:val="left"/>
      <w:pPr>
        <w:tabs>
          <w:tab w:val="num" w:pos="720"/>
        </w:tabs>
        <w:ind w:left="720" w:hanging="360"/>
      </w:pPr>
      <w:rPr>
        <w:rFonts w:ascii="Arial" w:hAnsi="Arial" w:hint="default"/>
      </w:rPr>
    </w:lvl>
    <w:lvl w:ilvl="1" w:tplc="23CA5084" w:tentative="1">
      <w:start w:val="1"/>
      <w:numFmt w:val="bullet"/>
      <w:lvlText w:val="•"/>
      <w:lvlJc w:val="left"/>
      <w:pPr>
        <w:tabs>
          <w:tab w:val="num" w:pos="1440"/>
        </w:tabs>
        <w:ind w:left="1440" w:hanging="360"/>
      </w:pPr>
      <w:rPr>
        <w:rFonts w:ascii="Arial" w:hAnsi="Arial" w:hint="default"/>
      </w:rPr>
    </w:lvl>
    <w:lvl w:ilvl="2" w:tplc="5F001E0E" w:tentative="1">
      <w:start w:val="1"/>
      <w:numFmt w:val="bullet"/>
      <w:lvlText w:val="•"/>
      <w:lvlJc w:val="left"/>
      <w:pPr>
        <w:tabs>
          <w:tab w:val="num" w:pos="2160"/>
        </w:tabs>
        <w:ind w:left="2160" w:hanging="360"/>
      </w:pPr>
      <w:rPr>
        <w:rFonts w:ascii="Arial" w:hAnsi="Arial" w:hint="default"/>
      </w:rPr>
    </w:lvl>
    <w:lvl w:ilvl="3" w:tplc="42F2C01A" w:tentative="1">
      <w:start w:val="1"/>
      <w:numFmt w:val="bullet"/>
      <w:lvlText w:val="•"/>
      <w:lvlJc w:val="left"/>
      <w:pPr>
        <w:tabs>
          <w:tab w:val="num" w:pos="2880"/>
        </w:tabs>
        <w:ind w:left="2880" w:hanging="360"/>
      </w:pPr>
      <w:rPr>
        <w:rFonts w:ascii="Arial" w:hAnsi="Arial" w:hint="default"/>
      </w:rPr>
    </w:lvl>
    <w:lvl w:ilvl="4" w:tplc="2BFA9F2A" w:tentative="1">
      <w:start w:val="1"/>
      <w:numFmt w:val="bullet"/>
      <w:lvlText w:val="•"/>
      <w:lvlJc w:val="left"/>
      <w:pPr>
        <w:tabs>
          <w:tab w:val="num" w:pos="3600"/>
        </w:tabs>
        <w:ind w:left="3600" w:hanging="360"/>
      </w:pPr>
      <w:rPr>
        <w:rFonts w:ascii="Arial" w:hAnsi="Arial" w:hint="default"/>
      </w:rPr>
    </w:lvl>
    <w:lvl w:ilvl="5" w:tplc="9092AD96" w:tentative="1">
      <w:start w:val="1"/>
      <w:numFmt w:val="bullet"/>
      <w:lvlText w:val="•"/>
      <w:lvlJc w:val="left"/>
      <w:pPr>
        <w:tabs>
          <w:tab w:val="num" w:pos="4320"/>
        </w:tabs>
        <w:ind w:left="4320" w:hanging="360"/>
      </w:pPr>
      <w:rPr>
        <w:rFonts w:ascii="Arial" w:hAnsi="Arial" w:hint="default"/>
      </w:rPr>
    </w:lvl>
    <w:lvl w:ilvl="6" w:tplc="DB9476B8" w:tentative="1">
      <w:start w:val="1"/>
      <w:numFmt w:val="bullet"/>
      <w:lvlText w:val="•"/>
      <w:lvlJc w:val="left"/>
      <w:pPr>
        <w:tabs>
          <w:tab w:val="num" w:pos="5040"/>
        </w:tabs>
        <w:ind w:left="5040" w:hanging="360"/>
      </w:pPr>
      <w:rPr>
        <w:rFonts w:ascii="Arial" w:hAnsi="Arial" w:hint="default"/>
      </w:rPr>
    </w:lvl>
    <w:lvl w:ilvl="7" w:tplc="EE0CE324" w:tentative="1">
      <w:start w:val="1"/>
      <w:numFmt w:val="bullet"/>
      <w:lvlText w:val="•"/>
      <w:lvlJc w:val="left"/>
      <w:pPr>
        <w:tabs>
          <w:tab w:val="num" w:pos="5760"/>
        </w:tabs>
        <w:ind w:left="5760" w:hanging="360"/>
      </w:pPr>
      <w:rPr>
        <w:rFonts w:ascii="Arial" w:hAnsi="Arial" w:hint="default"/>
      </w:rPr>
    </w:lvl>
    <w:lvl w:ilvl="8" w:tplc="7FDA42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4A13B9"/>
    <w:multiLevelType w:val="hybridMultilevel"/>
    <w:tmpl w:val="B350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CC8"/>
    <w:multiLevelType w:val="hybridMultilevel"/>
    <w:tmpl w:val="B1DA87FA"/>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15BB5BBB"/>
    <w:multiLevelType w:val="hybridMultilevel"/>
    <w:tmpl w:val="41C6A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EA5F6E"/>
    <w:multiLevelType w:val="hybridMultilevel"/>
    <w:tmpl w:val="2422B7E2"/>
    <w:lvl w:ilvl="0" w:tplc="9BE06CD2">
      <w:start w:val="1"/>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1B0B325F"/>
    <w:multiLevelType w:val="multilevel"/>
    <w:tmpl w:val="675A6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D5F1D"/>
    <w:multiLevelType w:val="hybridMultilevel"/>
    <w:tmpl w:val="3104D6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F5AFE"/>
    <w:multiLevelType w:val="hybridMultilevel"/>
    <w:tmpl w:val="BBC4F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E25432"/>
    <w:multiLevelType w:val="hybridMultilevel"/>
    <w:tmpl w:val="87FA0D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67336"/>
    <w:multiLevelType w:val="hybridMultilevel"/>
    <w:tmpl w:val="0C7898BC"/>
    <w:lvl w:ilvl="0" w:tplc="C5A26BE8">
      <w:numFmt w:val="decimal"/>
      <w:lvlText w:val="%1."/>
      <w:lvlJc w:val="left"/>
      <w:pPr>
        <w:ind w:left="785"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3F813BF"/>
    <w:multiLevelType w:val="hybridMultilevel"/>
    <w:tmpl w:val="059EFF7E"/>
    <w:lvl w:ilvl="0" w:tplc="0809000F">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24BB4A01"/>
    <w:multiLevelType w:val="hybridMultilevel"/>
    <w:tmpl w:val="0C86D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C00A7F"/>
    <w:multiLevelType w:val="hybridMultilevel"/>
    <w:tmpl w:val="E4D087B0"/>
    <w:lvl w:ilvl="0" w:tplc="6F3847A4">
      <w:start w:val="1"/>
      <w:numFmt w:val="decimal"/>
      <w:lvlText w:val="%1."/>
      <w:lvlJc w:val="left"/>
      <w:pPr>
        <w:ind w:left="1010" w:hanging="360"/>
      </w:pPr>
      <w:rPr>
        <w:rFonts w:hint="default"/>
      </w:r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18" w15:restartNumberingAfterBreak="0">
    <w:nsid w:val="2673456D"/>
    <w:multiLevelType w:val="hybridMultilevel"/>
    <w:tmpl w:val="4B766B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EF17A9"/>
    <w:multiLevelType w:val="hybridMultilevel"/>
    <w:tmpl w:val="496AC452"/>
    <w:lvl w:ilvl="0" w:tplc="766C9C44">
      <w:start w:val="1"/>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2F2021D2"/>
    <w:multiLevelType w:val="hybridMultilevel"/>
    <w:tmpl w:val="A18CE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701B31"/>
    <w:multiLevelType w:val="hybridMultilevel"/>
    <w:tmpl w:val="CB70215E"/>
    <w:lvl w:ilvl="0" w:tplc="DE6A2842">
      <w:start w:val="1"/>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2" w15:restartNumberingAfterBreak="0">
    <w:nsid w:val="31A540CB"/>
    <w:multiLevelType w:val="hybridMultilevel"/>
    <w:tmpl w:val="FE46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9D5646"/>
    <w:multiLevelType w:val="hybridMultilevel"/>
    <w:tmpl w:val="F43AE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194FB4"/>
    <w:multiLevelType w:val="hybridMultilevel"/>
    <w:tmpl w:val="BEE4C3F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735308"/>
    <w:multiLevelType w:val="multilevel"/>
    <w:tmpl w:val="7534C8AA"/>
    <w:lvl w:ilvl="0">
      <w:start w:val="1"/>
      <w:numFmt w:val="none"/>
      <w:lvlText w:val=""/>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5457AA"/>
    <w:multiLevelType w:val="hybridMultilevel"/>
    <w:tmpl w:val="CDD60D5A"/>
    <w:lvl w:ilvl="0" w:tplc="82CC3F74">
      <w:start w:val="1"/>
      <w:numFmt w:val="bullet"/>
      <w:lvlText w:val="•"/>
      <w:lvlJc w:val="left"/>
      <w:pPr>
        <w:tabs>
          <w:tab w:val="num" w:pos="720"/>
        </w:tabs>
        <w:ind w:left="720" w:hanging="360"/>
      </w:pPr>
      <w:rPr>
        <w:rFonts w:ascii="Arial" w:hAnsi="Arial" w:hint="default"/>
      </w:rPr>
    </w:lvl>
    <w:lvl w:ilvl="1" w:tplc="9A4E2238" w:tentative="1">
      <w:start w:val="1"/>
      <w:numFmt w:val="bullet"/>
      <w:lvlText w:val="•"/>
      <w:lvlJc w:val="left"/>
      <w:pPr>
        <w:tabs>
          <w:tab w:val="num" w:pos="1440"/>
        </w:tabs>
        <w:ind w:left="1440" w:hanging="360"/>
      </w:pPr>
      <w:rPr>
        <w:rFonts w:ascii="Arial" w:hAnsi="Arial" w:hint="default"/>
      </w:rPr>
    </w:lvl>
    <w:lvl w:ilvl="2" w:tplc="25FA704C" w:tentative="1">
      <w:start w:val="1"/>
      <w:numFmt w:val="bullet"/>
      <w:lvlText w:val="•"/>
      <w:lvlJc w:val="left"/>
      <w:pPr>
        <w:tabs>
          <w:tab w:val="num" w:pos="2160"/>
        </w:tabs>
        <w:ind w:left="2160" w:hanging="360"/>
      </w:pPr>
      <w:rPr>
        <w:rFonts w:ascii="Arial" w:hAnsi="Arial" w:hint="default"/>
      </w:rPr>
    </w:lvl>
    <w:lvl w:ilvl="3" w:tplc="928C7106" w:tentative="1">
      <w:start w:val="1"/>
      <w:numFmt w:val="bullet"/>
      <w:lvlText w:val="•"/>
      <w:lvlJc w:val="left"/>
      <w:pPr>
        <w:tabs>
          <w:tab w:val="num" w:pos="2880"/>
        </w:tabs>
        <w:ind w:left="2880" w:hanging="360"/>
      </w:pPr>
      <w:rPr>
        <w:rFonts w:ascii="Arial" w:hAnsi="Arial" w:hint="default"/>
      </w:rPr>
    </w:lvl>
    <w:lvl w:ilvl="4" w:tplc="5E649DE4" w:tentative="1">
      <w:start w:val="1"/>
      <w:numFmt w:val="bullet"/>
      <w:lvlText w:val="•"/>
      <w:lvlJc w:val="left"/>
      <w:pPr>
        <w:tabs>
          <w:tab w:val="num" w:pos="3600"/>
        </w:tabs>
        <w:ind w:left="3600" w:hanging="360"/>
      </w:pPr>
      <w:rPr>
        <w:rFonts w:ascii="Arial" w:hAnsi="Arial" w:hint="default"/>
      </w:rPr>
    </w:lvl>
    <w:lvl w:ilvl="5" w:tplc="C89A2E2C" w:tentative="1">
      <w:start w:val="1"/>
      <w:numFmt w:val="bullet"/>
      <w:lvlText w:val="•"/>
      <w:lvlJc w:val="left"/>
      <w:pPr>
        <w:tabs>
          <w:tab w:val="num" w:pos="4320"/>
        </w:tabs>
        <w:ind w:left="4320" w:hanging="360"/>
      </w:pPr>
      <w:rPr>
        <w:rFonts w:ascii="Arial" w:hAnsi="Arial" w:hint="default"/>
      </w:rPr>
    </w:lvl>
    <w:lvl w:ilvl="6" w:tplc="C90C8812" w:tentative="1">
      <w:start w:val="1"/>
      <w:numFmt w:val="bullet"/>
      <w:lvlText w:val="•"/>
      <w:lvlJc w:val="left"/>
      <w:pPr>
        <w:tabs>
          <w:tab w:val="num" w:pos="5040"/>
        </w:tabs>
        <w:ind w:left="5040" w:hanging="360"/>
      </w:pPr>
      <w:rPr>
        <w:rFonts w:ascii="Arial" w:hAnsi="Arial" w:hint="default"/>
      </w:rPr>
    </w:lvl>
    <w:lvl w:ilvl="7" w:tplc="B8E4B06E" w:tentative="1">
      <w:start w:val="1"/>
      <w:numFmt w:val="bullet"/>
      <w:lvlText w:val="•"/>
      <w:lvlJc w:val="left"/>
      <w:pPr>
        <w:tabs>
          <w:tab w:val="num" w:pos="5760"/>
        </w:tabs>
        <w:ind w:left="5760" w:hanging="360"/>
      </w:pPr>
      <w:rPr>
        <w:rFonts w:ascii="Arial" w:hAnsi="Arial" w:hint="default"/>
      </w:rPr>
    </w:lvl>
    <w:lvl w:ilvl="8" w:tplc="EE3E65D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32F2A27"/>
    <w:multiLevelType w:val="hybridMultilevel"/>
    <w:tmpl w:val="908C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5C666F"/>
    <w:multiLevelType w:val="hybridMultilevel"/>
    <w:tmpl w:val="FFBA2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E54B31"/>
    <w:multiLevelType w:val="hybridMultilevel"/>
    <w:tmpl w:val="B8CCF6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725830"/>
    <w:multiLevelType w:val="hybridMultilevel"/>
    <w:tmpl w:val="DF3A5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B21677"/>
    <w:multiLevelType w:val="hybridMultilevel"/>
    <w:tmpl w:val="26749410"/>
    <w:lvl w:ilvl="0" w:tplc="8F5ADC1E">
      <w:start w:val="1"/>
      <w:numFmt w:val="bullet"/>
      <w:lvlText w:val="•"/>
      <w:lvlJc w:val="left"/>
      <w:pPr>
        <w:tabs>
          <w:tab w:val="num" w:pos="720"/>
        </w:tabs>
        <w:ind w:left="720" w:hanging="360"/>
      </w:pPr>
      <w:rPr>
        <w:rFonts w:ascii="Arial" w:hAnsi="Arial" w:hint="default"/>
      </w:rPr>
    </w:lvl>
    <w:lvl w:ilvl="1" w:tplc="0C3221FC" w:tentative="1">
      <w:start w:val="1"/>
      <w:numFmt w:val="bullet"/>
      <w:lvlText w:val="•"/>
      <w:lvlJc w:val="left"/>
      <w:pPr>
        <w:tabs>
          <w:tab w:val="num" w:pos="1440"/>
        </w:tabs>
        <w:ind w:left="1440" w:hanging="360"/>
      </w:pPr>
      <w:rPr>
        <w:rFonts w:ascii="Arial" w:hAnsi="Arial" w:hint="default"/>
      </w:rPr>
    </w:lvl>
    <w:lvl w:ilvl="2" w:tplc="36888B4C" w:tentative="1">
      <w:start w:val="1"/>
      <w:numFmt w:val="bullet"/>
      <w:lvlText w:val="•"/>
      <w:lvlJc w:val="left"/>
      <w:pPr>
        <w:tabs>
          <w:tab w:val="num" w:pos="2160"/>
        </w:tabs>
        <w:ind w:left="2160" w:hanging="360"/>
      </w:pPr>
      <w:rPr>
        <w:rFonts w:ascii="Arial" w:hAnsi="Arial" w:hint="default"/>
      </w:rPr>
    </w:lvl>
    <w:lvl w:ilvl="3" w:tplc="7FD488A4" w:tentative="1">
      <w:start w:val="1"/>
      <w:numFmt w:val="bullet"/>
      <w:lvlText w:val="•"/>
      <w:lvlJc w:val="left"/>
      <w:pPr>
        <w:tabs>
          <w:tab w:val="num" w:pos="2880"/>
        </w:tabs>
        <w:ind w:left="2880" w:hanging="360"/>
      </w:pPr>
      <w:rPr>
        <w:rFonts w:ascii="Arial" w:hAnsi="Arial" w:hint="default"/>
      </w:rPr>
    </w:lvl>
    <w:lvl w:ilvl="4" w:tplc="65CC9F20" w:tentative="1">
      <w:start w:val="1"/>
      <w:numFmt w:val="bullet"/>
      <w:lvlText w:val="•"/>
      <w:lvlJc w:val="left"/>
      <w:pPr>
        <w:tabs>
          <w:tab w:val="num" w:pos="3600"/>
        </w:tabs>
        <w:ind w:left="3600" w:hanging="360"/>
      </w:pPr>
      <w:rPr>
        <w:rFonts w:ascii="Arial" w:hAnsi="Arial" w:hint="default"/>
      </w:rPr>
    </w:lvl>
    <w:lvl w:ilvl="5" w:tplc="262A959A" w:tentative="1">
      <w:start w:val="1"/>
      <w:numFmt w:val="bullet"/>
      <w:lvlText w:val="•"/>
      <w:lvlJc w:val="left"/>
      <w:pPr>
        <w:tabs>
          <w:tab w:val="num" w:pos="4320"/>
        </w:tabs>
        <w:ind w:left="4320" w:hanging="360"/>
      </w:pPr>
      <w:rPr>
        <w:rFonts w:ascii="Arial" w:hAnsi="Arial" w:hint="default"/>
      </w:rPr>
    </w:lvl>
    <w:lvl w:ilvl="6" w:tplc="A7F623A0" w:tentative="1">
      <w:start w:val="1"/>
      <w:numFmt w:val="bullet"/>
      <w:lvlText w:val="•"/>
      <w:lvlJc w:val="left"/>
      <w:pPr>
        <w:tabs>
          <w:tab w:val="num" w:pos="5040"/>
        </w:tabs>
        <w:ind w:left="5040" w:hanging="360"/>
      </w:pPr>
      <w:rPr>
        <w:rFonts w:ascii="Arial" w:hAnsi="Arial" w:hint="default"/>
      </w:rPr>
    </w:lvl>
    <w:lvl w:ilvl="7" w:tplc="2A7C6652" w:tentative="1">
      <w:start w:val="1"/>
      <w:numFmt w:val="bullet"/>
      <w:lvlText w:val="•"/>
      <w:lvlJc w:val="left"/>
      <w:pPr>
        <w:tabs>
          <w:tab w:val="num" w:pos="5760"/>
        </w:tabs>
        <w:ind w:left="5760" w:hanging="360"/>
      </w:pPr>
      <w:rPr>
        <w:rFonts w:ascii="Arial" w:hAnsi="Arial" w:hint="default"/>
      </w:rPr>
    </w:lvl>
    <w:lvl w:ilvl="8" w:tplc="F86033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8CB3398"/>
    <w:multiLevelType w:val="hybridMultilevel"/>
    <w:tmpl w:val="7E724F96"/>
    <w:lvl w:ilvl="0" w:tplc="FC6692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98B7CC4"/>
    <w:multiLevelType w:val="multilevel"/>
    <w:tmpl w:val="8B28F9FE"/>
    <w:lvl w:ilvl="0">
      <w:start w:val="1"/>
      <w:numFmt w:val="decimal"/>
      <w:lvlText w:val="%1.0"/>
      <w:lvlJc w:val="left"/>
      <w:pPr>
        <w:ind w:left="740" w:hanging="360"/>
      </w:pPr>
      <w:rPr>
        <w:rFonts w:hint="default"/>
        <w:b/>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3260" w:hanging="720"/>
      </w:pPr>
      <w:rPr>
        <w:rFonts w:hint="default"/>
        <w:b/>
      </w:rPr>
    </w:lvl>
    <w:lvl w:ilvl="4">
      <w:start w:val="1"/>
      <w:numFmt w:val="decimal"/>
      <w:lvlText w:val="%1.%2.%3.%4.%5"/>
      <w:lvlJc w:val="left"/>
      <w:pPr>
        <w:ind w:left="4340" w:hanging="1080"/>
      </w:pPr>
      <w:rPr>
        <w:rFonts w:hint="default"/>
        <w:b/>
      </w:rPr>
    </w:lvl>
    <w:lvl w:ilvl="5">
      <w:start w:val="1"/>
      <w:numFmt w:val="decimal"/>
      <w:lvlText w:val="%1.%2.%3.%4.%5.%6"/>
      <w:lvlJc w:val="left"/>
      <w:pPr>
        <w:ind w:left="5060" w:hanging="1080"/>
      </w:pPr>
      <w:rPr>
        <w:rFonts w:hint="default"/>
        <w:b/>
      </w:rPr>
    </w:lvl>
    <w:lvl w:ilvl="6">
      <w:start w:val="1"/>
      <w:numFmt w:val="decimal"/>
      <w:lvlText w:val="%1.%2.%3.%4.%5.%6.%7"/>
      <w:lvlJc w:val="left"/>
      <w:pPr>
        <w:ind w:left="6140" w:hanging="1440"/>
      </w:pPr>
      <w:rPr>
        <w:rFonts w:hint="default"/>
        <w:b/>
      </w:rPr>
    </w:lvl>
    <w:lvl w:ilvl="7">
      <w:start w:val="1"/>
      <w:numFmt w:val="decimal"/>
      <w:lvlText w:val="%1.%2.%3.%4.%5.%6.%7.%8"/>
      <w:lvlJc w:val="left"/>
      <w:pPr>
        <w:ind w:left="6860" w:hanging="1440"/>
      </w:pPr>
      <w:rPr>
        <w:rFonts w:hint="default"/>
        <w:b/>
      </w:rPr>
    </w:lvl>
    <w:lvl w:ilvl="8">
      <w:start w:val="1"/>
      <w:numFmt w:val="decimal"/>
      <w:lvlText w:val="%1.%2.%3.%4.%5.%6.%7.%8.%9"/>
      <w:lvlJc w:val="left"/>
      <w:pPr>
        <w:ind w:left="7580" w:hanging="1440"/>
      </w:pPr>
      <w:rPr>
        <w:rFonts w:hint="default"/>
        <w:b/>
      </w:rPr>
    </w:lvl>
  </w:abstractNum>
  <w:abstractNum w:abstractNumId="34" w15:restartNumberingAfterBreak="0">
    <w:nsid w:val="5CE75C06"/>
    <w:multiLevelType w:val="hybridMultilevel"/>
    <w:tmpl w:val="A5D0B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006348"/>
    <w:multiLevelType w:val="hybridMultilevel"/>
    <w:tmpl w:val="FAF0799A"/>
    <w:lvl w:ilvl="0" w:tplc="6644A86C">
      <w:start w:val="1"/>
      <w:numFmt w:val="bullet"/>
      <w:lvlText w:val="•"/>
      <w:lvlJc w:val="left"/>
      <w:pPr>
        <w:tabs>
          <w:tab w:val="num" w:pos="720"/>
        </w:tabs>
        <w:ind w:left="720" w:hanging="360"/>
      </w:pPr>
      <w:rPr>
        <w:rFonts w:ascii="Arial" w:hAnsi="Arial" w:hint="default"/>
      </w:rPr>
    </w:lvl>
    <w:lvl w:ilvl="1" w:tplc="C9C8BA8E" w:tentative="1">
      <w:start w:val="1"/>
      <w:numFmt w:val="bullet"/>
      <w:lvlText w:val="•"/>
      <w:lvlJc w:val="left"/>
      <w:pPr>
        <w:tabs>
          <w:tab w:val="num" w:pos="1440"/>
        </w:tabs>
        <w:ind w:left="1440" w:hanging="360"/>
      </w:pPr>
      <w:rPr>
        <w:rFonts w:ascii="Arial" w:hAnsi="Arial" w:hint="default"/>
      </w:rPr>
    </w:lvl>
    <w:lvl w:ilvl="2" w:tplc="530AFB60" w:tentative="1">
      <w:start w:val="1"/>
      <w:numFmt w:val="bullet"/>
      <w:lvlText w:val="•"/>
      <w:lvlJc w:val="left"/>
      <w:pPr>
        <w:tabs>
          <w:tab w:val="num" w:pos="2160"/>
        </w:tabs>
        <w:ind w:left="2160" w:hanging="360"/>
      </w:pPr>
      <w:rPr>
        <w:rFonts w:ascii="Arial" w:hAnsi="Arial" w:hint="default"/>
      </w:rPr>
    </w:lvl>
    <w:lvl w:ilvl="3" w:tplc="57466E08" w:tentative="1">
      <w:start w:val="1"/>
      <w:numFmt w:val="bullet"/>
      <w:lvlText w:val="•"/>
      <w:lvlJc w:val="left"/>
      <w:pPr>
        <w:tabs>
          <w:tab w:val="num" w:pos="2880"/>
        </w:tabs>
        <w:ind w:left="2880" w:hanging="360"/>
      </w:pPr>
      <w:rPr>
        <w:rFonts w:ascii="Arial" w:hAnsi="Arial" w:hint="default"/>
      </w:rPr>
    </w:lvl>
    <w:lvl w:ilvl="4" w:tplc="BAF02574" w:tentative="1">
      <w:start w:val="1"/>
      <w:numFmt w:val="bullet"/>
      <w:lvlText w:val="•"/>
      <w:lvlJc w:val="left"/>
      <w:pPr>
        <w:tabs>
          <w:tab w:val="num" w:pos="3600"/>
        </w:tabs>
        <w:ind w:left="3600" w:hanging="360"/>
      </w:pPr>
      <w:rPr>
        <w:rFonts w:ascii="Arial" w:hAnsi="Arial" w:hint="default"/>
      </w:rPr>
    </w:lvl>
    <w:lvl w:ilvl="5" w:tplc="14F66B4C" w:tentative="1">
      <w:start w:val="1"/>
      <w:numFmt w:val="bullet"/>
      <w:lvlText w:val="•"/>
      <w:lvlJc w:val="left"/>
      <w:pPr>
        <w:tabs>
          <w:tab w:val="num" w:pos="4320"/>
        </w:tabs>
        <w:ind w:left="4320" w:hanging="360"/>
      </w:pPr>
      <w:rPr>
        <w:rFonts w:ascii="Arial" w:hAnsi="Arial" w:hint="default"/>
      </w:rPr>
    </w:lvl>
    <w:lvl w:ilvl="6" w:tplc="A2CE68E4" w:tentative="1">
      <w:start w:val="1"/>
      <w:numFmt w:val="bullet"/>
      <w:lvlText w:val="•"/>
      <w:lvlJc w:val="left"/>
      <w:pPr>
        <w:tabs>
          <w:tab w:val="num" w:pos="5040"/>
        </w:tabs>
        <w:ind w:left="5040" w:hanging="360"/>
      </w:pPr>
      <w:rPr>
        <w:rFonts w:ascii="Arial" w:hAnsi="Arial" w:hint="default"/>
      </w:rPr>
    </w:lvl>
    <w:lvl w:ilvl="7" w:tplc="8F16B0C4" w:tentative="1">
      <w:start w:val="1"/>
      <w:numFmt w:val="bullet"/>
      <w:lvlText w:val="•"/>
      <w:lvlJc w:val="left"/>
      <w:pPr>
        <w:tabs>
          <w:tab w:val="num" w:pos="5760"/>
        </w:tabs>
        <w:ind w:left="5760" w:hanging="360"/>
      </w:pPr>
      <w:rPr>
        <w:rFonts w:ascii="Arial" w:hAnsi="Arial" w:hint="default"/>
      </w:rPr>
    </w:lvl>
    <w:lvl w:ilvl="8" w:tplc="D45ED14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344209"/>
    <w:multiLevelType w:val="multilevel"/>
    <w:tmpl w:val="ED40339E"/>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7B85031"/>
    <w:multiLevelType w:val="hybridMultilevel"/>
    <w:tmpl w:val="5F76A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7C5CCF"/>
    <w:multiLevelType w:val="hybridMultilevel"/>
    <w:tmpl w:val="90B262CE"/>
    <w:lvl w:ilvl="0" w:tplc="D2EE8364">
      <w:start w:val="1"/>
      <w:numFmt w:val="bullet"/>
      <w:lvlText w:val="•"/>
      <w:lvlJc w:val="left"/>
      <w:pPr>
        <w:tabs>
          <w:tab w:val="num" w:pos="720"/>
        </w:tabs>
        <w:ind w:left="720" w:hanging="360"/>
      </w:pPr>
      <w:rPr>
        <w:rFonts w:ascii="Arial" w:hAnsi="Arial" w:hint="default"/>
      </w:rPr>
    </w:lvl>
    <w:lvl w:ilvl="1" w:tplc="1C38E7B6">
      <w:start w:val="1"/>
      <w:numFmt w:val="bullet"/>
      <w:lvlText w:val="•"/>
      <w:lvlJc w:val="left"/>
      <w:pPr>
        <w:tabs>
          <w:tab w:val="num" w:pos="1440"/>
        </w:tabs>
        <w:ind w:left="1440" w:hanging="360"/>
      </w:pPr>
      <w:rPr>
        <w:rFonts w:ascii="Arial" w:hAnsi="Arial" w:hint="default"/>
      </w:rPr>
    </w:lvl>
    <w:lvl w:ilvl="2" w:tplc="D018A8E4" w:tentative="1">
      <w:start w:val="1"/>
      <w:numFmt w:val="bullet"/>
      <w:lvlText w:val="•"/>
      <w:lvlJc w:val="left"/>
      <w:pPr>
        <w:tabs>
          <w:tab w:val="num" w:pos="2160"/>
        </w:tabs>
        <w:ind w:left="2160" w:hanging="360"/>
      </w:pPr>
      <w:rPr>
        <w:rFonts w:ascii="Arial" w:hAnsi="Arial" w:hint="default"/>
      </w:rPr>
    </w:lvl>
    <w:lvl w:ilvl="3" w:tplc="A71A0420" w:tentative="1">
      <w:start w:val="1"/>
      <w:numFmt w:val="bullet"/>
      <w:lvlText w:val="•"/>
      <w:lvlJc w:val="left"/>
      <w:pPr>
        <w:tabs>
          <w:tab w:val="num" w:pos="2880"/>
        </w:tabs>
        <w:ind w:left="2880" w:hanging="360"/>
      </w:pPr>
      <w:rPr>
        <w:rFonts w:ascii="Arial" w:hAnsi="Arial" w:hint="default"/>
      </w:rPr>
    </w:lvl>
    <w:lvl w:ilvl="4" w:tplc="7FD8E4D6" w:tentative="1">
      <w:start w:val="1"/>
      <w:numFmt w:val="bullet"/>
      <w:lvlText w:val="•"/>
      <w:lvlJc w:val="left"/>
      <w:pPr>
        <w:tabs>
          <w:tab w:val="num" w:pos="3600"/>
        </w:tabs>
        <w:ind w:left="3600" w:hanging="360"/>
      </w:pPr>
      <w:rPr>
        <w:rFonts w:ascii="Arial" w:hAnsi="Arial" w:hint="default"/>
      </w:rPr>
    </w:lvl>
    <w:lvl w:ilvl="5" w:tplc="932EC31E" w:tentative="1">
      <w:start w:val="1"/>
      <w:numFmt w:val="bullet"/>
      <w:lvlText w:val="•"/>
      <w:lvlJc w:val="left"/>
      <w:pPr>
        <w:tabs>
          <w:tab w:val="num" w:pos="4320"/>
        </w:tabs>
        <w:ind w:left="4320" w:hanging="360"/>
      </w:pPr>
      <w:rPr>
        <w:rFonts w:ascii="Arial" w:hAnsi="Arial" w:hint="default"/>
      </w:rPr>
    </w:lvl>
    <w:lvl w:ilvl="6" w:tplc="DDBE5294" w:tentative="1">
      <w:start w:val="1"/>
      <w:numFmt w:val="bullet"/>
      <w:lvlText w:val="•"/>
      <w:lvlJc w:val="left"/>
      <w:pPr>
        <w:tabs>
          <w:tab w:val="num" w:pos="5040"/>
        </w:tabs>
        <w:ind w:left="5040" w:hanging="360"/>
      </w:pPr>
      <w:rPr>
        <w:rFonts w:ascii="Arial" w:hAnsi="Arial" w:hint="default"/>
      </w:rPr>
    </w:lvl>
    <w:lvl w:ilvl="7" w:tplc="8354A61E" w:tentative="1">
      <w:start w:val="1"/>
      <w:numFmt w:val="bullet"/>
      <w:lvlText w:val="•"/>
      <w:lvlJc w:val="left"/>
      <w:pPr>
        <w:tabs>
          <w:tab w:val="num" w:pos="5760"/>
        </w:tabs>
        <w:ind w:left="5760" w:hanging="360"/>
      </w:pPr>
      <w:rPr>
        <w:rFonts w:ascii="Arial" w:hAnsi="Arial" w:hint="default"/>
      </w:rPr>
    </w:lvl>
    <w:lvl w:ilvl="8" w:tplc="3904B2A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720B6F"/>
    <w:multiLevelType w:val="multilevel"/>
    <w:tmpl w:val="8B28F9FE"/>
    <w:lvl w:ilvl="0">
      <w:start w:val="1"/>
      <w:numFmt w:val="decimal"/>
      <w:lvlText w:val="%1.0"/>
      <w:lvlJc w:val="left"/>
      <w:pPr>
        <w:ind w:left="740" w:hanging="360"/>
      </w:pPr>
      <w:rPr>
        <w:rFonts w:hint="default"/>
        <w:b/>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3260" w:hanging="720"/>
      </w:pPr>
      <w:rPr>
        <w:rFonts w:hint="default"/>
        <w:b/>
      </w:rPr>
    </w:lvl>
    <w:lvl w:ilvl="4">
      <w:start w:val="1"/>
      <w:numFmt w:val="decimal"/>
      <w:lvlText w:val="%1.%2.%3.%4.%5"/>
      <w:lvlJc w:val="left"/>
      <w:pPr>
        <w:ind w:left="4340" w:hanging="1080"/>
      </w:pPr>
      <w:rPr>
        <w:rFonts w:hint="default"/>
        <w:b/>
      </w:rPr>
    </w:lvl>
    <w:lvl w:ilvl="5">
      <w:start w:val="1"/>
      <w:numFmt w:val="decimal"/>
      <w:lvlText w:val="%1.%2.%3.%4.%5.%6"/>
      <w:lvlJc w:val="left"/>
      <w:pPr>
        <w:ind w:left="5060" w:hanging="1080"/>
      </w:pPr>
      <w:rPr>
        <w:rFonts w:hint="default"/>
        <w:b/>
      </w:rPr>
    </w:lvl>
    <w:lvl w:ilvl="6">
      <w:start w:val="1"/>
      <w:numFmt w:val="decimal"/>
      <w:lvlText w:val="%1.%2.%3.%4.%5.%6.%7"/>
      <w:lvlJc w:val="left"/>
      <w:pPr>
        <w:ind w:left="6140" w:hanging="1440"/>
      </w:pPr>
      <w:rPr>
        <w:rFonts w:hint="default"/>
        <w:b/>
      </w:rPr>
    </w:lvl>
    <w:lvl w:ilvl="7">
      <w:start w:val="1"/>
      <w:numFmt w:val="decimal"/>
      <w:lvlText w:val="%1.%2.%3.%4.%5.%6.%7.%8"/>
      <w:lvlJc w:val="left"/>
      <w:pPr>
        <w:ind w:left="6860" w:hanging="1440"/>
      </w:pPr>
      <w:rPr>
        <w:rFonts w:hint="default"/>
        <w:b/>
      </w:rPr>
    </w:lvl>
    <w:lvl w:ilvl="8">
      <w:start w:val="1"/>
      <w:numFmt w:val="decimal"/>
      <w:lvlText w:val="%1.%2.%3.%4.%5.%6.%7.%8.%9"/>
      <w:lvlJc w:val="left"/>
      <w:pPr>
        <w:ind w:left="7580" w:hanging="1440"/>
      </w:pPr>
      <w:rPr>
        <w:rFonts w:hint="default"/>
        <w:b/>
      </w:rPr>
    </w:lvl>
  </w:abstractNum>
  <w:abstractNum w:abstractNumId="40" w15:restartNumberingAfterBreak="0">
    <w:nsid w:val="71517A8A"/>
    <w:multiLevelType w:val="multilevel"/>
    <w:tmpl w:val="062AF680"/>
    <w:lvl w:ilvl="0">
      <w:start w:val="1"/>
      <w:numFmt w:val="none"/>
      <w:lvlText w:val=""/>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886851"/>
    <w:multiLevelType w:val="multilevel"/>
    <w:tmpl w:val="7D1C1FE0"/>
    <w:lvl w:ilvl="0">
      <w:start w:val="1"/>
      <w:numFmt w:val="lowerRoman"/>
      <w:lvlText w:val="%1."/>
      <w:lvlJc w:val="right"/>
      <w:pPr>
        <w:ind w:left="740" w:hanging="360"/>
      </w:pPr>
      <w:rPr>
        <w:rFonts w:hint="default"/>
        <w:b w:val="0"/>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3260" w:hanging="720"/>
      </w:pPr>
      <w:rPr>
        <w:rFonts w:hint="default"/>
        <w:b/>
      </w:rPr>
    </w:lvl>
    <w:lvl w:ilvl="4">
      <w:start w:val="1"/>
      <w:numFmt w:val="decimal"/>
      <w:lvlText w:val="%1.%2.%3.%4.%5"/>
      <w:lvlJc w:val="left"/>
      <w:pPr>
        <w:ind w:left="4340" w:hanging="1080"/>
      </w:pPr>
      <w:rPr>
        <w:rFonts w:hint="default"/>
        <w:b/>
      </w:rPr>
    </w:lvl>
    <w:lvl w:ilvl="5">
      <w:start w:val="1"/>
      <w:numFmt w:val="decimal"/>
      <w:lvlText w:val="%1.%2.%3.%4.%5.%6"/>
      <w:lvlJc w:val="left"/>
      <w:pPr>
        <w:ind w:left="5060" w:hanging="1080"/>
      </w:pPr>
      <w:rPr>
        <w:rFonts w:hint="default"/>
        <w:b/>
      </w:rPr>
    </w:lvl>
    <w:lvl w:ilvl="6">
      <w:start w:val="1"/>
      <w:numFmt w:val="decimal"/>
      <w:lvlText w:val="%1.%2.%3.%4.%5.%6.%7"/>
      <w:lvlJc w:val="left"/>
      <w:pPr>
        <w:ind w:left="6140" w:hanging="1440"/>
      </w:pPr>
      <w:rPr>
        <w:rFonts w:hint="default"/>
        <w:b/>
      </w:rPr>
    </w:lvl>
    <w:lvl w:ilvl="7">
      <w:start w:val="1"/>
      <w:numFmt w:val="decimal"/>
      <w:lvlText w:val="%1.%2.%3.%4.%5.%6.%7.%8"/>
      <w:lvlJc w:val="left"/>
      <w:pPr>
        <w:ind w:left="6860" w:hanging="1440"/>
      </w:pPr>
      <w:rPr>
        <w:rFonts w:hint="default"/>
        <w:b/>
      </w:rPr>
    </w:lvl>
    <w:lvl w:ilvl="8">
      <w:start w:val="1"/>
      <w:numFmt w:val="decimal"/>
      <w:lvlText w:val="%1.%2.%3.%4.%5.%6.%7.%8.%9"/>
      <w:lvlJc w:val="left"/>
      <w:pPr>
        <w:ind w:left="7580" w:hanging="1440"/>
      </w:pPr>
      <w:rPr>
        <w:rFonts w:hint="default"/>
        <w:b/>
      </w:rPr>
    </w:lvl>
  </w:abstractNum>
  <w:abstractNum w:abstractNumId="42" w15:restartNumberingAfterBreak="0">
    <w:nsid w:val="76114BE9"/>
    <w:multiLevelType w:val="multilevel"/>
    <w:tmpl w:val="EE1C3B44"/>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77611AB0"/>
    <w:multiLevelType w:val="multilevel"/>
    <w:tmpl w:val="1DBE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EA7C73"/>
    <w:multiLevelType w:val="hybridMultilevel"/>
    <w:tmpl w:val="324C0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A653AB"/>
    <w:multiLevelType w:val="multilevel"/>
    <w:tmpl w:val="149628E2"/>
    <w:lvl w:ilvl="0">
      <w:start w:val="1"/>
      <w:numFmt w:val="lowerRoman"/>
      <w:lvlText w:val="%1."/>
      <w:lvlJc w:val="righ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761"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6" w15:restartNumberingAfterBreak="0">
    <w:nsid w:val="7BCF14CB"/>
    <w:multiLevelType w:val="hybridMultilevel"/>
    <w:tmpl w:val="AF281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411DDE"/>
    <w:multiLevelType w:val="hybridMultilevel"/>
    <w:tmpl w:val="F14ECD30"/>
    <w:lvl w:ilvl="0" w:tplc="23F84FB6">
      <w:start w:val="1"/>
      <w:numFmt w:val="lowerRoman"/>
      <w:lvlText w:val="%1."/>
      <w:lvlJc w:val="right"/>
      <w:pPr>
        <w:tabs>
          <w:tab w:val="num" w:pos="720"/>
        </w:tabs>
        <w:ind w:left="720" w:hanging="360"/>
      </w:pPr>
    </w:lvl>
    <w:lvl w:ilvl="1" w:tplc="9118D6CC">
      <w:start w:val="1"/>
      <w:numFmt w:val="lowerRoman"/>
      <w:lvlText w:val="%2."/>
      <w:lvlJc w:val="right"/>
      <w:pPr>
        <w:tabs>
          <w:tab w:val="num" w:pos="1440"/>
        </w:tabs>
        <w:ind w:left="1440" w:hanging="360"/>
      </w:pPr>
    </w:lvl>
    <w:lvl w:ilvl="2" w:tplc="D68652DC" w:tentative="1">
      <w:start w:val="1"/>
      <w:numFmt w:val="lowerRoman"/>
      <w:lvlText w:val="%3."/>
      <w:lvlJc w:val="right"/>
      <w:pPr>
        <w:tabs>
          <w:tab w:val="num" w:pos="2160"/>
        </w:tabs>
        <w:ind w:left="2160" w:hanging="360"/>
      </w:pPr>
    </w:lvl>
    <w:lvl w:ilvl="3" w:tplc="5538ABB2" w:tentative="1">
      <w:start w:val="1"/>
      <w:numFmt w:val="lowerRoman"/>
      <w:lvlText w:val="%4."/>
      <w:lvlJc w:val="right"/>
      <w:pPr>
        <w:tabs>
          <w:tab w:val="num" w:pos="2880"/>
        </w:tabs>
        <w:ind w:left="2880" w:hanging="360"/>
      </w:pPr>
    </w:lvl>
    <w:lvl w:ilvl="4" w:tplc="7EC01C50" w:tentative="1">
      <w:start w:val="1"/>
      <w:numFmt w:val="lowerRoman"/>
      <w:lvlText w:val="%5."/>
      <w:lvlJc w:val="right"/>
      <w:pPr>
        <w:tabs>
          <w:tab w:val="num" w:pos="3600"/>
        </w:tabs>
        <w:ind w:left="3600" w:hanging="360"/>
      </w:pPr>
    </w:lvl>
    <w:lvl w:ilvl="5" w:tplc="7A6263DE" w:tentative="1">
      <w:start w:val="1"/>
      <w:numFmt w:val="lowerRoman"/>
      <w:lvlText w:val="%6."/>
      <w:lvlJc w:val="right"/>
      <w:pPr>
        <w:tabs>
          <w:tab w:val="num" w:pos="4320"/>
        </w:tabs>
        <w:ind w:left="4320" w:hanging="360"/>
      </w:pPr>
    </w:lvl>
    <w:lvl w:ilvl="6" w:tplc="D1C4D10A" w:tentative="1">
      <w:start w:val="1"/>
      <w:numFmt w:val="lowerRoman"/>
      <w:lvlText w:val="%7."/>
      <w:lvlJc w:val="right"/>
      <w:pPr>
        <w:tabs>
          <w:tab w:val="num" w:pos="5040"/>
        </w:tabs>
        <w:ind w:left="5040" w:hanging="360"/>
      </w:pPr>
    </w:lvl>
    <w:lvl w:ilvl="7" w:tplc="F7D2DBEA" w:tentative="1">
      <w:start w:val="1"/>
      <w:numFmt w:val="lowerRoman"/>
      <w:lvlText w:val="%8."/>
      <w:lvlJc w:val="right"/>
      <w:pPr>
        <w:tabs>
          <w:tab w:val="num" w:pos="5760"/>
        </w:tabs>
        <w:ind w:left="5760" w:hanging="360"/>
      </w:pPr>
    </w:lvl>
    <w:lvl w:ilvl="8" w:tplc="5A2EEB9C" w:tentative="1">
      <w:start w:val="1"/>
      <w:numFmt w:val="lowerRoman"/>
      <w:lvlText w:val="%9."/>
      <w:lvlJc w:val="right"/>
      <w:pPr>
        <w:tabs>
          <w:tab w:val="num" w:pos="6480"/>
        </w:tabs>
        <w:ind w:left="6480" w:hanging="360"/>
      </w:pPr>
    </w:lvl>
  </w:abstractNum>
  <w:abstractNum w:abstractNumId="48" w15:restartNumberingAfterBreak="0">
    <w:nsid w:val="7C620DCA"/>
    <w:multiLevelType w:val="hybridMultilevel"/>
    <w:tmpl w:val="491C0F0E"/>
    <w:lvl w:ilvl="0" w:tplc="1CF6553C">
      <w:start w:val="1"/>
      <w:numFmt w:val="decimal"/>
      <w:lvlText w:val="%1."/>
      <w:lvlJc w:val="left"/>
      <w:pPr>
        <w:ind w:left="785" w:hanging="36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num w:numId="1">
    <w:abstractNumId w:val="39"/>
  </w:num>
  <w:num w:numId="2">
    <w:abstractNumId w:val="0"/>
  </w:num>
  <w:num w:numId="3">
    <w:abstractNumId w:val="7"/>
  </w:num>
  <w:num w:numId="4">
    <w:abstractNumId w:val="36"/>
  </w:num>
  <w:num w:numId="5">
    <w:abstractNumId w:val="30"/>
  </w:num>
  <w:num w:numId="6">
    <w:abstractNumId w:val="46"/>
  </w:num>
  <w:num w:numId="7">
    <w:abstractNumId w:val="48"/>
  </w:num>
  <w:num w:numId="8">
    <w:abstractNumId w:val="15"/>
  </w:num>
  <w:num w:numId="9">
    <w:abstractNumId w:val="14"/>
  </w:num>
  <w:num w:numId="10">
    <w:abstractNumId w:val="45"/>
  </w:num>
  <w:num w:numId="11">
    <w:abstractNumId w:val="38"/>
  </w:num>
  <w:num w:numId="12">
    <w:abstractNumId w:val="28"/>
  </w:num>
  <w:num w:numId="13">
    <w:abstractNumId w:val="44"/>
  </w:num>
  <w:num w:numId="14">
    <w:abstractNumId w:val="42"/>
  </w:num>
  <w:num w:numId="15">
    <w:abstractNumId w:val="18"/>
  </w:num>
  <w:num w:numId="16">
    <w:abstractNumId w:val="12"/>
  </w:num>
  <w:num w:numId="17">
    <w:abstractNumId w:val="2"/>
  </w:num>
  <w:num w:numId="18">
    <w:abstractNumId w:val="17"/>
  </w:num>
  <w:num w:numId="19">
    <w:abstractNumId w:val="16"/>
  </w:num>
  <w:num w:numId="20">
    <w:abstractNumId w:val="8"/>
  </w:num>
  <w:num w:numId="21">
    <w:abstractNumId w:val="20"/>
  </w:num>
  <w:num w:numId="22">
    <w:abstractNumId w:val="19"/>
  </w:num>
  <w:num w:numId="23">
    <w:abstractNumId w:val="4"/>
  </w:num>
  <w:num w:numId="24">
    <w:abstractNumId w:val="9"/>
  </w:num>
  <w:num w:numId="25">
    <w:abstractNumId w:val="34"/>
  </w:num>
  <w:num w:numId="26">
    <w:abstractNumId w:val="21"/>
  </w:num>
  <w:num w:numId="27">
    <w:abstractNumId w:val="32"/>
  </w:num>
  <w:num w:numId="28">
    <w:abstractNumId w:val="33"/>
  </w:num>
  <w:num w:numId="29">
    <w:abstractNumId w:val="41"/>
  </w:num>
  <w:num w:numId="30">
    <w:abstractNumId w:val="29"/>
  </w:num>
  <w:num w:numId="31">
    <w:abstractNumId w:val="24"/>
  </w:num>
  <w:num w:numId="32">
    <w:abstractNumId w:val="13"/>
  </w:num>
  <w:num w:numId="33">
    <w:abstractNumId w:val="23"/>
  </w:num>
  <w:num w:numId="34">
    <w:abstractNumId w:val="11"/>
  </w:num>
  <w:num w:numId="35">
    <w:abstractNumId w:val="35"/>
  </w:num>
  <w:num w:numId="36">
    <w:abstractNumId w:val="5"/>
  </w:num>
  <w:num w:numId="37">
    <w:abstractNumId w:val="31"/>
  </w:num>
  <w:num w:numId="38">
    <w:abstractNumId w:val="47"/>
  </w:num>
  <w:num w:numId="39">
    <w:abstractNumId w:val="10"/>
  </w:num>
  <w:num w:numId="40">
    <w:abstractNumId w:val="1"/>
  </w:num>
  <w:num w:numId="41">
    <w:abstractNumId w:val="25"/>
  </w:num>
  <w:num w:numId="42">
    <w:abstractNumId w:val="43"/>
  </w:num>
  <w:num w:numId="43">
    <w:abstractNumId w:val="40"/>
  </w:num>
  <w:num w:numId="44">
    <w:abstractNumId w:val="6"/>
  </w:num>
  <w:num w:numId="45">
    <w:abstractNumId w:val="3"/>
  </w:num>
  <w:num w:numId="46">
    <w:abstractNumId w:val="37"/>
  </w:num>
  <w:num w:numId="47">
    <w:abstractNumId w:val="22"/>
  </w:num>
  <w:num w:numId="48">
    <w:abstractNumId w:val="26"/>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0EC"/>
    <w:rsid w:val="00023248"/>
    <w:rsid w:val="0006157F"/>
    <w:rsid w:val="00086E2E"/>
    <w:rsid w:val="000D4E4D"/>
    <w:rsid w:val="000E2800"/>
    <w:rsid w:val="001427CC"/>
    <w:rsid w:val="001C57ED"/>
    <w:rsid w:val="001D1C21"/>
    <w:rsid w:val="001F536E"/>
    <w:rsid w:val="001F7837"/>
    <w:rsid w:val="002320EC"/>
    <w:rsid w:val="002D24DF"/>
    <w:rsid w:val="002F1140"/>
    <w:rsid w:val="00312865"/>
    <w:rsid w:val="00323751"/>
    <w:rsid w:val="00355D31"/>
    <w:rsid w:val="003749EB"/>
    <w:rsid w:val="00377180"/>
    <w:rsid w:val="003B0E4D"/>
    <w:rsid w:val="003C72BD"/>
    <w:rsid w:val="00431EF9"/>
    <w:rsid w:val="00462185"/>
    <w:rsid w:val="004C6C54"/>
    <w:rsid w:val="004D3801"/>
    <w:rsid w:val="004F3366"/>
    <w:rsid w:val="005306E8"/>
    <w:rsid w:val="00590BFA"/>
    <w:rsid w:val="005C3071"/>
    <w:rsid w:val="005E2D9F"/>
    <w:rsid w:val="005E4B24"/>
    <w:rsid w:val="006441AE"/>
    <w:rsid w:val="0066266A"/>
    <w:rsid w:val="006B3867"/>
    <w:rsid w:val="006C6472"/>
    <w:rsid w:val="007131D1"/>
    <w:rsid w:val="00723300"/>
    <w:rsid w:val="00760F78"/>
    <w:rsid w:val="007717C8"/>
    <w:rsid w:val="007748DF"/>
    <w:rsid w:val="007817F2"/>
    <w:rsid w:val="007A510A"/>
    <w:rsid w:val="007E04CC"/>
    <w:rsid w:val="007E4E3C"/>
    <w:rsid w:val="008F470D"/>
    <w:rsid w:val="009605EE"/>
    <w:rsid w:val="009673B1"/>
    <w:rsid w:val="009757B6"/>
    <w:rsid w:val="00983835"/>
    <w:rsid w:val="00993A06"/>
    <w:rsid w:val="00995BBE"/>
    <w:rsid w:val="009A3CA6"/>
    <w:rsid w:val="009A7EB1"/>
    <w:rsid w:val="00A70F43"/>
    <w:rsid w:val="00A711B7"/>
    <w:rsid w:val="00A873A4"/>
    <w:rsid w:val="00A9556E"/>
    <w:rsid w:val="00AB346D"/>
    <w:rsid w:val="00AF13F0"/>
    <w:rsid w:val="00B063B9"/>
    <w:rsid w:val="00B1401F"/>
    <w:rsid w:val="00B329E3"/>
    <w:rsid w:val="00B50C85"/>
    <w:rsid w:val="00BD4672"/>
    <w:rsid w:val="00C45B32"/>
    <w:rsid w:val="00C568E2"/>
    <w:rsid w:val="00C6115E"/>
    <w:rsid w:val="00C63B2B"/>
    <w:rsid w:val="00C84E08"/>
    <w:rsid w:val="00C94E34"/>
    <w:rsid w:val="00CA006B"/>
    <w:rsid w:val="00CD2426"/>
    <w:rsid w:val="00CD479B"/>
    <w:rsid w:val="00CD5258"/>
    <w:rsid w:val="00CE6A06"/>
    <w:rsid w:val="00D617C3"/>
    <w:rsid w:val="00DD5755"/>
    <w:rsid w:val="00DD6783"/>
    <w:rsid w:val="00E01091"/>
    <w:rsid w:val="00E50B91"/>
    <w:rsid w:val="00E57154"/>
    <w:rsid w:val="00E91683"/>
    <w:rsid w:val="00E94F7D"/>
    <w:rsid w:val="00F02997"/>
    <w:rsid w:val="00FA19E8"/>
    <w:rsid w:val="00FD7A29"/>
    <w:rsid w:val="00FE5E86"/>
    <w:rsid w:val="00FE5F24"/>
    <w:rsid w:val="00FE6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43BC8"/>
  <w15:docId w15:val="{980FB820-0979-4E4D-8839-87030D1A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0EC"/>
  </w:style>
  <w:style w:type="paragraph" w:styleId="Heading1">
    <w:name w:val="heading 1"/>
    <w:basedOn w:val="Normal"/>
    <w:link w:val="Heading1Char"/>
    <w:uiPriority w:val="1"/>
    <w:qFormat/>
    <w:rsid w:val="002320EC"/>
    <w:pPr>
      <w:spacing w:after="0" w:line="360" w:lineRule="auto"/>
      <w:jc w:val="center"/>
      <w:outlineLvl w:val="0"/>
    </w:pPr>
    <w:rPr>
      <w:rFonts w:ascii="Times New Roman" w:eastAsia="Times New Roman" w:hAnsi="Times New Roman" w:cs="Times New Roman"/>
      <w:b/>
      <w:bCs/>
      <w:kern w:val="36"/>
      <w:sz w:val="24"/>
      <w:szCs w:val="24"/>
      <w:lang w:eastAsia="en-GB"/>
    </w:rPr>
  </w:style>
  <w:style w:type="paragraph" w:styleId="Heading2">
    <w:name w:val="heading 2"/>
    <w:basedOn w:val="Normal"/>
    <w:next w:val="Normal"/>
    <w:link w:val="Heading2Char"/>
    <w:uiPriority w:val="9"/>
    <w:unhideWhenUsed/>
    <w:qFormat/>
    <w:rsid w:val="002320EC"/>
    <w:pPr>
      <w:spacing w:before="240" w:after="0" w:line="360" w:lineRule="auto"/>
      <w:jc w:val="both"/>
      <w:outlineLvl w:val="1"/>
    </w:pPr>
    <w:rPr>
      <w:rFonts w:ascii="Times New Roman" w:hAnsi="Times New Roman" w:cs="Times New Roman"/>
      <w:b/>
      <w:sz w:val="24"/>
      <w:szCs w:val="24"/>
    </w:rPr>
  </w:style>
  <w:style w:type="paragraph" w:styleId="Heading3">
    <w:name w:val="heading 3"/>
    <w:basedOn w:val="Heading2"/>
    <w:next w:val="Normal"/>
    <w:link w:val="Heading3Char"/>
    <w:uiPriority w:val="9"/>
    <w:unhideWhenUsed/>
    <w:qFormat/>
    <w:rsid w:val="002320EC"/>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20EC"/>
    <w:rPr>
      <w:rFonts w:ascii="Times New Roman" w:eastAsia="Times New Roman" w:hAnsi="Times New Roman" w:cs="Times New Roman"/>
      <w:b/>
      <w:bCs/>
      <w:kern w:val="36"/>
      <w:sz w:val="24"/>
      <w:szCs w:val="24"/>
      <w:lang w:eastAsia="en-GB"/>
    </w:rPr>
  </w:style>
  <w:style w:type="character" w:customStyle="1" w:styleId="Heading2Char">
    <w:name w:val="Heading 2 Char"/>
    <w:basedOn w:val="DefaultParagraphFont"/>
    <w:link w:val="Heading2"/>
    <w:uiPriority w:val="9"/>
    <w:rsid w:val="002320EC"/>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2320EC"/>
    <w:rPr>
      <w:rFonts w:ascii="Times New Roman" w:hAnsi="Times New Roman" w:cs="Times New Roman"/>
      <w:b/>
      <w:sz w:val="24"/>
      <w:szCs w:val="24"/>
    </w:rPr>
  </w:style>
  <w:style w:type="paragraph" w:styleId="ListParagraph">
    <w:name w:val="List Paragraph"/>
    <w:basedOn w:val="Normal"/>
    <w:uiPriority w:val="34"/>
    <w:qFormat/>
    <w:rsid w:val="002320EC"/>
    <w:pPr>
      <w:ind w:left="720"/>
      <w:contextualSpacing/>
    </w:pPr>
  </w:style>
  <w:style w:type="character" w:styleId="Hyperlink">
    <w:name w:val="Hyperlink"/>
    <w:basedOn w:val="DefaultParagraphFont"/>
    <w:uiPriority w:val="99"/>
    <w:unhideWhenUsed/>
    <w:rsid w:val="002320EC"/>
    <w:rPr>
      <w:color w:val="0000FF"/>
      <w:u w:val="single"/>
    </w:rPr>
  </w:style>
  <w:style w:type="paragraph" w:styleId="NormalWeb">
    <w:name w:val="Normal (Web)"/>
    <w:basedOn w:val="Normal"/>
    <w:uiPriority w:val="99"/>
    <w:unhideWhenUsed/>
    <w:rsid w:val="002320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hors">
    <w:name w:val="authors"/>
    <w:basedOn w:val="Normal"/>
    <w:qFormat/>
    <w:rsid w:val="002320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2320EC"/>
  </w:style>
  <w:style w:type="character" w:styleId="Emphasis">
    <w:name w:val="Emphasis"/>
    <w:basedOn w:val="DefaultParagraphFont"/>
    <w:uiPriority w:val="20"/>
    <w:qFormat/>
    <w:rsid w:val="002320EC"/>
    <w:rPr>
      <w:i/>
      <w:iCs/>
    </w:rPr>
  </w:style>
  <w:style w:type="character" w:customStyle="1" w:styleId="apple-converted-space">
    <w:name w:val="apple-converted-space"/>
    <w:basedOn w:val="DefaultParagraphFont"/>
    <w:rsid w:val="002320EC"/>
  </w:style>
  <w:style w:type="table" w:styleId="TableGrid">
    <w:name w:val="Table Grid"/>
    <w:basedOn w:val="TableNormal"/>
    <w:uiPriority w:val="39"/>
    <w:rsid w:val="002320E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EC"/>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2320EC"/>
    <w:rPr>
      <w:lang w:val="en-US"/>
    </w:rPr>
  </w:style>
  <w:style w:type="paragraph" w:styleId="Footer">
    <w:name w:val="footer"/>
    <w:basedOn w:val="Normal"/>
    <w:link w:val="FooterChar"/>
    <w:uiPriority w:val="99"/>
    <w:unhideWhenUsed/>
    <w:rsid w:val="002320EC"/>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320EC"/>
    <w:rPr>
      <w:lang w:val="en-US"/>
    </w:rPr>
  </w:style>
  <w:style w:type="character" w:styleId="Strong">
    <w:name w:val="Strong"/>
    <w:basedOn w:val="DefaultParagraphFont"/>
    <w:uiPriority w:val="22"/>
    <w:qFormat/>
    <w:rsid w:val="002320EC"/>
    <w:rPr>
      <w:b/>
      <w:bCs/>
    </w:rPr>
  </w:style>
  <w:style w:type="paragraph" w:styleId="BalloonText">
    <w:name w:val="Balloon Text"/>
    <w:basedOn w:val="Normal"/>
    <w:link w:val="BalloonTextChar"/>
    <w:uiPriority w:val="99"/>
    <w:semiHidden/>
    <w:unhideWhenUsed/>
    <w:rsid w:val="00232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EC"/>
    <w:rPr>
      <w:rFonts w:ascii="Tahoma" w:hAnsi="Tahoma" w:cs="Tahoma"/>
      <w:sz w:val="16"/>
      <w:szCs w:val="16"/>
    </w:rPr>
  </w:style>
  <w:style w:type="paragraph" w:customStyle="1" w:styleId="Style">
    <w:name w:val="Style"/>
    <w:rsid w:val="002320E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title-text">
    <w:name w:val="title-text"/>
    <w:basedOn w:val="DefaultParagraphFont"/>
    <w:rsid w:val="002320EC"/>
  </w:style>
  <w:style w:type="paragraph" w:styleId="TOC1">
    <w:name w:val="toc 1"/>
    <w:basedOn w:val="Normal"/>
    <w:next w:val="Normal"/>
    <w:autoRedefine/>
    <w:uiPriority w:val="39"/>
    <w:unhideWhenUsed/>
    <w:qFormat/>
    <w:rsid w:val="002320EC"/>
    <w:pPr>
      <w:spacing w:after="100"/>
    </w:pPr>
  </w:style>
  <w:style w:type="paragraph" w:styleId="TOC2">
    <w:name w:val="toc 2"/>
    <w:basedOn w:val="Normal"/>
    <w:next w:val="Normal"/>
    <w:autoRedefine/>
    <w:uiPriority w:val="39"/>
    <w:unhideWhenUsed/>
    <w:qFormat/>
    <w:rsid w:val="002320EC"/>
    <w:pPr>
      <w:spacing w:after="100"/>
      <w:ind w:left="220"/>
    </w:pPr>
    <w:rPr>
      <w:rFonts w:eastAsiaTheme="minorEastAsia"/>
      <w:lang w:val="en-US" w:eastAsia="ja-JP"/>
    </w:rPr>
  </w:style>
  <w:style w:type="paragraph" w:styleId="TOC3">
    <w:name w:val="toc 3"/>
    <w:basedOn w:val="Normal"/>
    <w:next w:val="Normal"/>
    <w:autoRedefine/>
    <w:uiPriority w:val="39"/>
    <w:unhideWhenUsed/>
    <w:qFormat/>
    <w:rsid w:val="002320EC"/>
    <w:pPr>
      <w:spacing w:after="100"/>
      <w:ind w:left="440"/>
    </w:pPr>
    <w:rPr>
      <w:rFonts w:eastAsiaTheme="minorEastAsia"/>
      <w:lang w:val="en-US" w:eastAsia="ja-JP"/>
    </w:rPr>
  </w:style>
  <w:style w:type="character" w:customStyle="1" w:styleId="hgkelc">
    <w:name w:val="hgkelc"/>
    <w:basedOn w:val="DefaultParagraphFont"/>
    <w:rsid w:val="002320EC"/>
  </w:style>
  <w:style w:type="paragraph" w:customStyle="1" w:styleId="p">
    <w:name w:val="p"/>
    <w:basedOn w:val="Normal"/>
    <w:rsid w:val="002320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2320EC"/>
    <w:pPr>
      <w:spacing w:after="0" w:line="240" w:lineRule="auto"/>
    </w:pPr>
    <w:rPr>
      <w:kern w:val="2"/>
      <w:lang w:val="en-US"/>
      <w14:ligatures w14:val="standardContextual"/>
    </w:rPr>
  </w:style>
  <w:style w:type="character" w:customStyle="1" w:styleId="NoSpacingChar">
    <w:name w:val="No Spacing Char"/>
    <w:basedOn w:val="DefaultParagraphFont"/>
    <w:link w:val="NoSpacing"/>
    <w:uiPriority w:val="1"/>
    <w:rsid w:val="002320EC"/>
    <w:rPr>
      <w:kern w:val="2"/>
      <w:lang w:val="en-US"/>
      <w14:ligatures w14:val="standardContextual"/>
    </w:rPr>
  </w:style>
  <w:style w:type="paragraph" w:styleId="Caption">
    <w:name w:val="caption"/>
    <w:basedOn w:val="Normal"/>
    <w:next w:val="Normal"/>
    <w:uiPriority w:val="35"/>
    <w:unhideWhenUsed/>
    <w:qFormat/>
    <w:rsid w:val="002320EC"/>
    <w:pPr>
      <w:spacing w:before="240" w:after="0" w:line="360" w:lineRule="auto"/>
      <w:ind w:left="1134" w:hanging="1134"/>
      <w:jc w:val="both"/>
    </w:pPr>
    <w:rPr>
      <w:rFonts w:ascii="Times New Roman" w:hAnsi="Times New Roman" w:cs="Times New Roman"/>
      <w:b/>
      <w:bCs/>
      <w:sz w:val="24"/>
      <w:szCs w:val="18"/>
    </w:rPr>
  </w:style>
  <w:style w:type="paragraph" w:styleId="BodyText2">
    <w:name w:val="Body Text 2"/>
    <w:basedOn w:val="Normal"/>
    <w:link w:val="BodyText2Char"/>
    <w:semiHidden/>
    <w:rsid w:val="002320EC"/>
    <w:pPr>
      <w:spacing w:after="0" w:line="240" w:lineRule="auto"/>
      <w:jc w:val="center"/>
    </w:pPr>
    <w:rPr>
      <w:rFonts w:ascii="Verdana" w:eastAsia="Times New Roman" w:hAnsi="Verdana" w:cs="Times New Roman"/>
      <w:b/>
      <w:sz w:val="20"/>
      <w:szCs w:val="20"/>
    </w:rPr>
  </w:style>
  <w:style w:type="character" w:customStyle="1" w:styleId="BodyText2Char">
    <w:name w:val="Body Text 2 Char"/>
    <w:basedOn w:val="DefaultParagraphFont"/>
    <w:link w:val="BodyText2"/>
    <w:semiHidden/>
    <w:rsid w:val="002320EC"/>
    <w:rPr>
      <w:rFonts w:ascii="Verdana" w:eastAsia="Times New Roman" w:hAnsi="Verdana" w:cs="Times New Roman"/>
      <w:b/>
      <w:sz w:val="20"/>
      <w:szCs w:val="20"/>
    </w:rPr>
  </w:style>
  <w:style w:type="paragraph" w:styleId="TableofFigures">
    <w:name w:val="table of figures"/>
    <w:basedOn w:val="Normal"/>
    <w:next w:val="Normal"/>
    <w:uiPriority w:val="99"/>
    <w:unhideWhenUsed/>
    <w:rsid w:val="002320EC"/>
    <w:pPr>
      <w:spacing w:after="0"/>
    </w:pPr>
  </w:style>
  <w:style w:type="character" w:customStyle="1" w:styleId="EndnoteTextChar">
    <w:name w:val="Endnote Text Char"/>
    <w:basedOn w:val="DefaultParagraphFont"/>
    <w:link w:val="EndnoteText"/>
    <w:uiPriority w:val="99"/>
    <w:semiHidden/>
    <w:rsid w:val="002320EC"/>
    <w:rPr>
      <w:sz w:val="20"/>
      <w:szCs w:val="20"/>
    </w:rPr>
  </w:style>
  <w:style w:type="paragraph" w:styleId="EndnoteText">
    <w:name w:val="endnote text"/>
    <w:basedOn w:val="Normal"/>
    <w:link w:val="EndnoteTextChar"/>
    <w:uiPriority w:val="99"/>
    <w:semiHidden/>
    <w:unhideWhenUsed/>
    <w:rsid w:val="002320EC"/>
    <w:pPr>
      <w:spacing w:after="0" w:line="240" w:lineRule="auto"/>
    </w:pPr>
    <w:rPr>
      <w:sz w:val="20"/>
      <w:szCs w:val="20"/>
    </w:rPr>
  </w:style>
  <w:style w:type="paragraph" w:styleId="CommentText">
    <w:name w:val="annotation text"/>
    <w:basedOn w:val="Normal"/>
    <w:link w:val="CommentTextChar"/>
    <w:uiPriority w:val="99"/>
    <w:semiHidden/>
    <w:unhideWhenUsed/>
    <w:rsid w:val="002320EC"/>
    <w:pPr>
      <w:spacing w:line="240" w:lineRule="auto"/>
    </w:pPr>
    <w:rPr>
      <w:sz w:val="20"/>
      <w:szCs w:val="20"/>
    </w:rPr>
  </w:style>
  <w:style w:type="character" w:customStyle="1" w:styleId="CommentTextChar">
    <w:name w:val="Comment Text Char"/>
    <w:basedOn w:val="DefaultParagraphFont"/>
    <w:link w:val="CommentText"/>
    <w:uiPriority w:val="99"/>
    <w:semiHidden/>
    <w:rsid w:val="002320EC"/>
    <w:rPr>
      <w:sz w:val="20"/>
      <w:szCs w:val="20"/>
    </w:rPr>
  </w:style>
  <w:style w:type="character" w:customStyle="1" w:styleId="CommentSubjectChar">
    <w:name w:val="Comment Subject Char"/>
    <w:basedOn w:val="CommentTextChar"/>
    <w:link w:val="CommentSubject"/>
    <w:uiPriority w:val="99"/>
    <w:semiHidden/>
    <w:rsid w:val="002320EC"/>
    <w:rPr>
      <w:b/>
      <w:bCs/>
      <w:sz w:val="20"/>
      <w:szCs w:val="20"/>
    </w:rPr>
  </w:style>
  <w:style w:type="paragraph" w:styleId="CommentSubject">
    <w:name w:val="annotation subject"/>
    <w:basedOn w:val="CommentText"/>
    <w:next w:val="CommentText"/>
    <w:link w:val="CommentSubjectChar"/>
    <w:uiPriority w:val="99"/>
    <w:semiHidden/>
    <w:unhideWhenUsed/>
    <w:rsid w:val="002320EC"/>
    <w:rPr>
      <w:b/>
      <w:bCs/>
    </w:rPr>
  </w:style>
  <w:style w:type="character" w:customStyle="1" w:styleId="yrbpuc">
    <w:name w:val="yrbpuc"/>
    <w:basedOn w:val="DefaultParagraphFont"/>
    <w:rsid w:val="002320EC"/>
  </w:style>
  <w:style w:type="character" w:customStyle="1" w:styleId="UnresolvedMention1">
    <w:name w:val="Unresolved Mention1"/>
    <w:basedOn w:val="DefaultParagraphFont"/>
    <w:uiPriority w:val="99"/>
    <w:semiHidden/>
    <w:unhideWhenUsed/>
    <w:rsid w:val="001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3040">
      <w:bodyDiv w:val="1"/>
      <w:marLeft w:val="0"/>
      <w:marRight w:val="0"/>
      <w:marTop w:val="0"/>
      <w:marBottom w:val="0"/>
      <w:divBdr>
        <w:top w:val="none" w:sz="0" w:space="0" w:color="auto"/>
        <w:left w:val="none" w:sz="0" w:space="0" w:color="auto"/>
        <w:bottom w:val="none" w:sz="0" w:space="0" w:color="auto"/>
        <w:right w:val="none" w:sz="0" w:space="0" w:color="auto"/>
      </w:divBdr>
    </w:div>
    <w:div w:id="1298876332">
      <w:bodyDiv w:val="1"/>
      <w:marLeft w:val="0"/>
      <w:marRight w:val="0"/>
      <w:marTop w:val="0"/>
      <w:marBottom w:val="0"/>
      <w:divBdr>
        <w:top w:val="none" w:sz="0" w:space="0" w:color="auto"/>
        <w:left w:val="none" w:sz="0" w:space="0" w:color="auto"/>
        <w:bottom w:val="none" w:sz="0" w:space="0" w:color="auto"/>
        <w:right w:val="none" w:sz="0" w:space="0" w:color="auto"/>
      </w:divBdr>
    </w:div>
    <w:div w:id="1827552160">
      <w:bodyDiv w:val="1"/>
      <w:marLeft w:val="0"/>
      <w:marRight w:val="0"/>
      <w:marTop w:val="0"/>
      <w:marBottom w:val="0"/>
      <w:divBdr>
        <w:top w:val="none" w:sz="0" w:space="0" w:color="auto"/>
        <w:left w:val="none" w:sz="0" w:space="0" w:color="auto"/>
        <w:bottom w:val="none" w:sz="0" w:space="0" w:color="auto"/>
        <w:right w:val="none" w:sz="0" w:space="0" w:color="auto"/>
      </w:divBdr>
      <w:divsChild>
        <w:div w:id="1399208790">
          <w:marLeft w:val="619"/>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EBEEF-27A3-4C78-9E58-30ED6493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17</Pages>
  <Words>43280</Words>
  <Characters>246700</Characters>
  <Application>Microsoft Office Word</Application>
  <DocSecurity>0</DocSecurity>
  <Lines>2055</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1183</cp:lastModifiedBy>
  <cp:revision>69</cp:revision>
  <dcterms:created xsi:type="dcterms:W3CDTF">2025-05-07T18:15:00Z</dcterms:created>
  <dcterms:modified xsi:type="dcterms:W3CDTF">2025-05-26T08:38:00Z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49776ee7-fb68-3824-88a2-2b16a7d96a44</vt:lpwstr>
  </property>
  <property fmtid="{D5CDD505-2E9C-101B-9397-08002B2CF9AE}" pid="24" name="Mendeley Citation Style_1">
    <vt:lpwstr>http://www.zotero.org/styles/harvard1</vt:lpwstr>
  </property>
</Properties>
</file>