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1A04" w14:textId="77777777" w:rsidR="00C26EA2" w:rsidRDefault="00C26EA2" w:rsidP="00E83F35">
      <w:pPr>
        <w:spacing w:line="240" w:lineRule="auto"/>
        <w:jc w:val="center"/>
        <w:rPr>
          <w:rFonts w:ascii="Arial" w:hAnsi="Arial" w:cs="Arial"/>
          <w:b/>
          <w:bCs/>
          <w:sz w:val="28"/>
        </w:rPr>
      </w:pPr>
      <w:bookmarkStart w:id="0" w:name="_Hlk197934380"/>
      <w:r w:rsidRPr="00C26EA2">
        <w:rPr>
          <w:rFonts w:ascii="Arial" w:hAnsi="Arial" w:cs="Arial"/>
          <w:b/>
          <w:bCs/>
          <w:sz w:val="28"/>
        </w:rPr>
        <w:t xml:space="preserve">Original Research Article </w:t>
      </w:r>
    </w:p>
    <w:p w14:paraId="67DE11C4" w14:textId="165C603F" w:rsidR="0063124B" w:rsidRPr="00885F1F" w:rsidRDefault="00D807EB" w:rsidP="00E83F35">
      <w:pPr>
        <w:spacing w:line="240" w:lineRule="auto"/>
        <w:jc w:val="center"/>
        <w:rPr>
          <w:rFonts w:ascii="Arial" w:hAnsi="Arial" w:cs="Arial"/>
          <w:b/>
          <w:bCs/>
          <w:sz w:val="28"/>
        </w:rPr>
      </w:pPr>
      <w:r w:rsidRPr="00885F1F">
        <w:rPr>
          <w:rFonts w:ascii="Arial" w:hAnsi="Arial" w:cs="Arial"/>
          <w:b/>
          <w:bCs/>
          <w:sz w:val="28"/>
        </w:rPr>
        <w:t>"A Socio-Economic Appraisal of Cotton Producers in Aurangabad and Jalna: A Micro-Level Study from Maharashtra's Cotton Heartland"</w:t>
      </w:r>
    </w:p>
    <w:bookmarkEnd w:id="0"/>
    <w:p w14:paraId="2241C49F" w14:textId="77777777" w:rsidR="0080286E" w:rsidRPr="00E83F35" w:rsidRDefault="0080286E" w:rsidP="00E83F35">
      <w:pPr>
        <w:spacing w:line="240" w:lineRule="auto"/>
        <w:jc w:val="center"/>
        <w:rPr>
          <w:rFonts w:ascii="Arial" w:hAnsi="Arial" w:cs="Arial"/>
          <w:sz w:val="20"/>
          <w:szCs w:val="20"/>
        </w:rPr>
      </w:pPr>
    </w:p>
    <w:p w14:paraId="32742987" w14:textId="77777777" w:rsidR="00E83F35" w:rsidRDefault="00E83F35" w:rsidP="00E83F35">
      <w:pPr>
        <w:spacing w:line="240" w:lineRule="auto"/>
        <w:jc w:val="center"/>
        <w:rPr>
          <w:rFonts w:ascii="Arial" w:hAnsi="Arial" w:cs="Arial"/>
          <w:b/>
          <w:bCs/>
          <w:sz w:val="24"/>
          <w:szCs w:val="24"/>
        </w:rPr>
      </w:pPr>
    </w:p>
    <w:p w14:paraId="2256FF41" w14:textId="5F5A9E34" w:rsidR="00D807EB" w:rsidRDefault="00D807EB" w:rsidP="00E83F35">
      <w:pPr>
        <w:spacing w:line="240" w:lineRule="auto"/>
        <w:rPr>
          <w:rFonts w:ascii="Arial" w:hAnsi="Arial" w:cs="Arial"/>
          <w:b/>
          <w:bCs/>
        </w:rPr>
      </w:pPr>
      <w:r w:rsidRPr="00E83F35">
        <w:rPr>
          <w:rFonts w:ascii="Arial" w:hAnsi="Arial" w:cs="Arial"/>
          <w:b/>
          <w:bCs/>
        </w:rPr>
        <w:t>Abstract</w:t>
      </w:r>
    </w:p>
    <w:p w14:paraId="0273FA68" w14:textId="7507F5FB" w:rsidR="00183ADA" w:rsidRDefault="00183ADA" w:rsidP="00183ADA">
      <w:pPr>
        <w:spacing w:line="240" w:lineRule="auto"/>
        <w:jc w:val="both"/>
        <w:rPr>
          <w:rFonts w:ascii="Arial" w:hAnsi="Arial" w:cs="Arial"/>
          <w:sz w:val="20"/>
          <w:szCs w:val="20"/>
        </w:rPr>
      </w:pPr>
      <w:r w:rsidRPr="00183ADA">
        <w:rPr>
          <w:rFonts w:ascii="Arial" w:hAnsi="Arial" w:cs="Arial"/>
          <w:sz w:val="20"/>
          <w:szCs w:val="20"/>
        </w:rPr>
        <w:t xml:space="preserve">This study assesses the socio-economic profile of cotton farmers in Maharashtra’s Aurangabad and Jalna districts, focusing on landholding size, age, literacy, family size, occupation, and income distribution. A sample of 240 farmers was selected across five landholding categories—marginal to large—using a multi-stage purposive sampling method. Percentage analysis and the Chi-square test were used to explore associations between socio-economic factors and farm size. Findings reveal that most cotton growers are middle-aged (40–50 years), while youth participation remains limited, raising concerns about future </w:t>
      </w:r>
      <w:r w:rsidR="003608D9" w:rsidRPr="00183ADA">
        <w:rPr>
          <w:rFonts w:ascii="Arial" w:hAnsi="Arial" w:cs="Arial"/>
          <w:sz w:val="20"/>
          <w:szCs w:val="20"/>
        </w:rPr>
        <w:t>labour</w:t>
      </w:r>
      <w:r w:rsidRPr="00183ADA">
        <w:rPr>
          <w:rFonts w:ascii="Arial" w:hAnsi="Arial" w:cs="Arial"/>
          <w:sz w:val="20"/>
          <w:szCs w:val="20"/>
        </w:rPr>
        <w:t xml:space="preserve"> availability. Literacy levels vary significantly; small and semi-medium farmers tend to be better educated, while marginal farmers show high illiteracy rates. Family size increases with landholding size, offering </w:t>
      </w:r>
      <w:r w:rsidR="003608D9" w:rsidRPr="00183ADA">
        <w:rPr>
          <w:rFonts w:ascii="Arial" w:hAnsi="Arial" w:cs="Arial"/>
          <w:sz w:val="20"/>
          <w:szCs w:val="20"/>
        </w:rPr>
        <w:t>labour</w:t>
      </w:r>
      <w:r w:rsidRPr="00183ADA">
        <w:rPr>
          <w:rFonts w:ascii="Arial" w:hAnsi="Arial" w:cs="Arial"/>
          <w:sz w:val="20"/>
          <w:szCs w:val="20"/>
        </w:rPr>
        <w:t xml:space="preserve"> advantages to larger farms. Marginal and small farmers primarily depend on agriculture, whereas medium and large farmers often diversify into allied or non-agricultural occupations. Income distribution reflects sharp disparities—nearly 40% of marginal and small farmers earn below ₹75,000 annually, whereas large farmers often earn over ₹3,00,000. These results highlight critical inequalities across landholding categories and point to the urgent need for targeted policies to improve access to education, promote youth engagement in farming, and support income diversification strategies for smallholders. The study contributes valuable micro-level insights for policy formulation aimed at ensuring the sustainability and economic viability of cotton farming in this key cotton-producing region of India.</w:t>
      </w:r>
    </w:p>
    <w:p w14:paraId="1793AC77" w14:textId="43500E86" w:rsidR="00CA4AB3" w:rsidRPr="00183ADA" w:rsidRDefault="00CA4AB3" w:rsidP="00183ADA">
      <w:pPr>
        <w:spacing w:line="240" w:lineRule="auto"/>
        <w:jc w:val="both"/>
        <w:rPr>
          <w:rFonts w:ascii="Arial" w:hAnsi="Arial" w:cs="Arial"/>
          <w:sz w:val="20"/>
          <w:szCs w:val="20"/>
        </w:rPr>
      </w:pPr>
      <w:r w:rsidRPr="00CA4AB3">
        <w:rPr>
          <w:rFonts w:ascii="Arial" w:hAnsi="Arial" w:cs="Arial"/>
          <w:b/>
          <w:bCs/>
          <w:sz w:val="20"/>
          <w:szCs w:val="20"/>
        </w:rPr>
        <w:t>Keywords:</w:t>
      </w:r>
      <w:r>
        <w:rPr>
          <w:rFonts w:ascii="Arial" w:hAnsi="Arial" w:cs="Arial"/>
          <w:sz w:val="20"/>
          <w:szCs w:val="20"/>
        </w:rPr>
        <w:t xml:space="preserve"> </w:t>
      </w:r>
      <w:r w:rsidRPr="00CA4AB3">
        <w:rPr>
          <w:rFonts w:ascii="Arial" w:hAnsi="Arial" w:cs="Arial"/>
          <w:sz w:val="20"/>
          <w:szCs w:val="20"/>
        </w:rPr>
        <w:t>Cotton farmers, Socio-economic status, Landholding, Rural development, Maharashtra, Chi-square analysis</w:t>
      </w:r>
    </w:p>
    <w:p w14:paraId="6D7E1805" w14:textId="07A93C1E" w:rsidR="00157298" w:rsidRPr="00157298" w:rsidRDefault="008826ED" w:rsidP="00157298">
      <w:pPr>
        <w:spacing w:line="240" w:lineRule="auto"/>
        <w:rPr>
          <w:rFonts w:ascii="Arial" w:hAnsi="Arial" w:cs="Arial"/>
          <w:b/>
          <w:bCs/>
        </w:rPr>
      </w:pPr>
      <w:r w:rsidRPr="00E83F35">
        <w:rPr>
          <w:rFonts w:ascii="Arial" w:hAnsi="Arial" w:cs="Arial"/>
          <w:b/>
          <w:bCs/>
        </w:rPr>
        <w:t>Introduction</w:t>
      </w:r>
    </w:p>
    <w:p w14:paraId="055E2B50" w14:textId="6A3241D5" w:rsidR="00BB10CE" w:rsidRPr="00BB10CE" w:rsidRDefault="00BB10CE" w:rsidP="00BB10CE">
      <w:pPr>
        <w:spacing w:line="240" w:lineRule="auto"/>
        <w:jc w:val="both"/>
        <w:rPr>
          <w:rFonts w:ascii="Arial" w:hAnsi="Arial" w:cs="Arial"/>
          <w:sz w:val="20"/>
          <w:szCs w:val="20"/>
        </w:rPr>
      </w:pPr>
      <w:r w:rsidRPr="00BB10CE">
        <w:rPr>
          <w:rFonts w:ascii="Arial" w:hAnsi="Arial" w:cs="Arial"/>
          <w:sz w:val="20"/>
          <w:szCs w:val="20"/>
        </w:rPr>
        <w:t>Cotton, often referred to as the "white gold" of Indian agriculture, plays a pivotal role in shaping the agricultural economy and rural livelihoods in the country (</w:t>
      </w:r>
      <w:r w:rsidR="007F4877">
        <w:rPr>
          <w:rFonts w:ascii="Arial" w:hAnsi="Arial" w:cs="Arial"/>
          <w:sz w:val="20"/>
          <w:szCs w:val="20"/>
        </w:rPr>
        <w:t>Dhunde et al., 2022</w:t>
      </w:r>
      <w:r w:rsidRPr="00BB10CE">
        <w:rPr>
          <w:rFonts w:ascii="Arial" w:hAnsi="Arial" w:cs="Arial"/>
          <w:sz w:val="20"/>
          <w:szCs w:val="20"/>
        </w:rPr>
        <w:t>). As one of the world's largest producers and exporters of cotton, India cultivates nearly 12 million hectares of land, providing employment to over six million farmers (Ministry of Textiles, 2023). Among the states contributing significantly to cotton production, Maharashtra stands out, particularly the Marathwada region, which includes the districts of Aurangabad and Jalna. These districts are not only key players in cotton cultivation but also in the production of hybrid cotton seeds, making them central to India's cotton economy.</w:t>
      </w:r>
    </w:p>
    <w:p w14:paraId="08B05BD5" w14:textId="77777777" w:rsidR="00BB10CE" w:rsidRDefault="00BB10CE" w:rsidP="00BB10CE">
      <w:pPr>
        <w:spacing w:line="240" w:lineRule="auto"/>
        <w:jc w:val="both"/>
        <w:rPr>
          <w:rFonts w:ascii="Arial" w:hAnsi="Arial" w:cs="Arial"/>
          <w:sz w:val="20"/>
          <w:szCs w:val="20"/>
        </w:rPr>
      </w:pPr>
      <w:r w:rsidRPr="00BB10CE">
        <w:rPr>
          <w:rFonts w:ascii="Arial" w:hAnsi="Arial" w:cs="Arial"/>
          <w:sz w:val="20"/>
          <w:szCs w:val="20"/>
        </w:rPr>
        <w:t>Despite cotton's economic significance, farmers in this region face persistent challenges that impact their livelihoods. Economic instability, low returns, and fluctuating yields—compounded by rising input costs, water scarcity, and dependence on monsoon rains—have led to considerable distress, particularly among smallholder and marginal farmers. These challenges are further exacerbated by volatile market prices and limited access to institutional support, contributing to a cycle of vulnerability and indebtedness (Mollaee et al., 2019).</w:t>
      </w:r>
    </w:p>
    <w:p w14:paraId="113156EB" w14:textId="0D690E49" w:rsidR="00BB10CE" w:rsidRPr="00BB10CE" w:rsidRDefault="00BB10CE" w:rsidP="00BB10CE">
      <w:pPr>
        <w:spacing w:line="240" w:lineRule="auto"/>
        <w:jc w:val="both"/>
        <w:rPr>
          <w:rFonts w:ascii="Arial" w:hAnsi="Arial" w:cs="Arial"/>
          <w:b/>
          <w:bCs/>
          <w:sz w:val="20"/>
          <w:szCs w:val="20"/>
        </w:rPr>
      </w:pPr>
      <w:r w:rsidRPr="00BB10CE">
        <w:rPr>
          <w:rFonts w:ascii="Arial" w:hAnsi="Arial" w:cs="Arial"/>
          <w:b/>
          <w:bCs/>
          <w:sz w:val="20"/>
          <w:szCs w:val="20"/>
        </w:rPr>
        <w:t>Statement</w:t>
      </w:r>
      <w:r>
        <w:rPr>
          <w:rFonts w:ascii="Arial" w:hAnsi="Arial" w:cs="Arial"/>
          <w:b/>
          <w:bCs/>
          <w:sz w:val="20"/>
          <w:szCs w:val="20"/>
        </w:rPr>
        <w:t xml:space="preserve"> of the </w:t>
      </w:r>
      <w:r w:rsidRPr="00BB10CE">
        <w:rPr>
          <w:rFonts w:ascii="Arial" w:hAnsi="Arial" w:cs="Arial"/>
          <w:b/>
          <w:bCs/>
          <w:sz w:val="20"/>
          <w:szCs w:val="20"/>
        </w:rPr>
        <w:t>Problem</w:t>
      </w:r>
    </w:p>
    <w:p w14:paraId="2CE03BBB" w14:textId="77777777" w:rsidR="00BB10CE" w:rsidRPr="00BB10CE" w:rsidRDefault="00BB10CE" w:rsidP="00BB10CE">
      <w:pPr>
        <w:spacing w:line="240" w:lineRule="auto"/>
        <w:jc w:val="both"/>
        <w:rPr>
          <w:rFonts w:ascii="Arial" w:hAnsi="Arial" w:cs="Arial"/>
          <w:sz w:val="20"/>
          <w:szCs w:val="20"/>
        </w:rPr>
      </w:pPr>
      <w:r w:rsidRPr="00BB10CE">
        <w:rPr>
          <w:rFonts w:ascii="Arial" w:hAnsi="Arial" w:cs="Arial"/>
          <w:sz w:val="20"/>
          <w:szCs w:val="20"/>
        </w:rPr>
        <w:t>Although various macro-level studies have discussed the issues faced by cotton farmers in India, there remains a lack of micro-level, empirical studies that examine the nuanced socio-economic conditions of cotton cultivators in specific geographies like Aurangabad and Jalna. Without localized data, it is difficult to develop targeted policy interventions that effectively address the needs of farmers.</w:t>
      </w:r>
    </w:p>
    <w:p w14:paraId="31603DEA" w14:textId="1255BE45" w:rsidR="00BB10CE" w:rsidRPr="00BB10CE" w:rsidRDefault="00BB10CE" w:rsidP="00BB10CE">
      <w:pPr>
        <w:spacing w:line="240" w:lineRule="auto"/>
        <w:jc w:val="both"/>
        <w:rPr>
          <w:rFonts w:ascii="Arial" w:hAnsi="Arial" w:cs="Arial"/>
          <w:b/>
          <w:bCs/>
          <w:sz w:val="20"/>
          <w:szCs w:val="20"/>
        </w:rPr>
      </w:pPr>
      <w:r w:rsidRPr="00BB10CE">
        <w:rPr>
          <w:rFonts w:ascii="Arial" w:hAnsi="Arial" w:cs="Arial"/>
          <w:b/>
          <w:bCs/>
          <w:sz w:val="20"/>
          <w:szCs w:val="20"/>
        </w:rPr>
        <w:t>Justification</w:t>
      </w:r>
    </w:p>
    <w:p w14:paraId="543410B3" w14:textId="77777777" w:rsidR="00BB10CE" w:rsidRPr="00BB10CE" w:rsidRDefault="00BB10CE" w:rsidP="00BB10CE">
      <w:pPr>
        <w:spacing w:line="240" w:lineRule="auto"/>
        <w:jc w:val="both"/>
        <w:rPr>
          <w:rFonts w:ascii="Arial" w:hAnsi="Arial" w:cs="Arial"/>
          <w:sz w:val="20"/>
          <w:szCs w:val="20"/>
        </w:rPr>
      </w:pPr>
      <w:r w:rsidRPr="00BB10CE">
        <w:rPr>
          <w:rFonts w:ascii="Arial" w:hAnsi="Arial" w:cs="Arial"/>
          <w:sz w:val="20"/>
          <w:szCs w:val="20"/>
        </w:rPr>
        <w:t xml:space="preserve">Aurangabad and Jalna districts, due to their large area under cotton cultivation and close association with seed production companies, serve as ideal locations for a focused, district-level investigation. A </w:t>
      </w:r>
      <w:r w:rsidRPr="00BB10CE">
        <w:rPr>
          <w:rFonts w:ascii="Arial" w:hAnsi="Arial" w:cs="Arial"/>
          <w:sz w:val="20"/>
          <w:szCs w:val="20"/>
        </w:rPr>
        <w:lastRenderedPageBreak/>
        <w:t>socio-economic appraisal at the micro level is crucial to identify disparities among farmers based on landholding size and to understand how variables such as age, education, family structure, occupation, and income interact in shaping farming outcomes. The results of such a study can significantly contribute to designing area-specific strategies for sustainable agricultural development.</w:t>
      </w:r>
    </w:p>
    <w:p w14:paraId="6C7182EF" w14:textId="77777777" w:rsidR="00BB10CE" w:rsidRPr="00BB10CE" w:rsidRDefault="00BB10CE" w:rsidP="00BB10CE">
      <w:pPr>
        <w:spacing w:line="240" w:lineRule="auto"/>
        <w:jc w:val="both"/>
        <w:rPr>
          <w:rFonts w:ascii="Arial" w:hAnsi="Arial" w:cs="Arial"/>
          <w:b/>
          <w:bCs/>
          <w:sz w:val="20"/>
          <w:szCs w:val="20"/>
        </w:rPr>
      </w:pPr>
      <w:r w:rsidRPr="00BB10CE">
        <w:rPr>
          <w:rFonts w:ascii="Arial" w:hAnsi="Arial" w:cs="Arial"/>
          <w:b/>
          <w:bCs/>
          <w:sz w:val="20"/>
          <w:szCs w:val="20"/>
        </w:rPr>
        <w:t>Objectives of the Study:</w:t>
      </w:r>
    </w:p>
    <w:p w14:paraId="59B8F7D8" w14:textId="77777777" w:rsidR="00BB10CE" w:rsidRPr="00BB10CE" w:rsidRDefault="00BB10CE" w:rsidP="00BB10CE">
      <w:pPr>
        <w:spacing w:line="240" w:lineRule="auto"/>
        <w:jc w:val="both"/>
        <w:rPr>
          <w:rFonts w:ascii="Arial" w:hAnsi="Arial" w:cs="Arial"/>
          <w:sz w:val="20"/>
          <w:szCs w:val="20"/>
        </w:rPr>
      </w:pPr>
      <w:r w:rsidRPr="00BB10CE">
        <w:rPr>
          <w:rFonts w:ascii="Arial" w:hAnsi="Arial" w:cs="Arial"/>
          <w:sz w:val="20"/>
          <w:szCs w:val="20"/>
        </w:rPr>
        <w:t>The study is designed with the following specific objectives:</w:t>
      </w:r>
    </w:p>
    <w:p w14:paraId="2808FE66" w14:textId="0AF35010" w:rsidR="00BB10CE" w:rsidRPr="00BB10CE" w:rsidRDefault="00BB10CE" w:rsidP="00BB10CE">
      <w:pPr>
        <w:numPr>
          <w:ilvl w:val="0"/>
          <w:numId w:val="9"/>
        </w:numPr>
        <w:spacing w:line="240" w:lineRule="auto"/>
        <w:jc w:val="both"/>
        <w:rPr>
          <w:rFonts w:ascii="Arial" w:hAnsi="Arial" w:cs="Arial"/>
          <w:sz w:val="20"/>
          <w:szCs w:val="20"/>
        </w:rPr>
      </w:pPr>
      <w:r w:rsidRPr="00BB10CE">
        <w:rPr>
          <w:rFonts w:ascii="Arial" w:hAnsi="Arial" w:cs="Arial"/>
          <w:sz w:val="20"/>
          <w:szCs w:val="20"/>
        </w:rPr>
        <w:t xml:space="preserve">To </w:t>
      </w:r>
      <w:r w:rsidR="003608D9" w:rsidRPr="00BB10CE">
        <w:rPr>
          <w:rFonts w:ascii="Arial" w:hAnsi="Arial" w:cs="Arial"/>
          <w:sz w:val="20"/>
          <w:szCs w:val="20"/>
        </w:rPr>
        <w:t>analyse</w:t>
      </w:r>
      <w:r w:rsidRPr="00BB10CE">
        <w:rPr>
          <w:rFonts w:ascii="Arial" w:hAnsi="Arial" w:cs="Arial"/>
          <w:sz w:val="20"/>
          <w:szCs w:val="20"/>
        </w:rPr>
        <w:t xml:space="preserve"> the socio-economic profile of cotton farmers across different landholding categories in Aurangabad and Jalna.</w:t>
      </w:r>
    </w:p>
    <w:p w14:paraId="7C145C3A" w14:textId="5504E317" w:rsidR="00BB10CE" w:rsidRPr="00BB10CE" w:rsidRDefault="000E3CD1" w:rsidP="00BB10CE">
      <w:pPr>
        <w:numPr>
          <w:ilvl w:val="0"/>
          <w:numId w:val="9"/>
        </w:numPr>
        <w:spacing w:line="240" w:lineRule="auto"/>
        <w:jc w:val="both"/>
        <w:rPr>
          <w:rFonts w:ascii="Arial" w:hAnsi="Arial" w:cs="Arial"/>
          <w:sz w:val="20"/>
          <w:szCs w:val="20"/>
        </w:rPr>
      </w:pPr>
      <w:r w:rsidRPr="000E3CD1">
        <w:rPr>
          <w:rFonts w:ascii="Arial" w:hAnsi="Arial" w:cs="Arial"/>
          <w:sz w:val="20"/>
          <w:szCs w:val="20"/>
        </w:rPr>
        <w:t>To examine the association between landholding size and socio-economic variables such as age structure, literacy, family composition, occupation, and income.</w:t>
      </w:r>
    </w:p>
    <w:p w14:paraId="42AB123A" w14:textId="77777777" w:rsidR="00BB10CE" w:rsidRPr="00BB10CE" w:rsidRDefault="00BB10CE" w:rsidP="00BB10CE">
      <w:pPr>
        <w:spacing w:line="240" w:lineRule="auto"/>
        <w:jc w:val="both"/>
        <w:rPr>
          <w:rFonts w:ascii="Arial" w:hAnsi="Arial" w:cs="Arial"/>
          <w:sz w:val="20"/>
          <w:szCs w:val="20"/>
        </w:rPr>
      </w:pPr>
      <w:r w:rsidRPr="00BB10CE">
        <w:rPr>
          <w:rFonts w:ascii="Arial" w:hAnsi="Arial" w:cs="Arial"/>
          <w:sz w:val="20"/>
          <w:szCs w:val="20"/>
        </w:rPr>
        <w:t>To achieve these objectives, the study employs a multi-stage purposive sampling technique combined with statistical tools such as percentage analysis and the Chi-square test. These methods enable a detailed exploration of the interlinkages between socio-economic variables and landholding patterns among cotton producers in the selected districts.</w:t>
      </w:r>
    </w:p>
    <w:p w14:paraId="23D5257B" w14:textId="377F3956" w:rsidR="00FE0F48" w:rsidRPr="00E83F35" w:rsidRDefault="00FE0F48" w:rsidP="00E83F35">
      <w:pPr>
        <w:spacing w:line="240" w:lineRule="auto"/>
        <w:rPr>
          <w:rFonts w:ascii="Arial" w:hAnsi="Arial" w:cs="Arial"/>
          <w:b/>
          <w:bCs/>
        </w:rPr>
      </w:pPr>
      <w:r w:rsidRPr="00E83F35">
        <w:rPr>
          <w:rFonts w:ascii="Arial" w:hAnsi="Arial" w:cs="Arial"/>
          <w:b/>
          <w:bCs/>
        </w:rPr>
        <w:t>Research Methodology</w:t>
      </w:r>
    </w:p>
    <w:p w14:paraId="00CE02BA" w14:textId="77777777" w:rsidR="008826ED" w:rsidRPr="00E83F35" w:rsidRDefault="008826ED" w:rsidP="00E83F35">
      <w:pPr>
        <w:pStyle w:val="BodyText"/>
        <w:spacing w:before="261" w:after="240"/>
        <w:ind w:right="16"/>
        <w:jc w:val="both"/>
        <w:rPr>
          <w:rFonts w:ascii="Arial" w:hAnsi="Arial" w:cs="Arial"/>
          <w:b/>
          <w:bCs/>
          <w:spacing w:val="-2"/>
          <w:sz w:val="22"/>
          <w:szCs w:val="22"/>
        </w:rPr>
      </w:pPr>
      <w:r w:rsidRPr="00E83F35">
        <w:rPr>
          <w:rFonts w:ascii="Arial" w:hAnsi="Arial" w:cs="Arial"/>
          <w:b/>
          <w:bCs/>
          <w:sz w:val="22"/>
          <w:szCs w:val="22"/>
        </w:rPr>
        <w:t>Sampling</w:t>
      </w:r>
      <w:r w:rsidRPr="00E83F35">
        <w:rPr>
          <w:rFonts w:ascii="Arial" w:hAnsi="Arial" w:cs="Arial"/>
          <w:b/>
          <w:bCs/>
          <w:spacing w:val="-8"/>
          <w:sz w:val="22"/>
          <w:szCs w:val="22"/>
        </w:rPr>
        <w:t xml:space="preserve"> </w:t>
      </w:r>
      <w:r w:rsidRPr="00E83F35">
        <w:rPr>
          <w:rFonts w:ascii="Arial" w:hAnsi="Arial" w:cs="Arial"/>
          <w:b/>
          <w:bCs/>
          <w:spacing w:val="-2"/>
          <w:sz w:val="22"/>
          <w:szCs w:val="22"/>
        </w:rPr>
        <w:t>Design</w:t>
      </w:r>
    </w:p>
    <w:p w14:paraId="3782AF11" w14:textId="17587996" w:rsidR="008826ED" w:rsidRPr="00E83F35" w:rsidRDefault="00C81C6B" w:rsidP="00E83F35">
      <w:pPr>
        <w:spacing w:line="240" w:lineRule="auto"/>
        <w:jc w:val="both"/>
        <w:rPr>
          <w:rFonts w:ascii="Arial" w:eastAsiaTheme="majorEastAsia" w:hAnsi="Arial" w:cs="Arial"/>
          <w:sz w:val="20"/>
          <w:szCs w:val="20"/>
        </w:rPr>
      </w:pPr>
      <w:r w:rsidRPr="00C81C6B">
        <w:rPr>
          <w:rFonts w:ascii="Arial" w:hAnsi="Arial" w:cs="Arial"/>
          <w:sz w:val="20"/>
          <w:szCs w:val="20"/>
        </w:rPr>
        <w:t xml:space="preserve">"A multi-stage purposive sampling technique was </w:t>
      </w:r>
      <w:r w:rsidR="003608D9" w:rsidRPr="00C81C6B">
        <w:rPr>
          <w:rFonts w:ascii="Arial" w:hAnsi="Arial" w:cs="Arial"/>
          <w:sz w:val="20"/>
          <w:szCs w:val="20"/>
        </w:rPr>
        <w:t>adopted;</w:t>
      </w:r>
      <w:r w:rsidRPr="00C81C6B">
        <w:rPr>
          <w:rFonts w:ascii="Arial" w:hAnsi="Arial" w:cs="Arial"/>
          <w:sz w:val="20"/>
          <w:szCs w:val="20"/>
        </w:rPr>
        <w:t xml:space="preserve"> a method commonly used in agricultural studies where specific groups are targeted for in-depth analysis (</w:t>
      </w:r>
      <w:r w:rsidR="00F2338F" w:rsidRPr="0015623C">
        <w:rPr>
          <w:rFonts w:ascii="Arial" w:hAnsi="Arial" w:cs="Arial"/>
          <w:sz w:val="20"/>
          <w:szCs w:val="20"/>
        </w:rPr>
        <w:t>Abdulai, 2021</w:t>
      </w:r>
      <w:r w:rsidRPr="00C81C6B">
        <w:rPr>
          <w:rFonts w:ascii="Arial" w:hAnsi="Arial" w:cs="Arial"/>
          <w:sz w:val="20"/>
          <w:szCs w:val="20"/>
        </w:rPr>
        <w:t>)."</w:t>
      </w:r>
    </w:p>
    <w:p w14:paraId="25A03A84" w14:textId="4EBADE6C"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First Stage:</w:t>
      </w:r>
      <w:r w:rsidRPr="00E83F35">
        <w:rPr>
          <w:rFonts w:ascii="Arial" w:eastAsiaTheme="majorEastAsia" w:hAnsi="Arial" w:cs="Arial"/>
          <w:sz w:val="20"/>
          <w:szCs w:val="20"/>
          <w:lang w:val="en-IN"/>
        </w:rPr>
        <w:t xml:space="preserve"> Selection of Districts</w:t>
      </w:r>
      <w:r w:rsidR="00CB31A7" w:rsidRPr="00E83F35">
        <w:rPr>
          <w:rFonts w:ascii="Arial" w:eastAsiaTheme="majorEastAsia" w:hAnsi="Arial" w:cs="Arial"/>
          <w:sz w:val="20"/>
          <w:szCs w:val="20"/>
          <w:lang w:val="en-IN"/>
        </w:rPr>
        <w:t xml:space="preserve"> (Purposively)</w:t>
      </w:r>
    </w:p>
    <w:p w14:paraId="0EF19141" w14:textId="05E5B53A"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Second Stage:</w:t>
      </w:r>
      <w:r w:rsidRPr="00E83F35">
        <w:rPr>
          <w:rFonts w:ascii="Arial" w:eastAsiaTheme="majorEastAsia" w:hAnsi="Arial" w:cs="Arial"/>
          <w:sz w:val="20"/>
          <w:szCs w:val="20"/>
          <w:lang w:val="en-IN"/>
        </w:rPr>
        <w:t xml:space="preserve"> Selection of Talukas </w:t>
      </w:r>
      <w:r w:rsidR="00CB31A7" w:rsidRPr="00E83F35">
        <w:rPr>
          <w:rFonts w:ascii="Arial" w:eastAsiaTheme="majorEastAsia" w:hAnsi="Arial" w:cs="Arial"/>
          <w:sz w:val="20"/>
          <w:szCs w:val="20"/>
          <w:lang w:val="en-IN"/>
        </w:rPr>
        <w:t>(Purposively)</w:t>
      </w:r>
    </w:p>
    <w:p w14:paraId="645E2009" w14:textId="383DF978"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Third Stage:</w:t>
      </w:r>
      <w:r w:rsidRPr="00E83F35">
        <w:rPr>
          <w:rFonts w:ascii="Arial" w:eastAsiaTheme="majorEastAsia" w:hAnsi="Arial" w:cs="Arial"/>
          <w:sz w:val="20"/>
          <w:szCs w:val="20"/>
          <w:lang w:val="en-IN"/>
        </w:rPr>
        <w:t xml:space="preserve"> Selection of Villages</w:t>
      </w:r>
      <w:r w:rsidR="00CB31A7" w:rsidRPr="00E83F35">
        <w:rPr>
          <w:rFonts w:ascii="Arial" w:eastAsiaTheme="majorEastAsia" w:hAnsi="Arial" w:cs="Arial"/>
          <w:sz w:val="20"/>
          <w:szCs w:val="20"/>
          <w:lang w:val="en-IN"/>
        </w:rPr>
        <w:t xml:space="preserve"> (Randomly)</w:t>
      </w:r>
    </w:p>
    <w:p w14:paraId="09FFE6AB" w14:textId="0516FC19" w:rsidR="008826ED"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Fourth Stage:</w:t>
      </w:r>
      <w:r w:rsidRPr="00E83F35">
        <w:rPr>
          <w:rFonts w:ascii="Arial" w:eastAsiaTheme="majorEastAsia" w:hAnsi="Arial" w:cs="Arial"/>
          <w:sz w:val="20"/>
          <w:szCs w:val="20"/>
          <w:lang w:val="en-IN"/>
        </w:rPr>
        <w:t xml:space="preserve"> Selection of Cotton Growing Farmers </w:t>
      </w:r>
      <w:r w:rsidR="00CB31A7" w:rsidRPr="00E83F35">
        <w:rPr>
          <w:rFonts w:ascii="Arial" w:eastAsiaTheme="majorEastAsia" w:hAnsi="Arial" w:cs="Arial"/>
          <w:sz w:val="20"/>
          <w:szCs w:val="20"/>
          <w:lang w:val="en-IN"/>
        </w:rPr>
        <w:t>(Randomly)</w:t>
      </w:r>
    </w:p>
    <w:p w14:paraId="085C4AAF" w14:textId="528B12DB" w:rsidR="00A63E85" w:rsidRPr="00A63E85" w:rsidRDefault="00A63E85" w:rsidP="00A63E85">
      <w:pPr>
        <w:spacing w:before="100" w:beforeAutospacing="1" w:after="100" w:afterAutospacing="1" w:line="240" w:lineRule="auto"/>
        <w:jc w:val="both"/>
        <w:rPr>
          <w:rFonts w:ascii="Arial" w:eastAsia="Times New Roman" w:hAnsi="Arial" w:cs="Arial"/>
          <w:kern w:val="0"/>
          <w:sz w:val="20"/>
          <w:szCs w:val="20"/>
          <w:lang w:eastAsia="en-IN" w:bidi="mr-IN"/>
          <w14:ligatures w14:val="none"/>
        </w:rPr>
      </w:pPr>
      <w:r w:rsidRPr="00A63E85">
        <w:rPr>
          <w:rFonts w:ascii="Arial" w:eastAsia="Times New Roman" w:hAnsi="Arial" w:cs="Arial"/>
          <w:kern w:val="0"/>
          <w:sz w:val="20"/>
          <w:szCs w:val="20"/>
          <w:lang w:eastAsia="en-IN" w:bidi="mr-IN"/>
          <w14:ligatures w14:val="none"/>
        </w:rPr>
        <w:t>In this study, random selection was applied at the village and farmer levels to ensure impartiality and improve representativeness</w:t>
      </w:r>
      <w:r w:rsidRPr="00A63E85">
        <w:t xml:space="preserve"> </w:t>
      </w:r>
      <w:r>
        <w:t>(</w:t>
      </w:r>
      <w:r w:rsidRPr="00A63E85">
        <w:rPr>
          <w:rFonts w:ascii="Arial" w:eastAsia="Times New Roman" w:hAnsi="Arial" w:cs="Arial"/>
          <w:kern w:val="0"/>
          <w:sz w:val="20"/>
          <w:szCs w:val="20"/>
          <w:lang w:eastAsia="en-IN" w:bidi="mr-IN"/>
          <w14:ligatures w14:val="none"/>
        </w:rPr>
        <w:t>Bairagi</w:t>
      </w:r>
      <w:r>
        <w:rPr>
          <w:rFonts w:ascii="Arial" w:eastAsia="Times New Roman" w:hAnsi="Arial" w:cs="Arial"/>
          <w:kern w:val="0"/>
          <w:sz w:val="20"/>
          <w:szCs w:val="20"/>
          <w:lang w:eastAsia="en-IN" w:bidi="mr-IN"/>
          <w14:ligatures w14:val="none"/>
        </w:rPr>
        <w:t xml:space="preserve"> </w:t>
      </w:r>
      <w:r w:rsidRPr="00A63E85">
        <w:rPr>
          <w:rFonts w:ascii="Arial" w:eastAsia="Times New Roman" w:hAnsi="Arial" w:cs="Arial"/>
          <w:kern w:val="0"/>
          <w:sz w:val="20"/>
          <w:szCs w:val="20"/>
          <w:lang w:eastAsia="en-IN" w:bidi="mr-IN"/>
          <w14:ligatures w14:val="none"/>
        </w:rPr>
        <w:t>and Mottaleb,</w:t>
      </w:r>
      <w:r>
        <w:rPr>
          <w:rFonts w:ascii="Arial" w:eastAsia="Times New Roman" w:hAnsi="Arial" w:cs="Arial"/>
          <w:kern w:val="0"/>
          <w:sz w:val="20"/>
          <w:szCs w:val="20"/>
          <w:lang w:eastAsia="en-IN" w:bidi="mr-IN"/>
          <w14:ligatures w14:val="none"/>
        </w:rPr>
        <w:t xml:space="preserve"> </w:t>
      </w:r>
      <w:r w:rsidRPr="00A63E85">
        <w:rPr>
          <w:rFonts w:ascii="Arial" w:eastAsia="Times New Roman" w:hAnsi="Arial" w:cs="Arial"/>
          <w:kern w:val="0"/>
          <w:sz w:val="20"/>
          <w:szCs w:val="20"/>
          <w:lang w:eastAsia="en-IN" w:bidi="mr-IN"/>
          <w14:ligatures w14:val="none"/>
        </w:rPr>
        <w:t>2021).</w:t>
      </w:r>
    </w:p>
    <w:p w14:paraId="7828F7F2" w14:textId="77777777" w:rsidR="00CB31A7" w:rsidRPr="00E83F35" w:rsidRDefault="00CB31A7" w:rsidP="00E83F35">
      <w:pPr>
        <w:spacing w:line="240" w:lineRule="auto"/>
        <w:rPr>
          <w:rFonts w:ascii="Arial" w:hAnsi="Arial" w:cs="Arial"/>
        </w:rPr>
      </w:pPr>
      <w:r w:rsidRPr="00E83F35">
        <w:rPr>
          <w:rFonts w:ascii="Arial" w:hAnsi="Arial" w:cs="Arial"/>
          <w:b/>
          <w:bCs/>
        </w:rPr>
        <w:t>Selection of Districts</w:t>
      </w:r>
    </w:p>
    <w:p w14:paraId="56BCEB8F" w14:textId="7D81838C" w:rsidR="00CB31A7" w:rsidRPr="00E83F35" w:rsidRDefault="00CB31A7" w:rsidP="00E83F35">
      <w:pPr>
        <w:spacing w:line="240" w:lineRule="auto"/>
        <w:jc w:val="both"/>
        <w:rPr>
          <w:rFonts w:ascii="Arial" w:hAnsi="Arial" w:cs="Arial"/>
          <w:sz w:val="20"/>
          <w:szCs w:val="20"/>
        </w:rPr>
      </w:pPr>
      <w:r w:rsidRPr="00E83F35">
        <w:rPr>
          <w:rFonts w:ascii="Arial" w:hAnsi="Arial" w:cs="Arial"/>
          <w:sz w:val="20"/>
          <w:szCs w:val="20"/>
        </w:rPr>
        <w:t>Aurangabad and Jalna districts were purposively selected due to their large area under cotton cultivation, these districts represent typical conditions of the cotton-growing region in Marathwada.</w:t>
      </w:r>
    </w:p>
    <w:p w14:paraId="28A5B57A" w14:textId="53E912A7" w:rsidR="00CB31A7" w:rsidRPr="00E83F35" w:rsidRDefault="00CB31A7" w:rsidP="00E83F35">
      <w:pPr>
        <w:pStyle w:val="Caption"/>
        <w:keepNext/>
        <w:jc w:val="left"/>
        <w:rPr>
          <w:rFonts w:ascii="Arial" w:hAnsi="Arial" w:cs="Arial"/>
          <w:b/>
          <w:bCs/>
          <w:sz w:val="20"/>
          <w:szCs w:val="20"/>
        </w:rPr>
      </w:pPr>
    </w:p>
    <w:p w14:paraId="54B41213" w14:textId="57ACE532" w:rsidR="00CB31A7" w:rsidRPr="00E83F35" w:rsidRDefault="00CB31A7"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1</w:t>
      </w:r>
      <w:r w:rsidRPr="00E83F35">
        <w:rPr>
          <w:rFonts w:ascii="Arial" w:hAnsi="Arial" w:cs="Arial"/>
          <w:b/>
          <w:bCs/>
          <w:sz w:val="20"/>
          <w:szCs w:val="20"/>
        </w:rPr>
        <w:fldChar w:fldCharType="end"/>
      </w:r>
      <w:r w:rsidRPr="00E83F35">
        <w:rPr>
          <w:rFonts w:ascii="Arial" w:hAnsi="Arial" w:cs="Arial"/>
          <w:b/>
          <w:bCs/>
          <w:sz w:val="20"/>
          <w:szCs w:val="20"/>
        </w:rPr>
        <w:t>: District wise area under cotton production in Marathwada</w:t>
      </w:r>
    </w:p>
    <w:tbl>
      <w:tblPr>
        <w:tblW w:w="4243" w:type="dxa"/>
        <w:jc w:val="center"/>
        <w:tblLook w:val="04A0" w:firstRow="1" w:lastRow="0" w:firstColumn="1" w:lastColumn="0" w:noHBand="0" w:noVBand="1"/>
      </w:tblPr>
      <w:tblGrid>
        <w:gridCol w:w="960"/>
        <w:gridCol w:w="1400"/>
        <w:gridCol w:w="1883"/>
      </w:tblGrid>
      <w:tr w:rsidR="00CB31A7" w:rsidRPr="00CB31A7" w14:paraId="1B80964C" w14:textId="77777777" w:rsidTr="00CB31A7">
        <w:trPr>
          <w:trHeight w:val="46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97823"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Sl. No.</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E22835F"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District</w:t>
            </w:r>
          </w:p>
        </w:tc>
        <w:tc>
          <w:tcPr>
            <w:tcW w:w="1883" w:type="dxa"/>
            <w:tcBorders>
              <w:top w:val="single" w:sz="8" w:space="0" w:color="auto"/>
              <w:left w:val="nil"/>
              <w:bottom w:val="single" w:sz="8" w:space="0" w:color="auto"/>
              <w:right w:val="single" w:sz="8" w:space="0" w:color="auto"/>
            </w:tcBorders>
            <w:shd w:val="clear" w:color="auto" w:fill="auto"/>
            <w:vAlign w:val="center"/>
            <w:hideMark/>
          </w:tcPr>
          <w:p w14:paraId="6D16B73D"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Area (Hectare)</w:t>
            </w:r>
          </w:p>
        </w:tc>
      </w:tr>
      <w:tr w:rsidR="00CB31A7" w:rsidRPr="00CB31A7" w14:paraId="0B27A976"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12B4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1</w:t>
            </w:r>
          </w:p>
        </w:tc>
        <w:tc>
          <w:tcPr>
            <w:tcW w:w="1400" w:type="dxa"/>
            <w:tcBorders>
              <w:top w:val="nil"/>
              <w:left w:val="nil"/>
              <w:bottom w:val="single" w:sz="8" w:space="0" w:color="auto"/>
              <w:right w:val="single" w:sz="8" w:space="0" w:color="auto"/>
            </w:tcBorders>
            <w:shd w:val="clear" w:color="auto" w:fill="auto"/>
            <w:vAlign w:val="center"/>
            <w:hideMark/>
          </w:tcPr>
          <w:p w14:paraId="7B9A08DC"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Aurangabad</w:t>
            </w:r>
          </w:p>
        </w:tc>
        <w:tc>
          <w:tcPr>
            <w:tcW w:w="1883" w:type="dxa"/>
            <w:tcBorders>
              <w:top w:val="nil"/>
              <w:left w:val="nil"/>
              <w:bottom w:val="single" w:sz="8" w:space="0" w:color="auto"/>
              <w:right w:val="single" w:sz="8" w:space="0" w:color="auto"/>
            </w:tcBorders>
            <w:shd w:val="clear" w:color="auto" w:fill="auto"/>
            <w:vAlign w:val="center"/>
            <w:hideMark/>
          </w:tcPr>
          <w:p w14:paraId="5F52EBA9" w14:textId="3C5F2C7B"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400,404.99</w:t>
            </w:r>
          </w:p>
        </w:tc>
      </w:tr>
      <w:tr w:rsidR="00CB31A7" w:rsidRPr="00CB31A7" w14:paraId="0392099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9CB90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2</w:t>
            </w:r>
          </w:p>
        </w:tc>
        <w:tc>
          <w:tcPr>
            <w:tcW w:w="1400" w:type="dxa"/>
            <w:tcBorders>
              <w:top w:val="nil"/>
              <w:left w:val="nil"/>
              <w:bottom w:val="single" w:sz="8" w:space="0" w:color="auto"/>
              <w:right w:val="single" w:sz="8" w:space="0" w:color="auto"/>
            </w:tcBorders>
            <w:shd w:val="clear" w:color="auto" w:fill="auto"/>
            <w:vAlign w:val="center"/>
            <w:hideMark/>
          </w:tcPr>
          <w:p w14:paraId="16734558"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Beed</w:t>
            </w:r>
          </w:p>
        </w:tc>
        <w:tc>
          <w:tcPr>
            <w:tcW w:w="1883" w:type="dxa"/>
            <w:tcBorders>
              <w:top w:val="nil"/>
              <w:left w:val="nil"/>
              <w:bottom w:val="single" w:sz="8" w:space="0" w:color="auto"/>
              <w:right w:val="single" w:sz="8" w:space="0" w:color="auto"/>
            </w:tcBorders>
            <w:shd w:val="clear" w:color="auto" w:fill="auto"/>
            <w:vAlign w:val="center"/>
            <w:hideMark/>
          </w:tcPr>
          <w:p w14:paraId="5F3807D9"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2,73,118.00</w:t>
            </w:r>
          </w:p>
        </w:tc>
      </w:tr>
      <w:tr w:rsidR="00CB31A7" w:rsidRPr="00CB31A7" w14:paraId="729EAB4F"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86C61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3</w:t>
            </w:r>
          </w:p>
        </w:tc>
        <w:tc>
          <w:tcPr>
            <w:tcW w:w="1400" w:type="dxa"/>
            <w:tcBorders>
              <w:top w:val="nil"/>
              <w:left w:val="nil"/>
              <w:bottom w:val="single" w:sz="8" w:space="0" w:color="auto"/>
              <w:right w:val="single" w:sz="8" w:space="0" w:color="auto"/>
            </w:tcBorders>
            <w:shd w:val="clear" w:color="auto" w:fill="auto"/>
            <w:vAlign w:val="center"/>
            <w:hideMark/>
          </w:tcPr>
          <w:p w14:paraId="11693659"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Hingoli</w:t>
            </w:r>
          </w:p>
        </w:tc>
        <w:tc>
          <w:tcPr>
            <w:tcW w:w="1883" w:type="dxa"/>
            <w:tcBorders>
              <w:top w:val="nil"/>
              <w:left w:val="nil"/>
              <w:bottom w:val="single" w:sz="8" w:space="0" w:color="auto"/>
              <w:right w:val="single" w:sz="8" w:space="0" w:color="auto"/>
            </w:tcBorders>
            <w:shd w:val="clear" w:color="auto" w:fill="auto"/>
            <w:vAlign w:val="center"/>
            <w:hideMark/>
          </w:tcPr>
          <w:p w14:paraId="0C56A257"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32,475.94</w:t>
            </w:r>
          </w:p>
        </w:tc>
      </w:tr>
      <w:tr w:rsidR="00CB31A7" w:rsidRPr="00CB31A7" w14:paraId="655A3F7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1EEF6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4</w:t>
            </w:r>
          </w:p>
        </w:tc>
        <w:tc>
          <w:tcPr>
            <w:tcW w:w="1400" w:type="dxa"/>
            <w:tcBorders>
              <w:top w:val="nil"/>
              <w:left w:val="nil"/>
              <w:bottom w:val="single" w:sz="8" w:space="0" w:color="auto"/>
              <w:right w:val="single" w:sz="8" w:space="0" w:color="auto"/>
            </w:tcBorders>
            <w:shd w:val="clear" w:color="auto" w:fill="auto"/>
            <w:vAlign w:val="center"/>
            <w:hideMark/>
          </w:tcPr>
          <w:p w14:paraId="59D25BD7"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Jalna</w:t>
            </w:r>
          </w:p>
        </w:tc>
        <w:tc>
          <w:tcPr>
            <w:tcW w:w="1883" w:type="dxa"/>
            <w:tcBorders>
              <w:top w:val="nil"/>
              <w:left w:val="nil"/>
              <w:bottom w:val="single" w:sz="8" w:space="0" w:color="auto"/>
              <w:right w:val="single" w:sz="8" w:space="0" w:color="auto"/>
            </w:tcBorders>
            <w:shd w:val="clear" w:color="auto" w:fill="auto"/>
            <w:vAlign w:val="center"/>
            <w:hideMark/>
          </w:tcPr>
          <w:p w14:paraId="761A2DC1"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3,03,128.95</w:t>
            </w:r>
          </w:p>
        </w:tc>
      </w:tr>
      <w:tr w:rsidR="00CB31A7" w:rsidRPr="00CB31A7" w14:paraId="19D52E4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41D0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5</w:t>
            </w:r>
          </w:p>
        </w:tc>
        <w:tc>
          <w:tcPr>
            <w:tcW w:w="1400" w:type="dxa"/>
            <w:tcBorders>
              <w:top w:val="nil"/>
              <w:left w:val="nil"/>
              <w:bottom w:val="single" w:sz="8" w:space="0" w:color="auto"/>
              <w:right w:val="single" w:sz="8" w:space="0" w:color="auto"/>
            </w:tcBorders>
            <w:shd w:val="clear" w:color="auto" w:fill="auto"/>
            <w:vAlign w:val="center"/>
            <w:hideMark/>
          </w:tcPr>
          <w:p w14:paraId="41DF62DF"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Latur</w:t>
            </w:r>
          </w:p>
        </w:tc>
        <w:tc>
          <w:tcPr>
            <w:tcW w:w="1883" w:type="dxa"/>
            <w:tcBorders>
              <w:top w:val="nil"/>
              <w:left w:val="nil"/>
              <w:bottom w:val="single" w:sz="8" w:space="0" w:color="auto"/>
              <w:right w:val="single" w:sz="8" w:space="0" w:color="auto"/>
            </w:tcBorders>
            <w:shd w:val="clear" w:color="auto" w:fill="auto"/>
            <w:vAlign w:val="center"/>
            <w:hideMark/>
          </w:tcPr>
          <w:p w14:paraId="31E0D84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7,283.88</w:t>
            </w:r>
          </w:p>
        </w:tc>
      </w:tr>
      <w:tr w:rsidR="00CB31A7" w:rsidRPr="00CB31A7" w14:paraId="1D375D1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5C11A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6</w:t>
            </w:r>
          </w:p>
        </w:tc>
        <w:tc>
          <w:tcPr>
            <w:tcW w:w="1400" w:type="dxa"/>
            <w:tcBorders>
              <w:top w:val="nil"/>
              <w:left w:val="nil"/>
              <w:bottom w:val="single" w:sz="8" w:space="0" w:color="auto"/>
              <w:right w:val="single" w:sz="8" w:space="0" w:color="auto"/>
            </w:tcBorders>
            <w:shd w:val="clear" w:color="auto" w:fill="auto"/>
            <w:vAlign w:val="center"/>
            <w:hideMark/>
          </w:tcPr>
          <w:p w14:paraId="411E54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Nanded</w:t>
            </w:r>
          </w:p>
        </w:tc>
        <w:tc>
          <w:tcPr>
            <w:tcW w:w="1883" w:type="dxa"/>
            <w:tcBorders>
              <w:top w:val="nil"/>
              <w:left w:val="nil"/>
              <w:bottom w:val="single" w:sz="8" w:space="0" w:color="auto"/>
              <w:right w:val="single" w:sz="8" w:space="0" w:color="auto"/>
            </w:tcBorders>
            <w:shd w:val="clear" w:color="auto" w:fill="auto"/>
            <w:vAlign w:val="center"/>
            <w:hideMark/>
          </w:tcPr>
          <w:p w14:paraId="4389EC34"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1,97,291.42</w:t>
            </w:r>
          </w:p>
        </w:tc>
      </w:tr>
      <w:tr w:rsidR="00CB31A7" w:rsidRPr="00CB31A7" w14:paraId="7A8C4B4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F9DDF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7</w:t>
            </w:r>
          </w:p>
        </w:tc>
        <w:tc>
          <w:tcPr>
            <w:tcW w:w="1400" w:type="dxa"/>
            <w:tcBorders>
              <w:top w:val="nil"/>
              <w:left w:val="nil"/>
              <w:bottom w:val="single" w:sz="8" w:space="0" w:color="auto"/>
              <w:right w:val="single" w:sz="8" w:space="0" w:color="auto"/>
            </w:tcBorders>
            <w:shd w:val="clear" w:color="auto" w:fill="auto"/>
            <w:vAlign w:val="center"/>
            <w:hideMark/>
          </w:tcPr>
          <w:p w14:paraId="5FC44A0E"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Osmanabad</w:t>
            </w:r>
          </w:p>
        </w:tc>
        <w:tc>
          <w:tcPr>
            <w:tcW w:w="1883" w:type="dxa"/>
            <w:tcBorders>
              <w:top w:val="nil"/>
              <w:left w:val="nil"/>
              <w:bottom w:val="single" w:sz="8" w:space="0" w:color="auto"/>
              <w:right w:val="single" w:sz="8" w:space="0" w:color="auto"/>
            </w:tcBorders>
            <w:shd w:val="clear" w:color="auto" w:fill="auto"/>
            <w:vAlign w:val="center"/>
            <w:hideMark/>
          </w:tcPr>
          <w:p w14:paraId="0859DD5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2,027.43</w:t>
            </w:r>
          </w:p>
        </w:tc>
      </w:tr>
      <w:tr w:rsidR="00CB31A7" w:rsidRPr="00CB31A7" w14:paraId="1200AFB3"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3107B5"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8</w:t>
            </w:r>
          </w:p>
        </w:tc>
        <w:tc>
          <w:tcPr>
            <w:tcW w:w="1400" w:type="dxa"/>
            <w:tcBorders>
              <w:top w:val="nil"/>
              <w:left w:val="nil"/>
              <w:bottom w:val="single" w:sz="8" w:space="0" w:color="auto"/>
              <w:right w:val="single" w:sz="8" w:space="0" w:color="auto"/>
            </w:tcBorders>
            <w:shd w:val="clear" w:color="auto" w:fill="auto"/>
            <w:vAlign w:val="center"/>
            <w:hideMark/>
          </w:tcPr>
          <w:p w14:paraId="3B01A3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Parbhani</w:t>
            </w:r>
          </w:p>
        </w:tc>
        <w:tc>
          <w:tcPr>
            <w:tcW w:w="1883" w:type="dxa"/>
            <w:tcBorders>
              <w:top w:val="nil"/>
              <w:left w:val="nil"/>
              <w:bottom w:val="single" w:sz="8" w:space="0" w:color="auto"/>
              <w:right w:val="single" w:sz="8" w:space="0" w:color="auto"/>
            </w:tcBorders>
            <w:shd w:val="clear" w:color="auto" w:fill="auto"/>
            <w:vAlign w:val="center"/>
            <w:hideMark/>
          </w:tcPr>
          <w:p w14:paraId="48D79876"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1,82,292.98</w:t>
            </w:r>
          </w:p>
        </w:tc>
      </w:tr>
    </w:tbl>
    <w:p w14:paraId="38724140" w14:textId="59C084AC" w:rsidR="00CB31A7" w:rsidRPr="00E83F35" w:rsidRDefault="00CB31A7" w:rsidP="00E83F35">
      <w:pPr>
        <w:pStyle w:val="BodyText"/>
        <w:ind w:right="16"/>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Directorate of Economics and Statistics, GOI.</w:t>
      </w:r>
    </w:p>
    <w:p w14:paraId="2D15F81B" w14:textId="77777777" w:rsidR="00CB31A7" w:rsidRPr="00E83F35" w:rsidRDefault="00CB31A7" w:rsidP="00E83F35">
      <w:pPr>
        <w:spacing w:before="240" w:line="240" w:lineRule="auto"/>
        <w:jc w:val="both"/>
        <w:rPr>
          <w:rFonts w:ascii="Arial" w:hAnsi="Arial" w:cs="Arial"/>
        </w:rPr>
      </w:pPr>
      <w:r w:rsidRPr="00E83F35">
        <w:rPr>
          <w:rFonts w:ascii="Arial" w:hAnsi="Arial" w:cs="Arial"/>
          <w:b/>
          <w:bCs/>
        </w:rPr>
        <w:lastRenderedPageBreak/>
        <w:t>Selection of Talukas</w:t>
      </w:r>
    </w:p>
    <w:p w14:paraId="3EDBF794" w14:textId="77777777" w:rsidR="00CB31A7" w:rsidRPr="00E83F35" w:rsidRDefault="00CB31A7" w:rsidP="00E83F35">
      <w:pPr>
        <w:pStyle w:val="NormalWeb"/>
        <w:jc w:val="both"/>
        <w:rPr>
          <w:rFonts w:ascii="Arial" w:hAnsi="Arial" w:cs="Arial"/>
          <w:b/>
          <w:bCs/>
          <w:sz w:val="20"/>
          <w:szCs w:val="20"/>
        </w:rPr>
      </w:pPr>
      <w:r w:rsidRPr="00E83F35">
        <w:rPr>
          <w:rFonts w:ascii="Arial" w:hAnsi="Arial" w:cs="Arial"/>
          <w:sz w:val="20"/>
          <w:szCs w:val="20"/>
        </w:rPr>
        <w:t xml:space="preserve">Aurangabad </w:t>
      </w:r>
      <w:r w:rsidRPr="00E83F35">
        <w:rPr>
          <w:rFonts w:ascii="Arial" w:eastAsiaTheme="majorEastAsia" w:hAnsi="Arial" w:cs="Arial"/>
          <w:sz w:val="20"/>
          <w:szCs w:val="20"/>
        </w:rPr>
        <w:t>(Chhatrapati Sambhajinagar)</w:t>
      </w:r>
      <w:r w:rsidRPr="00E83F35">
        <w:rPr>
          <w:rFonts w:ascii="Arial" w:hAnsi="Arial" w:cs="Arial"/>
          <w:sz w:val="20"/>
          <w:szCs w:val="20"/>
        </w:rPr>
        <w:t xml:space="preserve"> district consisted of</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nine talukas</w:t>
      </w:r>
      <w:r w:rsidRPr="00E83F35">
        <w:rPr>
          <w:rFonts w:ascii="Arial" w:hAnsi="Arial" w:cs="Arial"/>
          <w:b/>
          <w:bCs/>
          <w:sz w:val="20"/>
          <w:szCs w:val="20"/>
        </w:rPr>
        <w:t xml:space="preserve">, </w:t>
      </w:r>
      <w:r w:rsidRPr="00E83F35">
        <w:rPr>
          <w:rFonts w:ascii="Arial" w:hAnsi="Arial" w:cs="Arial"/>
          <w:sz w:val="20"/>
          <w:szCs w:val="20"/>
        </w:rPr>
        <w:t>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Aurangabad Rural, Phulambri, Paithan, Sillod, Kannad, Vaijapur, Gangapur, Soegaon, and Khultabad,</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Paithan and Phulambri were selected</w:t>
      </w:r>
      <w:r w:rsidRPr="00E83F35">
        <w:rPr>
          <w:rFonts w:ascii="Arial" w:hAnsi="Arial" w:cs="Arial"/>
          <w:b/>
          <w:bCs/>
          <w:sz w:val="20"/>
          <w:szCs w:val="20"/>
        </w:rPr>
        <w:t xml:space="preserve"> </w:t>
      </w:r>
      <w:r w:rsidRPr="00E83F35">
        <w:rPr>
          <w:rFonts w:ascii="Arial" w:hAnsi="Arial" w:cs="Arial"/>
          <w:sz w:val="20"/>
          <w:szCs w:val="20"/>
        </w:rPr>
        <w:t>for the study due to</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high concentration of cotton-growing farmers.</w:t>
      </w:r>
    </w:p>
    <w:p w14:paraId="04E966C7" w14:textId="447C04E6" w:rsidR="00CB31A7" w:rsidRPr="00E83F35" w:rsidRDefault="00CB31A7" w:rsidP="00E83F35">
      <w:pPr>
        <w:pStyle w:val="NormalWeb"/>
        <w:jc w:val="both"/>
        <w:rPr>
          <w:rFonts w:ascii="Arial" w:eastAsiaTheme="majorEastAsia" w:hAnsi="Arial" w:cs="Arial"/>
          <w:b/>
          <w:bCs/>
          <w:sz w:val="20"/>
          <w:szCs w:val="20"/>
        </w:rPr>
      </w:pPr>
      <w:r w:rsidRPr="00E83F35">
        <w:rPr>
          <w:rFonts w:ascii="Arial" w:hAnsi="Arial" w:cs="Arial"/>
          <w:sz w:val="20"/>
          <w:szCs w:val="20"/>
        </w:rPr>
        <w:t>Similarly, Jalna district comprised</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eight talukas</w:t>
      </w:r>
      <w:r w:rsidRPr="00E83F35">
        <w:rPr>
          <w:rFonts w:ascii="Arial" w:hAnsi="Arial" w:cs="Arial"/>
          <w:sz w:val="20"/>
          <w:szCs w:val="20"/>
        </w:rPr>
        <w:t>, 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Jalna Rural, Jafrabad, Bhokardan, Ambad, Partur, Badnapur, Ghansavangi, and Mantha,</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Bhokardan and Jafrabad were selected</w:t>
      </w:r>
      <w:r w:rsidRPr="00E83F35">
        <w:rPr>
          <w:rFonts w:ascii="Arial" w:hAnsi="Arial" w:cs="Arial"/>
          <w:b/>
          <w:bCs/>
          <w:sz w:val="20"/>
          <w:szCs w:val="20"/>
        </w:rPr>
        <w:t xml:space="preserve"> </w:t>
      </w:r>
      <w:r w:rsidRPr="00E83F35">
        <w:rPr>
          <w:rFonts w:ascii="Arial" w:hAnsi="Arial" w:cs="Arial"/>
          <w:sz w:val="20"/>
          <w:szCs w:val="20"/>
        </w:rPr>
        <w:t>based on their</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large area under cotton cultivation</w:t>
      </w:r>
      <w:r w:rsidR="006D03DA" w:rsidRPr="00E83F35">
        <w:rPr>
          <w:rStyle w:val="Strong"/>
          <w:rFonts w:ascii="Arial" w:eastAsiaTheme="majorEastAsia" w:hAnsi="Arial" w:cs="Arial"/>
          <w:b w:val="0"/>
          <w:bCs w:val="0"/>
          <w:sz w:val="20"/>
          <w:szCs w:val="20"/>
        </w:rPr>
        <w:t>.</w:t>
      </w:r>
    </w:p>
    <w:p w14:paraId="7950A425" w14:textId="77777777" w:rsidR="006D03DA" w:rsidRPr="00E83F35" w:rsidRDefault="006D03DA" w:rsidP="00E83F35">
      <w:pPr>
        <w:pStyle w:val="NormalWeb"/>
        <w:jc w:val="both"/>
        <w:rPr>
          <w:rFonts w:ascii="Arial" w:hAnsi="Arial" w:cs="Arial"/>
          <w:b/>
          <w:bCs/>
          <w:sz w:val="22"/>
          <w:szCs w:val="22"/>
        </w:rPr>
      </w:pPr>
      <w:r w:rsidRPr="00E83F35">
        <w:rPr>
          <w:rFonts w:ascii="Arial" w:hAnsi="Arial" w:cs="Arial"/>
          <w:b/>
          <w:bCs/>
          <w:sz w:val="22"/>
          <w:szCs w:val="22"/>
        </w:rPr>
        <w:t>Selection of Villages</w:t>
      </w:r>
    </w:p>
    <w:p w14:paraId="25B60618" w14:textId="2656A943" w:rsidR="006D03DA" w:rsidRPr="00737E09" w:rsidRDefault="003E613C" w:rsidP="00E83F35">
      <w:pPr>
        <w:pStyle w:val="NormalWeb"/>
        <w:jc w:val="both"/>
        <w:rPr>
          <w:rFonts w:ascii="Arial" w:hAnsi="Arial" w:cs="Arial"/>
          <w:sz w:val="20"/>
          <w:szCs w:val="20"/>
        </w:rPr>
      </w:pPr>
      <w:r w:rsidRPr="00737E09">
        <w:rPr>
          <w:rFonts w:ascii="Arial" w:hAnsi="Arial" w:cs="Arial"/>
          <w:sz w:val="20"/>
          <w:szCs w:val="20"/>
        </w:rPr>
        <w:t>For the study, simple random sampling using the lottery method was adopted to select two cotton-growing villages from each of the selected talukas</w:t>
      </w:r>
      <w:r w:rsidR="00737E09">
        <w:rPr>
          <w:rFonts w:ascii="Arial" w:hAnsi="Arial" w:cs="Arial"/>
          <w:sz w:val="20"/>
          <w:szCs w:val="20"/>
        </w:rPr>
        <w:t xml:space="preserve"> (</w:t>
      </w:r>
      <w:r w:rsidR="00737E09" w:rsidRPr="003E613C">
        <w:rPr>
          <w:rFonts w:ascii="Arial" w:hAnsi="Arial" w:cs="Arial"/>
          <w:sz w:val="20"/>
          <w:szCs w:val="20"/>
        </w:rPr>
        <w:t>Muhammad</w:t>
      </w:r>
      <w:r w:rsidR="00737E09">
        <w:rPr>
          <w:rFonts w:ascii="Arial" w:hAnsi="Arial" w:cs="Arial"/>
          <w:sz w:val="20"/>
          <w:szCs w:val="20"/>
        </w:rPr>
        <w:t xml:space="preserve"> et al., 2017)</w:t>
      </w:r>
      <w:r w:rsidRPr="00737E09">
        <w:rPr>
          <w:rFonts w:ascii="Arial" w:hAnsi="Arial" w:cs="Arial"/>
          <w:sz w:val="20"/>
          <w:szCs w:val="20"/>
        </w:rPr>
        <w:t>. This ensured equal and unbiased chances of selection. The villages chosen were:</w:t>
      </w:r>
    </w:p>
    <w:p w14:paraId="53149ADD"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Paithan Taluka, the villages Nandar and Balanagar were selected.</w:t>
      </w:r>
    </w:p>
    <w:p w14:paraId="5885E973"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Phulambri Taluka, the villages Ladsavangi and Babra were chosen.</w:t>
      </w:r>
    </w:p>
    <w:p w14:paraId="2459C076"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Jafrabad Taluka, the villages Akola Dev and Delegavhan were selected.</w:t>
      </w:r>
    </w:p>
    <w:p w14:paraId="223946FC"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Bhokardan Taluka, the villages Jawkheda and Rajur were randomly chosen.</w:t>
      </w:r>
    </w:p>
    <w:p w14:paraId="6DB1352C" w14:textId="77777777" w:rsidR="00737E09" w:rsidRDefault="00737E09" w:rsidP="00E83F35">
      <w:pPr>
        <w:pStyle w:val="BodyText"/>
        <w:spacing w:before="261" w:after="240"/>
        <w:ind w:right="16"/>
        <w:jc w:val="both"/>
        <w:rPr>
          <w:rFonts w:ascii="Arial" w:eastAsia="Times New Roman" w:hAnsi="Arial" w:cs="Arial"/>
          <w:sz w:val="20"/>
          <w:szCs w:val="20"/>
          <w:lang w:val="en-IN" w:eastAsia="en-IN" w:bidi="mr-IN"/>
        </w:rPr>
      </w:pPr>
      <w:r w:rsidRPr="00737E09">
        <w:rPr>
          <w:rFonts w:ascii="Arial" w:eastAsia="Times New Roman" w:hAnsi="Arial" w:cs="Arial"/>
          <w:sz w:val="20"/>
          <w:szCs w:val="20"/>
          <w:lang w:val="en-IN" w:eastAsia="en-IN" w:bidi="mr-IN"/>
        </w:rPr>
        <w:t>This method ensured unbiased representation of villages within each taluka and contributed to the overall reliability of the study’s findings.</w:t>
      </w:r>
    </w:p>
    <w:p w14:paraId="19B6BFE6" w14:textId="6514E565" w:rsidR="006D03DA" w:rsidRPr="00E83F35" w:rsidRDefault="006D03DA" w:rsidP="00E83F35">
      <w:pPr>
        <w:pStyle w:val="BodyText"/>
        <w:spacing w:before="261" w:after="240"/>
        <w:ind w:right="16"/>
        <w:jc w:val="both"/>
        <w:rPr>
          <w:rFonts w:ascii="Arial" w:hAnsi="Arial" w:cs="Arial"/>
          <w:w w:val="115"/>
          <w:sz w:val="22"/>
          <w:szCs w:val="22"/>
          <w:lang w:val="en-IN"/>
        </w:rPr>
      </w:pPr>
      <w:r w:rsidRPr="00E83F35">
        <w:rPr>
          <w:rFonts w:ascii="Arial" w:hAnsi="Arial" w:cs="Arial"/>
          <w:b/>
          <w:bCs/>
          <w:sz w:val="22"/>
          <w:szCs w:val="22"/>
        </w:rPr>
        <w:t>Selection</w:t>
      </w:r>
      <w:r w:rsidRPr="00E83F35">
        <w:rPr>
          <w:rFonts w:ascii="Arial" w:hAnsi="Arial" w:cs="Arial"/>
          <w:b/>
          <w:bCs/>
          <w:spacing w:val="-4"/>
          <w:sz w:val="22"/>
          <w:szCs w:val="22"/>
        </w:rPr>
        <w:t xml:space="preserve"> </w:t>
      </w:r>
      <w:r w:rsidRPr="00E83F35">
        <w:rPr>
          <w:rFonts w:ascii="Arial" w:hAnsi="Arial" w:cs="Arial"/>
          <w:b/>
          <w:bCs/>
          <w:sz w:val="22"/>
          <w:szCs w:val="22"/>
        </w:rPr>
        <w:t>of</w:t>
      </w:r>
      <w:r w:rsidRPr="00E83F35">
        <w:rPr>
          <w:rFonts w:ascii="Arial" w:hAnsi="Arial" w:cs="Arial"/>
          <w:b/>
          <w:bCs/>
          <w:spacing w:val="-3"/>
          <w:sz w:val="22"/>
          <w:szCs w:val="22"/>
        </w:rPr>
        <w:t xml:space="preserve"> </w:t>
      </w:r>
      <w:r w:rsidRPr="00E83F35">
        <w:rPr>
          <w:rFonts w:ascii="Arial" w:hAnsi="Arial" w:cs="Arial"/>
          <w:b/>
          <w:bCs/>
          <w:spacing w:val="-2"/>
          <w:sz w:val="22"/>
          <w:szCs w:val="22"/>
        </w:rPr>
        <w:t>Respondents/Farmers</w:t>
      </w:r>
    </w:p>
    <w:p w14:paraId="12ECA81C" w14:textId="54891A2C" w:rsidR="006D03DA" w:rsidRPr="00E83F35" w:rsidRDefault="006D03DA" w:rsidP="00E83F35">
      <w:pPr>
        <w:spacing w:line="240" w:lineRule="auto"/>
        <w:jc w:val="both"/>
        <w:rPr>
          <w:rFonts w:ascii="Arial" w:hAnsi="Arial" w:cs="Arial"/>
          <w:sz w:val="20"/>
          <w:szCs w:val="20"/>
          <w:lang w:val="en-US" w:bidi="mr-IN"/>
        </w:rPr>
      </w:pPr>
      <w:r w:rsidRPr="00E83F35">
        <w:rPr>
          <w:rFonts w:ascii="Arial" w:hAnsi="Arial" w:cs="Arial"/>
          <w:sz w:val="20"/>
          <w:szCs w:val="20"/>
          <w:lang w:val="en-US" w:bidi="mr-IN"/>
        </w:rPr>
        <w:t xml:space="preserve">A total of 30 farmers were selected from each of the chosen villages using a simple random sampling method. This resulted in a sample of 240 </w:t>
      </w:r>
      <w:r w:rsidR="000E3CD1">
        <w:rPr>
          <w:rFonts w:ascii="Arial" w:hAnsi="Arial" w:cs="Arial"/>
          <w:sz w:val="20"/>
          <w:szCs w:val="20"/>
          <w:lang w:val="en-US" w:bidi="mr-IN"/>
        </w:rPr>
        <w:t>r</w:t>
      </w:r>
      <w:r w:rsidR="00A63E85">
        <w:rPr>
          <w:rFonts w:ascii="Arial" w:hAnsi="Arial" w:cs="Arial"/>
          <w:sz w:val="20"/>
          <w:szCs w:val="20"/>
          <w:lang w:val="en-US" w:bidi="mr-IN"/>
        </w:rPr>
        <w:t>espondents</w:t>
      </w:r>
      <w:r w:rsidR="00480BEA">
        <w:rPr>
          <w:rFonts w:ascii="Arial" w:hAnsi="Arial" w:cs="Arial"/>
          <w:sz w:val="20"/>
          <w:szCs w:val="20"/>
          <w:lang w:val="en-US" w:bidi="mr-IN"/>
        </w:rPr>
        <w:t xml:space="preserve"> (Khan et al., 2019)</w:t>
      </w:r>
      <w:r w:rsidRPr="00E83F35">
        <w:rPr>
          <w:rFonts w:ascii="Arial" w:hAnsi="Arial" w:cs="Arial"/>
          <w:sz w:val="20"/>
          <w:szCs w:val="20"/>
          <w:lang w:val="en-US" w:bidi="mr-IN"/>
        </w:rPr>
        <w:t>, representing five landholding categories: Marginal, Small, Semi-Medium, Medium, and Large from whom the necessary data was collected.</w:t>
      </w:r>
    </w:p>
    <w:p w14:paraId="1BF9ED93" w14:textId="77777777" w:rsidR="006D03DA"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Here, the operational land holdings will be taken as a basis and all producers are categorized in five size classes as follows:</w:t>
      </w:r>
    </w:p>
    <w:p w14:paraId="2A8F5793" w14:textId="5F72D50F" w:rsidR="006D03DA" w:rsidRPr="00E83F35" w:rsidRDefault="006D03DA"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2</w:t>
      </w:r>
      <w:r w:rsidRPr="00E83F35">
        <w:rPr>
          <w:rFonts w:ascii="Arial" w:hAnsi="Arial" w:cs="Arial"/>
          <w:b/>
          <w:bCs/>
          <w:sz w:val="20"/>
          <w:szCs w:val="14"/>
        </w:rPr>
        <w:fldChar w:fldCharType="end"/>
      </w:r>
      <w:r w:rsidRPr="00E83F35">
        <w:rPr>
          <w:rFonts w:ascii="Arial" w:hAnsi="Arial" w:cs="Arial"/>
          <w:b/>
          <w:bCs/>
          <w:sz w:val="20"/>
          <w:szCs w:val="14"/>
        </w:rPr>
        <w:t>: Landholding Categories</w:t>
      </w:r>
    </w:p>
    <w:tbl>
      <w:tblPr>
        <w:tblW w:w="6238" w:type="dxa"/>
        <w:jc w:val="center"/>
        <w:tblLook w:val="04A0" w:firstRow="1" w:lastRow="0" w:firstColumn="1" w:lastColumn="0" w:noHBand="0" w:noVBand="1"/>
      </w:tblPr>
      <w:tblGrid>
        <w:gridCol w:w="983"/>
        <w:gridCol w:w="1878"/>
        <w:gridCol w:w="3377"/>
      </w:tblGrid>
      <w:tr w:rsidR="006D03DA" w:rsidRPr="006D03DA" w14:paraId="0CD83193" w14:textId="77777777" w:rsidTr="00C81C6B">
        <w:trPr>
          <w:trHeight w:val="461"/>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AD659"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Sl. No.</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73BDEFBE"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Category</w:t>
            </w:r>
          </w:p>
        </w:tc>
        <w:tc>
          <w:tcPr>
            <w:tcW w:w="3377" w:type="dxa"/>
            <w:tcBorders>
              <w:top w:val="single" w:sz="8" w:space="0" w:color="000000"/>
              <w:left w:val="nil"/>
              <w:bottom w:val="single" w:sz="8" w:space="0" w:color="000000"/>
              <w:right w:val="single" w:sz="8" w:space="0" w:color="000000"/>
            </w:tcBorders>
            <w:shd w:val="clear" w:color="auto" w:fill="auto"/>
            <w:vAlign w:val="center"/>
            <w:hideMark/>
          </w:tcPr>
          <w:p w14:paraId="58A353F1"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Size-Class</w:t>
            </w:r>
          </w:p>
        </w:tc>
      </w:tr>
      <w:tr w:rsidR="006D03DA" w:rsidRPr="006D03DA" w14:paraId="1056B8CE"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5CF292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w:t>
            </w:r>
          </w:p>
        </w:tc>
        <w:tc>
          <w:tcPr>
            <w:tcW w:w="1878" w:type="dxa"/>
            <w:tcBorders>
              <w:top w:val="nil"/>
              <w:left w:val="nil"/>
              <w:bottom w:val="single" w:sz="8" w:space="0" w:color="000000"/>
              <w:right w:val="single" w:sz="8" w:space="0" w:color="000000"/>
            </w:tcBorders>
            <w:shd w:val="clear" w:color="auto" w:fill="auto"/>
            <w:vAlign w:val="center"/>
            <w:hideMark/>
          </w:tcPr>
          <w:p w14:paraId="60FA2166"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Marginal</w:t>
            </w:r>
          </w:p>
        </w:tc>
        <w:tc>
          <w:tcPr>
            <w:tcW w:w="3377" w:type="dxa"/>
            <w:tcBorders>
              <w:top w:val="nil"/>
              <w:left w:val="nil"/>
              <w:bottom w:val="single" w:sz="8" w:space="0" w:color="000000"/>
              <w:right w:val="single" w:sz="8" w:space="0" w:color="000000"/>
            </w:tcBorders>
            <w:shd w:val="clear" w:color="auto" w:fill="auto"/>
            <w:vAlign w:val="center"/>
            <w:hideMark/>
          </w:tcPr>
          <w:p w14:paraId="76E0277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Below 1.00 hectare</w:t>
            </w:r>
          </w:p>
        </w:tc>
      </w:tr>
      <w:tr w:rsidR="006D03DA" w:rsidRPr="006D03DA" w14:paraId="68905D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69FC6FB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w:t>
            </w:r>
          </w:p>
        </w:tc>
        <w:tc>
          <w:tcPr>
            <w:tcW w:w="1878" w:type="dxa"/>
            <w:tcBorders>
              <w:top w:val="nil"/>
              <w:left w:val="nil"/>
              <w:bottom w:val="single" w:sz="8" w:space="0" w:color="000000"/>
              <w:right w:val="single" w:sz="8" w:space="0" w:color="000000"/>
            </w:tcBorders>
            <w:shd w:val="clear" w:color="auto" w:fill="auto"/>
            <w:vAlign w:val="center"/>
            <w:hideMark/>
          </w:tcPr>
          <w:p w14:paraId="1456476D"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Small</w:t>
            </w:r>
          </w:p>
        </w:tc>
        <w:tc>
          <w:tcPr>
            <w:tcW w:w="3377" w:type="dxa"/>
            <w:tcBorders>
              <w:top w:val="nil"/>
              <w:left w:val="nil"/>
              <w:bottom w:val="single" w:sz="8" w:space="0" w:color="000000"/>
              <w:right w:val="single" w:sz="8" w:space="0" w:color="000000"/>
            </w:tcBorders>
            <w:shd w:val="clear" w:color="auto" w:fill="auto"/>
            <w:vAlign w:val="center"/>
            <w:hideMark/>
          </w:tcPr>
          <w:p w14:paraId="4CFEDDD0"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1.00-2.00 hectare</w:t>
            </w:r>
          </w:p>
        </w:tc>
      </w:tr>
      <w:tr w:rsidR="006D03DA" w:rsidRPr="006D03DA" w14:paraId="04DC3870"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569DC9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3</w:t>
            </w:r>
          </w:p>
        </w:tc>
        <w:tc>
          <w:tcPr>
            <w:tcW w:w="1878" w:type="dxa"/>
            <w:tcBorders>
              <w:top w:val="nil"/>
              <w:left w:val="nil"/>
              <w:bottom w:val="single" w:sz="8" w:space="0" w:color="000000"/>
              <w:right w:val="single" w:sz="8" w:space="0" w:color="000000"/>
            </w:tcBorders>
            <w:shd w:val="clear" w:color="auto" w:fill="auto"/>
            <w:vAlign w:val="center"/>
            <w:hideMark/>
          </w:tcPr>
          <w:p w14:paraId="493FF255"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Semi- Medium</w:t>
            </w:r>
          </w:p>
        </w:tc>
        <w:tc>
          <w:tcPr>
            <w:tcW w:w="3377" w:type="dxa"/>
            <w:tcBorders>
              <w:top w:val="nil"/>
              <w:left w:val="nil"/>
              <w:bottom w:val="single" w:sz="8" w:space="0" w:color="000000"/>
              <w:right w:val="single" w:sz="8" w:space="0" w:color="000000"/>
            </w:tcBorders>
            <w:shd w:val="clear" w:color="auto" w:fill="auto"/>
            <w:vAlign w:val="center"/>
            <w:hideMark/>
          </w:tcPr>
          <w:p w14:paraId="3540752E"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2.00-4.00 hectare</w:t>
            </w:r>
          </w:p>
        </w:tc>
      </w:tr>
      <w:tr w:rsidR="006D03DA" w:rsidRPr="006D03DA" w14:paraId="3025FF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F6DC22F"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w:t>
            </w:r>
          </w:p>
        </w:tc>
        <w:tc>
          <w:tcPr>
            <w:tcW w:w="1878" w:type="dxa"/>
            <w:tcBorders>
              <w:top w:val="nil"/>
              <w:left w:val="nil"/>
              <w:bottom w:val="single" w:sz="8" w:space="0" w:color="000000"/>
              <w:right w:val="single" w:sz="8" w:space="0" w:color="000000"/>
            </w:tcBorders>
            <w:shd w:val="clear" w:color="auto" w:fill="auto"/>
            <w:vAlign w:val="center"/>
            <w:hideMark/>
          </w:tcPr>
          <w:p w14:paraId="00BF3FF9"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Medium</w:t>
            </w:r>
          </w:p>
        </w:tc>
        <w:tc>
          <w:tcPr>
            <w:tcW w:w="3377" w:type="dxa"/>
            <w:tcBorders>
              <w:top w:val="nil"/>
              <w:left w:val="nil"/>
              <w:bottom w:val="single" w:sz="8" w:space="0" w:color="000000"/>
              <w:right w:val="single" w:sz="8" w:space="0" w:color="000000"/>
            </w:tcBorders>
            <w:shd w:val="clear" w:color="auto" w:fill="auto"/>
            <w:vAlign w:val="center"/>
            <w:hideMark/>
          </w:tcPr>
          <w:p w14:paraId="4405DE17"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4.00-10.00 hectare</w:t>
            </w:r>
          </w:p>
        </w:tc>
      </w:tr>
      <w:tr w:rsidR="006D03DA" w:rsidRPr="006D03DA" w14:paraId="6B555C54"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CD18D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5</w:t>
            </w:r>
          </w:p>
        </w:tc>
        <w:tc>
          <w:tcPr>
            <w:tcW w:w="1878" w:type="dxa"/>
            <w:tcBorders>
              <w:top w:val="nil"/>
              <w:left w:val="nil"/>
              <w:bottom w:val="single" w:sz="8" w:space="0" w:color="000000"/>
              <w:right w:val="single" w:sz="8" w:space="0" w:color="000000"/>
            </w:tcBorders>
            <w:shd w:val="clear" w:color="auto" w:fill="auto"/>
            <w:vAlign w:val="center"/>
            <w:hideMark/>
          </w:tcPr>
          <w:p w14:paraId="4E3D4A8E"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Large</w:t>
            </w:r>
          </w:p>
        </w:tc>
        <w:tc>
          <w:tcPr>
            <w:tcW w:w="3377" w:type="dxa"/>
            <w:tcBorders>
              <w:top w:val="nil"/>
              <w:left w:val="nil"/>
              <w:bottom w:val="single" w:sz="8" w:space="0" w:color="000000"/>
              <w:right w:val="single" w:sz="8" w:space="0" w:color="000000"/>
            </w:tcBorders>
            <w:shd w:val="clear" w:color="auto" w:fill="auto"/>
            <w:vAlign w:val="center"/>
            <w:hideMark/>
          </w:tcPr>
          <w:p w14:paraId="2062048D"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10.00 hectare and above</w:t>
            </w:r>
          </w:p>
        </w:tc>
      </w:tr>
    </w:tbl>
    <w:p w14:paraId="2A041F2C" w14:textId="7B2C9DF8" w:rsidR="006D03DA" w:rsidRPr="00E83F35" w:rsidRDefault="006D03DA" w:rsidP="00E83F35">
      <w:pPr>
        <w:spacing w:line="240" w:lineRule="auto"/>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Agriculture Census, Press Information Bureau, Ministry of Agriculture &amp; Farmers Welfare, GOI.</w:t>
      </w:r>
    </w:p>
    <w:p w14:paraId="55582CBC" w14:textId="77777777" w:rsidR="006D03DA" w:rsidRPr="00E83F35" w:rsidRDefault="006D03DA" w:rsidP="00E83F35">
      <w:pPr>
        <w:spacing w:line="240" w:lineRule="auto"/>
        <w:rPr>
          <w:rFonts w:ascii="Arial" w:hAnsi="Arial" w:cs="Arial"/>
          <w:b/>
          <w:bCs/>
        </w:rPr>
      </w:pPr>
      <w:r w:rsidRPr="00E83F35">
        <w:rPr>
          <w:rFonts w:ascii="Arial" w:hAnsi="Arial" w:cs="Arial"/>
          <w:b/>
          <w:bCs/>
        </w:rPr>
        <w:t xml:space="preserve">Statistical tools </w:t>
      </w:r>
    </w:p>
    <w:p w14:paraId="68DD455E" w14:textId="0A4BC163" w:rsidR="008826ED"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 xml:space="preserve">The following statistical tools and technique </w:t>
      </w:r>
      <w:r w:rsidR="00A63E85">
        <w:rPr>
          <w:rFonts w:ascii="Arial" w:hAnsi="Arial" w:cs="Arial"/>
          <w:sz w:val="20"/>
          <w:szCs w:val="20"/>
        </w:rPr>
        <w:t>were</w:t>
      </w:r>
      <w:r w:rsidRPr="00E83F35">
        <w:rPr>
          <w:rFonts w:ascii="Arial" w:hAnsi="Arial" w:cs="Arial"/>
          <w:sz w:val="20"/>
          <w:szCs w:val="20"/>
        </w:rPr>
        <w:t xml:space="preserve"> used in </w:t>
      </w:r>
      <w:r w:rsidR="00A63E85">
        <w:rPr>
          <w:rFonts w:ascii="Arial" w:hAnsi="Arial" w:cs="Arial"/>
          <w:sz w:val="20"/>
          <w:szCs w:val="20"/>
        </w:rPr>
        <w:t xml:space="preserve">the </w:t>
      </w:r>
      <w:r w:rsidRPr="00E83F35">
        <w:rPr>
          <w:rFonts w:ascii="Arial" w:hAnsi="Arial" w:cs="Arial"/>
          <w:sz w:val="20"/>
          <w:szCs w:val="20"/>
        </w:rPr>
        <w:t xml:space="preserve">analysis of data and interpretation of result. </w:t>
      </w:r>
    </w:p>
    <w:p w14:paraId="1ADB1476" w14:textId="77777777" w:rsidR="006D03DA" w:rsidRPr="00E83F35" w:rsidRDefault="006D03DA" w:rsidP="00E83F35">
      <w:pPr>
        <w:spacing w:line="240" w:lineRule="auto"/>
        <w:rPr>
          <w:rFonts w:ascii="Arial" w:hAnsi="Arial" w:cs="Arial"/>
          <w:b/>
          <w:bCs/>
          <w:lang w:val="en-US"/>
        </w:rPr>
      </w:pPr>
      <w:r w:rsidRPr="00E83F35">
        <w:rPr>
          <w:rFonts w:ascii="Arial" w:hAnsi="Arial" w:cs="Arial"/>
          <w:b/>
          <w:bCs/>
          <w:lang w:val="en-US"/>
        </w:rPr>
        <w:t>Percentage Analysis</w:t>
      </w:r>
    </w:p>
    <w:p w14:paraId="61ACA5D1" w14:textId="5986C34D" w:rsidR="006D03DA" w:rsidRPr="00E83F35" w:rsidRDefault="00C81C6B" w:rsidP="00E83F35">
      <w:pPr>
        <w:spacing w:line="240" w:lineRule="auto"/>
        <w:jc w:val="both"/>
        <w:rPr>
          <w:rFonts w:ascii="Arial" w:hAnsi="Arial" w:cs="Arial"/>
          <w:sz w:val="20"/>
          <w:szCs w:val="20"/>
          <w:lang w:val="en-US"/>
        </w:rPr>
      </w:pPr>
      <w:r w:rsidRPr="00C81C6B">
        <w:rPr>
          <w:rFonts w:ascii="Arial" w:hAnsi="Arial" w:cs="Arial"/>
          <w:sz w:val="20"/>
          <w:szCs w:val="20"/>
        </w:rPr>
        <w:t xml:space="preserve">"Percentage analysis is a simple yet powerful tool used to express one value as a fraction of another, multiplied by 100 to represent it as a percentage. It is commonly used to understand the proportion or share of different categories within a dataset. This method is widely used in various fields to </w:t>
      </w:r>
      <w:r w:rsidR="003608D9" w:rsidRPr="00C81C6B">
        <w:rPr>
          <w:rFonts w:ascii="Arial" w:hAnsi="Arial" w:cs="Arial"/>
          <w:sz w:val="20"/>
          <w:szCs w:val="20"/>
        </w:rPr>
        <w:t>analyse</w:t>
      </w:r>
      <w:r w:rsidRPr="00C81C6B">
        <w:rPr>
          <w:rFonts w:ascii="Arial" w:hAnsi="Arial" w:cs="Arial"/>
          <w:sz w:val="20"/>
          <w:szCs w:val="20"/>
        </w:rPr>
        <w:t xml:space="preserve"> data distribution </w:t>
      </w:r>
      <w:r w:rsidR="003E613C">
        <w:rPr>
          <w:rFonts w:ascii="Arial" w:hAnsi="Arial" w:cs="Arial"/>
          <w:sz w:val="20"/>
          <w:szCs w:val="20"/>
        </w:rPr>
        <w:t>(</w:t>
      </w:r>
      <w:r w:rsidR="003E613C" w:rsidRPr="003E613C">
        <w:rPr>
          <w:rFonts w:ascii="Arial" w:hAnsi="Arial" w:cs="Arial"/>
          <w:sz w:val="20"/>
          <w:szCs w:val="20"/>
        </w:rPr>
        <w:t>Salkind</w:t>
      </w:r>
      <w:r w:rsidR="003E613C">
        <w:rPr>
          <w:rFonts w:ascii="Arial" w:hAnsi="Arial" w:cs="Arial"/>
          <w:sz w:val="20"/>
          <w:szCs w:val="20"/>
        </w:rPr>
        <w:t xml:space="preserve"> </w:t>
      </w:r>
      <w:r w:rsidR="003E613C" w:rsidRPr="003E613C">
        <w:rPr>
          <w:rFonts w:ascii="Arial" w:hAnsi="Arial" w:cs="Arial"/>
          <w:sz w:val="20"/>
          <w:szCs w:val="20"/>
        </w:rPr>
        <w:t>&amp; Frey, 2019).</w:t>
      </w:r>
      <w:r w:rsidRPr="00C81C6B">
        <w:rPr>
          <w:rFonts w:ascii="Arial" w:hAnsi="Arial" w:cs="Arial"/>
          <w:sz w:val="20"/>
          <w:szCs w:val="20"/>
        </w:rPr>
        <w:t>"</w:t>
      </w:r>
    </w:p>
    <w:p w14:paraId="3762308C" w14:textId="77777777" w:rsidR="006D03DA" w:rsidRPr="00E83F35" w:rsidRDefault="006D03DA" w:rsidP="00E83F35">
      <w:pPr>
        <w:spacing w:line="240" w:lineRule="auto"/>
        <w:rPr>
          <w:rFonts w:ascii="Arial" w:hAnsi="Arial" w:cs="Arial"/>
          <w:b/>
          <w:bCs/>
          <w:sz w:val="20"/>
          <w:szCs w:val="20"/>
          <w:lang w:val="en-US"/>
        </w:rPr>
      </w:pPr>
      <w:r w:rsidRPr="00E83F35">
        <w:rPr>
          <w:rFonts w:ascii="Arial" w:hAnsi="Arial" w:cs="Arial"/>
          <w:b/>
          <w:bCs/>
          <w:sz w:val="20"/>
          <w:szCs w:val="20"/>
          <w:lang w:val="en-US"/>
        </w:rPr>
        <w:t>Formula:</w:t>
      </w:r>
    </w:p>
    <w:p w14:paraId="571BEF23" w14:textId="65B1FCDC" w:rsidR="006D03DA" w:rsidRPr="00E83F35" w:rsidRDefault="006D03DA" w:rsidP="00E83F35">
      <w:pPr>
        <w:spacing w:line="240" w:lineRule="auto"/>
        <w:ind w:firstLine="1985"/>
        <w:rPr>
          <w:rFonts w:ascii="Arial" w:hAnsi="Arial" w:cs="Arial"/>
          <w:sz w:val="20"/>
          <w:szCs w:val="20"/>
          <w:lang w:val="en-US"/>
        </w:rPr>
      </w:pPr>
      <w:r w:rsidRPr="00E83F35">
        <w:rPr>
          <w:rFonts w:ascii="Arial" w:hAnsi="Arial" w:cs="Arial"/>
          <w:sz w:val="28"/>
          <w:szCs w:val="28"/>
          <w:lang w:val="en-US"/>
        </w:rPr>
        <w:lastRenderedPageBreak/>
        <w:t>Percentage = (Part / Total) × 100</w:t>
      </w:r>
      <w:r w:rsidRPr="00E83F35">
        <w:rPr>
          <w:rFonts w:ascii="Arial" w:hAnsi="Arial" w:cs="Arial"/>
          <w:sz w:val="32"/>
          <w:szCs w:val="32"/>
          <w:lang w:val="en-US"/>
        </w:rPr>
        <w:br/>
      </w:r>
      <w:r w:rsidRPr="00E83F35">
        <w:rPr>
          <w:rFonts w:ascii="Arial" w:hAnsi="Arial" w:cs="Arial"/>
          <w:sz w:val="20"/>
          <w:szCs w:val="20"/>
          <w:lang w:val="en-US"/>
        </w:rPr>
        <w:t>Where,</w:t>
      </w:r>
      <w:r w:rsidRPr="00E83F35">
        <w:rPr>
          <w:rFonts w:ascii="Arial" w:hAnsi="Arial" w:cs="Arial"/>
          <w:sz w:val="20"/>
          <w:szCs w:val="20"/>
          <w:lang w:val="en-US"/>
        </w:rPr>
        <w:br/>
      </w:r>
      <w:r w:rsidRPr="00E83F35">
        <w:rPr>
          <w:rFonts w:ascii="Arial" w:hAnsi="Arial" w:cs="Arial"/>
          <w:sz w:val="20"/>
          <w:szCs w:val="20"/>
          <w:lang w:val="en-US"/>
        </w:rPr>
        <w:tab/>
        <w:t>Part = The specific value or subset being analyzed.</w:t>
      </w:r>
      <w:r w:rsidRPr="00E83F35">
        <w:rPr>
          <w:rFonts w:ascii="Arial" w:hAnsi="Arial" w:cs="Arial"/>
          <w:sz w:val="20"/>
          <w:szCs w:val="20"/>
          <w:lang w:val="en-US"/>
        </w:rPr>
        <w:br/>
      </w:r>
      <w:r w:rsidRPr="00E83F35">
        <w:rPr>
          <w:rFonts w:ascii="Arial" w:hAnsi="Arial" w:cs="Arial"/>
          <w:sz w:val="20"/>
          <w:szCs w:val="20"/>
          <w:lang w:val="en-US"/>
        </w:rPr>
        <w:tab/>
        <w:t>Total = The total value or the whole dataset.</w:t>
      </w:r>
      <w:r w:rsidRPr="00E83F35">
        <w:rPr>
          <w:rFonts w:ascii="Arial" w:hAnsi="Arial" w:cs="Arial"/>
          <w:sz w:val="20"/>
          <w:szCs w:val="20"/>
          <w:lang w:val="en-US"/>
        </w:rPr>
        <w:br/>
      </w:r>
      <w:r w:rsidRPr="00E83F35">
        <w:rPr>
          <w:rFonts w:ascii="Arial" w:hAnsi="Arial" w:cs="Arial"/>
          <w:sz w:val="20"/>
          <w:szCs w:val="20"/>
          <w:lang w:val="en-US"/>
        </w:rPr>
        <w:tab/>
        <w:t>Percentage = The result expressed as a percentage.</w:t>
      </w:r>
    </w:p>
    <w:p w14:paraId="7EAC7AE8" w14:textId="77777777" w:rsidR="006D03DA" w:rsidRPr="00E83F35" w:rsidRDefault="006D03DA" w:rsidP="00E83F35">
      <w:pPr>
        <w:spacing w:line="240" w:lineRule="auto"/>
        <w:rPr>
          <w:rFonts w:ascii="Arial" w:hAnsi="Arial" w:cs="Arial"/>
        </w:rPr>
      </w:pPr>
      <w:r w:rsidRPr="00E83F35">
        <w:rPr>
          <w:rFonts w:ascii="Arial" w:eastAsia="Times New Roman" w:hAnsi="Arial" w:cs="Arial"/>
          <w:b/>
          <w:bCs/>
          <w:kern w:val="0"/>
          <w:lang w:eastAsia="en-IN" w:bidi="mr-IN"/>
          <w14:ligatures w14:val="none"/>
        </w:rPr>
        <w:t>Chi-Square Test (χ²)</w:t>
      </w:r>
    </w:p>
    <w:p w14:paraId="669FD80F" w14:textId="6BDF88D0" w:rsidR="00C81C6B" w:rsidRPr="00D04BA9" w:rsidRDefault="00C81C6B" w:rsidP="00D04BA9">
      <w:pPr>
        <w:spacing w:before="100" w:beforeAutospacing="1" w:after="100" w:afterAutospacing="1" w:line="240" w:lineRule="auto"/>
        <w:jc w:val="both"/>
        <w:outlineLvl w:val="3"/>
        <w:rPr>
          <w:rFonts w:ascii="Arial" w:eastAsia="Times New Roman" w:hAnsi="Arial" w:cs="Arial"/>
          <w:kern w:val="0"/>
          <w:sz w:val="20"/>
          <w:szCs w:val="20"/>
          <w:lang w:eastAsia="en-IN" w:bidi="mr-IN"/>
          <w14:ligatures w14:val="none"/>
        </w:rPr>
      </w:pPr>
      <w:r w:rsidRPr="00C81C6B">
        <w:rPr>
          <w:rFonts w:ascii="Arial" w:eastAsia="Times New Roman" w:hAnsi="Arial" w:cs="Arial"/>
          <w:kern w:val="0"/>
          <w:sz w:val="20"/>
          <w:szCs w:val="20"/>
          <w:lang w:eastAsia="en-IN" w:bidi="mr-IN"/>
          <w14:ligatures w14:val="none"/>
        </w:rPr>
        <w:t>"</w:t>
      </w:r>
      <w:r w:rsidRPr="00D04BA9">
        <w:rPr>
          <w:rFonts w:ascii="Arial" w:eastAsia="Times New Roman" w:hAnsi="Arial" w:cs="Arial"/>
          <w:kern w:val="0"/>
          <w:sz w:val="20"/>
          <w:szCs w:val="20"/>
          <w:lang w:eastAsia="en-IN" w:bidi="mr-IN"/>
          <w14:ligatures w14:val="none"/>
        </w:rPr>
        <w:t>The Chi-Square Test (χ²) is a statistical method used to determine if there is a significant association between two categorical variables. It compares the observed frequencies (O) with the expected frequencies (E) under the assumption that the variables are independent. The formula for Chi-Square is commonly employed in social sciences and agricultural research to evaluate relationships between variables (</w:t>
      </w:r>
      <w:r w:rsidR="00D04BA9" w:rsidRPr="00D04BA9">
        <w:rPr>
          <w:rFonts w:ascii="Arial" w:hAnsi="Arial" w:cs="Arial"/>
          <w:sz w:val="20"/>
          <w:szCs w:val="20"/>
        </w:rPr>
        <w:t>Onchiri, 2013</w:t>
      </w:r>
      <w:r w:rsidRPr="00D04BA9">
        <w:rPr>
          <w:rFonts w:ascii="Arial" w:eastAsia="Times New Roman" w:hAnsi="Arial" w:cs="Arial"/>
          <w:kern w:val="0"/>
          <w:sz w:val="20"/>
          <w:szCs w:val="20"/>
          <w:lang w:eastAsia="en-IN" w:bidi="mr-IN"/>
          <w14:ligatures w14:val="none"/>
        </w:rPr>
        <w:t>)."</w:t>
      </w:r>
    </w:p>
    <w:p w14:paraId="65965334" w14:textId="777F384D" w:rsidR="006D03DA" w:rsidRPr="00E83F35" w:rsidRDefault="006D03DA" w:rsidP="00E83F35">
      <w:pPr>
        <w:spacing w:before="100" w:beforeAutospacing="1" w:after="100" w:afterAutospacing="1" w:line="240" w:lineRule="auto"/>
        <w:outlineLvl w:val="3"/>
        <w:rPr>
          <w:rFonts w:ascii="Arial" w:eastAsia="Times New Roman" w:hAnsi="Arial" w:cs="Arial"/>
          <w:b/>
          <w:bCs/>
          <w:kern w:val="0"/>
          <w:sz w:val="20"/>
          <w:szCs w:val="20"/>
          <w:lang w:eastAsia="en-IN" w:bidi="mr-IN"/>
          <w14:ligatures w14:val="none"/>
        </w:rPr>
      </w:pPr>
      <w:r w:rsidRPr="00E83F35">
        <w:rPr>
          <w:rFonts w:ascii="Arial" w:eastAsia="Times New Roman" w:hAnsi="Arial" w:cs="Arial"/>
          <w:b/>
          <w:bCs/>
          <w:kern w:val="0"/>
          <w:sz w:val="20"/>
          <w:szCs w:val="20"/>
          <w:lang w:eastAsia="en-IN" w:bidi="mr-IN"/>
          <w14:ligatures w14:val="none"/>
        </w:rPr>
        <w:t xml:space="preserve">Formula: </w:t>
      </w:r>
    </w:p>
    <w:p w14:paraId="5302E13C" w14:textId="77777777" w:rsidR="006D03DA" w:rsidRPr="00E83F35" w:rsidRDefault="006D03DA" w:rsidP="00E83F35">
      <w:pPr>
        <w:spacing w:before="100" w:beforeAutospacing="1" w:after="100" w:afterAutospacing="1" w:line="240" w:lineRule="auto"/>
        <w:jc w:val="center"/>
        <w:outlineLvl w:val="3"/>
        <w:rPr>
          <w:rFonts w:ascii="Arial" w:eastAsia="Times New Roman" w:hAnsi="Arial" w:cs="Arial"/>
          <w:b/>
          <w:bCs/>
          <w:kern w:val="0"/>
          <w:sz w:val="24"/>
          <w:szCs w:val="24"/>
          <w:lang w:eastAsia="en-IN" w:bidi="mr-IN"/>
          <w14:ligatures w14:val="none"/>
        </w:rPr>
      </w:pPr>
      <w:r w:rsidRPr="00E83F35">
        <w:rPr>
          <w:rFonts w:ascii="Arial" w:eastAsia="Times New Roman" w:hAnsi="Arial" w:cs="Arial"/>
          <w:b/>
          <w:bCs/>
          <w:noProof/>
          <w:kern w:val="0"/>
          <w:sz w:val="24"/>
          <w:szCs w:val="24"/>
          <w:lang w:val="en-US"/>
          <w14:ligatures w14:val="none"/>
        </w:rPr>
        <w:drawing>
          <wp:inline distT="0" distB="0" distL="0" distR="0" wp14:anchorId="650B49D6" wp14:editId="7D1C75AC">
            <wp:extent cx="1691787" cy="579170"/>
            <wp:effectExtent l="0" t="0" r="3810" b="0"/>
            <wp:docPr id="57593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36774" name=""/>
                    <pic:cNvPicPr/>
                  </pic:nvPicPr>
                  <pic:blipFill>
                    <a:blip r:embed="rId8"/>
                    <a:stretch>
                      <a:fillRect/>
                    </a:stretch>
                  </pic:blipFill>
                  <pic:spPr>
                    <a:xfrm>
                      <a:off x="0" y="0"/>
                      <a:ext cx="1691787" cy="579170"/>
                    </a:xfrm>
                    <a:prstGeom prst="rect">
                      <a:avLst/>
                    </a:prstGeom>
                  </pic:spPr>
                </pic:pic>
              </a:graphicData>
            </a:graphic>
          </wp:inline>
        </w:drawing>
      </w:r>
    </w:p>
    <w:p w14:paraId="3087917D" w14:textId="77777777" w:rsidR="006D03DA" w:rsidRPr="00E83F35" w:rsidRDefault="006D03DA" w:rsidP="00E83F35">
      <w:pPr>
        <w:spacing w:line="240" w:lineRule="auto"/>
        <w:rPr>
          <w:rFonts w:ascii="Arial" w:hAnsi="Arial" w:cs="Arial"/>
          <w:sz w:val="20"/>
          <w:szCs w:val="20"/>
          <w:lang w:eastAsia="en-IN" w:bidi="mr-IN"/>
        </w:rPr>
      </w:pPr>
      <w:r w:rsidRPr="00E83F35">
        <w:rPr>
          <w:rFonts w:ascii="Arial" w:hAnsi="Arial" w:cs="Arial"/>
          <w:sz w:val="20"/>
          <w:szCs w:val="20"/>
          <w:lang w:eastAsia="en-IN" w:bidi="mr-IN"/>
        </w:rPr>
        <w:t>Where,</w:t>
      </w:r>
    </w:p>
    <w:p w14:paraId="5BE54851"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χ² = Chi-Square statistic</w:t>
      </w:r>
    </w:p>
    <w:p w14:paraId="06143873"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i/>
          <w:iCs/>
          <w:sz w:val="20"/>
          <w:szCs w:val="20"/>
          <w:lang w:eastAsia="en-IN" w:bidi="mr-IN"/>
        </w:rPr>
        <w:t>O</w:t>
      </w:r>
      <w:r w:rsidRPr="00E83F35">
        <w:rPr>
          <w:rFonts w:ascii="Arial" w:hAnsi="Arial" w:cs="Arial"/>
          <w:sz w:val="20"/>
          <w:szCs w:val="20"/>
          <w:lang w:eastAsia="en-IN" w:bidi="mr-IN"/>
        </w:rPr>
        <w:t xml:space="preserve"> = Observed Frequency (the actual count in each category)</w:t>
      </w:r>
    </w:p>
    <w:p w14:paraId="50C65244"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E = Expected Frequency (the count that would be expected if the variables were independent)</w:t>
      </w:r>
    </w:p>
    <w:p w14:paraId="634EE746"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Σ = Summation (sum of all categories)</w:t>
      </w:r>
    </w:p>
    <w:p w14:paraId="56423FE8" w14:textId="31F6BFBF" w:rsidR="006D03DA" w:rsidRPr="00E83F35" w:rsidRDefault="006D03DA" w:rsidP="00E83F35">
      <w:pPr>
        <w:spacing w:line="240" w:lineRule="auto"/>
        <w:rPr>
          <w:rFonts w:ascii="Arial" w:hAnsi="Arial" w:cs="Arial"/>
          <w:b/>
          <w:bCs/>
        </w:rPr>
      </w:pPr>
      <w:r w:rsidRPr="00E83F35">
        <w:rPr>
          <w:rFonts w:ascii="Arial" w:hAnsi="Arial" w:cs="Arial"/>
          <w:b/>
          <w:bCs/>
        </w:rPr>
        <w:t>Result</w:t>
      </w:r>
      <w:r w:rsidR="00C30971">
        <w:rPr>
          <w:rFonts w:ascii="Arial" w:hAnsi="Arial" w:cs="Arial"/>
          <w:b/>
          <w:bCs/>
        </w:rPr>
        <w:t>s</w:t>
      </w:r>
    </w:p>
    <w:p w14:paraId="3E2AA14A"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The composition of cotton farmers across different landholding categories reflects the fragmented nature of agricultural holdings in Maharashtra, particularly in the Marathwada region. In many cases, farmers currently classified as marginal or small were originally part of larger family holdings that underwent division over generations. Such fragmentation, often due to inheritance and partition, has led to a substantial number of small-scale cultivators managing land parcels that were once part of more extensive ancestral farms. Despite owning limited acreage, these farmers continue to engage in cotton cultivation, preserving both tradition and livelihood.</w:t>
      </w:r>
    </w:p>
    <w:p w14:paraId="047A79A4"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In designing the sampling framework for this study, careful attention was given to representing all categories of landholders—marginal, small, semi-medium, medium, and large—across the two study districts. Each landholding stratum was proportionally represented to reflect the real-world distribution of cotton producers. Equal samples were drawn from Aurangabad and Jalna, two districts at the heart of Maharashtra's cotton economy, ensuring both geographical and structural balance.</w:t>
      </w:r>
    </w:p>
    <w:p w14:paraId="69992F50" w14:textId="77777777" w:rsidR="009E0BE2" w:rsidRPr="00E83F35" w:rsidRDefault="009E0BE2" w:rsidP="00E83F35">
      <w:pPr>
        <w:spacing w:line="240" w:lineRule="auto"/>
        <w:jc w:val="both"/>
        <w:rPr>
          <w:rFonts w:ascii="Arial" w:hAnsi="Arial" w:cs="Arial"/>
          <w:sz w:val="20"/>
          <w:szCs w:val="20"/>
        </w:rPr>
      </w:pPr>
      <w:r w:rsidRPr="009E0BE2">
        <w:rPr>
          <w:rFonts w:ascii="Arial" w:hAnsi="Arial" w:cs="Arial"/>
          <w:sz w:val="20"/>
          <w:szCs w:val="20"/>
        </w:rPr>
        <w:t>The following table outlines the classification and number of respondents selected from each landholding group across the two districts:</w:t>
      </w:r>
    </w:p>
    <w:p w14:paraId="18B59BA2" w14:textId="6EBA38DE" w:rsidR="009E0BE2" w:rsidRPr="00E83F35" w:rsidRDefault="009E0BE2"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3</w:t>
      </w:r>
      <w:r w:rsidRPr="00E83F35">
        <w:rPr>
          <w:rFonts w:ascii="Arial" w:hAnsi="Arial" w:cs="Arial"/>
          <w:b/>
          <w:bCs/>
          <w:sz w:val="20"/>
          <w:szCs w:val="14"/>
        </w:rPr>
        <w:fldChar w:fldCharType="end"/>
      </w:r>
      <w:r w:rsidRPr="00E83F35">
        <w:rPr>
          <w:rFonts w:ascii="Arial" w:hAnsi="Arial" w:cs="Arial"/>
          <w:b/>
          <w:bCs/>
          <w:sz w:val="20"/>
          <w:szCs w:val="14"/>
        </w:rPr>
        <w:t>: Distribution of Farmers by Landholding Category in Aurangabad and Jalna</w:t>
      </w:r>
    </w:p>
    <w:tbl>
      <w:tblPr>
        <w:tblStyle w:val="TableGrid"/>
        <w:tblW w:w="7559" w:type="dxa"/>
        <w:jc w:val="center"/>
        <w:tblLook w:val="04A0" w:firstRow="1" w:lastRow="0" w:firstColumn="1" w:lastColumn="0" w:noHBand="0" w:noVBand="1"/>
      </w:tblPr>
      <w:tblGrid>
        <w:gridCol w:w="2720"/>
        <w:gridCol w:w="1580"/>
        <w:gridCol w:w="1627"/>
        <w:gridCol w:w="1632"/>
      </w:tblGrid>
      <w:tr w:rsidR="00E83F35" w:rsidRPr="00E83F35" w14:paraId="3C0B73F3" w14:textId="77777777" w:rsidTr="00D92052">
        <w:trPr>
          <w:trHeight w:val="321"/>
          <w:jc w:val="center"/>
        </w:trPr>
        <w:tc>
          <w:tcPr>
            <w:tcW w:w="2720" w:type="dxa"/>
            <w:noWrap/>
            <w:hideMark/>
          </w:tcPr>
          <w:p w14:paraId="73517C5D"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Landholding Category</w:t>
            </w:r>
          </w:p>
        </w:tc>
        <w:tc>
          <w:tcPr>
            <w:tcW w:w="1580" w:type="dxa"/>
            <w:noWrap/>
            <w:hideMark/>
          </w:tcPr>
          <w:p w14:paraId="181CEBE1"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Aurangabad</w:t>
            </w:r>
          </w:p>
        </w:tc>
        <w:tc>
          <w:tcPr>
            <w:tcW w:w="1627" w:type="dxa"/>
            <w:noWrap/>
            <w:hideMark/>
          </w:tcPr>
          <w:p w14:paraId="2891E664"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Jalna</w:t>
            </w:r>
          </w:p>
        </w:tc>
        <w:tc>
          <w:tcPr>
            <w:tcW w:w="1632" w:type="dxa"/>
            <w:noWrap/>
            <w:hideMark/>
          </w:tcPr>
          <w:p w14:paraId="00404108"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r>
      <w:tr w:rsidR="00E83F35" w:rsidRPr="00E83F35" w14:paraId="4E0EDEEF" w14:textId="77777777" w:rsidTr="00D92052">
        <w:trPr>
          <w:trHeight w:val="321"/>
          <w:jc w:val="center"/>
        </w:trPr>
        <w:tc>
          <w:tcPr>
            <w:tcW w:w="2720" w:type="dxa"/>
            <w:hideMark/>
          </w:tcPr>
          <w:p w14:paraId="1E6BF2EB"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Marginal Farmers</w:t>
            </w:r>
          </w:p>
        </w:tc>
        <w:tc>
          <w:tcPr>
            <w:tcW w:w="1580" w:type="dxa"/>
            <w:noWrap/>
            <w:hideMark/>
          </w:tcPr>
          <w:p w14:paraId="2E52E7BB" w14:textId="5B9E85C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19</w:t>
            </w:r>
            <w:r w:rsidRPr="00E83F35">
              <w:rPr>
                <w:rFonts w:ascii="Arial" w:eastAsia="Times New Roman" w:hAnsi="Arial" w:cs="Arial"/>
                <w:color w:val="000000"/>
                <w:kern w:val="0"/>
                <w:sz w:val="20"/>
                <w:szCs w:val="20"/>
                <w:lang w:eastAsia="en-IN" w:bidi="mr-IN"/>
                <w14:ligatures w14:val="none"/>
              </w:rPr>
              <w:t xml:space="preserve"> (7.92%)</w:t>
            </w:r>
          </w:p>
        </w:tc>
        <w:tc>
          <w:tcPr>
            <w:tcW w:w="1627" w:type="dxa"/>
            <w:noWrap/>
            <w:hideMark/>
          </w:tcPr>
          <w:p w14:paraId="3D90B9EA" w14:textId="7B4AE82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25</w:t>
            </w:r>
            <w:r w:rsidRPr="00E83F35">
              <w:rPr>
                <w:rFonts w:ascii="Arial" w:eastAsia="Times New Roman" w:hAnsi="Arial" w:cs="Arial"/>
                <w:color w:val="000000"/>
                <w:kern w:val="0"/>
                <w:sz w:val="20"/>
                <w:szCs w:val="20"/>
                <w:lang w:eastAsia="en-IN" w:bidi="mr-IN"/>
                <w14:ligatures w14:val="none"/>
              </w:rPr>
              <w:t xml:space="preserve"> (10.42%)</w:t>
            </w:r>
          </w:p>
        </w:tc>
        <w:tc>
          <w:tcPr>
            <w:tcW w:w="1632" w:type="dxa"/>
            <w:noWrap/>
            <w:hideMark/>
          </w:tcPr>
          <w:p w14:paraId="74391CB2" w14:textId="111B3AC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44 (18.33%)</w:t>
            </w:r>
          </w:p>
        </w:tc>
      </w:tr>
      <w:tr w:rsidR="00E83F35" w:rsidRPr="00E83F35" w14:paraId="359CEDF3" w14:textId="77777777" w:rsidTr="00D92052">
        <w:trPr>
          <w:trHeight w:val="321"/>
          <w:jc w:val="center"/>
        </w:trPr>
        <w:tc>
          <w:tcPr>
            <w:tcW w:w="2720" w:type="dxa"/>
            <w:hideMark/>
          </w:tcPr>
          <w:p w14:paraId="2B8B63D9"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Small Farmers</w:t>
            </w:r>
          </w:p>
        </w:tc>
        <w:tc>
          <w:tcPr>
            <w:tcW w:w="1580" w:type="dxa"/>
            <w:noWrap/>
            <w:hideMark/>
          </w:tcPr>
          <w:p w14:paraId="1D823A53" w14:textId="08A289A1" w:rsidR="009E0BE2" w:rsidRPr="009E0BE2" w:rsidRDefault="009E0BE2" w:rsidP="00E83F35">
            <w:pPr>
              <w:jc w:val="center"/>
              <w:rPr>
                <w:rFonts w:ascii="Arial" w:hAnsi="Arial" w:cs="Arial"/>
                <w:sz w:val="18"/>
                <w:szCs w:val="18"/>
                <w:lang w:eastAsia="en-IN" w:bidi="mr-IN"/>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27" w:type="dxa"/>
            <w:noWrap/>
            <w:hideMark/>
          </w:tcPr>
          <w:p w14:paraId="2804485D" w14:textId="3DE6C50C"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32" w:type="dxa"/>
            <w:noWrap/>
            <w:hideMark/>
          </w:tcPr>
          <w:p w14:paraId="4758D2D4" w14:textId="771B657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88</w:t>
            </w:r>
            <w:r w:rsidRPr="00E83F35">
              <w:rPr>
                <w:rFonts w:ascii="Arial" w:eastAsia="Times New Roman" w:hAnsi="Arial" w:cs="Arial"/>
                <w:b/>
                <w:bCs/>
                <w:color w:val="000000"/>
                <w:kern w:val="0"/>
                <w:sz w:val="20"/>
                <w:szCs w:val="20"/>
                <w:lang w:eastAsia="en-IN" w:bidi="mr-IN"/>
                <w14:ligatures w14:val="none"/>
              </w:rPr>
              <w:t xml:space="preserve"> (36.6</w:t>
            </w:r>
            <w:r w:rsidR="00D92052" w:rsidRPr="00E83F35">
              <w:rPr>
                <w:rFonts w:ascii="Arial" w:eastAsia="Times New Roman" w:hAnsi="Arial" w:cs="Arial"/>
                <w:b/>
                <w:bCs/>
                <w:color w:val="000000"/>
                <w:kern w:val="0"/>
                <w:sz w:val="20"/>
                <w:szCs w:val="20"/>
                <w:lang w:eastAsia="en-IN" w:bidi="mr-IN"/>
                <w14:ligatures w14:val="none"/>
              </w:rPr>
              <w:t>7</w:t>
            </w:r>
            <w:r w:rsidRPr="00E83F35">
              <w:rPr>
                <w:rFonts w:ascii="Arial" w:eastAsia="Times New Roman" w:hAnsi="Arial" w:cs="Arial"/>
                <w:b/>
                <w:bCs/>
                <w:color w:val="000000"/>
                <w:kern w:val="0"/>
                <w:sz w:val="20"/>
                <w:szCs w:val="20"/>
                <w:lang w:eastAsia="en-IN" w:bidi="mr-IN"/>
                <w14:ligatures w14:val="none"/>
              </w:rPr>
              <w:t>%)</w:t>
            </w:r>
          </w:p>
        </w:tc>
      </w:tr>
      <w:tr w:rsidR="00E83F35" w:rsidRPr="00E83F35" w14:paraId="55A42163" w14:textId="77777777" w:rsidTr="00D92052">
        <w:trPr>
          <w:trHeight w:val="321"/>
          <w:jc w:val="center"/>
        </w:trPr>
        <w:tc>
          <w:tcPr>
            <w:tcW w:w="2720" w:type="dxa"/>
            <w:hideMark/>
          </w:tcPr>
          <w:p w14:paraId="6061626F"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Semi-Medium Farmers</w:t>
            </w:r>
          </w:p>
        </w:tc>
        <w:tc>
          <w:tcPr>
            <w:tcW w:w="1580" w:type="dxa"/>
            <w:noWrap/>
            <w:hideMark/>
          </w:tcPr>
          <w:p w14:paraId="130A3064" w14:textId="7A30A18A"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28</w:t>
            </w:r>
            <w:r w:rsidRPr="00E83F35">
              <w:rPr>
                <w:rFonts w:ascii="Arial" w:eastAsia="Times New Roman" w:hAnsi="Arial" w:cs="Arial"/>
                <w:color w:val="000000"/>
                <w:kern w:val="0"/>
                <w:sz w:val="20"/>
                <w:szCs w:val="20"/>
                <w:lang w:eastAsia="en-IN" w:bidi="mr-IN"/>
                <w14:ligatures w14:val="none"/>
              </w:rPr>
              <w:t xml:space="preserve"> (11.67%)</w:t>
            </w:r>
          </w:p>
        </w:tc>
        <w:tc>
          <w:tcPr>
            <w:tcW w:w="1627" w:type="dxa"/>
            <w:noWrap/>
            <w:hideMark/>
          </w:tcPr>
          <w:p w14:paraId="08EF2DAB" w14:textId="3F67D153"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22</w:t>
            </w:r>
            <w:r w:rsidRPr="00E83F35">
              <w:rPr>
                <w:rFonts w:ascii="Arial" w:eastAsia="Times New Roman" w:hAnsi="Arial" w:cs="Arial"/>
                <w:color w:val="000000"/>
                <w:kern w:val="0"/>
                <w:sz w:val="20"/>
                <w:szCs w:val="20"/>
                <w:lang w:eastAsia="en-IN" w:bidi="mr-IN"/>
                <w14:ligatures w14:val="none"/>
              </w:rPr>
              <w:t xml:space="preserve"> (9.67%)</w:t>
            </w:r>
          </w:p>
        </w:tc>
        <w:tc>
          <w:tcPr>
            <w:tcW w:w="1632" w:type="dxa"/>
            <w:noWrap/>
            <w:hideMark/>
          </w:tcPr>
          <w:p w14:paraId="5AB7BB95" w14:textId="28BBE00D"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50</w:t>
            </w:r>
            <w:r w:rsidRPr="00E83F35">
              <w:rPr>
                <w:rFonts w:ascii="Arial" w:eastAsia="Times New Roman" w:hAnsi="Arial" w:cs="Arial"/>
                <w:b/>
                <w:bCs/>
                <w:color w:val="000000"/>
                <w:kern w:val="0"/>
                <w:sz w:val="20"/>
                <w:szCs w:val="20"/>
                <w:lang w:eastAsia="en-IN" w:bidi="mr-IN"/>
                <w14:ligatures w14:val="none"/>
              </w:rPr>
              <w:t xml:space="preserve"> </w:t>
            </w:r>
            <w:r w:rsidR="00D92052" w:rsidRPr="00E83F35">
              <w:rPr>
                <w:rFonts w:ascii="Arial" w:eastAsia="Times New Roman" w:hAnsi="Arial" w:cs="Arial"/>
                <w:b/>
                <w:bCs/>
                <w:color w:val="000000"/>
                <w:kern w:val="0"/>
                <w:sz w:val="20"/>
                <w:szCs w:val="20"/>
                <w:lang w:eastAsia="en-IN" w:bidi="mr-IN"/>
                <w14:ligatures w14:val="none"/>
              </w:rPr>
              <w:t>(20.83%)</w:t>
            </w:r>
          </w:p>
        </w:tc>
      </w:tr>
      <w:tr w:rsidR="00E83F35" w:rsidRPr="00E83F35" w14:paraId="03B2523B" w14:textId="77777777" w:rsidTr="00D92052">
        <w:trPr>
          <w:trHeight w:val="321"/>
          <w:jc w:val="center"/>
        </w:trPr>
        <w:tc>
          <w:tcPr>
            <w:tcW w:w="2720" w:type="dxa"/>
            <w:hideMark/>
          </w:tcPr>
          <w:p w14:paraId="14A1C023"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Medium Farmers</w:t>
            </w:r>
          </w:p>
        </w:tc>
        <w:tc>
          <w:tcPr>
            <w:tcW w:w="1580" w:type="dxa"/>
            <w:noWrap/>
            <w:hideMark/>
          </w:tcPr>
          <w:p w14:paraId="1C54CB25" w14:textId="697422AE"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16</w:t>
            </w:r>
            <w:r w:rsidRPr="00E83F35">
              <w:rPr>
                <w:rFonts w:ascii="Arial" w:eastAsia="Times New Roman" w:hAnsi="Arial" w:cs="Arial"/>
                <w:color w:val="000000"/>
                <w:kern w:val="0"/>
                <w:sz w:val="20"/>
                <w:szCs w:val="20"/>
                <w:lang w:eastAsia="en-IN" w:bidi="mr-IN"/>
                <w14:ligatures w14:val="none"/>
              </w:rPr>
              <w:t xml:space="preserve"> (6.67%)</w:t>
            </w:r>
          </w:p>
        </w:tc>
        <w:tc>
          <w:tcPr>
            <w:tcW w:w="1627" w:type="dxa"/>
            <w:noWrap/>
            <w:hideMark/>
          </w:tcPr>
          <w:p w14:paraId="7C020867" w14:textId="22BF5C2B"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15</w:t>
            </w:r>
            <w:r w:rsidRPr="00E83F35">
              <w:rPr>
                <w:rFonts w:ascii="Arial" w:eastAsia="Times New Roman" w:hAnsi="Arial" w:cs="Arial"/>
                <w:color w:val="000000"/>
                <w:kern w:val="0"/>
                <w:sz w:val="20"/>
                <w:szCs w:val="20"/>
                <w:lang w:eastAsia="en-IN" w:bidi="mr-IN"/>
                <w14:ligatures w14:val="none"/>
              </w:rPr>
              <w:t xml:space="preserve"> (6.25%)</w:t>
            </w:r>
          </w:p>
        </w:tc>
        <w:tc>
          <w:tcPr>
            <w:tcW w:w="1632" w:type="dxa"/>
            <w:noWrap/>
            <w:hideMark/>
          </w:tcPr>
          <w:p w14:paraId="75095FEF" w14:textId="4076738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31</w:t>
            </w:r>
            <w:r w:rsidR="00D92052" w:rsidRPr="00E83F35">
              <w:rPr>
                <w:rFonts w:ascii="Arial" w:eastAsia="Times New Roman" w:hAnsi="Arial" w:cs="Arial"/>
                <w:b/>
                <w:bCs/>
                <w:color w:val="000000"/>
                <w:kern w:val="0"/>
                <w:sz w:val="20"/>
                <w:szCs w:val="20"/>
                <w:lang w:eastAsia="en-IN" w:bidi="mr-IN"/>
                <w14:ligatures w14:val="none"/>
              </w:rPr>
              <w:t xml:space="preserve"> (12.92%)</w:t>
            </w:r>
          </w:p>
        </w:tc>
      </w:tr>
      <w:tr w:rsidR="00E83F35" w:rsidRPr="00E83F35" w14:paraId="3C824908" w14:textId="77777777" w:rsidTr="00D92052">
        <w:trPr>
          <w:trHeight w:val="321"/>
          <w:jc w:val="center"/>
        </w:trPr>
        <w:tc>
          <w:tcPr>
            <w:tcW w:w="2720" w:type="dxa"/>
            <w:hideMark/>
          </w:tcPr>
          <w:p w14:paraId="6B096564"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Large Farmers</w:t>
            </w:r>
          </w:p>
        </w:tc>
        <w:tc>
          <w:tcPr>
            <w:tcW w:w="1580" w:type="dxa"/>
            <w:noWrap/>
            <w:hideMark/>
          </w:tcPr>
          <w:p w14:paraId="6283A3DD" w14:textId="3DEB8A06"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13</w:t>
            </w:r>
            <w:r w:rsidRPr="00E83F35">
              <w:rPr>
                <w:rFonts w:ascii="Arial" w:eastAsia="Times New Roman" w:hAnsi="Arial" w:cs="Arial"/>
                <w:color w:val="000000"/>
                <w:kern w:val="0"/>
                <w:sz w:val="20"/>
                <w:szCs w:val="20"/>
                <w:lang w:eastAsia="en-IN" w:bidi="mr-IN"/>
                <w14:ligatures w14:val="none"/>
              </w:rPr>
              <w:t xml:space="preserve"> (5.42%)</w:t>
            </w:r>
          </w:p>
        </w:tc>
        <w:tc>
          <w:tcPr>
            <w:tcW w:w="1627" w:type="dxa"/>
            <w:noWrap/>
            <w:hideMark/>
          </w:tcPr>
          <w:p w14:paraId="6F323CE9" w14:textId="293EEECD"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14</w:t>
            </w:r>
            <w:r w:rsidRPr="00E83F35">
              <w:rPr>
                <w:rFonts w:ascii="Arial" w:eastAsia="Times New Roman" w:hAnsi="Arial" w:cs="Arial"/>
                <w:color w:val="000000"/>
                <w:kern w:val="0"/>
                <w:sz w:val="20"/>
                <w:szCs w:val="20"/>
                <w:lang w:eastAsia="en-IN" w:bidi="mr-IN"/>
                <w14:ligatures w14:val="none"/>
              </w:rPr>
              <w:t xml:space="preserve"> (5.83%)</w:t>
            </w:r>
          </w:p>
        </w:tc>
        <w:tc>
          <w:tcPr>
            <w:tcW w:w="1632" w:type="dxa"/>
            <w:noWrap/>
            <w:hideMark/>
          </w:tcPr>
          <w:p w14:paraId="7557987F" w14:textId="09CEA46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27</w:t>
            </w:r>
            <w:r w:rsidR="00D92052" w:rsidRPr="00E83F35">
              <w:rPr>
                <w:rFonts w:ascii="Arial" w:eastAsia="Times New Roman" w:hAnsi="Arial" w:cs="Arial"/>
                <w:b/>
                <w:bCs/>
                <w:color w:val="000000"/>
                <w:kern w:val="0"/>
                <w:sz w:val="20"/>
                <w:szCs w:val="20"/>
                <w:lang w:eastAsia="en-IN" w:bidi="mr-IN"/>
                <w14:ligatures w14:val="none"/>
              </w:rPr>
              <w:t xml:space="preserve"> (11.25%)</w:t>
            </w:r>
          </w:p>
        </w:tc>
      </w:tr>
      <w:tr w:rsidR="00E83F35" w:rsidRPr="00E83F35" w14:paraId="0CD765D9" w14:textId="77777777" w:rsidTr="00D92052">
        <w:trPr>
          <w:trHeight w:val="321"/>
          <w:jc w:val="center"/>
        </w:trPr>
        <w:tc>
          <w:tcPr>
            <w:tcW w:w="2720" w:type="dxa"/>
            <w:hideMark/>
          </w:tcPr>
          <w:p w14:paraId="6D388C59"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c>
          <w:tcPr>
            <w:tcW w:w="1580" w:type="dxa"/>
            <w:noWrap/>
            <w:hideMark/>
          </w:tcPr>
          <w:p w14:paraId="2D6D275F" w14:textId="099E082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27" w:type="dxa"/>
            <w:noWrap/>
            <w:hideMark/>
          </w:tcPr>
          <w:p w14:paraId="4F8C36DC" w14:textId="23EFB08F"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32" w:type="dxa"/>
            <w:noWrap/>
            <w:hideMark/>
          </w:tcPr>
          <w:p w14:paraId="51217D79" w14:textId="726481D8"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240</w:t>
            </w:r>
            <w:r w:rsidR="00D92052" w:rsidRPr="00E83F35">
              <w:rPr>
                <w:rFonts w:ascii="Arial" w:eastAsia="Times New Roman" w:hAnsi="Arial" w:cs="Arial"/>
                <w:b/>
                <w:bCs/>
                <w:color w:val="000000"/>
                <w:kern w:val="0"/>
                <w:sz w:val="20"/>
                <w:szCs w:val="20"/>
                <w:lang w:eastAsia="en-IN" w:bidi="mr-IN"/>
                <w14:ligatures w14:val="none"/>
              </w:rPr>
              <w:t xml:space="preserve"> (100%)</w:t>
            </w:r>
          </w:p>
        </w:tc>
      </w:tr>
    </w:tbl>
    <w:p w14:paraId="662AD25A" w14:textId="01940053" w:rsidR="009E0BE2" w:rsidRPr="009E0BE2" w:rsidRDefault="00D92052"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00A63E85" w:rsidRPr="00A63E85">
        <w:rPr>
          <w:rFonts w:ascii="Arial" w:hAnsi="Arial" w:cs="Arial"/>
          <w:i/>
          <w:iCs/>
          <w:sz w:val="20"/>
          <w:szCs w:val="20"/>
        </w:rPr>
        <w:t>Parentheses</w:t>
      </w:r>
      <w:r w:rsidRPr="00E83F35">
        <w:rPr>
          <w:rFonts w:ascii="Arial" w:hAnsi="Arial" w:cs="Arial"/>
          <w:i/>
          <w:iCs/>
          <w:sz w:val="20"/>
          <w:szCs w:val="20"/>
        </w:rPr>
        <w:t xml:space="preserve"> represent percentage</w:t>
      </w:r>
    </w:p>
    <w:p w14:paraId="24D0CC00" w14:textId="4B5244C8" w:rsidR="00AC6B9D" w:rsidRPr="00E83F35" w:rsidRDefault="00512159" w:rsidP="00E83F35">
      <w:pPr>
        <w:spacing w:line="240" w:lineRule="auto"/>
        <w:jc w:val="both"/>
        <w:rPr>
          <w:rFonts w:ascii="Arial" w:hAnsi="Arial" w:cs="Arial"/>
          <w:b/>
          <w:bCs/>
        </w:rPr>
      </w:pPr>
      <w:r w:rsidRPr="00E83F35">
        <w:rPr>
          <w:rFonts w:ascii="Arial" w:hAnsi="Arial" w:cs="Arial"/>
          <w:b/>
          <w:bCs/>
        </w:rPr>
        <w:lastRenderedPageBreak/>
        <w:t>Age Group</w:t>
      </w:r>
    </w:p>
    <w:p w14:paraId="0A15FC40" w14:textId="6C69DB71"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4</w:t>
      </w:r>
      <w:r w:rsidRPr="00E83F35">
        <w:rPr>
          <w:rFonts w:ascii="Arial" w:hAnsi="Arial" w:cs="Arial"/>
          <w:b/>
          <w:bCs/>
          <w:sz w:val="20"/>
          <w:szCs w:val="20"/>
        </w:rPr>
        <w:fldChar w:fldCharType="end"/>
      </w:r>
      <w:r w:rsidRPr="00E83F35">
        <w:rPr>
          <w:rFonts w:ascii="Arial" w:hAnsi="Arial" w:cs="Arial"/>
          <w:b/>
          <w:bCs/>
          <w:sz w:val="20"/>
          <w:szCs w:val="20"/>
        </w:rPr>
        <w:t>: Age Distribution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47"/>
        <w:gridCol w:w="1177"/>
        <w:gridCol w:w="1179"/>
        <w:gridCol w:w="1177"/>
        <w:gridCol w:w="1179"/>
        <w:gridCol w:w="1177"/>
        <w:gridCol w:w="1340"/>
      </w:tblGrid>
      <w:tr w:rsidR="00512159" w:rsidRPr="00E83F35" w14:paraId="2AABCBAC" w14:textId="77777777" w:rsidTr="00512159">
        <w:trPr>
          <w:trHeight w:val="416"/>
        </w:trPr>
        <w:tc>
          <w:tcPr>
            <w:tcW w:w="990" w:type="pct"/>
            <w:gridSpan w:val="2"/>
            <w:vMerge w:val="restart"/>
            <w:shd w:val="clear" w:color="auto" w:fill="auto"/>
            <w:vAlign w:val="center"/>
            <w:hideMark/>
          </w:tcPr>
          <w:p w14:paraId="52DB115E"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DF6ABC3" w14:textId="7B28448F"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393620E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13E65DE" w14:textId="6C9860D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tc>
        <w:tc>
          <w:tcPr>
            <w:tcW w:w="4010" w:type="pct"/>
            <w:gridSpan w:val="6"/>
            <w:shd w:val="clear" w:color="000000" w:fill="A9D08E"/>
            <w:vAlign w:val="center"/>
            <w:hideMark/>
          </w:tcPr>
          <w:p w14:paraId="01D6DB6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Age Group</w:t>
            </w:r>
          </w:p>
        </w:tc>
      </w:tr>
      <w:tr w:rsidR="00512159" w:rsidRPr="00E83F35" w14:paraId="7EB88F54" w14:textId="77777777" w:rsidTr="00512159">
        <w:trPr>
          <w:trHeight w:val="563"/>
        </w:trPr>
        <w:tc>
          <w:tcPr>
            <w:tcW w:w="990" w:type="pct"/>
            <w:gridSpan w:val="2"/>
            <w:vMerge/>
            <w:shd w:val="clear" w:color="auto" w:fill="auto"/>
            <w:vAlign w:val="center"/>
            <w:hideMark/>
          </w:tcPr>
          <w:p w14:paraId="7A72AC10" w14:textId="7B6572E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53" w:type="pct"/>
            <w:shd w:val="clear" w:color="000000" w:fill="E2EFDA"/>
            <w:vAlign w:val="center"/>
            <w:hideMark/>
          </w:tcPr>
          <w:p w14:paraId="1C3FDB2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&lt;30 Years</w:t>
            </w:r>
          </w:p>
        </w:tc>
        <w:tc>
          <w:tcPr>
            <w:tcW w:w="654" w:type="pct"/>
            <w:shd w:val="clear" w:color="000000" w:fill="E2EFDA"/>
            <w:vAlign w:val="center"/>
            <w:hideMark/>
          </w:tcPr>
          <w:p w14:paraId="58C611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30-40 Years</w:t>
            </w:r>
          </w:p>
        </w:tc>
        <w:tc>
          <w:tcPr>
            <w:tcW w:w="653" w:type="pct"/>
            <w:shd w:val="clear" w:color="000000" w:fill="E2EFDA"/>
            <w:vAlign w:val="center"/>
            <w:hideMark/>
          </w:tcPr>
          <w:p w14:paraId="418AC7F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40-50 Years</w:t>
            </w:r>
          </w:p>
        </w:tc>
        <w:tc>
          <w:tcPr>
            <w:tcW w:w="654" w:type="pct"/>
            <w:shd w:val="clear" w:color="000000" w:fill="E2EFDA"/>
            <w:vAlign w:val="center"/>
            <w:hideMark/>
          </w:tcPr>
          <w:p w14:paraId="04255CEB"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50-60 Years</w:t>
            </w:r>
          </w:p>
        </w:tc>
        <w:tc>
          <w:tcPr>
            <w:tcW w:w="653" w:type="pct"/>
            <w:shd w:val="clear" w:color="000000" w:fill="E2EFDA"/>
            <w:vAlign w:val="center"/>
            <w:hideMark/>
          </w:tcPr>
          <w:p w14:paraId="286A5A3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&gt;60 Years</w:t>
            </w:r>
          </w:p>
        </w:tc>
        <w:tc>
          <w:tcPr>
            <w:tcW w:w="744" w:type="pct"/>
            <w:shd w:val="clear" w:color="000000" w:fill="E2EFDA"/>
            <w:vAlign w:val="center"/>
            <w:hideMark/>
          </w:tcPr>
          <w:p w14:paraId="1313EEB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0CC223EB" w14:textId="77777777" w:rsidTr="00512159">
        <w:trPr>
          <w:trHeight w:val="563"/>
        </w:trPr>
        <w:tc>
          <w:tcPr>
            <w:tcW w:w="299" w:type="pct"/>
            <w:vMerge w:val="restart"/>
            <w:shd w:val="clear" w:color="000000" w:fill="FFD966"/>
            <w:noWrap/>
            <w:textDirection w:val="btLr"/>
            <w:vAlign w:val="center"/>
            <w:hideMark/>
          </w:tcPr>
          <w:p w14:paraId="095F8EF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690" w:type="pct"/>
            <w:shd w:val="clear" w:color="000000" w:fill="FFF2CC"/>
            <w:vAlign w:val="center"/>
            <w:hideMark/>
          </w:tcPr>
          <w:p w14:paraId="31FC608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53" w:type="pct"/>
            <w:shd w:val="clear" w:color="auto" w:fill="auto"/>
            <w:vAlign w:val="center"/>
            <w:hideMark/>
          </w:tcPr>
          <w:p w14:paraId="3A105A8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54" w:type="pct"/>
            <w:shd w:val="clear" w:color="auto" w:fill="auto"/>
            <w:vAlign w:val="center"/>
            <w:hideMark/>
          </w:tcPr>
          <w:p w14:paraId="206F044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16 (6.66%)</w:t>
            </w:r>
          </w:p>
        </w:tc>
        <w:tc>
          <w:tcPr>
            <w:tcW w:w="653" w:type="pct"/>
            <w:shd w:val="clear" w:color="auto" w:fill="auto"/>
            <w:vAlign w:val="center"/>
            <w:hideMark/>
          </w:tcPr>
          <w:p w14:paraId="5E03F9F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5998B72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52B7C8E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6FA44A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46B376EF" w14:textId="77777777" w:rsidTr="00512159">
        <w:trPr>
          <w:trHeight w:val="563"/>
        </w:trPr>
        <w:tc>
          <w:tcPr>
            <w:tcW w:w="299" w:type="pct"/>
            <w:vMerge/>
            <w:vAlign w:val="center"/>
            <w:hideMark/>
          </w:tcPr>
          <w:p w14:paraId="0EE8A2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0DB851F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53" w:type="pct"/>
            <w:shd w:val="clear" w:color="auto" w:fill="auto"/>
            <w:vAlign w:val="center"/>
            <w:hideMark/>
          </w:tcPr>
          <w:p w14:paraId="732CCBF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1898AF4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3" w:type="pct"/>
            <w:shd w:val="clear" w:color="auto" w:fill="auto"/>
            <w:vAlign w:val="center"/>
            <w:hideMark/>
          </w:tcPr>
          <w:p w14:paraId="3488D84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(13.34%)</w:t>
            </w:r>
          </w:p>
        </w:tc>
        <w:tc>
          <w:tcPr>
            <w:tcW w:w="654" w:type="pct"/>
            <w:shd w:val="clear" w:color="auto" w:fill="auto"/>
            <w:vAlign w:val="center"/>
            <w:hideMark/>
          </w:tcPr>
          <w:p w14:paraId="00DE49C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3" w:type="pct"/>
            <w:shd w:val="clear" w:color="auto" w:fill="auto"/>
            <w:vAlign w:val="center"/>
            <w:hideMark/>
          </w:tcPr>
          <w:p w14:paraId="6AC128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44" w:type="pct"/>
            <w:shd w:val="clear" w:color="auto" w:fill="auto"/>
            <w:vAlign w:val="center"/>
            <w:hideMark/>
          </w:tcPr>
          <w:p w14:paraId="0F3386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7D040D05" w14:textId="77777777" w:rsidTr="00512159">
        <w:trPr>
          <w:trHeight w:val="563"/>
        </w:trPr>
        <w:tc>
          <w:tcPr>
            <w:tcW w:w="299" w:type="pct"/>
            <w:vMerge/>
            <w:vAlign w:val="center"/>
            <w:hideMark/>
          </w:tcPr>
          <w:p w14:paraId="6DE6958C"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42041D3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53" w:type="pct"/>
            <w:shd w:val="clear" w:color="auto" w:fill="auto"/>
            <w:vAlign w:val="center"/>
            <w:hideMark/>
          </w:tcPr>
          <w:p w14:paraId="32E081B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69DC598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653" w:type="pct"/>
            <w:shd w:val="clear" w:color="auto" w:fill="auto"/>
            <w:vAlign w:val="center"/>
            <w:hideMark/>
          </w:tcPr>
          <w:p w14:paraId="4563CEB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654" w:type="pct"/>
            <w:shd w:val="clear" w:color="auto" w:fill="auto"/>
            <w:vAlign w:val="center"/>
            <w:hideMark/>
          </w:tcPr>
          <w:p w14:paraId="20FEE6B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6DE54A2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105A8DF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405618D9" w14:textId="77777777" w:rsidTr="00512159">
        <w:trPr>
          <w:trHeight w:val="563"/>
        </w:trPr>
        <w:tc>
          <w:tcPr>
            <w:tcW w:w="299" w:type="pct"/>
            <w:vMerge/>
            <w:vAlign w:val="center"/>
            <w:hideMark/>
          </w:tcPr>
          <w:p w14:paraId="1F747B0B"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52A1232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53" w:type="pct"/>
            <w:shd w:val="clear" w:color="auto" w:fill="auto"/>
            <w:vAlign w:val="center"/>
            <w:hideMark/>
          </w:tcPr>
          <w:p w14:paraId="0ACE2D9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4" w:type="pct"/>
            <w:shd w:val="clear" w:color="auto" w:fill="auto"/>
            <w:vAlign w:val="center"/>
            <w:hideMark/>
          </w:tcPr>
          <w:p w14:paraId="22B7C9F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7FCB762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3B8067D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481CB3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44" w:type="pct"/>
            <w:shd w:val="clear" w:color="auto" w:fill="auto"/>
            <w:vAlign w:val="center"/>
            <w:hideMark/>
          </w:tcPr>
          <w:p w14:paraId="102A42E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1D8013F0" w14:textId="77777777" w:rsidTr="00512159">
        <w:trPr>
          <w:trHeight w:val="563"/>
        </w:trPr>
        <w:tc>
          <w:tcPr>
            <w:tcW w:w="299" w:type="pct"/>
            <w:vMerge/>
            <w:vAlign w:val="center"/>
            <w:hideMark/>
          </w:tcPr>
          <w:p w14:paraId="420410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3103806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53" w:type="pct"/>
            <w:shd w:val="clear" w:color="auto" w:fill="auto"/>
            <w:vAlign w:val="center"/>
            <w:hideMark/>
          </w:tcPr>
          <w:p w14:paraId="6E60A88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54" w:type="pct"/>
            <w:shd w:val="clear" w:color="auto" w:fill="auto"/>
            <w:vAlign w:val="center"/>
            <w:hideMark/>
          </w:tcPr>
          <w:p w14:paraId="0D2F4CF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6AA78F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39277C8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3AE01CB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 (4.58%)</w:t>
            </w:r>
          </w:p>
        </w:tc>
        <w:tc>
          <w:tcPr>
            <w:tcW w:w="744" w:type="pct"/>
            <w:shd w:val="clear" w:color="auto" w:fill="auto"/>
            <w:vAlign w:val="center"/>
            <w:hideMark/>
          </w:tcPr>
          <w:p w14:paraId="42BB10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11885C76" w14:textId="77777777" w:rsidTr="00512159">
        <w:trPr>
          <w:trHeight w:val="563"/>
        </w:trPr>
        <w:tc>
          <w:tcPr>
            <w:tcW w:w="299" w:type="pct"/>
            <w:vMerge/>
            <w:vAlign w:val="center"/>
            <w:hideMark/>
          </w:tcPr>
          <w:p w14:paraId="5589B00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1E32240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53" w:type="pct"/>
            <w:shd w:val="clear" w:color="auto" w:fill="auto"/>
            <w:vAlign w:val="center"/>
            <w:hideMark/>
          </w:tcPr>
          <w:p w14:paraId="049DF31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4" w:type="pct"/>
            <w:shd w:val="clear" w:color="auto" w:fill="auto"/>
            <w:vAlign w:val="center"/>
            <w:hideMark/>
          </w:tcPr>
          <w:p w14:paraId="3A82C6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70 (29.16%)</w:t>
            </w:r>
          </w:p>
        </w:tc>
        <w:tc>
          <w:tcPr>
            <w:tcW w:w="653" w:type="pct"/>
            <w:shd w:val="clear" w:color="auto" w:fill="auto"/>
            <w:vAlign w:val="center"/>
            <w:hideMark/>
          </w:tcPr>
          <w:p w14:paraId="45F458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78 (32.51%)</w:t>
            </w:r>
          </w:p>
        </w:tc>
        <w:tc>
          <w:tcPr>
            <w:tcW w:w="654" w:type="pct"/>
            <w:shd w:val="clear" w:color="auto" w:fill="auto"/>
            <w:vAlign w:val="center"/>
            <w:hideMark/>
          </w:tcPr>
          <w:p w14:paraId="4A04807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653" w:type="pct"/>
            <w:shd w:val="clear" w:color="auto" w:fill="auto"/>
            <w:vAlign w:val="center"/>
            <w:hideMark/>
          </w:tcPr>
          <w:p w14:paraId="29C2606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44" w:type="pct"/>
            <w:shd w:val="clear" w:color="auto" w:fill="auto"/>
            <w:vAlign w:val="center"/>
            <w:hideMark/>
          </w:tcPr>
          <w:p w14:paraId="20F928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597F66B" w14:textId="77777777" w:rsidTr="00512159">
        <w:trPr>
          <w:trHeight w:val="563"/>
        </w:trPr>
        <w:tc>
          <w:tcPr>
            <w:tcW w:w="2296" w:type="pct"/>
            <w:gridSpan w:val="4"/>
            <w:shd w:val="clear" w:color="auto" w:fill="auto"/>
            <w:vAlign w:val="center"/>
            <w:hideMark/>
          </w:tcPr>
          <w:p w14:paraId="374FE13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31.97</w:t>
            </w:r>
          </w:p>
        </w:tc>
        <w:tc>
          <w:tcPr>
            <w:tcW w:w="1307" w:type="pct"/>
            <w:gridSpan w:val="2"/>
            <w:shd w:val="clear" w:color="auto" w:fill="auto"/>
            <w:vAlign w:val="center"/>
            <w:hideMark/>
          </w:tcPr>
          <w:p w14:paraId="0E80370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w:t>
            </w:r>
            <w:r w:rsidRPr="00E83F35">
              <w:rPr>
                <w:rFonts w:ascii="Arial" w:eastAsia="Times New Roman" w:hAnsi="Arial" w:cs="Arial"/>
                <w:color w:val="000000"/>
                <w:kern w:val="0"/>
                <w:sz w:val="20"/>
                <w:szCs w:val="20"/>
                <w:lang w:eastAsia="en-IN" w:bidi="mr-IN"/>
                <w14:ligatures w14:val="none"/>
              </w:rPr>
              <w:t xml:space="preserve"> </w:t>
            </w:r>
            <w:r w:rsidRPr="00E83F35">
              <w:rPr>
                <w:rFonts w:ascii="Arial" w:eastAsia="Times New Roman" w:hAnsi="Arial" w:cs="Arial"/>
                <w:b/>
                <w:bCs/>
                <w:color w:val="000000"/>
                <w:kern w:val="0"/>
                <w:sz w:val="20"/>
                <w:szCs w:val="20"/>
                <w:lang w:eastAsia="en-IN" w:bidi="mr-IN"/>
                <w14:ligatures w14:val="none"/>
              </w:rPr>
              <w:t xml:space="preserve">(df): </w:t>
            </w:r>
            <w:r w:rsidRPr="00E83F35">
              <w:rPr>
                <w:rFonts w:ascii="Arial" w:eastAsia="Times New Roman" w:hAnsi="Arial" w:cs="Arial"/>
                <w:color w:val="000000"/>
                <w:kern w:val="0"/>
                <w:sz w:val="20"/>
                <w:szCs w:val="20"/>
                <w:lang w:eastAsia="en-IN" w:bidi="mr-IN"/>
                <w14:ligatures w14:val="none"/>
              </w:rPr>
              <w:t>16</w:t>
            </w:r>
          </w:p>
        </w:tc>
        <w:tc>
          <w:tcPr>
            <w:tcW w:w="1397" w:type="pct"/>
            <w:gridSpan w:val="2"/>
            <w:shd w:val="clear" w:color="auto" w:fill="auto"/>
            <w:vAlign w:val="center"/>
            <w:hideMark/>
          </w:tcPr>
          <w:p w14:paraId="67CCC46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p-value:</w:t>
            </w:r>
            <w:r w:rsidRPr="00E83F35">
              <w:rPr>
                <w:rFonts w:ascii="Arial" w:eastAsia="Times New Roman" w:hAnsi="Arial" w:cs="Arial"/>
                <w:color w:val="000000"/>
                <w:kern w:val="0"/>
                <w:sz w:val="20"/>
                <w:szCs w:val="20"/>
                <w:lang w:eastAsia="en-IN" w:bidi="mr-IN"/>
                <w14:ligatures w14:val="none"/>
              </w:rPr>
              <w:t xml:space="preserve"> 0.010</w:t>
            </w:r>
          </w:p>
        </w:tc>
      </w:tr>
      <w:tr w:rsidR="00512159" w:rsidRPr="00E83F35" w14:paraId="0A4078E6" w14:textId="77777777" w:rsidTr="00512159">
        <w:trPr>
          <w:trHeight w:val="563"/>
        </w:trPr>
        <w:tc>
          <w:tcPr>
            <w:tcW w:w="5000" w:type="pct"/>
            <w:gridSpan w:val="8"/>
            <w:shd w:val="clear" w:color="auto" w:fill="auto"/>
            <w:vAlign w:val="center"/>
            <w:hideMark/>
          </w:tcPr>
          <w:p w14:paraId="21D52D8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Interpretation: </w:t>
            </w:r>
            <w:r w:rsidRPr="00E83F35">
              <w:rPr>
                <w:rFonts w:ascii="Arial" w:eastAsia="Times New Roman" w:hAnsi="Arial" w:cs="Arial"/>
                <w:color w:val="000000"/>
                <w:kern w:val="0"/>
                <w:sz w:val="20"/>
                <w:szCs w:val="20"/>
                <w:lang w:eastAsia="en-IN" w:bidi="mr-IN"/>
                <w14:ligatures w14:val="none"/>
              </w:rPr>
              <w:t>The p-value is less than 0.05, indicating a significant association between age group and landholding categories.</w:t>
            </w:r>
          </w:p>
        </w:tc>
      </w:tr>
    </w:tbl>
    <w:p w14:paraId="6EF93B13" w14:textId="56C710B3"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00A63E85" w:rsidRPr="00A63E85">
        <w:rPr>
          <w:rFonts w:ascii="Arial" w:hAnsi="Arial" w:cs="Arial"/>
          <w:i/>
          <w:iCs/>
          <w:sz w:val="20"/>
          <w:szCs w:val="20"/>
        </w:rPr>
        <w:t>Parentheses</w:t>
      </w:r>
      <w:r w:rsidRPr="00E83F35">
        <w:rPr>
          <w:rFonts w:ascii="Arial" w:hAnsi="Arial" w:cs="Arial"/>
          <w:i/>
          <w:iCs/>
          <w:sz w:val="20"/>
          <w:szCs w:val="20"/>
        </w:rPr>
        <w:t xml:space="preserve"> represent percentage</w:t>
      </w:r>
    </w:p>
    <w:p w14:paraId="0EE8C35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shown in </w:t>
      </w:r>
      <w:r w:rsidRPr="00512159">
        <w:rPr>
          <w:rFonts w:ascii="Arial" w:hAnsi="Arial" w:cs="Arial"/>
          <w:b/>
          <w:bCs/>
          <w:sz w:val="20"/>
          <w:szCs w:val="20"/>
        </w:rPr>
        <w:t>Table 4,</w:t>
      </w:r>
      <w:r w:rsidRPr="00512159">
        <w:rPr>
          <w:rFonts w:ascii="Arial" w:hAnsi="Arial" w:cs="Arial"/>
          <w:sz w:val="20"/>
          <w:szCs w:val="20"/>
        </w:rPr>
        <w:t xml:space="preserve"> the age-wise distribution of cotton growers indicates that the majority of respondents fell within the 40–50 years age group, representing 32.51 percent of the total sample. This suggests that middle-aged individuals are most actively engaged in cotton cultivation across various landholding categories. The next highest concentration was in the 30–40 years group (29.16 percent), followed by the 50–60 years and above 60 years groups, contributing 13.33 percent and 12.50 percent, respectively. Farmers aged below 30 years accounted for only 12.50 percent, indicating relatively low involvement of younger individuals in cotton farming.</w:t>
      </w:r>
    </w:p>
    <w:p w14:paraId="12999CD2"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A breakdown of the data in Table 4 shows that small and semi-medium farmers dominate the working-age population, particularly between 30 and 50 years, while large farmers had a higher share of individuals aged over 60 years. This could imply greater generational landholding retention among larger farmers and more direct operational involvement among the small and semi-medium categories.</w:t>
      </w:r>
    </w:p>
    <w:p w14:paraId="2A21E614"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chi-square test results in Table 4 further establish a statistically significant association between age group and landholding category (χ² = 31.97, df = 16, p = 0.010). Since the p-value is less than 0.05, it confirms that the age composition of farmers varies significantly with their landholding size.</w:t>
      </w:r>
    </w:p>
    <w:p w14:paraId="01EF5952" w14:textId="37D2A2BE" w:rsidR="006D03DA" w:rsidRPr="00E83F35" w:rsidRDefault="00512159" w:rsidP="00E83F35">
      <w:pPr>
        <w:spacing w:line="240" w:lineRule="auto"/>
        <w:rPr>
          <w:rFonts w:ascii="Arial" w:hAnsi="Arial" w:cs="Arial"/>
          <w:b/>
          <w:bCs/>
        </w:rPr>
      </w:pPr>
      <w:r w:rsidRPr="00E83F35">
        <w:rPr>
          <w:rFonts w:ascii="Arial" w:hAnsi="Arial" w:cs="Arial"/>
          <w:b/>
          <w:bCs/>
        </w:rPr>
        <w:t>Literacy Level</w:t>
      </w:r>
    </w:p>
    <w:p w14:paraId="122D851B" w14:textId="390EBA96"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5</w:t>
      </w:r>
      <w:r w:rsidRPr="00E83F35">
        <w:rPr>
          <w:rFonts w:ascii="Arial" w:hAnsi="Arial" w:cs="Arial"/>
          <w:b/>
          <w:bCs/>
          <w:sz w:val="20"/>
          <w:szCs w:val="20"/>
        </w:rPr>
        <w:fldChar w:fldCharType="end"/>
      </w:r>
      <w:r w:rsidRPr="00E83F35">
        <w:rPr>
          <w:rFonts w:ascii="Arial" w:hAnsi="Arial" w:cs="Arial"/>
          <w:b/>
          <w:bCs/>
          <w:sz w:val="20"/>
          <w:szCs w:val="20"/>
        </w:rPr>
        <w:t>: Literacy level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79"/>
        <w:gridCol w:w="1120"/>
        <w:gridCol w:w="1123"/>
        <w:gridCol w:w="1300"/>
        <w:gridCol w:w="1300"/>
        <w:gridCol w:w="1206"/>
        <w:gridCol w:w="1277"/>
      </w:tblGrid>
      <w:tr w:rsidR="00512159" w:rsidRPr="00E83F35" w14:paraId="7B8A43EB" w14:textId="77777777" w:rsidTr="00512159">
        <w:trPr>
          <w:trHeight w:val="510"/>
        </w:trPr>
        <w:tc>
          <w:tcPr>
            <w:tcW w:w="937" w:type="pct"/>
            <w:gridSpan w:val="2"/>
            <w:vMerge w:val="restart"/>
            <w:shd w:val="clear" w:color="auto" w:fill="auto"/>
            <w:vAlign w:val="center"/>
            <w:hideMark/>
          </w:tcPr>
          <w:p w14:paraId="13E81F7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4063" w:type="pct"/>
            <w:gridSpan w:val="6"/>
            <w:shd w:val="clear" w:color="000000" w:fill="A9D08E"/>
            <w:vAlign w:val="center"/>
            <w:hideMark/>
          </w:tcPr>
          <w:p w14:paraId="4B0AE1E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Literacy Level</w:t>
            </w:r>
          </w:p>
        </w:tc>
      </w:tr>
      <w:tr w:rsidR="00512159" w:rsidRPr="00E83F35" w14:paraId="0C801D52" w14:textId="77777777" w:rsidTr="00512159">
        <w:trPr>
          <w:trHeight w:val="510"/>
        </w:trPr>
        <w:tc>
          <w:tcPr>
            <w:tcW w:w="937" w:type="pct"/>
            <w:gridSpan w:val="2"/>
            <w:vMerge/>
            <w:shd w:val="clear" w:color="auto" w:fill="auto"/>
            <w:vAlign w:val="center"/>
            <w:hideMark/>
          </w:tcPr>
          <w:p w14:paraId="34AB259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21" w:type="pct"/>
            <w:shd w:val="clear" w:color="000000" w:fill="E2EFDA"/>
            <w:vAlign w:val="center"/>
            <w:hideMark/>
          </w:tcPr>
          <w:p w14:paraId="24CD811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Illiterate</w:t>
            </w:r>
          </w:p>
        </w:tc>
        <w:tc>
          <w:tcPr>
            <w:tcW w:w="623" w:type="pct"/>
            <w:shd w:val="clear" w:color="000000" w:fill="E2EFDA"/>
            <w:vAlign w:val="center"/>
            <w:hideMark/>
          </w:tcPr>
          <w:p w14:paraId="7ADD8C5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Primary</w:t>
            </w:r>
          </w:p>
        </w:tc>
        <w:tc>
          <w:tcPr>
            <w:tcW w:w="721" w:type="pct"/>
            <w:shd w:val="clear" w:color="000000" w:fill="E2EFDA"/>
            <w:vAlign w:val="center"/>
            <w:hideMark/>
          </w:tcPr>
          <w:p w14:paraId="205EE38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Secondary</w:t>
            </w:r>
          </w:p>
        </w:tc>
        <w:tc>
          <w:tcPr>
            <w:tcW w:w="721" w:type="pct"/>
            <w:shd w:val="clear" w:color="000000" w:fill="E2EFDA"/>
            <w:vAlign w:val="center"/>
            <w:hideMark/>
          </w:tcPr>
          <w:p w14:paraId="734B120C"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Higher Secondary</w:t>
            </w:r>
          </w:p>
        </w:tc>
        <w:tc>
          <w:tcPr>
            <w:tcW w:w="669" w:type="pct"/>
            <w:shd w:val="clear" w:color="000000" w:fill="E2EFDA"/>
            <w:vAlign w:val="center"/>
            <w:hideMark/>
          </w:tcPr>
          <w:p w14:paraId="2200410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Graduate and above</w:t>
            </w:r>
          </w:p>
        </w:tc>
        <w:tc>
          <w:tcPr>
            <w:tcW w:w="708" w:type="pct"/>
            <w:shd w:val="clear" w:color="000000" w:fill="E2EFDA"/>
            <w:vAlign w:val="center"/>
            <w:hideMark/>
          </w:tcPr>
          <w:p w14:paraId="7ECCA9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6B8BBBA2" w14:textId="77777777" w:rsidTr="00512159">
        <w:trPr>
          <w:trHeight w:val="510"/>
        </w:trPr>
        <w:tc>
          <w:tcPr>
            <w:tcW w:w="283" w:type="pct"/>
            <w:vMerge w:val="restart"/>
            <w:shd w:val="clear" w:color="000000" w:fill="FFD966"/>
            <w:noWrap/>
            <w:textDirection w:val="btLr"/>
            <w:vAlign w:val="center"/>
            <w:hideMark/>
          </w:tcPr>
          <w:p w14:paraId="29F1825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654" w:type="pct"/>
            <w:shd w:val="clear" w:color="000000" w:fill="FFF2CC"/>
            <w:vAlign w:val="center"/>
            <w:hideMark/>
          </w:tcPr>
          <w:p w14:paraId="3123371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21" w:type="pct"/>
            <w:shd w:val="clear" w:color="auto" w:fill="auto"/>
            <w:vAlign w:val="center"/>
            <w:hideMark/>
          </w:tcPr>
          <w:p w14:paraId="2F05A9F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623" w:type="pct"/>
            <w:shd w:val="clear" w:color="auto" w:fill="auto"/>
            <w:vAlign w:val="center"/>
            <w:hideMark/>
          </w:tcPr>
          <w:p w14:paraId="0755B06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D5C890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62019AD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69" w:type="pct"/>
            <w:shd w:val="clear" w:color="auto" w:fill="auto"/>
            <w:vAlign w:val="center"/>
            <w:hideMark/>
          </w:tcPr>
          <w:p w14:paraId="729D5D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08" w:type="pct"/>
            <w:shd w:val="clear" w:color="auto" w:fill="auto"/>
            <w:vAlign w:val="center"/>
            <w:hideMark/>
          </w:tcPr>
          <w:p w14:paraId="1A05CCB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3A2936FE" w14:textId="77777777" w:rsidTr="00512159">
        <w:trPr>
          <w:trHeight w:val="510"/>
        </w:trPr>
        <w:tc>
          <w:tcPr>
            <w:tcW w:w="283" w:type="pct"/>
            <w:vMerge/>
            <w:vAlign w:val="center"/>
            <w:hideMark/>
          </w:tcPr>
          <w:p w14:paraId="6AAA1B4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1AE6571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21" w:type="pct"/>
            <w:shd w:val="clear" w:color="auto" w:fill="auto"/>
            <w:vAlign w:val="center"/>
            <w:hideMark/>
          </w:tcPr>
          <w:p w14:paraId="11A768A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23" w:type="pct"/>
            <w:shd w:val="clear" w:color="auto" w:fill="auto"/>
            <w:vAlign w:val="center"/>
            <w:hideMark/>
          </w:tcPr>
          <w:p w14:paraId="5E66354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21" w:type="pct"/>
            <w:shd w:val="clear" w:color="auto" w:fill="auto"/>
            <w:vAlign w:val="center"/>
            <w:hideMark/>
          </w:tcPr>
          <w:p w14:paraId="12165BC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721" w:type="pct"/>
            <w:shd w:val="clear" w:color="auto" w:fill="auto"/>
            <w:vAlign w:val="center"/>
            <w:hideMark/>
          </w:tcPr>
          <w:p w14:paraId="7ECCA91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669" w:type="pct"/>
            <w:shd w:val="clear" w:color="auto" w:fill="auto"/>
            <w:vAlign w:val="center"/>
            <w:hideMark/>
          </w:tcPr>
          <w:p w14:paraId="0C803E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2EE249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0E836C61" w14:textId="77777777" w:rsidTr="00512159">
        <w:trPr>
          <w:trHeight w:val="510"/>
        </w:trPr>
        <w:tc>
          <w:tcPr>
            <w:tcW w:w="283" w:type="pct"/>
            <w:vMerge/>
            <w:vAlign w:val="center"/>
            <w:hideMark/>
          </w:tcPr>
          <w:p w14:paraId="5A2F832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6BC7DAB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21" w:type="pct"/>
            <w:shd w:val="clear" w:color="auto" w:fill="auto"/>
            <w:vAlign w:val="center"/>
            <w:hideMark/>
          </w:tcPr>
          <w:p w14:paraId="6D1F87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23" w:type="pct"/>
            <w:shd w:val="clear" w:color="auto" w:fill="auto"/>
            <w:vAlign w:val="center"/>
            <w:hideMark/>
          </w:tcPr>
          <w:p w14:paraId="6DABDE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59172F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21" w:type="pct"/>
            <w:shd w:val="clear" w:color="auto" w:fill="auto"/>
            <w:vAlign w:val="center"/>
            <w:hideMark/>
          </w:tcPr>
          <w:p w14:paraId="67F44DD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225BF2E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3C8327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3F0DE9A5" w14:textId="77777777" w:rsidTr="00512159">
        <w:trPr>
          <w:trHeight w:val="510"/>
        </w:trPr>
        <w:tc>
          <w:tcPr>
            <w:tcW w:w="283" w:type="pct"/>
            <w:vMerge/>
            <w:vAlign w:val="center"/>
            <w:hideMark/>
          </w:tcPr>
          <w:p w14:paraId="62E1761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7E7C3AA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21" w:type="pct"/>
            <w:shd w:val="clear" w:color="auto" w:fill="auto"/>
            <w:vAlign w:val="center"/>
            <w:hideMark/>
          </w:tcPr>
          <w:p w14:paraId="7EE3F56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623" w:type="pct"/>
            <w:shd w:val="clear" w:color="auto" w:fill="auto"/>
            <w:vAlign w:val="center"/>
            <w:hideMark/>
          </w:tcPr>
          <w:p w14:paraId="0A49983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21" w:type="pct"/>
            <w:shd w:val="clear" w:color="auto" w:fill="auto"/>
            <w:vAlign w:val="center"/>
            <w:hideMark/>
          </w:tcPr>
          <w:p w14:paraId="4461CB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76B5A85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3208470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708" w:type="pct"/>
            <w:shd w:val="clear" w:color="auto" w:fill="auto"/>
            <w:vAlign w:val="center"/>
            <w:hideMark/>
          </w:tcPr>
          <w:p w14:paraId="0298E82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68499300" w14:textId="77777777" w:rsidTr="00512159">
        <w:trPr>
          <w:trHeight w:val="510"/>
        </w:trPr>
        <w:tc>
          <w:tcPr>
            <w:tcW w:w="283" w:type="pct"/>
            <w:vMerge/>
            <w:vAlign w:val="center"/>
            <w:hideMark/>
          </w:tcPr>
          <w:p w14:paraId="13C9268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26D6D8E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21" w:type="pct"/>
            <w:shd w:val="clear" w:color="auto" w:fill="auto"/>
            <w:vAlign w:val="center"/>
            <w:hideMark/>
          </w:tcPr>
          <w:p w14:paraId="1B4B54E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23" w:type="pct"/>
            <w:shd w:val="clear" w:color="auto" w:fill="auto"/>
            <w:vAlign w:val="center"/>
            <w:hideMark/>
          </w:tcPr>
          <w:p w14:paraId="340422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1" w:type="pct"/>
            <w:shd w:val="clear" w:color="auto" w:fill="auto"/>
            <w:vAlign w:val="center"/>
            <w:hideMark/>
          </w:tcPr>
          <w:p w14:paraId="1DAB0A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45B2E7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69" w:type="pct"/>
            <w:shd w:val="clear" w:color="auto" w:fill="auto"/>
            <w:vAlign w:val="center"/>
            <w:hideMark/>
          </w:tcPr>
          <w:p w14:paraId="7B5F2A5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08" w:type="pct"/>
            <w:shd w:val="clear" w:color="auto" w:fill="auto"/>
            <w:vAlign w:val="center"/>
            <w:hideMark/>
          </w:tcPr>
          <w:p w14:paraId="0CE92BF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6FC3EE97" w14:textId="77777777" w:rsidTr="00512159">
        <w:trPr>
          <w:trHeight w:val="510"/>
        </w:trPr>
        <w:tc>
          <w:tcPr>
            <w:tcW w:w="283" w:type="pct"/>
            <w:vMerge/>
            <w:vAlign w:val="center"/>
            <w:hideMark/>
          </w:tcPr>
          <w:p w14:paraId="69995E2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3BBD37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21" w:type="pct"/>
            <w:shd w:val="clear" w:color="auto" w:fill="auto"/>
            <w:vAlign w:val="center"/>
            <w:hideMark/>
          </w:tcPr>
          <w:p w14:paraId="64FBEB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23" w:type="pct"/>
            <w:shd w:val="clear" w:color="auto" w:fill="auto"/>
            <w:vAlign w:val="center"/>
            <w:hideMark/>
          </w:tcPr>
          <w:p w14:paraId="2F96F71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64 (26.67%)</w:t>
            </w:r>
          </w:p>
        </w:tc>
        <w:tc>
          <w:tcPr>
            <w:tcW w:w="721" w:type="pct"/>
            <w:shd w:val="clear" w:color="auto" w:fill="auto"/>
            <w:vAlign w:val="center"/>
            <w:hideMark/>
          </w:tcPr>
          <w:p w14:paraId="4D91B08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82 (34.17%)</w:t>
            </w:r>
          </w:p>
        </w:tc>
        <w:tc>
          <w:tcPr>
            <w:tcW w:w="721" w:type="pct"/>
            <w:shd w:val="clear" w:color="auto" w:fill="auto"/>
            <w:vAlign w:val="center"/>
            <w:hideMark/>
          </w:tcPr>
          <w:p w14:paraId="692D10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69" w:type="pct"/>
            <w:shd w:val="clear" w:color="auto" w:fill="auto"/>
            <w:vAlign w:val="center"/>
            <w:hideMark/>
          </w:tcPr>
          <w:p w14:paraId="00DD89A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08" w:type="pct"/>
            <w:shd w:val="clear" w:color="auto" w:fill="auto"/>
            <w:vAlign w:val="center"/>
            <w:hideMark/>
          </w:tcPr>
          <w:p w14:paraId="4DF5F4F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4A3A996" w14:textId="77777777" w:rsidTr="00512159">
        <w:trPr>
          <w:trHeight w:val="510"/>
        </w:trPr>
        <w:tc>
          <w:tcPr>
            <w:tcW w:w="2181" w:type="pct"/>
            <w:gridSpan w:val="4"/>
            <w:shd w:val="clear" w:color="auto" w:fill="auto"/>
            <w:vAlign w:val="center"/>
            <w:hideMark/>
          </w:tcPr>
          <w:p w14:paraId="4AA4FF0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28.12</w:t>
            </w:r>
          </w:p>
        </w:tc>
        <w:tc>
          <w:tcPr>
            <w:tcW w:w="1442" w:type="pct"/>
            <w:gridSpan w:val="2"/>
            <w:shd w:val="clear" w:color="auto" w:fill="auto"/>
            <w:vAlign w:val="center"/>
            <w:hideMark/>
          </w:tcPr>
          <w:p w14:paraId="36D7B5C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16</w:t>
            </w:r>
          </w:p>
        </w:tc>
        <w:tc>
          <w:tcPr>
            <w:tcW w:w="1377" w:type="pct"/>
            <w:gridSpan w:val="2"/>
            <w:shd w:val="clear" w:color="auto" w:fill="auto"/>
            <w:vAlign w:val="center"/>
            <w:hideMark/>
          </w:tcPr>
          <w:p w14:paraId="0C65B37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0.031</w:t>
            </w:r>
          </w:p>
        </w:tc>
      </w:tr>
      <w:tr w:rsidR="00512159" w:rsidRPr="00E83F35" w14:paraId="755B1BA9" w14:textId="77777777" w:rsidTr="00512159">
        <w:trPr>
          <w:trHeight w:val="510"/>
        </w:trPr>
        <w:tc>
          <w:tcPr>
            <w:tcW w:w="5000" w:type="pct"/>
            <w:gridSpan w:val="8"/>
            <w:shd w:val="clear" w:color="auto" w:fill="auto"/>
            <w:vAlign w:val="center"/>
            <w:hideMark/>
          </w:tcPr>
          <w:p w14:paraId="05ADBDE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literacy level and landholding categories.</w:t>
            </w:r>
          </w:p>
        </w:tc>
      </w:tr>
    </w:tbl>
    <w:p w14:paraId="16620F9A" w14:textId="4AEB3216"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00A63E85" w:rsidRPr="00A63E85">
        <w:rPr>
          <w:rFonts w:ascii="Arial" w:hAnsi="Arial" w:cs="Arial"/>
          <w:i/>
          <w:iCs/>
          <w:sz w:val="20"/>
          <w:szCs w:val="20"/>
        </w:rPr>
        <w:t>Parentheses</w:t>
      </w:r>
      <w:r w:rsidRPr="00E83F35">
        <w:rPr>
          <w:rFonts w:ascii="Arial" w:hAnsi="Arial" w:cs="Arial"/>
          <w:i/>
          <w:iCs/>
          <w:sz w:val="20"/>
          <w:szCs w:val="20"/>
        </w:rPr>
        <w:t xml:space="preserve"> represent percentage</w:t>
      </w:r>
    </w:p>
    <w:p w14:paraId="75699491"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reflected in </w:t>
      </w:r>
      <w:r w:rsidRPr="00512159">
        <w:rPr>
          <w:rFonts w:ascii="Arial" w:hAnsi="Arial" w:cs="Arial"/>
          <w:b/>
          <w:bCs/>
          <w:sz w:val="20"/>
          <w:szCs w:val="20"/>
        </w:rPr>
        <w:t>Table 5,</w:t>
      </w:r>
      <w:r w:rsidRPr="00512159">
        <w:rPr>
          <w:rFonts w:ascii="Arial" w:hAnsi="Arial" w:cs="Arial"/>
          <w:sz w:val="20"/>
          <w:szCs w:val="20"/>
        </w:rPr>
        <w:t xml:space="preserve"> the literacy status of cotton growers varied notably across landholding categories. The majority of respondents had attained secondary education, comprising 34.17 percent of the total sample. This was followed by those with primary education (26.67%) and higher secondary education (15.83%). Farmers who were illiterate formed 15.83 percent of the total, while only 7.5 percent had attained graduate-level or higher education.</w:t>
      </w:r>
    </w:p>
    <w:p w14:paraId="6E7564A7"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data indicates that small and semi-medium farmers were relatively better educated at the secondary level, while a larger share of marginal farmers was illiterate (15 out of 44, or 6.25% of the total sample). Large farmers, despite their smaller numbers, had a comparatively higher proportion of graduates and above, suggesting a potential link between higher education and larger landownership.</w:t>
      </w:r>
    </w:p>
    <w:p w14:paraId="28A33CC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The statistical test presented in </w:t>
      </w:r>
      <w:r w:rsidRPr="00512159">
        <w:rPr>
          <w:rFonts w:ascii="Arial" w:hAnsi="Arial" w:cs="Arial"/>
          <w:b/>
          <w:bCs/>
          <w:sz w:val="20"/>
          <w:szCs w:val="20"/>
        </w:rPr>
        <w:t>Table 5</w:t>
      </w:r>
      <w:r w:rsidRPr="00512159">
        <w:rPr>
          <w:rFonts w:ascii="Arial" w:hAnsi="Arial" w:cs="Arial"/>
          <w:sz w:val="20"/>
          <w:szCs w:val="20"/>
        </w:rPr>
        <w:t xml:space="preserve"> confirms a significant association between literacy level and landholding size. The chi-square value of 28.12 with 16 degrees of freedom yielded a p-value of 0.031, which is below the 0.05 threshold. This indicates that literacy levels are not evenly distributed across different landholding groups and may influence, or be influenced by, the scale of farming operations.</w:t>
      </w:r>
    </w:p>
    <w:p w14:paraId="4E359905" w14:textId="5A706C6B" w:rsidR="00512159" w:rsidRPr="00E83F35" w:rsidRDefault="00B7240B" w:rsidP="00E83F35">
      <w:pPr>
        <w:spacing w:line="240" w:lineRule="auto"/>
        <w:rPr>
          <w:rFonts w:ascii="Arial" w:hAnsi="Arial" w:cs="Arial"/>
          <w:b/>
          <w:bCs/>
        </w:rPr>
      </w:pPr>
      <w:r w:rsidRPr="00E83F35">
        <w:rPr>
          <w:rFonts w:ascii="Arial" w:hAnsi="Arial" w:cs="Arial"/>
          <w:b/>
          <w:bCs/>
        </w:rPr>
        <w:t>Family Size</w:t>
      </w:r>
    </w:p>
    <w:p w14:paraId="2907FFB7" w14:textId="7A6CD7E2"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6</w:t>
      </w:r>
      <w:r w:rsidRPr="00E83F35">
        <w:rPr>
          <w:rFonts w:ascii="Arial" w:hAnsi="Arial" w:cs="Arial"/>
          <w:b/>
          <w:bCs/>
          <w:sz w:val="20"/>
          <w:szCs w:val="20"/>
        </w:rPr>
        <w:fldChar w:fldCharType="end"/>
      </w:r>
      <w:r w:rsidRPr="00E83F35">
        <w:rPr>
          <w:rFonts w:ascii="Arial" w:hAnsi="Arial" w:cs="Arial"/>
          <w:b/>
          <w:bCs/>
          <w:sz w:val="20"/>
          <w:szCs w:val="20"/>
        </w:rPr>
        <w:t>: Family Size of Cotton growers across landholding categories</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797"/>
        <w:gridCol w:w="1392"/>
        <w:gridCol w:w="1430"/>
        <w:gridCol w:w="1360"/>
        <w:gridCol w:w="1366"/>
        <w:gridCol w:w="1574"/>
      </w:tblGrid>
      <w:tr w:rsidR="00B7240B" w:rsidRPr="00E83F35" w14:paraId="303901CA" w14:textId="77777777" w:rsidTr="00B7240B">
        <w:trPr>
          <w:trHeight w:val="398"/>
        </w:trPr>
        <w:tc>
          <w:tcPr>
            <w:tcW w:w="1250" w:type="pct"/>
            <w:gridSpan w:val="2"/>
            <w:vMerge w:val="restart"/>
            <w:shd w:val="clear" w:color="auto" w:fill="auto"/>
            <w:vAlign w:val="center"/>
            <w:hideMark/>
          </w:tcPr>
          <w:p w14:paraId="2BB240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750" w:type="pct"/>
            <w:gridSpan w:val="5"/>
            <w:shd w:val="clear" w:color="000000" w:fill="A9D08E"/>
            <w:vAlign w:val="center"/>
            <w:hideMark/>
          </w:tcPr>
          <w:p w14:paraId="705CB92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Family Size</w:t>
            </w:r>
          </w:p>
        </w:tc>
      </w:tr>
      <w:tr w:rsidR="00B7240B" w:rsidRPr="00E83F35" w14:paraId="750082C1" w14:textId="77777777" w:rsidTr="00B7240B">
        <w:trPr>
          <w:trHeight w:val="510"/>
        </w:trPr>
        <w:tc>
          <w:tcPr>
            <w:tcW w:w="1250" w:type="pct"/>
            <w:gridSpan w:val="2"/>
            <w:vMerge/>
            <w:shd w:val="clear" w:color="auto" w:fill="auto"/>
            <w:vAlign w:val="center"/>
            <w:hideMark/>
          </w:tcPr>
          <w:p w14:paraId="0DD356A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733" w:type="pct"/>
            <w:shd w:val="clear" w:color="000000" w:fill="E2EFDA"/>
            <w:vAlign w:val="center"/>
            <w:hideMark/>
          </w:tcPr>
          <w:p w14:paraId="7FB115C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1-3 Members</w:t>
            </w:r>
          </w:p>
        </w:tc>
        <w:tc>
          <w:tcPr>
            <w:tcW w:w="753" w:type="pct"/>
            <w:shd w:val="clear" w:color="000000" w:fill="E2EFDA"/>
            <w:vAlign w:val="center"/>
            <w:hideMark/>
          </w:tcPr>
          <w:p w14:paraId="479D081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4-6 Members</w:t>
            </w:r>
          </w:p>
        </w:tc>
        <w:tc>
          <w:tcPr>
            <w:tcW w:w="716" w:type="pct"/>
            <w:shd w:val="clear" w:color="000000" w:fill="E2EFDA"/>
            <w:vAlign w:val="center"/>
            <w:hideMark/>
          </w:tcPr>
          <w:p w14:paraId="6E4D7A4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7-9 Members</w:t>
            </w:r>
          </w:p>
        </w:tc>
        <w:tc>
          <w:tcPr>
            <w:tcW w:w="719" w:type="pct"/>
            <w:shd w:val="clear" w:color="000000" w:fill="E2EFDA"/>
            <w:vAlign w:val="center"/>
            <w:hideMark/>
          </w:tcPr>
          <w:p w14:paraId="2D5901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&gt;9 Members</w:t>
            </w:r>
          </w:p>
        </w:tc>
        <w:tc>
          <w:tcPr>
            <w:tcW w:w="829" w:type="pct"/>
            <w:shd w:val="clear" w:color="000000" w:fill="E2EFDA"/>
            <w:vAlign w:val="center"/>
            <w:hideMark/>
          </w:tcPr>
          <w:p w14:paraId="4A88967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05549250" w14:textId="77777777" w:rsidTr="00B7240B">
        <w:trPr>
          <w:trHeight w:val="510"/>
        </w:trPr>
        <w:tc>
          <w:tcPr>
            <w:tcW w:w="304" w:type="pct"/>
            <w:vMerge w:val="restart"/>
            <w:shd w:val="clear" w:color="000000" w:fill="FFD966"/>
            <w:noWrap/>
            <w:textDirection w:val="btLr"/>
            <w:vAlign w:val="center"/>
            <w:hideMark/>
          </w:tcPr>
          <w:p w14:paraId="2FA523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46" w:type="pct"/>
            <w:shd w:val="clear" w:color="000000" w:fill="FFF2CC"/>
            <w:vAlign w:val="center"/>
            <w:hideMark/>
          </w:tcPr>
          <w:p w14:paraId="6D43089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33" w:type="pct"/>
            <w:shd w:val="clear" w:color="auto" w:fill="auto"/>
            <w:vAlign w:val="center"/>
            <w:hideMark/>
          </w:tcPr>
          <w:p w14:paraId="3FADEFE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53" w:type="pct"/>
            <w:shd w:val="clear" w:color="auto" w:fill="auto"/>
            <w:vAlign w:val="center"/>
            <w:hideMark/>
          </w:tcPr>
          <w:p w14:paraId="0EDA848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6" w:type="pct"/>
            <w:shd w:val="clear" w:color="auto" w:fill="auto"/>
            <w:vAlign w:val="center"/>
            <w:hideMark/>
          </w:tcPr>
          <w:p w14:paraId="701C288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34BC7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829" w:type="pct"/>
            <w:shd w:val="clear" w:color="auto" w:fill="auto"/>
            <w:vAlign w:val="center"/>
            <w:hideMark/>
          </w:tcPr>
          <w:p w14:paraId="0D2952A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339AF1A0" w14:textId="77777777" w:rsidTr="00B7240B">
        <w:trPr>
          <w:trHeight w:val="510"/>
        </w:trPr>
        <w:tc>
          <w:tcPr>
            <w:tcW w:w="304" w:type="pct"/>
            <w:vMerge/>
            <w:vAlign w:val="center"/>
            <w:hideMark/>
          </w:tcPr>
          <w:p w14:paraId="187DAFA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8C8E89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33" w:type="pct"/>
            <w:shd w:val="clear" w:color="auto" w:fill="auto"/>
            <w:vAlign w:val="center"/>
            <w:hideMark/>
          </w:tcPr>
          <w:p w14:paraId="3E8F1DD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3" w:type="pct"/>
            <w:shd w:val="clear" w:color="auto" w:fill="auto"/>
            <w:vAlign w:val="center"/>
            <w:hideMark/>
          </w:tcPr>
          <w:p w14:paraId="137914D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c>
          <w:tcPr>
            <w:tcW w:w="716" w:type="pct"/>
            <w:shd w:val="clear" w:color="auto" w:fill="auto"/>
            <w:vAlign w:val="center"/>
            <w:hideMark/>
          </w:tcPr>
          <w:p w14:paraId="2721D52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9" w:type="pct"/>
            <w:shd w:val="clear" w:color="auto" w:fill="auto"/>
            <w:vAlign w:val="center"/>
            <w:hideMark/>
          </w:tcPr>
          <w:p w14:paraId="57FBDAF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740D0C3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9895A8" w14:textId="77777777" w:rsidTr="00B7240B">
        <w:trPr>
          <w:trHeight w:val="510"/>
        </w:trPr>
        <w:tc>
          <w:tcPr>
            <w:tcW w:w="304" w:type="pct"/>
            <w:vMerge/>
            <w:vAlign w:val="center"/>
            <w:hideMark/>
          </w:tcPr>
          <w:p w14:paraId="5A3457F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51FC4E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33" w:type="pct"/>
            <w:shd w:val="clear" w:color="auto" w:fill="auto"/>
            <w:vAlign w:val="center"/>
            <w:hideMark/>
          </w:tcPr>
          <w:p w14:paraId="4ED266E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53" w:type="pct"/>
            <w:shd w:val="clear" w:color="auto" w:fill="auto"/>
            <w:vAlign w:val="center"/>
            <w:hideMark/>
          </w:tcPr>
          <w:p w14:paraId="78C380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24 (10.00%)</w:t>
            </w:r>
          </w:p>
        </w:tc>
        <w:tc>
          <w:tcPr>
            <w:tcW w:w="716" w:type="pct"/>
            <w:shd w:val="clear" w:color="auto" w:fill="auto"/>
            <w:vAlign w:val="center"/>
            <w:hideMark/>
          </w:tcPr>
          <w:p w14:paraId="7F15E51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9" w:type="pct"/>
            <w:shd w:val="clear" w:color="auto" w:fill="auto"/>
            <w:vAlign w:val="center"/>
            <w:hideMark/>
          </w:tcPr>
          <w:p w14:paraId="0601C0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0C54FDC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6D25EC3" w14:textId="77777777" w:rsidTr="00B7240B">
        <w:trPr>
          <w:trHeight w:val="510"/>
        </w:trPr>
        <w:tc>
          <w:tcPr>
            <w:tcW w:w="304" w:type="pct"/>
            <w:vMerge/>
            <w:vAlign w:val="center"/>
            <w:hideMark/>
          </w:tcPr>
          <w:p w14:paraId="7FB22A1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7106A3C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33" w:type="pct"/>
            <w:shd w:val="clear" w:color="auto" w:fill="auto"/>
            <w:vAlign w:val="center"/>
            <w:hideMark/>
          </w:tcPr>
          <w:p w14:paraId="26C6E6A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3" w:type="pct"/>
            <w:shd w:val="clear" w:color="auto" w:fill="auto"/>
            <w:vAlign w:val="center"/>
            <w:hideMark/>
          </w:tcPr>
          <w:p w14:paraId="378CA1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6" w:type="pct"/>
            <w:shd w:val="clear" w:color="auto" w:fill="auto"/>
            <w:vAlign w:val="center"/>
            <w:hideMark/>
          </w:tcPr>
          <w:p w14:paraId="290DB1B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D66E38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29" w:type="pct"/>
            <w:shd w:val="clear" w:color="auto" w:fill="auto"/>
            <w:vAlign w:val="center"/>
            <w:hideMark/>
          </w:tcPr>
          <w:p w14:paraId="3F33F1D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0717E511" w14:textId="77777777" w:rsidTr="00B7240B">
        <w:trPr>
          <w:trHeight w:val="510"/>
        </w:trPr>
        <w:tc>
          <w:tcPr>
            <w:tcW w:w="304" w:type="pct"/>
            <w:vMerge/>
            <w:vAlign w:val="center"/>
            <w:hideMark/>
          </w:tcPr>
          <w:p w14:paraId="0F8A308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373EAF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33" w:type="pct"/>
            <w:shd w:val="clear" w:color="auto" w:fill="auto"/>
            <w:vAlign w:val="center"/>
            <w:hideMark/>
          </w:tcPr>
          <w:p w14:paraId="510A6D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53" w:type="pct"/>
            <w:shd w:val="clear" w:color="auto" w:fill="auto"/>
            <w:vAlign w:val="center"/>
            <w:hideMark/>
          </w:tcPr>
          <w:p w14:paraId="181420E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16" w:type="pct"/>
            <w:shd w:val="clear" w:color="auto" w:fill="auto"/>
            <w:vAlign w:val="center"/>
            <w:hideMark/>
          </w:tcPr>
          <w:p w14:paraId="573EE38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22ABB94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829" w:type="pct"/>
            <w:shd w:val="clear" w:color="auto" w:fill="auto"/>
            <w:vAlign w:val="center"/>
            <w:hideMark/>
          </w:tcPr>
          <w:p w14:paraId="30F020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286C220" w14:textId="77777777" w:rsidTr="00B7240B">
        <w:trPr>
          <w:trHeight w:val="274"/>
        </w:trPr>
        <w:tc>
          <w:tcPr>
            <w:tcW w:w="304" w:type="pct"/>
            <w:vMerge/>
            <w:vAlign w:val="center"/>
            <w:hideMark/>
          </w:tcPr>
          <w:p w14:paraId="3ABB61E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1A741D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33" w:type="pct"/>
            <w:shd w:val="clear" w:color="auto" w:fill="auto"/>
            <w:vAlign w:val="center"/>
            <w:hideMark/>
          </w:tcPr>
          <w:p w14:paraId="4894CE8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46 (19.17%)</w:t>
            </w:r>
          </w:p>
        </w:tc>
        <w:tc>
          <w:tcPr>
            <w:tcW w:w="753" w:type="pct"/>
            <w:shd w:val="clear" w:color="auto" w:fill="auto"/>
            <w:vAlign w:val="center"/>
            <w:hideMark/>
          </w:tcPr>
          <w:p w14:paraId="0FC42EE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112 (46.67%)</w:t>
            </w:r>
          </w:p>
        </w:tc>
        <w:tc>
          <w:tcPr>
            <w:tcW w:w="716" w:type="pct"/>
            <w:shd w:val="clear" w:color="auto" w:fill="auto"/>
            <w:vAlign w:val="center"/>
            <w:hideMark/>
          </w:tcPr>
          <w:p w14:paraId="7448BC5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62 (25.83%)</w:t>
            </w:r>
          </w:p>
        </w:tc>
        <w:tc>
          <w:tcPr>
            <w:tcW w:w="719" w:type="pct"/>
            <w:shd w:val="clear" w:color="auto" w:fill="auto"/>
            <w:vAlign w:val="center"/>
            <w:hideMark/>
          </w:tcPr>
          <w:p w14:paraId="256E670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829" w:type="pct"/>
            <w:shd w:val="clear" w:color="auto" w:fill="auto"/>
            <w:vAlign w:val="center"/>
            <w:hideMark/>
          </w:tcPr>
          <w:p w14:paraId="1773DA3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5EE77FE4" w14:textId="77777777" w:rsidTr="00B7240B">
        <w:trPr>
          <w:trHeight w:val="510"/>
        </w:trPr>
        <w:tc>
          <w:tcPr>
            <w:tcW w:w="1983" w:type="pct"/>
            <w:gridSpan w:val="3"/>
            <w:shd w:val="clear" w:color="auto" w:fill="auto"/>
            <w:vAlign w:val="center"/>
            <w:hideMark/>
          </w:tcPr>
          <w:p w14:paraId="16D219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22.87</w:t>
            </w:r>
          </w:p>
        </w:tc>
        <w:tc>
          <w:tcPr>
            <w:tcW w:w="1469" w:type="pct"/>
            <w:gridSpan w:val="2"/>
            <w:shd w:val="clear" w:color="auto" w:fill="auto"/>
            <w:vAlign w:val="center"/>
            <w:hideMark/>
          </w:tcPr>
          <w:p w14:paraId="151C74C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48" w:type="pct"/>
            <w:gridSpan w:val="2"/>
            <w:shd w:val="clear" w:color="auto" w:fill="auto"/>
            <w:vAlign w:val="center"/>
            <w:hideMark/>
          </w:tcPr>
          <w:p w14:paraId="7FB85D7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0.029</w:t>
            </w:r>
          </w:p>
        </w:tc>
      </w:tr>
      <w:tr w:rsidR="00B7240B" w:rsidRPr="00E83F35" w14:paraId="25528609" w14:textId="77777777" w:rsidTr="00B7240B">
        <w:trPr>
          <w:trHeight w:val="510"/>
        </w:trPr>
        <w:tc>
          <w:tcPr>
            <w:tcW w:w="5000" w:type="pct"/>
            <w:gridSpan w:val="7"/>
            <w:shd w:val="clear" w:color="auto" w:fill="auto"/>
            <w:vAlign w:val="center"/>
            <w:hideMark/>
          </w:tcPr>
          <w:p w14:paraId="722234D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family size and landholding categories.</w:t>
            </w:r>
          </w:p>
        </w:tc>
      </w:tr>
    </w:tbl>
    <w:p w14:paraId="137D92CF" w14:textId="24E79B35"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00A63E85" w:rsidRPr="00A63E85">
        <w:rPr>
          <w:rFonts w:ascii="Arial" w:hAnsi="Arial" w:cs="Arial"/>
          <w:i/>
          <w:iCs/>
          <w:sz w:val="20"/>
          <w:szCs w:val="20"/>
        </w:rPr>
        <w:t>Parentheses</w:t>
      </w:r>
      <w:r w:rsidRPr="00E83F35">
        <w:rPr>
          <w:rFonts w:ascii="Arial" w:hAnsi="Arial" w:cs="Arial"/>
          <w:i/>
          <w:iCs/>
          <w:sz w:val="20"/>
          <w:szCs w:val="20"/>
        </w:rPr>
        <w:t xml:space="preserve"> represent percentage</w:t>
      </w:r>
    </w:p>
    <w:p w14:paraId="7673289E" w14:textId="6978623F"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w:t>
      </w:r>
      <w:r w:rsidRPr="00E83F35">
        <w:rPr>
          <w:rFonts w:ascii="Arial" w:hAnsi="Arial" w:cs="Arial"/>
          <w:sz w:val="20"/>
          <w:szCs w:val="20"/>
        </w:rPr>
        <w:t>shown</w:t>
      </w:r>
      <w:r w:rsidRPr="00B7240B">
        <w:rPr>
          <w:rFonts w:ascii="Arial" w:hAnsi="Arial" w:cs="Arial"/>
          <w:sz w:val="20"/>
          <w:szCs w:val="20"/>
        </w:rPr>
        <w:t xml:space="preserve"> in </w:t>
      </w:r>
      <w:r w:rsidRPr="00B7240B">
        <w:rPr>
          <w:rFonts w:ascii="Arial" w:hAnsi="Arial" w:cs="Arial"/>
          <w:b/>
          <w:bCs/>
          <w:sz w:val="20"/>
          <w:szCs w:val="20"/>
        </w:rPr>
        <w:t>Table 6,</w:t>
      </w:r>
      <w:r w:rsidRPr="00B7240B">
        <w:rPr>
          <w:rFonts w:ascii="Arial" w:hAnsi="Arial" w:cs="Arial"/>
          <w:sz w:val="20"/>
          <w:szCs w:val="20"/>
        </w:rPr>
        <w:t xml:space="preserve"> the majority of cotton-growing households comprised 4–6 members, accounting for 46.67 percent of the total sample. This was followed by families with 7–9 members (25.83%) and 1–3 members (19.17%). Larger families with more than 9 members made up a smaller portion (8.33%) of the respondents.</w:t>
      </w:r>
    </w:p>
    <w:p w14:paraId="3AEA24F8"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 closer examination reveals that small and semi-medium farmers were most represented in the 4–6 member bracket, indicating a prevalence of nuclear or slightly extended family structures within these </w:t>
      </w:r>
      <w:r w:rsidRPr="00B7240B">
        <w:rPr>
          <w:rFonts w:ascii="Arial" w:hAnsi="Arial" w:cs="Arial"/>
          <w:sz w:val="20"/>
          <w:szCs w:val="20"/>
        </w:rPr>
        <w:lastRenderedPageBreak/>
        <w:t>landholding groups. Conversely, large farmers had a higher proportion of families with more than 9 members (7 out of 27), suggesting a tendency toward joint or extended family systems among larger landholders.</w:t>
      </w:r>
    </w:p>
    <w:p w14:paraId="43990367" w14:textId="23212858"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The chi-square test result (χ² = 22.87, df = 12, p = 0.029) confirms a statistically significant relationship between family size and landholding category, as the p-value is less than 0.05. This indicates that family structure varies meaningfully across different landholding sizes, which may influence </w:t>
      </w:r>
      <w:r w:rsidR="003608D9" w:rsidRPr="00B7240B">
        <w:rPr>
          <w:rFonts w:ascii="Arial" w:hAnsi="Arial" w:cs="Arial"/>
          <w:sz w:val="20"/>
          <w:szCs w:val="20"/>
        </w:rPr>
        <w:t>labour</w:t>
      </w:r>
      <w:r w:rsidRPr="00B7240B">
        <w:rPr>
          <w:rFonts w:ascii="Arial" w:hAnsi="Arial" w:cs="Arial"/>
          <w:sz w:val="20"/>
          <w:szCs w:val="20"/>
        </w:rPr>
        <w:t xml:space="preserve"> availability and farm management decisions.</w:t>
      </w:r>
    </w:p>
    <w:p w14:paraId="5570A98C" w14:textId="3F5509CD" w:rsidR="00B7240B" w:rsidRPr="00E83F35" w:rsidRDefault="00B7240B" w:rsidP="00E83F35">
      <w:pPr>
        <w:spacing w:line="240" w:lineRule="auto"/>
        <w:rPr>
          <w:rFonts w:ascii="Arial" w:hAnsi="Arial" w:cs="Arial"/>
          <w:b/>
          <w:bCs/>
        </w:rPr>
      </w:pPr>
      <w:r w:rsidRPr="00E83F35">
        <w:rPr>
          <w:rFonts w:ascii="Arial" w:hAnsi="Arial" w:cs="Arial"/>
          <w:b/>
          <w:bCs/>
        </w:rPr>
        <w:t>Occupation</w:t>
      </w:r>
    </w:p>
    <w:p w14:paraId="1B99C29F" w14:textId="264B1CC3"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7</w:t>
      </w:r>
      <w:r w:rsidRPr="00E83F35">
        <w:rPr>
          <w:rFonts w:ascii="Arial" w:hAnsi="Arial" w:cs="Arial"/>
          <w:b/>
          <w:bCs/>
          <w:sz w:val="20"/>
          <w:szCs w:val="20"/>
        </w:rPr>
        <w:fldChar w:fldCharType="end"/>
      </w:r>
      <w:r w:rsidRPr="00E83F35">
        <w:rPr>
          <w:rFonts w:ascii="Arial" w:hAnsi="Arial" w:cs="Arial"/>
          <w:b/>
          <w:bCs/>
          <w:sz w:val="20"/>
          <w:szCs w:val="20"/>
        </w:rPr>
        <w:t>: Occupation of Cotton growers across landholding categories</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973"/>
        <w:gridCol w:w="1735"/>
        <w:gridCol w:w="1733"/>
        <w:gridCol w:w="1739"/>
        <w:gridCol w:w="1620"/>
      </w:tblGrid>
      <w:tr w:rsidR="00B7240B" w:rsidRPr="00E83F35" w14:paraId="4D7BF384" w14:textId="77777777" w:rsidTr="00B7240B">
        <w:trPr>
          <w:trHeight w:val="496"/>
        </w:trPr>
        <w:tc>
          <w:tcPr>
            <w:tcW w:w="1384" w:type="pct"/>
            <w:gridSpan w:val="2"/>
            <w:vMerge w:val="restart"/>
            <w:shd w:val="clear" w:color="auto" w:fill="auto"/>
            <w:vAlign w:val="center"/>
            <w:hideMark/>
          </w:tcPr>
          <w:p w14:paraId="4A3BB9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616" w:type="pct"/>
            <w:gridSpan w:val="4"/>
            <w:shd w:val="clear" w:color="000000" w:fill="A9D08E"/>
            <w:vAlign w:val="center"/>
            <w:hideMark/>
          </w:tcPr>
          <w:p w14:paraId="703572A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Occupation</w:t>
            </w:r>
          </w:p>
        </w:tc>
      </w:tr>
      <w:tr w:rsidR="00B7240B" w:rsidRPr="00E83F35" w14:paraId="327EFCDC" w14:textId="77777777" w:rsidTr="00B7240B">
        <w:trPr>
          <w:trHeight w:val="672"/>
        </w:trPr>
        <w:tc>
          <w:tcPr>
            <w:tcW w:w="1384" w:type="pct"/>
            <w:gridSpan w:val="2"/>
            <w:vMerge/>
            <w:shd w:val="clear" w:color="auto" w:fill="auto"/>
            <w:vAlign w:val="center"/>
            <w:hideMark/>
          </w:tcPr>
          <w:p w14:paraId="731A8B9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9" w:type="pct"/>
            <w:shd w:val="clear" w:color="000000" w:fill="E2EFDA"/>
            <w:vAlign w:val="center"/>
            <w:hideMark/>
          </w:tcPr>
          <w:p w14:paraId="5C6B588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Only</w:t>
            </w:r>
          </w:p>
        </w:tc>
        <w:tc>
          <w:tcPr>
            <w:tcW w:w="918" w:type="pct"/>
            <w:shd w:val="clear" w:color="000000" w:fill="E2EFDA"/>
            <w:vAlign w:val="center"/>
            <w:hideMark/>
          </w:tcPr>
          <w:p w14:paraId="1D2F55E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Allied</w:t>
            </w:r>
          </w:p>
        </w:tc>
        <w:tc>
          <w:tcPr>
            <w:tcW w:w="921" w:type="pct"/>
            <w:shd w:val="clear" w:color="000000" w:fill="E2EFDA"/>
            <w:vAlign w:val="center"/>
            <w:hideMark/>
          </w:tcPr>
          <w:p w14:paraId="3BFF879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Other</w:t>
            </w:r>
          </w:p>
        </w:tc>
        <w:tc>
          <w:tcPr>
            <w:tcW w:w="858" w:type="pct"/>
            <w:shd w:val="clear" w:color="000000" w:fill="E2EFDA"/>
            <w:vAlign w:val="center"/>
            <w:hideMark/>
          </w:tcPr>
          <w:p w14:paraId="55016B5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35F41089" w14:textId="77777777" w:rsidTr="00B7240B">
        <w:trPr>
          <w:trHeight w:val="672"/>
        </w:trPr>
        <w:tc>
          <w:tcPr>
            <w:tcW w:w="339" w:type="pct"/>
            <w:vMerge w:val="restart"/>
            <w:shd w:val="clear" w:color="000000" w:fill="FFD966"/>
            <w:noWrap/>
            <w:textDirection w:val="btLr"/>
            <w:vAlign w:val="center"/>
            <w:hideMark/>
          </w:tcPr>
          <w:p w14:paraId="4CB756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1045" w:type="pct"/>
            <w:shd w:val="clear" w:color="000000" w:fill="FFF2CC"/>
            <w:vAlign w:val="center"/>
            <w:hideMark/>
          </w:tcPr>
          <w:p w14:paraId="306FA0B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919" w:type="pct"/>
            <w:shd w:val="clear" w:color="auto" w:fill="auto"/>
            <w:vAlign w:val="center"/>
            <w:hideMark/>
          </w:tcPr>
          <w:p w14:paraId="4574F1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18" w:type="pct"/>
            <w:shd w:val="clear" w:color="auto" w:fill="auto"/>
            <w:vAlign w:val="center"/>
            <w:hideMark/>
          </w:tcPr>
          <w:p w14:paraId="325373B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921" w:type="pct"/>
            <w:shd w:val="clear" w:color="auto" w:fill="auto"/>
            <w:vAlign w:val="center"/>
            <w:hideMark/>
          </w:tcPr>
          <w:p w14:paraId="468B804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58" w:type="pct"/>
            <w:shd w:val="clear" w:color="auto" w:fill="auto"/>
            <w:vAlign w:val="center"/>
            <w:hideMark/>
          </w:tcPr>
          <w:p w14:paraId="70C44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45E909AC" w14:textId="77777777" w:rsidTr="00B7240B">
        <w:trPr>
          <w:trHeight w:val="672"/>
        </w:trPr>
        <w:tc>
          <w:tcPr>
            <w:tcW w:w="339" w:type="pct"/>
            <w:vMerge/>
            <w:vAlign w:val="center"/>
            <w:hideMark/>
          </w:tcPr>
          <w:p w14:paraId="6F2B255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543948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919" w:type="pct"/>
            <w:shd w:val="clear" w:color="auto" w:fill="auto"/>
            <w:vAlign w:val="center"/>
            <w:hideMark/>
          </w:tcPr>
          <w:p w14:paraId="6CA6D6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48 (20.00%)</w:t>
            </w:r>
          </w:p>
        </w:tc>
        <w:tc>
          <w:tcPr>
            <w:tcW w:w="918" w:type="pct"/>
            <w:shd w:val="clear" w:color="auto" w:fill="auto"/>
            <w:vAlign w:val="center"/>
            <w:hideMark/>
          </w:tcPr>
          <w:p w14:paraId="577D72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21" w:type="pct"/>
            <w:shd w:val="clear" w:color="auto" w:fill="auto"/>
            <w:vAlign w:val="center"/>
            <w:hideMark/>
          </w:tcPr>
          <w:p w14:paraId="02906E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858" w:type="pct"/>
            <w:shd w:val="clear" w:color="auto" w:fill="auto"/>
            <w:vAlign w:val="center"/>
            <w:hideMark/>
          </w:tcPr>
          <w:p w14:paraId="79EAF5E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7097A3E3" w14:textId="77777777" w:rsidTr="00B7240B">
        <w:trPr>
          <w:trHeight w:val="672"/>
        </w:trPr>
        <w:tc>
          <w:tcPr>
            <w:tcW w:w="339" w:type="pct"/>
            <w:vMerge/>
            <w:vAlign w:val="center"/>
            <w:hideMark/>
          </w:tcPr>
          <w:p w14:paraId="1824D90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8A7080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919" w:type="pct"/>
            <w:shd w:val="clear" w:color="auto" w:fill="auto"/>
            <w:vAlign w:val="center"/>
            <w:hideMark/>
          </w:tcPr>
          <w:p w14:paraId="1AEC0B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918" w:type="pct"/>
            <w:shd w:val="clear" w:color="auto" w:fill="auto"/>
            <w:vAlign w:val="center"/>
            <w:hideMark/>
          </w:tcPr>
          <w:p w14:paraId="6C942CF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22 (9.17%)</w:t>
            </w:r>
          </w:p>
        </w:tc>
        <w:tc>
          <w:tcPr>
            <w:tcW w:w="921" w:type="pct"/>
            <w:shd w:val="clear" w:color="auto" w:fill="auto"/>
            <w:vAlign w:val="center"/>
            <w:hideMark/>
          </w:tcPr>
          <w:p w14:paraId="0B8DF3F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13 (5.42%)</w:t>
            </w:r>
          </w:p>
        </w:tc>
        <w:tc>
          <w:tcPr>
            <w:tcW w:w="858" w:type="pct"/>
            <w:shd w:val="clear" w:color="auto" w:fill="auto"/>
            <w:vAlign w:val="center"/>
            <w:hideMark/>
          </w:tcPr>
          <w:p w14:paraId="5FD45A4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3529117" w14:textId="77777777" w:rsidTr="00B7240B">
        <w:trPr>
          <w:trHeight w:val="672"/>
        </w:trPr>
        <w:tc>
          <w:tcPr>
            <w:tcW w:w="339" w:type="pct"/>
            <w:vMerge/>
            <w:vAlign w:val="center"/>
            <w:hideMark/>
          </w:tcPr>
          <w:p w14:paraId="04773CB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D611F0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919" w:type="pct"/>
            <w:shd w:val="clear" w:color="auto" w:fill="auto"/>
            <w:vAlign w:val="center"/>
            <w:hideMark/>
          </w:tcPr>
          <w:p w14:paraId="41F14F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918" w:type="pct"/>
            <w:shd w:val="clear" w:color="auto" w:fill="auto"/>
            <w:vAlign w:val="center"/>
            <w:hideMark/>
          </w:tcPr>
          <w:p w14:paraId="6182CA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921" w:type="pct"/>
            <w:shd w:val="clear" w:color="auto" w:fill="auto"/>
            <w:vAlign w:val="center"/>
            <w:hideMark/>
          </w:tcPr>
          <w:p w14:paraId="71A5E9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58" w:type="pct"/>
            <w:shd w:val="clear" w:color="auto" w:fill="auto"/>
            <w:vAlign w:val="center"/>
            <w:hideMark/>
          </w:tcPr>
          <w:p w14:paraId="0502466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45F5A3B7" w14:textId="77777777" w:rsidTr="00B7240B">
        <w:trPr>
          <w:trHeight w:val="672"/>
        </w:trPr>
        <w:tc>
          <w:tcPr>
            <w:tcW w:w="339" w:type="pct"/>
            <w:vMerge/>
            <w:vAlign w:val="center"/>
            <w:hideMark/>
          </w:tcPr>
          <w:p w14:paraId="5194EC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3D3AF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919" w:type="pct"/>
            <w:shd w:val="clear" w:color="auto" w:fill="auto"/>
            <w:vAlign w:val="center"/>
            <w:hideMark/>
          </w:tcPr>
          <w:p w14:paraId="1D0B63D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918" w:type="pct"/>
            <w:shd w:val="clear" w:color="auto" w:fill="auto"/>
            <w:vAlign w:val="center"/>
            <w:hideMark/>
          </w:tcPr>
          <w:p w14:paraId="590196E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921" w:type="pct"/>
            <w:shd w:val="clear" w:color="auto" w:fill="auto"/>
            <w:vAlign w:val="center"/>
            <w:hideMark/>
          </w:tcPr>
          <w:p w14:paraId="2D07026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17 (7.08%)</w:t>
            </w:r>
          </w:p>
        </w:tc>
        <w:tc>
          <w:tcPr>
            <w:tcW w:w="858" w:type="pct"/>
            <w:shd w:val="clear" w:color="auto" w:fill="auto"/>
            <w:vAlign w:val="center"/>
            <w:hideMark/>
          </w:tcPr>
          <w:p w14:paraId="00F4AF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71E54CD" w14:textId="77777777" w:rsidTr="00B7240B">
        <w:trPr>
          <w:trHeight w:val="672"/>
        </w:trPr>
        <w:tc>
          <w:tcPr>
            <w:tcW w:w="339" w:type="pct"/>
            <w:vMerge/>
            <w:vAlign w:val="center"/>
            <w:hideMark/>
          </w:tcPr>
          <w:p w14:paraId="7B968AA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5238E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919" w:type="pct"/>
            <w:shd w:val="clear" w:color="auto" w:fill="auto"/>
            <w:vAlign w:val="center"/>
            <w:hideMark/>
          </w:tcPr>
          <w:p w14:paraId="425DE91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104 (43.33%)</w:t>
            </w:r>
          </w:p>
        </w:tc>
        <w:tc>
          <w:tcPr>
            <w:tcW w:w="918" w:type="pct"/>
            <w:shd w:val="clear" w:color="auto" w:fill="auto"/>
            <w:vAlign w:val="center"/>
            <w:hideMark/>
          </w:tcPr>
          <w:p w14:paraId="27C3AB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77 (32.08%)</w:t>
            </w:r>
          </w:p>
        </w:tc>
        <w:tc>
          <w:tcPr>
            <w:tcW w:w="921" w:type="pct"/>
            <w:shd w:val="clear" w:color="auto" w:fill="auto"/>
            <w:vAlign w:val="center"/>
            <w:hideMark/>
          </w:tcPr>
          <w:p w14:paraId="1894B53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59 (24.58%)</w:t>
            </w:r>
          </w:p>
        </w:tc>
        <w:tc>
          <w:tcPr>
            <w:tcW w:w="858" w:type="pct"/>
            <w:shd w:val="clear" w:color="auto" w:fill="auto"/>
            <w:vAlign w:val="center"/>
            <w:hideMark/>
          </w:tcPr>
          <w:p w14:paraId="1BF9BEE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356F8519" w14:textId="77777777" w:rsidTr="00B7240B">
        <w:trPr>
          <w:trHeight w:val="672"/>
        </w:trPr>
        <w:tc>
          <w:tcPr>
            <w:tcW w:w="2303" w:type="pct"/>
            <w:gridSpan w:val="3"/>
            <w:shd w:val="clear" w:color="auto" w:fill="auto"/>
            <w:vAlign w:val="center"/>
            <w:hideMark/>
          </w:tcPr>
          <w:p w14:paraId="41A819F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Chi-Square Statistic:</w:t>
            </w:r>
            <w:r w:rsidRPr="00E83F35">
              <w:rPr>
                <w:rFonts w:ascii="Arial" w:eastAsia="Times New Roman" w:hAnsi="Arial" w:cs="Arial"/>
                <w:color w:val="000000"/>
                <w:kern w:val="0"/>
                <w:sz w:val="20"/>
                <w:szCs w:val="20"/>
                <w:lang w:eastAsia="en-IN" w:bidi="mr-IN"/>
                <w14:ligatures w14:val="none"/>
              </w:rPr>
              <w:t xml:space="preserve"> 74.10</w:t>
            </w:r>
          </w:p>
        </w:tc>
        <w:tc>
          <w:tcPr>
            <w:tcW w:w="1839" w:type="pct"/>
            <w:gridSpan w:val="2"/>
            <w:shd w:val="clear" w:color="auto" w:fill="auto"/>
            <w:vAlign w:val="center"/>
            <w:hideMark/>
          </w:tcPr>
          <w:p w14:paraId="68F9A66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8</w:t>
            </w:r>
          </w:p>
        </w:tc>
        <w:tc>
          <w:tcPr>
            <w:tcW w:w="858" w:type="pct"/>
            <w:shd w:val="clear" w:color="auto" w:fill="auto"/>
            <w:vAlign w:val="center"/>
            <w:hideMark/>
          </w:tcPr>
          <w:p w14:paraId="4C71665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7.46 × 10</w:t>
            </w:r>
            <w:r w:rsidRPr="00E83F35">
              <w:rPr>
                <w:rFonts w:ascii="Cambria Math" w:eastAsia="Times New Roman" w:hAnsi="Cambria Math" w:cs="Cambria Math"/>
                <w:color w:val="000000"/>
                <w:kern w:val="0"/>
                <w:sz w:val="20"/>
                <w:szCs w:val="20"/>
                <w:lang w:eastAsia="en-IN" w:bidi="mr-IN"/>
                <w14:ligatures w14:val="none"/>
              </w:rPr>
              <w:t>⁻</w:t>
            </w:r>
            <w:r w:rsidRPr="00E83F35">
              <w:rPr>
                <w:rFonts w:ascii="Arial" w:eastAsia="Times New Roman" w:hAnsi="Arial" w:cs="Arial"/>
                <w:color w:val="000000"/>
                <w:kern w:val="0"/>
                <w:sz w:val="20"/>
                <w:szCs w:val="20"/>
                <w:lang w:eastAsia="en-IN" w:bidi="mr-IN"/>
                <w14:ligatures w14:val="none"/>
              </w:rPr>
              <w:t>¹³</w:t>
            </w:r>
          </w:p>
        </w:tc>
      </w:tr>
      <w:tr w:rsidR="00B7240B" w:rsidRPr="00E83F35" w14:paraId="6C4E2B7B" w14:textId="77777777" w:rsidTr="00B7240B">
        <w:trPr>
          <w:trHeight w:val="1048"/>
        </w:trPr>
        <w:tc>
          <w:tcPr>
            <w:tcW w:w="5000" w:type="pct"/>
            <w:gridSpan w:val="6"/>
            <w:shd w:val="clear" w:color="auto" w:fill="auto"/>
            <w:vAlign w:val="center"/>
            <w:hideMark/>
          </w:tcPr>
          <w:p w14:paraId="1251EF1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much less than 0.05, indicating a highly significant association between occupation type and landholding categories</w:t>
            </w:r>
          </w:p>
        </w:tc>
      </w:tr>
    </w:tbl>
    <w:p w14:paraId="76489DCC" w14:textId="0C7B7285"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00A63E85" w:rsidRPr="00A63E85">
        <w:rPr>
          <w:rFonts w:ascii="Arial" w:hAnsi="Arial" w:cs="Arial"/>
          <w:i/>
          <w:iCs/>
          <w:sz w:val="20"/>
          <w:szCs w:val="20"/>
        </w:rPr>
        <w:t>Parentheses</w:t>
      </w:r>
      <w:r w:rsidRPr="00E83F35">
        <w:rPr>
          <w:rFonts w:ascii="Arial" w:hAnsi="Arial" w:cs="Arial"/>
          <w:i/>
          <w:iCs/>
          <w:sz w:val="20"/>
          <w:szCs w:val="20"/>
        </w:rPr>
        <w:t xml:space="preserve"> represent percentage</w:t>
      </w:r>
    </w:p>
    <w:p w14:paraId="559B59D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presented in </w:t>
      </w:r>
      <w:r w:rsidRPr="00B7240B">
        <w:rPr>
          <w:rFonts w:ascii="Arial" w:hAnsi="Arial" w:cs="Arial"/>
          <w:b/>
          <w:bCs/>
          <w:sz w:val="20"/>
          <w:szCs w:val="20"/>
        </w:rPr>
        <w:t>Table 7,</w:t>
      </w:r>
      <w:r w:rsidRPr="00B7240B">
        <w:rPr>
          <w:rFonts w:ascii="Arial" w:hAnsi="Arial" w:cs="Arial"/>
          <w:sz w:val="20"/>
          <w:szCs w:val="20"/>
        </w:rPr>
        <w:t xml:space="preserve"> the majority of respondents (43.33 percent) reported agriculture as their sole occupation, followed by those engaged in agriculture along with allied activities (32.08%) and agriculture plus other non-agricultural work (24.58%).</w:t>
      </w:r>
    </w:p>
    <w:p w14:paraId="43D2CD9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breakdown by landholding category shows that marginal and small farmers were more likely to rely exclusively on agriculture, with 32 out of 44 marginal and 48 out of 88 small farmers reporting no secondary occupation. In contrast, medium and large farmers showed a higher tendency to diversify, especially into agriculture plus other occupations, likely as a strategy to mitigate income risk and leverage larger land-based resources.</w:t>
      </w:r>
    </w:p>
    <w:p w14:paraId="0926326A" w14:textId="77777777" w:rsidR="00B7240B" w:rsidRPr="00E83F35" w:rsidRDefault="00B7240B" w:rsidP="00E83F35">
      <w:pPr>
        <w:spacing w:line="240" w:lineRule="auto"/>
        <w:jc w:val="both"/>
        <w:rPr>
          <w:rFonts w:ascii="Arial" w:hAnsi="Arial" w:cs="Arial"/>
          <w:sz w:val="20"/>
          <w:szCs w:val="20"/>
        </w:rPr>
      </w:pPr>
      <w:r w:rsidRPr="00B7240B">
        <w:rPr>
          <w:rFonts w:ascii="Arial" w:hAnsi="Arial" w:cs="Arial"/>
          <w:sz w:val="20"/>
          <w:szCs w:val="20"/>
        </w:rPr>
        <w:t>The chi-square value of 74.10 with 8 degrees of freedom, and a p-value &lt; 0.00001, indicates a highly significant association between occupation type and landholding size. This suggests that landholding size is a key determinant in occupational diversification among cotton growers.</w:t>
      </w:r>
    </w:p>
    <w:p w14:paraId="2E3F5D3A" w14:textId="2BB7C163" w:rsidR="00B7240B" w:rsidRPr="00B7240B" w:rsidRDefault="00B7240B" w:rsidP="00E83F35">
      <w:pPr>
        <w:spacing w:line="240" w:lineRule="auto"/>
        <w:jc w:val="both"/>
        <w:rPr>
          <w:rFonts w:ascii="Arial" w:hAnsi="Arial" w:cs="Arial"/>
        </w:rPr>
      </w:pPr>
      <w:r w:rsidRPr="00E83F35">
        <w:rPr>
          <w:rFonts w:ascii="Arial" w:hAnsi="Arial" w:cs="Arial"/>
          <w:b/>
          <w:bCs/>
        </w:rPr>
        <w:t>Income Distribution</w:t>
      </w:r>
      <w:r w:rsidRPr="00E83F35">
        <w:rPr>
          <w:rFonts w:ascii="Arial" w:hAnsi="Arial" w:cs="Arial"/>
        </w:rPr>
        <w:t xml:space="preserve"> </w:t>
      </w:r>
      <w:r w:rsidRPr="00E83F35">
        <w:rPr>
          <w:rFonts w:ascii="Arial" w:eastAsia="Times New Roman" w:hAnsi="Arial" w:cs="Arial"/>
          <w:b/>
          <w:bCs/>
          <w:color w:val="000000"/>
          <w:kern w:val="0"/>
          <w:lang w:eastAsia="en-IN" w:bidi="mr-IN"/>
          <w14:ligatures w14:val="none"/>
        </w:rPr>
        <w:t>(₹)</w:t>
      </w:r>
    </w:p>
    <w:p w14:paraId="3877B304" w14:textId="307D068D"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lastRenderedPageBreak/>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8</w:t>
      </w:r>
      <w:r w:rsidRPr="00E83F35">
        <w:rPr>
          <w:rFonts w:ascii="Arial" w:hAnsi="Arial" w:cs="Arial"/>
          <w:b/>
          <w:bCs/>
          <w:sz w:val="20"/>
          <w:szCs w:val="20"/>
        </w:rPr>
        <w:fldChar w:fldCharType="end"/>
      </w:r>
      <w:r w:rsidRPr="00E83F35">
        <w:rPr>
          <w:rFonts w:ascii="Arial" w:hAnsi="Arial" w:cs="Arial"/>
          <w:b/>
          <w:bCs/>
          <w:sz w:val="20"/>
          <w:szCs w:val="20"/>
        </w:rPr>
        <w:t xml:space="preserve">: Income distribution </w:t>
      </w:r>
      <w:r w:rsidRPr="00E83F35">
        <w:rPr>
          <w:rFonts w:ascii="Arial" w:eastAsia="Times New Roman" w:hAnsi="Arial" w:cs="Arial"/>
          <w:b/>
          <w:bCs/>
          <w:color w:val="000000"/>
          <w:kern w:val="0"/>
          <w:sz w:val="20"/>
          <w:szCs w:val="20"/>
          <w:lang w:eastAsia="en-IN" w:bidi="mr-IN"/>
          <w14:ligatures w14:val="none"/>
        </w:rPr>
        <w:t xml:space="preserve">(₹) </w:t>
      </w:r>
      <w:r w:rsidRPr="00E83F35">
        <w:rPr>
          <w:rFonts w:ascii="Arial" w:hAnsi="Arial" w:cs="Arial"/>
          <w:b/>
          <w:bCs/>
          <w:sz w:val="20"/>
          <w:szCs w:val="20"/>
        </w:rPr>
        <w:t>of Cotton growers across landholding categories</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662"/>
        <w:gridCol w:w="1275"/>
        <w:gridCol w:w="1313"/>
        <w:gridCol w:w="1371"/>
        <w:gridCol w:w="1432"/>
        <w:gridCol w:w="1449"/>
      </w:tblGrid>
      <w:tr w:rsidR="00B7240B" w:rsidRPr="00E83F35" w14:paraId="2DA8374F" w14:textId="77777777" w:rsidTr="00B7240B">
        <w:trPr>
          <w:trHeight w:val="413"/>
        </w:trPr>
        <w:tc>
          <w:tcPr>
            <w:tcW w:w="1223" w:type="pct"/>
            <w:gridSpan w:val="2"/>
            <w:vMerge w:val="restart"/>
            <w:shd w:val="clear" w:color="auto" w:fill="auto"/>
            <w:vAlign w:val="center"/>
            <w:hideMark/>
          </w:tcPr>
          <w:p w14:paraId="70E2C96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3777" w:type="pct"/>
            <w:gridSpan w:val="5"/>
            <w:shd w:val="clear" w:color="000000" w:fill="A9D08E"/>
            <w:vAlign w:val="center"/>
            <w:hideMark/>
          </w:tcPr>
          <w:p w14:paraId="475547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Income Distribution (₹)</w:t>
            </w:r>
          </w:p>
        </w:tc>
      </w:tr>
      <w:tr w:rsidR="00B7240B" w:rsidRPr="00E83F35" w14:paraId="0AFD7934" w14:textId="77777777" w:rsidTr="00B7240B">
        <w:trPr>
          <w:trHeight w:val="552"/>
        </w:trPr>
        <w:tc>
          <w:tcPr>
            <w:tcW w:w="1223" w:type="pct"/>
            <w:gridSpan w:val="2"/>
            <w:vMerge/>
            <w:shd w:val="clear" w:color="auto" w:fill="auto"/>
            <w:vAlign w:val="center"/>
            <w:hideMark/>
          </w:tcPr>
          <w:p w14:paraId="2F6644A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704" w:type="pct"/>
            <w:shd w:val="clear" w:color="000000" w:fill="E2EFDA"/>
            <w:vAlign w:val="center"/>
            <w:hideMark/>
          </w:tcPr>
          <w:p w14:paraId="0163812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&lt;₹75,000</w:t>
            </w:r>
          </w:p>
        </w:tc>
        <w:tc>
          <w:tcPr>
            <w:tcW w:w="725" w:type="pct"/>
            <w:shd w:val="clear" w:color="000000" w:fill="E2EFDA"/>
            <w:vAlign w:val="center"/>
            <w:hideMark/>
          </w:tcPr>
          <w:p w14:paraId="615E4C2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₹75,000-1,50,000</w:t>
            </w:r>
          </w:p>
        </w:tc>
        <w:tc>
          <w:tcPr>
            <w:tcW w:w="757" w:type="pct"/>
            <w:shd w:val="clear" w:color="000000" w:fill="E2EFDA"/>
            <w:vAlign w:val="center"/>
            <w:hideMark/>
          </w:tcPr>
          <w:p w14:paraId="799D04C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₹1,50,000-3,00,000</w:t>
            </w:r>
          </w:p>
        </w:tc>
        <w:tc>
          <w:tcPr>
            <w:tcW w:w="791" w:type="pct"/>
            <w:shd w:val="clear" w:color="000000" w:fill="E2EFDA"/>
            <w:vAlign w:val="center"/>
            <w:hideMark/>
          </w:tcPr>
          <w:p w14:paraId="17CC647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&gt;₹3,00,000</w:t>
            </w:r>
          </w:p>
        </w:tc>
        <w:tc>
          <w:tcPr>
            <w:tcW w:w="800" w:type="pct"/>
            <w:shd w:val="clear" w:color="000000" w:fill="E2EFDA"/>
            <w:vAlign w:val="center"/>
            <w:hideMark/>
          </w:tcPr>
          <w:p w14:paraId="1735EE2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69BB676C" w14:textId="77777777" w:rsidTr="00B7240B">
        <w:trPr>
          <w:trHeight w:val="552"/>
        </w:trPr>
        <w:tc>
          <w:tcPr>
            <w:tcW w:w="305" w:type="pct"/>
            <w:vMerge w:val="restart"/>
            <w:shd w:val="clear" w:color="000000" w:fill="FFD966"/>
            <w:noWrap/>
            <w:textDirection w:val="btLr"/>
            <w:vAlign w:val="center"/>
            <w:hideMark/>
          </w:tcPr>
          <w:p w14:paraId="391F74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18" w:type="pct"/>
            <w:shd w:val="clear" w:color="000000" w:fill="FFF2CC"/>
            <w:vAlign w:val="center"/>
            <w:hideMark/>
          </w:tcPr>
          <w:p w14:paraId="06B66D8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04" w:type="pct"/>
            <w:shd w:val="clear" w:color="auto" w:fill="auto"/>
            <w:vAlign w:val="center"/>
            <w:hideMark/>
          </w:tcPr>
          <w:p w14:paraId="1F94AA9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25" w:type="pct"/>
            <w:shd w:val="clear" w:color="auto" w:fill="auto"/>
            <w:vAlign w:val="center"/>
            <w:hideMark/>
          </w:tcPr>
          <w:p w14:paraId="25610E7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7" w:type="pct"/>
            <w:shd w:val="clear" w:color="auto" w:fill="auto"/>
            <w:vAlign w:val="center"/>
            <w:hideMark/>
          </w:tcPr>
          <w:p w14:paraId="1774BA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41568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800" w:type="pct"/>
            <w:shd w:val="clear" w:color="auto" w:fill="auto"/>
            <w:vAlign w:val="center"/>
            <w:hideMark/>
          </w:tcPr>
          <w:p w14:paraId="74472DF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67DF0EDE" w14:textId="77777777" w:rsidTr="00B7240B">
        <w:trPr>
          <w:trHeight w:val="552"/>
        </w:trPr>
        <w:tc>
          <w:tcPr>
            <w:tcW w:w="305" w:type="pct"/>
            <w:vMerge/>
            <w:vAlign w:val="center"/>
            <w:hideMark/>
          </w:tcPr>
          <w:p w14:paraId="557B7C7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7D62C01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04" w:type="pct"/>
            <w:shd w:val="clear" w:color="auto" w:fill="auto"/>
            <w:vAlign w:val="center"/>
            <w:hideMark/>
          </w:tcPr>
          <w:p w14:paraId="50700A8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5" w:type="pct"/>
            <w:shd w:val="clear" w:color="auto" w:fill="auto"/>
            <w:vAlign w:val="center"/>
            <w:hideMark/>
          </w:tcPr>
          <w:p w14:paraId="75516EC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28 (11.67%)</w:t>
            </w:r>
          </w:p>
        </w:tc>
        <w:tc>
          <w:tcPr>
            <w:tcW w:w="757" w:type="pct"/>
            <w:shd w:val="clear" w:color="auto" w:fill="auto"/>
            <w:vAlign w:val="center"/>
            <w:hideMark/>
          </w:tcPr>
          <w:p w14:paraId="5012D0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91" w:type="pct"/>
            <w:shd w:val="clear" w:color="auto" w:fill="auto"/>
            <w:vAlign w:val="center"/>
            <w:hideMark/>
          </w:tcPr>
          <w:p w14:paraId="7CD20E0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00" w:type="pct"/>
            <w:shd w:val="clear" w:color="auto" w:fill="auto"/>
            <w:vAlign w:val="center"/>
            <w:hideMark/>
          </w:tcPr>
          <w:p w14:paraId="21702F9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799F8D" w14:textId="77777777" w:rsidTr="00B7240B">
        <w:trPr>
          <w:trHeight w:val="552"/>
        </w:trPr>
        <w:tc>
          <w:tcPr>
            <w:tcW w:w="305" w:type="pct"/>
            <w:vMerge/>
            <w:vAlign w:val="center"/>
            <w:hideMark/>
          </w:tcPr>
          <w:p w14:paraId="734A586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062D532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04" w:type="pct"/>
            <w:shd w:val="clear" w:color="auto" w:fill="auto"/>
            <w:vAlign w:val="center"/>
            <w:hideMark/>
          </w:tcPr>
          <w:p w14:paraId="13DB2DB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725" w:type="pct"/>
            <w:shd w:val="clear" w:color="auto" w:fill="auto"/>
            <w:vAlign w:val="center"/>
            <w:hideMark/>
          </w:tcPr>
          <w:p w14:paraId="5A75DB0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57" w:type="pct"/>
            <w:shd w:val="clear" w:color="auto" w:fill="auto"/>
            <w:vAlign w:val="center"/>
            <w:hideMark/>
          </w:tcPr>
          <w:p w14:paraId="7660D76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791" w:type="pct"/>
            <w:shd w:val="clear" w:color="auto" w:fill="auto"/>
            <w:vAlign w:val="center"/>
            <w:hideMark/>
          </w:tcPr>
          <w:p w14:paraId="7C33D9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800" w:type="pct"/>
            <w:shd w:val="clear" w:color="auto" w:fill="auto"/>
            <w:vAlign w:val="center"/>
            <w:hideMark/>
          </w:tcPr>
          <w:p w14:paraId="6C1D19F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0E26972D" w14:textId="77777777" w:rsidTr="00B7240B">
        <w:trPr>
          <w:trHeight w:val="552"/>
        </w:trPr>
        <w:tc>
          <w:tcPr>
            <w:tcW w:w="305" w:type="pct"/>
            <w:vMerge/>
            <w:vAlign w:val="center"/>
            <w:hideMark/>
          </w:tcPr>
          <w:p w14:paraId="5BEAAC1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54D85C8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04" w:type="pct"/>
            <w:shd w:val="clear" w:color="auto" w:fill="auto"/>
            <w:vAlign w:val="center"/>
            <w:hideMark/>
          </w:tcPr>
          <w:p w14:paraId="0B6251A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5" w:type="pct"/>
            <w:shd w:val="clear" w:color="auto" w:fill="auto"/>
            <w:vAlign w:val="center"/>
            <w:hideMark/>
          </w:tcPr>
          <w:p w14:paraId="55E4413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757" w:type="pct"/>
            <w:shd w:val="clear" w:color="auto" w:fill="auto"/>
            <w:vAlign w:val="center"/>
            <w:hideMark/>
          </w:tcPr>
          <w:p w14:paraId="30A8013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91" w:type="pct"/>
            <w:shd w:val="clear" w:color="auto" w:fill="auto"/>
            <w:vAlign w:val="center"/>
            <w:hideMark/>
          </w:tcPr>
          <w:p w14:paraId="3842F04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800" w:type="pct"/>
            <w:shd w:val="clear" w:color="auto" w:fill="auto"/>
            <w:vAlign w:val="center"/>
            <w:hideMark/>
          </w:tcPr>
          <w:p w14:paraId="7B0872B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2A80800B" w14:textId="77777777" w:rsidTr="00B7240B">
        <w:trPr>
          <w:trHeight w:val="552"/>
        </w:trPr>
        <w:tc>
          <w:tcPr>
            <w:tcW w:w="305" w:type="pct"/>
            <w:vMerge/>
            <w:vAlign w:val="center"/>
            <w:hideMark/>
          </w:tcPr>
          <w:p w14:paraId="79825D0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1936F06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04" w:type="pct"/>
            <w:shd w:val="clear" w:color="auto" w:fill="auto"/>
            <w:vAlign w:val="center"/>
            <w:hideMark/>
          </w:tcPr>
          <w:p w14:paraId="6BB0F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25" w:type="pct"/>
            <w:shd w:val="clear" w:color="auto" w:fill="auto"/>
            <w:vAlign w:val="center"/>
            <w:hideMark/>
          </w:tcPr>
          <w:p w14:paraId="000FFF4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7" w:type="pct"/>
            <w:shd w:val="clear" w:color="auto" w:fill="auto"/>
            <w:vAlign w:val="center"/>
            <w:hideMark/>
          </w:tcPr>
          <w:p w14:paraId="00C0779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2B8DC4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800" w:type="pct"/>
            <w:shd w:val="clear" w:color="auto" w:fill="auto"/>
            <w:vAlign w:val="center"/>
            <w:hideMark/>
          </w:tcPr>
          <w:p w14:paraId="38E7AA6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23B504C5" w14:textId="77777777" w:rsidTr="00B7240B">
        <w:trPr>
          <w:trHeight w:val="552"/>
        </w:trPr>
        <w:tc>
          <w:tcPr>
            <w:tcW w:w="305" w:type="pct"/>
            <w:vMerge/>
            <w:vAlign w:val="center"/>
            <w:hideMark/>
          </w:tcPr>
          <w:p w14:paraId="1EBCE4F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4FA794D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04" w:type="pct"/>
            <w:shd w:val="clear" w:color="auto" w:fill="auto"/>
            <w:vAlign w:val="center"/>
            <w:hideMark/>
          </w:tcPr>
          <w:p w14:paraId="6B05EB2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c>
          <w:tcPr>
            <w:tcW w:w="725" w:type="pct"/>
            <w:shd w:val="clear" w:color="auto" w:fill="auto"/>
            <w:vAlign w:val="center"/>
            <w:hideMark/>
          </w:tcPr>
          <w:p w14:paraId="5D1AF1F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74 (30.83%)</w:t>
            </w:r>
          </w:p>
        </w:tc>
        <w:tc>
          <w:tcPr>
            <w:tcW w:w="757" w:type="pct"/>
            <w:shd w:val="clear" w:color="auto" w:fill="auto"/>
            <w:vAlign w:val="center"/>
            <w:hideMark/>
          </w:tcPr>
          <w:p w14:paraId="6DC2410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67 (27.92%)</w:t>
            </w:r>
          </w:p>
        </w:tc>
        <w:tc>
          <w:tcPr>
            <w:tcW w:w="791" w:type="pct"/>
            <w:shd w:val="clear" w:color="auto" w:fill="auto"/>
            <w:vAlign w:val="center"/>
            <w:hideMark/>
          </w:tcPr>
          <w:p w14:paraId="5045029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55 (22.92%)</w:t>
            </w:r>
          </w:p>
        </w:tc>
        <w:tc>
          <w:tcPr>
            <w:tcW w:w="800" w:type="pct"/>
            <w:shd w:val="clear" w:color="auto" w:fill="auto"/>
            <w:vAlign w:val="center"/>
            <w:hideMark/>
          </w:tcPr>
          <w:p w14:paraId="0280D6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1D640FB0" w14:textId="77777777" w:rsidTr="00B7240B">
        <w:trPr>
          <w:trHeight w:val="552"/>
        </w:trPr>
        <w:tc>
          <w:tcPr>
            <w:tcW w:w="1927" w:type="pct"/>
            <w:gridSpan w:val="3"/>
            <w:shd w:val="clear" w:color="auto" w:fill="auto"/>
            <w:vAlign w:val="center"/>
            <w:hideMark/>
          </w:tcPr>
          <w:p w14:paraId="7284CFF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29.50</w:t>
            </w:r>
          </w:p>
        </w:tc>
        <w:tc>
          <w:tcPr>
            <w:tcW w:w="1482" w:type="pct"/>
            <w:gridSpan w:val="2"/>
            <w:shd w:val="clear" w:color="auto" w:fill="auto"/>
            <w:vAlign w:val="center"/>
            <w:hideMark/>
          </w:tcPr>
          <w:p w14:paraId="6C2AEB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91" w:type="pct"/>
            <w:gridSpan w:val="2"/>
            <w:shd w:val="clear" w:color="auto" w:fill="auto"/>
            <w:vAlign w:val="center"/>
            <w:hideMark/>
          </w:tcPr>
          <w:p w14:paraId="4595C2E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0.033</w:t>
            </w:r>
          </w:p>
        </w:tc>
      </w:tr>
      <w:tr w:rsidR="00B7240B" w:rsidRPr="00E83F35" w14:paraId="685906F6" w14:textId="77777777" w:rsidTr="00B7240B">
        <w:trPr>
          <w:trHeight w:val="552"/>
        </w:trPr>
        <w:tc>
          <w:tcPr>
            <w:tcW w:w="5000" w:type="pct"/>
            <w:gridSpan w:val="7"/>
            <w:shd w:val="clear" w:color="auto" w:fill="auto"/>
            <w:vAlign w:val="center"/>
            <w:hideMark/>
          </w:tcPr>
          <w:p w14:paraId="22BA83A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Income Distribution (₹) and Landholding categories.</w:t>
            </w:r>
          </w:p>
        </w:tc>
      </w:tr>
    </w:tbl>
    <w:p w14:paraId="234FC966" w14:textId="4A671CB3"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00A63E85" w:rsidRPr="00A63E85">
        <w:rPr>
          <w:rFonts w:ascii="Arial" w:hAnsi="Arial" w:cs="Arial"/>
          <w:i/>
          <w:iCs/>
          <w:sz w:val="20"/>
          <w:szCs w:val="20"/>
        </w:rPr>
        <w:t>Parentheses</w:t>
      </w:r>
      <w:r w:rsidRPr="00E83F35">
        <w:rPr>
          <w:rFonts w:ascii="Arial" w:hAnsi="Arial" w:cs="Arial"/>
          <w:i/>
          <w:iCs/>
          <w:sz w:val="20"/>
          <w:szCs w:val="20"/>
        </w:rPr>
        <w:t xml:space="preserve"> represent percentage</w:t>
      </w:r>
    </w:p>
    <w:p w14:paraId="6050300E"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shown in </w:t>
      </w:r>
      <w:r w:rsidRPr="00B7240B">
        <w:rPr>
          <w:rFonts w:ascii="Arial" w:hAnsi="Arial" w:cs="Arial"/>
          <w:b/>
          <w:bCs/>
          <w:sz w:val="20"/>
          <w:szCs w:val="20"/>
        </w:rPr>
        <w:t>Table 8,</w:t>
      </w:r>
      <w:r w:rsidRPr="00B7240B">
        <w:rPr>
          <w:rFonts w:ascii="Arial" w:hAnsi="Arial" w:cs="Arial"/>
          <w:sz w:val="20"/>
          <w:szCs w:val="20"/>
        </w:rPr>
        <w:t xml:space="preserve"> the largest proportion of cotton growers (30.83%) reported an annual income between ₹75,000 and ₹1,50,000, followed by 27.92 percent earning between ₹1,50,000 and ₹3,00,000. Notably, 22.92 percent of farmers earned above ₹3,00,000, while 18.33 percent had annual incomes below ₹75,000.</w:t>
      </w:r>
    </w:p>
    <w:p w14:paraId="7F508025"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closer look reveals that marginal farmers were predominantly concentrated in the lowest income bracket, with 18 out of 44 earning less than ₹75,000 annually. In contrast, large farmers had a stronger presence in the highest income group, with 12 out of 27 reporting earnings over ₹3,00,000. This pattern underscores a clear linkage between landholding size and income levels.</w:t>
      </w:r>
    </w:p>
    <w:p w14:paraId="4E50FD55" w14:textId="77777777" w:rsidR="00B7240B" w:rsidRDefault="00B7240B" w:rsidP="00E83F35">
      <w:pPr>
        <w:spacing w:line="240" w:lineRule="auto"/>
        <w:jc w:val="both"/>
        <w:rPr>
          <w:rFonts w:ascii="Arial" w:hAnsi="Arial" w:cs="Arial"/>
          <w:sz w:val="20"/>
          <w:szCs w:val="20"/>
        </w:rPr>
      </w:pPr>
      <w:r w:rsidRPr="00B7240B">
        <w:rPr>
          <w:rFonts w:ascii="Arial" w:hAnsi="Arial" w:cs="Arial"/>
          <w:sz w:val="20"/>
          <w:szCs w:val="20"/>
        </w:rPr>
        <w:t>The chi-square statistic of 29.50 with 12 degrees of freedom and a p-value of 0.033 indicates a statistically significant association between income distribution and landholding category. This finding suggests that larger landholders tend to earn more, reinforcing the role of land size in determining farm profitability.</w:t>
      </w:r>
    </w:p>
    <w:p w14:paraId="0745F579" w14:textId="5FE70FA4" w:rsidR="00C30971" w:rsidRDefault="00C30971" w:rsidP="00E83F35">
      <w:pPr>
        <w:spacing w:line="240" w:lineRule="auto"/>
        <w:jc w:val="both"/>
        <w:rPr>
          <w:rFonts w:ascii="Arial" w:hAnsi="Arial" w:cs="Arial"/>
          <w:b/>
          <w:bCs/>
        </w:rPr>
      </w:pPr>
      <w:r w:rsidRPr="00C30971">
        <w:rPr>
          <w:rFonts w:ascii="Arial" w:hAnsi="Arial" w:cs="Arial"/>
          <w:b/>
          <w:bCs/>
        </w:rPr>
        <w:t>Discussion</w:t>
      </w:r>
    </w:p>
    <w:p w14:paraId="587ADCA2" w14:textId="34C1968D" w:rsidR="009A3137" w:rsidRPr="009A3137" w:rsidRDefault="009A3137" w:rsidP="009A3137">
      <w:pPr>
        <w:spacing w:line="240" w:lineRule="auto"/>
        <w:jc w:val="both"/>
        <w:rPr>
          <w:rFonts w:ascii="Arial" w:hAnsi="Arial" w:cs="Arial"/>
          <w:sz w:val="20"/>
          <w:szCs w:val="20"/>
        </w:rPr>
      </w:pPr>
      <w:r w:rsidRPr="009A3137">
        <w:rPr>
          <w:rFonts w:ascii="Arial" w:hAnsi="Arial" w:cs="Arial"/>
          <w:sz w:val="20"/>
          <w:szCs w:val="20"/>
        </w:rPr>
        <w:t>The findings of this study reveal a nuanced socio-economic landscape among cotton growers in Aurangabad and Jalna, reflecting both structural and generational challenges. The statistically significant relationship between landholding size and variables such as age, literacy, occupation, and income distribution affirms that farm size remains a critical determinant of livelihood outcomes</w:t>
      </w:r>
      <w:r w:rsidR="00182780">
        <w:rPr>
          <w:rFonts w:ascii="Arial" w:hAnsi="Arial" w:cs="Arial"/>
          <w:sz w:val="20"/>
          <w:szCs w:val="20"/>
        </w:rPr>
        <w:t xml:space="preserve"> (</w:t>
      </w:r>
      <w:r w:rsidR="00182780" w:rsidRPr="00CA4AB3">
        <w:rPr>
          <w:rFonts w:ascii="Arial" w:hAnsi="Arial" w:cs="Arial"/>
          <w:sz w:val="20"/>
          <w:szCs w:val="20"/>
        </w:rPr>
        <w:t>Makate</w:t>
      </w:r>
      <w:r w:rsidR="00182780">
        <w:rPr>
          <w:rFonts w:ascii="Arial" w:hAnsi="Arial" w:cs="Arial"/>
          <w:sz w:val="20"/>
          <w:szCs w:val="20"/>
        </w:rPr>
        <w:t xml:space="preserve"> and Makate, 2019)</w:t>
      </w:r>
      <w:r w:rsidRPr="009A3137">
        <w:rPr>
          <w:rFonts w:ascii="Arial" w:hAnsi="Arial" w:cs="Arial"/>
          <w:sz w:val="20"/>
          <w:szCs w:val="20"/>
        </w:rPr>
        <w:t>.</w:t>
      </w:r>
    </w:p>
    <w:p w14:paraId="7C6F203E" w14:textId="77777777" w:rsidR="009A3137" w:rsidRPr="009A3137" w:rsidRDefault="009A3137" w:rsidP="009A3137">
      <w:pPr>
        <w:spacing w:line="240" w:lineRule="auto"/>
        <w:jc w:val="both"/>
        <w:rPr>
          <w:rFonts w:ascii="Arial" w:hAnsi="Arial" w:cs="Arial"/>
          <w:sz w:val="20"/>
          <w:szCs w:val="20"/>
        </w:rPr>
      </w:pPr>
      <w:r w:rsidRPr="009A3137">
        <w:rPr>
          <w:rFonts w:ascii="Arial" w:hAnsi="Arial" w:cs="Arial"/>
          <w:sz w:val="20"/>
          <w:szCs w:val="20"/>
        </w:rPr>
        <w:t>The predominance of middle-aged farmers (40–50 years) is consistent with trends observed in other studies on cotton cultivation in India, where farming has become less attractive to youth due to income instability and uncertain returns (Dhunde et al., 2022). This demographic reality raises long-term concerns about generational continuity and calls for policies that incentivize youth participation in agriculture, such as skill training, startup grants, and contract farming opportunities.</w:t>
      </w:r>
    </w:p>
    <w:p w14:paraId="4E34F238" w14:textId="10F14A3E" w:rsidR="009A3137" w:rsidRDefault="009A3137" w:rsidP="009A3137">
      <w:pPr>
        <w:spacing w:line="240" w:lineRule="auto"/>
        <w:jc w:val="both"/>
        <w:rPr>
          <w:rFonts w:ascii="Arial" w:hAnsi="Arial" w:cs="Arial"/>
          <w:sz w:val="20"/>
          <w:szCs w:val="20"/>
        </w:rPr>
      </w:pPr>
      <w:r w:rsidRPr="009A3137">
        <w:rPr>
          <w:rFonts w:ascii="Arial" w:hAnsi="Arial" w:cs="Arial"/>
          <w:sz w:val="20"/>
          <w:szCs w:val="20"/>
        </w:rPr>
        <w:t xml:space="preserve">The literacy analysis underscores the persistent educational disparity between marginal and large farmers, with a notable proportion of the former being illiterate. Similar findings were reported by </w:t>
      </w:r>
      <w:r>
        <w:rPr>
          <w:rFonts w:ascii="Arial" w:hAnsi="Arial" w:cs="Arial"/>
          <w:sz w:val="20"/>
          <w:szCs w:val="20"/>
        </w:rPr>
        <w:t>(</w:t>
      </w:r>
      <w:r w:rsidRPr="009A3137">
        <w:rPr>
          <w:rFonts w:ascii="Arial" w:hAnsi="Arial" w:cs="Arial"/>
          <w:sz w:val="20"/>
          <w:szCs w:val="20"/>
        </w:rPr>
        <w:t>Vaghasiya and Nakum</w:t>
      </w:r>
      <w:r>
        <w:rPr>
          <w:rFonts w:ascii="Arial" w:hAnsi="Arial" w:cs="Arial"/>
          <w:sz w:val="20"/>
          <w:szCs w:val="20"/>
        </w:rPr>
        <w:t xml:space="preserve">, </w:t>
      </w:r>
      <w:r w:rsidRPr="009A3137">
        <w:rPr>
          <w:rFonts w:ascii="Arial" w:hAnsi="Arial" w:cs="Arial"/>
          <w:sz w:val="20"/>
          <w:szCs w:val="20"/>
        </w:rPr>
        <w:t>2025), who found that educational attainment directly influences a farmer's ability to access government schemes, market information, and adopt modern technologies. Therefore, literacy-focused interventions targeted at marginal and smallholders can yield long-term benefits in productivity and resilience.</w:t>
      </w:r>
    </w:p>
    <w:p w14:paraId="0A1B2FC0" w14:textId="6F97A16F" w:rsidR="009A3137" w:rsidRDefault="009A3137" w:rsidP="009A3137">
      <w:pPr>
        <w:spacing w:line="240" w:lineRule="auto"/>
        <w:jc w:val="both"/>
        <w:rPr>
          <w:rFonts w:ascii="Arial" w:hAnsi="Arial" w:cs="Arial"/>
          <w:sz w:val="20"/>
          <w:szCs w:val="20"/>
        </w:rPr>
      </w:pPr>
      <w:r w:rsidRPr="009A3137">
        <w:rPr>
          <w:rFonts w:ascii="Arial" w:hAnsi="Arial" w:cs="Arial"/>
          <w:sz w:val="20"/>
          <w:szCs w:val="20"/>
        </w:rPr>
        <w:lastRenderedPageBreak/>
        <w:t>The occupational diversification observed among medium and large farmers corroborates national trends, where larger landholders diversify into allied and non-agricultural activities to mitigate risk and stabilize income (</w:t>
      </w:r>
      <w:r>
        <w:rPr>
          <w:rFonts w:ascii="Arial" w:hAnsi="Arial" w:cs="Arial"/>
          <w:sz w:val="20"/>
          <w:szCs w:val="20"/>
        </w:rPr>
        <w:t>Mehta and Mehta,</w:t>
      </w:r>
      <w:r w:rsidRPr="009A3137">
        <w:rPr>
          <w:rFonts w:ascii="Arial" w:hAnsi="Arial" w:cs="Arial"/>
          <w:sz w:val="20"/>
          <w:szCs w:val="20"/>
        </w:rPr>
        <w:t xml:space="preserve"> 20</w:t>
      </w:r>
      <w:r>
        <w:rPr>
          <w:rFonts w:ascii="Arial" w:hAnsi="Arial" w:cs="Arial"/>
          <w:sz w:val="20"/>
          <w:szCs w:val="20"/>
        </w:rPr>
        <w:t>18</w:t>
      </w:r>
      <w:r w:rsidRPr="009A3137">
        <w:rPr>
          <w:rFonts w:ascii="Arial" w:hAnsi="Arial" w:cs="Arial"/>
          <w:sz w:val="20"/>
          <w:szCs w:val="20"/>
        </w:rPr>
        <w:t>). This contrasts with marginal farmers, who are often entirely dependent on agriculture and thus more vulnerable to external shocks. Expanding access to non-farm income opportunities, including agro-processing and rural entrepreneurship, may offer a cushion for vulnerable groups.</w:t>
      </w:r>
    </w:p>
    <w:p w14:paraId="0A70C912" w14:textId="114ADC2B" w:rsidR="009A3137" w:rsidRDefault="009A3137" w:rsidP="009A3137">
      <w:pPr>
        <w:spacing w:line="240" w:lineRule="auto"/>
        <w:jc w:val="both"/>
        <w:rPr>
          <w:rFonts w:ascii="Arial" w:hAnsi="Arial" w:cs="Arial"/>
          <w:sz w:val="20"/>
          <w:szCs w:val="20"/>
        </w:rPr>
      </w:pPr>
      <w:r w:rsidRPr="009A3137">
        <w:rPr>
          <w:rFonts w:ascii="Arial" w:hAnsi="Arial" w:cs="Arial"/>
          <w:sz w:val="20"/>
          <w:szCs w:val="20"/>
        </w:rPr>
        <w:t>Income inequality based on landholding size was another critical outcome. A large portion of marginal farmers earned less than ₹75,000 annually, while the majority of large farmers earned above ₹3,00,000. These results align with national-level assessments of farm economics, which consistently link farm size with profitability due to better economies of scale, input use efficiency, and market access (Dhunde et al., 2022; NAAS, 2020).</w:t>
      </w:r>
    </w:p>
    <w:p w14:paraId="261FC5F0" w14:textId="77777777" w:rsidR="009A3137" w:rsidRPr="009A3137" w:rsidRDefault="009A3137" w:rsidP="009A3137">
      <w:pPr>
        <w:spacing w:line="240" w:lineRule="auto"/>
        <w:jc w:val="both"/>
        <w:rPr>
          <w:rFonts w:ascii="Arial" w:hAnsi="Arial" w:cs="Arial"/>
          <w:sz w:val="20"/>
          <w:szCs w:val="20"/>
        </w:rPr>
      </w:pPr>
      <w:r w:rsidRPr="009A3137">
        <w:rPr>
          <w:rFonts w:ascii="Arial" w:hAnsi="Arial" w:cs="Arial"/>
          <w:sz w:val="20"/>
          <w:szCs w:val="20"/>
        </w:rPr>
        <w:t>Collectively, these findings underscore the need for a differentiated policy approach. Marginal and small farmers require targeted support in the form of education, extension services, input subsidies, and better market linkages. In contrast, medium and large farmers can be incentivized to support value chain development, cooperatives, and knowledge transfer.</w:t>
      </w:r>
    </w:p>
    <w:p w14:paraId="5F2D1B48" w14:textId="1B9EED85" w:rsidR="008826ED" w:rsidRPr="00E83F35" w:rsidRDefault="008826ED" w:rsidP="00E83F35">
      <w:pPr>
        <w:spacing w:line="240" w:lineRule="auto"/>
        <w:rPr>
          <w:rFonts w:ascii="Arial" w:hAnsi="Arial" w:cs="Arial"/>
          <w:b/>
          <w:bCs/>
        </w:rPr>
      </w:pPr>
      <w:r w:rsidRPr="00E83F35">
        <w:rPr>
          <w:rFonts w:ascii="Arial" w:hAnsi="Arial" w:cs="Arial"/>
          <w:b/>
          <w:bCs/>
        </w:rPr>
        <w:t>Conclusion</w:t>
      </w:r>
    </w:p>
    <w:p w14:paraId="66F66BA5"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The study of cotton growers in Aurangabad and Jalna districts revealed significant socio-economic disparities across different landholding categories. Small and marginal farmers dominated the sample, highlighting widespread land fragmentation in the region. Most farmers (32.51%) were middle-aged (40–50 years), while youth participation in farming remained low, raising concerns about generational continuity. Age was significantly associated with landholding size.</w:t>
      </w:r>
    </w:p>
    <w:p w14:paraId="168C952D"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Literacy levels were uneven, with 15.83 percent of respondents being illiterate and higher education concentrated among large farmers. Education disparities were statistically significant and directly impacted access to information and farm decision-making. Family size was typically moderate (4–6 members), but large families were more prevalent among large landholders, offering them labour advantages.</w:t>
      </w:r>
    </w:p>
    <w:p w14:paraId="2A4398F8" w14:textId="23F3F6EF"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 xml:space="preserve">Occupational patterns showed that while 64.17 percent of respondents relied solely on agriculture, 35.83 percent engaged in both agriculture and non-farm activities, particularly among smaller farmers seeking income stability. Income levels also varied sharply: </w:t>
      </w:r>
      <w:r w:rsidR="009604B2" w:rsidRPr="009604B2">
        <w:rPr>
          <w:rFonts w:ascii="Arial" w:hAnsi="Arial" w:cs="Arial"/>
          <w:sz w:val="20"/>
          <w:szCs w:val="20"/>
        </w:rPr>
        <w:t>58.75 percent of farmers earned between ₹75,000 and ₹3,00,000 annually</w:t>
      </w:r>
      <w:r w:rsidRPr="007A2EF1">
        <w:rPr>
          <w:rFonts w:ascii="Arial" w:hAnsi="Arial" w:cs="Arial"/>
          <w:sz w:val="20"/>
          <w:szCs w:val="20"/>
        </w:rPr>
        <w:t>, while only 10 percent crossed the ₹3,00,000 mark. Income was positively correlated with landholding size.</w:t>
      </w:r>
    </w:p>
    <w:p w14:paraId="7E502FB7" w14:textId="37EFAB8D" w:rsidR="007A2EF1" w:rsidRDefault="007A2EF1" w:rsidP="007A2EF1">
      <w:pPr>
        <w:spacing w:line="240" w:lineRule="auto"/>
        <w:jc w:val="both"/>
        <w:rPr>
          <w:rFonts w:ascii="Arial" w:hAnsi="Arial" w:cs="Arial"/>
          <w:sz w:val="20"/>
          <w:szCs w:val="20"/>
        </w:rPr>
      </w:pPr>
      <w:r w:rsidRPr="007A2EF1">
        <w:rPr>
          <w:rFonts w:ascii="Arial" w:hAnsi="Arial" w:cs="Arial"/>
          <w:sz w:val="20"/>
          <w:szCs w:val="20"/>
        </w:rPr>
        <w:t>Overall, landholding size significantly influenced age structure, literacy, family size, occupation, and income. Marginal and small farmers faced greater vulnerability due to low incomes, limited education, and reliance on non-farm activities. The study underscores the need for targeted interventions—such as educational support, youth engagement in farming, and income diversification schemes—to ensure the sustainability and economic viability of cotton cultivation in the Marathwada region.</w:t>
      </w:r>
    </w:p>
    <w:p w14:paraId="009503F6" w14:textId="6FC5AFA2" w:rsidR="00253FB1" w:rsidRDefault="00253FB1" w:rsidP="007A2EF1">
      <w:pPr>
        <w:spacing w:line="240" w:lineRule="auto"/>
        <w:jc w:val="both"/>
        <w:rPr>
          <w:rFonts w:ascii="Arial" w:hAnsi="Arial" w:cs="Arial"/>
          <w:sz w:val="20"/>
          <w:szCs w:val="20"/>
        </w:rPr>
      </w:pPr>
    </w:p>
    <w:p w14:paraId="43B2DDA3" w14:textId="77777777" w:rsidR="00253FB1" w:rsidRPr="00394842" w:rsidRDefault="00253FB1" w:rsidP="00253FB1">
      <w:pPr>
        <w:rPr>
          <w:highlight w:val="yellow"/>
        </w:rPr>
      </w:pPr>
      <w:r w:rsidRPr="00394842">
        <w:rPr>
          <w:highlight w:val="yellow"/>
        </w:rPr>
        <w:t>Disclaimer (Artificial intelligence)</w:t>
      </w:r>
    </w:p>
    <w:p w14:paraId="3FED83FE" w14:textId="77777777" w:rsidR="00253FB1" w:rsidRPr="00394842" w:rsidRDefault="00253FB1" w:rsidP="00253FB1">
      <w:pPr>
        <w:rPr>
          <w:highlight w:val="yellow"/>
        </w:rPr>
      </w:pPr>
    </w:p>
    <w:p w14:paraId="15ED6F95" w14:textId="77777777" w:rsidR="00253FB1" w:rsidRPr="00394842" w:rsidRDefault="00253FB1" w:rsidP="00253FB1">
      <w:pPr>
        <w:rPr>
          <w:highlight w:val="yellow"/>
        </w:rPr>
      </w:pPr>
      <w:r w:rsidRPr="00394842">
        <w:rPr>
          <w:highlight w:val="yellow"/>
        </w:rPr>
        <w:t xml:space="preserve">Option 1: </w:t>
      </w:r>
    </w:p>
    <w:p w14:paraId="50DE6578" w14:textId="77777777" w:rsidR="00253FB1" w:rsidRPr="00394842" w:rsidRDefault="00253FB1" w:rsidP="00253FB1">
      <w:pPr>
        <w:rPr>
          <w:highlight w:val="yellow"/>
        </w:rPr>
      </w:pPr>
    </w:p>
    <w:p w14:paraId="7EE78B3A" w14:textId="77777777" w:rsidR="00253FB1" w:rsidRPr="00394842" w:rsidRDefault="00253FB1" w:rsidP="00253FB1">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650607E" w14:textId="30B8F58E" w:rsidR="00253FB1" w:rsidRPr="00394842" w:rsidRDefault="00253FB1" w:rsidP="00253FB1">
      <w:pPr>
        <w:rPr>
          <w:highlight w:val="yellow"/>
        </w:rPr>
      </w:pPr>
    </w:p>
    <w:p w14:paraId="655E0E4A" w14:textId="4B003119" w:rsidR="00511E7C" w:rsidRPr="00511E7C" w:rsidRDefault="008826ED" w:rsidP="006E0AB9">
      <w:pPr>
        <w:spacing w:line="240" w:lineRule="auto"/>
        <w:rPr>
          <w:rFonts w:ascii="Arial" w:hAnsi="Arial" w:cs="Arial"/>
          <w:b/>
          <w:bCs/>
        </w:rPr>
      </w:pPr>
      <w:r w:rsidRPr="00E83F35">
        <w:rPr>
          <w:rFonts w:ascii="Arial" w:hAnsi="Arial" w:cs="Arial"/>
          <w:b/>
          <w:bCs/>
        </w:rPr>
        <w:t>References</w:t>
      </w:r>
    </w:p>
    <w:p w14:paraId="040BF888" w14:textId="602D7506"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lastRenderedPageBreak/>
        <w:t xml:space="preserve">Abdulai, A. M. (2021). Empirical Analysis of Determinants of Poverty Among Farmers in Rural Northern Ghana. Agricultural Economics, 6(2), 88-97. Retrieved from </w:t>
      </w:r>
      <w:hyperlink r:id="rId9" w:history="1">
        <w:r w:rsidR="00CA4AB3" w:rsidRPr="001D032B">
          <w:rPr>
            <w:rStyle w:val="Hyperlink"/>
            <w:rFonts w:ascii="Arial" w:hAnsi="Arial" w:cs="Arial"/>
            <w:sz w:val="20"/>
            <w:szCs w:val="20"/>
          </w:rPr>
          <w:t>https://sciencepublishinggroup.com/article/10.11648/j.ijae.20210602.14</w:t>
        </w:r>
      </w:hyperlink>
      <w:r w:rsidR="00CA4AB3">
        <w:rPr>
          <w:rFonts w:ascii="Arial" w:hAnsi="Arial" w:cs="Arial"/>
          <w:sz w:val="20"/>
          <w:szCs w:val="20"/>
        </w:rPr>
        <w:t xml:space="preserve"> </w:t>
      </w:r>
    </w:p>
    <w:p w14:paraId="5A4A3B44" w14:textId="339317D7"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Agriculture Census. (n.d.). Categorisation of operational land holdings. Ministry of Agriculture &amp; Farmers Welfare, Government of India. </w:t>
      </w:r>
      <w:hyperlink r:id="rId10" w:history="1">
        <w:r w:rsidRPr="009A3137">
          <w:rPr>
            <w:rStyle w:val="Hyperlink"/>
            <w:rFonts w:ascii="Arial" w:hAnsi="Arial" w:cs="Arial"/>
            <w:sz w:val="20"/>
            <w:szCs w:val="20"/>
          </w:rPr>
          <w:t>https://www.pib.gov.in/Pressreleaseshare.aspx?PRID=1562687</w:t>
        </w:r>
      </w:hyperlink>
      <w:r w:rsidRPr="009A3137">
        <w:rPr>
          <w:rFonts w:ascii="Arial" w:hAnsi="Arial" w:cs="Arial"/>
          <w:sz w:val="20"/>
          <w:szCs w:val="20"/>
        </w:rPr>
        <w:t xml:space="preserve"> </w:t>
      </w:r>
    </w:p>
    <w:p w14:paraId="6CD092F1" w14:textId="77777777"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Bairagi, S. and Mottaleb, K.A. (2021), "Participation in farmers' organization and production efficiency: empirical evidence from smallholder farmers in Bangladesh", Journal of Agribusiness in Developing and Emerging Economies, Vol. 11 No. 2, pp. 73-87. </w:t>
      </w:r>
      <w:hyperlink r:id="rId11" w:tooltip="DOI: https://doi.org/10.1108/JADEE-09-2020-0203" w:history="1">
        <w:r w:rsidRPr="009A3137">
          <w:rPr>
            <w:rStyle w:val="Hyperlink"/>
            <w:rFonts w:ascii="Arial" w:hAnsi="Arial" w:cs="Arial"/>
            <w:sz w:val="20"/>
            <w:szCs w:val="20"/>
          </w:rPr>
          <w:t>https://doi.org/10.11</w:t>
        </w:r>
        <w:r w:rsidRPr="009A3137">
          <w:rPr>
            <w:rStyle w:val="Hyperlink"/>
            <w:rFonts w:ascii="Arial" w:hAnsi="Arial" w:cs="Arial"/>
            <w:sz w:val="20"/>
            <w:szCs w:val="20"/>
          </w:rPr>
          <w:t>0</w:t>
        </w:r>
        <w:r w:rsidRPr="009A3137">
          <w:rPr>
            <w:rStyle w:val="Hyperlink"/>
            <w:rFonts w:ascii="Arial" w:hAnsi="Arial" w:cs="Arial"/>
            <w:sz w:val="20"/>
            <w:szCs w:val="20"/>
          </w:rPr>
          <w:t>8/JADEE-09-2020-0203</w:t>
        </w:r>
      </w:hyperlink>
    </w:p>
    <w:p w14:paraId="18A20F54" w14:textId="5E9DAFC9"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Dhunde , A. D., Naik , V. G., Malave , D. B., Kadam , J. R., Dhekale , J. S., Torane , S. R., </w:t>
      </w:r>
      <w:r w:rsidR="009604B2">
        <w:rPr>
          <w:rFonts w:ascii="Arial" w:hAnsi="Arial" w:cs="Arial"/>
          <w:sz w:val="20"/>
          <w:szCs w:val="20"/>
        </w:rPr>
        <w:t>and</w:t>
      </w:r>
      <w:r w:rsidRPr="009A3137">
        <w:rPr>
          <w:rFonts w:ascii="Arial" w:hAnsi="Arial" w:cs="Arial"/>
          <w:sz w:val="20"/>
          <w:szCs w:val="20"/>
        </w:rPr>
        <w:t xml:space="preserve"> Sundaramoorthy , C. (2022). Economic Assessment of Sustainable Cotton Production in Maharashtra, India. International Journal of Environment and Climate Change, 12(12), 1812–1818. </w:t>
      </w:r>
      <w:hyperlink r:id="rId12" w:history="1">
        <w:r w:rsidRPr="009A3137">
          <w:rPr>
            <w:rStyle w:val="Hyperlink"/>
            <w:rFonts w:ascii="Arial" w:hAnsi="Arial" w:cs="Arial"/>
            <w:sz w:val="20"/>
            <w:szCs w:val="20"/>
          </w:rPr>
          <w:t>https://doi.org/10.9734/ijecc/2022/v12i121629</w:t>
        </w:r>
      </w:hyperlink>
      <w:r w:rsidRPr="009A3137">
        <w:rPr>
          <w:rFonts w:ascii="Arial" w:hAnsi="Arial" w:cs="Arial"/>
          <w:sz w:val="20"/>
          <w:szCs w:val="20"/>
        </w:rPr>
        <w:t xml:space="preserve"> </w:t>
      </w:r>
    </w:p>
    <w:p w14:paraId="1C32D306" w14:textId="77777777" w:rsid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Directorate of Economics and Statistics. (n.d.). District-wise area under cotton cultivation in Marathwada region. Government of India. Retrieved from </w:t>
      </w:r>
      <w:hyperlink r:id="rId13" w:history="1">
        <w:r w:rsidRPr="009A3137">
          <w:rPr>
            <w:rStyle w:val="Hyperlink"/>
            <w:rFonts w:ascii="Arial" w:hAnsi="Arial" w:cs="Arial"/>
            <w:sz w:val="20"/>
            <w:szCs w:val="20"/>
          </w:rPr>
          <w:t>DES | Area, Production &amp; Yield - Reports</w:t>
        </w:r>
      </w:hyperlink>
    </w:p>
    <w:p w14:paraId="6A553F64" w14:textId="23BF52F9" w:rsidR="00480BEA" w:rsidRPr="009A3137" w:rsidRDefault="00480BEA" w:rsidP="00511E7C">
      <w:pPr>
        <w:spacing w:line="240" w:lineRule="auto"/>
        <w:jc w:val="both"/>
        <w:rPr>
          <w:rFonts w:ascii="Arial" w:hAnsi="Arial" w:cs="Arial"/>
          <w:sz w:val="20"/>
          <w:szCs w:val="20"/>
        </w:rPr>
      </w:pPr>
      <w:r w:rsidRPr="00480BEA">
        <w:rPr>
          <w:rFonts w:ascii="Arial" w:hAnsi="Arial" w:cs="Arial"/>
          <w:sz w:val="20"/>
          <w:szCs w:val="20"/>
        </w:rPr>
        <w:t>Khan, N. A., Qijie, G., Sertse, S. F., Nabi, M. N., &amp; Khan, P. (2020). Farmers’ use of mobile phone-based farm advisory services in Punjab, Pakistan. </w:t>
      </w:r>
      <w:r w:rsidRPr="00480BEA">
        <w:rPr>
          <w:rFonts w:ascii="Arial" w:hAnsi="Arial" w:cs="Arial"/>
          <w:i/>
          <w:iCs/>
          <w:sz w:val="20"/>
          <w:szCs w:val="20"/>
        </w:rPr>
        <w:t>Information Development</w:t>
      </w:r>
      <w:r w:rsidRPr="00480BEA">
        <w:rPr>
          <w:rFonts w:ascii="Arial" w:hAnsi="Arial" w:cs="Arial"/>
          <w:sz w:val="20"/>
          <w:szCs w:val="20"/>
        </w:rPr>
        <w:t>, </w:t>
      </w:r>
      <w:r w:rsidRPr="00480BEA">
        <w:rPr>
          <w:rFonts w:ascii="Arial" w:hAnsi="Arial" w:cs="Arial"/>
          <w:i/>
          <w:iCs/>
          <w:sz w:val="20"/>
          <w:szCs w:val="20"/>
        </w:rPr>
        <w:t>36</w:t>
      </w:r>
      <w:r w:rsidRPr="00480BEA">
        <w:rPr>
          <w:rFonts w:ascii="Arial" w:hAnsi="Arial" w:cs="Arial"/>
          <w:sz w:val="20"/>
          <w:szCs w:val="20"/>
        </w:rPr>
        <w:t>(3), 390-402.</w:t>
      </w:r>
      <w:r>
        <w:rPr>
          <w:rFonts w:ascii="Arial" w:hAnsi="Arial" w:cs="Arial"/>
          <w:sz w:val="20"/>
          <w:szCs w:val="20"/>
        </w:rPr>
        <w:t xml:space="preserve"> </w:t>
      </w:r>
      <w:hyperlink r:id="rId14" w:history="1">
        <w:r w:rsidRPr="001D032B">
          <w:rPr>
            <w:rStyle w:val="Hyperlink"/>
            <w:rFonts w:ascii="Arial" w:hAnsi="Arial" w:cs="Arial"/>
            <w:sz w:val="20"/>
            <w:szCs w:val="20"/>
          </w:rPr>
          <w:t>https://journals.sagepub.com/doi/10.1177/0266666919864126</w:t>
        </w:r>
      </w:hyperlink>
      <w:r>
        <w:rPr>
          <w:rFonts w:ascii="Arial" w:hAnsi="Arial" w:cs="Arial"/>
          <w:sz w:val="20"/>
          <w:szCs w:val="20"/>
        </w:rPr>
        <w:t xml:space="preserve"> </w:t>
      </w:r>
    </w:p>
    <w:p w14:paraId="64D647EC" w14:textId="7B8F16F3"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Mehta, N., </w:t>
      </w:r>
      <w:r w:rsidR="009604B2">
        <w:rPr>
          <w:rFonts w:ascii="Arial" w:hAnsi="Arial" w:cs="Arial"/>
          <w:sz w:val="20"/>
          <w:szCs w:val="20"/>
        </w:rPr>
        <w:t>and</w:t>
      </w:r>
      <w:r w:rsidRPr="009A3137">
        <w:rPr>
          <w:rFonts w:ascii="Arial" w:hAnsi="Arial" w:cs="Arial"/>
          <w:sz w:val="20"/>
          <w:szCs w:val="20"/>
        </w:rPr>
        <w:t xml:space="preserve"> Mehta, N. (2018). Occupational Diversification and Rural Transformation. Rural Transformation in the Post Liberalization Period in Gujarat: Economic and Social Consequences, 23-71.</w:t>
      </w:r>
      <w:r w:rsidRPr="009A3137">
        <w:rPr>
          <w:rFonts w:ascii="Arial" w:hAnsi="Arial" w:cs="Arial"/>
          <w:sz w:val="20"/>
          <w:szCs w:val="20"/>
        </w:rPr>
        <w:t xml:space="preserve"> </w:t>
      </w:r>
      <w:hyperlink r:id="rId15" w:history="1">
        <w:r w:rsidRPr="009A3137">
          <w:rPr>
            <w:rStyle w:val="Hyperlink"/>
            <w:rFonts w:ascii="Arial" w:hAnsi="Arial" w:cs="Arial"/>
            <w:sz w:val="20"/>
            <w:szCs w:val="20"/>
          </w:rPr>
          <w:t>https://doi.org/10.1007/978-981-10-8962-6_2</w:t>
        </w:r>
      </w:hyperlink>
      <w:r w:rsidRPr="009A3137">
        <w:rPr>
          <w:rFonts w:ascii="Arial" w:hAnsi="Arial" w:cs="Arial"/>
          <w:sz w:val="20"/>
          <w:szCs w:val="20"/>
        </w:rPr>
        <w:t xml:space="preserve"> </w:t>
      </w:r>
    </w:p>
    <w:p w14:paraId="0B921229" w14:textId="77777777"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Ministry of Textiles. (2023). Annual report 2022–23. Government of India. Retrieved from </w:t>
      </w:r>
      <w:hyperlink r:id="rId16" w:history="1">
        <w:r w:rsidRPr="009A3137">
          <w:rPr>
            <w:rStyle w:val="Hyperlink"/>
            <w:rFonts w:ascii="Arial" w:hAnsi="Arial" w:cs="Arial"/>
            <w:sz w:val="20"/>
            <w:szCs w:val="20"/>
          </w:rPr>
          <w:t>https://texmin.gov.in/sites/default/files/Note%20on%20Cotton%20Sector.pdf</w:t>
        </w:r>
      </w:hyperlink>
    </w:p>
    <w:p w14:paraId="7DCF782C" w14:textId="6298A13A"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Mollaee, M., Mobli, A., Mutti, N. K., Manalil, S., </w:t>
      </w:r>
      <w:r w:rsidR="009604B2">
        <w:rPr>
          <w:rFonts w:ascii="Arial" w:hAnsi="Arial" w:cs="Arial"/>
          <w:sz w:val="20"/>
          <w:szCs w:val="20"/>
        </w:rPr>
        <w:t>and</w:t>
      </w:r>
      <w:r w:rsidRPr="009A3137">
        <w:rPr>
          <w:rFonts w:ascii="Arial" w:hAnsi="Arial" w:cs="Arial"/>
          <w:sz w:val="20"/>
          <w:szCs w:val="20"/>
        </w:rPr>
        <w:t xml:space="preserve"> Chauhan, B. S. (2019). Challenges and opportunities in cotton production. Cotton production, 371-390. Retrieved from </w:t>
      </w:r>
      <w:hyperlink r:id="rId17" w:history="1">
        <w:r w:rsidRPr="009A3137">
          <w:rPr>
            <w:rStyle w:val="Hyperlink"/>
            <w:rFonts w:ascii="Arial" w:hAnsi="Arial" w:cs="Arial"/>
            <w:sz w:val="20"/>
            <w:szCs w:val="20"/>
          </w:rPr>
          <w:t>https://onlinelibrary.wiley.com/doi/abs/10.1002/9781119385523.ch18</w:t>
        </w:r>
      </w:hyperlink>
      <w:r w:rsidRPr="009A3137">
        <w:rPr>
          <w:rFonts w:ascii="Arial" w:hAnsi="Arial" w:cs="Arial"/>
          <w:sz w:val="20"/>
          <w:szCs w:val="20"/>
        </w:rPr>
        <w:t xml:space="preserve"> </w:t>
      </w:r>
    </w:p>
    <w:p w14:paraId="1B42228D" w14:textId="620B2657"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Muhammad Adeel, M. A., Siddiqui, B. N., Waqar-ul-Hassan Tareen, W. U. H. T., Adnan Rayit, A. R., </w:t>
      </w:r>
      <w:r w:rsidR="009604B2">
        <w:rPr>
          <w:rFonts w:ascii="Arial" w:hAnsi="Arial" w:cs="Arial"/>
          <w:sz w:val="20"/>
          <w:szCs w:val="20"/>
        </w:rPr>
        <w:t>and</w:t>
      </w:r>
      <w:r w:rsidRPr="009A3137">
        <w:rPr>
          <w:rFonts w:ascii="Arial" w:hAnsi="Arial" w:cs="Arial"/>
          <w:sz w:val="20"/>
          <w:szCs w:val="20"/>
        </w:rPr>
        <w:t xml:space="preserve"> Shah Fahd, S. F. (2017). Working efficiency of extension field staff with regards to integrated pest management of cotton in district DG Khan, Punjab, Pakistan.</w:t>
      </w:r>
      <w:r w:rsidRPr="009A3137">
        <w:rPr>
          <w:rFonts w:ascii="Arial" w:hAnsi="Arial" w:cs="Arial"/>
          <w:sz w:val="20"/>
          <w:szCs w:val="20"/>
        </w:rPr>
        <w:t xml:space="preserve"> </w:t>
      </w:r>
      <w:hyperlink r:id="rId18" w:history="1">
        <w:r w:rsidRPr="009A3137">
          <w:rPr>
            <w:rStyle w:val="Hyperlink"/>
            <w:rFonts w:ascii="Arial" w:hAnsi="Arial" w:cs="Arial"/>
            <w:sz w:val="20"/>
            <w:szCs w:val="20"/>
          </w:rPr>
          <w:t>cabidigitallibrary.org/doi/full/10.5555/20183145959</w:t>
        </w:r>
      </w:hyperlink>
      <w:r w:rsidRPr="009A3137">
        <w:rPr>
          <w:rFonts w:ascii="Arial" w:hAnsi="Arial" w:cs="Arial"/>
          <w:sz w:val="20"/>
          <w:szCs w:val="20"/>
        </w:rPr>
        <w:t xml:space="preserve"> </w:t>
      </w:r>
    </w:p>
    <w:p w14:paraId="53344AB9" w14:textId="77777777"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National Academy of Agricultural Sciences (NAAS). (2020). Policy options for doubling farmers’ income in India. NAAS Policy Paper No. 91. </w:t>
      </w:r>
      <w:hyperlink r:id="rId19" w:history="1">
        <w:r w:rsidRPr="009A3137">
          <w:rPr>
            <w:rStyle w:val="Hyperlink"/>
            <w:rFonts w:ascii="Arial" w:hAnsi="Arial" w:cs="Arial"/>
            <w:sz w:val="20"/>
            <w:szCs w:val="20"/>
          </w:rPr>
          <w:t>https://naas.org.in/Policy%20Papers/policy%2091.pdf</w:t>
        </w:r>
      </w:hyperlink>
      <w:r w:rsidRPr="009A3137">
        <w:rPr>
          <w:rFonts w:ascii="Arial" w:hAnsi="Arial" w:cs="Arial"/>
          <w:sz w:val="20"/>
          <w:szCs w:val="20"/>
        </w:rPr>
        <w:t xml:space="preserve"> </w:t>
      </w:r>
    </w:p>
    <w:p w14:paraId="18236A56" w14:textId="2261BC1F"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Onchiri, S. (2013). Conceptual model on application of chi-square test in education and social sciences. Educational Research and Reviews, 8(15), 1231. Retrieved from </w:t>
      </w:r>
      <w:hyperlink r:id="rId20" w:history="1">
        <w:r w:rsidR="00182780" w:rsidRPr="001D032B">
          <w:rPr>
            <w:rStyle w:val="Hyperlink"/>
            <w:rFonts w:ascii="Arial" w:hAnsi="Arial" w:cs="Arial"/>
            <w:sz w:val="20"/>
            <w:szCs w:val="20"/>
          </w:rPr>
          <w:t>https://d1wqtxts1xzle7.cloudfront.net/109124577/3912FC76609-libre.pdf?1702836051=&amp;-content-disposition=inline%3B+filenam</w:t>
        </w:r>
        <w:r w:rsidR="00182780" w:rsidRPr="001D032B">
          <w:rPr>
            <w:rStyle w:val="Hyperlink"/>
            <w:rFonts w:ascii="Arial" w:hAnsi="Arial" w:cs="Arial"/>
            <w:sz w:val="20"/>
            <w:szCs w:val="20"/>
          </w:rPr>
          <w:t>e</w:t>
        </w:r>
        <w:r w:rsidR="00182780" w:rsidRPr="001D032B">
          <w:rPr>
            <w:rStyle w:val="Hyperlink"/>
            <w:rFonts w:ascii="Arial" w:hAnsi="Arial" w:cs="Arial"/>
            <w:sz w:val="20"/>
            <w:szCs w:val="20"/>
          </w:rPr>
          <w:t>%3DConceptual_model_on_application_of_chi_s.pdf&amp;Expires=1747249525&amp;Signature=P-~5r4zHbNXr6yY8GZRYXw~1a1LnP8L-Pair-Id=APKAJLOHF5GGSLRBV4ZA</w:t>
        </w:r>
      </w:hyperlink>
      <w:r w:rsidR="00182780">
        <w:rPr>
          <w:rFonts w:ascii="Arial" w:hAnsi="Arial" w:cs="Arial"/>
          <w:sz w:val="20"/>
          <w:szCs w:val="20"/>
        </w:rPr>
        <w:t xml:space="preserve"> </w:t>
      </w:r>
    </w:p>
    <w:p w14:paraId="21B31187" w14:textId="34F29B24" w:rsidR="009A3137" w:rsidRP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Salkind, N. J., </w:t>
      </w:r>
      <w:r w:rsidR="009604B2">
        <w:rPr>
          <w:rFonts w:ascii="Arial" w:hAnsi="Arial" w:cs="Arial"/>
          <w:sz w:val="20"/>
          <w:szCs w:val="20"/>
        </w:rPr>
        <w:t>and</w:t>
      </w:r>
      <w:r w:rsidRPr="009A3137">
        <w:rPr>
          <w:rFonts w:ascii="Arial" w:hAnsi="Arial" w:cs="Arial"/>
          <w:sz w:val="20"/>
          <w:szCs w:val="20"/>
        </w:rPr>
        <w:t xml:space="preserve"> Frey, B. B. (2019). Statistics for people who (think they) hate statistics. Sage Publications.</w:t>
      </w:r>
      <w:hyperlink r:id="rId21" w:history="1">
        <w:r w:rsidR="00182780" w:rsidRPr="001D032B">
          <w:rPr>
            <w:rStyle w:val="Hyperlink"/>
            <w:rFonts w:ascii="Arial" w:hAnsi="Arial" w:cs="Arial"/>
            <w:sz w:val="20"/>
            <w:szCs w:val="20"/>
          </w:rPr>
          <w:t>https://books.google.co.in/books?id=YdWuDwAAQBAJ&amp;lpg=PA9&amp;ots=uCFC43C-bQ&amp;dq=Percentage%20value%20as%20a%20fraction%20of%20another%2C%20multiplied%20by%20100%20to%20represent%20it%20as%20a%20percentage.&amp;lr&amp;pg=PA9#v=onepage&amp;q&amp;f=false</w:t>
        </w:r>
      </w:hyperlink>
      <w:r w:rsidRPr="009A3137">
        <w:rPr>
          <w:rFonts w:ascii="Arial" w:hAnsi="Arial" w:cs="Arial"/>
          <w:sz w:val="20"/>
          <w:szCs w:val="20"/>
        </w:rPr>
        <w:t xml:space="preserve"> </w:t>
      </w:r>
    </w:p>
    <w:p w14:paraId="6DB428EE" w14:textId="57D59BC1" w:rsidR="009A3137" w:rsidRDefault="009A3137" w:rsidP="00511E7C">
      <w:pPr>
        <w:spacing w:line="240" w:lineRule="auto"/>
        <w:jc w:val="both"/>
        <w:rPr>
          <w:rFonts w:ascii="Arial" w:hAnsi="Arial" w:cs="Arial"/>
          <w:sz w:val="20"/>
          <w:szCs w:val="20"/>
        </w:rPr>
      </w:pPr>
      <w:r w:rsidRPr="009A3137">
        <w:rPr>
          <w:rFonts w:ascii="Arial" w:hAnsi="Arial" w:cs="Arial"/>
          <w:sz w:val="20"/>
          <w:szCs w:val="20"/>
        </w:rPr>
        <w:t xml:space="preserve">Vaghasiya, P., </w:t>
      </w:r>
      <w:r w:rsidR="009604B2">
        <w:rPr>
          <w:rFonts w:ascii="Arial" w:hAnsi="Arial" w:cs="Arial"/>
          <w:sz w:val="20"/>
          <w:szCs w:val="20"/>
        </w:rPr>
        <w:t>and</w:t>
      </w:r>
      <w:r w:rsidRPr="009A3137">
        <w:rPr>
          <w:rFonts w:ascii="Arial" w:hAnsi="Arial" w:cs="Arial"/>
          <w:sz w:val="20"/>
          <w:szCs w:val="20"/>
        </w:rPr>
        <w:t xml:space="preserve"> Nakum, M. M. (2025). Identification of constraints in cotton cultivation: A study of Jamnagar district, India. Journal of Agriculture and Ecology Research International, 26(2), 13–18. </w:t>
      </w:r>
      <w:hyperlink r:id="rId22" w:tgtFrame="_new" w:history="1">
        <w:r w:rsidRPr="009A3137">
          <w:rPr>
            <w:rStyle w:val="Hyperlink"/>
            <w:rFonts w:ascii="Arial" w:hAnsi="Arial" w:cs="Arial"/>
            <w:sz w:val="20"/>
            <w:szCs w:val="20"/>
          </w:rPr>
          <w:t>https://www.journaljaeri.com/index.php/JAERI/article/view/666</w:t>
        </w:r>
      </w:hyperlink>
    </w:p>
    <w:p w14:paraId="5F981443" w14:textId="16DCC393" w:rsidR="00CA4AB3" w:rsidRPr="009A3137" w:rsidRDefault="00CA4AB3" w:rsidP="00511E7C">
      <w:pPr>
        <w:spacing w:line="240" w:lineRule="auto"/>
        <w:jc w:val="both"/>
        <w:rPr>
          <w:rFonts w:ascii="Arial" w:hAnsi="Arial" w:cs="Arial"/>
          <w:sz w:val="20"/>
          <w:szCs w:val="20"/>
        </w:rPr>
      </w:pPr>
      <w:r w:rsidRPr="00CA4AB3">
        <w:rPr>
          <w:rFonts w:ascii="Arial" w:hAnsi="Arial" w:cs="Arial"/>
          <w:sz w:val="20"/>
          <w:szCs w:val="20"/>
        </w:rPr>
        <w:t xml:space="preserve">Makate, C., Mango, N., </w:t>
      </w:r>
      <w:r w:rsidR="009604B2">
        <w:rPr>
          <w:rFonts w:ascii="Arial" w:hAnsi="Arial" w:cs="Arial"/>
          <w:sz w:val="20"/>
          <w:szCs w:val="20"/>
        </w:rPr>
        <w:t>and</w:t>
      </w:r>
      <w:r w:rsidRPr="00CA4AB3">
        <w:rPr>
          <w:rFonts w:ascii="Arial" w:hAnsi="Arial" w:cs="Arial"/>
          <w:sz w:val="20"/>
          <w:szCs w:val="20"/>
        </w:rPr>
        <w:t xml:space="preserve"> Makate, M. (2019). Socioeconomic status connected imbalances in arable land size holding and utilization in smallholder farming in Zimbabwe: Implications for a sustainable rural development. </w:t>
      </w:r>
      <w:r w:rsidRPr="00CA4AB3">
        <w:rPr>
          <w:rFonts w:ascii="Arial" w:hAnsi="Arial" w:cs="Arial"/>
          <w:i/>
          <w:iCs/>
          <w:sz w:val="20"/>
          <w:szCs w:val="20"/>
        </w:rPr>
        <w:t>Land use policy</w:t>
      </w:r>
      <w:r w:rsidRPr="00CA4AB3">
        <w:rPr>
          <w:rFonts w:ascii="Arial" w:hAnsi="Arial" w:cs="Arial"/>
          <w:sz w:val="20"/>
          <w:szCs w:val="20"/>
        </w:rPr>
        <w:t>, </w:t>
      </w:r>
      <w:r w:rsidRPr="00CA4AB3">
        <w:rPr>
          <w:rFonts w:ascii="Arial" w:hAnsi="Arial" w:cs="Arial"/>
          <w:i/>
          <w:iCs/>
          <w:sz w:val="20"/>
          <w:szCs w:val="20"/>
        </w:rPr>
        <w:t>87</w:t>
      </w:r>
      <w:r w:rsidRPr="00CA4AB3">
        <w:rPr>
          <w:rFonts w:ascii="Arial" w:hAnsi="Arial" w:cs="Arial"/>
          <w:sz w:val="20"/>
          <w:szCs w:val="20"/>
        </w:rPr>
        <w:t>, 104027.</w:t>
      </w:r>
      <w:r>
        <w:rPr>
          <w:rFonts w:ascii="Arial" w:hAnsi="Arial" w:cs="Arial"/>
          <w:sz w:val="20"/>
          <w:szCs w:val="20"/>
        </w:rPr>
        <w:t xml:space="preserve"> </w:t>
      </w:r>
      <w:hyperlink r:id="rId23" w:history="1">
        <w:r w:rsidR="00182780" w:rsidRPr="001D032B">
          <w:rPr>
            <w:rStyle w:val="Hyperlink"/>
            <w:rFonts w:ascii="Arial" w:hAnsi="Arial" w:cs="Arial"/>
            <w:sz w:val="20"/>
            <w:szCs w:val="20"/>
          </w:rPr>
          <w:t>https://linkinghub.elsevier.com/retrieve/pii/S0264837719301784</w:t>
        </w:r>
      </w:hyperlink>
      <w:r w:rsidR="00182780">
        <w:rPr>
          <w:rFonts w:ascii="Arial" w:hAnsi="Arial" w:cs="Arial"/>
          <w:sz w:val="20"/>
          <w:szCs w:val="20"/>
        </w:rPr>
        <w:t xml:space="preserve"> </w:t>
      </w:r>
    </w:p>
    <w:sectPr w:rsidR="00CA4AB3" w:rsidRPr="009A313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7F82" w14:textId="77777777" w:rsidR="000C5240" w:rsidRDefault="000C5240" w:rsidP="00F51542">
      <w:pPr>
        <w:spacing w:after="0" w:line="240" w:lineRule="auto"/>
      </w:pPr>
      <w:r>
        <w:separator/>
      </w:r>
    </w:p>
  </w:endnote>
  <w:endnote w:type="continuationSeparator" w:id="0">
    <w:p w14:paraId="554A3D4B" w14:textId="77777777" w:rsidR="000C5240" w:rsidRDefault="000C5240" w:rsidP="00F5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eria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BD46" w14:textId="77777777" w:rsidR="00F51542" w:rsidRDefault="00F5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5117" w14:textId="77777777" w:rsidR="00F51542" w:rsidRDefault="00F5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5615" w14:textId="77777777" w:rsidR="00F51542" w:rsidRDefault="00F5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0F98" w14:textId="77777777" w:rsidR="000C5240" w:rsidRDefault="000C5240" w:rsidP="00F51542">
      <w:pPr>
        <w:spacing w:after="0" w:line="240" w:lineRule="auto"/>
      </w:pPr>
      <w:r>
        <w:separator/>
      </w:r>
    </w:p>
  </w:footnote>
  <w:footnote w:type="continuationSeparator" w:id="0">
    <w:p w14:paraId="6C76234A" w14:textId="77777777" w:rsidR="000C5240" w:rsidRDefault="000C5240" w:rsidP="00F5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B7F4" w14:textId="5CB2E3F5" w:rsidR="00F51542" w:rsidRDefault="00000000">
    <w:pPr>
      <w:pStyle w:val="Header"/>
    </w:pPr>
    <w:r>
      <w:rPr>
        <w:noProof/>
      </w:rPr>
      <w:pict w14:anchorId="4E563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A84D" w14:textId="15201DD3" w:rsidR="00F51542" w:rsidRDefault="00000000">
    <w:pPr>
      <w:pStyle w:val="Header"/>
    </w:pPr>
    <w:r>
      <w:rPr>
        <w:noProof/>
      </w:rPr>
      <w:pict w14:anchorId="355EE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65B0" w14:textId="49395E62" w:rsidR="00F51542" w:rsidRDefault="00000000">
    <w:pPr>
      <w:pStyle w:val="Header"/>
    </w:pPr>
    <w:r>
      <w:rPr>
        <w:noProof/>
      </w:rPr>
      <w:pict w14:anchorId="5F2FD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272"/>
    <w:multiLevelType w:val="hybridMultilevel"/>
    <w:tmpl w:val="627EF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C009B4"/>
    <w:multiLevelType w:val="hybridMultilevel"/>
    <w:tmpl w:val="021A19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5F5221"/>
    <w:multiLevelType w:val="multilevel"/>
    <w:tmpl w:val="87DEB962"/>
    <w:lvl w:ilvl="0">
      <w:start w:val="3"/>
      <w:numFmt w:val="decimal"/>
      <w:lvlText w:val="%1"/>
      <w:lvlJc w:val="left"/>
      <w:pPr>
        <w:ind w:left="1118" w:hanging="387"/>
      </w:pPr>
      <w:rPr>
        <w:rFonts w:hint="default"/>
      </w:rPr>
    </w:lvl>
    <w:lvl w:ilvl="1">
      <w:start w:val="1"/>
      <w:numFmt w:val="decimal"/>
      <w:lvlText w:val="%1.%2."/>
      <w:lvlJc w:val="left"/>
      <w:pPr>
        <w:ind w:left="1118" w:hanging="387"/>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002" w:hanging="550"/>
      </w:pPr>
      <w:rPr>
        <w:rFonts w:hint="default"/>
        <w:spacing w:val="0"/>
        <w:w w:val="100"/>
      </w:rPr>
    </w:lvl>
    <w:lvl w:ilvl="3">
      <w:start w:val="1"/>
      <w:numFmt w:val="decimal"/>
      <w:lvlText w:val="%1.%2.%3.%4."/>
      <w:lvlJc w:val="left"/>
      <w:pPr>
        <w:ind w:left="1450" w:hanging="550"/>
      </w:pPr>
      <w:rPr>
        <w:rFonts w:ascii="Times New Roman" w:eastAsia="Times New Roman" w:hAnsi="Times New Roman" w:cs="Times New Roman" w:hint="default"/>
        <w:b/>
        <w:bCs/>
        <w:i w:val="0"/>
        <w:iCs w:val="0"/>
        <w:spacing w:val="0"/>
        <w:w w:val="100"/>
        <w:sz w:val="22"/>
        <w:szCs w:val="22"/>
      </w:rPr>
    </w:lvl>
    <w:lvl w:ilvl="4">
      <w:numFmt w:val="bullet"/>
      <w:lvlText w:val="•"/>
      <w:lvlJc w:val="left"/>
      <w:pPr>
        <w:ind w:left="3212" w:hanging="550"/>
      </w:pPr>
      <w:rPr>
        <w:rFonts w:hint="default"/>
      </w:rPr>
    </w:lvl>
    <w:lvl w:ilvl="5">
      <w:numFmt w:val="bullet"/>
      <w:lvlText w:val="•"/>
      <w:lvlJc w:val="left"/>
      <w:pPr>
        <w:ind w:left="4425" w:hanging="550"/>
      </w:pPr>
      <w:rPr>
        <w:rFonts w:hint="default"/>
      </w:rPr>
    </w:lvl>
    <w:lvl w:ilvl="6">
      <w:numFmt w:val="bullet"/>
      <w:lvlText w:val="•"/>
      <w:lvlJc w:val="left"/>
      <w:pPr>
        <w:ind w:left="5638" w:hanging="550"/>
      </w:pPr>
      <w:rPr>
        <w:rFonts w:hint="default"/>
      </w:rPr>
    </w:lvl>
    <w:lvl w:ilvl="7">
      <w:numFmt w:val="bullet"/>
      <w:lvlText w:val="•"/>
      <w:lvlJc w:val="left"/>
      <w:pPr>
        <w:ind w:left="6851" w:hanging="550"/>
      </w:pPr>
      <w:rPr>
        <w:rFonts w:hint="default"/>
      </w:rPr>
    </w:lvl>
    <w:lvl w:ilvl="8">
      <w:numFmt w:val="bullet"/>
      <w:lvlText w:val="•"/>
      <w:lvlJc w:val="left"/>
      <w:pPr>
        <w:ind w:left="8064" w:hanging="550"/>
      </w:pPr>
      <w:rPr>
        <w:rFonts w:hint="default"/>
      </w:rPr>
    </w:lvl>
  </w:abstractNum>
  <w:abstractNum w:abstractNumId="3" w15:restartNumberingAfterBreak="0">
    <w:nsid w:val="303B04EF"/>
    <w:multiLevelType w:val="hybridMultilevel"/>
    <w:tmpl w:val="E03A9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A56310D"/>
    <w:multiLevelType w:val="hybridMultilevel"/>
    <w:tmpl w:val="FAA4F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B417FA"/>
    <w:multiLevelType w:val="hybridMultilevel"/>
    <w:tmpl w:val="EB2A69F2"/>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243D2E"/>
    <w:multiLevelType w:val="hybridMultilevel"/>
    <w:tmpl w:val="DF00BB90"/>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964440"/>
    <w:multiLevelType w:val="hybridMultilevel"/>
    <w:tmpl w:val="19AAF9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76439F"/>
    <w:multiLevelType w:val="multilevel"/>
    <w:tmpl w:val="B458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127595">
    <w:abstractNumId w:val="4"/>
  </w:num>
  <w:num w:numId="2" w16cid:durableId="1594361119">
    <w:abstractNumId w:val="6"/>
  </w:num>
  <w:num w:numId="3" w16cid:durableId="1302349349">
    <w:abstractNumId w:val="2"/>
  </w:num>
  <w:num w:numId="4" w16cid:durableId="100956046">
    <w:abstractNumId w:val="0"/>
  </w:num>
  <w:num w:numId="5" w16cid:durableId="569196133">
    <w:abstractNumId w:val="1"/>
  </w:num>
  <w:num w:numId="6" w16cid:durableId="666051998">
    <w:abstractNumId w:val="3"/>
  </w:num>
  <w:num w:numId="7" w16cid:durableId="482043874">
    <w:abstractNumId w:val="5"/>
  </w:num>
  <w:num w:numId="8" w16cid:durableId="845439281">
    <w:abstractNumId w:val="7"/>
  </w:num>
  <w:num w:numId="9" w16cid:durableId="1464928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68"/>
    <w:rsid w:val="00003DB7"/>
    <w:rsid w:val="00053541"/>
    <w:rsid w:val="000C5240"/>
    <w:rsid w:val="000E2615"/>
    <w:rsid w:val="000E3CD1"/>
    <w:rsid w:val="000E5B7A"/>
    <w:rsid w:val="0015623C"/>
    <w:rsid w:val="001562E0"/>
    <w:rsid w:val="00157298"/>
    <w:rsid w:val="00162140"/>
    <w:rsid w:val="001662C9"/>
    <w:rsid w:val="00182780"/>
    <w:rsid w:val="00183ADA"/>
    <w:rsid w:val="001A4999"/>
    <w:rsid w:val="001A51CC"/>
    <w:rsid w:val="001B4C66"/>
    <w:rsid w:val="001F6104"/>
    <w:rsid w:val="0022520C"/>
    <w:rsid w:val="00241AB8"/>
    <w:rsid w:val="00253FB1"/>
    <w:rsid w:val="002B225F"/>
    <w:rsid w:val="002E7F85"/>
    <w:rsid w:val="003303C4"/>
    <w:rsid w:val="003608D9"/>
    <w:rsid w:val="003E613C"/>
    <w:rsid w:val="003F43C1"/>
    <w:rsid w:val="00435439"/>
    <w:rsid w:val="004530F8"/>
    <w:rsid w:val="00480BEA"/>
    <w:rsid w:val="004A39C5"/>
    <w:rsid w:val="0050076A"/>
    <w:rsid w:val="00502D23"/>
    <w:rsid w:val="00511E7C"/>
    <w:rsid w:val="00512159"/>
    <w:rsid w:val="005455D9"/>
    <w:rsid w:val="005518F2"/>
    <w:rsid w:val="00562CEB"/>
    <w:rsid w:val="005B7268"/>
    <w:rsid w:val="005F24C3"/>
    <w:rsid w:val="00602860"/>
    <w:rsid w:val="00605075"/>
    <w:rsid w:val="0063124B"/>
    <w:rsid w:val="006C7480"/>
    <w:rsid w:val="006D03DA"/>
    <w:rsid w:val="006E0AB9"/>
    <w:rsid w:val="007116DC"/>
    <w:rsid w:val="007118D0"/>
    <w:rsid w:val="00737E09"/>
    <w:rsid w:val="00747200"/>
    <w:rsid w:val="00774DB9"/>
    <w:rsid w:val="00797D23"/>
    <w:rsid w:val="007A2EF1"/>
    <w:rsid w:val="007B0D56"/>
    <w:rsid w:val="007F4877"/>
    <w:rsid w:val="00801552"/>
    <w:rsid w:val="0080286E"/>
    <w:rsid w:val="008512EB"/>
    <w:rsid w:val="008826ED"/>
    <w:rsid w:val="00885F1F"/>
    <w:rsid w:val="008A013D"/>
    <w:rsid w:val="009055C0"/>
    <w:rsid w:val="0092751E"/>
    <w:rsid w:val="009604B2"/>
    <w:rsid w:val="00966252"/>
    <w:rsid w:val="0097619B"/>
    <w:rsid w:val="00996C03"/>
    <w:rsid w:val="009A3137"/>
    <w:rsid w:val="009B6905"/>
    <w:rsid w:val="009B6B37"/>
    <w:rsid w:val="009E0BE2"/>
    <w:rsid w:val="009F7973"/>
    <w:rsid w:val="00A27F4F"/>
    <w:rsid w:val="00A54A39"/>
    <w:rsid w:val="00A63E85"/>
    <w:rsid w:val="00A8566A"/>
    <w:rsid w:val="00AA24FB"/>
    <w:rsid w:val="00AC6B9D"/>
    <w:rsid w:val="00AE5BDA"/>
    <w:rsid w:val="00B124DF"/>
    <w:rsid w:val="00B679FB"/>
    <w:rsid w:val="00B7240B"/>
    <w:rsid w:val="00B83E3D"/>
    <w:rsid w:val="00B93E84"/>
    <w:rsid w:val="00BA2431"/>
    <w:rsid w:val="00BB10CE"/>
    <w:rsid w:val="00C26EA2"/>
    <w:rsid w:val="00C30971"/>
    <w:rsid w:val="00C50E46"/>
    <w:rsid w:val="00C57AFA"/>
    <w:rsid w:val="00C755F8"/>
    <w:rsid w:val="00C81C6B"/>
    <w:rsid w:val="00C948D6"/>
    <w:rsid w:val="00CA38FA"/>
    <w:rsid w:val="00CA4AB3"/>
    <w:rsid w:val="00CB31A7"/>
    <w:rsid w:val="00D04BA9"/>
    <w:rsid w:val="00D217BC"/>
    <w:rsid w:val="00D34EC3"/>
    <w:rsid w:val="00D61170"/>
    <w:rsid w:val="00D807EB"/>
    <w:rsid w:val="00D92052"/>
    <w:rsid w:val="00DE2BF1"/>
    <w:rsid w:val="00E83F35"/>
    <w:rsid w:val="00EF2B04"/>
    <w:rsid w:val="00F02E44"/>
    <w:rsid w:val="00F20F01"/>
    <w:rsid w:val="00F2338F"/>
    <w:rsid w:val="00F3383E"/>
    <w:rsid w:val="00F50507"/>
    <w:rsid w:val="00F51542"/>
    <w:rsid w:val="00FE0F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13090"/>
  <w15:chartTrackingRefBased/>
  <w15:docId w15:val="{9E597B05-8DE4-4ECF-886D-FD3B7F9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7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7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68"/>
    <w:rPr>
      <w:rFonts w:eastAsiaTheme="majorEastAsia" w:cstheme="majorBidi"/>
      <w:color w:val="272727" w:themeColor="text1" w:themeTint="D8"/>
    </w:rPr>
  </w:style>
  <w:style w:type="paragraph" w:styleId="Title">
    <w:name w:val="Title"/>
    <w:basedOn w:val="Normal"/>
    <w:next w:val="Normal"/>
    <w:link w:val="TitleChar"/>
    <w:uiPriority w:val="10"/>
    <w:qFormat/>
    <w:rsid w:val="005B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68"/>
    <w:pPr>
      <w:spacing w:before="160"/>
      <w:jc w:val="center"/>
    </w:pPr>
    <w:rPr>
      <w:i/>
      <w:iCs/>
      <w:color w:val="404040" w:themeColor="text1" w:themeTint="BF"/>
    </w:rPr>
  </w:style>
  <w:style w:type="character" w:customStyle="1" w:styleId="QuoteChar">
    <w:name w:val="Quote Char"/>
    <w:basedOn w:val="DefaultParagraphFont"/>
    <w:link w:val="Quote"/>
    <w:uiPriority w:val="29"/>
    <w:rsid w:val="005B7268"/>
    <w:rPr>
      <w:i/>
      <w:iCs/>
      <w:color w:val="404040" w:themeColor="text1" w:themeTint="BF"/>
    </w:rPr>
  </w:style>
  <w:style w:type="paragraph" w:styleId="ListParagraph">
    <w:name w:val="List Paragraph"/>
    <w:basedOn w:val="Normal"/>
    <w:uiPriority w:val="1"/>
    <w:qFormat/>
    <w:rsid w:val="005B7268"/>
    <w:pPr>
      <w:ind w:left="720"/>
      <w:contextualSpacing/>
    </w:pPr>
  </w:style>
  <w:style w:type="character" w:styleId="IntenseEmphasis">
    <w:name w:val="Intense Emphasis"/>
    <w:basedOn w:val="DefaultParagraphFont"/>
    <w:uiPriority w:val="21"/>
    <w:qFormat/>
    <w:rsid w:val="005B7268"/>
    <w:rPr>
      <w:i/>
      <w:iCs/>
      <w:color w:val="2F5496" w:themeColor="accent1" w:themeShade="BF"/>
    </w:rPr>
  </w:style>
  <w:style w:type="paragraph" w:styleId="IntenseQuote">
    <w:name w:val="Intense Quote"/>
    <w:basedOn w:val="Normal"/>
    <w:next w:val="Normal"/>
    <w:link w:val="IntenseQuoteChar"/>
    <w:uiPriority w:val="30"/>
    <w:qFormat/>
    <w:rsid w:val="005B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268"/>
    <w:rPr>
      <w:i/>
      <w:iCs/>
      <w:color w:val="2F5496" w:themeColor="accent1" w:themeShade="BF"/>
    </w:rPr>
  </w:style>
  <w:style w:type="character" w:styleId="IntenseReference">
    <w:name w:val="Intense Reference"/>
    <w:basedOn w:val="DefaultParagraphFont"/>
    <w:uiPriority w:val="32"/>
    <w:qFormat/>
    <w:rsid w:val="005B7268"/>
    <w:rPr>
      <w:b/>
      <w:bCs/>
      <w:smallCaps/>
      <w:color w:val="2F5496" w:themeColor="accent1" w:themeShade="BF"/>
      <w:spacing w:val="5"/>
    </w:rPr>
  </w:style>
  <w:style w:type="character" w:styleId="Hyperlink">
    <w:name w:val="Hyperlink"/>
    <w:basedOn w:val="DefaultParagraphFont"/>
    <w:uiPriority w:val="99"/>
    <w:unhideWhenUsed/>
    <w:rsid w:val="00D807EB"/>
    <w:rPr>
      <w:color w:val="0563C1" w:themeColor="hyperlink"/>
      <w:u w:val="single"/>
    </w:rPr>
  </w:style>
  <w:style w:type="paragraph" w:styleId="BodyText">
    <w:name w:val="Body Text"/>
    <w:basedOn w:val="Normal"/>
    <w:link w:val="BodyTextChar"/>
    <w:uiPriority w:val="1"/>
    <w:qFormat/>
    <w:rsid w:val="008826ED"/>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8826ED"/>
    <w:rPr>
      <w:rFonts w:ascii="Cambria" w:eastAsia="Cambria" w:hAnsi="Cambria" w:cs="Cambria"/>
      <w:kern w:val="0"/>
      <w:sz w:val="24"/>
      <w:szCs w:val="24"/>
      <w:lang w:val="en-US"/>
      <w14:ligatures w14:val="none"/>
    </w:rPr>
  </w:style>
  <w:style w:type="character" w:styleId="Strong">
    <w:name w:val="Strong"/>
    <w:basedOn w:val="DefaultParagraphFont"/>
    <w:uiPriority w:val="22"/>
    <w:qFormat/>
    <w:rsid w:val="008826ED"/>
    <w:rPr>
      <w:b/>
      <w:bCs/>
    </w:rPr>
  </w:style>
  <w:style w:type="paragraph" w:styleId="Caption">
    <w:name w:val="caption"/>
    <w:basedOn w:val="Normal"/>
    <w:next w:val="Normal"/>
    <w:uiPriority w:val="35"/>
    <w:unhideWhenUsed/>
    <w:qFormat/>
    <w:rsid w:val="00CB31A7"/>
    <w:pPr>
      <w:spacing w:after="0" w:line="240" w:lineRule="auto"/>
      <w:jc w:val="center"/>
    </w:pPr>
    <w:rPr>
      <w:rFonts w:ascii="Times New Roman" w:hAnsi="Times New Roman"/>
      <w:iCs/>
      <w:color w:val="000000" w:themeColor="text1"/>
      <w:sz w:val="24"/>
      <w:szCs w:val="18"/>
    </w:rPr>
  </w:style>
  <w:style w:type="table" w:styleId="TableGrid">
    <w:name w:val="Table Grid"/>
    <w:basedOn w:val="TableNormal"/>
    <w:uiPriority w:val="39"/>
    <w:rsid w:val="00CB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31A7"/>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customStyle="1" w:styleId="UnresolvedMention1">
    <w:name w:val="Unresolved Mention1"/>
    <w:basedOn w:val="DefaultParagraphFont"/>
    <w:uiPriority w:val="99"/>
    <w:semiHidden/>
    <w:unhideWhenUsed/>
    <w:rsid w:val="00885F1F"/>
    <w:rPr>
      <w:color w:val="605E5C"/>
      <w:shd w:val="clear" w:color="auto" w:fill="E1DFDD"/>
    </w:rPr>
  </w:style>
  <w:style w:type="character" w:styleId="FollowedHyperlink">
    <w:name w:val="FollowedHyperlink"/>
    <w:basedOn w:val="DefaultParagraphFont"/>
    <w:uiPriority w:val="99"/>
    <w:semiHidden/>
    <w:unhideWhenUsed/>
    <w:rsid w:val="0022520C"/>
    <w:rPr>
      <w:color w:val="954F72" w:themeColor="followedHyperlink"/>
      <w:u w:val="single"/>
    </w:rPr>
  </w:style>
  <w:style w:type="paragraph" w:styleId="Header">
    <w:name w:val="header"/>
    <w:basedOn w:val="Normal"/>
    <w:link w:val="HeaderChar"/>
    <w:uiPriority w:val="99"/>
    <w:unhideWhenUsed/>
    <w:rsid w:val="00F5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542"/>
  </w:style>
  <w:style w:type="paragraph" w:styleId="Footer">
    <w:name w:val="footer"/>
    <w:basedOn w:val="Normal"/>
    <w:link w:val="FooterChar"/>
    <w:uiPriority w:val="99"/>
    <w:unhideWhenUsed/>
    <w:rsid w:val="00F5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42"/>
  </w:style>
  <w:style w:type="character" w:styleId="UnresolvedMention">
    <w:name w:val="Unresolved Mention"/>
    <w:basedOn w:val="DefaultParagraphFont"/>
    <w:uiPriority w:val="99"/>
    <w:semiHidden/>
    <w:unhideWhenUsed/>
    <w:rsid w:val="009F7973"/>
    <w:rPr>
      <w:color w:val="605E5C"/>
      <w:shd w:val="clear" w:color="auto" w:fill="E1DFDD"/>
    </w:rPr>
  </w:style>
  <w:style w:type="character" w:customStyle="1" w:styleId="overflow-hidden">
    <w:name w:val="overflow-hidden"/>
    <w:basedOn w:val="DefaultParagraphFont"/>
    <w:rsid w:val="00A6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070">
      <w:bodyDiv w:val="1"/>
      <w:marLeft w:val="0"/>
      <w:marRight w:val="0"/>
      <w:marTop w:val="0"/>
      <w:marBottom w:val="0"/>
      <w:divBdr>
        <w:top w:val="none" w:sz="0" w:space="0" w:color="auto"/>
        <w:left w:val="none" w:sz="0" w:space="0" w:color="auto"/>
        <w:bottom w:val="none" w:sz="0" w:space="0" w:color="auto"/>
        <w:right w:val="none" w:sz="0" w:space="0" w:color="auto"/>
      </w:divBdr>
    </w:div>
    <w:div w:id="112133692">
      <w:bodyDiv w:val="1"/>
      <w:marLeft w:val="0"/>
      <w:marRight w:val="0"/>
      <w:marTop w:val="0"/>
      <w:marBottom w:val="0"/>
      <w:divBdr>
        <w:top w:val="none" w:sz="0" w:space="0" w:color="auto"/>
        <w:left w:val="none" w:sz="0" w:space="0" w:color="auto"/>
        <w:bottom w:val="none" w:sz="0" w:space="0" w:color="auto"/>
        <w:right w:val="none" w:sz="0" w:space="0" w:color="auto"/>
      </w:divBdr>
    </w:div>
    <w:div w:id="128981143">
      <w:bodyDiv w:val="1"/>
      <w:marLeft w:val="0"/>
      <w:marRight w:val="0"/>
      <w:marTop w:val="0"/>
      <w:marBottom w:val="0"/>
      <w:divBdr>
        <w:top w:val="none" w:sz="0" w:space="0" w:color="auto"/>
        <w:left w:val="none" w:sz="0" w:space="0" w:color="auto"/>
        <w:bottom w:val="none" w:sz="0" w:space="0" w:color="auto"/>
        <w:right w:val="none" w:sz="0" w:space="0" w:color="auto"/>
      </w:divBdr>
    </w:div>
    <w:div w:id="236013917">
      <w:bodyDiv w:val="1"/>
      <w:marLeft w:val="0"/>
      <w:marRight w:val="0"/>
      <w:marTop w:val="0"/>
      <w:marBottom w:val="0"/>
      <w:divBdr>
        <w:top w:val="none" w:sz="0" w:space="0" w:color="auto"/>
        <w:left w:val="none" w:sz="0" w:space="0" w:color="auto"/>
        <w:bottom w:val="none" w:sz="0" w:space="0" w:color="auto"/>
        <w:right w:val="none" w:sz="0" w:space="0" w:color="auto"/>
      </w:divBdr>
    </w:div>
    <w:div w:id="276957880">
      <w:bodyDiv w:val="1"/>
      <w:marLeft w:val="0"/>
      <w:marRight w:val="0"/>
      <w:marTop w:val="0"/>
      <w:marBottom w:val="0"/>
      <w:divBdr>
        <w:top w:val="none" w:sz="0" w:space="0" w:color="auto"/>
        <w:left w:val="none" w:sz="0" w:space="0" w:color="auto"/>
        <w:bottom w:val="none" w:sz="0" w:space="0" w:color="auto"/>
        <w:right w:val="none" w:sz="0" w:space="0" w:color="auto"/>
      </w:divBdr>
    </w:div>
    <w:div w:id="313606549">
      <w:bodyDiv w:val="1"/>
      <w:marLeft w:val="0"/>
      <w:marRight w:val="0"/>
      <w:marTop w:val="0"/>
      <w:marBottom w:val="0"/>
      <w:divBdr>
        <w:top w:val="none" w:sz="0" w:space="0" w:color="auto"/>
        <w:left w:val="none" w:sz="0" w:space="0" w:color="auto"/>
        <w:bottom w:val="none" w:sz="0" w:space="0" w:color="auto"/>
        <w:right w:val="none" w:sz="0" w:space="0" w:color="auto"/>
      </w:divBdr>
    </w:div>
    <w:div w:id="313872921">
      <w:bodyDiv w:val="1"/>
      <w:marLeft w:val="0"/>
      <w:marRight w:val="0"/>
      <w:marTop w:val="0"/>
      <w:marBottom w:val="0"/>
      <w:divBdr>
        <w:top w:val="none" w:sz="0" w:space="0" w:color="auto"/>
        <w:left w:val="none" w:sz="0" w:space="0" w:color="auto"/>
        <w:bottom w:val="none" w:sz="0" w:space="0" w:color="auto"/>
        <w:right w:val="none" w:sz="0" w:space="0" w:color="auto"/>
      </w:divBdr>
    </w:div>
    <w:div w:id="332756658">
      <w:bodyDiv w:val="1"/>
      <w:marLeft w:val="0"/>
      <w:marRight w:val="0"/>
      <w:marTop w:val="0"/>
      <w:marBottom w:val="0"/>
      <w:divBdr>
        <w:top w:val="none" w:sz="0" w:space="0" w:color="auto"/>
        <w:left w:val="none" w:sz="0" w:space="0" w:color="auto"/>
        <w:bottom w:val="none" w:sz="0" w:space="0" w:color="auto"/>
        <w:right w:val="none" w:sz="0" w:space="0" w:color="auto"/>
      </w:divBdr>
    </w:div>
    <w:div w:id="342241859">
      <w:bodyDiv w:val="1"/>
      <w:marLeft w:val="0"/>
      <w:marRight w:val="0"/>
      <w:marTop w:val="0"/>
      <w:marBottom w:val="0"/>
      <w:divBdr>
        <w:top w:val="none" w:sz="0" w:space="0" w:color="auto"/>
        <w:left w:val="none" w:sz="0" w:space="0" w:color="auto"/>
        <w:bottom w:val="none" w:sz="0" w:space="0" w:color="auto"/>
        <w:right w:val="none" w:sz="0" w:space="0" w:color="auto"/>
      </w:divBdr>
      <w:divsChild>
        <w:div w:id="26222027">
          <w:marLeft w:val="0"/>
          <w:marRight w:val="0"/>
          <w:marTop w:val="0"/>
          <w:marBottom w:val="0"/>
          <w:divBdr>
            <w:top w:val="none" w:sz="0" w:space="0" w:color="auto"/>
            <w:left w:val="none" w:sz="0" w:space="0" w:color="auto"/>
            <w:bottom w:val="none" w:sz="0" w:space="0" w:color="auto"/>
            <w:right w:val="none" w:sz="0" w:space="0" w:color="auto"/>
          </w:divBdr>
          <w:divsChild>
            <w:div w:id="1152604370">
              <w:marLeft w:val="0"/>
              <w:marRight w:val="0"/>
              <w:marTop w:val="0"/>
              <w:marBottom w:val="0"/>
              <w:divBdr>
                <w:top w:val="none" w:sz="0" w:space="0" w:color="auto"/>
                <w:left w:val="none" w:sz="0" w:space="0" w:color="auto"/>
                <w:bottom w:val="none" w:sz="0" w:space="0" w:color="auto"/>
                <w:right w:val="none" w:sz="0" w:space="0" w:color="auto"/>
              </w:divBdr>
              <w:divsChild>
                <w:div w:id="856695192">
                  <w:marLeft w:val="0"/>
                  <w:marRight w:val="0"/>
                  <w:marTop w:val="0"/>
                  <w:marBottom w:val="0"/>
                  <w:divBdr>
                    <w:top w:val="none" w:sz="0" w:space="0" w:color="auto"/>
                    <w:left w:val="none" w:sz="0" w:space="0" w:color="auto"/>
                    <w:bottom w:val="none" w:sz="0" w:space="0" w:color="auto"/>
                    <w:right w:val="none" w:sz="0" w:space="0" w:color="auto"/>
                  </w:divBdr>
                  <w:divsChild>
                    <w:div w:id="1327244145">
                      <w:marLeft w:val="0"/>
                      <w:marRight w:val="0"/>
                      <w:marTop w:val="0"/>
                      <w:marBottom w:val="0"/>
                      <w:divBdr>
                        <w:top w:val="none" w:sz="0" w:space="0" w:color="auto"/>
                        <w:left w:val="none" w:sz="0" w:space="0" w:color="auto"/>
                        <w:bottom w:val="none" w:sz="0" w:space="0" w:color="auto"/>
                        <w:right w:val="none" w:sz="0" w:space="0" w:color="auto"/>
                      </w:divBdr>
                      <w:divsChild>
                        <w:div w:id="1488746874">
                          <w:marLeft w:val="0"/>
                          <w:marRight w:val="0"/>
                          <w:marTop w:val="0"/>
                          <w:marBottom w:val="0"/>
                          <w:divBdr>
                            <w:top w:val="none" w:sz="0" w:space="0" w:color="auto"/>
                            <w:left w:val="none" w:sz="0" w:space="0" w:color="auto"/>
                            <w:bottom w:val="none" w:sz="0" w:space="0" w:color="auto"/>
                            <w:right w:val="none" w:sz="0" w:space="0" w:color="auto"/>
                          </w:divBdr>
                          <w:divsChild>
                            <w:div w:id="1897474306">
                              <w:marLeft w:val="0"/>
                              <w:marRight w:val="0"/>
                              <w:marTop w:val="0"/>
                              <w:marBottom w:val="0"/>
                              <w:divBdr>
                                <w:top w:val="none" w:sz="0" w:space="0" w:color="auto"/>
                                <w:left w:val="none" w:sz="0" w:space="0" w:color="auto"/>
                                <w:bottom w:val="none" w:sz="0" w:space="0" w:color="auto"/>
                                <w:right w:val="none" w:sz="0" w:space="0" w:color="auto"/>
                              </w:divBdr>
                              <w:divsChild>
                                <w:div w:id="188297319">
                                  <w:marLeft w:val="0"/>
                                  <w:marRight w:val="0"/>
                                  <w:marTop w:val="0"/>
                                  <w:marBottom w:val="0"/>
                                  <w:divBdr>
                                    <w:top w:val="none" w:sz="0" w:space="0" w:color="auto"/>
                                    <w:left w:val="none" w:sz="0" w:space="0" w:color="auto"/>
                                    <w:bottom w:val="none" w:sz="0" w:space="0" w:color="auto"/>
                                    <w:right w:val="none" w:sz="0" w:space="0" w:color="auto"/>
                                  </w:divBdr>
                                  <w:divsChild>
                                    <w:div w:id="613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8898">
                          <w:marLeft w:val="0"/>
                          <w:marRight w:val="0"/>
                          <w:marTop w:val="0"/>
                          <w:marBottom w:val="0"/>
                          <w:divBdr>
                            <w:top w:val="none" w:sz="0" w:space="0" w:color="auto"/>
                            <w:left w:val="none" w:sz="0" w:space="0" w:color="auto"/>
                            <w:bottom w:val="none" w:sz="0" w:space="0" w:color="auto"/>
                            <w:right w:val="none" w:sz="0" w:space="0" w:color="auto"/>
                          </w:divBdr>
                          <w:divsChild>
                            <w:div w:id="996615093">
                              <w:marLeft w:val="0"/>
                              <w:marRight w:val="0"/>
                              <w:marTop w:val="0"/>
                              <w:marBottom w:val="0"/>
                              <w:divBdr>
                                <w:top w:val="none" w:sz="0" w:space="0" w:color="auto"/>
                                <w:left w:val="none" w:sz="0" w:space="0" w:color="auto"/>
                                <w:bottom w:val="none" w:sz="0" w:space="0" w:color="auto"/>
                                <w:right w:val="none" w:sz="0" w:space="0" w:color="auto"/>
                              </w:divBdr>
                              <w:divsChild>
                                <w:div w:id="16280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617088">
      <w:bodyDiv w:val="1"/>
      <w:marLeft w:val="0"/>
      <w:marRight w:val="0"/>
      <w:marTop w:val="0"/>
      <w:marBottom w:val="0"/>
      <w:divBdr>
        <w:top w:val="none" w:sz="0" w:space="0" w:color="auto"/>
        <w:left w:val="none" w:sz="0" w:space="0" w:color="auto"/>
        <w:bottom w:val="none" w:sz="0" w:space="0" w:color="auto"/>
        <w:right w:val="none" w:sz="0" w:space="0" w:color="auto"/>
      </w:divBdr>
    </w:div>
    <w:div w:id="422260108">
      <w:bodyDiv w:val="1"/>
      <w:marLeft w:val="0"/>
      <w:marRight w:val="0"/>
      <w:marTop w:val="0"/>
      <w:marBottom w:val="0"/>
      <w:divBdr>
        <w:top w:val="none" w:sz="0" w:space="0" w:color="auto"/>
        <w:left w:val="none" w:sz="0" w:space="0" w:color="auto"/>
        <w:bottom w:val="none" w:sz="0" w:space="0" w:color="auto"/>
        <w:right w:val="none" w:sz="0" w:space="0" w:color="auto"/>
      </w:divBdr>
    </w:div>
    <w:div w:id="545289744">
      <w:bodyDiv w:val="1"/>
      <w:marLeft w:val="0"/>
      <w:marRight w:val="0"/>
      <w:marTop w:val="0"/>
      <w:marBottom w:val="0"/>
      <w:divBdr>
        <w:top w:val="none" w:sz="0" w:space="0" w:color="auto"/>
        <w:left w:val="none" w:sz="0" w:space="0" w:color="auto"/>
        <w:bottom w:val="none" w:sz="0" w:space="0" w:color="auto"/>
        <w:right w:val="none" w:sz="0" w:space="0" w:color="auto"/>
      </w:divBdr>
      <w:divsChild>
        <w:div w:id="901713588">
          <w:marLeft w:val="0"/>
          <w:marRight w:val="0"/>
          <w:marTop w:val="0"/>
          <w:marBottom w:val="0"/>
          <w:divBdr>
            <w:top w:val="none" w:sz="0" w:space="0" w:color="auto"/>
            <w:left w:val="none" w:sz="0" w:space="0" w:color="auto"/>
            <w:bottom w:val="none" w:sz="0" w:space="0" w:color="auto"/>
            <w:right w:val="none" w:sz="0" w:space="0" w:color="auto"/>
          </w:divBdr>
          <w:divsChild>
            <w:div w:id="524248156">
              <w:marLeft w:val="0"/>
              <w:marRight w:val="0"/>
              <w:marTop w:val="0"/>
              <w:marBottom w:val="0"/>
              <w:divBdr>
                <w:top w:val="none" w:sz="0" w:space="0" w:color="auto"/>
                <w:left w:val="none" w:sz="0" w:space="0" w:color="auto"/>
                <w:bottom w:val="none" w:sz="0" w:space="0" w:color="auto"/>
                <w:right w:val="none" w:sz="0" w:space="0" w:color="auto"/>
              </w:divBdr>
              <w:divsChild>
                <w:div w:id="653796719">
                  <w:marLeft w:val="0"/>
                  <w:marRight w:val="0"/>
                  <w:marTop w:val="0"/>
                  <w:marBottom w:val="0"/>
                  <w:divBdr>
                    <w:top w:val="none" w:sz="0" w:space="0" w:color="auto"/>
                    <w:left w:val="none" w:sz="0" w:space="0" w:color="auto"/>
                    <w:bottom w:val="none" w:sz="0" w:space="0" w:color="auto"/>
                    <w:right w:val="none" w:sz="0" w:space="0" w:color="auto"/>
                  </w:divBdr>
                  <w:divsChild>
                    <w:div w:id="2027096986">
                      <w:marLeft w:val="0"/>
                      <w:marRight w:val="0"/>
                      <w:marTop w:val="0"/>
                      <w:marBottom w:val="0"/>
                      <w:divBdr>
                        <w:top w:val="none" w:sz="0" w:space="0" w:color="auto"/>
                        <w:left w:val="none" w:sz="0" w:space="0" w:color="auto"/>
                        <w:bottom w:val="none" w:sz="0" w:space="0" w:color="auto"/>
                        <w:right w:val="none" w:sz="0" w:space="0" w:color="auto"/>
                      </w:divBdr>
                      <w:divsChild>
                        <w:div w:id="1873806606">
                          <w:marLeft w:val="0"/>
                          <w:marRight w:val="0"/>
                          <w:marTop w:val="0"/>
                          <w:marBottom w:val="0"/>
                          <w:divBdr>
                            <w:top w:val="none" w:sz="0" w:space="0" w:color="auto"/>
                            <w:left w:val="none" w:sz="0" w:space="0" w:color="auto"/>
                            <w:bottom w:val="none" w:sz="0" w:space="0" w:color="auto"/>
                            <w:right w:val="none" w:sz="0" w:space="0" w:color="auto"/>
                          </w:divBdr>
                          <w:divsChild>
                            <w:div w:id="1210259560">
                              <w:marLeft w:val="0"/>
                              <w:marRight w:val="0"/>
                              <w:marTop w:val="0"/>
                              <w:marBottom w:val="0"/>
                              <w:divBdr>
                                <w:top w:val="none" w:sz="0" w:space="0" w:color="auto"/>
                                <w:left w:val="none" w:sz="0" w:space="0" w:color="auto"/>
                                <w:bottom w:val="none" w:sz="0" w:space="0" w:color="auto"/>
                                <w:right w:val="none" w:sz="0" w:space="0" w:color="auto"/>
                              </w:divBdr>
                              <w:divsChild>
                                <w:div w:id="1440443561">
                                  <w:marLeft w:val="0"/>
                                  <w:marRight w:val="0"/>
                                  <w:marTop w:val="0"/>
                                  <w:marBottom w:val="0"/>
                                  <w:divBdr>
                                    <w:top w:val="none" w:sz="0" w:space="0" w:color="auto"/>
                                    <w:left w:val="none" w:sz="0" w:space="0" w:color="auto"/>
                                    <w:bottom w:val="none" w:sz="0" w:space="0" w:color="auto"/>
                                    <w:right w:val="none" w:sz="0" w:space="0" w:color="auto"/>
                                  </w:divBdr>
                                  <w:divsChild>
                                    <w:div w:id="6507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7147">
                          <w:marLeft w:val="0"/>
                          <w:marRight w:val="0"/>
                          <w:marTop w:val="0"/>
                          <w:marBottom w:val="0"/>
                          <w:divBdr>
                            <w:top w:val="none" w:sz="0" w:space="0" w:color="auto"/>
                            <w:left w:val="none" w:sz="0" w:space="0" w:color="auto"/>
                            <w:bottom w:val="none" w:sz="0" w:space="0" w:color="auto"/>
                            <w:right w:val="none" w:sz="0" w:space="0" w:color="auto"/>
                          </w:divBdr>
                          <w:divsChild>
                            <w:div w:id="435828032">
                              <w:marLeft w:val="0"/>
                              <w:marRight w:val="0"/>
                              <w:marTop w:val="0"/>
                              <w:marBottom w:val="0"/>
                              <w:divBdr>
                                <w:top w:val="none" w:sz="0" w:space="0" w:color="auto"/>
                                <w:left w:val="none" w:sz="0" w:space="0" w:color="auto"/>
                                <w:bottom w:val="none" w:sz="0" w:space="0" w:color="auto"/>
                                <w:right w:val="none" w:sz="0" w:space="0" w:color="auto"/>
                              </w:divBdr>
                              <w:divsChild>
                                <w:div w:id="20010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293009">
      <w:bodyDiv w:val="1"/>
      <w:marLeft w:val="0"/>
      <w:marRight w:val="0"/>
      <w:marTop w:val="0"/>
      <w:marBottom w:val="0"/>
      <w:divBdr>
        <w:top w:val="none" w:sz="0" w:space="0" w:color="auto"/>
        <w:left w:val="none" w:sz="0" w:space="0" w:color="auto"/>
        <w:bottom w:val="none" w:sz="0" w:space="0" w:color="auto"/>
        <w:right w:val="none" w:sz="0" w:space="0" w:color="auto"/>
      </w:divBdr>
    </w:div>
    <w:div w:id="596256056">
      <w:bodyDiv w:val="1"/>
      <w:marLeft w:val="0"/>
      <w:marRight w:val="0"/>
      <w:marTop w:val="0"/>
      <w:marBottom w:val="0"/>
      <w:divBdr>
        <w:top w:val="none" w:sz="0" w:space="0" w:color="auto"/>
        <w:left w:val="none" w:sz="0" w:space="0" w:color="auto"/>
        <w:bottom w:val="none" w:sz="0" w:space="0" w:color="auto"/>
        <w:right w:val="none" w:sz="0" w:space="0" w:color="auto"/>
      </w:divBdr>
    </w:div>
    <w:div w:id="623077628">
      <w:bodyDiv w:val="1"/>
      <w:marLeft w:val="0"/>
      <w:marRight w:val="0"/>
      <w:marTop w:val="0"/>
      <w:marBottom w:val="0"/>
      <w:divBdr>
        <w:top w:val="none" w:sz="0" w:space="0" w:color="auto"/>
        <w:left w:val="none" w:sz="0" w:space="0" w:color="auto"/>
        <w:bottom w:val="none" w:sz="0" w:space="0" w:color="auto"/>
        <w:right w:val="none" w:sz="0" w:space="0" w:color="auto"/>
      </w:divBdr>
    </w:div>
    <w:div w:id="660080543">
      <w:bodyDiv w:val="1"/>
      <w:marLeft w:val="0"/>
      <w:marRight w:val="0"/>
      <w:marTop w:val="0"/>
      <w:marBottom w:val="0"/>
      <w:divBdr>
        <w:top w:val="none" w:sz="0" w:space="0" w:color="auto"/>
        <w:left w:val="none" w:sz="0" w:space="0" w:color="auto"/>
        <w:bottom w:val="none" w:sz="0" w:space="0" w:color="auto"/>
        <w:right w:val="none" w:sz="0" w:space="0" w:color="auto"/>
      </w:divBdr>
    </w:div>
    <w:div w:id="757680861">
      <w:bodyDiv w:val="1"/>
      <w:marLeft w:val="0"/>
      <w:marRight w:val="0"/>
      <w:marTop w:val="0"/>
      <w:marBottom w:val="0"/>
      <w:divBdr>
        <w:top w:val="none" w:sz="0" w:space="0" w:color="auto"/>
        <w:left w:val="none" w:sz="0" w:space="0" w:color="auto"/>
        <w:bottom w:val="none" w:sz="0" w:space="0" w:color="auto"/>
        <w:right w:val="none" w:sz="0" w:space="0" w:color="auto"/>
      </w:divBdr>
    </w:div>
    <w:div w:id="763453809">
      <w:bodyDiv w:val="1"/>
      <w:marLeft w:val="0"/>
      <w:marRight w:val="0"/>
      <w:marTop w:val="0"/>
      <w:marBottom w:val="0"/>
      <w:divBdr>
        <w:top w:val="none" w:sz="0" w:space="0" w:color="auto"/>
        <w:left w:val="none" w:sz="0" w:space="0" w:color="auto"/>
        <w:bottom w:val="none" w:sz="0" w:space="0" w:color="auto"/>
        <w:right w:val="none" w:sz="0" w:space="0" w:color="auto"/>
      </w:divBdr>
    </w:div>
    <w:div w:id="791484462">
      <w:bodyDiv w:val="1"/>
      <w:marLeft w:val="0"/>
      <w:marRight w:val="0"/>
      <w:marTop w:val="0"/>
      <w:marBottom w:val="0"/>
      <w:divBdr>
        <w:top w:val="none" w:sz="0" w:space="0" w:color="auto"/>
        <w:left w:val="none" w:sz="0" w:space="0" w:color="auto"/>
        <w:bottom w:val="none" w:sz="0" w:space="0" w:color="auto"/>
        <w:right w:val="none" w:sz="0" w:space="0" w:color="auto"/>
      </w:divBdr>
    </w:div>
    <w:div w:id="884675851">
      <w:bodyDiv w:val="1"/>
      <w:marLeft w:val="0"/>
      <w:marRight w:val="0"/>
      <w:marTop w:val="0"/>
      <w:marBottom w:val="0"/>
      <w:divBdr>
        <w:top w:val="none" w:sz="0" w:space="0" w:color="auto"/>
        <w:left w:val="none" w:sz="0" w:space="0" w:color="auto"/>
        <w:bottom w:val="none" w:sz="0" w:space="0" w:color="auto"/>
        <w:right w:val="none" w:sz="0" w:space="0" w:color="auto"/>
      </w:divBdr>
    </w:div>
    <w:div w:id="917981957">
      <w:bodyDiv w:val="1"/>
      <w:marLeft w:val="0"/>
      <w:marRight w:val="0"/>
      <w:marTop w:val="0"/>
      <w:marBottom w:val="0"/>
      <w:divBdr>
        <w:top w:val="none" w:sz="0" w:space="0" w:color="auto"/>
        <w:left w:val="none" w:sz="0" w:space="0" w:color="auto"/>
        <w:bottom w:val="none" w:sz="0" w:space="0" w:color="auto"/>
        <w:right w:val="none" w:sz="0" w:space="0" w:color="auto"/>
      </w:divBdr>
    </w:div>
    <w:div w:id="952521040">
      <w:bodyDiv w:val="1"/>
      <w:marLeft w:val="0"/>
      <w:marRight w:val="0"/>
      <w:marTop w:val="0"/>
      <w:marBottom w:val="0"/>
      <w:divBdr>
        <w:top w:val="none" w:sz="0" w:space="0" w:color="auto"/>
        <w:left w:val="none" w:sz="0" w:space="0" w:color="auto"/>
        <w:bottom w:val="none" w:sz="0" w:space="0" w:color="auto"/>
        <w:right w:val="none" w:sz="0" w:space="0" w:color="auto"/>
      </w:divBdr>
    </w:div>
    <w:div w:id="982999119">
      <w:bodyDiv w:val="1"/>
      <w:marLeft w:val="0"/>
      <w:marRight w:val="0"/>
      <w:marTop w:val="0"/>
      <w:marBottom w:val="0"/>
      <w:divBdr>
        <w:top w:val="none" w:sz="0" w:space="0" w:color="auto"/>
        <w:left w:val="none" w:sz="0" w:space="0" w:color="auto"/>
        <w:bottom w:val="none" w:sz="0" w:space="0" w:color="auto"/>
        <w:right w:val="none" w:sz="0" w:space="0" w:color="auto"/>
      </w:divBdr>
    </w:div>
    <w:div w:id="1009869211">
      <w:bodyDiv w:val="1"/>
      <w:marLeft w:val="0"/>
      <w:marRight w:val="0"/>
      <w:marTop w:val="0"/>
      <w:marBottom w:val="0"/>
      <w:divBdr>
        <w:top w:val="none" w:sz="0" w:space="0" w:color="auto"/>
        <w:left w:val="none" w:sz="0" w:space="0" w:color="auto"/>
        <w:bottom w:val="none" w:sz="0" w:space="0" w:color="auto"/>
        <w:right w:val="none" w:sz="0" w:space="0" w:color="auto"/>
      </w:divBdr>
    </w:div>
    <w:div w:id="1056464929">
      <w:bodyDiv w:val="1"/>
      <w:marLeft w:val="0"/>
      <w:marRight w:val="0"/>
      <w:marTop w:val="0"/>
      <w:marBottom w:val="0"/>
      <w:divBdr>
        <w:top w:val="none" w:sz="0" w:space="0" w:color="auto"/>
        <w:left w:val="none" w:sz="0" w:space="0" w:color="auto"/>
        <w:bottom w:val="none" w:sz="0" w:space="0" w:color="auto"/>
        <w:right w:val="none" w:sz="0" w:space="0" w:color="auto"/>
      </w:divBdr>
    </w:div>
    <w:div w:id="1060789193">
      <w:bodyDiv w:val="1"/>
      <w:marLeft w:val="0"/>
      <w:marRight w:val="0"/>
      <w:marTop w:val="0"/>
      <w:marBottom w:val="0"/>
      <w:divBdr>
        <w:top w:val="none" w:sz="0" w:space="0" w:color="auto"/>
        <w:left w:val="none" w:sz="0" w:space="0" w:color="auto"/>
        <w:bottom w:val="none" w:sz="0" w:space="0" w:color="auto"/>
        <w:right w:val="none" w:sz="0" w:space="0" w:color="auto"/>
      </w:divBdr>
    </w:div>
    <w:div w:id="1076975348">
      <w:bodyDiv w:val="1"/>
      <w:marLeft w:val="0"/>
      <w:marRight w:val="0"/>
      <w:marTop w:val="0"/>
      <w:marBottom w:val="0"/>
      <w:divBdr>
        <w:top w:val="none" w:sz="0" w:space="0" w:color="auto"/>
        <w:left w:val="none" w:sz="0" w:space="0" w:color="auto"/>
        <w:bottom w:val="none" w:sz="0" w:space="0" w:color="auto"/>
        <w:right w:val="none" w:sz="0" w:space="0" w:color="auto"/>
      </w:divBdr>
    </w:div>
    <w:div w:id="1112896774">
      <w:bodyDiv w:val="1"/>
      <w:marLeft w:val="0"/>
      <w:marRight w:val="0"/>
      <w:marTop w:val="0"/>
      <w:marBottom w:val="0"/>
      <w:divBdr>
        <w:top w:val="none" w:sz="0" w:space="0" w:color="auto"/>
        <w:left w:val="none" w:sz="0" w:space="0" w:color="auto"/>
        <w:bottom w:val="none" w:sz="0" w:space="0" w:color="auto"/>
        <w:right w:val="none" w:sz="0" w:space="0" w:color="auto"/>
      </w:divBdr>
    </w:div>
    <w:div w:id="1120303312">
      <w:bodyDiv w:val="1"/>
      <w:marLeft w:val="0"/>
      <w:marRight w:val="0"/>
      <w:marTop w:val="0"/>
      <w:marBottom w:val="0"/>
      <w:divBdr>
        <w:top w:val="none" w:sz="0" w:space="0" w:color="auto"/>
        <w:left w:val="none" w:sz="0" w:space="0" w:color="auto"/>
        <w:bottom w:val="none" w:sz="0" w:space="0" w:color="auto"/>
        <w:right w:val="none" w:sz="0" w:space="0" w:color="auto"/>
      </w:divBdr>
    </w:div>
    <w:div w:id="1133015149">
      <w:bodyDiv w:val="1"/>
      <w:marLeft w:val="0"/>
      <w:marRight w:val="0"/>
      <w:marTop w:val="0"/>
      <w:marBottom w:val="0"/>
      <w:divBdr>
        <w:top w:val="none" w:sz="0" w:space="0" w:color="auto"/>
        <w:left w:val="none" w:sz="0" w:space="0" w:color="auto"/>
        <w:bottom w:val="none" w:sz="0" w:space="0" w:color="auto"/>
        <w:right w:val="none" w:sz="0" w:space="0" w:color="auto"/>
      </w:divBdr>
    </w:div>
    <w:div w:id="1205212465">
      <w:bodyDiv w:val="1"/>
      <w:marLeft w:val="0"/>
      <w:marRight w:val="0"/>
      <w:marTop w:val="0"/>
      <w:marBottom w:val="0"/>
      <w:divBdr>
        <w:top w:val="none" w:sz="0" w:space="0" w:color="auto"/>
        <w:left w:val="none" w:sz="0" w:space="0" w:color="auto"/>
        <w:bottom w:val="none" w:sz="0" w:space="0" w:color="auto"/>
        <w:right w:val="none" w:sz="0" w:space="0" w:color="auto"/>
      </w:divBdr>
    </w:div>
    <w:div w:id="1216430213">
      <w:bodyDiv w:val="1"/>
      <w:marLeft w:val="0"/>
      <w:marRight w:val="0"/>
      <w:marTop w:val="0"/>
      <w:marBottom w:val="0"/>
      <w:divBdr>
        <w:top w:val="none" w:sz="0" w:space="0" w:color="auto"/>
        <w:left w:val="none" w:sz="0" w:space="0" w:color="auto"/>
        <w:bottom w:val="none" w:sz="0" w:space="0" w:color="auto"/>
        <w:right w:val="none" w:sz="0" w:space="0" w:color="auto"/>
      </w:divBdr>
      <w:divsChild>
        <w:div w:id="1715697601">
          <w:marLeft w:val="0"/>
          <w:marRight w:val="0"/>
          <w:marTop w:val="0"/>
          <w:marBottom w:val="0"/>
          <w:divBdr>
            <w:top w:val="none" w:sz="0" w:space="0" w:color="auto"/>
            <w:left w:val="none" w:sz="0" w:space="0" w:color="auto"/>
            <w:bottom w:val="none" w:sz="0" w:space="0" w:color="auto"/>
            <w:right w:val="none" w:sz="0" w:space="0" w:color="auto"/>
          </w:divBdr>
          <w:divsChild>
            <w:div w:id="1960990899">
              <w:marLeft w:val="0"/>
              <w:marRight w:val="0"/>
              <w:marTop w:val="0"/>
              <w:marBottom w:val="0"/>
              <w:divBdr>
                <w:top w:val="none" w:sz="0" w:space="0" w:color="auto"/>
                <w:left w:val="none" w:sz="0" w:space="0" w:color="auto"/>
                <w:bottom w:val="none" w:sz="0" w:space="0" w:color="auto"/>
                <w:right w:val="none" w:sz="0" w:space="0" w:color="auto"/>
              </w:divBdr>
              <w:divsChild>
                <w:div w:id="1199705636">
                  <w:marLeft w:val="0"/>
                  <w:marRight w:val="0"/>
                  <w:marTop w:val="0"/>
                  <w:marBottom w:val="0"/>
                  <w:divBdr>
                    <w:top w:val="none" w:sz="0" w:space="0" w:color="auto"/>
                    <w:left w:val="none" w:sz="0" w:space="0" w:color="auto"/>
                    <w:bottom w:val="none" w:sz="0" w:space="0" w:color="auto"/>
                    <w:right w:val="none" w:sz="0" w:space="0" w:color="auto"/>
                  </w:divBdr>
                  <w:divsChild>
                    <w:div w:id="806364478">
                      <w:marLeft w:val="0"/>
                      <w:marRight w:val="0"/>
                      <w:marTop w:val="0"/>
                      <w:marBottom w:val="0"/>
                      <w:divBdr>
                        <w:top w:val="none" w:sz="0" w:space="0" w:color="auto"/>
                        <w:left w:val="none" w:sz="0" w:space="0" w:color="auto"/>
                        <w:bottom w:val="none" w:sz="0" w:space="0" w:color="auto"/>
                        <w:right w:val="none" w:sz="0" w:space="0" w:color="auto"/>
                      </w:divBdr>
                      <w:divsChild>
                        <w:div w:id="41297650">
                          <w:marLeft w:val="0"/>
                          <w:marRight w:val="0"/>
                          <w:marTop w:val="0"/>
                          <w:marBottom w:val="0"/>
                          <w:divBdr>
                            <w:top w:val="none" w:sz="0" w:space="0" w:color="auto"/>
                            <w:left w:val="none" w:sz="0" w:space="0" w:color="auto"/>
                            <w:bottom w:val="none" w:sz="0" w:space="0" w:color="auto"/>
                            <w:right w:val="none" w:sz="0" w:space="0" w:color="auto"/>
                          </w:divBdr>
                          <w:divsChild>
                            <w:div w:id="2133547488">
                              <w:marLeft w:val="0"/>
                              <w:marRight w:val="0"/>
                              <w:marTop w:val="0"/>
                              <w:marBottom w:val="0"/>
                              <w:divBdr>
                                <w:top w:val="none" w:sz="0" w:space="0" w:color="auto"/>
                                <w:left w:val="none" w:sz="0" w:space="0" w:color="auto"/>
                                <w:bottom w:val="none" w:sz="0" w:space="0" w:color="auto"/>
                                <w:right w:val="none" w:sz="0" w:space="0" w:color="auto"/>
                              </w:divBdr>
                              <w:divsChild>
                                <w:div w:id="729116933">
                                  <w:marLeft w:val="0"/>
                                  <w:marRight w:val="0"/>
                                  <w:marTop w:val="0"/>
                                  <w:marBottom w:val="0"/>
                                  <w:divBdr>
                                    <w:top w:val="none" w:sz="0" w:space="0" w:color="auto"/>
                                    <w:left w:val="none" w:sz="0" w:space="0" w:color="auto"/>
                                    <w:bottom w:val="none" w:sz="0" w:space="0" w:color="auto"/>
                                    <w:right w:val="none" w:sz="0" w:space="0" w:color="auto"/>
                                  </w:divBdr>
                                  <w:divsChild>
                                    <w:div w:id="7707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2789">
                          <w:marLeft w:val="0"/>
                          <w:marRight w:val="0"/>
                          <w:marTop w:val="0"/>
                          <w:marBottom w:val="0"/>
                          <w:divBdr>
                            <w:top w:val="none" w:sz="0" w:space="0" w:color="auto"/>
                            <w:left w:val="none" w:sz="0" w:space="0" w:color="auto"/>
                            <w:bottom w:val="none" w:sz="0" w:space="0" w:color="auto"/>
                            <w:right w:val="none" w:sz="0" w:space="0" w:color="auto"/>
                          </w:divBdr>
                          <w:divsChild>
                            <w:div w:id="964236176">
                              <w:marLeft w:val="0"/>
                              <w:marRight w:val="0"/>
                              <w:marTop w:val="0"/>
                              <w:marBottom w:val="0"/>
                              <w:divBdr>
                                <w:top w:val="none" w:sz="0" w:space="0" w:color="auto"/>
                                <w:left w:val="none" w:sz="0" w:space="0" w:color="auto"/>
                                <w:bottom w:val="none" w:sz="0" w:space="0" w:color="auto"/>
                                <w:right w:val="none" w:sz="0" w:space="0" w:color="auto"/>
                              </w:divBdr>
                              <w:divsChild>
                                <w:div w:id="8497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48159">
      <w:bodyDiv w:val="1"/>
      <w:marLeft w:val="0"/>
      <w:marRight w:val="0"/>
      <w:marTop w:val="0"/>
      <w:marBottom w:val="0"/>
      <w:divBdr>
        <w:top w:val="none" w:sz="0" w:space="0" w:color="auto"/>
        <w:left w:val="none" w:sz="0" w:space="0" w:color="auto"/>
        <w:bottom w:val="none" w:sz="0" w:space="0" w:color="auto"/>
        <w:right w:val="none" w:sz="0" w:space="0" w:color="auto"/>
      </w:divBdr>
    </w:div>
    <w:div w:id="1309674526">
      <w:bodyDiv w:val="1"/>
      <w:marLeft w:val="0"/>
      <w:marRight w:val="0"/>
      <w:marTop w:val="0"/>
      <w:marBottom w:val="0"/>
      <w:divBdr>
        <w:top w:val="none" w:sz="0" w:space="0" w:color="auto"/>
        <w:left w:val="none" w:sz="0" w:space="0" w:color="auto"/>
        <w:bottom w:val="none" w:sz="0" w:space="0" w:color="auto"/>
        <w:right w:val="none" w:sz="0" w:space="0" w:color="auto"/>
      </w:divBdr>
    </w:div>
    <w:div w:id="1313677352">
      <w:bodyDiv w:val="1"/>
      <w:marLeft w:val="0"/>
      <w:marRight w:val="0"/>
      <w:marTop w:val="0"/>
      <w:marBottom w:val="0"/>
      <w:divBdr>
        <w:top w:val="none" w:sz="0" w:space="0" w:color="auto"/>
        <w:left w:val="none" w:sz="0" w:space="0" w:color="auto"/>
        <w:bottom w:val="none" w:sz="0" w:space="0" w:color="auto"/>
        <w:right w:val="none" w:sz="0" w:space="0" w:color="auto"/>
      </w:divBdr>
    </w:div>
    <w:div w:id="1480730852">
      <w:bodyDiv w:val="1"/>
      <w:marLeft w:val="0"/>
      <w:marRight w:val="0"/>
      <w:marTop w:val="0"/>
      <w:marBottom w:val="0"/>
      <w:divBdr>
        <w:top w:val="none" w:sz="0" w:space="0" w:color="auto"/>
        <w:left w:val="none" w:sz="0" w:space="0" w:color="auto"/>
        <w:bottom w:val="none" w:sz="0" w:space="0" w:color="auto"/>
        <w:right w:val="none" w:sz="0" w:space="0" w:color="auto"/>
      </w:divBdr>
    </w:div>
    <w:div w:id="1609704683">
      <w:bodyDiv w:val="1"/>
      <w:marLeft w:val="0"/>
      <w:marRight w:val="0"/>
      <w:marTop w:val="0"/>
      <w:marBottom w:val="0"/>
      <w:divBdr>
        <w:top w:val="none" w:sz="0" w:space="0" w:color="auto"/>
        <w:left w:val="none" w:sz="0" w:space="0" w:color="auto"/>
        <w:bottom w:val="none" w:sz="0" w:space="0" w:color="auto"/>
        <w:right w:val="none" w:sz="0" w:space="0" w:color="auto"/>
      </w:divBdr>
    </w:div>
    <w:div w:id="1635718288">
      <w:bodyDiv w:val="1"/>
      <w:marLeft w:val="0"/>
      <w:marRight w:val="0"/>
      <w:marTop w:val="0"/>
      <w:marBottom w:val="0"/>
      <w:divBdr>
        <w:top w:val="none" w:sz="0" w:space="0" w:color="auto"/>
        <w:left w:val="none" w:sz="0" w:space="0" w:color="auto"/>
        <w:bottom w:val="none" w:sz="0" w:space="0" w:color="auto"/>
        <w:right w:val="none" w:sz="0" w:space="0" w:color="auto"/>
      </w:divBdr>
    </w:div>
    <w:div w:id="1682122853">
      <w:bodyDiv w:val="1"/>
      <w:marLeft w:val="0"/>
      <w:marRight w:val="0"/>
      <w:marTop w:val="0"/>
      <w:marBottom w:val="0"/>
      <w:divBdr>
        <w:top w:val="none" w:sz="0" w:space="0" w:color="auto"/>
        <w:left w:val="none" w:sz="0" w:space="0" w:color="auto"/>
        <w:bottom w:val="none" w:sz="0" w:space="0" w:color="auto"/>
        <w:right w:val="none" w:sz="0" w:space="0" w:color="auto"/>
      </w:divBdr>
    </w:div>
    <w:div w:id="1707676212">
      <w:bodyDiv w:val="1"/>
      <w:marLeft w:val="0"/>
      <w:marRight w:val="0"/>
      <w:marTop w:val="0"/>
      <w:marBottom w:val="0"/>
      <w:divBdr>
        <w:top w:val="none" w:sz="0" w:space="0" w:color="auto"/>
        <w:left w:val="none" w:sz="0" w:space="0" w:color="auto"/>
        <w:bottom w:val="none" w:sz="0" w:space="0" w:color="auto"/>
        <w:right w:val="none" w:sz="0" w:space="0" w:color="auto"/>
      </w:divBdr>
    </w:div>
    <w:div w:id="1738748512">
      <w:bodyDiv w:val="1"/>
      <w:marLeft w:val="0"/>
      <w:marRight w:val="0"/>
      <w:marTop w:val="0"/>
      <w:marBottom w:val="0"/>
      <w:divBdr>
        <w:top w:val="none" w:sz="0" w:space="0" w:color="auto"/>
        <w:left w:val="none" w:sz="0" w:space="0" w:color="auto"/>
        <w:bottom w:val="none" w:sz="0" w:space="0" w:color="auto"/>
        <w:right w:val="none" w:sz="0" w:space="0" w:color="auto"/>
      </w:divBdr>
    </w:div>
    <w:div w:id="1751272732">
      <w:bodyDiv w:val="1"/>
      <w:marLeft w:val="0"/>
      <w:marRight w:val="0"/>
      <w:marTop w:val="0"/>
      <w:marBottom w:val="0"/>
      <w:divBdr>
        <w:top w:val="none" w:sz="0" w:space="0" w:color="auto"/>
        <w:left w:val="none" w:sz="0" w:space="0" w:color="auto"/>
        <w:bottom w:val="none" w:sz="0" w:space="0" w:color="auto"/>
        <w:right w:val="none" w:sz="0" w:space="0" w:color="auto"/>
      </w:divBdr>
    </w:div>
    <w:div w:id="1888487688">
      <w:bodyDiv w:val="1"/>
      <w:marLeft w:val="0"/>
      <w:marRight w:val="0"/>
      <w:marTop w:val="0"/>
      <w:marBottom w:val="0"/>
      <w:divBdr>
        <w:top w:val="none" w:sz="0" w:space="0" w:color="auto"/>
        <w:left w:val="none" w:sz="0" w:space="0" w:color="auto"/>
        <w:bottom w:val="none" w:sz="0" w:space="0" w:color="auto"/>
        <w:right w:val="none" w:sz="0" w:space="0" w:color="auto"/>
      </w:divBdr>
    </w:div>
    <w:div w:id="1943687454">
      <w:bodyDiv w:val="1"/>
      <w:marLeft w:val="0"/>
      <w:marRight w:val="0"/>
      <w:marTop w:val="0"/>
      <w:marBottom w:val="0"/>
      <w:divBdr>
        <w:top w:val="none" w:sz="0" w:space="0" w:color="auto"/>
        <w:left w:val="none" w:sz="0" w:space="0" w:color="auto"/>
        <w:bottom w:val="none" w:sz="0" w:space="0" w:color="auto"/>
        <w:right w:val="none" w:sz="0" w:space="0" w:color="auto"/>
      </w:divBdr>
    </w:div>
    <w:div w:id="1945796099">
      <w:bodyDiv w:val="1"/>
      <w:marLeft w:val="0"/>
      <w:marRight w:val="0"/>
      <w:marTop w:val="0"/>
      <w:marBottom w:val="0"/>
      <w:divBdr>
        <w:top w:val="none" w:sz="0" w:space="0" w:color="auto"/>
        <w:left w:val="none" w:sz="0" w:space="0" w:color="auto"/>
        <w:bottom w:val="none" w:sz="0" w:space="0" w:color="auto"/>
        <w:right w:val="none" w:sz="0" w:space="0" w:color="auto"/>
      </w:divBdr>
    </w:div>
    <w:div w:id="1950623271">
      <w:bodyDiv w:val="1"/>
      <w:marLeft w:val="0"/>
      <w:marRight w:val="0"/>
      <w:marTop w:val="0"/>
      <w:marBottom w:val="0"/>
      <w:divBdr>
        <w:top w:val="none" w:sz="0" w:space="0" w:color="auto"/>
        <w:left w:val="none" w:sz="0" w:space="0" w:color="auto"/>
        <w:bottom w:val="none" w:sz="0" w:space="0" w:color="auto"/>
        <w:right w:val="none" w:sz="0" w:space="0" w:color="auto"/>
      </w:divBdr>
    </w:div>
    <w:div w:id="1956406140">
      <w:bodyDiv w:val="1"/>
      <w:marLeft w:val="0"/>
      <w:marRight w:val="0"/>
      <w:marTop w:val="0"/>
      <w:marBottom w:val="0"/>
      <w:divBdr>
        <w:top w:val="none" w:sz="0" w:space="0" w:color="auto"/>
        <w:left w:val="none" w:sz="0" w:space="0" w:color="auto"/>
        <w:bottom w:val="none" w:sz="0" w:space="0" w:color="auto"/>
        <w:right w:val="none" w:sz="0" w:space="0" w:color="auto"/>
      </w:divBdr>
    </w:div>
    <w:div w:id="2061007460">
      <w:bodyDiv w:val="1"/>
      <w:marLeft w:val="0"/>
      <w:marRight w:val="0"/>
      <w:marTop w:val="0"/>
      <w:marBottom w:val="0"/>
      <w:divBdr>
        <w:top w:val="none" w:sz="0" w:space="0" w:color="auto"/>
        <w:left w:val="none" w:sz="0" w:space="0" w:color="auto"/>
        <w:bottom w:val="none" w:sz="0" w:space="0" w:color="auto"/>
        <w:right w:val="none" w:sz="0" w:space="0" w:color="auto"/>
      </w:divBdr>
    </w:div>
    <w:div w:id="2139032077">
      <w:bodyDiv w:val="1"/>
      <w:marLeft w:val="0"/>
      <w:marRight w:val="0"/>
      <w:marTop w:val="0"/>
      <w:marBottom w:val="0"/>
      <w:divBdr>
        <w:top w:val="none" w:sz="0" w:space="0" w:color="auto"/>
        <w:left w:val="none" w:sz="0" w:space="0" w:color="auto"/>
        <w:bottom w:val="none" w:sz="0" w:space="0" w:color="auto"/>
        <w:right w:val="none" w:sz="0" w:space="0" w:color="auto"/>
      </w:divBdr>
    </w:div>
    <w:div w:id="2146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desagri.gov.in/website/crops-apy-report-web" TargetMode="External"/><Relationship Id="rId18" Type="http://schemas.openxmlformats.org/officeDocument/2006/relationships/hyperlink" Target="https://www.cabidigitallibrary.org/doi/full/10.5555/2018314595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ooks.google.co.in/books?id=YdWuDwAAQBAJ&amp;lpg=PA9&amp;ots=uCFC43C-bQ&amp;dq=Percentage%20value%20as%20a%20fraction%20of%20another%2C%20multiplied%20by%20100%20to%20represent%20it%20as%20a%20percentage.&amp;lr&amp;pg=PA9#v=onepage&amp;q&amp;f=false" TargetMode="External"/><Relationship Id="rId7" Type="http://schemas.openxmlformats.org/officeDocument/2006/relationships/endnotes" Target="endnotes.xml"/><Relationship Id="rId12" Type="http://schemas.openxmlformats.org/officeDocument/2006/relationships/hyperlink" Target="https://doi.org/10.9734/ijecc/2022/v12i121629" TargetMode="External"/><Relationship Id="rId17" Type="http://schemas.openxmlformats.org/officeDocument/2006/relationships/hyperlink" Target="https://onlinelibrary.wiley.com/doi/abs/10.1002/9781119385523.ch1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exmin.gov.in/sites/default/files/Note%20on%20Cotton%20Sector.pdf" TargetMode="External"/><Relationship Id="rId20" Type="http://schemas.openxmlformats.org/officeDocument/2006/relationships/hyperlink" Target="https://d1wqtxts1xzle7.cloudfront.net/109124577/3912FC76609-libre.pdf?1702836051=&amp;-content-disposition=inline%3B+filename%3DConceptual_model_on_application_of_chi_s.pdf&amp;Expires=1747249525&amp;Signature=P-~5r4zHbNXr6yY8GZRYXw~1a1LnP8L-Pair-Id=APKAJLOHF5GGSLRBV4Z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ADEE-09-2020-020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978-981-10-8962-6_2" TargetMode="External"/><Relationship Id="rId23" Type="http://schemas.openxmlformats.org/officeDocument/2006/relationships/hyperlink" Target="https://linkinghub.elsevier.com/retrieve/pii/S0264837719301784" TargetMode="External"/><Relationship Id="rId28" Type="http://schemas.openxmlformats.org/officeDocument/2006/relationships/header" Target="header3.xml"/><Relationship Id="rId10" Type="http://schemas.openxmlformats.org/officeDocument/2006/relationships/hyperlink" Target="https://www.pib.gov.in/Pressreleaseshare.aspx?PRID=1562687" TargetMode="External"/><Relationship Id="rId19" Type="http://schemas.openxmlformats.org/officeDocument/2006/relationships/hyperlink" Target="https://naas.org.in/Policy%20Papers/policy%209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iencepublishinggroup.com/article/10.11648/j.ijae.20210602.14" TargetMode="External"/><Relationship Id="rId14" Type="http://schemas.openxmlformats.org/officeDocument/2006/relationships/hyperlink" Target="https://journals.sagepub.com/doi/10.1177/0266666919864126" TargetMode="External"/><Relationship Id="rId22" Type="http://schemas.openxmlformats.org/officeDocument/2006/relationships/hyperlink" Target="https://www.journaljaeri.com/index.php/JAERI/article/view/66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19112-BB2F-49C8-A049-5BFD2591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4776</Words>
  <Characters>27226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Pranil Kale</dc:creator>
  <cp:keywords/>
  <dc:description/>
  <cp:lastModifiedBy>Pranil Kale</cp:lastModifiedBy>
  <cp:revision>45</cp:revision>
  <dcterms:created xsi:type="dcterms:W3CDTF">2025-05-12T00:41:00Z</dcterms:created>
  <dcterms:modified xsi:type="dcterms:W3CDTF">2025-05-19T19:10:00Z</dcterms:modified>
</cp:coreProperties>
</file>