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E0EC6" w14:textId="5CD17223" w:rsidR="00FC47C3" w:rsidRDefault="00FC47C3">
      <w:pPr>
        <w:jc w:val="right"/>
        <w:rPr>
          <w:rFonts w:ascii="Arial" w:hAnsi="Arial" w:cs="Arial"/>
          <w:bCs/>
          <w:i/>
          <w:iCs/>
          <w:sz w:val="32"/>
          <w:szCs w:val="32"/>
          <w:u w:val="single"/>
        </w:rPr>
      </w:pPr>
      <w:r w:rsidRPr="00FC47C3">
        <w:rPr>
          <w:rFonts w:ascii="Arial" w:hAnsi="Arial" w:cs="Arial"/>
          <w:bCs/>
          <w:i/>
          <w:iCs/>
          <w:sz w:val="32"/>
          <w:szCs w:val="32"/>
          <w:u w:val="single"/>
        </w:rPr>
        <w:t>Original Research Article</w:t>
      </w:r>
    </w:p>
    <w:p w14:paraId="358EA725" w14:textId="77777777" w:rsidR="00105BB6" w:rsidRPr="00FC47C3" w:rsidRDefault="00105BB6">
      <w:pPr>
        <w:jc w:val="right"/>
        <w:rPr>
          <w:rFonts w:ascii="Arial" w:hAnsi="Arial" w:cs="Arial"/>
          <w:bCs/>
          <w:i/>
          <w:iCs/>
          <w:sz w:val="32"/>
          <w:szCs w:val="32"/>
          <w:u w:val="single"/>
        </w:rPr>
      </w:pPr>
    </w:p>
    <w:p w14:paraId="7B269656" w14:textId="0BCA2805" w:rsidR="00153D51" w:rsidRDefault="00BD29D9">
      <w:pPr>
        <w:jc w:val="right"/>
        <w:rPr>
          <w:rFonts w:ascii="Arial" w:hAnsi="Arial" w:cs="Arial"/>
          <w:b/>
          <w:sz w:val="32"/>
          <w:szCs w:val="32"/>
        </w:rPr>
      </w:pPr>
      <w:r>
        <w:rPr>
          <w:rFonts w:ascii="Arial" w:hAnsi="Arial" w:cs="Arial"/>
          <w:b/>
          <w:sz w:val="32"/>
          <w:szCs w:val="32"/>
        </w:rPr>
        <w:t>Evaluating the Impact of YouTube Videos on Students’ Performance in Mathematics Education</w:t>
      </w:r>
      <w:r>
        <w:rPr>
          <w:rFonts w:ascii="Arial" w:hAnsi="Arial" w:cs="Arial"/>
        </w:rPr>
        <w:t xml:space="preserve">    </w:t>
      </w:r>
    </w:p>
    <w:p w14:paraId="12626019" w14:textId="77777777" w:rsidR="00153D51" w:rsidRDefault="00153D51">
      <w:pPr>
        <w:pStyle w:val="Author"/>
        <w:spacing w:line="240" w:lineRule="auto"/>
        <w:ind w:left="2800"/>
        <w:rPr>
          <w:rFonts w:ascii="Arial" w:hAnsi="Arial" w:cs="Arial"/>
          <w:sz w:val="20"/>
          <w:szCs w:val="16"/>
        </w:rPr>
      </w:pPr>
    </w:p>
    <w:p w14:paraId="630D667D" w14:textId="77777777" w:rsidR="00153D51" w:rsidRDefault="00153D51">
      <w:pPr>
        <w:pStyle w:val="Affiliation"/>
        <w:spacing w:after="0" w:line="240" w:lineRule="auto"/>
        <w:rPr>
          <w:rFonts w:ascii="Arial" w:hAnsi="Arial" w:cs="Arial"/>
        </w:rPr>
      </w:pPr>
    </w:p>
    <w:p w14:paraId="1421A739" w14:textId="77777777" w:rsidR="00153D51" w:rsidRDefault="00153D51">
      <w:pPr>
        <w:pStyle w:val="Affiliation"/>
        <w:spacing w:after="0" w:line="240" w:lineRule="auto"/>
        <w:rPr>
          <w:rFonts w:ascii="Arial" w:hAnsi="Arial" w:cs="Arial"/>
        </w:rPr>
      </w:pPr>
    </w:p>
    <w:p w14:paraId="6A18F911" w14:textId="77777777" w:rsidR="00153D51" w:rsidRDefault="00153D51">
      <w:pPr>
        <w:pStyle w:val="Copyright"/>
        <w:spacing w:after="0" w:line="240" w:lineRule="auto"/>
        <w:jc w:val="right"/>
        <w:rPr>
          <w:rFonts w:ascii="Arial" w:hAnsi="Arial" w:cs="Arial"/>
        </w:rPr>
      </w:pPr>
    </w:p>
    <w:p w14:paraId="5B17E654" w14:textId="77777777" w:rsidR="00153D51" w:rsidRDefault="00BD29D9">
      <w:pPr>
        <w:pStyle w:val="AbstHead"/>
        <w:spacing w:after="0"/>
        <w:jc w:val="both"/>
        <w:rPr>
          <w:rFonts w:ascii="Arial" w:hAnsi="Arial" w:cs="Arial"/>
        </w:rPr>
      </w:pPr>
      <w:r>
        <w:rPr>
          <w:rFonts w:ascii="Arial" w:hAnsi="Arial" w:cs="Arial"/>
        </w:rPr>
        <w:t>aBSTRACT</w:t>
      </w:r>
    </w:p>
    <w:p w14:paraId="0AEA9070" w14:textId="77777777" w:rsidR="00561F1D" w:rsidRDefault="00561F1D">
      <w:pPr>
        <w:pStyle w:val="AbstHead"/>
        <w:spacing w:after="0"/>
        <w:jc w:val="both"/>
        <w:rPr>
          <w:rFonts w:ascii="Arial" w:hAnsi="Arial" w:cs="Arial"/>
        </w:rPr>
      </w:pPr>
    </w:p>
    <w:tbl>
      <w:tblPr>
        <w:tblpPr w:leftFromText="180" w:rightFromText="180" w:vertAnchor="text" w:horzAnchor="margin" w:tblpXSpec="center" w:tblpY="15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561F1D" w14:paraId="662D8DD9" w14:textId="77777777" w:rsidTr="00561F1D">
        <w:tc>
          <w:tcPr>
            <w:tcW w:w="9576" w:type="dxa"/>
            <w:shd w:val="clear" w:color="auto" w:fill="F2F2F2"/>
          </w:tcPr>
          <w:p w14:paraId="4C559FF7" w14:textId="77777777" w:rsidR="00561F1D" w:rsidRDefault="00561F1D" w:rsidP="00561F1D">
            <w:pPr>
              <w:pStyle w:val="Body"/>
              <w:spacing w:after="0"/>
              <w:rPr>
                <w:rFonts w:ascii="Arial" w:eastAsia="Calibri" w:hAnsi="Arial" w:cs="Arial"/>
                <w:b/>
                <w:szCs w:val="22"/>
              </w:rPr>
            </w:pPr>
          </w:p>
          <w:p w14:paraId="0BE6AE82" w14:textId="4A92D904" w:rsidR="00561F1D" w:rsidRDefault="00561F1D" w:rsidP="00561F1D">
            <w:pPr>
              <w:pStyle w:val="Body"/>
              <w:spacing w:after="0"/>
              <w:rPr>
                <w:rFonts w:ascii="Arial" w:eastAsia="Calibri" w:hAnsi="Arial" w:cs="Arial"/>
                <w:szCs w:val="22"/>
              </w:rPr>
            </w:pPr>
            <w:r>
              <w:rPr>
                <w:rFonts w:ascii="Arial" w:eastAsia="Calibri" w:hAnsi="Arial" w:cs="Arial"/>
                <w:b/>
                <w:szCs w:val="22"/>
              </w:rPr>
              <w:t>Aims:</w:t>
            </w:r>
            <w:r w:rsidR="00C02CD2">
              <w:rPr>
                <w:rFonts w:ascii="Arial" w:eastAsia="Calibri" w:hAnsi="Arial" w:cs="Arial"/>
                <w:b/>
                <w:szCs w:val="22"/>
              </w:rPr>
              <w:t xml:space="preserve"> </w:t>
            </w:r>
            <w:r>
              <w:rPr>
                <w:rFonts w:ascii="Arial" w:eastAsia="Calibri" w:hAnsi="Arial" w:cs="Arial"/>
                <w:szCs w:val="22"/>
              </w:rPr>
              <w:t xml:space="preserve">This study evaluated the impact of YouTube videos on Grade 7 students' mathematical performance in unit conversion. </w:t>
            </w:r>
            <w:r w:rsidR="00C02CD2">
              <w:rPr>
                <w:rFonts w:ascii="Arial" w:eastAsia="Calibri" w:hAnsi="Arial" w:cs="Arial"/>
                <w:szCs w:val="22"/>
              </w:rPr>
              <w:t>A</w:t>
            </w:r>
            <w:r>
              <w:rPr>
                <w:rFonts w:ascii="Arial" w:eastAsia="Calibri" w:hAnsi="Arial" w:cs="Arial"/>
                <w:szCs w:val="22"/>
              </w:rPr>
              <w:t>ssessing video-based instruction, it contributes valuable insights to technology-enhanced mathematics education.</w:t>
            </w:r>
          </w:p>
          <w:p w14:paraId="2BC17AA8" w14:textId="77777777" w:rsidR="00561F1D" w:rsidRDefault="00561F1D" w:rsidP="00561F1D">
            <w:pPr>
              <w:pStyle w:val="Body"/>
              <w:spacing w:after="0"/>
              <w:rPr>
                <w:rFonts w:ascii="Arial" w:eastAsia="Calibri" w:hAnsi="Arial" w:cs="Arial"/>
                <w:szCs w:val="22"/>
              </w:rPr>
            </w:pPr>
          </w:p>
          <w:p w14:paraId="388B592C" w14:textId="77777777" w:rsidR="00561F1D" w:rsidRDefault="00561F1D" w:rsidP="00561F1D">
            <w:pPr>
              <w:pStyle w:val="Body"/>
              <w:spacing w:after="0"/>
              <w:rPr>
                <w:rFonts w:ascii="Arial" w:eastAsia="Calibri" w:hAnsi="Arial" w:cs="Arial"/>
                <w:szCs w:val="22"/>
              </w:rPr>
            </w:pPr>
            <w:r>
              <w:rPr>
                <w:rFonts w:ascii="Arial" w:eastAsia="Calibri" w:hAnsi="Arial" w:cs="Arial"/>
                <w:b/>
                <w:szCs w:val="22"/>
              </w:rPr>
              <w:t xml:space="preserve">Study design: </w:t>
            </w:r>
            <w:r>
              <w:rPr>
                <w:rFonts w:ascii="Arial" w:eastAsia="Calibri" w:hAnsi="Arial" w:cs="Arial"/>
                <w:szCs w:val="22"/>
              </w:rPr>
              <w:t>This study employed an experimental design to assess the impact of YouTube video tutorials on students' understanding of mathematical concepts and problem-solving skills. While the control group received traditional instruction, the experimental group engaged with video-based learning. The intervention's effectiveness was evaluated through pre-test and post-test analysis.</w:t>
            </w:r>
          </w:p>
          <w:p w14:paraId="54E8B42A" w14:textId="77777777" w:rsidR="00561F1D" w:rsidRDefault="00561F1D" w:rsidP="00561F1D">
            <w:pPr>
              <w:pStyle w:val="Body"/>
              <w:spacing w:after="0"/>
              <w:rPr>
                <w:rFonts w:ascii="Arial" w:eastAsia="Calibri" w:hAnsi="Arial" w:cs="Arial"/>
                <w:szCs w:val="22"/>
              </w:rPr>
            </w:pPr>
          </w:p>
          <w:p w14:paraId="7E549E86" w14:textId="77777777" w:rsidR="00561F1D" w:rsidRDefault="00561F1D" w:rsidP="00561F1D">
            <w:pPr>
              <w:pStyle w:val="Body"/>
              <w:spacing w:after="0"/>
              <w:rPr>
                <w:rFonts w:ascii="Arial" w:hAnsi="Arial" w:cs="Arial"/>
                <w:color w:val="000000"/>
              </w:rPr>
            </w:pPr>
            <w:r>
              <w:rPr>
                <w:rFonts w:ascii="Arial" w:eastAsia="Calibri" w:hAnsi="Arial" w:cs="Arial"/>
                <w:b/>
                <w:szCs w:val="22"/>
              </w:rPr>
              <w:t>Place and Duration of Study:</w:t>
            </w:r>
            <w:r>
              <w:rPr>
                <w:rFonts w:ascii="Arial" w:eastAsia="Calibri" w:hAnsi="Arial" w:cs="Arial"/>
                <w:szCs w:val="22"/>
              </w:rPr>
              <w:t xml:space="preserve"> </w:t>
            </w:r>
            <w:r>
              <w:rPr>
                <w:rFonts w:ascii="Arial" w:hAnsi="Arial" w:cs="Arial"/>
                <w:color w:val="000000"/>
              </w:rPr>
              <w:t>The study was conducted at Laoang National Technical High School, Laoang, Northern Samar, during the academic year 2024–2025.</w:t>
            </w:r>
          </w:p>
          <w:p w14:paraId="0F5270C5" w14:textId="77777777" w:rsidR="00561F1D" w:rsidRDefault="00561F1D" w:rsidP="00561F1D">
            <w:pPr>
              <w:pStyle w:val="Body"/>
              <w:spacing w:after="0"/>
              <w:rPr>
                <w:rFonts w:ascii="Arial" w:eastAsia="Calibri" w:hAnsi="Arial" w:cs="Arial"/>
                <w:b/>
                <w:bCs/>
                <w:szCs w:val="22"/>
              </w:rPr>
            </w:pPr>
          </w:p>
          <w:p w14:paraId="68BCF33B" w14:textId="77777777" w:rsidR="00561F1D" w:rsidRDefault="00561F1D" w:rsidP="00561F1D">
            <w:pPr>
              <w:pStyle w:val="Body"/>
              <w:spacing w:after="0"/>
              <w:rPr>
                <w:rFonts w:ascii="Arial" w:eastAsia="Calibri" w:hAnsi="Arial" w:cs="Arial"/>
                <w:szCs w:val="22"/>
              </w:rPr>
            </w:pPr>
            <w:r>
              <w:rPr>
                <w:rFonts w:ascii="Arial" w:eastAsia="Calibri" w:hAnsi="Arial" w:cs="Arial"/>
                <w:b/>
                <w:bCs/>
                <w:szCs w:val="22"/>
              </w:rPr>
              <w:t xml:space="preserve">Methodology: </w:t>
            </w:r>
            <w:r>
              <w:rPr>
                <w:rFonts w:ascii="Arial" w:eastAsia="Calibri" w:hAnsi="Arial" w:cs="Arial"/>
                <w:szCs w:val="22"/>
              </w:rPr>
              <w:t>The study used an experimental design to assess the impact of YouTube videos on Grade 7 students' mathematical performance at Laoang National Technical High School. Students were divided into control and experimental groups, with the control group receiving traditional instruction and the experimental group using YouTube videos as a supplementary tool. A pre-test evaluated initial understanding, followed by a post-test to measure progress. The assessment consisted of a standardized 10-item test from the DepEd Mathematics 7 textbook on unit conversion. Data were analyzed using descriptive statistics and a t-test to determine the intervention's effectiveness. Ethical considerations included informed consent, confidentiality, voluntary participation, and curriculum alignment.</w:t>
            </w:r>
          </w:p>
          <w:p w14:paraId="33CC0B15" w14:textId="77777777" w:rsidR="00561F1D" w:rsidRDefault="00561F1D" w:rsidP="00561F1D">
            <w:pPr>
              <w:pStyle w:val="Body"/>
              <w:spacing w:after="0"/>
              <w:rPr>
                <w:rFonts w:ascii="Arial" w:eastAsia="Calibri" w:hAnsi="Arial" w:cs="Arial"/>
                <w:szCs w:val="22"/>
              </w:rPr>
            </w:pPr>
          </w:p>
          <w:p w14:paraId="35D1E6A4" w14:textId="77777777" w:rsidR="00561F1D" w:rsidRDefault="00561F1D" w:rsidP="00561F1D">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The findings showed that both groups initially had limited understanding of unit conversions, with no significant difference in pre-test scores. After the intervention, both improved: the control group reached a "fair" level, while the experimental group achieved a "good" level. However, statistical analysis found no significant difference in post-test scores, suggesting that YouTube video tutorials did not significantly outperform traditional instruction in enhancing learning outcomes.</w:t>
            </w:r>
          </w:p>
          <w:p w14:paraId="5089FC64" w14:textId="77777777" w:rsidR="00561F1D" w:rsidRDefault="00561F1D" w:rsidP="00561F1D">
            <w:pPr>
              <w:pStyle w:val="Body"/>
              <w:spacing w:after="0"/>
              <w:rPr>
                <w:rFonts w:ascii="Arial" w:eastAsia="Calibri" w:hAnsi="Arial" w:cs="Arial"/>
                <w:b/>
                <w:bCs/>
                <w:szCs w:val="22"/>
              </w:rPr>
            </w:pPr>
          </w:p>
          <w:p w14:paraId="58A467DC" w14:textId="77777777" w:rsidR="00561F1D" w:rsidRDefault="00561F1D" w:rsidP="00561F1D">
            <w:pPr>
              <w:pStyle w:val="AcknHead"/>
              <w:jc w:val="both"/>
              <w:rPr>
                <w:rFonts w:ascii="Arial" w:hAnsi="Arial" w:cs="Arial"/>
                <w:b w:val="0"/>
                <w:caps w:val="0"/>
                <w:sz w:val="20"/>
              </w:rPr>
            </w:pPr>
            <w:r>
              <w:rPr>
                <w:rFonts w:ascii="Arial" w:eastAsia="Calibri" w:hAnsi="Arial" w:cs="Arial"/>
                <w:bCs/>
                <w:szCs w:val="22"/>
              </w:rPr>
              <w:t xml:space="preserve">Conclusion: </w:t>
            </w:r>
            <w:r>
              <w:rPr>
                <w:rFonts w:ascii="Arial" w:eastAsia="Calibri" w:hAnsi="Arial" w:cs="Arial"/>
                <w:b w:val="0"/>
                <w:caps w:val="0"/>
                <w:sz w:val="20"/>
                <w:szCs w:val="22"/>
              </w:rPr>
              <w:t>The study found that both traditional teaching and YouTube video tutorials improved students' understanding of unit conversions. While both groups progressed, the experimental group showed greater improvement, suggesting video-based learning complements traditional instruction.</w:t>
            </w:r>
          </w:p>
          <w:p w14:paraId="36315377" w14:textId="77777777" w:rsidR="00561F1D" w:rsidRDefault="00561F1D" w:rsidP="00561F1D">
            <w:pPr>
              <w:pStyle w:val="Body"/>
              <w:spacing w:after="0"/>
              <w:rPr>
                <w:rFonts w:ascii="Arial" w:eastAsia="Calibri" w:hAnsi="Arial" w:cs="Arial"/>
                <w:szCs w:val="22"/>
              </w:rPr>
            </w:pPr>
          </w:p>
          <w:p w14:paraId="1D5BCF54" w14:textId="77777777" w:rsidR="00561F1D" w:rsidRDefault="00561F1D" w:rsidP="00561F1D">
            <w:pPr>
              <w:pStyle w:val="Body"/>
              <w:spacing w:after="0"/>
              <w:rPr>
                <w:rFonts w:ascii="Arial" w:eastAsia="Calibri" w:hAnsi="Arial" w:cs="Arial"/>
                <w:szCs w:val="22"/>
              </w:rPr>
            </w:pPr>
          </w:p>
        </w:tc>
      </w:tr>
    </w:tbl>
    <w:p w14:paraId="059652E2" w14:textId="77777777" w:rsidR="00561F1D" w:rsidRDefault="00561F1D">
      <w:pPr>
        <w:pStyle w:val="AbstHead"/>
        <w:spacing w:after="0"/>
        <w:jc w:val="both"/>
        <w:rPr>
          <w:rFonts w:ascii="Arial" w:hAnsi="Arial" w:cs="Arial"/>
        </w:rPr>
      </w:pPr>
    </w:p>
    <w:p w14:paraId="45C40DB9" w14:textId="77777777" w:rsidR="00153D51" w:rsidRDefault="00BD29D9">
      <w:pPr>
        <w:pStyle w:val="Body"/>
        <w:spacing w:after="0"/>
        <w:rPr>
          <w:rFonts w:ascii="Arial" w:hAnsi="Arial" w:cs="Arial"/>
          <w:i/>
        </w:rPr>
      </w:pPr>
      <w:r>
        <w:rPr>
          <w:rFonts w:ascii="Arial" w:hAnsi="Arial" w:cs="Arial"/>
          <w:i/>
        </w:rPr>
        <w:t xml:space="preserve">Keywords: Evaluating the Impact of YouTube Videos on Students’ Performance in Mathematics Education. </w:t>
      </w:r>
    </w:p>
    <w:p w14:paraId="0D4F392B" w14:textId="77777777" w:rsidR="00153D51" w:rsidRDefault="00153D51">
      <w:pPr>
        <w:pStyle w:val="Body"/>
        <w:spacing w:after="0"/>
        <w:rPr>
          <w:rFonts w:ascii="Arial" w:hAnsi="Arial" w:cs="Arial"/>
          <w:i/>
          <w:sz w:val="18"/>
        </w:rPr>
      </w:pPr>
    </w:p>
    <w:p w14:paraId="3350DA9F" w14:textId="77777777" w:rsidR="00153D51" w:rsidRDefault="00153D51">
      <w:pPr>
        <w:pStyle w:val="Body"/>
        <w:spacing w:after="0"/>
        <w:rPr>
          <w:rFonts w:ascii="Arial" w:hAnsi="Arial" w:cs="Arial"/>
          <w:i/>
        </w:rPr>
      </w:pPr>
    </w:p>
    <w:p w14:paraId="3FDFE1D9" w14:textId="5DD04E0A" w:rsidR="00153D51" w:rsidRDefault="00BD29D9" w:rsidP="00C02CD2">
      <w:pPr>
        <w:pStyle w:val="AbstHead"/>
        <w:numPr>
          <w:ilvl w:val="0"/>
          <w:numId w:val="33"/>
        </w:numPr>
        <w:spacing w:after="0"/>
        <w:jc w:val="both"/>
        <w:rPr>
          <w:rFonts w:ascii="Arial" w:hAnsi="Arial" w:cs="Arial"/>
        </w:rPr>
      </w:pPr>
      <w:r>
        <w:rPr>
          <w:rFonts w:ascii="Arial" w:hAnsi="Arial" w:cs="Arial"/>
        </w:rPr>
        <w:t xml:space="preserve">INTRODUCTION </w:t>
      </w:r>
    </w:p>
    <w:p w14:paraId="3A760CA8" w14:textId="77777777" w:rsidR="00C02CD2" w:rsidRDefault="00C02CD2" w:rsidP="00C02CD2">
      <w:pPr>
        <w:pStyle w:val="AbstHead"/>
        <w:spacing w:after="0"/>
        <w:ind w:left="720"/>
        <w:jc w:val="both"/>
        <w:rPr>
          <w:rFonts w:ascii="Arial" w:hAnsi="Arial" w:cs="Arial"/>
        </w:rPr>
      </w:pPr>
    </w:p>
    <w:p w14:paraId="0AE824BE" w14:textId="7E9C5481" w:rsidR="00153D51" w:rsidRDefault="00BD29D9">
      <w:pPr>
        <w:ind w:firstLine="720"/>
        <w:contextualSpacing/>
        <w:jc w:val="both"/>
        <w:rPr>
          <w:rFonts w:ascii="Arial" w:hAnsi="Arial" w:cs="Arial"/>
          <w:sz w:val="22"/>
          <w:szCs w:val="22"/>
        </w:rPr>
      </w:pPr>
      <w:r>
        <w:rPr>
          <w:rFonts w:ascii="Arial" w:hAnsi="Arial" w:cs="Arial"/>
          <w:sz w:val="22"/>
          <w:szCs w:val="22"/>
        </w:rPr>
        <w:t>The integration of technology has profoundly reshaped the educational landscape, giving rise to innovative teaching and learning methodologies. Technology can be used as a source of student learning. Technology can visualize abstract mathematical objects into concrete objects that students can easily understand.</w:t>
      </w:r>
      <w:r w:rsidR="00C02CD2">
        <w:rPr>
          <w:rFonts w:ascii="Arial" w:hAnsi="Arial" w:cs="Arial"/>
          <w:sz w:val="22"/>
          <w:szCs w:val="22"/>
        </w:rPr>
        <w:t xml:space="preserve"> </w:t>
      </w:r>
      <w:r>
        <w:rPr>
          <w:rFonts w:ascii="Arial" w:hAnsi="Arial" w:cs="Arial"/>
          <w:sz w:val="22"/>
          <w:szCs w:val="22"/>
        </w:rPr>
        <w:t xml:space="preserve">There are various platforms that support the learning process without time limits and various applications that can be used as </w:t>
      </w:r>
      <w:r>
        <w:rPr>
          <w:rFonts w:ascii="Arial" w:hAnsi="Arial" w:cs="Arial"/>
          <w:sz w:val="22"/>
          <w:szCs w:val="22"/>
        </w:rPr>
        <w:lastRenderedPageBreak/>
        <w:t>learning spaces to replace the teacher's role (Pagau et al., 2023). Among these, the use of video tutorials has gained significant traction as a tool to enhance student understanding and engagement. Fueled by the increasing availability and accessibility of digital resources, educators are leveraging video tutorials as supplementary materials to traditional classroom instruction. This trend aligns with the broader movement towards multimedia learning, which seeks to address the diverse needs and varied learning styles of students.</w:t>
      </w:r>
    </w:p>
    <w:p w14:paraId="06D63783" w14:textId="3C910BF7" w:rsidR="00153D51" w:rsidRDefault="00BD29D9">
      <w:pPr>
        <w:ind w:firstLine="720"/>
        <w:contextualSpacing/>
        <w:jc w:val="both"/>
        <w:rPr>
          <w:rFonts w:ascii="Arial" w:hAnsi="Arial" w:cs="Arial"/>
          <w:sz w:val="22"/>
          <w:szCs w:val="22"/>
        </w:rPr>
      </w:pPr>
      <w:r>
        <w:rPr>
          <w:rFonts w:ascii="Arial" w:hAnsi="Arial" w:cs="Arial"/>
          <w:sz w:val="22"/>
          <w:szCs w:val="22"/>
        </w:rPr>
        <w:t>The shift towards digital learning environments, however, presents unique challenges for mathematics education. Cirneanu and Moldoveanu (2024) highlighted the difficulties in replicating traditional whiteboard-based instruction online, particularly concerning the lack of skills in writing mathematical formulas. However, Bright e</w:t>
      </w:r>
      <w:r w:rsidR="00C02CD2">
        <w:rPr>
          <w:rFonts w:ascii="Arial" w:hAnsi="Arial" w:cs="Arial"/>
          <w:sz w:val="22"/>
          <w:szCs w:val="22"/>
        </w:rPr>
        <w:t>t</w:t>
      </w:r>
      <w:r>
        <w:rPr>
          <w:rFonts w:ascii="Arial" w:hAnsi="Arial" w:cs="Arial"/>
          <w:sz w:val="22"/>
          <w:szCs w:val="22"/>
        </w:rPr>
        <w:t xml:space="preserve"> al. (2024) state that integrating technology into mathematics instruction significantly enhances student performance. Additionally, students' interest in the subject positively influences their mathematical achievement, with a statistically significant effect. This underscores the critical need for careful consideration and selection of appropriate software to deliver effective and engaging online mathematics lessons. It's also important to consider the conceptual knowledge of those who will be teaching mathematics in these environments (Balanquit &amp; Nobis, 2025). </w:t>
      </w:r>
    </w:p>
    <w:p w14:paraId="631C4FB0" w14:textId="77777777" w:rsidR="00153D51" w:rsidRDefault="00BD29D9">
      <w:pPr>
        <w:ind w:firstLine="720"/>
        <w:contextualSpacing/>
        <w:jc w:val="both"/>
        <w:rPr>
          <w:rFonts w:ascii="Arial" w:hAnsi="Arial" w:cs="Arial"/>
          <w:sz w:val="22"/>
          <w:szCs w:val="22"/>
        </w:rPr>
      </w:pPr>
      <w:r>
        <w:rPr>
          <w:rFonts w:ascii="Arial" w:hAnsi="Arial" w:cs="Arial"/>
          <w:sz w:val="22"/>
          <w:szCs w:val="22"/>
        </w:rPr>
        <w:t>Experiences during the recent pandemic further illuminated the potential of video resources in mathematics learning. Nabayra's (2022) study revealed that teacher-created videos were perceived by students as comprehensive, flexible, and student-friendly, fostering a crucial virtual social presence of the teacher within the context of new normal learning. Video learning, as a multimedia format combining verbal and non-verbal information with audio and visual elements, promotes a coherent flow of thought and effectively captures student interest (Lange &amp; Costley, 2020). The interactive features inherent in video delivered through various auditory and visual media are specifically designed to facilitate learning. The effectiveness of such tools can also be influenced by a learner's attitude and prior knowledge (Adoro et al., 2024).</w:t>
      </w:r>
    </w:p>
    <w:p w14:paraId="502A0E7E" w14:textId="77777777" w:rsidR="00153D51" w:rsidRDefault="00BD29D9">
      <w:pPr>
        <w:ind w:firstLine="720"/>
        <w:contextualSpacing/>
        <w:jc w:val="both"/>
        <w:rPr>
          <w:rFonts w:ascii="Arial" w:hAnsi="Arial" w:cs="Arial"/>
          <w:sz w:val="22"/>
          <w:szCs w:val="22"/>
        </w:rPr>
      </w:pPr>
      <w:r>
        <w:rPr>
          <w:rFonts w:ascii="Arial" w:hAnsi="Arial" w:cs="Arial"/>
          <w:sz w:val="22"/>
          <w:szCs w:val="22"/>
        </w:rPr>
        <w:t>Research has also explored student engagement with online learning platforms more broadly. Nobis, Ballado &amp; Froilan (2024B) found that students utilized a range of online platforms, including learning management systems and communication tools, for their learning. This engagement was associated with positive outcomes such as an enhanced work ethic, improved time management skills, and increased technological proficiency. Furthermore, Cabugwason et al. (2024) advised educators to strategically integrate math applications while being mindful of diverse learning styles, suggesting future research into the long-term impact of such tools, the potential for personalized learning, and targeted teacher training. Understanding the challenges faced by future math educators (LUPAS et al.) is also crucial in this context.</w:t>
      </w:r>
    </w:p>
    <w:p w14:paraId="787AE5C4" w14:textId="77777777" w:rsidR="00153D51" w:rsidRDefault="00BD29D9">
      <w:pPr>
        <w:ind w:firstLine="720"/>
        <w:contextualSpacing/>
        <w:jc w:val="both"/>
        <w:rPr>
          <w:rFonts w:ascii="Arial" w:hAnsi="Arial" w:cs="Arial"/>
          <w:sz w:val="22"/>
          <w:szCs w:val="22"/>
        </w:rPr>
      </w:pPr>
      <w:r>
        <w:rPr>
          <w:rFonts w:ascii="Arial" w:hAnsi="Arial" w:cs="Arial"/>
          <w:sz w:val="22"/>
          <w:szCs w:val="22"/>
        </w:rPr>
        <w:t>Specific video-sharing platforms like YouTube have also been investigated for their educational value. Yaacob et al. (2021) concluded that YouTube and video podcasts effectively enhance comprehension among younger learners. This makes YouTube, the platform of choice in the current study for teacher-created videos, a suitable multimedia resource that offers accessibility and flexibility for Gen Z students. Fedrick et al. (2020) emphasized YouTube's potential to broaden students' understanding of mathematical concepts and skills by exposing them to diverse teaching approaches and problem-solving methodologies from various instructors. This aligns with the need to build strong problem-solving skills in future math teachers (Notarte et al., 2024).</w:t>
      </w:r>
    </w:p>
    <w:p w14:paraId="1DCD82EC" w14:textId="77777777" w:rsidR="00153D51" w:rsidRDefault="00BD29D9">
      <w:pPr>
        <w:ind w:firstLine="720"/>
        <w:contextualSpacing/>
        <w:jc w:val="both"/>
        <w:rPr>
          <w:rFonts w:ascii="Arial" w:hAnsi="Arial" w:cs="Arial"/>
          <w:sz w:val="22"/>
          <w:szCs w:val="22"/>
        </w:rPr>
      </w:pPr>
      <w:r>
        <w:rPr>
          <w:rFonts w:ascii="Arial" w:hAnsi="Arial" w:cs="Arial"/>
          <w:sz w:val="22"/>
          <w:szCs w:val="22"/>
        </w:rPr>
        <w:t>Supporting this, Asanre et al. (2024) found that using YouTube as a teaching tool positively impacted the mathematical achievement of senior secondary school students, leading to the recommendation that teachers integrate it into their lessons alongside other multimedia, applying it to real-world scenarios and adapting videos to curriculum goals. Similarly, Insorio and Macandog's (2022) investigation into YouTube video playlists as supplementary materials in the Philippines during the pandemic revealed enhanced student understanding, improved task performance, and increased confidence in mathematics. Factors such as test anxiety among pre-service teachers (Nobis et al., 2025) and the influence of parental involvement on learning (Caparroso, 2024) might also indirectly affect how students engage with and benefit from video tutorials.</w:t>
      </w:r>
    </w:p>
    <w:p w14:paraId="70244ECE" w14:textId="3BA1381E" w:rsidR="00153D51" w:rsidRDefault="00BD29D9">
      <w:pPr>
        <w:ind w:firstLine="720"/>
        <w:contextualSpacing/>
        <w:jc w:val="both"/>
        <w:rPr>
          <w:rFonts w:ascii="Arial" w:hAnsi="Arial" w:cs="Arial"/>
          <w:sz w:val="22"/>
          <w:szCs w:val="22"/>
        </w:rPr>
      </w:pPr>
      <w:r>
        <w:rPr>
          <w:rFonts w:ascii="Arial" w:hAnsi="Arial" w:cs="Arial"/>
          <w:sz w:val="22"/>
          <w:szCs w:val="22"/>
        </w:rPr>
        <w:lastRenderedPageBreak/>
        <w:t xml:space="preserve">Based on interviews conducted with mathematics educators and students, it is evident that YouTube has the potential to serve as a viable platform for mathematical education (Anisa et al., 2023). </w:t>
      </w:r>
      <w:r>
        <w:rPr>
          <w:rFonts w:hAnsi="Arial" w:cs="Arial"/>
          <w:sz w:val="22"/>
          <w:szCs w:val="22"/>
        </w:rPr>
        <w:t>YouTube videos support student learning by allowing self-paced study, reinforcing complex concepts, and complementing classroom instruction. Assessing their effectiveness is key to enhancing educational strategies.</w:t>
      </w:r>
      <w:r>
        <w:rPr>
          <w:rFonts w:ascii="Arial" w:hAnsi="Arial" w:cs="Arial"/>
          <w:sz w:val="22"/>
          <w:szCs w:val="22"/>
        </w:rPr>
        <w:t xml:space="preserve"> This study seek</w:t>
      </w:r>
      <w:r w:rsidR="00C02CD2">
        <w:rPr>
          <w:rFonts w:ascii="Arial" w:hAnsi="Arial" w:cs="Arial"/>
          <w:sz w:val="22"/>
          <w:szCs w:val="22"/>
        </w:rPr>
        <w:t>s</w:t>
      </w:r>
      <w:r>
        <w:rPr>
          <w:rFonts w:ascii="Arial" w:hAnsi="Arial" w:cs="Arial"/>
          <w:sz w:val="22"/>
          <w:szCs w:val="22"/>
        </w:rPr>
        <w:t xml:space="preserve"> to evaluate the role of YouTube videos as a supplementary resource in mathematics education, assessing their impact on student learning and engagement.</w:t>
      </w:r>
    </w:p>
    <w:p w14:paraId="3BF02215" w14:textId="77777777" w:rsidR="00153D51" w:rsidRDefault="00153D51">
      <w:pPr>
        <w:contextualSpacing/>
        <w:jc w:val="both"/>
        <w:rPr>
          <w:rFonts w:ascii="Arial" w:hAnsi="Arial" w:cs="Arial"/>
          <w:sz w:val="22"/>
          <w:szCs w:val="22"/>
        </w:rPr>
      </w:pPr>
    </w:p>
    <w:p w14:paraId="0658532E" w14:textId="77777777" w:rsidR="00153D51" w:rsidRDefault="00BD29D9">
      <w:pPr>
        <w:contextualSpacing/>
        <w:jc w:val="both"/>
        <w:rPr>
          <w:rFonts w:ascii="Arial" w:hAnsi="Arial" w:cs="Arial"/>
          <w:sz w:val="22"/>
          <w:szCs w:val="22"/>
        </w:rPr>
      </w:pPr>
      <w:r>
        <w:rPr>
          <w:rFonts w:ascii="Arial" w:hAnsi="Arial" w:cs="Arial"/>
          <w:b/>
          <w:bCs/>
          <w:color w:val="000000"/>
          <w:sz w:val="22"/>
          <w:szCs w:val="22"/>
        </w:rPr>
        <w:t>Research Questions</w:t>
      </w:r>
    </w:p>
    <w:p w14:paraId="057BAD22" w14:textId="77777777" w:rsidR="00153D51" w:rsidRDefault="00BD29D9">
      <w:pPr>
        <w:jc w:val="both"/>
        <w:rPr>
          <w:rFonts w:ascii="Arial" w:hAnsi="Arial" w:cs="Arial"/>
          <w:color w:val="000000"/>
          <w:sz w:val="22"/>
          <w:szCs w:val="22"/>
        </w:rPr>
      </w:pPr>
      <w:r>
        <w:rPr>
          <w:rFonts w:ascii="Arial" w:hAnsi="Arial" w:cs="Arial"/>
          <w:color w:val="000000"/>
          <w:sz w:val="22"/>
          <w:szCs w:val="22"/>
        </w:rPr>
        <w:t xml:space="preserve">        This study evaluates the impact of YouTube videos on students’ performance in Mathematics. This research sought to answer the following research questions.</w:t>
      </w:r>
    </w:p>
    <w:p w14:paraId="74ADA546" w14:textId="77777777" w:rsidR="00153D51" w:rsidRDefault="00153D51">
      <w:pPr>
        <w:jc w:val="both"/>
        <w:rPr>
          <w:rFonts w:ascii="Arial" w:hAnsi="Arial" w:cs="Arial"/>
          <w:b/>
          <w:bCs/>
          <w:color w:val="000000"/>
          <w:sz w:val="22"/>
          <w:szCs w:val="22"/>
        </w:rPr>
      </w:pPr>
    </w:p>
    <w:p w14:paraId="44AA69E9" w14:textId="77777777" w:rsidR="00153D51" w:rsidRDefault="00BD29D9">
      <w:pPr>
        <w:pStyle w:val="ListParagraph"/>
        <w:numPr>
          <w:ilvl w:val="0"/>
          <w:numId w:val="2"/>
        </w:numPr>
        <w:jc w:val="both"/>
        <w:rPr>
          <w:rFonts w:ascii="Arial" w:hAnsi="Arial" w:cs="Arial"/>
          <w:sz w:val="22"/>
          <w:szCs w:val="22"/>
        </w:rPr>
      </w:pPr>
      <w:r>
        <w:rPr>
          <w:rFonts w:ascii="Arial" w:hAnsi="Arial" w:cs="Arial"/>
          <w:sz w:val="22"/>
          <w:szCs w:val="22"/>
        </w:rPr>
        <w:t>What is the level of performance of the students in the pre-test of the controlled and experimental groups?</w:t>
      </w:r>
    </w:p>
    <w:p w14:paraId="58ADF6AB" w14:textId="77777777" w:rsidR="00153D51" w:rsidRDefault="00BD29D9">
      <w:pPr>
        <w:pStyle w:val="ListParagraph"/>
        <w:numPr>
          <w:ilvl w:val="0"/>
          <w:numId w:val="2"/>
        </w:numPr>
        <w:jc w:val="both"/>
        <w:rPr>
          <w:rFonts w:ascii="Arial" w:hAnsi="Arial" w:cs="Arial"/>
          <w:sz w:val="22"/>
          <w:szCs w:val="22"/>
        </w:rPr>
      </w:pPr>
      <w:r>
        <w:rPr>
          <w:rFonts w:ascii="Arial" w:hAnsi="Arial" w:cs="Arial"/>
          <w:sz w:val="22"/>
          <w:szCs w:val="22"/>
        </w:rPr>
        <w:t>What is the significant difference in the level of performance of the students of the controlled and experimental groups?</w:t>
      </w:r>
    </w:p>
    <w:p w14:paraId="24DCF4F6" w14:textId="77777777" w:rsidR="00153D51" w:rsidRDefault="00BD29D9">
      <w:pPr>
        <w:pStyle w:val="ListParagraph"/>
        <w:numPr>
          <w:ilvl w:val="0"/>
          <w:numId w:val="2"/>
        </w:numPr>
        <w:jc w:val="both"/>
        <w:rPr>
          <w:rFonts w:ascii="Arial" w:hAnsi="Arial" w:cs="Arial"/>
          <w:sz w:val="22"/>
          <w:szCs w:val="22"/>
        </w:rPr>
      </w:pPr>
      <w:r>
        <w:rPr>
          <w:rFonts w:ascii="Arial" w:hAnsi="Arial" w:cs="Arial"/>
          <w:sz w:val="22"/>
          <w:szCs w:val="22"/>
        </w:rPr>
        <w:t>What is the level of performance of the students in the post-test of the controlled and experimental groups?</w:t>
      </w:r>
    </w:p>
    <w:p w14:paraId="4BAE37FD" w14:textId="77777777" w:rsidR="00153D51" w:rsidRDefault="00BD29D9">
      <w:pPr>
        <w:pStyle w:val="ListParagraph"/>
        <w:numPr>
          <w:ilvl w:val="0"/>
          <w:numId w:val="2"/>
        </w:numPr>
        <w:jc w:val="both"/>
        <w:rPr>
          <w:rFonts w:ascii="Arial" w:hAnsi="Arial" w:cs="Arial"/>
          <w:sz w:val="22"/>
          <w:szCs w:val="22"/>
        </w:rPr>
      </w:pPr>
      <w:r>
        <w:rPr>
          <w:rFonts w:ascii="Arial" w:hAnsi="Arial" w:cs="Arial"/>
          <w:sz w:val="22"/>
          <w:szCs w:val="22"/>
        </w:rPr>
        <w:t>What is the significant difference in the level of performance of the students of the controlled group and the experimental group?</w:t>
      </w:r>
    </w:p>
    <w:p w14:paraId="75A6CEB5" w14:textId="77777777" w:rsidR="00153D51" w:rsidRDefault="00BD29D9">
      <w:pPr>
        <w:pStyle w:val="ListParagraph"/>
        <w:numPr>
          <w:ilvl w:val="0"/>
          <w:numId w:val="2"/>
        </w:numPr>
        <w:jc w:val="both"/>
        <w:rPr>
          <w:rFonts w:ascii="Arial" w:hAnsi="Arial" w:cs="Arial"/>
          <w:sz w:val="22"/>
          <w:szCs w:val="22"/>
        </w:rPr>
      </w:pPr>
      <w:r>
        <w:rPr>
          <w:rFonts w:ascii="Arial" w:hAnsi="Arial" w:cs="Arial"/>
          <w:sz w:val="22"/>
          <w:szCs w:val="22"/>
        </w:rPr>
        <w:t>What is the significant difference in the level of performance between the pre-test and post-test of the controlled group?</w:t>
      </w:r>
    </w:p>
    <w:p w14:paraId="1B54E1E1" w14:textId="77777777" w:rsidR="00153D51" w:rsidRDefault="00BD29D9">
      <w:pPr>
        <w:pStyle w:val="ListParagraph"/>
        <w:numPr>
          <w:ilvl w:val="0"/>
          <w:numId w:val="2"/>
        </w:numPr>
        <w:jc w:val="both"/>
        <w:rPr>
          <w:rFonts w:ascii="Arial" w:hAnsi="Arial" w:cs="Arial"/>
          <w:sz w:val="22"/>
          <w:szCs w:val="22"/>
        </w:rPr>
      </w:pPr>
      <w:r>
        <w:rPr>
          <w:rFonts w:ascii="Arial" w:hAnsi="Arial" w:cs="Arial"/>
          <w:sz w:val="22"/>
          <w:szCs w:val="22"/>
        </w:rPr>
        <w:t xml:space="preserve">What is the significant difference in the level of performance between the pre-test and post-test of the experimental group? </w:t>
      </w:r>
    </w:p>
    <w:p w14:paraId="226A2C6A" w14:textId="77777777" w:rsidR="00153D51" w:rsidRDefault="00153D51">
      <w:pPr>
        <w:jc w:val="both"/>
        <w:rPr>
          <w:rFonts w:ascii="Arial" w:hAnsi="Arial" w:cs="Arial"/>
          <w:sz w:val="22"/>
          <w:szCs w:val="22"/>
        </w:rPr>
      </w:pPr>
    </w:p>
    <w:p w14:paraId="5E369069" w14:textId="77777777" w:rsidR="00153D51" w:rsidRDefault="00BD29D9">
      <w:pPr>
        <w:pStyle w:val="AbstHead"/>
        <w:spacing w:after="0"/>
        <w:jc w:val="both"/>
        <w:rPr>
          <w:rStyle w:val="Strong"/>
          <w:rFonts w:ascii="Arial" w:hAnsi="Arial" w:cs="Arial"/>
          <w:b/>
          <w:bCs w:val="0"/>
        </w:rPr>
      </w:pPr>
      <w:r>
        <w:rPr>
          <w:rFonts w:ascii="Arial" w:hAnsi="Arial" w:cs="Arial"/>
        </w:rPr>
        <w:t>2. METHODOLOGY</w:t>
      </w:r>
    </w:p>
    <w:p w14:paraId="6E4EE4EF" w14:textId="77777777" w:rsidR="00153D51" w:rsidRDefault="00BD29D9">
      <w:pPr>
        <w:pStyle w:val="NormalWeb"/>
        <w:spacing w:before="240" w:beforeAutospacing="0" w:after="0" w:afterAutospacing="0"/>
        <w:jc w:val="both"/>
        <w:rPr>
          <w:rStyle w:val="Strong"/>
          <w:rFonts w:ascii="Arial" w:hAnsi="Arial" w:cs="Arial"/>
          <w:b w:val="0"/>
          <w:bCs w:val="0"/>
          <w:sz w:val="22"/>
          <w:szCs w:val="22"/>
        </w:rPr>
      </w:pPr>
      <w:r>
        <w:rPr>
          <w:rStyle w:val="Strong"/>
          <w:rFonts w:ascii="Arial" w:hAnsi="Arial" w:cs="Arial"/>
          <w:sz w:val="22"/>
          <w:szCs w:val="22"/>
        </w:rPr>
        <w:t>2.1 Research Design</w:t>
      </w:r>
      <w:r>
        <w:rPr>
          <w:rStyle w:val="Strong"/>
          <w:rFonts w:ascii="Arial" w:hAnsi="Arial" w:cs="Arial"/>
          <w:b w:val="0"/>
          <w:bCs w:val="0"/>
          <w:sz w:val="22"/>
          <w:szCs w:val="22"/>
        </w:rPr>
        <w:t xml:space="preserve"> </w:t>
      </w:r>
    </w:p>
    <w:p w14:paraId="65738AED" w14:textId="77777777" w:rsidR="00C02CD2" w:rsidRDefault="00C02CD2">
      <w:pPr>
        <w:pStyle w:val="NormalWeb"/>
        <w:spacing w:before="240" w:beforeAutospacing="0" w:after="0" w:afterAutospacing="0"/>
        <w:jc w:val="both"/>
        <w:rPr>
          <w:rStyle w:val="Strong"/>
          <w:rFonts w:ascii="Arial" w:hAnsi="Arial" w:cs="Arial"/>
          <w:b w:val="0"/>
          <w:bCs w:val="0"/>
          <w:sz w:val="22"/>
          <w:szCs w:val="22"/>
        </w:rPr>
      </w:pPr>
    </w:p>
    <w:p w14:paraId="63B18807" w14:textId="77777777" w:rsidR="00153D51" w:rsidRDefault="00BD29D9">
      <w:pPr>
        <w:pStyle w:val="NormalWeb"/>
        <w:spacing w:before="0" w:beforeAutospacing="0" w:after="0" w:afterAutospacing="0"/>
        <w:ind w:firstLine="720"/>
        <w:jc w:val="both"/>
        <w:rPr>
          <w:rStyle w:val="Strong"/>
          <w:rFonts w:ascii="Arial" w:hAnsi="Arial" w:cs="Arial"/>
          <w:b w:val="0"/>
          <w:bCs w:val="0"/>
          <w:sz w:val="22"/>
          <w:szCs w:val="22"/>
        </w:rPr>
      </w:pPr>
      <w:r>
        <w:rPr>
          <w:rStyle w:val="Strong"/>
          <w:rFonts w:ascii="Arial" w:hAnsi="Arial" w:cs="Arial"/>
          <w:b w:val="0"/>
          <w:bCs w:val="0"/>
          <w:sz w:val="22"/>
          <w:szCs w:val="22"/>
        </w:rPr>
        <w:t>This study employed an experimental design to assess the impact of YouTube video tutorials on students' mathematical performance, particularly their understanding of mathematical concepts and problem-solving skills. The study involved dividing a section into two groups: the controlled group, which received instruction through traditional teaching methods, and the experimental group, which was exposed to video tutorials as an intervention. To evaluate the effectiveness of the intervention, a pretest was administered to measure students' initial knowledge, followed by a posttest after the intervention to assess improvements in their performance. The difference between pretest and posttest scores was analyzed to determine the effectiveness of YouTube video tutorials in enhancing students' problem-solving skills.</w:t>
      </w:r>
    </w:p>
    <w:p w14:paraId="2CBC6144" w14:textId="77777777" w:rsidR="00153D51" w:rsidRDefault="00153D51">
      <w:pPr>
        <w:pStyle w:val="NormalWeb"/>
        <w:spacing w:before="0" w:beforeAutospacing="0" w:after="0" w:afterAutospacing="0"/>
        <w:jc w:val="both"/>
        <w:rPr>
          <w:rStyle w:val="Strong"/>
          <w:rFonts w:ascii="Arial" w:hAnsi="Arial" w:cs="Arial"/>
          <w:b w:val="0"/>
          <w:bCs w:val="0"/>
          <w:sz w:val="22"/>
          <w:szCs w:val="22"/>
        </w:rPr>
      </w:pPr>
    </w:p>
    <w:p w14:paraId="51EC36AF" w14:textId="77777777" w:rsidR="00153D51" w:rsidRDefault="00BD29D9">
      <w:pPr>
        <w:pStyle w:val="NormalWeb"/>
        <w:spacing w:before="0" w:beforeAutospacing="0" w:after="0" w:afterAutospacing="0"/>
        <w:jc w:val="both"/>
        <w:rPr>
          <w:rStyle w:val="Strong"/>
          <w:rFonts w:ascii="Arial" w:hAnsi="Arial" w:cs="Arial"/>
          <w:sz w:val="22"/>
          <w:szCs w:val="22"/>
        </w:rPr>
      </w:pPr>
      <w:r>
        <w:rPr>
          <w:rStyle w:val="Strong"/>
          <w:rFonts w:ascii="Arial" w:hAnsi="Arial" w:cs="Arial"/>
          <w:sz w:val="22"/>
          <w:szCs w:val="22"/>
        </w:rPr>
        <w:t>2.2 Participants</w:t>
      </w:r>
    </w:p>
    <w:p w14:paraId="7AE61125" w14:textId="77777777" w:rsidR="00C02CD2" w:rsidRDefault="00C02CD2">
      <w:pPr>
        <w:pStyle w:val="NormalWeb"/>
        <w:spacing w:before="0" w:beforeAutospacing="0" w:after="0" w:afterAutospacing="0"/>
        <w:jc w:val="both"/>
        <w:rPr>
          <w:rStyle w:val="Strong"/>
          <w:rFonts w:ascii="Arial" w:hAnsi="Arial" w:cs="Arial"/>
          <w:b w:val="0"/>
          <w:bCs w:val="0"/>
          <w:sz w:val="22"/>
          <w:szCs w:val="22"/>
        </w:rPr>
      </w:pPr>
    </w:p>
    <w:p w14:paraId="6DFAAE44" w14:textId="77777777" w:rsidR="00153D51" w:rsidRDefault="00BD29D9">
      <w:pPr>
        <w:pStyle w:val="NormalWeb"/>
        <w:spacing w:before="0" w:beforeAutospacing="0" w:after="0" w:afterAutospacing="0"/>
        <w:ind w:firstLine="720"/>
        <w:jc w:val="both"/>
        <w:rPr>
          <w:rStyle w:val="Strong"/>
          <w:rFonts w:ascii="Arial" w:hAnsi="Arial" w:cs="Arial"/>
          <w:sz w:val="22"/>
          <w:szCs w:val="22"/>
        </w:rPr>
      </w:pPr>
      <w:r>
        <w:rPr>
          <w:rStyle w:val="Strong"/>
          <w:rFonts w:ascii="Arial" w:hAnsi="Arial" w:cs="Arial"/>
          <w:b w:val="0"/>
          <w:bCs w:val="0"/>
          <w:sz w:val="22"/>
          <w:szCs w:val="22"/>
        </w:rPr>
        <w:t xml:space="preserve">The participants of this study were the Grade 7 students’ section of Rizal from Laoang National Technical High School who are officially enrolled during the school year 2024-2025.  The participants were divided into two groups, the experimental and the control group. The experimental group was composed of 15 students who used the YouTube videos as a supplementary learning tool, while the controlled group, which consisted of 15 students, followed traditional instructional methods. </w:t>
      </w:r>
    </w:p>
    <w:p w14:paraId="44FC469D" w14:textId="77777777" w:rsidR="00153D51" w:rsidRDefault="00153D51">
      <w:pPr>
        <w:pStyle w:val="NormalWeb"/>
        <w:spacing w:before="0" w:beforeAutospacing="0" w:after="0" w:afterAutospacing="0"/>
        <w:jc w:val="both"/>
        <w:rPr>
          <w:rStyle w:val="Strong"/>
          <w:rFonts w:ascii="Arial" w:hAnsi="Arial" w:cs="Arial"/>
          <w:sz w:val="22"/>
          <w:szCs w:val="22"/>
        </w:rPr>
      </w:pPr>
    </w:p>
    <w:p w14:paraId="1D2DBBB2" w14:textId="77777777" w:rsidR="00153D51" w:rsidRDefault="00BD29D9">
      <w:pPr>
        <w:pStyle w:val="NormalWeb"/>
        <w:spacing w:before="0" w:beforeAutospacing="0" w:after="0" w:afterAutospacing="0"/>
        <w:jc w:val="both"/>
        <w:rPr>
          <w:rFonts w:ascii="Arial" w:hAnsi="Arial" w:cs="Arial"/>
          <w:sz w:val="22"/>
          <w:szCs w:val="22"/>
        </w:rPr>
      </w:pPr>
      <w:r>
        <w:rPr>
          <w:rStyle w:val="Strong"/>
          <w:rFonts w:ascii="Arial" w:hAnsi="Arial" w:cs="Arial"/>
          <w:sz w:val="22"/>
          <w:szCs w:val="22"/>
        </w:rPr>
        <w:t>2.3 Sampling Technique</w:t>
      </w:r>
      <w:r>
        <w:rPr>
          <w:rFonts w:ascii="Arial" w:hAnsi="Arial" w:cs="Arial"/>
          <w:sz w:val="22"/>
          <w:szCs w:val="22"/>
        </w:rPr>
        <w:t xml:space="preserve"> </w:t>
      </w:r>
    </w:p>
    <w:p w14:paraId="393BA91F" w14:textId="77777777" w:rsidR="00C02CD2" w:rsidRDefault="00C02CD2">
      <w:pPr>
        <w:pStyle w:val="NormalWeb"/>
        <w:spacing w:before="0" w:beforeAutospacing="0" w:after="0" w:afterAutospacing="0"/>
        <w:jc w:val="both"/>
        <w:rPr>
          <w:rFonts w:ascii="Arial" w:hAnsi="Arial" w:cs="Arial"/>
          <w:b/>
          <w:bCs/>
          <w:sz w:val="22"/>
          <w:szCs w:val="22"/>
        </w:rPr>
      </w:pPr>
    </w:p>
    <w:p w14:paraId="7E865A27" w14:textId="32F29DEE" w:rsidR="00153D51" w:rsidRDefault="00BD29D9">
      <w:pPr>
        <w:pStyle w:val="NormalWeb"/>
        <w:spacing w:before="0" w:beforeAutospacing="0" w:after="0" w:afterAutospacing="0"/>
        <w:ind w:firstLine="720"/>
        <w:jc w:val="both"/>
        <w:rPr>
          <w:rStyle w:val="Strong"/>
          <w:rFonts w:ascii="Arial" w:hAnsi="Arial" w:cs="Arial"/>
          <w:b w:val="0"/>
          <w:bCs w:val="0"/>
          <w:sz w:val="22"/>
          <w:szCs w:val="22"/>
        </w:rPr>
      </w:pPr>
      <w:r>
        <w:rPr>
          <w:rStyle w:val="Strong"/>
          <w:rFonts w:ascii="Arial" w:hAnsi="Arial" w:cs="Arial"/>
          <w:b w:val="0"/>
          <w:bCs w:val="0"/>
          <w:sz w:val="22"/>
          <w:szCs w:val="22"/>
        </w:rPr>
        <w:t xml:space="preserve">The study employed a purposive sampling technique. Thus, the Grade 7 students of section Rizal from Laoang National Technical High School in Laoang, Northern Samar, who were enrolled during the 2024-2025 academic year, were selected as participants. They </w:t>
      </w:r>
      <w:r>
        <w:rPr>
          <w:rStyle w:val="Strong"/>
          <w:rFonts w:ascii="Arial" w:hAnsi="Arial" w:cs="Arial"/>
          <w:b w:val="0"/>
          <w:bCs w:val="0"/>
          <w:sz w:val="22"/>
          <w:szCs w:val="22"/>
        </w:rPr>
        <w:lastRenderedPageBreak/>
        <w:t>were divided into an experimental group that used YouTube videos and a control group that followed traditional instructional methods.</w:t>
      </w:r>
    </w:p>
    <w:p w14:paraId="033D76BE" w14:textId="77777777" w:rsidR="00153D51" w:rsidRDefault="00153D51">
      <w:pPr>
        <w:pStyle w:val="NormalWeb"/>
        <w:spacing w:before="0" w:beforeAutospacing="0" w:after="0" w:afterAutospacing="0"/>
        <w:jc w:val="both"/>
        <w:rPr>
          <w:rStyle w:val="Strong"/>
          <w:rFonts w:ascii="Arial" w:hAnsi="Arial" w:cs="Arial"/>
          <w:b w:val="0"/>
          <w:bCs w:val="0"/>
          <w:sz w:val="22"/>
          <w:szCs w:val="22"/>
        </w:rPr>
      </w:pPr>
    </w:p>
    <w:p w14:paraId="68011224" w14:textId="77777777" w:rsidR="00153D51" w:rsidRDefault="00BD29D9">
      <w:pPr>
        <w:pStyle w:val="NormalWeb"/>
        <w:spacing w:before="0" w:beforeAutospacing="0" w:after="0" w:afterAutospacing="0"/>
        <w:jc w:val="both"/>
        <w:rPr>
          <w:rFonts w:ascii="Arial" w:hAnsi="Arial" w:cs="Arial"/>
          <w:sz w:val="22"/>
          <w:szCs w:val="22"/>
        </w:rPr>
      </w:pPr>
      <w:r>
        <w:rPr>
          <w:rStyle w:val="Strong"/>
          <w:rFonts w:ascii="Arial" w:hAnsi="Arial" w:cs="Arial"/>
          <w:sz w:val="22"/>
          <w:szCs w:val="22"/>
        </w:rPr>
        <w:t>2.4 Research Instruments</w:t>
      </w:r>
      <w:r>
        <w:rPr>
          <w:rFonts w:ascii="Arial" w:hAnsi="Arial" w:cs="Arial"/>
          <w:sz w:val="22"/>
          <w:szCs w:val="22"/>
        </w:rPr>
        <w:t xml:space="preserve"> </w:t>
      </w:r>
    </w:p>
    <w:p w14:paraId="1A0E0033" w14:textId="77777777" w:rsidR="00C02CD2" w:rsidRDefault="00C02CD2">
      <w:pPr>
        <w:pStyle w:val="NormalWeb"/>
        <w:spacing w:before="0" w:beforeAutospacing="0" w:after="0" w:afterAutospacing="0"/>
        <w:jc w:val="both"/>
        <w:rPr>
          <w:rFonts w:ascii="Arial" w:hAnsi="Arial" w:cs="Arial"/>
          <w:sz w:val="22"/>
          <w:szCs w:val="22"/>
        </w:rPr>
      </w:pPr>
    </w:p>
    <w:p w14:paraId="0C21D4FD" w14:textId="77777777" w:rsidR="00153D51" w:rsidRDefault="00BD29D9">
      <w:pPr>
        <w:pStyle w:val="NormalWeb"/>
        <w:spacing w:before="0" w:beforeAutospacing="0"/>
        <w:ind w:firstLine="720"/>
        <w:jc w:val="both"/>
        <w:rPr>
          <w:rFonts w:ascii="Arial" w:hAnsi="Arial" w:cs="Arial"/>
          <w:sz w:val="22"/>
          <w:szCs w:val="22"/>
        </w:rPr>
      </w:pPr>
      <w:r>
        <w:rPr>
          <w:rFonts w:ascii="Arial" w:hAnsi="Arial" w:cs="Arial"/>
          <w:sz w:val="22"/>
          <w:szCs w:val="22"/>
        </w:rPr>
        <w:t>To evaluate the effectiveness of YouTube videos on students' performance, a 10-item test featuring standardized Algebra and Arithmetic questions was administered. These questions were based on the DepEd textbook for Mathematics 7, Quarter 2, Chapter 4, which focused on the conversion of units of measurement. The test assessed students' knowledge and problem-solving abilities in unit conversion.</w:t>
      </w:r>
    </w:p>
    <w:p w14:paraId="08F4933A" w14:textId="77777777" w:rsidR="00153D51" w:rsidRDefault="00BD29D9">
      <w:pPr>
        <w:pStyle w:val="NormalWeb"/>
        <w:spacing w:after="0" w:afterAutospacing="0"/>
        <w:jc w:val="both"/>
        <w:rPr>
          <w:rFonts w:ascii="Arial" w:hAnsi="Arial" w:cs="Arial"/>
          <w:b/>
          <w:bCs/>
          <w:sz w:val="22"/>
          <w:szCs w:val="22"/>
        </w:rPr>
      </w:pPr>
      <w:r>
        <w:rPr>
          <w:rFonts w:ascii="Arial" w:hAnsi="Arial" w:cs="Arial"/>
          <w:b/>
          <w:bCs/>
          <w:sz w:val="22"/>
          <w:szCs w:val="22"/>
        </w:rPr>
        <w:t xml:space="preserve">2.5 Data Collection </w:t>
      </w:r>
    </w:p>
    <w:p w14:paraId="445BEF0F" w14:textId="77777777" w:rsidR="00C02CD2" w:rsidRDefault="00C02CD2">
      <w:pPr>
        <w:pStyle w:val="NormalWeb"/>
        <w:spacing w:after="0" w:afterAutospacing="0"/>
        <w:jc w:val="both"/>
        <w:rPr>
          <w:rFonts w:ascii="Arial" w:hAnsi="Arial" w:cs="Arial"/>
          <w:b/>
          <w:bCs/>
          <w:sz w:val="22"/>
          <w:szCs w:val="22"/>
        </w:rPr>
      </w:pPr>
    </w:p>
    <w:p w14:paraId="29C0DD15" w14:textId="20A194CC" w:rsidR="00153D51" w:rsidRDefault="00BD29D9">
      <w:pPr>
        <w:pStyle w:val="NormalWeb"/>
        <w:spacing w:before="0" w:beforeAutospacing="0" w:after="0" w:afterAutospacing="0"/>
        <w:ind w:firstLine="720"/>
        <w:jc w:val="both"/>
        <w:rPr>
          <w:rFonts w:ascii="Arial" w:hAnsi="Arial" w:cs="Arial"/>
          <w:b/>
          <w:bCs/>
          <w:sz w:val="22"/>
          <w:szCs w:val="22"/>
        </w:rPr>
      </w:pPr>
      <w:r>
        <w:rPr>
          <w:rFonts w:ascii="Arial" w:hAnsi="Arial" w:cs="Arial"/>
          <w:sz w:val="22"/>
          <w:szCs w:val="22"/>
        </w:rPr>
        <w:t>A pretest was administered before the intervention to evaluate students' initial understanding, followed by a period where the experimental group used the YouTube Videos as an intervention, while the control group utilized the traditional instructional methods. The same test was used as a posttest to measure improvements in student performance.</w:t>
      </w:r>
    </w:p>
    <w:p w14:paraId="66EE2D44" w14:textId="77777777" w:rsidR="00153D51" w:rsidRDefault="00BD29D9">
      <w:pPr>
        <w:pStyle w:val="NormalWeb"/>
        <w:spacing w:after="0" w:afterAutospacing="0"/>
        <w:jc w:val="both"/>
        <w:rPr>
          <w:rFonts w:ascii="Arial" w:hAnsi="Arial" w:cs="Arial"/>
          <w:b/>
          <w:bCs/>
          <w:sz w:val="22"/>
          <w:szCs w:val="22"/>
        </w:rPr>
      </w:pPr>
      <w:r>
        <w:rPr>
          <w:rFonts w:ascii="Arial" w:hAnsi="Arial" w:cs="Arial"/>
          <w:b/>
          <w:bCs/>
          <w:sz w:val="22"/>
          <w:szCs w:val="22"/>
        </w:rPr>
        <w:t xml:space="preserve">2.6 Data Analysis </w:t>
      </w:r>
    </w:p>
    <w:p w14:paraId="07989F54" w14:textId="77777777" w:rsidR="00C02CD2" w:rsidRDefault="00C02CD2">
      <w:pPr>
        <w:pStyle w:val="NormalWeb"/>
        <w:spacing w:after="0" w:afterAutospacing="0"/>
        <w:jc w:val="both"/>
        <w:rPr>
          <w:rFonts w:ascii="Arial" w:hAnsi="Arial" w:cs="Arial"/>
          <w:b/>
          <w:bCs/>
          <w:sz w:val="22"/>
          <w:szCs w:val="22"/>
        </w:rPr>
      </w:pPr>
    </w:p>
    <w:p w14:paraId="5A4B8436" w14:textId="77777777" w:rsidR="00153D51" w:rsidRDefault="00BD29D9">
      <w:pPr>
        <w:pStyle w:val="NormalWeb"/>
        <w:spacing w:before="0" w:beforeAutospacing="0"/>
        <w:jc w:val="both"/>
        <w:rPr>
          <w:rFonts w:ascii="Arial" w:hAnsi="Arial" w:cs="Arial"/>
          <w:sz w:val="22"/>
          <w:szCs w:val="22"/>
        </w:rPr>
      </w:pPr>
      <w:r>
        <w:rPr>
          <w:rFonts w:ascii="Arial" w:hAnsi="Arial" w:cs="Arial"/>
          <w:sz w:val="22"/>
          <w:szCs w:val="22"/>
        </w:rPr>
        <w:t xml:space="preserve">        The data was analyzed using a t-test to compare the learning outcomes between the experimental and controlled groups. This test determined whether there were significant differences in performance due to the intervention. The analysis involved using descriptive statistics (mean and standard deviation) to summarize the respondents' characteristics and initial performance, conducting a t-test to assess the statistical significance of observed differences, and calculating the effect size to measure the intervention's impact on learning outcomes.</w:t>
      </w:r>
    </w:p>
    <w:p w14:paraId="1E1BE4C9" w14:textId="77777777" w:rsidR="00153D51" w:rsidRDefault="00BD29D9">
      <w:pPr>
        <w:pStyle w:val="NormalWeb"/>
        <w:spacing w:before="0" w:beforeAutospacing="0" w:after="0" w:afterAutospacing="0"/>
        <w:jc w:val="both"/>
        <w:rPr>
          <w:rFonts w:ascii="Arial" w:hAnsi="Arial" w:cs="Arial"/>
          <w:b/>
          <w:bCs/>
          <w:sz w:val="22"/>
          <w:szCs w:val="22"/>
        </w:rPr>
      </w:pPr>
      <w:r>
        <w:rPr>
          <w:rFonts w:ascii="Arial" w:hAnsi="Arial" w:cs="Arial"/>
          <w:b/>
          <w:bCs/>
          <w:sz w:val="22"/>
          <w:szCs w:val="22"/>
        </w:rPr>
        <w:t xml:space="preserve">2.7 Ethical Considerations </w:t>
      </w:r>
    </w:p>
    <w:p w14:paraId="7ABACF12" w14:textId="77777777" w:rsidR="00C02CD2" w:rsidRDefault="00C02CD2">
      <w:pPr>
        <w:pStyle w:val="NormalWeb"/>
        <w:spacing w:before="0" w:beforeAutospacing="0" w:after="0" w:afterAutospacing="0"/>
        <w:jc w:val="both"/>
        <w:rPr>
          <w:rFonts w:ascii="Arial" w:hAnsi="Arial" w:cs="Arial"/>
          <w:b/>
          <w:bCs/>
          <w:sz w:val="22"/>
          <w:szCs w:val="22"/>
        </w:rPr>
      </w:pPr>
    </w:p>
    <w:p w14:paraId="2F24AC57" w14:textId="77777777" w:rsidR="00153D51" w:rsidRDefault="00BD29D9">
      <w:pPr>
        <w:pStyle w:val="NormalWeb"/>
        <w:spacing w:before="0" w:beforeAutospacing="0" w:after="0" w:afterAutospacing="0"/>
        <w:ind w:firstLine="720"/>
        <w:jc w:val="both"/>
        <w:rPr>
          <w:rFonts w:ascii="Arial" w:hAnsi="Arial" w:cs="Arial"/>
          <w:b/>
          <w:bCs/>
          <w:sz w:val="22"/>
          <w:szCs w:val="22"/>
        </w:rPr>
      </w:pPr>
      <w:r>
        <w:rPr>
          <w:rFonts w:ascii="Arial" w:hAnsi="Arial" w:cs="Arial"/>
          <w:sz w:val="22"/>
          <w:szCs w:val="22"/>
        </w:rPr>
        <w:t>Ethical considerations were crucial for this study. Informed consent was obtained from all participants and their guardians, ensuring they understood the study's purpose, procedures, risks, and benefits. Privacy and confidentiality were maintained, with respondents' identities anonymized. Participation was voluntary, and participants could withdraw at any time without consequences. The intervention using YouTube videos aligned with the curriculum and supported learning objectives without disrupting the regular learning process or causing harm. After the study, respondents received a summary of the findings and a discussion of the results' implications, and any questions or concerns were addressed.</w:t>
      </w:r>
    </w:p>
    <w:p w14:paraId="2CF45DB9" w14:textId="77777777" w:rsidR="00153D51" w:rsidRDefault="00153D51">
      <w:pPr>
        <w:pStyle w:val="Head1"/>
        <w:spacing w:after="0"/>
        <w:jc w:val="both"/>
        <w:rPr>
          <w:rFonts w:ascii="Arial" w:hAnsi="Arial" w:cs="Arial"/>
        </w:rPr>
      </w:pPr>
    </w:p>
    <w:p w14:paraId="35BC4D10" w14:textId="77777777" w:rsidR="00153D51" w:rsidRDefault="00153D51">
      <w:pPr>
        <w:pStyle w:val="Head1"/>
        <w:spacing w:after="0"/>
        <w:jc w:val="both"/>
        <w:rPr>
          <w:rFonts w:ascii="Arial" w:hAnsi="Arial" w:cs="Arial"/>
        </w:rPr>
      </w:pPr>
    </w:p>
    <w:p w14:paraId="13E523E6" w14:textId="77777777" w:rsidR="00153D51" w:rsidRDefault="00BD29D9">
      <w:pPr>
        <w:pStyle w:val="Head1"/>
        <w:spacing w:after="0"/>
        <w:jc w:val="both"/>
        <w:rPr>
          <w:rFonts w:ascii="Arial" w:hAnsi="Arial" w:cs="Arial"/>
        </w:rPr>
      </w:pPr>
      <w:r>
        <w:rPr>
          <w:rFonts w:ascii="Arial" w:hAnsi="Arial" w:cs="Arial"/>
        </w:rPr>
        <w:t>3. results and discussion</w:t>
      </w:r>
    </w:p>
    <w:p w14:paraId="589EF429" w14:textId="77777777" w:rsidR="00153D51" w:rsidRDefault="00BD29D9">
      <w:pPr>
        <w:pStyle w:val="NormalWeb"/>
        <w:jc w:val="both"/>
        <w:rPr>
          <w:rFonts w:ascii="Arial" w:hAnsi="Arial" w:cs="Arial"/>
          <w:sz w:val="22"/>
          <w:szCs w:val="22"/>
        </w:rPr>
      </w:pPr>
      <w:r>
        <w:rPr>
          <w:rFonts w:ascii="Arial" w:hAnsi="Arial" w:cs="Arial"/>
          <w:b/>
          <w:bCs/>
          <w:sz w:val="22"/>
          <w:szCs w:val="22"/>
        </w:rPr>
        <w:t>Level of Performance during the Pre-test: Results of Controlled and Experimental Groups.</w:t>
      </w:r>
      <w:r>
        <w:rPr>
          <w:rFonts w:ascii="Arial" w:hAnsi="Arial" w:cs="Arial"/>
          <w:sz w:val="22"/>
          <w:szCs w:val="22"/>
        </w:rPr>
        <w:t xml:space="preserve"> </w:t>
      </w:r>
    </w:p>
    <w:p w14:paraId="6509BF47" w14:textId="77777777" w:rsidR="00153D51" w:rsidRDefault="00BD29D9">
      <w:pPr>
        <w:pStyle w:val="NormalWeb"/>
        <w:ind w:firstLine="720"/>
        <w:jc w:val="both"/>
        <w:rPr>
          <w:rFonts w:ascii="Arial" w:hAnsi="Arial" w:cs="Arial"/>
          <w:sz w:val="22"/>
          <w:szCs w:val="22"/>
        </w:rPr>
      </w:pPr>
      <w:r>
        <w:rPr>
          <w:rFonts w:ascii="Arial" w:hAnsi="Arial" w:cs="Arial"/>
          <w:sz w:val="22"/>
          <w:szCs w:val="22"/>
        </w:rPr>
        <w:t xml:space="preserve">Table 1 revealed that the pre-test results revealed that both the controlled and experimental groups exhibited low performance levels, with most students scoring in the poor and fair categories. In the control group, 46.67% of respondents scored between 3 and 4 (fair), while an equal percentage (46.67%) scored between 1 and 2 (poor). A small fraction (6.67%) scored between 5 and 6 (good). In contrast, the experimental group had a higher percentage of students in the fair category (60%), but none achieved a good score, unlike </w:t>
      </w:r>
      <w:r>
        <w:rPr>
          <w:rFonts w:ascii="Arial" w:hAnsi="Arial" w:cs="Arial"/>
          <w:sz w:val="22"/>
          <w:szCs w:val="22"/>
        </w:rPr>
        <w:lastRenderedPageBreak/>
        <w:t>the control group. This suggests potential external influences on their initial understanding and emphasizes the need for improved instructional strategies.</w:t>
      </w:r>
    </w:p>
    <w:p w14:paraId="41FC06B2" w14:textId="77777777" w:rsidR="00153D51" w:rsidRDefault="00BD29D9">
      <w:pPr>
        <w:pStyle w:val="NormalWeb"/>
        <w:ind w:firstLine="720"/>
        <w:jc w:val="both"/>
        <w:rPr>
          <w:rFonts w:ascii="Arial" w:hAnsi="Arial" w:cs="Arial"/>
          <w:sz w:val="22"/>
          <w:szCs w:val="22"/>
        </w:rPr>
      </w:pPr>
      <w:r>
        <w:rPr>
          <w:rFonts w:ascii="Arial" w:hAnsi="Arial" w:cs="Arial"/>
          <w:sz w:val="22"/>
          <w:szCs w:val="22"/>
        </w:rPr>
        <w:t xml:space="preserve">These findings align with previous studies, such as Velez et al. (2023), which highlighted students' difficulties in analyzing mathematical problems, understanding concepts, and establishing equations. Similarly, Balanquit and Nobis (2025) noted challenges in conceptual knowledge and error analysis among pre-service teachers. Addressing these concerns is crucial, as Magas et al. (2025) pointed out the "alarming performance of students in Mathematics" and recommended Self-Directing Learning materials to enhance mathematical proficiency through self-paced learning. Additionally, Yahaya et al. (2024) found that many students struggled with basic unit conversions, particularly in transitioning between metric subunits. This reinforces the significance of prioritizing effective teaching strategies for mathematical conversions, as errors in these foundational skills can hinder problem-solving in physics-related contexts. </w:t>
      </w:r>
    </w:p>
    <w:p w14:paraId="7C99B6D3" w14:textId="77777777" w:rsidR="00153D51" w:rsidRDefault="00153D51">
      <w:pPr>
        <w:jc w:val="center"/>
        <w:rPr>
          <w:rFonts w:ascii="Arial" w:hAnsi="Arial" w:cs="Arial"/>
          <w:b/>
          <w:bCs/>
          <w:sz w:val="22"/>
          <w:szCs w:val="22"/>
        </w:rPr>
      </w:pPr>
    </w:p>
    <w:p w14:paraId="3007A687" w14:textId="77777777" w:rsidR="00153D51" w:rsidRDefault="00BD29D9">
      <w:pPr>
        <w:jc w:val="center"/>
        <w:rPr>
          <w:rFonts w:ascii="Arial" w:hAnsi="Arial" w:cs="Arial"/>
          <w:b/>
          <w:bCs/>
          <w:sz w:val="22"/>
          <w:szCs w:val="22"/>
        </w:rPr>
      </w:pPr>
      <w:r>
        <w:rPr>
          <w:rFonts w:ascii="Arial" w:hAnsi="Arial" w:cs="Arial"/>
          <w:b/>
          <w:bCs/>
          <w:sz w:val="22"/>
          <w:szCs w:val="22"/>
        </w:rPr>
        <w:t>Table 1</w:t>
      </w:r>
    </w:p>
    <w:p w14:paraId="308C55D9" w14:textId="77777777" w:rsidR="00153D51" w:rsidRDefault="00153D51">
      <w:pPr>
        <w:rPr>
          <w:rFonts w:ascii="Arial" w:hAnsi="Arial" w:cs="Arial"/>
          <w:b/>
          <w:bCs/>
          <w:sz w:val="22"/>
          <w:szCs w:val="22"/>
        </w:rPr>
      </w:pPr>
    </w:p>
    <w:p w14:paraId="12C62047" w14:textId="77777777" w:rsidR="00153D51" w:rsidRDefault="00BD29D9">
      <w:pPr>
        <w:jc w:val="center"/>
        <w:rPr>
          <w:rFonts w:ascii="Arial" w:hAnsi="Arial" w:cs="Arial"/>
          <w:b/>
          <w:bCs/>
          <w:sz w:val="22"/>
          <w:szCs w:val="22"/>
        </w:rPr>
      </w:pPr>
      <w:r>
        <w:rPr>
          <w:rFonts w:ascii="Arial" w:hAnsi="Arial" w:cs="Arial"/>
          <w:b/>
          <w:bCs/>
          <w:sz w:val="22"/>
          <w:szCs w:val="22"/>
        </w:rPr>
        <w:t>Level of Performance during the Pre-test of the Controlled Group and Experimental Group</w:t>
      </w:r>
    </w:p>
    <w:p w14:paraId="55D11158" w14:textId="77777777" w:rsidR="00153D51" w:rsidRDefault="00153D51">
      <w:pPr>
        <w:rPr>
          <w:rFonts w:ascii="Arial" w:hAnsi="Arial" w:cs="Arial"/>
          <w:b/>
          <w:bCs/>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707"/>
        <w:gridCol w:w="1138"/>
        <w:gridCol w:w="1319"/>
        <w:gridCol w:w="799"/>
        <w:gridCol w:w="1293"/>
        <w:gridCol w:w="1643"/>
      </w:tblGrid>
      <w:tr w:rsidR="00153D51" w14:paraId="492FB571" w14:textId="77777777">
        <w:trPr>
          <w:jc w:val="center"/>
        </w:trPr>
        <w:tc>
          <w:tcPr>
            <w:tcW w:w="1525" w:type="dxa"/>
            <w:vMerge w:val="restart"/>
            <w:tcBorders>
              <w:top w:val="single" w:sz="4" w:space="0" w:color="auto"/>
              <w:bottom w:val="single" w:sz="4" w:space="0" w:color="auto"/>
            </w:tcBorders>
          </w:tcPr>
          <w:p w14:paraId="509336BB" w14:textId="77777777" w:rsidR="00153D51" w:rsidRDefault="00153D51">
            <w:pPr>
              <w:rPr>
                <w:rFonts w:ascii="Arial" w:hAnsi="Arial" w:cs="Arial"/>
                <w:b/>
                <w:bCs/>
              </w:rPr>
            </w:pPr>
          </w:p>
        </w:tc>
        <w:tc>
          <w:tcPr>
            <w:tcW w:w="3164" w:type="dxa"/>
            <w:gridSpan w:val="3"/>
            <w:tcBorders>
              <w:top w:val="single" w:sz="4" w:space="0" w:color="auto"/>
              <w:bottom w:val="single" w:sz="4" w:space="0" w:color="auto"/>
            </w:tcBorders>
          </w:tcPr>
          <w:p w14:paraId="3AA79500" w14:textId="77777777" w:rsidR="00153D51" w:rsidRDefault="00BD29D9">
            <w:pPr>
              <w:jc w:val="center"/>
              <w:rPr>
                <w:rFonts w:ascii="Arial" w:hAnsi="Arial" w:cs="Arial"/>
                <w:b/>
                <w:bCs/>
              </w:rPr>
            </w:pPr>
            <w:r>
              <w:rPr>
                <w:rFonts w:ascii="Arial" w:hAnsi="Arial" w:cs="Arial"/>
                <w:b/>
                <w:bCs/>
              </w:rPr>
              <w:t>Controlled Group</w:t>
            </w:r>
          </w:p>
        </w:tc>
        <w:tc>
          <w:tcPr>
            <w:tcW w:w="3735" w:type="dxa"/>
            <w:gridSpan w:val="3"/>
            <w:tcBorders>
              <w:top w:val="single" w:sz="4" w:space="0" w:color="auto"/>
              <w:bottom w:val="single" w:sz="4" w:space="0" w:color="auto"/>
            </w:tcBorders>
          </w:tcPr>
          <w:p w14:paraId="4A0BFE83" w14:textId="77777777" w:rsidR="00153D51" w:rsidRDefault="00BD29D9">
            <w:pPr>
              <w:jc w:val="center"/>
              <w:rPr>
                <w:rFonts w:ascii="Arial" w:hAnsi="Arial" w:cs="Arial"/>
                <w:b/>
                <w:bCs/>
              </w:rPr>
            </w:pPr>
            <w:r>
              <w:rPr>
                <w:rFonts w:ascii="Arial" w:hAnsi="Arial" w:cs="Arial"/>
                <w:b/>
                <w:bCs/>
              </w:rPr>
              <w:t>Experimental Group</w:t>
            </w:r>
          </w:p>
        </w:tc>
      </w:tr>
      <w:tr w:rsidR="00153D51" w14:paraId="17769AF4" w14:textId="77777777">
        <w:trPr>
          <w:jc w:val="center"/>
        </w:trPr>
        <w:tc>
          <w:tcPr>
            <w:tcW w:w="1525" w:type="dxa"/>
            <w:vMerge/>
            <w:tcBorders>
              <w:top w:val="single" w:sz="4" w:space="0" w:color="auto"/>
              <w:bottom w:val="single" w:sz="4" w:space="0" w:color="auto"/>
            </w:tcBorders>
          </w:tcPr>
          <w:p w14:paraId="46507F53" w14:textId="77777777" w:rsidR="00153D51" w:rsidRDefault="00153D51">
            <w:pPr>
              <w:rPr>
                <w:rFonts w:ascii="Arial" w:hAnsi="Arial" w:cs="Arial"/>
              </w:rPr>
            </w:pPr>
          </w:p>
        </w:tc>
        <w:tc>
          <w:tcPr>
            <w:tcW w:w="707" w:type="dxa"/>
            <w:tcBorders>
              <w:top w:val="single" w:sz="4" w:space="0" w:color="auto"/>
              <w:bottom w:val="single" w:sz="4" w:space="0" w:color="auto"/>
            </w:tcBorders>
          </w:tcPr>
          <w:p w14:paraId="193173BD" w14:textId="77777777" w:rsidR="00153D51" w:rsidRDefault="00BD29D9">
            <w:pPr>
              <w:rPr>
                <w:rFonts w:ascii="Arial" w:hAnsi="Arial" w:cs="Arial"/>
                <w:b/>
                <w:bCs/>
              </w:rPr>
            </w:pPr>
            <w:r>
              <w:rPr>
                <w:rFonts w:ascii="Arial" w:hAnsi="Arial" w:cs="Arial"/>
                <w:b/>
                <w:bCs/>
              </w:rPr>
              <w:t>F</w:t>
            </w:r>
          </w:p>
        </w:tc>
        <w:tc>
          <w:tcPr>
            <w:tcW w:w="1138" w:type="dxa"/>
            <w:tcBorders>
              <w:top w:val="single" w:sz="4" w:space="0" w:color="auto"/>
              <w:bottom w:val="single" w:sz="4" w:space="0" w:color="auto"/>
            </w:tcBorders>
          </w:tcPr>
          <w:p w14:paraId="1931D24F" w14:textId="77777777" w:rsidR="00153D51" w:rsidRDefault="00BD29D9">
            <w:pPr>
              <w:rPr>
                <w:rFonts w:ascii="Arial" w:hAnsi="Arial" w:cs="Arial"/>
                <w:b/>
                <w:bCs/>
              </w:rPr>
            </w:pPr>
            <w:r>
              <w:rPr>
                <w:rFonts w:ascii="Arial" w:hAnsi="Arial" w:cs="Arial"/>
                <w:b/>
                <w:bCs/>
              </w:rPr>
              <w:t>%</w:t>
            </w:r>
          </w:p>
        </w:tc>
        <w:tc>
          <w:tcPr>
            <w:tcW w:w="1319" w:type="dxa"/>
            <w:tcBorders>
              <w:top w:val="single" w:sz="4" w:space="0" w:color="auto"/>
              <w:bottom w:val="single" w:sz="4" w:space="0" w:color="auto"/>
            </w:tcBorders>
          </w:tcPr>
          <w:p w14:paraId="275DE077" w14:textId="77777777" w:rsidR="00153D51" w:rsidRDefault="00BD29D9">
            <w:pPr>
              <w:rPr>
                <w:rFonts w:ascii="Arial" w:hAnsi="Arial" w:cs="Arial"/>
                <w:b/>
                <w:bCs/>
              </w:rPr>
            </w:pPr>
            <w:r>
              <w:rPr>
                <w:rFonts w:ascii="Arial" w:hAnsi="Arial" w:cs="Arial"/>
                <w:b/>
                <w:bCs/>
              </w:rPr>
              <w:t>Int.</w:t>
            </w:r>
          </w:p>
        </w:tc>
        <w:tc>
          <w:tcPr>
            <w:tcW w:w="799" w:type="dxa"/>
            <w:tcBorders>
              <w:top w:val="single" w:sz="4" w:space="0" w:color="auto"/>
              <w:bottom w:val="single" w:sz="4" w:space="0" w:color="auto"/>
            </w:tcBorders>
          </w:tcPr>
          <w:p w14:paraId="5778FECF" w14:textId="77777777" w:rsidR="00153D51" w:rsidRDefault="00BD29D9">
            <w:pPr>
              <w:rPr>
                <w:rFonts w:ascii="Arial" w:hAnsi="Arial" w:cs="Arial"/>
                <w:b/>
                <w:bCs/>
              </w:rPr>
            </w:pPr>
            <w:r>
              <w:rPr>
                <w:rFonts w:ascii="Arial" w:hAnsi="Arial" w:cs="Arial"/>
                <w:b/>
                <w:bCs/>
              </w:rPr>
              <w:t>F</w:t>
            </w:r>
          </w:p>
        </w:tc>
        <w:tc>
          <w:tcPr>
            <w:tcW w:w="1293" w:type="dxa"/>
            <w:tcBorders>
              <w:top w:val="single" w:sz="4" w:space="0" w:color="auto"/>
              <w:bottom w:val="single" w:sz="4" w:space="0" w:color="auto"/>
            </w:tcBorders>
          </w:tcPr>
          <w:p w14:paraId="57D43346" w14:textId="77777777" w:rsidR="00153D51" w:rsidRDefault="00BD29D9">
            <w:pPr>
              <w:rPr>
                <w:rFonts w:ascii="Arial" w:hAnsi="Arial" w:cs="Arial"/>
                <w:b/>
                <w:bCs/>
              </w:rPr>
            </w:pPr>
            <w:r>
              <w:rPr>
                <w:rFonts w:ascii="Arial" w:hAnsi="Arial" w:cs="Arial"/>
                <w:b/>
                <w:bCs/>
              </w:rPr>
              <w:t>%</w:t>
            </w:r>
          </w:p>
        </w:tc>
        <w:tc>
          <w:tcPr>
            <w:tcW w:w="1643" w:type="dxa"/>
            <w:tcBorders>
              <w:top w:val="single" w:sz="4" w:space="0" w:color="auto"/>
              <w:bottom w:val="single" w:sz="4" w:space="0" w:color="auto"/>
            </w:tcBorders>
          </w:tcPr>
          <w:p w14:paraId="02BFE9BD" w14:textId="77777777" w:rsidR="00153D51" w:rsidRDefault="00BD29D9">
            <w:pPr>
              <w:rPr>
                <w:rFonts w:ascii="Arial" w:hAnsi="Arial" w:cs="Arial"/>
                <w:b/>
                <w:bCs/>
              </w:rPr>
            </w:pPr>
            <w:r>
              <w:rPr>
                <w:rFonts w:ascii="Arial" w:hAnsi="Arial" w:cs="Arial"/>
                <w:b/>
                <w:bCs/>
              </w:rPr>
              <w:t>Int</w:t>
            </w:r>
          </w:p>
        </w:tc>
      </w:tr>
      <w:tr w:rsidR="00153D51" w14:paraId="0C9C82D3" w14:textId="77777777">
        <w:trPr>
          <w:jc w:val="center"/>
        </w:trPr>
        <w:tc>
          <w:tcPr>
            <w:tcW w:w="1525" w:type="dxa"/>
            <w:tcBorders>
              <w:top w:val="single" w:sz="4" w:space="0" w:color="auto"/>
            </w:tcBorders>
          </w:tcPr>
          <w:p w14:paraId="3C234B53" w14:textId="77777777" w:rsidR="00153D51" w:rsidRDefault="00BD29D9">
            <w:pPr>
              <w:rPr>
                <w:rFonts w:ascii="Arial" w:hAnsi="Arial" w:cs="Arial"/>
              </w:rPr>
            </w:pPr>
            <w:r>
              <w:rPr>
                <w:rFonts w:ascii="Arial" w:hAnsi="Arial" w:cs="Arial"/>
              </w:rPr>
              <w:t>5 - 6</w:t>
            </w:r>
          </w:p>
        </w:tc>
        <w:tc>
          <w:tcPr>
            <w:tcW w:w="707" w:type="dxa"/>
            <w:tcBorders>
              <w:top w:val="single" w:sz="4" w:space="0" w:color="auto"/>
            </w:tcBorders>
          </w:tcPr>
          <w:p w14:paraId="310D80FA" w14:textId="77777777" w:rsidR="00153D51" w:rsidRDefault="00BD29D9">
            <w:pPr>
              <w:rPr>
                <w:rFonts w:ascii="Arial" w:hAnsi="Arial" w:cs="Arial"/>
              </w:rPr>
            </w:pPr>
            <w:r>
              <w:rPr>
                <w:rFonts w:ascii="Arial" w:hAnsi="Arial" w:cs="Arial"/>
              </w:rPr>
              <w:t>1</w:t>
            </w:r>
          </w:p>
        </w:tc>
        <w:tc>
          <w:tcPr>
            <w:tcW w:w="1138" w:type="dxa"/>
            <w:tcBorders>
              <w:top w:val="single" w:sz="4" w:space="0" w:color="auto"/>
            </w:tcBorders>
          </w:tcPr>
          <w:p w14:paraId="6E19B7C8" w14:textId="77777777" w:rsidR="00153D51" w:rsidRDefault="00BD29D9">
            <w:pPr>
              <w:rPr>
                <w:rFonts w:ascii="Arial" w:hAnsi="Arial" w:cs="Arial"/>
              </w:rPr>
            </w:pPr>
            <w:r>
              <w:rPr>
                <w:rFonts w:ascii="Arial" w:hAnsi="Arial" w:cs="Arial"/>
              </w:rPr>
              <w:t>6.67%</w:t>
            </w:r>
          </w:p>
        </w:tc>
        <w:tc>
          <w:tcPr>
            <w:tcW w:w="1319" w:type="dxa"/>
            <w:tcBorders>
              <w:top w:val="single" w:sz="4" w:space="0" w:color="auto"/>
            </w:tcBorders>
          </w:tcPr>
          <w:p w14:paraId="6BAC6000" w14:textId="77777777" w:rsidR="00153D51" w:rsidRDefault="00BD29D9">
            <w:pPr>
              <w:rPr>
                <w:rFonts w:ascii="Arial" w:hAnsi="Arial" w:cs="Arial"/>
              </w:rPr>
            </w:pPr>
            <w:r>
              <w:rPr>
                <w:rFonts w:ascii="Arial" w:hAnsi="Arial" w:cs="Arial"/>
              </w:rPr>
              <w:t>Good</w:t>
            </w:r>
          </w:p>
        </w:tc>
        <w:tc>
          <w:tcPr>
            <w:tcW w:w="799" w:type="dxa"/>
            <w:tcBorders>
              <w:top w:val="single" w:sz="4" w:space="0" w:color="auto"/>
            </w:tcBorders>
          </w:tcPr>
          <w:p w14:paraId="4EEBD304" w14:textId="77777777" w:rsidR="00153D51" w:rsidRDefault="00BD29D9">
            <w:pPr>
              <w:rPr>
                <w:rFonts w:ascii="Arial" w:hAnsi="Arial" w:cs="Arial"/>
              </w:rPr>
            </w:pPr>
            <w:r>
              <w:rPr>
                <w:rFonts w:ascii="Arial" w:hAnsi="Arial" w:cs="Arial"/>
              </w:rPr>
              <w:t>0</w:t>
            </w:r>
          </w:p>
        </w:tc>
        <w:tc>
          <w:tcPr>
            <w:tcW w:w="1293" w:type="dxa"/>
            <w:tcBorders>
              <w:top w:val="single" w:sz="4" w:space="0" w:color="auto"/>
            </w:tcBorders>
          </w:tcPr>
          <w:p w14:paraId="480B1366" w14:textId="77777777" w:rsidR="00153D51" w:rsidRDefault="00BD29D9">
            <w:pPr>
              <w:rPr>
                <w:rFonts w:ascii="Arial" w:hAnsi="Arial" w:cs="Arial"/>
              </w:rPr>
            </w:pPr>
            <w:r>
              <w:rPr>
                <w:rFonts w:ascii="Arial" w:hAnsi="Arial" w:cs="Arial"/>
              </w:rPr>
              <w:t>0%</w:t>
            </w:r>
          </w:p>
        </w:tc>
        <w:tc>
          <w:tcPr>
            <w:tcW w:w="1643" w:type="dxa"/>
            <w:tcBorders>
              <w:top w:val="single" w:sz="4" w:space="0" w:color="auto"/>
            </w:tcBorders>
          </w:tcPr>
          <w:p w14:paraId="6BF40CD0" w14:textId="77777777" w:rsidR="00153D51" w:rsidRDefault="00BD29D9">
            <w:pPr>
              <w:rPr>
                <w:rFonts w:ascii="Arial" w:hAnsi="Arial" w:cs="Arial"/>
              </w:rPr>
            </w:pPr>
            <w:r>
              <w:rPr>
                <w:rFonts w:ascii="Arial" w:hAnsi="Arial" w:cs="Arial"/>
              </w:rPr>
              <w:t>Good</w:t>
            </w:r>
          </w:p>
        </w:tc>
      </w:tr>
      <w:tr w:rsidR="00153D51" w14:paraId="4477A01B" w14:textId="77777777">
        <w:trPr>
          <w:jc w:val="center"/>
        </w:trPr>
        <w:tc>
          <w:tcPr>
            <w:tcW w:w="1525" w:type="dxa"/>
          </w:tcPr>
          <w:p w14:paraId="6B53847C" w14:textId="77777777" w:rsidR="00153D51" w:rsidRDefault="00BD29D9">
            <w:pPr>
              <w:rPr>
                <w:rFonts w:ascii="Arial" w:hAnsi="Arial" w:cs="Arial"/>
              </w:rPr>
            </w:pPr>
            <w:r>
              <w:rPr>
                <w:rFonts w:ascii="Arial" w:hAnsi="Arial" w:cs="Arial"/>
              </w:rPr>
              <w:t>3 - 4</w:t>
            </w:r>
          </w:p>
        </w:tc>
        <w:tc>
          <w:tcPr>
            <w:tcW w:w="707" w:type="dxa"/>
          </w:tcPr>
          <w:p w14:paraId="7E0E6CD9" w14:textId="77777777" w:rsidR="00153D51" w:rsidRDefault="00BD29D9">
            <w:pPr>
              <w:rPr>
                <w:rFonts w:ascii="Arial" w:hAnsi="Arial" w:cs="Arial"/>
              </w:rPr>
            </w:pPr>
            <w:r>
              <w:rPr>
                <w:rFonts w:ascii="Arial" w:hAnsi="Arial" w:cs="Arial"/>
              </w:rPr>
              <w:t>7</w:t>
            </w:r>
          </w:p>
        </w:tc>
        <w:tc>
          <w:tcPr>
            <w:tcW w:w="1138" w:type="dxa"/>
          </w:tcPr>
          <w:p w14:paraId="0A72BEF1" w14:textId="77777777" w:rsidR="00153D51" w:rsidRDefault="00BD29D9">
            <w:pPr>
              <w:rPr>
                <w:rFonts w:ascii="Arial" w:hAnsi="Arial" w:cs="Arial"/>
              </w:rPr>
            </w:pPr>
            <w:r>
              <w:rPr>
                <w:rFonts w:ascii="Arial" w:hAnsi="Arial" w:cs="Arial"/>
              </w:rPr>
              <w:t>46.67%</w:t>
            </w:r>
          </w:p>
        </w:tc>
        <w:tc>
          <w:tcPr>
            <w:tcW w:w="1319" w:type="dxa"/>
          </w:tcPr>
          <w:p w14:paraId="6F13CBA3" w14:textId="77777777" w:rsidR="00153D51" w:rsidRDefault="00BD29D9">
            <w:pPr>
              <w:rPr>
                <w:rFonts w:ascii="Arial" w:hAnsi="Arial" w:cs="Arial"/>
              </w:rPr>
            </w:pPr>
            <w:r>
              <w:rPr>
                <w:rFonts w:ascii="Arial" w:hAnsi="Arial" w:cs="Arial"/>
              </w:rPr>
              <w:t>Fair</w:t>
            </w:r>
          </w:p>
        </w:tc>
        <w:tc>
          <w:tcPr>
            <w:tcW w:w="799" w:type="dxa"/>
          </w:tcPr>
          <w:p w14:paraId="65780CDF" w14:textId="77777777" w:rsidR="00153D51" w:rsidRDefault="00BD29D9">
            <w:pPr>
              <w:rPr>
                <w:rFonts w:ascii="Arial" w:hAnsi="Arial" w:cs="Arial"/>
              </w:rPr>
            </w:pPr>
            <w:r>
              <w:rPr>
                <w:rFonts w:ascii="Arial" w:hAnsi="Arial" w:cs="Arial"/>
              </w:rPr>
              <w:t>9</w:t>
            </w:r>
          </w:p>
        </w:tc>
        <w:tc>
          <w:tcPr>
            <w:tcW w:w="1293" w:type="dxa"/>
          </w:tcPr>
          <w:p w14:paraId="4992AD24" w14:textId="77777777" w:rsidR="00153D51" w:rsidRDefault="00BD29D9">
            <w:pPr>
              <w:rPr>
                <w:rFonts w:ascii="Arial" w:hAnsi="Arial" w:cs="Arial"/>
              </w:rPr>
            </w:pPr>
            <w:r>
              <w:rPr>
                <w:rFonts w:ascii="Arial" w:hAnsi="Arial" w:cs="Arial"/>
              </w:rPr>
              <w:t>60.00%</w:t>
            </w:r>
          </w:p>
        </w:tc>
        <w:tc>
          <w:tcPr>
            <w:tcW w:w="1643" w:type="dxa"/>
          </w:tcPr>
          <w:p w14:paraId="1B0907A9" w14:textId="77777777" w:rsidR="00153D51" w:rsidRDefault="00BD29D9">
            <w:pPr>
              <w:rPr>
                <w:rFonts w:ascii="Arial" w:hAnsi="Arial" w:cs="Arial"/>
              </w:rPr>
            </w:pPr>
            <w:r>
              <w:rPr>
                <w:rFonts w:ascii="Arial" w:hAnsi="Arial" w:cs="Arial"/>
              </w:rPr>
              <w:t>Fair</w:t>
            </w:r>
          </w:p>
        </w:tc>
      </w:tr>
      <w:tr w:rsidR="00153D51" w14:paraId="2CCB3742" w14:textId="77777777">
        <w:trPr>
          <w:jc w:val="center"/>
        </w:trPr>
        <w:tc>
          <w:tcPr>
            <w:tcW w:w="1525" w:type="dxa"/>
            <w:tcBorders>
              <w:bottom w:val="single" w:sz="4" w:space="0" w:color="auto"/>
            </w:tcBorders>
          </w:tcPr>
          <w:p w14:paraId="3C46111D" w14:textId="77777777" w:rsidR="00153D51" w:rsidRDefault="00BD29D9">
            <w:pPr>
              <w:rPr>
                <w:rFonts w:ascii="Arial" w:hAnsi="Arial" w:cs="Arial"/>
              </w:rPr>
            </w:pPr>
            <w:r>
              <w:rPr>
                <w:rFonts w:ascii="Arial" w:hAnsi="Arial" w:cs="Arial"/>
              </w:rPr>
              <w:t>1 - 2</w:t>
            </w:r>
          </w:p>
        </w:tc>
        <w:tc>
          <w:tcPr>
            <w:tcW w:w="707" w:type="dxa"/>
            <w:tcBorders>
              <w:bottom w:val="single" w:sz="4" w:space="0" w:color="auto"/>
            </w:tcBorders>
          </w:tcPr>
          <w:p w14:paraId="670B4F30" w14:textId="77777777" w:rsidR="00153D51" w:rsidRDefault="00BD29D9">
            <w:pPr>
              <w:rPr>
                <w:rFonts w:ascii="Arial" w:hAnsi="Arial" w:cs="Arial"/>
              </w:rPr>
            </w:pPr>
            <w:r>
              <w:rPr>
                <w:rFonts w:ascii="Arial" w:hAnsi="Arial" w:cs="Arial"/>
              </w:rPr>
              <w:t>7</w:t>
            </w:r>
          </w:p>
        </w:tc>
        <w:tc>
          <w:tcPr>
            <w:tcW w:w="1138" w:type="dxa"/>
            <w:tcBorders>
              <w:bottom w:val="single" w:sz="4" w:space="0" w:color="auto"/>
            </w:tcBorders>
          </w:tcPr>
          <w:p w14:paraId="37E9D37B" w14:textId="77777777" w:rsidR="00153D51" w:rsidRDefault="00BD29D9">
            <w:pPr>
              <w:rPr>
                <w:rFonts w:ascii="Arial" w:hAnsi="Arial" w:cs="Arial"/>
              </w:rPr>
            </w:pPr>
            <w:r>
              <w:rPr>
                <w:rFonts w:ascii="Arial" w:hAnsi="Arial" w:cs="Arial"/>
              </w:rPr>
              <w:t>46.67%</w:t>
            </w:r>
          </w:p>
        </w:tc>
        <w:tc>
          <w:tcPr>
            <w:tcW w:w="1319" w:type="dxa"/>
            <w:tcBorders>
              <w:bottom w:val="single" w:sz="4" w:space="0" w:color="auto"/>
            </w:tcBorders>
          </w:tcPr>
          <w:p w14:paraId="2062F6DE" w14:textId="77777777" w:rsidR="00153D51" w:rsidRDefault="00BD29D9">
            <w:pPr>
              <w:rPr>
                <w:rFonts w:ascii="Arial" w:hAnsi="Arial" w:cs="Arial"/>
              </w:rPr>
            </w:pPr>
            <w:r>
              <w:rPr>
                <w:rFonts w:ascii="Arial" w:hAnsi="Arial" w:cs="Arial"/>
              </w:rPr>
              <w:t>Poor</w:t>
            </w:r>
          </w:p>
        </w:tc>
        <w:tc>
          <w:tcPr>
            <w:tcW w:w="799" w:type="dxa"/>
            <w:tcBorders>
              <w:bottom w:val="single" w:sz="4" w:space="0" w:color="auto"/>
            </w:tcBorders>
          </w:tcPr>
          <w:p w14:paraId="0FA56CAE" w14:textId="77777777" w:rsidR="00153D51" w:rsidRDefault="00BD29D9">
            <w:pPr>
              <w:rPr>
                <w:rFonts w:ascii="Arial" w:hAnsi="Arial" w:cs="Arial"/>
              </w:rPr>
            </w:pPr>
            <w:r>
              <w:rPr>
                <w:rFonts w:ascii="Arial" w:hAnsi="Arial" w:cs="Arial"/>
              </w:rPr>
              <w:t>6</w:t>
            </w:r>
          </w:p>
        </w:tc>
        <w:tc>
          <w:tcPr>
            <w:tcW w:w="1293" w:type="dxa"/>
            <w:tcBorders>
              <w:bottom w:val="single" w:sz="4" w:space="0" w:color="auto"/>
            </w:tcBorders>
          </w:tcPr>
          <w:p w14:paraId="5847145E" w14:textId="77777777" w:rsidR="00153D51" w:rsidRDefault="00BD29D9">
            <w:pPr>
              <w:rPr>
                <w:rFonts w:ascii="Arial" w:hAnsi="Arial" w:cs="Arial"/>
              </w:rPr>
            </w:pPr>
            <w:r>
              <w:rPr>
                <w:rFonts w:ascii="Arial" w:hAnsi="Arial" w:cs="Arial"/>
              </w:rPr>
              <w:t>40.00%</w:t>
            </w:r>
          </w:p>
        </w:tc>
        <w:tc>
          <w:tcPr>
            <w:tcW w:w="1643" w:type="dxa"/>
            <w:tcBorders>
              <w:bottom w:val="single" w:sz="4" w:space="0" w:color="auto"/>
            </w:tcBorders>
          </w:tcPr>
          <w:p w14:paraId="39E54D17" w14:textId="77777777" w:rsidR="00153D51" w:rsidRDefault="00BD29D9">
            <w:pPr>
              <w:rPr>
                <w:rFonts w:ascii="Arial" w:hAnsi="Arial" w:cs="Arial"/>
              </w:rPr>
            </w:pPr>
            <w:r>
              <w:rPr>
                <w:rFonts w:ascii="Arial" w:hAnsi="Arial" w:cs="Arial"/>
              </w:rPr>
              <w:t>Poor</w:t>
            </w:r>
          </w:p>
        </w:tc>
      </w:tr>
      <w:tr w:rsidR="00153D51" w14:paraId="0872D2AE" w14:textId="77777777">
        <w:trPr>
          <w:jc w:val="center"/>
        </w:trPr>
        <w:tc>
          <w:tcPr>
            <w:tcW w:w="1525" w:type="dxa"/>
            <w:tcBorders>
              <w:top w:val="single" w:sz="4" w:space="0" w:color="auto"/>
              <w:bottom w:val="single" w:sz="4" w:space="0" w:color="auto"/>
            </w:tcBorders>
          </w:tcPr>
          <w:p w14:paraId="0B13B8E5" w14:textId="77777777" w:rsidR="00153D51" w:rsidRDefault="00BD29D9">
            <w:pPr>
              <w:rPr>
                <w:rFonts w:ascii="Arial" w:hAnsi="Arial" w:cs="Arial"/>
              </w:rPr>
            </w:pPr>
            <w:r>
              <w:rPr>
                <w:rFonts w:ascii="Arial" w:hAnsi="Arial" w:cs="Arial"/>
              </w:rPr>
              <w:t>Total</w:t>
            </w:r>
          </w:p>
        </w:tc>
        <w:tc>
          <w:tcPr>
            <w:tcW w:w="707" w:type="dxa"/>
            <w:tcBorders>
              <w:top w:val="single" w:sz="4" w:space="0" w:color="auto"/>
              <w:bottom w:val="single" w:sz="4" w:space="0" w:color="auto"/>
            </w:tcBorders>
          </w:tcPr>
          <w:p w14:paraId="0EA8DB79" w14:textId="77777777" w:rsidR="00153D51" w:rsidRDefault="00BD29D9">
            <w:pPr>
              <w:rPr>
                <w:rFonts w:ascii="Arial" w:hAnsi="Arial" w:cs="Arial"/>
                <w:b/>
                <w:bCs/>
              </w:rPr>
            </w:pPr>
            <w:r>
              <w:rPr>
                <w:rFonts w:ascii="Arial" w:hAnsi="Arial" w:cs="Arial"/>
                <w:b/>
                <w:bCs/>
              </w:rPr>
              <w:t>15</w:t>
            </w:r>
          </w:p>
        </w:tc>
        <w:tc>
          <w:tcPr>
            <w:tcW w:w="1138" w:type="dxa"/>
            <w:tcBorders>
              <w:top w:val="single" w:sz="4" w:space="0" w:color="auto"/>
              <w:bottom w:val="single" w:sz="4" w:space="0" w:color="auto"/>
            </w:tcBorders>
          </w:tcPr>
          <w:p w14:paraId="7EF85FDC" w14:textId="77777777" w:rsidR="00153D51" w:rsidRDefault="00BD29D9">
            <w:pPr>
              <w:rPr>
                <w:rFonts w:ascii="Arial" w:hAnsi="Arial" w:cs="Arial"/>
                <w:b/>
                <w:bCs/>
              </w:rPr>
            </w:pPr>
            <w:r>
              <w:rPr>
                <w:rFonts w:ascii="Arial" w:hAnsi="Arial" w:cs="Arial"/>
                <w:b/>
                <w:bCs/>
              </w:rPr>
              <w:t>100.00%</w:t>
            </w:r>
          </w:p>
        </w:tc>
        <w:tc>
          <w:tcPr>
            <w:tcW w:w="1319" w:type="dxa"/>
            <w:tcBorders>
              <w:top w:val="single" w:sz="4" w:space="0" w:color="auto"/>
              <w:bottom w:val="single" w:sz="4" w:space="0" w:color="auto"/>
            </w:tcBorders>
          </w:tcPr>
          <w:p w14:paraId="19826FE3" w14:textId="77777777" w:rsidR="00153D51" w:rsidRDefault="00153D51">
            <w:pPr>
              <w:rPr>
                <w:rFonts w:ascii="Arial" w:hAnsi="Arial" w:cs="Arial"/>
                <w:b/>
                <w:bCs/>
              </w:rPr>
            </w:pPr>
          </w:p>
        </w:tc>
        <w:tc>
          <w:tcPr>
            <w:tcW w:w="799" w:type="dxa"/>
            <w:tcBorders>
              <w:top w:val="single" w:sz="4" w:space="0" w:color="auto"/>
              <w:bottom w:val="single" w:sz="4" w:space="0" w:color="auto"/>
            </w:tcBorders>
          </w:tcPr>
          <w:p w14:paraId="3C0B1FC5" w14:textId="77777777" w:rsidR="00153D51" w:rsidRDefault="00BD29D9">
            <w:pPr>
              <w:rPr>
                <w:rFonts w:ascii="Arial" w:hAnsi="Arial" w:cs="Arial"/>
                <w:b/>
                <w:bCs/>
              </w:rPr>
            </w:pPr>
            <w:r>
              <w:rPr>
                <w:rFonts w:ascii="Arial" w:hAnsi="Arial" w:cs="Arial"/>
                <w:b/>
                <w:bCs/>
              </w:rPr>
              <w:t>15</w:t>
            </w:r>
          </w:p>
        </w:tc>
        <w:tc>
          <w:tcPr>
            <w:tcW w:w="1293" w:type="dxa"/>
            <w:tcBorders>
              <w:top w:val="single" w:sz="4" w:space="0" w:color="auto"/>
              <w:bottom w:val="single" w:sz="4" w:space="0" w:color="auto"/>
            </w:tcBorders>
          </w:tcPr>
          <w:p w14:paraId="11CEAD46" w14:textId="77777777" w:rsidR="00153D51" w:rsidRDefault="00BD29D9">
            <w:pPr>
              <w:rPr>
                <w:rFonts w:ascii="Arial" w:hAnsi="Arial" w:cs="Arial"/>
                <w:b/>
                <w:bCs/>
              </w:rPr>
            </w:pPr>
            <w:r>
              <w:rPr>
                <w:rFonts w:ascii="Arial" w:hAnsi="Arial" w:cs="Arial"/>
                <w:b/>
                <w:bCs/>
              </w:rPr>
              <w:t>100.00%</w:t>
            </w:r>
          </w:p>
        </w:tc>
        <w:tc>
          <w:tcPr>
            <w:tcW w:w="1643" w:type="dxa"/>
            <w:tcBorders>
              <w:top w:val="single" w:sz="4" w:space="0" w:color="auto"/>
              <w:bottom w:val="single" w:sz="4" w:space="0" w:color="auto"/>
            </w:tcBorders>
          </w:tcPr>
          <w:p w14:paraId="40DA0EB3" w14:textId="77777777" w:rsidR="00153D51" w:rsidRDefault="00153D51">
            <w:pPr>
              <w:rPr>
                <w:rFonts w:ascii="Arial" w:hAnsi="Arial" w:cs="Arial"/>
                <w:b/>
                <w:bCs/>
              </w:rPr>
            </w:pPr>
          </w:p>
        </w:tc>
      </w:tr>
      <w:tr w:rsidR="00153D51" w14:paraId="48620962" w14:textId="77777777">
        <w:trPr>
          <w:jc w:val="center"/>
        </w:trPr>
        <w:tc>
          <w:tcPr>
            <w:tcW w:w="1525" w:type="dxa"/>
            <w:tcBorders>
              <w:top w:val="single" w:sz="4" w:space="0" w:color="auto"/>
              <w:bottom w:val="single" w:sz="4" w:space="0" w:color="auto"/>
            </w:tcBorders>
          </w:tcPr>
          <w:p w14:paraId="38091509" w14:textId="77777777" w:rsidR="00153D51" w:rsidRDefault="00BD29D9">
            <w:pPr>
              <w:rPr>
                <w:rFonts w:ascii="Arial" w:hAnsi="Arial" w:cs="Arial"/>
              </w:rPr>
            </w:pPr>
            <w:r>
              <w:rPr>
                <w:rFonts w:ascii="Arial" w:hAnsi="Arial" w:cs="Arial"/>
              </w:rPr>
              <w:t xml:space="preserve">Mean              </w:t>
            </w:r>
          </w:p>
        </w:tc>
        <w:tc>
          <w:tcPr>
            <w:tcW w:w="707" w:type="dxa"/>
            <w:tcBorders>
              <w:top w:val="single" w:sz="4" w:space="0" w:color="auto"/>
              <w:bottom w:val="single" w:sz="4" w:space="0" w:color="auto"/>
            </w:tcBorders>
          </w:tcPr>
          <w:p w14:paraId="4F78BA1C" w14:textId="77777777" w:rsidR="00153D51" w:rsidRDefault="00BD29D9">
            <w:pPr>
              <w:rPr>
                <w:rFonts w:ascii="Arial" w:hAnsi="Arial" w:cs="Arial"/>
                <w:b/>
                <w:bCs/>
              </w:rPr>
            </w:pPr>
            <w:r>
              <w:rPr>
                <w:rFonts w:ascii="Arial" w:hAnsi="Arial" w:cs="Arial"/>
                <w:b/>
                <w:bCs/>
              </w:rPr>
              <w:t>2.67</w:t>
            </w:r>
          </w:p>
        </w:tc>
        <w:tc>
          <w:tcPr>
            <w:tcW w:w="1138" w:type="dxa"/>
            <w:tcBorders>
              <w:top w:val="single" w:sz="4" w:space="0" w:color="auto"/>
              <w:bottom w:val="single" w:sz="4" w:space="0" w:color="auto"/>
            </w:tcBorders>
          </w:tcPr>
          <w:p w14:paraId="658894B8" w14:textId="77777777" w:rsidR="00153D51" w:rsidRDefault="00153D51">
            <w:pPr>
              <w:rPr>
                <w:rFonts w:ascii="Arial" w:hAnsi="Arial" w:cs="Arial"/>
                <w:b/>
                <w:bCs/>
              </w:rPr>
            </w:pPr>
          </w:p>
        </w:tc>
        <w:tc>
          <w:tcPr>
            <w:tcW w:w="1319" w:type="dxa"/>
            <w:tcBorders>
              <w:top w:val="single" w:sz="4" w:space="0" w:color="auto"/>
              <w:bottom w:val="single" w:sz="4" w:space="0" w:color="auto"/>
            </w:tcBorders>
          </w:tcPr>
          <w:p w14:paraId="43BE3ACC" w14:textId="77777777" w:rsidR="00153D51" w:rsidRDefault="00BD29D9">
            <w:pPr>
              <w:rPr>
                <w:rFonts w:ascii="Arial" w:hAnsi="Arial" w:cs="Arial"/>
                <w:b/>
                <w:bCs/>
              </w:rPr>
            </w:pPr>
            <w:r>
              <w:rPr>
                <w:rFonts w:ascii="Arial" w:hAnsi="Arial" w:cs="Arial"/>
                <w:b/>
                <w:bCs/>
              </w:rPr>
              <w:t>Mean</w:t>
            </w:r>
          </w:p>
        </w:tc>
        <w:tc>
          <w:tcPr>
            <w:tcW w:w="799" w:type="dxa"/>
            <w:tcBorders>
              <w:top w:val="single" w:sz="4" w:space="0" w:color="auto"/>
              <w:bottom w:val="single" w:sz="4" w:space="0" w:color="auto"/>
            </w:tcBorders>
          </w:tcPr>
          <w:p w14:paraId="73E289C9" w14:textId="77777777" w:rsidR="00153D51" w:rsidRDefault="00BD29D9">
            <w:pPr>
              <w:rPr>
                <w:rFonts w:ascii="Arial" w:hAnsi="Arial" w:cs="Arial"/>
                <w:b/>
                <w:bCs/>
              </w:rPr>
            </w:pPr>
            <w:r>
              <w:rPr>
                <w:rFonts w:ascii="Arial" w:hAnsi="Arial" w:cs="Arial"/>
                <w:b/>
                <w:bCs/>
              </w:rPr>
              <w:t>2.67</w:t>
            </w:r>
          </w:p>
        </w:tc>
        <w:tc>
          <w:tcPr>
            <w:tcW w:w="1293" w:type="dxa"/>
            <w:tcBorders>
              <w:top w:val="single" w:sz="4" w:space="0" w:color="auto"/>
              <w:bottom w:val="single" w:sz="4" w:space="0" w:color="auto"/>
            </w:tcBorders>
          </w:tcPr>
          <w:p w14:paraId="54CCD084" w14:textId="77777777" w:rsidR="00153D51" w:rsidRDefault="00153D51">
            <w:pPr>
              <w:rPr>
                <w:rFonts w:ascii="Arial" w:hAnsi="Arial" w:cs="Arial"/>
                <w:b/>
                <w:bCs/>
              </w:rPr>
            </w:pPr>
          </w:p>
        </w:tc>
        <w:tc>
          <w:tcPr>
            <w:tcW w:w="1643" w:type="dxa"/>
            <w:tcBorders>
              <w:top w:val="single" w:sz="4" w:space="0" w:color="auto"/>
              <w:bottom w:val="single" w:sz="4" w:space="0" w:color="auto"/>
            </w:tcBorders>
          </w:tcPr>
          <w:p w14:paraId="50683264" w14:textId="77777777" w:rsidR="00153D51" w:rsidRDefault="00153D51">
            <w:pPr>
              <w:rPr>
                <w:rFonts w:ascii="Arial" w:hAnsi="Arial" w:cs="Arial"/>
                <w:b/>
                <w:bCs/>
              </w:rPr>
            </w:pPr>
          </w:p>
        </w:tc>
      </w:tr>
    </w:tbl>
    <w:p w14:paraId="740ED362" w14:textId="77777777" w:rsidR="00153D51" w:rsidRDefault="00BD29D9">
      <w:pPr>
        <w:pStyle w:val="NormalWeb"/>
        <w:ind w:firstLine="720"/>
        <w:jc w:val="both"/>
        <w:rPr>
          <w:rFonts w:ascii="Arial" w:hAnsi="Arial" w:cs="Arial"/>
          <w:sz w:val="20"/>
          <w:szCs w:val="20"/>
        </w:rPr>
      </w:pPr>
      <w:r>
        <w:rPr>
          <w:rFonts w:ascii="Arial" w:hAnsi="Arial" w:cs="Arial"/>
          <w:sz w:val="22"/>
          <w:szCs w:val="22"/>
        </w:rPr>
        <w:t>This is consistent with the findings of Rashid, S. N. M., Baha, &amp; Abidin (2021) in fundamental physics, where the measurement of physical quantities relies on units, and many students struggle with accurate unit conversion. Similarly, Nguyen, H et al. (2023) noted that converting two-dimensional measurement units poses challenges for pre-service teachers, attributing errors in one-dimensional analysis to place value deficiencies, a lack of understanding of metric units, misconceptions about unit relationships, and uncertain knowledge of ratios. The effective integration of technology, including video tutorials, to address these fundamental difficulties is influenced by various factors for teachers (Nobis, M., Jr., 2021).</w:t>
      </w:r>
      <w:r>
        <w:rPr>
          <w:rFonts w:ascii="Arial" w:hAnsi="Arial" w:cs="Arial"/>
          <w:sz w:val="22"/>
          <w:szCs w:val="22"/>
          <w:shd w:val="clear" w:color="auto" w:fill="FFFFFF"/>
        </w:rPr>
        <w:t>.</w:t>
      </w:r>
    </w:p>
    <w:p w14:paraId="77D04E2F" w14:textId="77777777" w:rsidR="00153D51" w:rsidRDefault="00BD29D9">
      <w:pPr>
        <w:jc w:val="both"/>
        <w:rPr>
          <w:rFonts w:ascii="Arial" w:hAnsi="Arial" w:cs="Arial"/>
          <w:b/>
          <w:bCs/>
          <w:sz w:val="22"/>
          <w:szCs w:val="22"/>
        </w:rPr>
      </w:pPr>
      <w:r>
        <w:rPr>
          <w:rFonts w:ascii="Arial" w:hAnsi="Arial" w:cs="Arial"/>
          <w:b/>
          <w:bCs/>
          <w:sz w:val="22"/>
          <w:szCs w:val="22"/>
        </w:rPr>
        <w:t>Test of Significant Difference of the Pre-test Results Between the Controlled Group and Experimental Group</w:t>
      </w:r>
    </w:p>
    <w:p w14:paraId="0D545D62" w14:textId="77777777" w:rsidR="00153D51" w:rsidRDefault="00153D51">
      <w:pPr>
        <w:jc w:val="center"/>
        <w:rPr>
          <w:rFonts w:ascii="Arial" w:hAnsi="Arial" w:cs="Arial"/>
          <w:b/>
          <w:bCs/>
          <w:sz w:val="22"/>
          <w:szCs w:val="22"/>
        </w:rPr>
      </w:pPr>
    </w:p>
    <w:p w14:paraId="788F3943" w14:textId="77777777" w:rsidR="00153D51" w:rsidRDefault="00BD29D9">
      <w:pPr>
        <w:ind w:firstLine="720"/>
        <w:jc w:val="both"/>
        <w:rPr>
          <w:rFonts w:ascii="Arial" w:hAnsi="Arial" w:cs="Arial"/>
          <w:sz w:val="22"/>
          <w:szCs w:val="22"/>
        </w:rPr>
      </w:pPr>
      <w:r>
        <w:rPr>
          <w:rFonts w:ascii="Arial" w:hAnsi="Arial" w:cs="Arial"/>
          <w:sz w:val="22"/>
          <w:szCs w:val="22"/>
        </w:rPr>
        <w:t>Table 2 shows the results of the t-test analysis, indicating no statistically significant difference between the pre-test scores of the controlled and experimental groups, as evidenced by a t-value of -0.348 and a p-value of 0.742 with a significance level set at 0.05. Consequently, the null hypothesis was not rejected, suggesting that both groups had comparable levels of understanding regarding unit conversion before the intervention. This finding underscores the necessity of effective instructional strategies to improve learning outcomes, whether through YouTube tutorials or traditional teaching methods. Given that both groups started at the same level, post-test results will be crucial in assessing the impact of these interventions on students’ performance.</w:t>
      </w:r>
    </w:p>
    <w:p w14:paraId="2994B62E" w14:textId="77777777" w:rsidR="00153D51" w:rsidRDefault="00153D51">
      <w:pPr>
        <w:ind w:firstLine="720"/>
        <w:jc w:val="both"/>
        <w:rPr>
          <w:rFonts w:ascii="Arial" w:hAnsi="Arial" w:cs="Arial"/>
          <w:sz w:val="22"/>
          <w:szCs w:val="22"/>
        </w:rPr>
      </w:pPr>
    </w:p>
    <w:p w14:paraId="491DB97C" w14:textId="77777777" w:rsidR="00153D51" w:rsidRDefault="00BD29D9">
      <w:pPr>
        <w:ind w:firstLine="720"/>
        <w:jc w:val="both"/>
        <w:rPr>
          <w:rFonts w:ascii="Arial" w:hAnsi="Arial" w:cs="Arial"/>
          <w:sz w:val="22"/>
          <w:szCs w:val="22"/>
        </w:rPr>
      </w:pPr>
      <w:r>
        <w:rPr>
          <w:rFonts w:ascii="Arial" w:hAnsi="Arial" w:cs="Arial"/>
          <w:sz w:val="22"/>
          <w:szCs w:val="22"/>
        </w:rPr>
        <w:t xml:space="preserve">These findings align with prior research emphasizing the importance of technological integration in education. Flatt et al. (2023) highlighted the significance of electronic </w:t>
      </w:r>
      <w:r>
        <w:rPr>
          <w:rFonts w:ascii="Arial" w:hAnsi="Arial" w:cs="Arial"/>
          <w:sz w:val="22"/>
          <w:szCs w:val="22"/>
        </w:rPr>
        <w:lastRenderedPageBreak/>
        <w:t>resources in complementing traditional teaching, as technology has been found effective in fostering mathematical thinking and communication. Attard et al. (2022) also emphasized the value of technology in representing mathematical concepts dynamically, aiding student comprehension and conceptual connections. Furthermore, Adu-Murfo et al. (2024) argued that teachers must develop both their knowledge and skills to implement meaningful technology-integrated pedagogies effectively, particularly through student-centered approaches. In this context, YouTube has emerged as a valuable teaching tool for enhancing specific topics, exploring diverse instructional methods, and supporting teachers' professional development.</w:t>
      </w:r>
    </w:p>
    <w:p w14:paraId="14619B6C" w14:textId="77777777" w:rsidR="00153D51" w:rsidRDefault="00153D51">
      <w:pPr>
        <w:jc w:val="both"/>
        <w:rPr>
          <w:rFonts w:ascii="Arial" w:hAnsi="Arial" w:cs="Arial"/>
          <w:sz w:val="22"/>
          <w:szCs w:val="22"/>
        </w:rPr>
      </w:pPr>
    </w:p>
    <w:p w14:paraId="74C51375" w14:textId="77777777" w:rsidR="00153D51" w:rsidRDefault="00153D51">
      <w:pPr>
        <w:jc w:val="both"/>
        <w:rPr>
          <w:rFonts w:ascii="Arial" w:hAnsi="Arial" w:cs="Arial"/>
          <w:sz w:val="22"/>
          <w:szCs w:val="22"/>
        </w:rPr>
      </w:pPr>
    </w:p>
    <w:p w14:paraId="4788601F" w14:textId="77777777" w:rsidR="00153D51" w:rsidRDefault="00BD29D9">
      <w:pPr>
        <w:jc w:val="center"/>
        <w:rPr>
          <w:rFonts w:ascii="Arial" w:hAnsi="Arial" w:cs="Arial"/>
          <w:b/>
          <w:bCs/>
          <w:sz w:val="22"/>
          <w:szCs w:val="22"/>
        </w:rPr>
      </w:pPr>
      <w:r>
        <w:rPr>
          <w:rFonts w:ascii="Arial" w:hAnsi="Arial" w:cs="Arial"/>
          <w:b/>
          <w:bCs/>
          <w:sz w:val="22"/>
          <w:szCs w:val="22"/>
        </w:rPr>
        <w:t>Table 2</w:t>
      </w:r>
    </w:p>
    <w:p w14:paraId="55DC5F66" w14:textId="77777777" w:rsidR="00153D51" w:rsidRDefault="00153D51">
      <w:pPr>
        <w:rPr>
          <w:rFonts w:ascii="Arial" w:hAnsi="Arial" w:cs="Arial"/>
          <w:b/>
          <w:bCs/>
          <w:sz w:val="22"/>
          <w:szCs w:val="22"/>
        </w:rPr>
      </w:pPr>
    </w:p>
    <w:p w14:paraId="0244B99B" w14:textId="77777777" w:rsidR="00153D51" w:rsidRDefault="00BD29D9">
      <w:pPr>
        <w:jc w:val="center"/>
        <w:rPr>
          <w:rFonts w:ascii="Arial" w:hAnsi="Arial" w:cs="Arial"/>
          <w:b/>
          <w:bCs/>
          <w:sz w:val="22"/>
          <w:szCs w:val="22"/>
        </w:rPr>
      </w:pPr>
      <w:r>
        <w:rPr>
          <w:rFonts w:ascii="Arial" w:hAnsi="Arial" w:cs="Arial"/>
          <w:b/>
          <w:bCs/>
          <w:sz w:val="22"/>
          <w:szCs w:val="22"/>
        </w:rPr>
        <w:t>Test of Significant Difference of the Pre-test Results Between the Controlled Group and Experimental Group</w:t>
      </w:r>
    </w:p>
    <w:p w14:paraId="219111DA" w14:textId="77777777" w:rsidR="00153D51" w:rsidRDefault="00153D51">
      <w:pPr>
        <w:jc w:val="center"/>
        <w:rPr>
          <w:rFonts w:ascii="Arial" w:hAnsi="Arial" w:cs="Arial"/>
          <w:b/>
          <w:bCs/>
          <w:sz w:val="22"/>
          <w:szCs w:val="22"/>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51"/>
        <w:gridCol w:w="1796"/>
        <w:gridCol w:w="1830"/>
        <w:gridCol w:w="2233"/>
      </w:tblGrid>
      <w:tr w:rsidR="00153D51" w14:paraId="3E1FE27B" w14:textId="77777777">
        <w:trPr>
          <w:jc w:val="center"/>
        </w:trPr>
        <w:tc>
          <w:tcPr>
            <w:tcW w:w="1751" w:type="dxa"/>
            <w:tcBorders>
              <w:top w:val="single" w:sz="4" w:space="0" w:color="auto"/>
              <w:bottom w:val="single" w:sz="4" w:space="0" w:color="auto"/>
            </w:tcBorders>
          </w:tcPr>
          <w:p w14:paraId="5566A7EC" w14:textId="77777777" w:rsidR="00153D51" w:rsidRDefault="00BD29D9">
            <w:pPr>
              <w:rPr>
                <w:rFonts w:ascii="Arial" w:hAnsi="Arial" w:cs="Arial"/>
                <w:b/>
                <w:bCs/>
              </w:rPr>
            </w:pPr>
            <w:r>
              <w:rPr>
                <w:rFonts w:ascii="Arial" w:hAnsi="Arial" w:cs="Arial"/>
                <w:b/>
                <w:bCs/>
              </w:rPr>
              <w:t>t</w:t>
            </w:r>
          </w:p>
        </w:tc>
        <w:tc>
          <w:tcPr>
            <w:tcW w:w="1796" w:type="dxa"/>
            <w:tcBorders>
              <w:top w:val="single" w:sz="4" w:space="0" w:color="auto"/>
              <w:bottom w:val="single" w:sz="4" w:space="0" w:color="auto"/>
            </w:tcBorders>
          </w:tcPr>
          <w:p w14:paraId="5E44DD67" w14:textId="77777777" w:rsidR="00153D51" w:rsidRDefault="00BD29D9">
            <w:pPr>
              <w:rPr>
                <w:rFonts w:ascii="Arial" w:hAnsi="Arial" w:cs="Arial"/>
                <w:b/>
                <w:bCs/>
              </w:rPr>
            </w:pPr>
            <w:r>
              <w:rPr>
                <w:rFonts w:ascii="Arial" w:hAnsi="Arial" w:cs="Arial"/>
                <w:b/>
                <w:bCs/>
              </w:rPr>
              <w:t>P-value</w:t>
            </w:r>
          </w:p>
        </w:tc>
        <w:tc>
          <w:tcPr>
            <w:tcW w:w="1830" w:type="dxa"/>
            <w:tcBorders>
              <w:top w:val="single" w:sz="4" w:space="0" w:color="auto"/>
              <w:bottom w:val="single" w:sz="4" w:space="0" w:color="auto"/>
            </w:tcBorders>
          </w:tcPr>
          <w:p w14:paraId="12EE9C00" w14:textId="77777777" w:rsidR="00153D51" w:rsidRDefault="00BD29D9">
            <w:pPr>
              <w:rPr>
                <w:rFonts w:ascii="Arial" w:hAnsi="Arial" w:cs="Arial"/>
                <w:b/>
                <w:bCs/>
              </w:rPr>
            </w:pPr>
            <w:r>
              <w:rPr>
                <w:rFonts w:ascii="Arial" w:hAnsi="Arial" w:cs="Arial"/>
                <w:b/>
                <w:bCs/>
              </w:rPr>
              <w:t>Decision</w:t>
            </w:r>
          </w:p>
        </w:tc>
        <w:tc>
          <w:tcPr>
            <w:tcW w:w="2233" w:type="dxa"/>
            <w:tcBorders>
              <w:top w:val="single" w:sz="4" w:space="0" w:color="auto"/>
              <w:bottom w:val="single" w:sz="4" w:space="0" w:color="auto"/>
            </w:tcBorders>
          </w:tcPr>
          <w:p w14:paraId="66E36ED6" w14:textId="77777777" w:rsidR="00153D51" w:rsidRDefault="00BD29D9">
            <w:pPr>
              <w:rPr>
                <w:rFonts w:ascii="Arial" w:hAnsi="Arial" w:cs="Arial"/>
                <w:b/>
                <w:bCs/>
              </w:rPr>
            </w:pPr>
            <w:r>
              <w:rPr>
                <w:rFonts w:ascii="Arial" w:hAnsi="Arial" w:cs="Arial"/>
                <w:b/>
                <w:bCs/>
              </w:rPr>
              <w:t>Interpretation</w:t>
            </w:r>
          </w:p>
        </w:tc>
      </w:tr>
      <w:tr w:rsidR="00153D51" w14:paraId="579A5AD2" w14:textId="77777777">
        <w:trPr>
          <w:jc w:val="center"/>
        </w:trPr>
        <w:tc>
          <w:tcPr>
            <w:tcW w:w="1751" w:type="dxa"/>
            <w:tcBorders>
              <w:top w:val="single" w:sz="4" w:space="0" w:color="auto"/>
            </w:tcBorders>
          </w:tcPr>
          <w:p w14:paraId="6840613F" w14:textId="77777777" w:rsidR="00153D51" w:rsidRDefault="00BD29D9">
            <w:pPr>
              <w:rPr>
                <w:rFonts w:ascii="Arial" w:hAnsi="Arial" w:cs="Arial"/>
              </w:rPr>
            </w:pPr>
            <w:r>
              <w:rPr>
                <w:rFonts w:ascii="Arial" w:hAnsi="Arial" w:cs="Arial"/>
              </w:rPr>
              <w:t>-0.348</w:t>
            </w:r>
          </w:p>
        </w:tc>
        <w:tc>
          <w:tcPr>
            <w:tcW w:w="1796" w:type="dxa"/>
            <w:tcBorders>
              <w:top w:val="single" w:sz="4" w:space="0" w:color="auto"/>
            </w:tcBorders>
          </w:tcPr>
          <w:p w14:paraId="08DFA28E" w14:textId="77777777" w:rsidR="00153D51" w:rsidRDefault="00BD29D9">
            <w:pPr>
              <w:rPr>
                <w:rFonts w:ascii="Arial" w:hAnsi="Arial" w:cs="Arial"/>
              </w:rPr>
            </w:pPr>
            <w:r>
              <w:rPr>
                <w:rFonts w:ascii="Arial" w:hAnsi="Arial" w:cs="Arial"/>
              </w:rPr>
              <w:t>0.742</w:t>
            </w:r>
          </w:p>
        </w:tc>
        <w:tc>
          <w:tcPr>
            <w:tcW w:w="1830" w:type="dxa"/>
            <w:tcBorders>
              <w:top w:val="single" w:sz="4" w:space="0" w:color="auto"/>
            </w:tcBorders>
          </w:tcPr>
          <w:p w14:paraId="066BCDF3" w14:textId="77777777" w:rsidR="00153D51" w:rsidRDefault="00BD29D9">
            <w:pPr>
              <w:rPr>
                <w:rFonts w:ascii="Arial" w:hAnsi="Arial" w:cs="Arial"/>
              </w:rPr>
            </w:pPr>
            <w:r>
              <w:rPr>
                <w:rFonts w:ascii="Arial" w:hAnsi="Arial" w:cs="Arial"/>
              </w:rPr>
              <w:t>Failed to Reject Ho</w:t>
            </w:r>
          </w:p>
        </w:tc>
        <w:tc>
          <w:tcPr>
            <w:tcW w:w="2233" w:type="dxa"/>
            <w:tcBorders>
              <w:top w:val="single" w:sz="4" w:space="0" w:color="auto"/>
            </w:tcBorders>
          </w:tcPr>
          <w:p w14:paraId="70C884C5" w14:textId="77777777" w:rsidR="00153D51" w:rsidRDefault="00BD29D9">
            <w:pPr>
              <w:rPr>
                <w:rFonts w:ascii="Arial" w:hAnsi="Arial" w:cs="Arial"/>
              </w:rPr>
            </w:pPr>
            <w:r>
              <w:rPr>
                <w:rFonts w:ascii="Arial" w:hAnsi="Arial" w:cs="Arial"/>
              </w:rPr>
              <w:t>Not Significant</w:t>
            </w:r>
          </w:p>
        </w:tc>
      </w:tr>
    </w:tbl>
    <w:p w14:paraId="579B21CC" w14:textId="77777777" w:rsidR="00153D51" w:rsidRDefault="00153D51">
      <w:pPr>
        <w:rPr>
          <w:rFonts w:ascii="Arial" w:hAnsi="Arial" w:cs="Arial"/>
          <w:b/>
          <w:bCs/>
          <w:sz w:val="22"/>
          <w:szCs w:val="22"/>
        </w:rPr>
      </w:pPr>
    </w:p>
    <w:p w14:paraId="756C8472" w14:textId="77777777" w:rsidR="00153D51" w:rsidRDefault="00BD29D9">
      <w:pPr>
        <w:ind w:firstLine="720"/>
        <w:jc w:val="both"/>
        <w:rPr>
          <w:rFonts w:ascii="Arial" w:hAnsi="Arial" w:cs="Arial"/>
          <w:b/>
          <w:bCs/>
          <w:sz w:val="22"/>
          <w:szCs w:val="22"/>
        </w:rPr>
      </w:pPr>
      <w:r>
        <w:rPr>
          <w:rFonts w:ascii="Arial" w:hAnsi="Arial" w:cs="Arial"/>
          <w:sz w:val="22"/>
          <w:szCs w:val="22"/>
        </w:rPr>
        <w:t xml:space="preserve">This aligns with the findings of Insorio and Macandog (2022), who highlighted video lessons as effective supplementary tools for reinforcing mathematical concepts alongside module-based learning. Given the comparable effectiveness of both methods, integrating them with interactive strategies like discussions and problem-solving exercises could maximize learning outcomes, a point supported by Chad et al. (2021), who suggested the incorporation of 21st-century teaching tools and technology in mathematics education to provide additional opportunities for students to engage with concepts and develop a positive attitude towards the subject. Understanding the challenges faced by future math educators (Lupas et al.) is crucial when considering the integration of new technologies in their training and practice.. </w:t>
      </w:r>
    </w:p>
    <w:p w14:paraId="5F21F47C" w14:textId="77777777" w:rsidR="00153D51" w:rsidRDefault="00153D51">
      <w:pPr>
        <w:rPr>
          <w:rFonts w:ascii="Arial" w:hAnsi="Arial" w:cs="Arial"/>
          <w:b/>
          <w:bCs/>
          <w:sz w:val="22"/>
          <w:szCs w:val="22"/>
        </w:rPr>
      </w:pPr>
    </w:p>
    <w:p w14:paraId="34AD289E" w14:textId="77777777" w:rsidR="00153D51" w:rsidRDefault="00BD29D9">
      <w:pPr>
        <w:rPr>
          <w:rFonts w:ascii="Arial" w:hAnsi="Arial" w:cs="Arial"/>
          <w:b/>
          <w:bCs/>
          <w:sz w:val="22"/>
          <w:szCs w:val="22"/>
        </w:rPr>
      </w:pPr>
      <w:r>
        <w:rPr>
          <w:rFonts w:ascii="Arial" w:hAnsi="Arial" w:cs="Arial"/>
          <w:b/>
          <w:bCs/>
          <w:sz w:val="22"/>
          <w:szCs w:val="22"/>
        </w:rPr>
        <w:t>Level of Performance during the Post-test of the Controlled Group and Experimental Group</w:t>
      </w:r>
    </w:p>
    <w:p w14:paraId="71FBFAA1" w14:textId="77777777" w:rsidR="00153D51" w:rsidRDefault="00153D51">
      <w:pPr>
        <w:ind w:firstLine="720"/>
        <w:jc w:val="both"/>
        <w:rPr>
          <w:rFonts w:ascii="Arial" w:hAnsi="Arial" w:cs="Arial"/>
          <w:sz w:val="22"/>
          <w:szCs w:val="22"/>
        </w:rPr>
      </w:pPr>
    </w:p>
    <w:p w14:paraId="6ACAEC65" w14:textId="77777777" w:rsidR="00153D51" w:rsidRDefault="00BD29D9">
      <w:pPr>
        <w:ind w:firstLine="720"/>
        <w:jc w:val="both"/>
        <w:rPr>
          <w:rFonts w:ascii="Arial" w:hAnsi="Arial" w:cs="Arial"/>
          <w:sz w:val="22"/>
          <w:szCs w:val="22"/>
        </w:rPr>
      </w:pPr>
      <w:r>
        <w:rPr>
          <w:rFonts w:ascii="Arial" w:hAnsi="Arial" w:cs="Arial"/>
          <w:sz w:val="22"/>
          <w:szCs w:val="22"/>
        </w:rPr>
        <w:t>Table 3 shows that the post-test results indicated that both the controlled and experimental groups performed similarly in the fair category, with 60% of respondents scoring within the range of 3 to 4. However, notable differences emerged in the higher and lower performance levels. The experimental group had a significant proportion (13.33%) achieving excellent scores (9–10), whereas no students in the controlled group reached this level. This suggests that YouTube tutorials contributed to substantial improvement for some students. Conversely, the controlled group had a greater percentage (26.67%) scoring in the good range (5–6), compared to only 6.67% in the experimental group, indicating that traditional instruction provided a more consistent foundation for moderate improvement.</w:t>
      </w:r>
    </w:p>
    <w:p w14:paraId="05DBCCEA" w14:textId="77777777" w:rsidR="00153D51" w:rsidRDefault="00153D51">
      <w:pPr>
        <w:ind w:firstLine="720"/>
        <w:jc w:val="both"/>
        <w:rPr>
          <w:rFonts w:ascii="Arial" w:hAnsi="Arial" w:cs="Arial"/>
          <w:sz w:val="22"/>
          <w:szCs w:val="22"/>
        </w:rPr>
      </w:pPr>
    </w:p>
    <w:p w14:paraId="5C50E7FA" w14:textId="77777777" w:rsidR="00153D51" w:rsidRDefault="00BD29D9">
      <w:pPr>
        <w:ind w:firstLine="720"/>
        <w:jc w:val="both"/>
        <w:rPr>
          <w:rFonts w:ascii="Arial" w:hAnsi="Arial" w:cs="Arial"/>
          <w:sz w:val="22"/>
          <w:szCs w:val="22"/>
        </w:rPr>
      </w:pPr>
      <w:r>
        <w:rPr>
          <w:rFonts w:ascii="Arial" w:hAnsi="Arial" w:cs="Arial"/>
          <w:sz w:val="22"/>
          <w:szCs w:val="22"/>
        </w:rPr>
        <w:t xml:space="preserve">These findings support prior studies emphasizing the effectiveness of technology-enhanced learning methods. Insorio and Macandog (2022) highlighted the role of video lessons as supplementary tools that reinforce mathematical concepts alongside module-based learning. Similarly, Blau et al. (2020) and Mohammed et al. (2023, 2024) underscored the importance of recognizing digital learning resources as valuable instructional tools. Research by Yaacob et al. (2021) and Fedrick et al. (2020) further established YouTube as an impactful teaching medium, particularly in enhancing comprehension and problem-solving abilities. </w:t>
      </w:r>
    </w:p>
    <w:p w14:paraId="7AAEF3E0" w14:textId="77777777" w:rsidR="00C02CD2" w:rsidRDefault="00C02CD2">
      <w:pPr>
        <w:ind w:firstLine="720"/>
        <w:jc w:val="both"/>
        <w:rPr>
          <w:rFonts w:ascii="Arial" w:hAnsi="Arial" w:cs="Arial"/>
          <w:sz w:val="22"/>
          <w:szCs w:val="22"/>
        </w:rPr>
      </w:pPr>
    </w:p>
    <w:p w14:paraId="2ECA7257" w14:textId="77777777" w:rsidR="00C02CD2" w:rsidRDefault="00C02CD2">
      <w:pPr>
        <w:ind w:firstLine="720"/>
        <w:jc w:val="both"/>
        <w:rPr>
          <w:rFonts w:ascii="Arial" w:hAnsi="Arial" w:cs="Arial"/>
          <w:sz w:val="22"/>
          <w:szCs w:val="22"/>
        </w:rPr>
      </w:pPr>
    </w:p>
    <w:p w14:paraId="0B9A087F" w14:textId="77777777" w:rsidR="00C02CD2" w:rsidRDefault="00C02CD2">
      <w:pPr>
        <w:ind w:firstLine="720"/>
        <w:jc w:val="both"/>
        <w:rPr>
          <w:rFonts w:ascii="Arial" w:hAnsi="Arial" w:cs="Arial"/>
          <w:sz w:val="22"/>
          <w:szCs w:val="22"/>
        </w:rPr>
      </w:pPr>
    </w:p>
    <w:p w14:paraId="771A71A5" w14:textId="77777777" w:rsidR="00C02CD2" w:rsidRDefault="00C02CD2">
      <w:pPr>
        <w:ind w:firstLine="720"/>
        <w:jc w:val="both"/>
        <w:rPr>
          <w:rFonts w:ascii="Arial" w:hAnsi="Arial" w:cs="Arial"/>
          <w:sz w:val="22"/>
          <w:szCs w:val="22"/>
        </w:rPr>
      </w:pPr>
    </w:p>
    <w:p w14:paraId="674562C6" w14:textId="77777777" w:rsidR="00C02CD2" w:rsidRDefault="00C02CD2">
      <w:pPr>
        <w:ind w:firstLine="720"/>
        <w:jc w:val="both"/>
        <w:rPr>
          <w:rFonts w:ascii="Arial" w:hAnsi="Arial" w:cs="Arial"/>
          <w:sz w:val="22"/>
          <w:szCs w:val="22"/>
        </w:rPr>
      </w:pPr>
    </w:p>
    <w:p w14:paraId="3853A18A" w14:textId="77777777" w:rsidR="00C02CD2" w:rsidRDefault="00C02CD2">
      <w:pPr>
        <w:ind w:firstLine="720"/>
        <w:jc w:val="both"/>
        <w:rPr>
          <w:rFonts w:ascii="Arial" w:hAnsi="Arial" w:cs="Arial"/>
          <w:b/>
          <w:bCs/>
          <w:sz w:val="22"/>
          <w:szCs w:val="22"/>
        </w:rPr>
      </w:pPr>
    </w:p>
    <w:p w14:paraId="26E039CA" w14:textId="77777777" w:rsidR="00153D51" w:rsidRDefault="00BD29D9">
      <w:pPr>
        <w:jc w:val="center"/>
        <w:rPr>
          <w:rFonts w:ascii="Arial" w:hAnsi="Arial" w:cs="Arial"/>
          <w:b/>
          <w:bCs/>
          <w:sz w:val="22"/>
          <w:szCs w:val="22"/>
        </w:rPr>
      </w:pPr>
      <w:r>
        <w:rPr>
          <w:rFonts w:ascii="Arial" w:hAnsi="Arial" w:cs="Arial"/>
          <w:b/>
          <w:bCs/>
          <w:sz w:val="22"/>
          <w:szCs w:val="22"/>
        </w:rPr>
        <w:t>Table 3</w:t>
      </w:r>
    </w:p>
    <w:p w14:paraId="0315B74E" w14:textId="77777777" w:rsidR="00153D51" w:rsidRDefault="00153D51">
      <w:pPr>
        <w:rPr>
          <w:rFonts w:ascii="Arial" w:hAnsi="Arial" w:cs="Arial"/>
          <w:b/>
          <w:bCs/>
          <w:sz w:val="22"/>
          <w:szCs w:val="22"/>
        </w:rPr>
      </w:pPr>
    </w:p>
    <w:p w14:paraId="7325D24C" w14:textId="77777777" w:rsidR="00153D51" w:rsidRDefault="00BD29D9">
      <w:pPr>
        <w:jc w:val="center"/>
        <w:rPr>
          <w:rFonts w:ascii="Arial" w:hAnsi="Arial" w:cs="Arial"/>
          <w:b/>
          <w:bCs/>
          <w:sz w:val="22"/>
          <w:szCs w:val="22"/>
        </w:rPr>
      </w:pPr>
      <w:r>
        <w:rPr>
          <w:rFonts w:ascii="Arial" w:hAnsi="Arial" w:cs="Arial"/>
          <w:b/>
          <w:bCs/>
          <w:sz w:val="22"/>
          <w:szCs w:val="22"/>
        </w:rPr>
        <w:t>Level of Performance during the Post-test of the Controlled Group and Experimental Group</w:t>
      </w:r>
    </w:p>
    <w:p w14:paraId="0D0198D6" w14:textId="77777777" w:rsidR="00153D51" w:rsidRDefault="00153D51">
      <w:pPr>
        <w:rPr>
          <w:rFonts w:ascii="Arial" w:hAnsi="Arial" w:cs="Arial"/>
          <w:b/>
          <w:bCs/>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1"/>
        <w:gridCol w:w="827"/>
        <w:gridCol w:w="1125"/>
        <w:gridCol w:w="1219"/>
        <w:gridCol w:w="765"/>
        <w:gridCol w:w="1266"/>
        <w:gridCol w:w="1551"/>
      </w:tblGrid>
      <w:tr w:rsidR="00153D51" w14:paraId="423A8484" w14:textId="77777777">
        <w:trPr>
          <w:jc w:val="center"/>
        </w:trPr>
        <w:tc>
          <w:tcPr>
            <w:tcW w:w="1671" w:type="dxa"/>
            <w:vMerge w:val="restart"/>
            <w:tcBorders>
              <w:top w:val="single" w:sz="4" w:space="0" w:color="auto"/>
            </w:tcBorders>
          </w:tcPr>
          <w:p w14:paraId="11511174" w14:textId="77777777" w:rsidR="00153D51" w:rsidRDefault="00153D51">
            <w:pPr>
              <w:rPr>
                <w:rFonts w:ascii="Arial" w:hAnsi="Arial" w:cs="Arial"/>
                <w:b/>
                <w:bCs/>
              </w:rPr>
            </w:pPr>
          </w:p>
        </w:tc>
        <w:tc>
          <w:tcPr>
            <w:tcW w:w="3171" w:type="dxa"/>
            <w:gridSpan w:val="3"/>
            <w:tcBorders>
              <w:top w:val="single" w:sz="4" w:space="0" w:color="auto"/>
            </w:tcBorders>
          </w:tcPr>
          <w:p w14:paraId="6E173C18" w14:textId="77777777" w:rsidR="00153D51" w:rsidRDefault="00BD29D9">
            <w:pPr>
              <w:rPr>
                <w:rFonts w:ascii="Arial" w:hAnsi="Arial" w:cs="Arial"/>
                <w:b/>
                <w:bCs/>
              </w:rPr>
            </w:pPr>
            <w:r>
              <w:rPr>
                <w:rFonts w:ascii="Arial" w:hAnsi="Arial" w:cs="Arial"/>
                <w:b/>
                <w:bCs/>
              </w:rPr>
              <w:t>Controlled Group</w:t>
            </w:r>
          </w:p>
        </w:tc>
        <w:tc>
          <w:tcPr>
            <w:tcW w:w="3582" w:type="dxa"/>
            <w:gridSpan w:val="3"/>
            <w:tcBorders>
              <w:top w:val="single" w:sz="4" w:space="0" w:color="auto"/>
            </w:tcBorders>
          </w:tcPr>
          <w:p w14:paraId="0C696453" w14:textId="77777777" w:rsidR="00153D51" w:rsidRDefault="00BD29D9">
            <w:pPr>
              <w:jc w:val="center"/>
              <w:rPr>
                <w:rFonts w:ascii="Arial" w:hAnsi="Arial" w:cs="Arial"/>
                <w:b/>
                <w:bCs/>
              </w:rPr>
            </w:pPr>
            <w:r>
              <w:rPr>
                <w:rFonts w:ascii="Arial" w:hAnsi="Arial" w:cs="Arial"/>
                <w:b/>
                <w:bCs/>
              </w:rPr>
              <w:t>Experimental Group</w:t>
            </w:r>
          </w:p>
        </w:tc>
      </w:tr>
      <w:tr w:rsidR="00153D51" w14:paraId="5E261DC6" w14:textId="77777777">
        <w:trPr>
          <w:jc w:val="center"/>
        </w:trPr>
        <w:tc>
          <w:tcPr>
            <w:tcW w:w="1671" w:type="dxa"/>
            <w:vMerge/>
            <w:tcBorders>
              <w:bottom w:val="single" w:sz="4" w:space="0" w:color="auto"/>
            </w:tcBorders>
          </w:tcPr>
          <w:p w14:paraId="59FA96EA" w14:textId="77777777" w:rsidR="00153D51" w:rsidRDefault="00153D51">
            <w:pPr>
              <w:rPr>
                <w:rFonts w:ascii="Arial" w:hAnsi="Arial" w:cs="Arial"/>
              </w:rPr>
            </w:pPr>
          </w:p>
        </w:tc>
        <w:tc>
          <w:tcPr>
            <w:tcW w:w="827" w:type="dxa"/>
            <w:tcBorders>
              <w:bottom w:val="single" w:sz="4" w:space="0" w:color="auto"/>
            </w:tcBorders>
          </w:tcPr>
          <w:p w14:paraId="7D7C7C7A" w14:textId="77777777" w:rsidR="00153D51" w:rsidRDefault="00BD29D9">
            <w:pPr>
              <w:rPr>
                <w:rFonts w:ascii="Arial" w:hAnsi="Arial" w:cs="Arial"/>
                <w:b/>
                <w:bCs/>
              </w:rPr>
            </w:pPr>
            <w:r>
              <w:rPr>
                <w:rFonts w:ascii="Arial" w:hAnsi="Arial" w:cs="Arial"/>
                <w:b/>
                <w:bCs/>
              </w:rPr>
              <w:t>F</w:t>
            </w:r>
          </w:p>
        </w:tc>
        <w:tc>
          <w:tcPr>
            <w:tcW w:w="1125" w:type="dxa"/>
            <w:tcBorders>
              <w:bottom w:val="single" w:sz="4" w:space="0" w:color="auto"/>
            </w:tcBorders>
          </w:tcPr>
          <w:p w14:paraId="2BC03C9F" w14:textId="77777777" w:rsidR="00153D51" w:rsidRDefault="00BD29D9">
            <w:pPr>
              <w:rPr>
                <w:rFonts w:ascii="Arial" w:hAnsi="Arial" w:cs="Arial"/>
                <w:b/>
                <w:bCs/>
              </w:rPr>
            </w:pPr>
            <w:r>
              <w:rPr>
                <w:rFonts w:ascii="Arial" w:hAnsi="Arial" w:cs="Arial"/>
                <w:b/>
                <w:bCs/>
              </w:rPr>
              <w:t>%</w:t>
            </w:r>
          </w:p>
        </w:tc>
        <w:tc>
          <w:tcPr>
            <w:tcW w:w="1219" w:type="dxa"/>
            <w:tcBorders>
              <w:bottom w:val="single" w:sz="4" w:space="0" w:color="auto"/>
            </w:tcBorders>
          </w:tcPr>
          <w:p w14:paraId="08E2739C" w14:textId="77777777" w:rsidR="00153D51" w:rsidRDefault="00BD29D9">
            <w:pPr>
              <w:rPr>
                <w:rFonts w:ascii="Arial" w:hAnsi="Arial" w:cs="Arial"/>
                <w:b/>
                <w:bCs/>
              </w:rPr>
            </w:pPr>
            <w:r>
              <w:rPr>
                <w:rFonts w:ascii="Arial" w:hAnsi="Arial" w:cs="Arial"/>
                <w:b/>
                <w:bCs/>
              </w:rPr>
              <w:t>Int.</w:t>
            </w:r>
          </w:p>
        </w:tc>
        <w:tc>
          <w:tcPr>
            <w:tcW w:w="765" w:type="dxa"/>
            <w:tcBorders>
              <w:bottom w:val="single" w:sz="4" w:space="0" w:color="auto"/>
            </w:tcBorders>
          </w:tcPr>
          <w:p w14:paraId="7279E4F6" w14:textId="77777777" w:rsidR="00153D51" w:rsidRDefault="00BD29D9">
            <w:pPr>
              <w:rPr>
                <w:rFonts w:ascii="Arial" w:hAnsi="Arial" w:cs="Arial"/>
                <w:b/>
                <w:bCs/>
              </w:rPr>
            </w:pPr>
            <w:r>
              <w:rPr>
                <w:rFonts w:ascii="Arial" w:hAnsi="Arial" w:cs="Arial"/>
                <w:b/>
                <w:bCs/>
              </w:rPr>
              <w:t>F</w:t>
            </w:r>
          </w:p>
        </w:tc>
        <w:tc>
          <w:tcPr>
            <w:tcW w:w="1266" w:type="dxa"/>
            <w:tcBorders>
              <w:bottom w:val="single" w:sz="4" w:space="0" w:color="auto"/>
            </w:tcBorders>
          </w:tcPr>
          <w:p w14:paraId="4951A189" w14:textId="77777777" w:rsidR="00153D51" w:rsidRDefault="00BD29D9">
            <w:pPr>
              <w:rPr>
                <w:rFonts w:ascii="Arial" w:hAnsi="Arial" w:cs="Arial"/>
                <w:b/>
                <w:bCs/>
              </w:rPr>
            </w:pPr>
            <w:r>
              <w:rPr>
                <w:rFonts w:ascii="Arial" w:hAnsi="Arial" w:cs="Arial"/>
                <w:b/>
                <w:bCs/>
              </w:rPr>
              <w:t>%</w:t>
            </w:r>
          </w:p>
        </w:tc>
        <w:tc>
          <w:tcPr>
            <w:tcW w:w="1551" w:type="dxa"/>
            <w:tcBorders>
              <w:bottom w:val="single" w:sz="4" w:space="0" w:color="auto"/>
            </w:tcBorders>
          </w:tcPr>
          <w:p w14:paraId="5BAEDB76" w14:textId="77777777" w:rsidR="00153D51" w:rsidRDefault="00BD29D9">
            <w:pPr>
              <w:rPr>
                <w:rFonts w:ascii="Arial" w:hAnsi="Arial" w:cs="Arial"/>
                <w:b/>
                <w:bCs/>
              </w:rPr>
            </w:pPr>
            <w:r>
              <w:rPr>
                <w:rFonts w:ascii="Arial" w:hAnsi="Arial" w:cs="Arial"/>
                <w:b/>
                <w:bCs/>
              </w:rPr>
              <w:t>Int.</w:t>
            </w:r>
          </w:p>
        </w:tc>
      </w:tr>
      <w:tr w:rsidR="00153D51" w14:paraId="5CF96637" w14:textId="77777777">
        <w:trPr>
          <w:jc w:val="center"/>
        </w:trPr>
        <w:tc>
          <w:tcPr>
            <w:tcW w:w="1671" w:type="dxa"/>
            <w:tcBorders>
              <w:top w:val="single" w:sz="4" w:space="0" w:color="auto"/>
            </w:tcBorders>
          </w:tcPr>
          <w:p w14:paraId="775121F3" w14:textId="77777777" w:rsidR="00153D51" w:rsidRDefault="00BD29D9">
            <w:pPr>
              <w:rPr>
                <w:rFonts w:ascii="Arial" w:hAnsi="Arial" w:cs="Arial"/>
              </w:rPr>
            </w:pPr>
            <w:bookmarkStart w:id="0" w:name="_Hlk197363988"/>
            <w:r>
              <w:rPr>
                <w:rFonts w:ascii="Arial" w:hAnsi="Arial" w:cs="Arial"/>
              </w:rPr>
              <w:t>9 - 10</w:t>
            </w:r>
          </w:p>
        </w:tc>
        <w:tc>
          <w:tcPr>
            <w:tcW w:w="827" w:type="dxa"/>
            <w:tcBorders>
              <w:top w:val="single" w:sz="4" w:space="0" w:color="auto"/>
            </w:tcBorders>
          </w:tcPr>
          <w:p w14:paraId="7E904C21" w14:textId="77777777" w:rsidR="00153D51" w:rsidRDefault="00BD29D9">
            <w:pPr>
              <w:rPr>
                <w:rFonts w:ascii="Arial" w:hAnsi="Arial" w:cs="Arial"/>
              </w:rPr>
            </w:pPr>
            <w:r>
              <w:rPr>
                <w:rFonts w:ascii="Arial" w:hAnsi="Arial" w:cs="Arial"/>
              </w:rPr>
              <w:t>0</w:t>
            </w:r>
          </w:p>
        </w:tc>
        <w:tc>
          <w:tcPr>
            <w:tcW w:w="1125" w:type="dxa"/>
            <w:tcBorders>
              <w:top w:val="single" w:sz="4" w:space="0" w:color="auto"/>
            </w:tcBorders>
          </w:tcPr>
          <w:p w14:paraId="00C57AB7" w14:textId="77777777" w:rsidR="00153D51" w:rsidRDefault="00BD29D9">
            <w:pPr>
              <w:rPr>
                <w:rFonts w:ascii="Arial" w:hAnsi="Arial" w:cs="Arial"/>
              </w:rPr>
            </w:pPr>
            <w:r>
              <w:rPr>
                <w:rFonts w:ascii="Arial" w:hAnsi="Arial" w:cs="Arial"/>
              </w:rPr>
              <w:t>0%</w:t>
            </w:r>
          </w:p>
        </w:tc>
        <w:tc>
          <w:tcPr>
            <w:tcW w:w="1219" w:type="dxa"/>
            <w:tcBorders>
              <w:top w:val="single" w:sz="4" w:space="0" w:color="auto"/>
            </w:tcBorders>
          </w:tcPr>
          <w:p w14:paraId="3301612C" w14:textId="77777777" w:rsidR="00153D51" w:rsidRDefault="00153D51">
            <w:pPr>
              <w:rPr>
                <w:rFonts w:ascii="Arial" w:hAnsi="Arial" w:cs="Arial"/>
              </w:rPr>
            </w:pPr>
          </w:p>
        </w:tc>
        <w:tc>
          <w:tcPr>
            <w:tcW w:w="765" w:type="dxa"/>
            <w:tcBorders>
              <w:top w:val="single" w:sz="4" w:space="0" w:color="auto"/>
            </w:tcBorders>
          </w:tcPr>
          <w:p w14:paraId="56F9B2A5" w14:textId="77777777" w:rsidR="00153D51" w:rsidRDefault="00BD29D9">
            <w:pPr>
              <w:rPr>
                <w:rFonts w:ascii="Arial" w:hAnsi="Arial" w:cs="Arial"/>
              </w:rPr>
            </w:pPr>
            <w:r>
              <w:rPr>
                <w:rFonts w:ascii="Arial" w:hAnsi="Arial" w:cs="Arial"/>
              </w:rPr>
              <w:t>2</w:t>
            </w:r>
          </w:p>
        </w:tc>
        <w:tc>
          <w:tcPr>
            <w:tcW w:w="1266" w:type="dxa"/>
            <w:tcBorders>
              <w:top w:val="single" w:sz="4" w:space="0" w:color="auto"/>
            </w:tcBorders>
          </w:tcPr>
          <w:p w14:paraId="44474B3B" w14:textId="77777777" w:rsidR="00153D51" w:rsidRDefault="00BD29D9">
            <w:pPr>
              <w:rPr>
                <w:rFonts w:ascii="Arial" w:hAnsi="Arial" w:cs="Arial"/>
              </w:rPr>
            </w:pPr>
            <w:r>
              <w:rPr>
                <w:rFonts w:ascii="Arial" w:hAnsi="Arial" w:cs="Arial"/>
              </w:rPr>
              <w:t>13.33%</w:t>
            </w:r>
          </w:p>
        </w:tc>
        <w:tc>
          <w:tcPr>
            <w:tcW w:w="1551" w:type="dxa"/>
            <w:tcBorders>
              <w:top w:val="single" w:sz="4" w:space="0" w:color="auto"/>
            </w:tcBorders>
          </w:tcPr>
          <w:p w14:paraId="7E1DEC26" w14:textId="77777777" w:rsidR="00153D51" w:rsidRDefault="00BD29D9">
            <w:pPr>
              <w:rPr>
                <w:rFonts w:ascii="Arial" w:hAnsi="Arial" w:cs="Arial"/>
              </w:rPr>
            </w:pPr>
            <w:r>
              <w:rPr>
                <w:rFonts w:ascii="Arial" w:hAnsi="Arial" w:cs="Arial"/>
              </w:rPr>
              <w:t>Excellent</w:t>
            </w:r>
          </w:p>
        </w:tc>
      </w:tr>
      <w:tr w:rsidR="00153D51" w14:paraId="3DBF013F" w14:textId="77777777">
        <w:trPr>
          <w:jc w:val="center"/>
        </w:trPr>
        <w:tc>
          <w:tcPr>
            <w:tcW w:w="1671" w:type="dxa"/>
          </w:tcPr>
          <w:p w14:paraId="66D321EC" w14:textId="77777777" w:rsidR="00153D51" w:rsidRDefault="00BD29D9">
            <w:pPr>
              <w:rPr>
                <w:rFonts w:ascii="Arial" w:hAnsi="Arial" w:cs="Arial"/>
              </w:rPr>
            </w:pPr>
            <w:r>
              <w:rPr>
                <w:rFonts w:ascii="Arial" w:hAnsi="Arial" w:cs="Arial"/>
              </w:rPr>
              <w:t>5 - 6</w:t>
            </w:r>
          </w:p>
        </w:tc>
        <w:tc>
          <w:tcPr>
            <w:tcW w:w="827" w:type="dxa"/>
          </w:tcPr>
          <w:p w14:paraId="4CC941AF" w14:textId="77777777" w:rsidR="00153D51" w:rsidRDefault="00BD29D9">
            <w:pPr>
              <w:rPr>
                <w:rFonts w:ascii="Arial" w:hAnsi="Arial" w:cs="Arial"/>
              </w:rPr>
            </w:pPr>
            <w:r>
              <w:rPr>
                <w:rFonts w:ascii="Arial" w:hAnsi="Arial" w:cs="Arial"/>
              </w:rPr>
              <w:t>4</w:t>
            </w:r>
          </w:p>
        </w:tc>
        <w:tc>
          <w:tcPr>
            <w:tcW w:w="1125" w:type="dxa"/>
          </w:tcPr>
          <w:p w14:paraId="5FE9C671" w14:textId="77777777" w:rsidR="00153D51" w:rsidRDefault="00BD29D9">
            <w:pPr>
              <w:rPr>
                <w:rFonts w:ascii="Arial" w:hAnsi="Arial" w:cs="Arial"/>
              </w:rPr>
            </w:pPr>
            <w:r>
              <w:rPr>
                <w:rFonts w:ascii="Arial" w:hAnsi="Arial" w:cs="Arial"/>
              </w:rPr>
              <w:t>26.67%</w:t>
            </w:r>
          </w:p>
        </w:tc>
        <w:tc>
          <w:tcPr>
            <w:tcW w:w="1219" w:type="dxa"/>
          </w:tcPr>
          <w:p w14:paraId="266EBE29" w14:textId="77777777" w:rsidR="00153D51" w:rsidRDefault="00BD29D9">
            <w:pPr>
              <w:rPr>
                <w:rFonts w:ascii="Arial" w:hAnsi="Arial" w:cs="Arial"/>
              </w:rPr>
            </w:pPr>
            <w:r>
              <w:rPr>
                <w:rFonts w:ascii="Arial" w:hAnsi="Arial" w:cs="Arial"/>
              </w:rPr>
              <w:t>Good</w:t>
            </w:r>
          </w:p>
        </w:tc>
        <w:tc>
          <w:tcPr>
            <w:tcW w:w="765" w:type="dxa"/>
          </w:tcPr>
          <w:p w14:paraId="0181EDF6" w14:textId="77777777" w:rsidR="00153D51" w:rsidRDefault="00BD29D9">
            <w:pPr>
              <w:rPr>
                <w:rFonts w:ascii="Arial" w:hAnsi="Arial" w:cs="Arial"/>
              </w:rPr>
            </w:pPr>
            <w:r>
              <w:rPr>
                <w:rFonts w:ascii="Arial" w:hAnsi="Arial" w:cs="Arial"/>
              </w:rPr>
              <w:t>1</w:t>
            </w:r>
          </w:p>
        </w:tc>
        <w:tc>
          <w:tcPr>
            <w:tcW w:w="1266" w:type="dxa"/>
          </w:tcPr>
          <w:p w14:paraId="70929948" w14:textId="77777777" w:rsidR="00153D51" w:rsidRDefault="00BD29D9">
            <w:pPr>
              <w:rPr>
                <w:rFonts w:ascii="Arial" w:hAnsi="Arial" w:cs="Arial"/>
              </w:rPr>
            </w:pPr>
            <w:r>
              <w:rPr>
                <w:rFonts w:ascii="Arial" w:hAnsi="Arial" w:cs="Arial"/>
              </w:rPr>
              <w:t>6.67%</w:t>
            </w:r>
          </w:p>
        </w:tc>
        <w:tc>
          <w:tcPr>
            <w:tcW w:w="1551" w:type="dxa"/>
          </w:tcPr>
          <w:p w14:paraId="430F51B9" w14:textId="77777777" w:rsidR="00153D51" w:rsidRDefault="00BD29D9">
            <w:pPr>
              <w:rPr>
                <w:rFonts w:ascii="Arial" w:hAnsi="Arial" w:cs="Arial"/>
              </w:rPr>
            </w:pPr>
            <w:r>
              <w:rPr>
                <w:rFonts w:ascii="Arial" w:hAnsi="Arial" w:cs="Arial"/>
              </w:rPr>
              <w:t>Good</w:t>
            </w:r>
          </w:p>
        </w:tc>
      </w:tr>
      <w:tr w:rsidR="00153D51" w14:paraId="45BB1C85" w14:textId="77777777">
        <w:trPr>
          <w:jc w:val="center"/>
        </w:trPr>
        <w:tc>
          <w:tcPr>
            <w:tcW w:w="1671" w:type="dxa"/>
          </w:tcPr>
          <w:p w14:paraId="639F9BF6" w14:textId="77777777" w:rsidR="00153D51" w:rsidRDefault="00BD29D9">
            <w:pPr>
              <w:rPr>
                <w:rFonts w:ascii="Arial" w:hAnsi="Arial" w:cs="Arial"/>
              </w:rPr>
            </w:pPr>
            <w:r>
              <w:rPr>
                <w:rFonts w:ascii="Arial" w:hAnsi="Arial" w:cs="Arial"/>
              </w:rPr>
              <w:t>3 - 4</w:t>
            </w:r>
          </w:p>
        </w:tc>
        <w:tc>
          <w:tcPr>
            <w:tcW w:w="827" w:type="dxa"/>
          </w:tcPr>
          <w:p w14:paraId="7D2F108B" w14:textId="77777777" w:rsidR="00153D51" w:rsidRDefault="00BD29D9">
            <w:pPr>
              <w:rPr>
                <w:rFonts w:ascii="Arial" w:hAnsi="Arial" w:cs="Arial"/>
              </w:rPr>
            </w:pPr>
            <w:r>
              <w:rPr>
                <w:rFonts w:ascii="Arial" w:hAnsi="Arial" w:cs="Arial"/>
              </w:rPr>
              <w:t>9</w:t>
            </w:r>
          </w:p>
        </w:tc>
        <w:tc>
          <w:tcPr>
            <w:tcW w:w="1125" w:type="dxa"/>
          </w:tcPr>
          <w:p w14:paraId="119A9F15" w14:textId="77777777" w:rsidR="00153D51" w:rsidRDefault="00BD29D9">
            <w:pPr>
              <w:rPr>
                <w:rFonts w:ascii="Arial" w:hAnsi="Arial" w:cs="Arial"/>
              </w:rPr>
            </w:pPr>
            <w:r>
              <w:rPr>
                <w:rFonts w:ascii="Arial" w:hAnsi="Arial" w:cs="Arial"/>
              </w:rPr>
              <w:t>60.00%</w:t>
            </w:r>
          </w:p>
        </w:tc>
        <w:tc>
          <w:tcPr>
            <w:tcW w:w="1219" w:type="dxa"/>
          </w:tcPr>
          <w:p w14:paraId="73D5A265" w14:textId="77777777" w:rsidR="00153D51" w:rsidRDefault="00BD29D9">
            <w:pPr>
              <w:rPr>
                <w:rFonts w:ascii="Arial" w:hAnsi="Arial" w:cs="Arial"/>
              </w:rPr>
            </w:pPr>
            <w:r>
              <w:rPr>
                <w:rFonts w:ascii="Arial" w:hAnsi="Arial" w:cs="Arial"/>
              </w:rPr>
              <w:t>Fair</w:t>
            </w:r>
          </w:p>
        </w:tc>
        <w:tc>
          <w:tcPr>
            <w:tcW w:w="765" w:type="dxa"/>
          </w:tcPr>
          <w:p w14:paraId="65C3FE9D" w14:textId="77777777" w:rsidR="00153D51" w:rsidRDefault="00BD29D9">
            <w:pPr>
              <w:rPr>
                <w:rFonts w:ascii="Arial" w:hAnsi="Arial" w:cs="Arial"/>
              </w:rPr>
            </w:pPr>
            <w:r>
              <w:rPr>
                <w:rFonts w:ascii="Arial" w:hAnsi="Arial" w:cs="Arial"/>
              </w:rPr>
              <w:t>9</w:t>
            </w:r>
          </w:p>
        </w:tc>
        <w:tc>
          <w:tcPr>
            <w:tcW w:w="1266" w:type="dxa"/>
          </w:tcPr>
          <w:p w14:paraId="2B0BCC0A" w14:textId="77777777" w:rsidR="00153D51" w:rsidRDefault="00BD29D9">
            <w:pPr>
              <w:rPr>
                <w:rFonts w:ascii="Arial" w:hAnsi="Arial" w:cs="Arial"/>
              </w:rPr>
            </w:pPr>
            <w:r>
              <w:rPr>
                <w:rFonts w:ascii="Arial" w:hAnsi="Arial" w:cs="Arial"/>
              </w:rPr>
              <w:t>60.00%</w:t>
            </w:r>
          </w:p>
        </w:tc>
        <w:tc>
          <w:tcPr>
            <w:tcW w:w="1551" w:type="dxa"/>
          </w:tcPr>
          <w:p w14:paraId="7E9F70E6" w14:textId="77777777" w:rsidR="00153D51" w:rsidRDefault="00BD29D9">
            <w:pPr>
              <w:rPr>
                <w:rFonts w:ascii="Arial" w:hAnsi="Arial" w:cs="Arial"/>
              </w:rPr>
            </w:pPr>
            <w:r>
              <w:rPr>
                <w:rFonts w:ascii="Arial" w:hAnsi="Arial" w:cs="Arial"/>
              </w:rPr>
              <w:t>Fair</w:t>
            </w:r>
          </w:p>
        </w:tc>
      </w:tr>
      <w:tr w:rsidR="00153D51" w14:paraId="075D7CC2" w14:textId="77777777">
        <w:trPr>
          <w:jc w:val="center"/>
        </w:trPr>
        <w:tc>
          <w:tcPr>
            <w:tcW w:w="1671" w:type="dxa"/>
            <w:tcBorders>
              <w:bottom w:val="single" w:sz="4" w:space="0" w:color="auto"/>
            </w:tcBorders>
          </w:tcPr>
          <w:p w14:paraId="3641E2A0" w14:textId="77777777" w:rsidR="00153D51" w:rsidRDefault="00BD29D9">
            <w:pPr>
              <w:rPr>
                <w:rFonts w:ascii="Arial" w:hAnsi="Arial" w:cs="Arial"/>
              </w:rPr>
            </w:pPr>
            <w:r>
              <w:rPr>
                <w:rFonts w:ascii="Arial" w:hAnsi="Arial" w:cs="Arial"/>
              </w:rPr>
              <w:t>1 - 2</w:t>
            </w:r>
          </w:p>
        </w:tc>
        <w:tc>
          <w:tcPr>
            <w:tcW w:w="827" w:type="dxa"/>
            <w:tcBorders>
              <w:bottom w:val="single" w:sz="4" w:space="0" w:color="auto"/>
            </w:tcBorders>
          </w:tcPr>
          <w:p w14:paraId="189FD278" w14:textId="77777777" w:rsidR="00153D51" w:rsidRDefault="00BD29D9">
            <w:pPr>
              <w:rPr>
                <w:rFonts w:ascii="Arial" w:hAnsi="Arial" w:cs="Arial"/>
              </w:rPr>
            </w:pPr>
            <w:r>
              <w:rPr>
                <w:rFonts w:ascii="Arial" w:hAnsi="Arial" w:cs="Arial"/>
              </w:rPr>
              <w:t>2</w:t>
            </w:r>
          </w:p>
        </w:tc>
        <w:tc>
          <w:tcPr>
            <w:tcW w:w="1125" w:type="dxa"/>
            <w:tcBorders>
              <w:bottom w:val="single" w:sz="4" w:space="0" w:color="auto"/>
            </w:tcBorders>
          </w:tcPr>
          <w:p w14:paraId="4659FDDD" w14:textId="77777777" w:rsidR="00153D51" w:rsidRDefault="00BD29D9">
            <w:pPr>
              <w:rPr>
                <w:rFonts w:ascii="Arial" w:hAnsi="Arial" w:cs="Arial"/>
              </w:rPr>
            </w:pPr>
            <w:r>
              <w:rPr>
                <w:rFonts w:ascii="Arial" w:hAnsi="Arial" w:cs="Arial"/>
              </w:rPr>
              <w:t>13.33%</w:t>
            </w:r>
          </w:p>
        </w:tc>
        <w:tc>
          <w:tcPr>
            <w:tcW w:w="1219" w:type="dxa"/>
            <w:tcBorders>
              <w:bottom w:val="single" w:sz="4" w:space="0" w:color="auto"/>
            </w:tcBorders>
          </w:tcPr>
          <w:p w14:paraId="056CF0F0" w14:textId="77777777" w:rsidR="00153D51" w:rsidRDefault="00BD29D9">
            <w:pPr>
              <w:rPr>
                <w:rFonts w:ascii="Arial" w:hAnsi="Arial" w:cs="Arial"/>
              </w:rPr>
            </w:pPr>
            <w:r>
              <w:rPr>
                <w:rFonts w:ascii="Arial" w:hAnsi="Arial" w:cs="Arial"/>
              </w:rPr>
              <w:t>Poor</w:t>
            </w:r>
          </w:p>
        </w:tc>
        <w:tc>
          <w:tcPr>
            <w:tcW w:w="765" w:type="dxa"/>
            <w:tcBorders>
              <w:bottom w:val="single" w:sz="4" w:space="0" w:color="auto"/>
            </w:tcBorders>
          </w:tcPr>
          <w:p w14:paraId="3F63DF02" w14:textId="77777777" w:rsidR="00153D51" w:rsidRDefault="00BD29D9">
            <w:pPr>
              <w:rPr>
                <w:rFonts w:ascii="Arial" w:hAnsi="Arial" w:cs="Arial"/>
              </w:rPr>
            </w:pPr>
            <w:r>
              <w:rPr>
                <w:rFonts w:ascii="Arial" w:hAnsi="Arial" w:cs="Arial"/>
              </w:rPr>
              <w:t>3</w:t>
            </w:r>
          </w:p>
        </w:tc>
        <w:tc>
          <w:tcPr>
            <w:tcW w:w="1266" w:type="dxa"/>
            <w:tcBorders>
              <w:bottom w:val="single" w:sz="4" w:space="0" w:color="auto"/>
            </w:tcBorders>
          </w:tcPr>
          <w:p w14:paraId="756F35ED" w14:textId="77777777" w:rsidR="00153D51" w:rsidRDefault="00BD29D9">
            <w:pPr>
              <w:rPr>
                <w:rFonts w:ascii="Arial" w:hAnsi="Arial" w:cs="Arial"/>
              </w:rPr>
            </w:pPr>
            <w:r>
              <w:rPr>
                <w:rFonts w:ascii="Arial" w:hAnsi="Arial" w:cs="Arial"/>
              </w:rPr>
              <w:t>20.00%</w:t>
            </w:r>
          </w:p>
        </w:tc>
        <w:tc>
          <w:tcPr>
            <w:tcW w:w="1551" w:type="dxa"/>
            <w:tcBorders>
              <w:bottom w:val="single" w:sz="4" w:space="0" w:color="auto"/>
            </w:tcBorders>
          </w:tcPr>
          <w:p w14:paraId="4674BC02" w14:textId="77777777" w:rsidR="00153D51" w:rsidRDefault="00BD29D9">
            <w:pPr>
              <w:rPr>
                <w:rFonts w:ascii="Arial" w:hAnsi="Arial" w:cs="Arial"/>
              </w:rPr>
            </w:pPr>
            <w:r>
              <w:rPr>
                <w:rFonts w:ascii="Arial" w:hAnsi="Arial" w:cs="Arial"/>
              </w:rPr>
              <w:t>Poor</w:t>
            </w:r>
          </w:p>
        </w:tc>
      </w:tr>
      <w:bookmarkEnd w:id="0"/>
      <w:tr w:rsidR="00153D51" w14:paraId="280EFF04" w14:textId="77777777">
        <w:trPr>
          <w:jc w:val="center"/>
        </w:trPr>
        <w:tc>
          <w:tcPr>
            <w:tcW w:w="1671" w:type="dxa"/>
            <w:tcBorders>
              <w:top w:val="single" w:sz="4" w:space="0" w:color="auto"/>
              <w:bottom w:val="single" w:sz="4" w:space="0" w:color="auto"/>
            </w:tcBorders>
          </w:tcPr>
          <w:p w14:paraId="2887E4C3" w14:textId="77777777" w:rsidR="00153D51" w:rsidRDefault="00BD29D9">
            <w:pPr>
              <w:rPr>
                <w:rFonts w:ascii="Arial" w:hAnsi="Arial" w:cs="Arial"/>
              </w:rPr>
            </w:pPr>
            <w:r>
              <w:rPr>
                <w:rFonts w:ascii="Arial" w:hAnsi="Arial" w:cs="Arial"/>
              </w:rPr>
              <w:t>Total</w:t>
            </w:r>
          </w:p>
        </w:tc>
        <w:tc>
          <w:tcPr>
            <w:tcW w:w="827" w:type="dxa"/>
            <w:tcBorders>
              <w:top w:val="single" w:sz="4" w:space="0" w:color="auto"/>
              <w:bottom w:val="single" w:sz="4" w:space="0" w:color="auto"/>
            </w:tcBorders>
          </w:tcPr>
          <w:p w14:paraId="005FCEDB" w14:textId="77777777" w:rsidR="00153D51" w:rsidRDefault="00BD29D9">
            <w:pPr>
              <w:rPr>
                <w:rFonts w:ascii="Arial" w:hAnsi="Arial" w:cs="Arial"/>
                <w:b/>
                <w:bCs/>
              </w:rPr>
            </w:pPr>
            <w:r>
              <w:rPr>
                <w:rFonts w:ascii="Arial" w:hAnsi="Arial" w:cs="Arial"/>
                <w:b/>
                <w:bCs/>
              </w:rPr>
              <w:t>15</w:t>
            </w:r>
          </w:p>
        </w:tc>
        <w:tc>
          <w:tcPr>
            <w:tcW w:w="1125" w:type="dxa"/>
            <w:tcBorders>
              <w:top w:val="single" w:sz="4" w:space="0" w:color="auto"/>
              <w:bottom w:val="single" w:sz="4" w:space="0" w:color="auto"/>
            </w:tcBorders>
          </w:tcPr>
          <w:p w14:paraId="768F5C01" w14:textId="77777777" w:rsidR="00153D51" w:rsidRDefault="00BD29D9">
            <w:pPr>
              <w:rPr>
                <w:rFonts w:ascii="Arial" w:hAnsi="Arial" w:cs="Arial"/>
                <w:b/>
                <w:bCs/>
              </w:rPr>
            </w:pPr>
            <w:r>
              <w:rPr>
                <w:rFonts w:ascii="Arial" w:hAnsi="Arial" w:cs="Arial"/>
                <w:b/>
                <w:bCs/>
              </w:rPr>
              <w:t>100.00%</w:t>
            </w:r>
          </w:p>
        </w:tc>
        <w:tc>
          <w:tcPr>
            <w:tcW w:w="1219" w:type="dxa"/>
            <w:tcBorders>
              <w:top w:val="single" w:sz="4" w:space="0" w:color="auto"/>
              <w:bottom w:val="single" w:sz="4" w:space="0" w:color="auto"/>
            </w:tcBorders>
          </w:tcPr>
          <w:p w14:paraId="74C99842" w14:textId="77777777" w:rsidR="00153D51" w:rsidRDefault="00153D51">
            <w:pPr>
              <w:rPr>
                <w:rFonts w:ascii="Arial" w:hAnsi="Arial" w:cs="Arial"/>
                <w:b/>
                <w:bCs/>
              </w:rPr>
            </w:pPr>
          </w:p>
        </w:tc>
        <w:tc>
          <w:tcPr>
            <w:tcW w:w="765" w:type="dxa"/>
            <w:tcBorders>
              <w:top w:val="single" w:sz="4" w:space="0" w:color="auto"/>
              <w:bottom w:val="single" w:sz="4" w:space="0" w:color="auto"/>
            </w:tcBorders>
          </w:tcPr>
          <w:p w14:paraId="74E31AFA" w14:textId="77777777" w:rsidR="00153D51" w:rsidRDefault="00BD29D9">
            <w:pPr>
              <w:rPr>
                <w:rFonts w:ascii="Arial" w:hAnsi="Arial" w:cs="Arial"/>
                <w:b/>
                <w:bCs/>
              </w:rPr>
            </w:pPr>
            <w:r>
              <w:rPr>
                <w:rFonts w:ascii="Arial" w:hAnsi="Arial" w:cs="Arial"/>
                <w:b/>
                <w:bCs/>
              </w:rPr>
              <w:t>15</w:t>
            </w:r>
          </w:p>
        </w:tc>
        <w:tc>
          <w:tcPr>
            <w:tcW w:w="1266" w:type="dxa"/>
            <w:tcBorders>
              <w:top w:val="single" w:sz="4" w:space="0" w:color="auto"/>
              <w:bottom w:val="single" w:sz="4" w:space="0" w:color="auto"/>
            </w:tcBorders>
          </w:tcPr>
          <w:p w14:paraId="478EE487" w14:textId="77777777" w:rsidR="00153D51" w:rsidRDefault="00BD29D9">
            <w:pPr>
              <w:rPr>
                <w:rFonts w:ascii="Arial" w:hAnsi="Arial" w:cs="Arial"/>
                <w:b/>
                <w:bCs/>
              </w:rPr>
            </w:pPr>
            <w:r>
              <w:rPr>
                <w:rFonts w:ascii="Arial" w:hAnsi="Arial" w:cs="Arial"/>
                <w:b/>
                <w:bCs/>
              </w:rPr>
              <w:t>100.00%</w:t>
            </w:r>
          </w:p>
        </w:tc>
        <w:tc>
          <w:tcPr>
            <w:tcW w:w="1551" w:type="dxa"/>
            <w:tcBorders>
              <w:top w:val="single" w:sz="4" w:space="0" w:color="auto"/>
              <w:bottom w:val="single" w:sz="4" w:space="0" w:color="auto"/>
            </w:tcBorders>
          </w:tcPr>
          <w:p w14:paraId="4FE1E4AF" w14:textId="77777777" w:rsidR="00153D51" w:rsidRDefault="00153D51">
            <w:pPr>
              <w:rPr>
                <w:rFonts w:ascii="Arial" w:hAnsi="Arial" w:cs="Arial"/>
                <w:b/>
                <w:bCs/>
              </w:rPr>
            </w:pPr>
          </w:p>
        </w:tc>
      </w:tr>
      <w:tr w:rsidR="00153D51" w14:paraId="76D48067" w14:textId="77777777">
        <w:trPr>
          <w:jc w:val="center"/>
        </w:trPr>
        <w:tc>
          <w:tcPr>
            <w:tcW w:w="1671" w:type="dxa"/>
            <w:tcBorders>
              <w:top w:val="single" w:sz="4" w:space="0" w:color="auto"/>
              <w:bottom w:val="single" w:sz="4" w:space="0" w:color="auto"/>
            </w:tcBorders>
          </w:tcPr>
          <w:p w14:paraId="625A1671" w14:textId="77777777" w:rsidR="00153D51" w:rsidRDefault="00BD29D9">
            <w:pPr>
              <w:rPr>
                <w:rFonts w:ascii="Arial" w:hAnsi="Arial" w:cs="Arial"/>
              </w:rPr>
            </w:pPr>
            <w:r>
              <w:rPr>
                <w:rFonts w:ascii="Arial" w:hAnsi="Arial" w:cs="Arial"/>
              </w:rPr>
              <w:t>Mean</w:t>
            </w:r>
          </w:p>
        </w:tc>
        <w:tc>
          <w:tcPr>
            <w:tcW w:w="827" w:type="dxa"/>
            <w:tcBorders>
              <w:top w:val="single" w:sz="4" w:space="0" w:color="auto"/>
              <w:bottom w:val="single" w:sz="4" w:space="0" w:color="auto"/>
            </w:tcBorders>
          </w:tcPr>
          <w:p w14:paraId="351BCCA9" w14:textId="77777777" w:rsidR="00153D51" w:rsidRDefault="00BD29D9">
            <w:pPr>
              <w:rPr>
                <w:rFonts w:ascii="Arial" w:hAnsi="Arial" w:cs="Arial"/>
                <w:b/>
                <w:bCs/>
              </w:rPr>
            </w:pPr>
            <w:r>
              <w:rPr>
                <w:rFonts w:ascii="Arial" w:hAnsi="Arial" w:cs="Arial"/>
                <w:b/>
                <w:bCs/>
              </w:rPr>
              <w:t>3.80</w:t>
            </w:r>
          </w:p>
        </w:tc>
        <w:tc>
          <w:tcPr>
            <w:tcW w:w="1125" w:type="dxa"/>
            <w:tcBorders>
              <w:top w:val="single" w:sz="4" w:space="0" w:color="auto"/>
              <w:bottom w:val="single" w:sz="4" w:space="0" w:color="auto"/>
            </w:tcBorders>
          </w:tcPr>
          <w:p w14:paraId="0687408C" w14:textId="77777777" w:rsidR="00153D51" w:rsidRDefault="00153D51">
            <w:pPr>
              <w:rPr>
                <w:rFonts w:ascii="Arial" w:hAnsi="Arial" w:cs="Arial"/>
                <w:b/>
                <w:bCs/>
              </w:rPr>
            </w:pPr>
          </w:p>
        </w:tc>
        <w:tc>
          <w:tcPr>
            <w:tcW w:w="1219" w:type="dxa"/>
            <w:tcBorders>
              <w:top w:val="single" w:sz="4" w:space="0" w:color="auto"/>
              <w:bottom w:val="single" w:sz="4" w:space="0" w:color="auto"/>
            </w:tcBorders>
          </w:tcPr>
          <w:p w14:paraId="0DC3E379" w14:textId="77777777" w:rsidR="00153D51" w:rsidRDefault="00BD29D9">
            <w:pPr>
              <w:rPr>
                <w:rFonts w:ascii="Arial" w:hAnsi="Arial" w:cs="Arial"/>
                <w:b/>
                <w:bCs/>
              </w:rPr>
            </w:pPr>
            <w:r>
              <w:rPr>
                <w:rFonts w:ascii="Arial" w:hAnsi="Arial" w:cs="Arial"/>
                <w:b/>
                <w:bCs/>
              </w:rPr>
              <w:t xml:space="preserve">Mean </w:t>
            </w:r>
          </w:p>
        </w:tc>
        <w:tc>
          <w:tcPr>
            <w:tcW w:w="765" w:type="dxa"/>
            <w:tcBorders>
              <w:top w:val="single" w:sz="4" w:space="0" w:color="auto"/>
              <w:bottom w:val="single" w:sz="4" w:space="0" w:color="auto"/>
            </w:tcBorders>
          </w:tcPr>
          <w:p w14:paraId="2EFA5DAB" w14:textId="77777777" w:rsidR="00153D51" w:rsidRDefault="00BD29D9">
            <w:pPr>
              <w:rPr>
                <w:rFonts w:ascii="Arial" w:hAnsi="Arial" w:cs="Arial"/>
                <w:b/>
                <w:bCs/>
              </w:rPr>
            </w:pPr>
            <w:r>
              <w:rPr>
                <w:rFonts w:ascii="Arial" w:hAnsi="Arial" w:cs="Arial"/>
                <w:b/>
                <w:bCs/>
              </w:rPr>
              <w:t>4.14</w:t>
            </w:r>
          </w:p>
        </w:tc>
        <w:tc>
          <w:tcPr>
            <w:tcW w:w="1266" w:type="dxa"/>
            <w:tcBorders>
              <w:top w:val="single" w:sz="4" w:space="0" w:color="auto"/>
              <w:bottom w:val="single" w:sz="4" w:space="0" w:color="auto"/>
            </w:tcBorders>
          </w:tcPr>
          <w:p w14:paraId="55E83240" w14:textId="77777777" w:rsidR="00153D51" w:rsidRDefault="00153D51">
            <w:pPr>
              <w:rPr>
                <w:rFonts w:ascii="Arial" w:hAnsi="Arial" w:cs="Arial"/>
                <w:b/>
                <w:bCs/>
              </w:rPr>
            </w:pPr>
          </w:p>
        </w:tc>
        <w:tc>
          <w:tcPr>
            <w:tcW w:w="1551" w:type="dxa"/>
            <w:tcBorders>
              <w:top w:val="single" w:sz="4" w:space="0" w:color="auto"/>
              <w:bottom w:val="single" w:sz="4" w:space="0" w:color="auto"/>
            </w:tcBorders>
          </w:tcPr>
          <w:p w14:paraId="47DCA5E1" w14:textId="77777777" w:rsidR="00153D51" w:rsidRDefault="00153D51">
            <w:pPr>
              <w:rPr>
                <w:rFonts w:ascii="Arial" w:hAnsi="Arial" w:cs="Arial"/>
                <w:b/>
                <w:bCs/>
              </w:rPr>
            </w:pPr>
          </w:p>
        </w:tc>
      </w:tr>
    </w:tbl>
    <w:p w14:paraId="514EDD30" w14:textId="77777777" w:rsidR="00153D51" w:rsidRDefault="00153D51">
      <w:pPr>
        <w:jc w:val="both"/>
        <w:rPr>
          <w:rFonts w:ascii="Arial" w:hAnsi="Arial" w:cs="Arial"/>
          <w:sz w:val="22"/>
          <w:szCs w:val="22"/>
        </w:rPr>
      </w:pPr>
    </w:p>
    <w:p w14:paraId="59885852" w14:textId="77777777" w:rsidR="00153D51" w:rsidRDefault="00BD29D9">
      <w:pPr>
        <w:ind w:firstLine="720"/>
        <w:jc w:val="both"/>
        <w:rPr>
          <w:rFonts w:ascii="Arial" w:hAnsi="Arial" w:cs="Arial"/>
          <w:sz w:val="22"/>
          <w:szCs w:val="22"/>
        </w:rPr>
      </w:pPr>
      <w:r>
        <w:rPr>
          <w:rFonts w:ascii="Arial" w:hAnsi="Arial" w:cs="Arial"/>
          <w:sz w:val="22"/>
          <w:szCs w:val="22"/>
        </w:rPr>
        <w:t>Additionally, incorporating interactive strategies such as discussions and problem-solving exercises could further enhance student engagement (Chad et al., 2021). The development of strong problem-solving skills, particularly in areas like sequences, is vital for future math teachers (Notarte et al., 2024), and technology can play a role in this development. Factors such as students' attitudes and prior knowledge (Adoro et al., 2024) can also influence how effectively they learn through video tutorials and other technological resources.</w:t>
      </w:r>
    </w:p>
    <w:p w14:paraId="5EB1327B" w14:textId="77777777" w:rsidR="00153D51" w:rsidRDefault="00153D51">
      <w:pPr>
        <w:jc w:val="both"/>
        <w:rPr>
          <w:rFonts w:ascii="Arial" w:hAnsi="Arial" w:cs="Arial"/>
          <w:b/>
          <w:bCs/>
          <w:sz w:val="22"/>
          <w:szCs w:val="22"/>
        </w:rPr>
      </w:pPr>
    </w:p>
    <w:p w14:paraId="4EEA79B7" w14:textId="77777777" w:rsidR="00153D51" w:rsidRDefault="00BD29D9">
      <w:pPr>
        <w:jc w:val="both"/>
        <w:rPr>
          <w:rFonts w:ascii="Arial" w:hAnsi="Arial" w:cs="Arial"/>
          <w:b/>
          <w:bCs/>
          <w:sz w:val="22"/>
          <w:szCs w:val="22"/>
        </w:rPr>
      </w:pPr>
      <w:r>
        <w:rPr>
          <w:rFonts w:ascii="Arial" w:hAnsi="Arial" w:cs="Arial"/>
          <w:b/>
          <w:bCs/>
          <w:sz w:val="22"/>
          <w:szCs w:val="22"/>
        </w:rPr>
        <w:t>Test of Significant Difference of the Post-test Results Between the Controlled Group and Experimental Group</w:t>
      </w:r>
    </w:p>
    <w:p w14:paraId="144C43F0" w14:textId="77777777" w:rsidR="00153D51" w:rsidRDefault="00153D51">
      <w:pPr>
        <w:jc w:val="both"/>
        <w:rPr>
          <w:rFonts w:ascii="Arial" w:hAnsi="Arial" w:cs="Arial"/>
          <w:b/>
          <w:bCs/>
          <w:sz w:val="22"/>
          <w:szCs w:val="22"/>
        </w:rPr>
      </w:pPr>
    </w:p>
    <w:p w14:paraId="4CD71B97" w14:textId="77777777" w:rsidR="00153D51" w:rsidRDefault="00BD29D9">
      <w:pPr>
        <w:ind w:firstLine="720"/>
        <w:jc w:val="both"/>
        <w:rPr>
          <w:rFonts w:ascii="Arial" w:hAnsi="Arial" w:cs="Arial"/>
          <w:sz w:val="22"/>
          <w:szCs w:val="22"/>
        </w:rPr>
      </w:pPr>
      <w:r>
        <w:rPr>
          <w:rFonts w:ascii="Arial" w:hAnsi="Arial" w:cs="Arial"/>
          <w:sz w:val="22"/>
          <w:szCs w:val="22"/>
        </w:rPr>
        <w:t xml:space="preserve">Table 4 shows the significant difference between the post-test results of the controlled group and experimental group. The t-test results for the pre-test results of both controlled and experimental groups yielded a t-value of 0.546 and a p-value of 0.593 with a level of significance set at 0.05, the decision was made to fail to reject the null hypothesis. This indicates that there was no statistically significant difference between the post-test scores of the two groups, implying that both groups had a similar level of understanding about the Conversion of units after the intervention of YouTube video tutorials and the traditional instructional method. </w:t>
      </w:r>
    </w:p>
    <w:p w14:paraId="734A3BAE" w14:textId="77777777" w:rsidR="00153D51" w:rsidRDefault="00153D51">
      <w:pPr>
        <w:rPr>
          <w:rFonts w:ascii="Arial" w:hAnsi="Arial" w:cs="Arial"/>
          <w:b/>
          <w:bCs/>
          <w:sz w:val="22"/>
          <w:szCs w:val="22"/>
        </w:rPr>
      </w:pPr>
    </w:p>
    <w:p w14:paraId="01E07B86" w14:textId="77777777" w:rsidR="00153D51" w:rsidRDefault="00BD29D9">
      <w:pPr>
        <w:jc w:val="center"/>
        <w:rPr>
          <w:rFonts w:ascii="Arial" w:hAnsi="Arial" w:cs="Arial"/>
          <w:b/>
          <w:bCs/>
          <w:sz w:val="22"/>
          <w:szCs w:val="22"/>
        </w:rPr>
      </w:pPr>
      <w:r>
        <w:rPr>
          <w:rFonts w:ascii="Arial" w:hAnsi="Arial" w:cs="Arial"/>
          <w:b/>
          <w:bCs/>
          <w:sz w:val="22"/>
          <w:szCs w:val="22"/>
        </w:rPr>
        <w:t>Table 4</w:t>
      </w:r>
    </w:p>
    <w:p w14:paraId="1BEF7A28" w14:textId="77777777" w:rsidR="00153D51" w:rsidRDefault="00153D51">
      <w:pPr>
        <w:jc w:val="center"/>
        <w:rPr>
          <w:rFonts w:ascii="Arial" w:hAnsi="Arial" w:cs="Arial"/>
          <w:b/>
          <w:bCs/>
          <w:sz w:val="22"/>
          <w:szCs w:val="22"/>
        </w:rPr>
      </w:pPr>
    </w:p>
    <w:p w14:paraId="4D2E0608" w14:textId="77777777" w:rsidR="00153D51" w:rsidRDefault="00BD29D9">
      <w:pPr>
        <w:jc w:val="center"/>
        <w:rPr>
          <w:rFonts w:ascii="Arial" w:hAnsi="Arial" w:cs="Arial"/>
          <w:b/>
          <w:bCs/>
          <w:sz w:val="22"/>
          <w:szCs w:val="22"/>
        </w:rPr>
      </w:pPr>
      <w:r>
        <w:rPr>
          <w:rFonts w:ascii="Arial" w:hAnsi="Arial" w:cs="Arial"/>
          <w:b/>
          <w:bCs/>
          <w:sz w:val="22"/>
          <w:szCs w:val="22"/>
        </w:rPr>
        <w:t>Test of Significant Difference of the Post-test Results Between the Controlled Group and Experimental Group</w:t>
      </w:r>
    </w:p>
    <w:p w14:paraId="79AA45E8" w14:textId="77777777" w:rsidR="00153D51" w:rsidRDefault="00153D51">
      <w:pPr>
        <w:jc w:val="center"/>
        <w:rPr>
          <w:rFonts w:ascii="Arial" w:hAnsi="Arial" w:cs="Arial"/>
          <w:b/>
          <w:bCs/>
          <w:sz w:val="22"/>
          <w:szCs w:val="22"/>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51"/>
        <w:gridCol w:w="1796"/>
        <w:gridCol w:w="1830"/>
        <w:gridCol w:w="2233"/>
      </w:tblGrid>
      <w:tr w:rsidR="00153D51" w14:paraId="16BBDD2B" w14:textId="77777777">
        <w:trPr>
          <w:jc w:val="center"/>
        </w:trPr>
        <w:tc>
          <w:tcPr>
            <w:tcW w:w="1751" w:type="dxa"/>
            <w:tcBorders>
              <w:top w:val="single" w:sz="4" w:space="0" w:color="auto"/>
              <w:bottom w:val="single" w:sz="4" w:space="0" w:color="auto"/>
            </w:tcBorders>
          </w:tcPr>
          <w:p w14:paraId="1448CFCB" w14:textId="77777777" w:rsidR="00153D51" w:rsidRDefault="00BD29D9">
            <w:pPr>
              <w:rPr>
                <w:rFonts w:ascii="Arial" w:hAnsi="Arial" w:cs="Arial"/>
                <w:b/>
                <w:bCs/>
              </w:rPr>
            </w:pPr>
            <w:r>
              <w:rPr>
                <w:rFonts w:ascii="Arial" w:hAnsi="Arial" w:cs="Arial"/>
                <w:b/>
                <w:bCs/>
              </w:rPr>
              <w:t>t</w:t>
            </w:r>
          </w:p>
        </w:tc>
        <w:tc>
          <w:tcPr>
            <w:tcW w:w="1796" w:type="dxa"/>
            <w:tcBorders>
              <w:top w:val="single" w:sz="4" w:space="0" w:color="auto"/>
              <w:bottom w:val="single" w:sz="4" w:space="0" w:color="auto"/>
            </w:tcBorders>
          </w:tcPr>
          <w:p w14:paraId="4858519F" w14:textId="77777777" w:rsidR="00153D51" w:rsidRDefault="00BD29D9">
            <w:pPr>
              <w:rPr>
                <w:rFonts w:ascii="Arial" w:hAnsi="Arial" w:cs="Arial"/>
                <w:b/>
                <w:bCs/>
              </w:rPr>
            </w:pPr>
            <w:r>
              <w:rPr>
                <w:rFonts w:ascii="Arial" w:hAnsi="Arial" w:cs="Arial"/>
                <w:b/>
                <w:bCs/>
              </w:rPr>
              <w:t>P-value</w:t>
            </w:r>
          </w:p>
        </w:tc>
        <w:tc>
          <w:tcPr>
            <w:tcW w:w="1830" w:type="dxa"/>
            <w:tcBorders>
              <w:top w:val="single" w:sz="4" w:space="0" w:color="auto"/>
              <w:bottom w:val="single" w:sz="4" w:space="0" w:color="auto"/>
            </w:tcBorders>
          </w:tcPr>
          <w:p w14:paraId="7F402769" w14:textId="77777777" w:rsidR="00153D51" w:rsidRDefault="00BD29D9">
            <w:pPr>
              <w:rPr>
                <w:rFonts w:ascii="Arial" w:hAnsi="Arial" w:cs="Arial"/>
                <w:b/>
                <w:bCs/>
              </w:rPr>
            </w:pPr>
            <w:r>
              <w:rPr>
                <w:rFonts w:ascii="Arial" w:hAnsi="Arial" w:cs="Arial"/>
                <w:b/>
                <w:bCs/>
              </w:rPr>
              <w:t>Decision</w:t>
            </w:r>
          </w:p>
        </w:tc>
        <w:tc>
          <w:tcPr>
            <w:tcW w:w="2233" w:type="dxa"/>
            <w:tcBorders>
              <w:top w:val="single" w:sz="4" w:space="0" w:color="auto"/>
              <w:bottom w:val="single" w:sz="4" w:space="0" w:color="auto"/>
            </w:tcBorders>
          </w:tcPr>
          <w:p w14:paraId="5B34E180" w14:textId="77777777" w:rsidR="00153D51" w:rsidRDefault="00BD29D9">
            <w:pPr>
              <w:rPr>
                <w:rFonts w:ascii="Arial" w:hAnsi="Arial" w:cs="Arial"/>
                <w:b/>
                <w:bCs/>
              </w:rPr>
            </w:pPr>
            <w:r>
              <w:rPr>
                <w:rFonts w:ascii="Arial" w:hAnsi="Arial" w:cs="Arial"/>
                <w:b/>
                <w:bCs/>
              </w:rPr>
              <w:t>Interpretation</w:t>
            </w:r>
          </w:p>
        </w:tc>
      </w:tr>
      <w:tr w:rsidR="00153D51" w14:paraId="7546A6CB" w14:textId="77777777">
        <w:trPr>
          <w:jc w:val="center"/>
        </w:trPr>
        <w:tc>
          <w:tcPr>
            <w:tcW w:w="1751" w:type="dxa"/>
            <w:tcBorders>
              <w:top w:val="single" w:sz="4" w:space="0" w:color="auto"/>
            </w:tcBorders>
          </w:tcPr>
          <w:p w14:paraId="40208327" w14:textId="77777777" w:rsidR="00153D51" w:rsidRDefault="00BD29D9">
            <w:pPr>
              <w:rPr>
                <w:rFonts w:ascii="Arial" w:hAnsi="Arial" w:cs="Arial"/>
              </w:rPr>
            </w:pPr>
            <w:r>
              <w:rPr>
                <w:rFonts w:ascii="Arial" w:hAnsi="Arial" w:cs="Arial"/>
              </w:rPr>
              <w:t>0.546</w:t>
            </w:r>
          </w:p>
        </w:tc>
        <w:tc>
          <w:tcPr>
            <w:tcW w:w="1796" w:type="dxa"/>
            <w:tcBorders>
              <w:top w:val="single" w:sz="4" w:space="0" w:color="auto"/>
            </w:tcBorders>
          </w:tcPr>
          <w:p w14:paraId="3A54426A" w14:textId="77777777" w:rsidR="00153D51" w:rsidRDefault="00BD29D9">
            <w:pPr>
              <w:rPr>
                <w:rFonts w:ascii="Arial" w:hAnsi="Arial" w:cs="Arial"/>
              </w:rPr>
            </w:pPr>
            <w:r>
              <w:rPr>
                <w:rFonts w:ascii="Arial" w:hAnsi="Arial" w:cs="Arial"/>
              </w:rPr>
              <w:t>0.593</w:t>
            </w:r>
          </w:p>
        </w:tc>
        <w:tc>
          <w:tcPr>
            <w:tcW w:w="1830" w:type="dxa"/>
            <w:tcBorders>
              <w:top w:val="single" w:sz="4" w:space="0" w:color="auto"/>
            </w:tcBorders>
          </w:tcPr>
          <w:p w14:paraId="4D84AEC7" w14:textId="77777777" w:rsidR="00153D51" w:rsidRDefault="00BD29D9">
            <w:pPr>
              <w:rPr>
                <w:rFonts w:ascii="Arial" w:hAnsi="Arial" w:cs="Arial"/>
              </w:rPr>
            </w:pPr>
            <w:r>
              <w:rPr>
                <w:rFonts w:ascii="Arial" w:hAnsi="Arial" w:cs="Arial"/>
              </w:rPr>
              <w:t>Failed to Reject Ho</w:t>
            </w:r>
          </w:p>
        </w:tc>
        <w:tc>
          <w:tcPr>
            <w:tcW w:w="2233" w:type="dxa"/>
            <w:tcBorders>
              <w:top w:val="single" w:sz="4" w:space="0" w:color="auto"/>
            </w:tcBorders>
          </w:tcPr>
          <w:p w14:paraId="7631F310" w14:textId="77777777" w:rsidR="00153D51" w:rsidRDefault="00BD29D9">
            <w:pPr>
              <w:rPr>
                <w:rFonts w:ascii="Arial" w:hAnsi="Arial" w:cs="Arial"/>
              </w:rPr>
            </w:pPr>
            <w:r>
              <w:rPr>
                <w:rFonts w:ascii="Arial" w:hAnsi="Arial" w:cs="Arial"/>
              </w:rPr>
              <w:t>Not Significant</w:t>
            </w:r>
          </w:p>
        </w:tc>
      </w:tr>
    </w:tbl>
    <w:p w14:paraId="3279AEDC" w14:textId="77777777" w:rsidR="00153D51" w:rsidRDefault="00153D51">
      <w:pPr>
        <w:rPr>
          <w:rFonts w:ascii="Arial" w:hAnsi="Arial" w:cs="Arial"/>
          <w:b/>
          <w:bCs/>
          <w:sz w:val="22"/>
          <w:szCs w:val="22"/>
        </w:rPr>
      </w:pPr>
    </w:p>
    <w:p w14:paraId="0136042B" w14:textId="77777777" w:rsidR="00153D51" w:rsidRDefault="00BD29D9">
      <w:pPr>
        <w:ind w:firstLine="720"/>
        <w:jc w:val="both"/>
        <w:rPr>
          <w:rFonts w:ascii="Arial" w:hAnsi="Arial" w:cs="Arial"/>
          <w:b/>
          <w:bCs/>
          <w:sz w:val="22"/>
          <w:szCs w:val="22"/>
        </w:rPr>
      </w:pPr>
      <w:r>
        <w:rPr>
          <w:rFonts w:ascii="Arial" w:hAnsi="Arial" w:cs="Arial"/>
          <w:sz w:val="22"/>
          <w:szCs w:val="22"/>
        </w:rPr>
        <w:t xml:space="preserve">This aligns with the findings of Ibok et al. (2024), which highlight the importance of teachers’ lesson presentation and subject mastery in influencing students’ academic achievement in mathematics. Additionally, Perera et al. (2022) state that good teacher efficacy enables teachers to provide more effective pedagogical support, resulting in better outcomes for students in teaching and learning. However, Attard &amp; Holmes (2022) state that the affordances of technology that allow mathematics concepts to be represented in multiple ways, particularly those that are visual and dynamic, clearly assisted student understanding and their capacity to make connections between mathematics concepts. It is also important </w:t>
      </w:r>
      <w:r>
        <w:rPr>
          <w:rFonts w:ascii="Arial" w:hAnsi="Arial" w:cs="Arial"/>
          <w:sz w:val="22"/>
          <w:szCs w:val="22"/>
        </w:rPr>
        <w:lastRenderedPageBreak/>
        <w:t>to consider the potential impact of test anxiety on students' learning and performance in mathematics (Nobis et al., 2025)..</w:t>
      </w:r>
    </w:p>
    <w:p w14:paraId="104A9BB9" w14:textId="77777777" w:rsidR="00153D51" w:rsidRDefault="00153D51">
      <w:pPr>
        <w:ind w:firstLine="720"/>
        <w:jc w:val="both"/>
        <w:rPr>
          <w:rFonts w:ascii="Arial" w:hAnsi="Arial" w:cs="Arial"/>
          <w:b/>
          <w:bCs/>
          <w:sz w:val="22"/>
          <w:szCs w:val="22"/>
        </w:rPr>
      </w:pPr>
    </w:p>
    <w:p w14:paraId="1944C13B" w14:textId="77777777" w:rsidR="00153D51" w:rsidRDefault="00153D51">
      <w:pPr>
        <w:jc w:val="both"/>
        <w:rPr>
          <w:rFonts w:ascii="Arial" w:hAnsi="Arial" w:cs="Arial"/>
          <w:b/>
          <w:bCs/>
          <w:sz w:val="22"/>
          <w:szCs w:val="22"/>
        </w:rPr>
      </w:pPr>
    </w:p>
    <w:p w14:paraId="7DB5BC2D" w14:textId="77777777" w:rsidR="00153D51" w:rsidRDefault="00BD29D9">
      <w:pPr>
        <w:jc w:val="both"/>
        <w:rPr>
          <w:rFonts w:ascii="Arial" w:hAnsi="Arial" w:cs="Arial"/>
          <w:b/>
          <w:bCs/>
          <w:sz w:val="22"/>
          <w:szCs w:val="22"/>
        </w:rPr>
      </w:pPr>
      <w:r>
        <w:rPr>
          <w:rFonts w:ascii="Arial" w:hAnsi="Arial" w:cs="Arial"/>
          <w:b/>
          <w:bCs/>
          <w:sz w:val="22"/>
          <w:szCs w:val="22"/>
        </w:rPr>
        <w:t>Test of Significant Difference of the Pre-test and Post-test Results of the Controlled Group</w:t>
      </w:r>
    </w:p>
    <w:p w14:paraId="4000F456" w14:textId="77777777" w:rsidR="00153D51" w:rsidRDefault="00153D51">
      <w:pPr>
        <w:rPr>
          <w:rFonts w:ascii="Arial" w:hAnsi="Arial" w:cs="Arial"/>
          <w:b/>
          <w:bCs/>
          <w:sz w:val="22"/>
          <w:szCs w:val="22"/>
        </w:rPr>
      </w:pPr>
    </w:p>
    <w:p w14:paraId="7FAA4B59" w14:textId="77777777" w:rsidR="00153D51" w:rsidRDefault="00BD29D9">
      <w:pPr>
        <w:ind w:firstLine="720"/>
        <w:jc w:val="both"/>
        <w:rPr>
          <w:rFonts w:ascii="Arial" w:hAnsi="Arial" w:cs="Arial"/>
          <w:sz w:val="22"/>
          <w:szCs w:val="22"/>
        </w:rPr>
      </w:pPr>
      <w:r>
        <w:rPr>
          <w:rFonts w:ascii="Arial" w:hAnsi="Arial" w:cs="Arial"/>
          <w:sz w:val="22"/>
          <w:szCs w:val="22"/>
        </w:rPr>
        <w:t xml:space="preserve"> Table 5 shows the significant difference between the Pre-test and Post-test results of the Controlled Group. It was found that the t-test results for the pre-test and post-test scores of the controlled group yielded a t-value of -2.937 and a p-value of 0.010. With a level of significance set at 0.05, the decision was made to reject the null hypothesis. This indicates that there was a statistically significant difference between the pre-test and post-test scores of the controlled group, suggesting that they underwent the traditional teaching method, and there is a significant improvement in the understanding of the conversion of units of measurement amongst the controlled group. These results imply that well-structured traditional instruction plays a crucial role in enhancing student learning outcomes. Given the effectiveness of this approach, it may be considered to refine lesson delivery, incorporate interactive teaching strategies, and ensure subject mastery to maximize student comprehension and performance.</w:t>
      </w:r>
    </w:p>
    <w:p w14:paraId="431999CE" w14:textId="77777777" w:rsidR="00153D51" w:rsidRDefault="00153D51">
      <w:pPr>
        <w:rPr>
          <w:rFonts w:ascii="Arial" w:hAnsi="Arial" w:cs="Arial"/>
          <w:b/>
          <w:bCs/>
          <w:sz w:val="22"/>
          <w:szCs w:val="22"/>
        </w:rPr>
      </w:pPr>
    </w:p>
    <w:p w14:paraId="482E5312" w14:textId="77777777" w:rsidR="00153D51" w:rsidRDefault="00BD29D9">
      <w:pPr>
        <w:jc w:val="center"/>
        <w:rPr>
          <w:rFonts w:ascii="Arial" w:hAnsi="Arial" w:cs="Arial"/>
          <w:b/>
          <w:bCs/>
          <w:sz w:val="22"/>
          <w:szCs w:val="22"/>
        </w:rPr>
      </w:pPr>
      <w:r>
        <w:rPr>
          <w:rFonts w:ascii="Arial" w:hAnsi="Arial" w:cs="Arial"/>
          <w:b/>
          <w:bCs/>
          <w:sz w:val="22"/>
          <w:szCs w:val="22"/>
        </w:rPr>
        <w:t>Table 5</w:t>
      </w:r>
    </w:p>
    <w:p w14:paraId="3435AE36" w14:textId="77777777" w:rsidR="00153D51" w:rsidRDefault="00153D51">
      <w:pPr>
        <w:rPr>
          <w:rFonts w:ascii="Arial" w:hAnsi="Arial" w:cs="Arial"/>
          <w:b/>
          <w:bCs/>
          <w:sz w:val="22"/>
          <w:szCs w:val="22"/>
        </w:rPr>
      </w:pPr>
    </w:p>
    <w:p w14:paraId="0A690AD6" w14:textId="77777777" w:rsidR="00153D51" w:rsidRDefault="00BD29D9">
      <w:pPr>
        <w:jc w:val="center"/>
        <w:rPr>
          <w:rFonts w:ascii="Arial" w:hAnsi="Arial" w:cs="Arial"/>
          <w:b/>
          <w:bCs/>
          <w:sz w:val="22"/>
          <w:szCs w:val="22"/>
        </w:rPr>
      </w:pPr>
      <w:r>
        <w:rPr>
          <w:rFonts w:ascii="Arial" w:hAnsi="Arial" w:cs="Arial"/>
          <w:b/>
          <w:bCs/>
          <w:sz w:val="22"/>
          <w:szCs w:val="22"/>
        </w:rPr>
        <w:t>Test of Significant Difference of the Pre-test and Post-test Results of the Controlled Group</w:t>
      </w:r>
    </w:p>
    <w:p w14:paraId="7AD17693" w14:textId="77777777" w:rsidR="00153D51" w:rsidRDefault="00153D51">
      <w:pPr>
        <w:jc w:val="center"/>
        <w:rPr>
          <w:rFonts w:ascii="Arial" w:hAnsi="Arial" w:cs="Arial"/>
          <w:b/>
          <w:bCs/>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1"/>
        <w:gridCol w:w="1796"/>
        <w:gridCol w:w="1830"/>
        <w:gridCol w:w="2233"/>
      </w:tblGrid>
      <w:tr w:rsidR="00153D51" w14:paraId="364587DF" w14:textId="77777777">
        <w:trPr>
          <w:jc w:val="center"/>
        </w:trPr>
        <w:tc>
          <w:tcPr>
            <w:tcW w:w="1751" w:type="dxa"/>
            <w:tcBorders>
              <w:top w:val="single" w:sz="4" w:space="0" w:color="auto"/>
              <w:bottom w:val="single" w:sz="4" w:space="0" w:color="auto"/>
            </w:tcBorders>
          </w:tcPr>
          <w:p w14:paraId="50BEE681" w14:textId="77777777" w:rsidR="00153D51" w:rsidRDefault="00BD29D9">
            <w:pPr>
              <w:rPr>
                <w:rFonts w:ascii="Arial" w:hAnsi="Arial" w:cs="Arial"/>
                <w:b/>
                <w:bCs/>
              </w:rPr>
            </w:pPr>
            <w:r>
              <w:rPr>
                <w:rFonts w:ascii="Arial" w:hAnsi="Arial" w:cs="Arial"/>
                <w:b/>
                <w:bCs/>
              </w:rPr>
              <w:t>t</w:t>
            </w:r>
          </w:p>
        </w:tc>
        <w:tc>
          <w:tcPr>
            <w:tcW w:w="1796" w:type="dxa"/>
            <w:tcBorders>
              <w:top w:val="single" w:sz="4" w:space="0" w:color="auto"/>
              <w:bottom w:val="single" w:sz="4" w:space="0" w:color="auto"/>
            </w:tcBorders>
          </w:tcPr>
          <w:p w14:paraId="469DBB81" w14:textId="77777777" w:rsidR="00153D51" w:rsidRDefault="00BD29D9">
            <w:pPr>
              <w:rPr>
                <w:rFonts w:ascii="Arial" w:hAnsi="Arial" w:cs="Arial"/>
                <w:b/>
                <w:bCs/>
              </w:rPr>
            </w:pPr>
            <w:r>
              <w:rPr>
                <w:rFonts w:ascii="Arial" w:hAnsi="Arial" w:cs="Arial"/>
                <w:b/>
                <w:bCs/>
              </w:rPr>
              <w:t>P-value</w:t>
            </w:r>
          </w:p>
        </w:tc>
        <w:tc>
          <w:tcPr>
            <w:tcW w:w="1830" w:type="dxa"/>
            <w:tcBorders>
              <w:top w:val="single" w:sz="4" w:space="0" w:color="auto"/>
              <w:bottom w:val="single" w:sz="4" w:space="0" w:color="auto"/>
            </w:tcBorders>
          </w:tcPr>
          <w:p w14:paraId="2C2F1922" w14:textId="77777777" w:rsidR="00153D51" w:rsidRDefault="00BD29D9">
            <w:pPr>
              <w:rPr>
                <w:rFonts w:ascii="Arial" w:hAnsi="Arial" w:cs="Arial"/>
                <w:b/>
                <w:bCs/>
              </w:rPr>
            </w:pPr>
            <w:r>
              <w:rPr>
                <w:rFonts w:ascii="Arial" w:hAnsi="Arial" w:cs="Arial"/>
                <w:b/>
                <w:bCs/>
              </w:rPr>
              <w:t>Decision</w:t>
            </w:r>
          </w:p>
        </w:tc>
        <w:tc>
          <w:tcPr>
            <w:tcW w:w="2233" w:type="dxa"/>
            <w:tcBorders>
              <w:top w:val="single" w:sz="4" w:space="0" w:color="auto"/>
              <w:bottom w:val="single" w:sz="4" w:space="0" w:color="auto"/>
            </w:tcBorders>
          </w:tcPr>
          <w:p w14:paraId="25E3FBF4" w14:textId="77777777" w:rsidR="00153D51" w:rsidRDefault="00BD29D9">
            <w:pPr>
              <w:rPr>
                <w:rFonts w:ascii="Arial" w:hAnsi="Arial" w:cs="Arial"/>
                <w:b/>
                <w:bCs/>
              </w:rPr>
            </w:pPr>
            <w:r>
              <w:rPr>
                <w:rFonts w:ascii="Arial" w:hAnsi="Arial" w:cs="Arial"/>
                <w:b/>
                <w:bCs/>
              </w:rPr>
              <w:t>Interpretation</w:t>
            </w:r>
          </w:p>
        </w:tc>
      </w:tr>
      <w:tr w:rsidR="00153D51" w14:paraId="4F3BF4DD" w14:textId="77777777">
        <w:trPr>
          <w:jc w:val="center"/>
        </w:trPr>
        <w:tc>
          <w:tcPr>
            <w:tcW w:w="1751" w:type="dxa"/>
            <w:tcBorders>
              <w:top w:val="single" w:sz="4" w:space="0" w:color="auto"/>
              <w:bottom w:val="single" w:sz="4" w:space="0" w:color="auto"/>
            </w:tcBorders>
          </w:tcPr>
          <w:p w14:paraId="247A53C0" w14:textId="77777777" w:rsidR="00153D51" w:rsidRDefault="00BD29D9">
            <w:pPr>
              <w:rPr>
                <w:rFonts w:ascii="Arial" w:hAnsi="Arial" w:cs="Arial"/>
              </w:rPr>
            </w:pPr>
            <w:r>
              <w:rPr>
                <w:rFonts w:ascii="Arial" w:hAnsi="Arial" w:cs="Arial"/>
              </w:rPr>
              <w:t>-2.937</w:t>
            </w:r>
          </w:p>
        </w:tc>
        <w:tc>
          <w:tcPr>
            <w:tcW w:w="1796" w:type="dxa"/>
            <w:tcBorders>
              <w:top w:val="single" w:sz="4" w:space="0" w:color="auto"/>
              <w:bottom w:val="single" w:sz="4" w:space="0" w:color="auto"/>
            </w:tcBorders>
          </w:tcPr>
          <w:p w14:paraId="03EBA925" w14:textId="77777777" w:rsidR="00153D51" w:rsidRDefault="00BD29D9">
            <w:pPr>
              <w:rPr>
                <w:rFonts w:ascii="Arial" w:hAnsi="Arial" w:cs="Arial"/>
              </w:rPr>
            </w:pPr>
            <w:r>
              <w:rPr>
                <w:rFonts w:ascii="Arial" w:hAnsi="Arial" w:cs="Arial"/>
              </w:rPr>
              <w:t>0.010</w:t>
            </w:r>
          </w:p>
        </w:tc>
        <w:tc>
          <w:tcPr>
            <w:tcW w:w="1830" w:type="dxa"/>
            <w:tcBorders>
              <w:top w:val="single" w:sz="4" w:space="0" w:color="auto"/>
              <w:bottom w:val="single" w:sz="4" w:space="0" w:color="auto"/>
            </w:tcBorders>
          </w:tcPr>
          <w:p w14:paraId="02C4B35B" w14:textId="77777777" w:rsidR="00153D51" w:rsidRDefault="00BD29D9">
            <w:pPr>
              <w:rPr>
                <w:rFonts w:ascii="Arial" w:hAnsi="Arial" w:cs="Arial"/>
              </w:rPr>
            </w:pPr>
            <w:r>
              <w:rPr>
                <w:rFonts w:ascii="Arial" w:hAnsi="Arial" w:cs="Arial"/>
              </w:rPr>
              <w:t>Reject Ho</w:t>
            </w:r>
          </w:p>
        </w:tc>
        <w:tc>
          <w:tcPr>
            <w:tcW w:w="2233" w:type="dxa"/>
            <w:tcBorders>
              <w:top w:val="single" w:sz="4" w:space="0" w:color="auto"/>
              <w:bottom w:val="single" w:sz="4" w:space="0" w:color="auto"/>
            </w:tcBorders>
          </w:tcPr>
          <w:p w14:paraId="4F216567" w14:textId="77777777" w:rsidR="00153D51" w:rsidRDefault="00BD29D9">
            <w:pPr>
              <w:rPr>
                <w:rFonts w:ascii="Arial" w:hAnsi="Arial" w:cs="Arial"/>
              </w:rPr>
            </w:pPr>
            <w:r>
              <w:rPr>
                <w:rFonts w:ascii="Arial" w:hAnsi="Arial" w:cs="Arial"/>
              </w:rPr>
              <w:t>Significant</w:t>
            </w:r>
          </w:p>
        </w:tc>
      </w:tr>
    </w:tbl>
    <w:p w14:paraId="4A2DA7F6" w14:textId="77777777" w:rsidR="00153D51" w:rsidRDefault="00153D51">
      <w:pPr>
        <w:ind w:firstLine="720"/>
        <w:jc w:val="both"/>
        <w:rPr>
          <w:rFonts w:ascii="Arial" w:hAnsi="Arial" w:cs="Arial"/>
          <w:sz w:val="22"/>
          <w:szCs w:val="22"/>
        </w:rPr>
      </w:pPr>
    </w:p>
    <w:p w14:paraId="549174DD" w14:textId="77777777" w:rsidR="00153D51" w:rsidRDefault="00BD29D9">
      <w:pPr>
        <w:ind w:firstLine="720"/>
        <w:jc w:val="both"/>
        <w:rPr>
          <w:rFonts w:ascii="Arial" w:hAnsi="Arial" w:cs="Arial"/>
          <w:sz w:val="22"/>
          <w:szCs w:val="22"/>
        </w:rPr>
      </w:pPr>
      <w:r>
        <w:rPr>
          <w:rFonts w:ascii="Arial" w:hAnsi="Arial" w:cs="Arial"/>
          <w:sz w:val="22"/>
          <w:szCs w:val="22"/>
        </w:rPr>
        <w:t>This supports the study of Frederick et al. (2020), which states that YouTube-enhanced instructional strategy improved students’ achievement in mathematics more than the modified lecture instructional strategy. It also supports the study of Asanre et al. (2024), which states that the use of YouTube as a teaching tool positively impacted the mathematical achievement of senior secondary school students. Additionally, Lu J. C. (2023) states that YouTube, a free media</w:t>
      </w:r>
      <w:r>
        <w:rPr>
          <w:rFonts w:ascii="Cambria Math" w:hAnsi="Cambria Math" w:cs="Cambria Math"/>
          <w:sz w:val="22"/>
          <w:szCs w:val="22"/>
        </w:rPr>
        <w:t>‑</w:t>
      </w:r>
      <w:r>
        <w:rPr>
          <w:rFonts w:ascii="Arial" w:hAnsi="Arial" w:cs="Arial"/>
          <w:sz w:val="22"/>
          <w:szCs w:val="22"/>
        </w:rPr>
        <w:t>sharing website, has proved to be an effective educational tool to add a new dimension to education in increasing student engagement, motivation, understanding, and achievement. The effectiveness of such online resources can also be related to levels of parental involvement in students' learning (Nobis &amp; Caparroso, 2024).</w:t>
      </w:r>
    </w:p>
    <w:p w14:paraId="6B3D1CB9" w14:textId="77777777" w:rsidR="00153D51" w:rsidRDefault="00153D51">
      <w:pPr>
        <w:ind w:firstLine="720"/>
        <w:jc w:val="both"/>
        <w:rPr>
          <w:rFonts w:ascii="Arial" w:hAnsi="Arial" w:cs="Arial"/>
          <w:sz w:val="22"/>
          <w:szCs w:val="22"/>
        </w:rPr>
      </w:pPr>
    </w:p>
    <w:p w14:paraId="2283C844" w14:textId="77777777" w:rsidR="00153D51" w:rsidRDefault="00BD29D9">
      <w:pPr>
        <w:rPr>
          <w:rFonts w:ascii="Arial" w:hAnsi="Arial" w:cs="Arial"/>
          <w:b/>
          <w:bCs/>
          <w:sz w:val="22"/>
          <w:szCs w:val="22"/>
        </w:rPr>
      </w:pPr>
      <w:r>
        <w:rPr>
          <w:rFonts w:ascii="Arial" w:hAnsi="Arial" w:cs="Arial"/>
          <w:b/>
          <w:bCs/>
          <w:sz w:val="22"/>
          <w:szCs w:val="22"/>
        </w:rPr>
        <w:t>Test of Significant Difference of the Pre-test and Post-test Results of the Experimental Group</w:t>
      </w:r>
    </w:p>
    <w:p w14:paraId="34A69146" w14:textId="77777777" w:rsidR="00153D51" w:rsidRDefault="00BD29D9">
      <w:pPr>
        <w:ind w:firstLine="720"/>
        <w:jc w:val="both"/>
        <w:rPr>
          <w:rFonts w:ascii="Arial" w:hAnsi="Arial" w:cs="Arial"/>
          <w:b/>
          <w:bCs/>
          <w:sz w:val="22"/>
          <w:szCs w:val="22"/>
        </w:rPr>
      </w:pPr>
      <w:r>
        <w:rPr>
          <w:rFonts w:ascii="Arial" w:hAnsi="Arial" w:cs="Arial"/>
          <w:sz w:val="22"/>
          <w:szCs w:val="22"/>
        </w:rPr>
        <w:t>Table 6 shows the significant difference between the Pre-test and Post-test results of the Experimental Group. It was found that the t-test results for the pre-test and post-test scores of the experimental group yielded a t-value of -2.231 and a p-value of 0.041. With a level of significance set at 0.05, the decision was made to reject the null hypothesis. This indicates that there was a statistically significant difference between the pre-test and post-test scores of the experimental group, suggesting that the intervention of YouTube video tutorials led to a significant improvement in the understanding of the conversion of units of measurement amongst the control group.</w:t>
      </w:r>
    </w:p>
    <w:p w14:paraId="75200996" w14:textId="77777777" w:rsidR="00153D51" w:rsidRDefault="00153D51">
      <w:pPr>
        <w:ind w:firstLine="720"/>
        <w:jc w:val="both"/>
        <w:rPr>
          <w:rFonts w:ascii="Arial" w:hAnsi="Arial" w:cs="Arial"/>
          <w:sz w:val="22"/>
          <w:szCs w:val="22"/>
        </w:rPr>
      </w:pPr>
    </w:p>
    <w:p w14:paraId="691CB38E" w14:textId="77777777" w:rsidR="00153D51" w:rsidRDefault="00BD29D9">
      <w:pPr>
        <w:jc w:val="both"/>
        <w:rPr>
          <w:rFonts w:ascii="Arial" w:hAnsi="Arial" w:cs="Arial"/>
          <w:sz w:val="22"/>
          <w:szCs w:val="22"/>
        </w:rPr>
      </w:pPr>
      <w:r>
        <w:rPr>
          <w:rFonts w:ascii="Arial" w:hAnsi="Arial" w:cs="Arial"/>
          <w:sz w:val="22"/>
          <w:szCs w:val="22"/>
        </w:rPr>
        <w:t xml:space="preserve">                                                                         </w:t>
      </w:r>
    </w:p>
    <w:p w14:paraId="0D21365D" w14:textId="77777777" w:rsidR="00153D51" w:rsidRDefault="00BD29D9">
      <w:pPr>
        <w:jc w:val="center"/>
        <w:rPr>
          <w:rFonts w:ascii="Arial" w:hAnsi="Arial" w:cs="Arial"/>
          <w:b/>
          <w:bCs/>
          <w:sz w:val="22"/>
          <w:szCs w:val="22"/>
        </w:rPr>
      </w:pPr>
      <w:r>
        <w:rPr>
          <w:rFonts w:ascii="Arial" w:hAnsi="Arial" w:cs="Arial"/>
          <w:b/>
          <w:bCs/>
          <w:sz w:val="22"/>
          <w:szCs w:val="22"/>
        </w:rPr>
        <w:t>Table 6</w:t>
      </w:r>
    </w:p>
    <w:p w14:paraId="4E2F5737" w14:textId="77777777" w:rsidR="00153D51" w:rsidRDefault="00BD29D9">
      <w:pPr>
        <w:jc w:val="center"/>
        <w:rPr>
          <w:rFonts w:ascii="Arial" w:hAnsi="Arial" w:cs="Arial"/>
          <w:b/>
          <w:bCs/>
          <w:sz w:val="22"/>
          <w:szCs w:val="22"/>
        </w:rPr>
      </w:pPr>
      <w:r>
        <w:rPr>
          <w:rFonts w:ascii="Arial" w:hAnsi="Arial" w:cs="Arial"/>
          <w:b/>
          <w:bCs/>
          <w:sz w:val="22"/>
          <w:szCs w:val="22"/>
        </w:rPr>
        <w:t>Test of Significant Difference of the Pre-test and Post-test Results of the Experimental Group</w:t>
      </w:r>
    </w:p>
    <w:p w14:paraId="0931B31F" w14:textId="77777777" w:rsidR="00153D51" w:rsidRDefault="00153D51">
      <w:pPr>
        <w:jc w:val="center"/>
        <w:rPr>
          <w:rFonts w:ascii="Arial" w:hAnsi="Arial" w:cs="Arial"/>
          <w:b/>
          <w:bCs/>
          <w:sz w:val="22"/>
          <w:szCs w:val="22"/>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51"/>
        <w:gridCol w:w="1796"/>
        <w:gridCol w:w="1830"/>
        <w:gridCol w:w="2233"/>
      </w:tblGrid>
      <w:tr w:rsidR="00153D51" w14:paraId="5E05C50B" w14:textId="77777777">
        <w:trPr>
          <w:jc w:val="center"/>
        </w:trPr>
        <w:tc>
          <w:tcPr>
            <w:tcW w:w="1751" w:type="dxa"/>
            <w:tcBorders>
              <w:top w:val="single" w:sz="4" w:space="0" w:color="auto"/>
              <w:bottom w:val="single" w:sz="4" w:space="0" w:color="auto"/>
            </w:tcBorders>
          </w:tcPr>
          <w:p w14:paraId="52B17371" w14:textId="77777777" w:rsidR="00153D51" w:rsidRDefault="00BD29D9">
            <w:pPr>
              <w:rPr>
                <w:rFonts w:ascii="Arial" w:hAnsi="Arial" w:cs="Arial"/>
                <w:b/>
                <w:bCs/>
              </w:rPr>
            </w:pPr>
            <w:r>
              <w:rPr>
                <w:rFonts w:ascii="Arial" w:hAnsi="Arial" w:cs="Arial"/>
                <w:b/>
                <w:bCs/>
              </w:rPr>
              <w:lastRenderedPageBreak/>
              <w:t>t</w:t>
            </w:r>
          </w:p>
        </w:tc>
        <w:tc>
          <w:tcPr>
            <w:tcW w:w="1796" w:type="dxa"/>
            <w:tcBorders>
              <w:top w:val="single" w:sz="4" w:space="0" w:color="auto"/>
              <w:bottom w:val="single" w:sz="4" w:space="0" w:color="auto"/>
            </w:tcBorders>
          </w:tcPr>
          <w:p w14:paraId="7CA6A551" w14:textId="77777777" w:rsidR="00153D51" w:rsidRDefault="00BD29D9">
            <w:pPr>
              <w:rPr>
                <w:rFonts w:ascii="Arial" w:hAnsi="Arial" w:cs="Arial"/>
                <w:b/>
                <w:bCs/>
              </w:rPr>
            </w:pPr>
            <w:r>
              <w:rPr>
                <w:rFonts w:ascii="Arial" w:hAnsi="Arial" w:cs="Arial"/>
                <w:b/>
                <w:bCs/>
              </w:rPr>
              <w:t>P-value</w:t>
            </w:r>
          </w:p>
        </w:tc>
        <w:tc>
          <w:tcPr>
            <w:tcW w:w="1830" w:type="dxa"/>
            <w:tcBorders>
              <w:top w:val="single" w:sz="4" w:space="0" w:color="auto"/>
              <w:bottom w:val="single" w:sz="4" w:space="0" w:color="auto"/>
            </w:tcBorders>
          </w:tcPr>
          <w:p w14:paraId="20210A84" w14:textId="77777777" w:rsidR="00153D51" w:rsidRDefault="00BD29D9">
            <w:pPr>
              <w:rPr>
                <w:rFonts w:ascii="Arial" w:hAnsi="Arial" w:cs="Arial"/>
                <w:b/>
                <w:bCs/>
              </w:rPr>
            </w:pPr>
            <w:r>
              <w:rPr>
                <w:rFonts w:ascii="Arial" w:hAnsi="Arial" w:cs="Arial"/>
                <w:b/>
                <w:bCs/>
              </w:rPr>
              <w:t>Decision</w:t>
            </w:r>
          </w:p>
        </w:tc>
        <w:tc>
          <w:tcPr>
            <w:tcW w:w="2233" w:type="dxa"/>
            <w:tcBorders>
              <w:top w:val="single" w:sz="4" w:space="0" w:color="auto"/>
              <w:bottom w:val="single" w:sz="4" w:space="0" w:color="auto"/>
            </w:tcBorders>
          </w:tcPr>
          <w:p w14:paraId="2E9D279F" w14:textId="77777777" w:rsidR="00153D51" w:rsidRDefault="00BD29D9">
            <w:pPr>
              <w:rPr>
                <w:rFonts w:ascii="Arial" w:hAnsi="Arial" w:cs="Arial"/>
                <w:b/>
                <w:bCs/>
              </w:rPr>
            </w:pPr>
            <w:r>
              <w:rPr>
                <w:rFonts w:ascii="Arial" w:hAnsi="Arial" w:cs="Arial"/>
                <w:b/>
                <w:bCs/>
              </w:rPr>
              <w:t>Interpretation</w:t>
            </w:r>
          </w:p>
        </w:tc>
      </w:tr>
      <w:tr w:rsidR="00153D51" w14:paraId="36405CFF" w14:textId="77777777">
        <w:trPr>
          <w:jc w:val="center"/>
        </w:trPr>
        <w:tc>
          <w:tcPr>
            <w:tcW w:w="1751" w:type="dxa"/>
            <w:tcBorders>
              <w:top w:val="single" w:sz="4" w:space="0" w:color="auto"/>
            </w:tcBorders>
          </w:tcPr>
          <w:p w14:paraId="1E651F60" w14:textId="77777777" w:rsidR="00153D51" w:rsidRDefault="00BD29D9">
            <w:pPr>
              <w:rPr>
                <w:rFonts w:ascii="Arial" w:hAnsi="Arial" w:cs="Arial"/>
              </w:rPr>
            </w:pPr>
            <w:r>
              <w:rPr>
                <w:rFonts w:ascii="Arial" w:hAnsi="Arial" w:cs="Arial"/>
              </w:rPr>
              <w:t>-2.231</w:t>
            </w:r>
          </w:p>
        </w:tc>
        <w:tc>
          <w:tcPr>
            <w:tcW w:w="1796" w:type="dxa"/>
            <w:tcBorders>
              <w:top w:val="single" w:sz="4" w:space="0" w:color="auto"/>
            </w:tcBorders>
          </w:tcPr>
          <w:p w14:paraId="28715A54" w14:textId="77777777" w:rsidR="00153D51" w:rsidRDefault="00BD29D9">
            <w:pPr>
              <w:rPr>
                <w:rFonts w:ascii="Arial" w:hAnsi="Arial" w:cs="Arial"/>
              </w:rPr>
            </w:pPr>
            <w:r>
              <w:rPr>
                <w:rFonts w:ascii="Arial" w:hAnsi="Arial" w:cs="Arial"/>
              </w:rPr>
              <w:t>0.041</w:t>
            </w:r>
          </w:p>
        </w:tc>
        <w:tc>
          <w:tcPr>
            <w:tcW w:w="1830" w:type="dxa"/>
            <w:tcBorders>
              <w:top w:val="single" w:sz="4" w:space="0" w:color="auto"/>
            </w:tcBorders>
          </w:tcPr>
          <w:p w14:paraId="1FA301B0" w14:textId="77777777" w:rsidR="00153D51" w:rsidRDefault="00BD29D9">
            <w:pPr>
              <w:rPr>
                <w:rFonts w:ascii="Arial" w:hAnsi="Arial" w:cs="Arial"/>
              </w:rPr>
            </w:pPr>
            <w:r>
              <w:rPr>
                <w:rFonts w:ascii="Arial" w:hAnsi="Arial" w:cs="Arial"/>
              </w:rPr>
              <w:t>Reject Ho</w:t>
            </w:r>
          </w:p>
        </w:tc>
        <w:tc>
          <w:tcPr>
            <w:tcW w:w="2233" w:type="dxa"/>
            <w:tcBorders>
              <w:top w:val="single" w:sz="4" w:space="0" w:color="auto"/>
            </w:tcBorders>
          </w:tcPr>
          <w:p w14:paraId="4B84871E" w14:textId="77777777" w:rsidR="00153D51" w:rsidRDefault="00BD29D9">
            <w:pPr>
              <w:rPr>
                <w:rFonts w:ascii="Arial" w:hAnsi="Arial" w:cs="Arial"/>
              </w:rPr>
            </w:pPr>
            <w:r>
              <w:rPr>
                <w:rFonts w:ascii="Arial" w:hAnsi="Arial" w:cs="Arial"/>
              </w:rPr>
              <w:t>Significant</w:t>
            </w:r>
          </w:p>
        </w:tc>
      </w:tr>
    </w:tbl>
    <w:p w14:paraId="5E3C66F8" w14:textId="77777777" w:rsidR="00153D51" w:rsidRDefault="00153D51">
      <w:pPr>
        <w:pStyle w:val="ConcHead"/>
        <w:spacing w:after="0"/>
        <w:jc w:val="both"/>
        <w:rPr>
          <w:rFonts w:ascii="Arial" w:hAnsi="Arial" w:cs="Arial"/>
        </w:rPr>
      </w:pPr>
    </w:p>
    <w:p w14:paraId="4E472B1C" w14:textId="091132CF" w:rsidR="00153D51" w:rsidRDefault="00BD29D9">
      <w:pPr>
        <w:ind w:firstLine="720"/>
        <w:jc w:val="both"/>
        <w:rPr>
          <w:rFonts w:ascii="Arial" w:hAnsi="Arial" w:cs="Arial"/>
          <w:b/>
          <w:bCs/>
          <w:sz w:val="22"/>
          <w:szCs w:val="22"/>
        </w:rPr>
      </w:pPr>
      <w:r>
        <w:rPr>
          <w:rFonts w:ascii="Arial" w:hAnsi="Arial" w:cs="Arial"/>
          <w:sz w:val="22"/>
          <w:szCs w:val="22"/>
        </w:rPr>
        <w:t>This supports the study of Frederick et al. (2020), which states that YouTube-enhanced instructional strategy improved students’ achievement in mathematics more than the modified lecture instructional strategy. It also supports the study of Asanre et al. (2024), which states that the use of YouTube as a teaching tool positively impacted the mathematical achievement of senior secondary school students. Additionally, Lu J. C. (2023) states that YouTube, a free media</w:t>
      </w:r>
      <w:r>
        <w:rPr>
          <w:rFonts w:ascii="Cambria Math" w:hAnsi="Cambria Math" w:cs="Cambria Math"/>
          <w:sz w:val="22"/>
          <w:szCs w:val="22"/>
        </w:rPr>
        <w:t>‑</w:t>
      </w:r>
      <w:r>
        <w:rPr>
          <w:rFonts w:ascii="Arial" w:hAnsi="Arial" w:cs="Arial"/>
          <w:sz w:val="22"/>
          <w:szCs w:val="22"/>
        </w:rPr>
        <w:t>sharing website, has proved to be an effective educational tool to add a new dimension to education in increasing student engagement, motivation, understanding, and achievement. The experiences of students in blended learning environments (Nobis, Jr. et al., 2024) provide further context for understanding the role and impact of video tutorials in mathematics education.</w:t>
      </w:r>
      <w:r w:rsidR="00C02CD2">
        <w:rPr>
          <w:rFonts w:ascii="Arial" w:hAnsi="Arial" w:cs="Arial"/>
          <w:sz w:val="22"/>
          <w:szCs w:val="22"/>
        </w:rPr>
        <w:t xml:space="preserve"> This underscores that technology can enhance academic performance in mathematics education (Pala et al, 2025; Baluyot et al, 2025).</w:t>
      </w:r>
    </w:p>
    <w:p w14:paraId="1B4DA40C" w14:textId="77777777" w:rsidR="00153D51" w:rsidRDefault="00153D51">
      <w:pPr>
        <w:pStyle w:val="ConcHead"/>
        <w:spacing w:after="0"/>
        <w:jc w:val="both"/>
        <w:rPr>
          <w:rFonts w:ascii="Arial" w:hAnsi="Arial" w:cs="Arial"/>
        </w:rPr>
      </w:pPr>
    </w:p>
    <w:p w14:paraId="0C9B0FCB" w14:textId="77777777" w:rsidR="00153D51" w:rsidRDefault="00BD29D9">
      <w:pPr>
        <w:pStyle w:val="ConcHead"/>
        <w:spacing w:after="0"/>
        <w:jc w:val="both"/>
        <w:rPr>
          <w:rFonts w:ascii="Arial" w:hAnsi="Arial" w:cs="Arial"/>
        </w:rPr>
      </w:pPr>
      <w:r>
        <w:rPr>
          <w:rFonts w:ascii="Arial" w:hAnsi="Arial" w:cs="Arial"/>
        </w:rPr>
        <w:t>4. Conclusion</w:t>
      </w:r>
    </w:p>
    <w:p w14:paraId="03E8790D" w14:textId="77777777" w:rsidR="00C02CD2" w:rsidRDefault="00C02CD2">
      <w:pPr>
        <w:pStyle w:val="ConcHead"/>
        <w:spacing w:after="0"/>
        <w:jc w:val="both"/>
        <w:rPr>
          <w:rFonts w:ascii="Arial" w:hAnsi="Arial" w:cs="Arial"/>
        </w:rPr>
      </w:pPr>
    </w:p>
    <w:p w14:paraId="33B99166" w14:textId="77777777" w:rsidR="00153D51" w:rsidRDefault="00BD29D9">
      <w:pPr>
        <w:pStyle w:val="ConcHead"/>
        <w:spacing w:after="0"/>
        <w:ind w:firstLine="720"/>
        <w:jc w:val="both"/>
        <w:rPr>
          <w:rFonts w:ascii="Arial" w:hAnsi="Arial" w:cs="Arial"/>
          <w:b w:val="0"/>
          <w:bCs/>
          <w:caps w:val="0"/>
          <w:szCs w:val="22"/>
        </w:rPr>
      </w:pPr>
      <w:r>
        <w:rPr>
          <w:rFonts w:ascii="Arial" w:hAnsi="Arial" w:cs="Arial"/>
          <w:b w:val="0"/>
          <w:bCs/>
          <w:caps w:val="0"/>
          <w:szCs w:val="22"/>
        </w:rPr>
        <w:t>The study's initial assessment revealed that respondents from both the controlled and experimental groups exhibited a limited understanding of unit conversion, particularly in the context of real-life applications, as evidenced by their pre-test results. This finding indicated a general lack of mastery of the concept before any instructional intervention. Furthermore, statistical analysis of the pre-test scores demonstrated no significant difference between the two groups, suggesting that both possessed comparable levels of understanding before the commencement of either the YouTube video tutorial intervention or traditional teaching methods. This similarity at the baseline underscored the necessity for targeted instructional interventions to enhance student comprehension of unit conversion.</w:t>
      </w:r>
    </w:p>
    <w:p w14:paraId="710BC7CC" w14:textId="77777777" w:rsidR="00153D51" w:rsidRDefault="00BD29D9">
      <w:pPr>
        <w:pStyle w:val="ConcHead"/>
        <w:spacing w:after="0"/>
        <w:ind w:firstLine="720"/>
        <w:contextualSpacing/>
        <w:jc w:val="both"/>
        <w:rPr>
          <w:rFonts w:ascii="Arial" w:hAnsi="Arial" w:cs="Arial"/>
          <w:b w:val="0"/>
          <w:bCs/>
          <w:caps w:val="0"/>
          <w:szCs w:val="22"/>
        </w:rPr>
      </w:pPr>
      <w:r>
        <w:rPr>
          <w:rFonts w:ascii="Arial" w:hAnsi="Arial" w:cs="Arial"/>
          <w:b w:val="0"/>
          <w:bCs/>
          <w:caps w:val="0"/>
          <w:szCs w:val="22"/>
        </w:rPr>
        <w:t>Upon completion of the instructional period, the post-test results indicated an overall improvement in both groups compared to their initial performance. The controlled group demonstrated an average level of understanding categorized as "fair," while the experimental group achieved a higher average level categorized as "good." these findings suggested that both traditional teaching methods and the utilization of youtube video tutorials were effective in facilitating a better grasp of unit conversion concepts among the students.</w:t>
      </w:r>
    </w:p>
    <w:p w14:paraId="6BFCE3D4" w14:textId="77777777" w:rsidR="00153D51" w:rsidRDefault="00BD29D9">
      <w:pPr>
        <w:pStyle w:val="ConcHead"/>
        <w:spacing w:after="0"/>
        <w:ind w:firstLine="720"/>
        <w:contextualSpacing/>
        <w:jc w:val="both"/>
        <w:rPr>
          <w:rFonts w:ascii="Arial" w:hAnsi="Arial" w:cs="Arial"/>
          <w:b w:val="0"/>
          <w:bCs/>
          <w:szCs w:val="22"/>
        </w:rPr>
      </w:pPr>
      <w:r>
        <w:rPr>
          <w:rFonts w:ascii="Arial" w:hAnsi="Arial" w:cs="Arial"/>
          <w:b w:val="0"/>
          <w:bCs/>
          <w:caps w:val="0"/>
          <w:szCs w:val="22"/>
        </w:rPr>
        <w:t>However, despite the observed improvements within each group, the post-test results showed no statistically significant difference in performance between the controlled and experimental groups. This implied that, in terms of overall learning outcomes in unit conversion, the impact of YouTube video tutorials as a supplementary tool was comparable to that of traditional teaching methods, rather than demonstrably superior.</w:t>
      </w:r>
    </w:p>
    <w:p w14:paraId="5FBD2CA2" w14:textId="77777777" w:rsidR="00153D51" w:rsidRDefault="00BD29D9">
      <w:pPr>
        <w:pStyle w:val="ConcHead"/>
        <w:spacing w:after="0"/>
        <w:ind w:firstLine="720"/>
        <w:contextualSpacing/>
        <w:jc w:val="both"/>
        <w:rPr>
          <w:rFonts w:ascii="Arial" w:hAnsi="Arial" w:cs="Arial"/>
          <w:bCs/>
          <w:szCs w:val="22"/>
        </w:rPr>
      </w:pPr>
      <w:r>
        <w:rPr>
          <w:rFonts w:ascii="Arial" w:hAnsi="Arial" w:cs="Arial"/>
          <w:b w:val="0"/>
          <w:bCs/>
          <w:caps w:val="0"/>
          <w:szCs w:val="22"/>
        </w:rPr>
        <w:t>Finally, the study found significant improvements in both the control and experimental groups, demonstrating the effectiveness of traditional instruction and YouTube video tutorials in enhancing unit conversion skills. While the mean scores did not differ significantly, more students in the experimental group achieved excellent scores, suggesting a positive impact of video-based learning on individual performance.</w:t>
      </w:r>
    </w:p>
    <w:p w14:paraId="77661CFD" w14:textId="77777777" w:rsidR="00153D51" w:rsidRDefault="00153D51">
      <w:pPr>
        <w:pStyle w:val="ConcHead"/>
        <w:spacing w:after="0"/>
        <w:ind w:firstLine="720"/>
        <w:contextualSpacing/>
        <w:jc w:val="both"/>
        <w:rPr>
          <w:rFonts w:ascii="Arial" w:hAnsi="Arial" w:cs="Arial"/>
          <w:bCs/>
          <w:szCs w:val="22"/>
        </w:rPr>
      </w:pPr>
    </w:p>
    <w:p w14:paraId="23730375" w14:textId="77777777" w:rsidR="00153D51" w:rsidRDefault="00BD29D9">
      <w:pPr>
        <w:pStyle w:val="ConcHead"/>
        <w:spacing w:after="0"/>
        <w:contextualSpacing/>
        <w:jc w:val="both"/>
        <w:rPr>
          <w:rFonts w:ascii="Arial" w:hAnsi="Arial" w:cs="Arial"/>
          <w:bCs/>
          <w:szCs w:val="22"/>
        </w:rPr>
      </w:pPr>
      <w:r>
        <w:rPr>
          <w:rFonts w:ascii="Arial" w:hAnsi="Arial" w:cs="Arial"/>
          <w:bCs/>
          <w:szCs w:val="22"/>
        </w:rPr>
        <w:t xml:space="preserve">DISCLAIMER (ARTIFICIAL INTELLIGENCE) </w:t>
      </w:r>
    </w:p>
    <w:p w14:paraId="0E586890" w14:textId="77777777" w:rsidR="00153D51" w:rsidRDefault="00BD29D9">
      <w:pPr>
        <w:spacing w:before="100" w:beforeAutospacing="1" w:after="100" w:afterAutospacing="1"/>
        <w:ind w:firstLine="720"/>
        <w:jc w:val="both"/>
        <w:rPr>
          <w:rFonts w:ascii="Arial" w:hAnsi="Arial" w:cs="Arial"/>
          <w:b/>
          <w:bCs/>
          <w:sz w:val="22"/>
          <w:szCs w:val="22"/>
          <w:lang w:val="en-PH" w:eastAsia="en-PH"/>
        </w:rPr>
      </w:pPr>
      <w:r>
        <w:rPr>
          <w:rFonts w:ascii="Arial" w:hAnsi="Arial" w:cs="Arial"/>
          <w:bCs/>
          <w:sz w:val="22"/>
          <w:szCs w:val="22"/>
        </w:rPr>
        <w:t>This research utilized Copilot—advanced AI language models—for paraphrasing paragraphs and checking grammatical errors. The free copilot website was employed as a tool to enhance the clarity and readability of the text, ensuring that ideas were effectively communicated while maintaining the original meaning. The use of this AI model contributed to refining the language and structure of the manuscript.</w:t>
      </w:r>
    </w:p>
    <w:p w14:paraId="70B0139B" w14:textId="77777777" w:rsidR="00153D51" w:rsidRDefault="00BD29D9">
      <w:pPr>
        <w:pStyle w:val="AcknHead"/>
        <w:spacing w:after="0"/>
        <w:jc w:val="both"/>
        <w:rPr>
          <w:rFonts w:ascii="Arial" w:hAnsi="Arial" w:cs="Arial"/>
          <w:szCs w:val="22"/>
        </w:rPr>
      </w:pPr>
      <w:r>
        <w:rPr>
          <w:rFonts w:ascii="Arial" w:hAnsi="Arial" w:cs="Arial"/>
          <w:caps w:val="0"/>
          <w:szCs w:val="22"/>
        </w:rPr>
        <w:lastRenderedPageBreak/>
        <w:t>Details of the AI usage are given below:</w:t>
      </w:r>
    </w:p>
    <w:p w14:paraId="2DED2376" w14:textId="77777777" w:rsidR="00153D51" w:rsidRDefault="00153D51">
      <w:pPr>
        <w:pStyle w:val="AcknHead"/>
        <w:spacing w:after="0"/>
        <w:jc w:val="both"/>
        <w:rPr>
          <w:rFonts w:ascii="Arial" w:hAnsi="Arial" w:cs="Arial"/>
          <w:b w:val="0"/>
          <w:bCs/>
          <w:szCs w:val="22"/>
        </w:rPr>
      </w:pPr>
    </w:p>
    <w:p w14:paraId="7D762CF9" w14:textId="77777777" w:rsidR="00153D51" w:rsidRDefault="00BD29D9">
      <w:pPr>
        <w:pStyle w:val="AcknHead"/>
        <w:numPr>
          <w:ilvl w:val="0"/>
          <w:numId w:val="32"/>
        </w:numPr>
        <w:spacing w:after="0"/>
        <w:jc w:val="both"/>
        <w:rPr>
          <w:rFonts w:ascii="Arial" w:hAnsi="Arial" w:cs="Arial"/>
          <w:b w:val="0"/>
          <w:bCs/>
          <w:szCs w:val="22"/>
        </w:rPr>
      </w:pPr>
      <w:r>
        <w:rPr>
          <w:rFonts w:ascii="Arial" w:hAnsi="Arial" w:cs="Arial"/>
          <w:b w:val="0"/>
          <w:bCs/>
          <w:caps w:val="0"/>
          <w:szCs w:val="22"/>
        </w:rPr>
        <w:t>Used Copilot for paraphrasing paragraphs to improve the clarity and readability of the text.</w:t>
      </w:r>
    </w:p>
    <w:p w14:paraId="39A834C2" w14:textId="77777777" w:rsidR="00153D51" w:rsidRDefault="00BD29D9">
      <w:pPr>
        <w:pStyle w:val="AcknHead"/>
        <w:numPr>
          <w:ilvl w:val="0"/>
          <w:numId w:val="32"/>
        </w:numPr>
        <w:spacing w:after="0"/>
        <w:jc w:val="both"/>
        <w:rPr>
          <w:rFonts w:ascii="Arial" w:hAnsi="Arial" w:cs="Arial"/>
          <w:b w:val="0"/>
          <w:bCs/>
          <w:szCs w:val="22"/>
        </w:rPr>
      </w:pPr>
      <w:r>
        <w:rPr>
          <w:rFonts w:ascii="Arial" w:hAnsi="Arial" w:cs="Arial"/>
          <w:b w:val="0"/>
          <w:bCs/>
          <w:caps w:val="0"/>
          <w:szCs w:val="22"/>
        </w:rPr>
        <w:t>Used Copilot for checking language and grammar to enhance overall accuracy and fluency.</w:t>
      </w:r>
    </w:p>
    <w:p w14:paraId="04FCCA53" w14:textId="77777777" w:rsidR="00153D51" w:rsidRDefault="00153D51">
      <w:pPr>
        <w:pStyle w:val="ListParagraph"/>
        <w:rPr>
          <w:rFonts w:ascii="Arial" w:hAnsi="Arial" w:cs="Arial"/>
          <w:b/>
          <w:bCs/>
          <w:sz w:val="22"/>
          <w:szCs w:val="22"/>
        </w:rPr>
      </w:pPr>
    </w:p>
    <w:p w14:paraId="70EA8F71" w14:textId="77777777" w:rsidR="00153D51" w:rsidRDefault="00153D51">
      <w:pPr>
        <w:jc w:val="both"/>
        <w:rPr>
          <w:rFonts w:ascii="Arial" w:hAnsi="Arial" w:cs="Arial"/>
          <w:b/>
          <w:bCs/>
          <w:sz w:val="22"/>
          <w:szCs w:val="22"/>
        </w:rPr>
      </w:pPr>
    </w:p>
    <w:p w14:paraId="718DD237" w14:textId="77777777" w:rsidR="00153D51" w:rsidRDefault="00153D51">
      <w:pPr>
        <w:rPr>
          <w:rFonts w:ascii="Arial" w:hAnsi="Arial" w:cs="Arial"/>
          <w:b/>
          <w:bCs/>
          <w:sz w:val="22"/>
          <w:szCs w:val="22"/>
        </w:rPr>
      </w:pPr>
    </w:p>
    <w:p w14:paraId="68C68509" w14:textId="77777777" w:rsidR="00153D51" w:rsidRDefault="00BD29D9">
      <w:pPr>
        <w:pStyle w:val="ReferHead"/>
        <w:spacing w:after="0"/>
        <w:jc w:val="both"/>
        <w:rPr>
          <w:rFonts w:ascii="Arial" w:hAnsi="Arial" w:cs="Arial"/>
          <w:szCs w:val="22"/>
        </w:rPr>
      </w:pPr>
      <w:r>
        <w:rPr>
          <w:rFonts w:ascii="Arial" w:hAnsi="Arial" w:cs="Arial"/>
          <w:szCs w:val="22"/>
        </w:rPr>
        <w:t>References</w:t>
      </w:r>
    </w:p>
    <w:p w14:paraId="21DD0251" w14:textId="77777777" w:rsidR="00C02CD2" w:rsidRDefault="00C02CD2">
      <w:pPr>
        <w:pStyle w:val="NormalWeb"/>
        <w:spacing w:before="0" w:beforeAutospacing="0" w:after="0" w:afterAutospacing="0"/>
        <w:rPr>
          <w:rStyle w:val="url"/>
          <w:rFonts w:ascii="Arial" w:hAnsi="Arial" w:cs="Arial"/>
          <w:sz w:val="22"/>
          <w:szCs w:val="22"/>
        </w:rPr>
      </w:pPr>
    </w:p>
    <w:p w14:paraId="6740C2CE" w14:textId="69C7E1C2" w:rsidR="00C02CD2" w:rsidRPr="00C02CD2" w:rsidRDefault="00C02CD2" w:rsidP="00C02CD2">
      <w:pPr>
        <w:pStyle w:val="NormalWeb"/>
        <w:contextualSpacing/>
        <w:jc w:val="both"/>
        <w:rPr>
          <w:rFonts w:ascii="Arial" w:hAnsi="Arial" w:cs="Arial"/>
          <w:color w:val="000000"/>
          <w:sz w:val="22"/>
          <w:szCs w:val="22"/>
        </w:rPr>
      </w:pPr>
      <w:r>
        <w:rPr>
          <w:rFonts w:ascii="Arial" w:hAnsi="Arial" w:cs="Arial"/>
          <w:color w:val="000000"/>
          <w:sz w:val="22"/>
          <w:szCs w:val="22"/>
        </w:rPr>
        <w:t xml:space="preserve"> </w:t>
      </w:r>
    </w:p>
    <w:p w14:paraId="3A7E45DB" w14:textId="3B4D4C4C" w:rsidR="00C02CD2" w:rsidRDefault="00C02CD2">
      <w:pPr>
        <w:pStyle w:val="NormalWeb"/>
        <w:jc w:val="both"/>
        <w:rPr>
          <w:rFonts w:ascii="Arial" w:hAnsi="Arial" w:cs="Arial"/>
          <w:sz w:val="22"/>
          <w:szCs w:val="22"/>
        </w:rPr>
      </w:pPr>
      <w:r>
        <w:rPr>
          <w:rFonts w:ascii="Arial" w:hAnsi="Arial" w:cs="Arial"/>
          <w:sz w:val="22"/>
          <w:szCs w:val="22"/>
        </w:rPr>
        <w:t xml:space="preserve">Adoro, J. B., Dulay, E., </w:t>
      </w:r>
      <w:proofErr w:type="spellStart"/>
      <w:r>
        <w:rPr>
          <w:rFonts w:ascii="Arial" w:hAnsi="Arial" w:cs="Arial"/>
          <w:sz w:val="22"/>
          <w:szCs w:val="22"/>
        </w:rPr>
        <w:t>Talenjale</w:t>
      </w:r>
      <w:proofErr w:type="spellEnd"/>
      <w:r>
        <w:rPr>
          <w:rFonts w:ascii="Arial" w:hAnsi="Arial" w:cs="Arial"/>
          <w:sz w:val="22"/>
          <w:szCs w:val="22"/>
        </w:rPr>
        <w:t xml:space="preserve">, M., </w:t>
      </w:r>
      <w:proofErr w:type="spellStart"/>
      <w:r>
        <w:rPr>
          <w:rFonts w:ascii="Arial" w:hAnsi="Arial" w:cs="Arial"/>
          <w:sz w:val="22"/>
          <w:szCs w:val="22"/>
        </w:rPr>
        <w:t>Balanquit</w:t>
      </w:r>
      <w:proofErr w:type="spellEnd"/>
      <w:r>
        <w:rPr>
          <w:rFonts w:ascii="Arial" w:hAnsi="Arial" w:cs="Arial"/>
          <w:sz w:val="22"/>
          <w:szCs w:val="22"/>
        </w:rPr>
        <w:t xml:space="preserve">, C., &amp; Nobis, m. (2024). Investigating the influence of attitude, prior knowledge, and critical thinking on solving algebraic equations. Formosa journal of multidisciplinary research, 3(6), 1993–2004. </w:t>
      </w:r>
      <w:hyperlink r:id="rId8" w:history="1">
        <w:r>
          <w:rPr>
            <w:rStyle w:val="Hyperlink"/>
            <w:rFonts w:ascii="Arial" w:hAnsi="Arial" w:cs="Arial"/>
            <w:sz w:val="22"/>
            <w:szCs w:val="22"/>
          </w:rPr>
          <w:t>Https://doi.org/10.55927/fjmr.v3i6.9340</w:t>
        </w:r>
      </w:hyperlink>
    </w:p>
    <w:p w14:paraId="194AC76A" w14:textId="3AF2B466" w:rsidR="00C02CD2" w:rsidRDefault="00C02CD2">
      <w:pPr>
        <w:pStyle w:val="NormalWeb"/>
        <w:jc w:val="both"/>
        <w:rPr>
          <w:rFonts w:ascii="Arial" w:hAnsi="Arial" w:cs="Arial"/>
          <w:sz w:val="22"/>
          <w:szCs w:val="22"/>
        </w:rPr>
      </w:pPr>
      <w:r>
        <w:rPr>
          <w:rFonts w:ascii="Arial" w:hAnsi="Arial" w:cs="Arial"/>
          <w:sz w:val="22"/>
          <w:szCs w:val="22"/>
        </w:rPr>
        <w:t xml:space="preserve">Adu-Marfo, A. O. Et al. (2024). Understanding teachers’ usage of YouTube as a pedagogical tool: A qualitative case study of basic school teachers in Ghana. </w:t>
      </w:r>
      <w:r>
        <w:rPr>
          <w:rStyle w:val="Emphasis"/>
          <w:rFonts w:ascii="Arial" w:hAnsi="Arial" w:cs="Arial"/>
          <w:sz w:val="22"/>
          <w:szCs w:val="22"/>
        </w:rPr>
        <w:t>E-Learning and Digital Media, 0(0)</w:t>
      </w:r>
      <w:r>
        <w:rPr>
          <w:rFonts w:ascii="Arial" w:hAnsi="Arial" w:cs="Arial"/>
          <w:sz w:val="22"/>
          <w:szCs w:val="22"/>
        </w:rPr>
        <w:t xml:space="preserve">. </w:t>
      </w:r>
      <w:hyperlink r:id="rId9" w:history="1">
        <w:r>
          <w:rPr>
            <w:rStyle w:val="Hyperlink"/>
            <w:rFonts w:ascii="Arial" w:hAnsi="Arial" w:cs="Arial"/>
            <w:sz w:val="22"/>
            <w:szCs w:val="22"/>
          </w:rPr>
          <w:t>Https://doi.org/10.1177/20427530241239393</w:t>
        </w:r>
      </w:hyperlink>
    </w:p>
    <w:p w14:paraId="64D0F3B7" w14:textId="6309A654" w:rsidR="00C02CD2" w:rsidRDefault="00C02CD2">
      <w:pPr>
        <w:pStyle w:val="NormalWeb"/>
        <w:jc w:val="both"/>
        <w:rPr>
          <w:rFonts w:ascii="Arial" w:hAnsi="Arial" w:cs="Arial"/>
          <w:sz w:val="22"/>
          <w:szCs w:val="22"/>
        </w:rPr>
      </w:pPr>
      <w:r>
        <w:rPr>
          <w:rFonts w:ascii="Arial" w:hAnsi="Arial" w:cs="Arial"/>
          <w:sz w:val="22"/>
          <w:szCs w:val="22"/>
        </w:rPr>
        <w:t>Anisa, Y., Hafiz, M., &amp; Azmi, F. (2023). The potential of YouTube as a source of mathematics learning education. Asian Research Journal of Mathematics, 19(12), 1–8. Https://doi.org/10.9734/arjom/2023/v19i12767</w:t>
      </w:r>
    </w:p>
    <w:p w14:paraId="3F2294E3" w14:textId="7AD0C469" w:rsidR="00C02CD2" w:rsidRDefault="00C02CD2">
      <w:pPr>
        <w:pStyle w:val="NormalWeb"/>
        <w:jc w:val="both"/>
        <w:rPr>
          <w:rFonts w:ascii="Arial" w:hAnsi="Arial" w:cs="Arial"/>
          <w:sz w:val="22"/>
          <w:szCs w:val="22"/>
        </w:rPr>
      </w:pPr>
      <w:proofErr w:type="spellStart"/>
      <w:r>
        <w:rPr>
          <w:rFonts w:ascii="Arial" w:hAnsi="Arial" w:cs="Arial"/>
          <w:sz w:val="22"/>
          <w:szCs w:val="22"/>
        </w:rPr>
        <w:t>Asanre</w:t>
      </w:r>
      <w:proofErr w:type="spellEnd"/>
      <w:r>
        <w:rPr>
          <w:rFonts w:ascii="Arial" w:hAnsi="Arial" w:cs="Arial"/>
          <w:sz w:val="22"/>
          <w:szCs w:val="22"/>
        </w:rPr>
        <w:t xml:space="preserve">, A. A. Et al. (2024, March 30). Effect of integrating YouTube as a teaching tool... </w:t>
      </w:r>
      <w:hyperlink r:id="rId10" w:history="1">
        <w:r>
          <w:rPr>
            <w:rStyle w:val="Hyperlink"/>
            <w:rFonts w:ascii="Arial" w:hAnsi="Arial" w:cs="Arial"/>
            <w:sz w:val="22"/>
            <w:szCs w:val="22"/>
          </w:rPr>
          <w:t>Https://www.fnasjournals.com/index.php/FNAS-JMSE/article/view/391</w:t>
        </w:r>
      </w:hyperlink>
    </w:p>
    <w:p w14:paraId="2CB6A767" w14:textId="77777777" w:rsidR="00C02CD2" w:rsidRDefault="00C02CD2">
      <w:pPr>
        <w:pStyle w:val="NormalWeb"/>
        <w:jc w:val="both"/>
        <w:rPr>
          <w:rFonts w:ascii="Arial" w:hAnsi="Arial" w:cs="Arial"/>
          <w:sz w:val="22"/>
          <w:szCs w:val="22"/>
        </w:rPr>
      </w:pPr>
      <w:r>
        <w:rPr>
          <w:rFonts w:ascii="Arial" w:hAnsi="Arial" w:cs="Arial"/>
          <w:sz w:val="22"/>
          <w:szCs w:val="22"/>
        </w:rPr>
        <w:t xml:space="preserve"> Attard, C., &amp; Holmes, K. (2022). An exploration of teacher and student perceptions of blended learning in four secondary mathematics classrooms. </w:t>
      </w:r>
      <w:r>
        <w:rPr>
          <w:rStyle w:val="Emphasis"/>
          <w:rFonts w:ascii="Arial" w:hAnsi="Arial" w:cs="Arial"/>
          <w:sz w:val="22"/>
          <w:szCs w:val="22"/>
        </w:rPr>
        <w:t>Math Ed Res J, 34</w:t>
      </w:r>
      <w:r>
        <w:rPr>
          <w:rFonts w:ascii="Arial" w:hAnsi="Arial" w:cs="Arial"/>
          <w:sz w:val="22"/>
          <w:szCs w:val="22"/>
        </w:rPr>
        <w:t xml:space="preserve">, 719–740. </w:t>
      </w:r>
      <w:hyperlink r:id="rId11" w:history="1">
        <w:r>
          <w:rPr>
            <w:rStyle w:val="Hyperlink"/>
            <w:rFonts w:ascii="Arial" w:hAnsi="Arial" w:cs="Arial"/>
            <w:sz w:val="22"/>
            <w:szCs w:val="22"/>
          </w:rPr>
          <w:t>Https://doi.org/10.1007/s13394-020-00359-2</w:t>
        </w:r>
      </w:hyperlink>
    </w:p>
    <w:p w14:paraId="7640D336" w14:textId="77777777" w:rsidR="00C02CD2" w:rsidRDefault="00C02CD2">
      <w:pPr>
        <w:pStyle w:val="NormalWeb"/>
        <w:jc w:val="both"/>
        <w:rPr>
          <w:rFonts w:ascii="Arial" w:hAnsi="Arial" w:cs="Arial"/>
          <w:sz w:val="22"/>
          <w:szCs w:val="22"/>
        </w:rPr>
      </w:pPr>
      <w:proofErr w:type="spellStart"/>
      <w:r>
        <w:rPr>
          <w:rFonts w:ascii="Arial" w:hAnsi="Arial" w:cs="Arial"/>
          <w:sz w:val="22"/>
          <w:szCs w:val="22"/>
        </w:rPr>
        <w:t>Balanquit</w:t>
      </w:r>
      <w:proofErr w:type="spellEnd"/>
      <w:r>
        <w:rPr>
          <w:rFonts w:ascii="Arial" w:hAnsi="Arial" w:cs="Arial"/>
          <w:sz w:val="22"/>
          <w:szCs w:val="22"/>
        </w:rPr>
        <w:t>, c. &amp; nobis, m. (2025). Assessment of conceptual knowledge and error analysis in mathematics among pre-service teachers. International journal of advanced research in education and society. 7. 217-229. 10.55057/</w:t>
      </w:r>
      <w:proofErr w:type="spellStart"/>
      <w:r>
        <w:rPr>
          <w:rFonts w:ascii="Arial" w:hAnsi="Arial" w:cs="Arial"/>
          <w:sz w:val="22"/>
          <w:szCs w:val="22"/>
        </w:rPr>
        <w:t>ijares</w:t>
      </w:r>
      <w:proofErr w:type="spellEnd"/>
      <w:r>
        <w:rPr>
          <w:rFonts w:ascii="Arial" w:hAnsi="Arial" w:cs="Arial"/>
          <w:sz w:val="22"/>
          <w:szCs w:val="22"/>
        </w:rPr>
        <w:t xml:space="preserve"> 2025.7.1.20.</w:t>
      </w:r>
    </w:p>
    <w:p w14:paraId="2FF3B2AF" w14:textId="77777777" w:rsidR="00C02CD2" w:rsidRDefault="00C02CD2">
      <w:pPr>
        <w:pStyle w:val="NormalWeb"/>
        <w:jc w:val="both"/>
        <w:rPr>
          <w:rFonts w:ascii="Arial" w:hAnsi="Arial" w:cs="Arial"/>
          <w:sz w:val="22"/>
          <w:szCs w:val="22"/>
        </w:rPr>
      </w:pPr>
      <w:r w:rsidRPr="00C02CD2">
        <w:rPr>
          <w:rFonts w:ascii="Arial" w:hAnsi="Arial" w:cs="Arial"/>
          <w:sz w:val="22"/>
          <w:szCs w:val="22"/>
        </w:rPr>
        <w:t>Baluyot, R. B., Lucban, L. A., &amp; Parane, J. A. (2025). E-learning in Mathematics Education: Examining Teachers’ Attitude, Intentions and Barriers. Advances in Research, 26(3), 199–210. https://doi.org/10.9734/air/2025/v26i31338</w:t>
      </w:r>
    </w:p>
    <w:p w14:paraId="331AA4FD" w14:textId="0252A09E" w:rsidR="00C02CD2" w:rsidRDefault="00C02CD2">
      <w:pPr>
        <w:pStyle w:val="NormalWeb"/>
        <w:jc w:val="both"/>
        <w:rPr>
          <w:rFonts w:ascii="Arial" w:hAnsi="Arial" w:cs="Arial"/>
          <w:sz w:val="22"/>
          <w:szCs w:val="22"/>
        </w:rPr>
      </w:pPr>
      <w:r>
        <w:rPr>
          <w:rFonts w:ascii="Arial" w:hAnsi="Arial" w:cs="Arial"/>
          <w:sz w:val="22"/>
          <w:szCs w:val="22"/>
        </w:rPr>
        <w:t>Bright, A., Welcome, N. B., &amp; Arthur, Y. D. (2024). The effect of using technology in teaching and learning mathematics on students’ mathematics performance: The mediation effect of students’ mathematics interest. Journal of Mathematics and Science Teacher, 4(2), em059. Https://doi.org/10.29333/mathsciteacher/14309</w:t>
      </w:r>
    </w:p>
    <w:p w14:paraId="20384758" w14:textId="122331DA" w:rsidR="00C02CD2" w:rsidRDefault="00C02CD2">
      <w:pPr>
        <w:pStyle w:val="NormalWeb"/>
        <w:jc w:val="both"/>
        <w:rPr>
          <w:rFonts w:ascii="Arial" w:hAnsi="Arial" w:cs="Arial"/>
          <w:sz w:val="22"/>
          <w:szCs w:val="22"/>
        </w:rPr>
      </w:pPr>
      <w:proofErr w:type="spellStart"/>
      <w:r>
        <w:rPr>
          <w:rFonts w:ascii="Arial" w:hAnsi="Arial" w:cs="Arial"/>
          <w:sz w:val="22"/>
          <w:szCs w:val="22"/>
        </w:rPr>
        <w:t>Cabugwason</w:t>
      </w:r>
      <w:proofErr w:type="spellEnd"/>
      <w:r>
        <w:rPr>
          <w:rFonts w:ascii="Arial" w:hAnsi="Arial" w:cs="Arial"/>
          <w:sz w:val="22"/>
          <w:szCs w:val="22"/>
        </w:rPr>
        <w:t xml:space="preserve">, M. R. et al. (2024). Math Apps in Math Education: Experiences and Challenges of Pre-Service Teachers. </w:t>
      </w:r>
      <w:r>
        <w:rPr>
          <w:rStyle w:val="Emphasis"/>
          <w:rFonts w:ascii="Arial" w:hAnsi="Arial" w:cs="Arial"/>
          <w:sz w:val="22"/>
          <w:szCs w:val="22"/>
        </w:rPr>
        <w:t>IGNATIAN: International Journal for Multidisciplinary Research, 2(5)</w:t>
      </w:r>
      <w:r>
        <w:rPr>
          <w:rFonts w:ascii="Arial" w:hAnsi="Arial" w:cs="Arial"/>
          <w:sz w:val="22"/>
          <w:szCs w:val="22"/>
        </w:rPr>
        <w:t xml:space="preserve">, 1909–1922. </w:t>
      </w:r>
      <w:hyperlink r:id="rId12" w:history="1">
        <w:r>
          <w:rPr>
            <w:rStyle w:val="Hyperlink"/>
            <w:rFonts w:ascii="Arial" w:hAnsi="Arial" w:cs="Arial"/>
            <w:sz w:val="22"/>
            <w:szCs w:val="22"/>
          </w:rPr>
          <w:t>Https://doi.org/10.5281/zenodo.11235604</w:t>
        </w:r>
      </w:hyperlink>
    </w:p>
    <w:p w14:paraId="2A15AEBF" w14:textId="77777777" w:rsidR="00C02CD2" w:rsidRDefault="00C02CD2">
      <w:pPr>
        <w:pStyle w:val="NormalWeb"/>
        <w:jc w:val="both"/>
        <w:rPr>
          <w:rFonts w:ascii="Arial" w:hAnsi="Arial" w:cs="Arial"/>
          <w:sz w:val="22"/>
          <w:szCs w:val="22"/>
        </w:rPr>
      </w:pPr>
      <w:r>
        <w:rPr>
          <w:rFonts w:ascii="Arial" w:hAnsi="Arial" w:cs="Arial"/>
          <w:sz w:val="22"/>
          <w:szCs w:val="22"/>
        </w:rPr>
        <w:t xml:space="preserve">Chand, S. Et al. (2021). Perceived causes of students’ poor performance in mathematics: A case study at BA and Tavua Secondary Schools. </w:t>
      </w:r>
      <w:r>
        <w:rPr>
          <w:rStyle w:val="Emphasis"/>
          <w:rFonts w:ascii="Arial" w:hAnsi="Arial" w:cs="Arial"/>
          <w:sz w:val="22"/>
          <w:szCs w:val="22"/>
        </w:rPr>
        <w:t>Frontiers in Applied Mathematics and Statistics, 7</w:t>
      </w:r>
      <w:r>
        <w:rPr>
          <w:rFonts w:ascii="Arial" w:hAnsi="Arial" w:cs="Arial"/>
          <w:sz w:val="22"/>
          <w:szCs w:val="22"/>
        </w:rPr>
        <w:t xml:space="preserve">. </w:t>
      </w:r>
      <w:hyperlink r:id="rId13" w:history="1">
        <w:r>
          <w:rPr>
            <w:rStyle w:val="Hyperlink"/>
            <w:rFonts w:ascii="Arial" w:hAnsi="Arial" w:cs="Arial"/>
            <w:sz w:val="22"/>
            <w:szCs w:val="22"/>
          </w:rPr>
          <w:t>Https://doi.org/10.3389/fams.2021.614408</w:t>
        </w:r>
      </w:hyperlink>
    </w:p>
    <w:p w14:paraId="1CDD9C92" w14:textId="77777777" w:rsidR="00C02CD2" w:rsidRDefault="00C02CD2">
      <w:pPr>
        <w:pStyle w:val="NormalWeb"/>
        <w:jc w:val="both"/>
        <w:rPr>
          <w:rFonts w:ascii="Arial" w:hAnsi="Arial" w:cs="Arial"/>
          <w:sz w:val="22"/>
          <w:szCs w:val="22"/>
        </w:rPr>
      </w:pPr>
      <w:proofErr w:type="spellStart"/>
      <w:r>
        <w:rPr>
          <w:rFonts w:ascii="Arial" w:hAnsi="Arial" w:cs="Arial"/>
          <w:sz w:val="22"/>
          <w:szCs w:val="22"/>
        </w:rPr>
        <w:lastRenderedPageBreak/>
        <w:t>Cirneanu</w:t>
      </w:r>
      <w:proofErr w:type="spellEnd"/>
      <w:r>
        <w:rPr>
          <w:rFonts w:ascii="Arial" w:hAnsi="Arial" w:cs="Arial"/>
          <w:sz w:val="22"/>
          <w:szCs w:val="22"/>
        </w:rPr>
        <w:t xml:space="preserve">, A., &amp; Moldoveanu, C. (2024). Use of digital technology in integrated mathematics education... </w:t>
      </w:r>
      <w:hyperlink r:id="rId14" w:history="1">
        <w:r>
          <w:rPr>
            <w:rStyle w:val="Hyperlink"/>
            <w:rFonts w:ascii="Arial" w:hAnsi="Arial" w:cs="Arial"/>
            <w:sz w:val="22"/>
            <w:szCs w:val="22"/>
          </w:rPr>
          <w:t>Https://doi.org/10.3390/asi7040066</w:t>
        </w:r>
      </w:hyperlink>
    </w:p>
    <w:p w14:paraId="7CCC55F1" w14:textId="77777777" w:rsidR="00C02CD2" w:rsidRDefault="00C02CD2">
      <w:pPr>
        <w:pStyle w:val="NormalWeb"/>
        <w:jc w:val="both"/>
        <w:rPr>
          <w:rFonts w:ascii="Arial" w:hAnsi="Arial" w:cs="Arial"/>
          <w:sz w:val="22"/>
          <w:szCs w:val="22"/>
        </w:rPr>
      </w:pPr>
      <w:r>
        <w:rPr>
          <w:rFonts w:ascii="Arial" w:hAnsi="Arial" w:cs="Arial"/>
          <w:sz w:val="22"/>
          <w:szCs w:val="22"/>
        </w:rPr>
        <w:t xml:space="preserve">Flatt, E. Et al. (2023). Can educational video resources improve learning when used to augment traditional teaching of clinical examination? A randomized control trial of novice medical students. </w:t>
      </w:r>
      <w:r>
        <w:rPr>
          <w:rStyle w:val="Emphasis"/>
          <w:rFonts w:ascii="Arial" w:hAnsi="Arial" w:cs="Arial"/>
          <w:sz w:val="22"/>
          <w:szCs w:val="22"/>
        </w:rPr>
        <w:t>BMC Med Educ, 23</w:t>
      </w:r>
      <w:r>
        <w:rPr>
          <w:rFonts w:ascii="Arial" w:hAnsi="Arial" w:cs="Arial"/>
          <w:sz w:val="22"/>
          <w:szCs w:val="22"/>
        </w:rPr>
        <w:t xml:space="preserve">, 21. </w:t>
      </w:r>
      <w:hyperlink r:id="rId15" w:history="1">
        <w:r>
          <w:rPr>
            <w:rStyle w:val="Hyperlink"/>
            <w:rFonts w:ascii="Arial" w:hAnsi="Arial" w:cs="Arial"/>
            <w:sz w:val="22"/>
            <w:szCs w:val="22"/>
          </w:rPr>
          <w:t>Https://doi.org/10.1186/s12909-022-03974-8</w:t>
        </w:r>
      </w:hyperlink>
    </w:p>
    <w:p w14:paraId="4609F4A3" w14:textId="001EE33F" w:rsidR="00C02CD2" w:rsidRDefault="00C02CD2">
      <w:pPr>
        <w:pStyle w:val="NormalWeb"/>
        <w:jc w:val="both"/>
      </w:pPr>
      <w:r>
        <w:rPr>
          <w:rFonts w:ascii="Arial" w:hAnsi="Arial" w:cs="Arial"/>
          <w:sz w:val="22"/>
          <w:szCs w:val="22"/>
        </w:rPr>
        <w:t xml:space="preserve">Frederick-Jonah, T. M. Et al. (2020). Effect of YouTube-enhanced instructional strategy... </w:t>
      </w:r>
      <w:hyperlink r:id="rId16" w:history="1">
        <w:r>
          <w:rPr>
            <w:rStyle w:val="Hyperlink"/>
            <w:rFonts w:ascii="Arial" w:hAnsi="Arial" w:cs="Arial"/>
            <w:color w:val="000000"/>
            <w:sz w:val="22"/>
            <w:szCs w:val="22"/>
          </w:rPr>
          <w:t>Https://openaccessglobal.com/wp-content/uploads/2021/12/6-Toinpere-Edited-by-Fidelis-Itomo.pdf</w:t>
        </w:r>
      </w:hyperlink>
    </w:p>
    <w:p w14:paraId="06FAF53F" w14:textId="3C008615" w:rsidR="00C02CD2" w:rsidRDefault="00C02CD2">
      <w:pPr>
        <w:pStyle w:val="NormalWeb"/>
        <w:jc w:val="both"/>
        <w:rPr>
          <w:rFonts w:ascii="Arial" w:hAnsi="Arial" w:cs="Arial"/>
          <w:color w:val="000000"/>
          <w:sz w:val="22"/>
          <w:szCs w:val="22"/>
        </w:rPr>
      </w:pPr>
      <w:proofErr w:type="spellStart"/>
      <w:r>
        <w:rPr>
          <w:rFonts w:ascii="Arial" w:hAnsi="Arial" w:cs="Arial"/>
          <w:color w:val="000000"/>
          <w:sz w:val="22"/>
          <w:szCs w:val="22"/>
        </w:rPr>
        <w:t>Ibok</w:t>
      </w:r>
      <w:proofErr w:type="spellEnd"/>
      <w:r>
        <w:rPr>
          <w:rFonts w:ascii="Arial" w:hAnsi="Arial" w:cs="Arial"/>
          <w:color w:val="000000"/>
          <w:sz w:val="22"/>
          <w:szCs w:val="22"/>
        </w:rPr>
        <w:t xml:space="preserve">, E. E. Et al. (2024). Teachers’ professional competencies as determinants of students’ academic achievement in mathematics in the UYO Education Zone of Akwa Ibom State, Nigeria. </w:t>
      </w:r>
      <w:r>
        <w:rPr>
          <w:rStyle w:val="Emphasis"/>
          <w:rFonts w:ascii="Arial" w:hAnsi="Arial" w:cs="Arial"/>
          <w:color w:val="000000"/>
          <w:sz w:val="22"/>
          <w:szCs w:val="22"/>
        </w:rPr>
        <w:t>Global Journal of Educational Research, 23(1)</w:t>
      </w:r>
      <w:r>
        <w:rPr>
          <w:rFonts w:ascii="Arial" w:hAnsi="Arial" w:cs="Arial"/>
          <w:color w:val="000000"/>
          <w:sz w:val="22"/>
          <w:szCs w:val="22"/>
        </w:rPr>
        <w:t xml:space="preserve">, 67–76. </w:t>
      </w:r>
      <w:hyperlink r:id="rId17" w:history="1">
        <w:r>
          <w:rPr>
            <w:rStyle w:val="Hyperlink"/>
            <w:rFonts w:ascii="Arial" w:hAnsi="Arial" w:cs="Arial"/>
            <w:sz w:val="22"/>
            <w:szCs w:val="22"/>
          </w:rPr>
          <w:t>Https://doi.org/10.4314/gjedr.v23i1.7</w:t>
        </w:r>
      </w:hyperlink>
    </w:p>
    <w:p w14:paraId="649F382B" w14:textId="4A47C755" w:rsidR="00C02CD2" w:rsidRDefault="00C02CD2">
      <w:pPr>
        <w:pStyle w:val="NormalWeb"/>
        <w:jc w:val="both"/>
        <w:rPr>
          <w:rFonts w:ascii="Arial" w:hAnsi="Arial" w:cs="Arial"/>
          <w:color w:val="000000"/>
          <w:sz w:val="22"/>
          <w:szCs w:val="22"/>
        </w:rPr>
      </w:pPr>
      <w:proofErr w:type="spellStart"/>
      <w:r>
        <w:rPr>
          <w:rFonts w:ascii="Arial" w:hAnsi="Arial" w:cs="Arial"/>
          <w:color w:val="000000"/>
          <w:sz w:val="22"/>
          <w:szCs w:val="22"/>
        </w:rPr>
        <w:t>Insorio</w:t>
      </w:r>
      <w:proofErr w:type="spellEnd"/>
      <w:r>
        <w:rPr>
          <w:rFonts w:ascii="Arial" w:hAnsi="Arial" w:cs="Arial"/>
          <w:color w:val="000000"/>
          <w:sz w:val="22"/>
          <w:szCs w:val="22"/>
        </w:rPr>
        <w:t xml:space="preserve">, A. O., &amp; Macandog, D. M. (2022). YouTube video playlist as Mathematics Supplementary learning material... </w:t>
      </w:r>
      <w:hyperlink r:id="rId18" w:history="1">
        <w:r>
          <w:rPr>
            <w:rStyle w:val="Hyperlink"/>
            <w:rFonts w:ascii="Arial" w:hAnsi="Arial" w:cs="Arial"/>
            <w:sz w:val="22"/>
            <w:szCs w:val="22"/>
          </w:rPr>
          <w:t>Https://doi.org/10.30935/ejimed/12490</w:t>
        </w:r>
      </w:hyperlink>
    </w:p>
    <w:p w14:paraId="4B3AB1FF" w14:textId="77777777" w:rsidR="00C02CD2" w:rsidRDefault="00C02CD2">
      <w:pPr>
        <w:pStyle w:val="NormalWeb"/>
        <w:jc w:val="both"/>
        <w:rPr>
          <w:rFonts w:ascii="Arial" w:hAnsi="Arial" w:cs="Arial"/>
          <w:color w:val="000000"/>
          <w:sz w:val="22"/>
          <w:szCs w:val="22"/>
        </w:rPr>
      </w:pPr>
      <w:r>
        <w:rPr>
          <w:rFonts w:ascii="Arial" w:hAnsi="Arial" w:cs="Arial"/>
          <w:color w:val="000000"/>
          <w:sz w:val="22"/>
          <w:szCs w:val="22"/>
        </w:rPr>
        <w:t xml:space="preserve">Lange, C., &amp; Costley, J. (2020). Improving online video lectures: Learning challenges created by media. International Journal of Educational Technology in Higher Education, 17, 16. </w:t>
      </w:r>
      <w:hyperlink r:id="rId19" w:history="1">
        <w:r>
          <w:rPr>
            <w:rStyle w:val="Hyperlink"/>
            <w:rFonts w:ascii="Arial" w:hAnsi="Arial" w:cs="Arial"/>
            <w:sz w:val="22"/>
            <w:szCs w:val="22"/>
          </w:rPr>
          <w:t>Https://doi.org/10.1186/s41239-020-00190-6</w:t>
        </w:r>
      </w:hyperlink>
    </w:p>
    <w:p w14:paraId="25CB5E74" w14:textId="07D8EEB6" w:rsidR="00C02CD2" w:rsidRDefault="00C02CD2">
      <w:pPr>
        <w:pStyle w:val="NormalWeb"/>
        <w:jc w:val="both"/>
      </w:pPr>
      <w:r>
        <w:rPr>
          <w:rFonts w:ascii="Arial" w:hAnsi="Arial" w:cs="Arial"/>
          <w:color w:val="000000"/>
          <w:sz w:val="22"/>
          <w:szCs w:val="22"/>
        </w:rPr>
        <w:t xml:space="preserve">Lu, J. C. (2023). Using YouTube as an effective educational tool... </w:t>
      </w:r>
      <w:hyperlink r:id="rId20" w:history="1">
        <w:r>
          <w:rPr>
            <w:rStyle w:val="Hyperlink"/>
            <w:rFonts w:ascii="Arial" w:hAnsi="Arial" w:cs="Arial"/>
            <w:color w:val="auto"/>
            <w:sz w:val="22"/>
            <w:szCs w:val="22"/>
          </w:rPr>
          <w:t>Https://doi.org/10.3390/engproc2023038024</w:t>
        </w:r>
      </w:hyperlink>
    </w:p>
    <w:p w14:paraId="05F34151" w14:textId="77777777" w:rsidR="00C02CD2" w:rsidRDefault="00C02CD2">
      <w:pPr>
        <w:pStyle w:val="NormalWeb"/>
        <w:jc w:val="both"/>
        <w:rPr>
          <w:rFonts w:ascii="Arial" w:hAnsi="Arial" w:cs="Arial"/>
          <w:sz w:val="22"/>
          <w:szCs w:val="22"/>
        </w:rPr>
      </w:pPr>
      <w:r>
        <w:rPr>
          <w:rFonts w:ascii="Arial" w:hAnsi="Arial" w:cs="Arial"/>
          <w:sz w:val="22"/>
          <w:szCs w:val="22"/>
        </w:rPr>
        <w:t xml:space="preserve">Lupas, L. B., olchondra, j. A. A., irinco, j. P. L., &amp; nobis jr, m. L. Cracking the math code: challenges and strategies for success among future math educators. </w:t>
      </w:r>
      <w:hyperlink r:id="rId21" w:history="1">
        <w:r>
          <w:rPr>
            <w:rStyle w:val="Hyperlink"/>
            <w:rFonts w:ascii="Arial" w:hAnsi="Arial" w:cs="Arial"/>
            <w:sz w:val="22"/>
            <w:szCs w:val="22"/>
          </w:rPr>
          <w:t>Https://etcor.org/storage/ijoined/vol.%20iii(3),%20158-168.pdf</w:t>
        </w:r>
      </w:hyperlink>
    </w:p>
    <w:p w14:paraId="601D643D" w14:textId="4A576F83" w:rsidR="00C02CD2" w:rsidRDefault="00C02CD2">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Magas, J. C. &amp; College of Education, Ifugao State University-Main Campus, Ifugao, Philippines. (2025). Construction and Evaluation of Self-directed Learning Material and Its Effect on STEM students’ academic Performance in Mathematics. In </w:t>
      </w:r>
      <w:r>
        <w:rPr>
          <w:rFonts w:ascii="Arial" w:hAnsi="Arial" w:cs="Arial"/>
          <w:i/>
          <w:iCs/>
          <w:sz w:val="22"/>
          <w:szCs w:val="22"/>
        </w:rPr>
        <w:t>MATHEMATICS TEACHING RESEARCH JOURNAL</w:t>
      </w:r>
      <w:r>
        <w:rPr>
          <w:rFonts w:ascii="Arial" w:hAnsi="Arial" w:cs="Arial"/>
          <w:sz w:val="22"/>
          <w:szCs w:val="22"/>
        </w:rPr>
        <w:t xml:space="preserve"> (Vol. 17, Issue 1) [Journal-article]. </w:t>
      </w:r>
      <w:r>
        <w:rPr>
          <w:rStyle w:val="url"/>
          <w:rFonts w:ascii="Arial" w:hAnsi="Arial" w:cs="Arial"/>
          <w:sz w:val="22"/>
          <w:szCs w:val="22"/>
        </w:rPr>
        <w:t>Http://files.commons.gc.cuny.edu.s3.amazonaws.com/wp-content/blogs.dir/34462/files/2025/03/e10.-Magas-2.pdf</w:t>
      </w:r>
    </w:p>
    <w:p w14:paraId="629B719E" w14:textId="77777777" w:rsidR="00C02CD2" w:rsidRDefault="00C02CD2">
      <w:pPr>
        <w:pStyle w:val="NormalWeb"/>
        <w:jc w:val="both"/>
        <w:rPr>
          <w:rFonts w:ascii="Arial" w:hAnsi="Arial" w:cs="Arial"/>
          <w:color w:val="000000"/>
          <w:sz w:val="22"/>
          <w:szCs w:val="22"/>
        </w:rPr>
      </w:pPr>
      <w:r>
        <w:rPr>
          <w:rFonts w:ascii="Arial" w:hAnsi="Arial" w:cs="Arial"/>
          <w:color w:val="000000"/>
          <w:sz w:val="22"/>
          <w:szCs w:val="22"/>
        </w:rPr>
        <w:t xml:space="preserve">Mohammed, I. A., &amp; Bello, A. (2024). Performance of mathematics students using video learning... </w:t>
      </w:r>
      <w:hyperlink r:id="rId22" w:history="1">
        <w:r>
          <w:rPr>
            <w:rStyle w:val="Hyperlink"/>
            <w:rFonts w:ascii="Arial" w:hAnsi="Arial" w:cs="Arial"/>
            <w:sz w:val="22"/>
            <w:szCs w:val="22"/>
          </w:rPr>
          <w:t>Https://doi.org/10.29333/pr/14699</w:t>
        </w:r>
      </w:hyperlink>
    </w:p>
    <w:p w14:paraId="0062A51A" w14:textId="77777777" w:rsidR="00C02CD2" w:rsidRDefault="00C02CD2">
      <w:pPr>
        <w:pStyle w:val="NormalWeb"/>
        <w:jc w:val="both"/>
      </w:pPr>
      <w:proofErr w:type="spellStart"/>
      <w:r>
        <w:rPr>
          <w:rFonts w:ascii="Arial" w:hAnsi="Arial" w:cs="Arial"/>
          <w:color w:val="000000"/>
          <w:sz w:val="22"/>
          <w:szCs w:val="22"/>
        </w:rPr>
        <w:t>Nabayra</w:t>
      </w:r>
      <w:proofErr w:type="spellEnd"/>
      <w:r>
        <w:rPr>
          <w:rFonts w:ascii="Arial" w:hAnsi="Arial" w:cs="Arial"/>
          <w:color w:val="000000"/>
          <w:sz w:val="22"/>
          <w:szCs w:val="22"/>
        </w:rPr>
        <w:t>, J. (20</w:t>
      </w:r>
      <w:r>
        <w:rPr>
          <w:rFonts w:ascii="Arial" w:hAnsi="Arial" w:cs="Arial"/>
          <w:sz w:val="22"/>
          <w:szCs w:val="22"/>
        </w:rPr>
        <w:t xml:space="preserve">22). Mathematics Learning in the New Normal Through Teacher-Created Videos... </w:t>
      </w:r>
      <w:hyperlink r:id="rId23" w:history="1">
        <w:r>
          <w:rPr>
            <w:rStyle w:val="Hyperlink"/>
            <w:rFonts w:ascii="Arial" w:hAnsi="Arial" w:cs="Arial"/>
            <w:color w:val="auto"/>
            <w:sz w:val="22"/>
            <w:szCs w:val="22"/>
          </w:rPr>
          <w:t>Https://doi.org/10.32996/bjahs.2022.2.1.4</w:t>
        </w:r>
      </w:hyperlink>
    </w:p>
    <w:p w14:paraId="63647CBB" w14:textId="77777777" w:rsidR="00C02CD2" w:rsidRDefault="00C02CD2">
      <w:pPr>
        <w:pStyle w:val="NormalWeb"/>
        <w:spacing w:before="0" w:beforeAutospacing="0" w:after="0" w:afterAutospacing="0"/>
      </w:pPr>
      <w:r>
        <w:rPr>
          <w:rFonts w:ascii="Arial" w:hAnsi="Arial" w:cs="Arial"/>
          <w:sz w:val="22"/>
          <w:szCs w:val="22"/>
        </w:rPr>
        <w:t xml:space="preserve">Nguyen, H., An, T., &amp; Maher, E. M. (2023). Impact of designed Task-Based interventions on K-8 preservice teachers’ knowledge and ability to solve measurement unit conversion problems. </w:t>
      </w:r>
      <w:r>
        <w:rPr>
          <w:rFonts w:ascii="Arial" w:hAnsi="Arial" w:cs="Arial"/>
          <w:i/>
          <w:iCs/>
          <w:sz w:val="22"/>
          <w:szCs w:val="22"/>
        </w:rPr>
        <w:t>International Journal on Studies in Education</w:t>
      </w:r>
      <w:r>
        <w:rPr>
          <w:rFonts w:ascii="Arial" w:hAnsi="Arial" w:cs="Arial"/>
          <w:sz w:val="22"/>
          <w:szCs w:val="22"/>
        </w:rPr>
        <w:t xml:space="preserve">, </w:t>
      </w:r>
      <w:r>
        <w:rPr>
          <w:rFonts w:ascii="Arial" w:hAnsi="Arial" w:cs="Arial"/>
          <w:i/>
          <w:iCs/>
          <w:sz w:val="22"/>
          <w:szCs w:val="22"/>
        </w:rPr>
        <w:t>5</w:t>
      </w:r>
      <w:r>
        <w:rPr>
          <w:rFonts w:ascii="Arial" w:hAnsi="Arial" w:cs="Arial"/>
          <w:sz w:val="22"/>
          <w:szCs w:val="22"/>
        </w:rPr>
        <w:t xml:space="preserve">(3), 232–244. </w:t>
      </w:r>
      <w:hyperlink r:id="rId24" w:history="1">
        <w:r>
          <w:rPr>
            <w:rStyle w:val="Hyperlink"/>
            <w:rFonts w:ascii="Arial" w:hAnsi="Arial" w:cs="Arial"/>
            <w:sz w:val="22"/>
            <w:szCs w:val="22"/>
          </w:rPr>
          <w:t>Https://doi.org/10.46328/ijonse.126</w:t>
        </w:r>
      </w:hyperlink>
    </w:p>
    <w:p w14:paraId="5A599357" w14:textId="77777777" w:rsidR="00C02CD2" w:rsidRDefault="00C02CD2">
      <w:pPr>
        <w:pStyle w:val="NormalWeb"/>
        <w:spacing w:before="0" w:beforeAutospacing="0" w:after="0" w:afterAutospacing="0"/>
        <w:rPr>
          <w:rStyle w:val="url"/>
          <w:rFonts w:ascii="Arial" w:hAnsi="Arial" w:cs="Arial"/>
          <w:sz w:val="22"/>
          <w:szCs w:val="22"/>
        </w:rPr>
      </w:pPr>
    </w:p>
    <w:p w14:paraId="21120B2C" w14:textId="04BF63E5" w:rsidR="00C02CD2" w:rsidRDefault="00C02CD2">
      <w:pPr>
        <w:pStyle w:val="NormalWeb"/>
        <w:contextualSpacing/>
        <w:jc w:val="both"/>
      </w:pPr>
      <w:r>
        <w:rPr>
          <w:rFonts w:ascii="Arial" w:hAnsi="Arial" w:cs="Arial"/>
          <w:color w:val="000000"/>
          <w:sz w:val="22"/>
          <w:szCs w:val="22"/>
        </w:rPr>
        <w:t xml:space="preserve">Nobis Jr, M. L. (2021). Digital literacy of mathematics teachers in state universities and colleges (SUCs). Asian Journal of Research in Education and Social Sciences, 3(2), 99-113. </w:t>
      </w:r>
      <w:hyperlink r:id="rId25" w:history="1">
        <w:r>
          <w:rPr>
            <w:rStyle w:val="Hyperlink"/>
            <w:rFonts w:ascii="Arial" w:hAnsi="Arial" w:cs="Arial"/>
            <w:sz w:val="22"/>
            <w:szCs w:val="22"/>
          </w:rPr>
          <w:t>Https://myjms.mohe.gov.my/index.php/ajress/article/view/14083</w:t>
        </w:r>
      </w:hyperlink>
    </w:p>
    <w:p w14:paraId="0EC45308" w14:textId="77777777" w:rsidR="00C02CD2" w:rsidRDefault="00C02CD2">
      <w:pPr>
        <w:pStyle w:val="NormalWeb"/>
        <w:contextualSpacing/>
        <w:jc w:val="both"/>
        <w:rPr>
          <w:rFonts w:ascii="Arial" w:hAnsi="Arial" w:cs="Arial"/>
          <w:color w:val="000000"/>
          <w:sz w:val="22"/>
          <w:szCs w:val="22"/>
        </w:rPr>
      </w:pPr>
    </w:p>
    <w:p w14:paraId="4C4354CD" w14:textId="77777777" w:rsidR="00C02CD2" w:rsidRDefault="00C02CD2">
      <w:pPr>
        <w:pStyle w:val="NormalWeb"/>
        <w:jc w:val="both"/>
        <w:rPr>
          <w:rFonts w:ascii="Arial" w:hAnsi="Arial" w:cs="Arial"/>
          <w:sz w:val="22"/>
          <w:szCs w:val="22"/>
        </w:rPr>
      </w:pPr>
      <w:r>
        <w:rPr>
          <w:rFonts w:ascii="Arial" w:hAnsi="Arial" w:cs="Arial"/>
          <w:sz w:val="22"/>
          <w:szCs w:val="22"/>
        </w:rPr>
        <w:lastRenderedPageBreak/>
        <w:t xml:space="preserve">Nobis, m. J., &amp; caparroso, c. L. (2024). Bridging the gap: examining parental involvement strategies and their impact on homework completion rates alifmatika: jurnal in mathematics. Pendidikan dan pembelajaran matematika, 6, 1–13. </w:t>
      </w:r>
      <w:hyperlink r:id="rId26" w:history="1">
        <w:r>
          <w:rPr>
            <w:rStyle w:val="Hyperlink"/>
            <w:rFonts w:ascii="Arial" w:hAnsi="Arial" w:cs="Arial"/>
            <w:sz w:val="22"/>
            <w:szCs w:val="22"/>
          </w:rPr>
          <w:t xml:space="preserve">Https://journal.ibrahimy.ac.id/index.php/alif </w:t>
        </w:r>
        <w:proofErr w:type="spellStart"/>
        <w:r>
          <w:rPr>
            <w:rStyle w:val="Hyperlink"/>
            <w:rFonts w:ascii="Arial" w:hAnsi="Arial" w:cs="Arial"/>
            <w:sz w:val="22"/>
            <w:szCs w:val="22"/>
          </w:rPr>
          <w:t>matika</w:t>
        </w:r>
        <w:proofErr w:type="spellEnd"/>
        <w:r>
          <w:rPr>
            <w:rStyle w:val="Hyperlink"/>
            <w:rFonts w:ascii="Arial" w:hAnsi="Arial" w:cs="Arial"/>
            <w:sz w:val="22"/>
            <w:szCs w:val="22"/>
          </w:rPr>
          <w:t>/article/view/4272</w:t>
        </w:r>
      </w:hyperlink>
    </w:p>
    <w:p w14:paraId="4E1910B1" w14:textId="77777777" w:rsidR="00C02CD2" w:rsidRDefault="00C02CD2">
      <w:pPr>
        <w:pStyle w:val="NormalWeb"/>
        <w:jc w:val="both"/>
        <w:rPr>
          <w:rFonts w:ascii="Arial" w:hAnsi="Arial" w:cs="Arial"/>
          <w:sz w:val="22"/>
          <w:szCs w:val="22"/>
        </w:rPr>
      </w:pPr>
      <w:r>
        <w:rPr>
          <w:rFonts w:ascii="Arial" w:hAnsi="Arial" w:cs="Arial"/>
          <w:sz w:val="22"/>
          <w:szCs w:val="22"/>
        </w:rPr>
        <w:t xml:space="preserve">Nobis, m., cui, a. P., delmonte, c. M., guzman, b. C. D., evardone, j. G., caparroso, c. L., sabalza, l. H. A., nobis, a. C., &amp; acebron, a. E. B. (2025). Symptoms, determinants and coping strategies: a qualitative study of test anxiety among pre-service teachers. Asian journal of education and social studies, 51(5), 599–611. </w:t>
      </w:r>
      <w:hyperlink r:id="rId27" w:history="1">
        <w:r>
          <w:rPr>
            <w:rStyle w:val="Hyperlink"/>
            <w:rFonts w:ascii="Arial" w:hAnsi="Arial" w:cs="Arial"/>
            <w:sz w:val="22"/>
            <w:szCs w:val="22"/>
          </w:rPr>
          <w:t>Https://doi.org/10.9734/ajess/2025/v51i51943</w:t>
        </w:r>
      </w:hyperlink>
    </w:p>
    <w:p w14:paraId="32A2366F" w14:textId="77777777" w:rsidR="00C02CD2" w:rsidRDefault="00C02CD2">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Nobis, m., jr, ballado, r., &amp; froilan, c. (2024b). Blended learning in higher education: unveiling student experiences, challenges, and opportunities for policy development. Scienggj, 17(2), 274–285. </w:t>
      </w:r>
      <w:hyperlink r:id="rId28" w:history="1">
        <w:r>
          <w:rPr>
            <w:rStyle w:val="Hyperlink"/>
            <w:rFonts w:ascii="Arial" w:hAnsi="Arial" w:cs="Arial"/>
            <w:sz w:val="22"/>
            <w:szCs w:val="22"/>
          </w:rPr>
          <w:t>Https://doi.org/10.54645/2024172knw-65</w:t>
        </w:r>
      </w:hyperlink>
    </w:p>
    <w:p w14:paraId="140F1BE4" w14:textId="77777777" w:rsidR="00C02CD2" w:rsidRDefault="00C02CD2">
      <w:pPr>
        <w:pStyle w:val="NormalWeb"/>
        <w:jc w:val="both"/>
        <w:rPr>
          <w:rFonts w:ascii="Arial" w:hAnsi="Arial" w:cs="Arial"/>
          <w:sz w:val="22"/>
          <w:szCs w:val="22"/>
        </w:rPr>
      </w:pPr>
      <w:r>
        <w:rPr>
          <w:rFonts w:ascii="Arial" w:hAnsi="Arial" w:cs="Arial"/>
          <w:sz w:val="22"/>
          <w:szCs w:val="22"/>
        </w:rPr>
        <w:t xml:space="preserve">Nobis, M., Jr. (2021). Factors that Encourage Teachers and Barriers in ICT Integration in Mathematics Teaching. Uep. </w:t>
      </w:r>
      <w:hyperlink r:id="rId29" w:history="1">
        <w:r>
          <w:rPr>
            <w:rStyle w:val="Hyperlink"/>
            <w:rFonts w:ascii="Arial" w:hAnsi="Arial" w:cs="Arial"/>
            <w:sz w:val="22"/>
            <w:szCs w:val="22"/>
          </w:rPr>
          <w:t>Https://www.academia.edu/78167045/Factors_that_Encourage_Teachers_and_Barriers_in_ICT_Integration_in_Mathematics_Teaching</w:t>
        </w:r>
      </w:hyperlink>
    </w:p>
    <w:p w14:paraId="22ADABF5" w14:textId="7636B495" w:rsidR="00C02CD2" w:rsidRDefault="00C02CD2">
      <w:pPr>
        <w:pStyle w:val="NormalWeb"/>
        <w:jc w:val="both"/>
        <w:rPr>
          <w:rFonts w:ascii="Arial" w:hAnsi="Arial" w:cs="Arial"/>
          <w:sz w:val="22"/>
          <w:szCs w:val="22"/>
        </w:rPr>
      </w:pPr>
      <w:proofErr w:type="spellStart"/>
      <w:r>
        <w:rPr>
          <w:rFonts w:ascii="Arial" w:hAnsi="Arial" w:cs="Arial"/>
          <w:sz w:val="22"/>
          <w:szCs w:val="22"/>
        </w:rPr>
        <w:t>Notarte</w:t>
      </w:r>
      <w:proofErr w:type="spellEnd"/>
      <w:r>
        <w:rPr>
          <w:rFonts w:ascii="Arial" w:hAnsi="Arial" w:cs="Arial"/>
          <w:sz w:val="22"/>
          <w:szCs w:val="22"/>
        </w:rPr>
        <w:t>, m., aguilando, l. R., larazi, n., nobis, m., acebron, a. (2024). Beyond memorization: Building problem-solving skills in sequences for future math teachers. East asian journal of multidisciplinary research. 3. 10.55927/eajmr.v3i9.9437.</w:t>
      </w:r>
    </w:p>
    <w:p w14:paraId="7BAA9D55" w14:textId="30FFD783" w:rsidR="00C02CD2" w:rsidRDefault="00C02CD2">
      <w:pPr>
        <w:pStyle w:val="NormalWeb"/>
        <w:jc w:val="both"/>
        <w:rPr>
          <w:rFonts w:ascii="Arial" w:hAnsi="Arial" w:cs="Arial"/>
          <w:color w:val="000000"/>
          <w:sz w:val="22"/>
          <w:szCs w:val="22"/>
        </w:rPr>
      </w:pPr>
      <w:proofErr w:type="spellStart"/>
      <w:r>
        <w:rPr>
          <w:rFonts w:ascii="Arial" w:hAnsi="Arial" w:cs="Arial"/>
          <w:color w:val="000000"/>
          <w:sz w:val="22"/>
          <w:szCs w:val="22"/>
        </w:rPr>
        <w:t>Pagau</w:t>
      </w:r>
      <w:proofErr w:type="spellEnd"/>
      <w:r>
        <w:rPr>
          <w:rFonts w:ascii="Arial" w:hAnsi="Arial" w:cs="Arial"/>
          <w:color w:val="000000"/>
          <w:sz w:val="22"/>
          <w:szCs w:val="22"/>
        </w:rPr>
        <w:t>, D. A., &amp; Mytra, P. (2023). The effect of technology on Mathematics learning. Proximal Jurnal Penelitian Matematika Dan Pendidikan Matematika, 6(1), 287–296. Https://doi.org/10.30605/proximal.v6i1.2302</w:t>
      </w:r>
    </w:p>
    <w:p w14:paraId="5B62C315" w14:textId="77777777" w:rsidR="00C02CD2" w:rsidRDefault="00C02CD2">
      <w:pPr>
        <w:pStyle w:val="NormalWeb"/>
        <w:jc w:val="both"/>
        <w:rPr>
          <w:rFonts w:ascii="Arial" w:hAnsi="Arial" w:cs="Arial"/>
          <w:color w:val="000000"/>
          <w:sz w:val="22"/>
          <w:szCs w:val="22"/>
        </w:rPr>
      </w:pPr>
      <w:r w:rsidRPr="00BC362B">
        <w:rPr>
          <w:rFonts w:ascii="Arial" w:hAnsi="Arial" w:cs="Arial"/>
          <w:color w:val="000000"/>
          <w:sz w:val="22"/>
          <w:szCs w:val="22"/>
        </w:rPr>
        <w:t xml:space="preserve">Pala, C. A., Lagrimas, D., &amp; Jr., M. L. N. (2025). Exploration of Chatbots in Mathematics Education for Innovative Learning Process. Asian Journal of Advanced Research and Reports, 19(5), 178-194. https://doi.org/10.9734/ajarr/2025/v19i51010 </w:t>
      </w:r>
    </w:p>
    <w:p w14:paraId="76E2EA8C" w14:textId="77777777" w:rsidR="00C02CD2" w:rsidRDefault="00C02CD2">
      <w:pPr>
        <w:pStyle w:val="NormalWeb"/>
        <w:jc w:val="both"/>
      </w:pPr>
      <w:r>
        <w:rPr>
          <w:rFonts w:ascii="Arial" w:hAnsi="Arial" w:cs="Arial"/>
          <w:color w:val="000000"/>
          <w:sz w:val="22"/>
          <w:szCs w:val="22"/>
        </w:rPr>
        <w:t xml:space="preserve">Perera, H. N. Et al. (2021). Relations of science teaching self-efficacy with instructional practices, student achievement and support, and teacher job satisfaction. </w:t>
      </w:r>
      <w:r>
        <w:rPr>
          <w:rStyle w:val="Emphasis"/>
          <w:rFonts w:ascii="Arial" w:hAnsi="Arial" w:cs="Arial"/>
          <w:color w:val="000000"/>
          <w:sz w:val="22"/>
          <w:szCs w:val="22"/>
        </w:rPr>
        <w:t>Contemporary Educational Psychology, 69</w:t>
      </w:r>
      <w:r>
        <w:rPr>
          <w:rFonts w:ascii="Arial" w:hAnsi="Arial" w:cs="Arial"/>
          <w:color w:val="000000"/>
          <w:sz w:val="22"/>
          <w:szCs w:val="22"/>
        </w:rPr>
        <w:t xml:space="preserve">, 102041. </w:t>
      </w:r>
      <w:hyperlink r:id="rId30" w:history="1">
        <w:r>
          <w:rPr>
            <w:rStyle w:val="Hyperlink"/>
            <w:rFonts w:ascii="Arial" w:hAnsi="Arial" w:cs="Arial"/>
            <w:color w:val="000000"/>
            <w:sz w:val="22"/>
            <w:szCs w:val="22"/>
          </w:rPr>
          <w:t>Https://doi.org/10.1016/j.cedpsych.2021.102041</w:t>
        </w:r>
      </w:hyperlink>
    </w:p>
    <w:p w14:paraId="7A4CE89A" w14:textId="0A7C3A82" w:rsidR="00C02CD2" w:rsidRDefault="00C02CD2">
      <w:pPr>
        <w:pStyle w:val="NormalWeb"/>
        <w:spacing w:before="0" w:beforeAutospacing="0" w:after="0" w:afterAutospacing="0"/>
        <w:jc w:val="both"/>
      </w:pPr>
      <w:r>
        <w:rPr>
          <w:rFonts w:ascii="Arial" w:hAnsi="Arial" w:cs="Arial"/>
          <w:color w:val="000000"/>
          <w:sz w:val="22"/>
          <w:szCs w:val="22"/>
        </w:rPr>
        <w:t xml:space="preserve">Rashid, S. N. M., Baha, A., &amp; Abidin, D. Z. (2021). Students’ perception of learning unit conversion through a smart conversion card tool. </w:t>
      </w:r>
      <w:r>
        <w:rPr>
          <w:rFonts w:ascii="Arial" w:hAnsi="Arial" w:cs="Arial"/>
          <w:i/>
          <w:iCs/>
          <w:color w:val="000000"/>
          <w:sz w:val="22"/>
          <w:szCs w:val="22"/>
        </w:rPr>
        <w:t>Advances in Social Science, Education and Humanities Research/Advances in Social Science, Education and Humanities Research</w:t>
      </w:r>
      <w:r>
        <w:rPr>
          <w:rFonts w:ascii="Arial" w:hAnsi="Arial" w:cs="Arial"/>
          <w:color w:val="000000"/>
          <w:sz w:val="22"/>
          <w:szCs w:val="22"/>
        </w:rPr>
        <w:t xml:space="preserve">. </w:t>
      </w:r>
      <w:hyperlink r:id="rId31" w:history="1">
        <w:r>
          <w:rPr>
            <w:rStyle w:val="Hyperlink"/>
            <w:rFonts w:ascii="Arial" w:hAnsi="Arial" w:cs="Arial"/>
            <w:color w:val="000000"/>
            <w:sz w:val="22"/>
            <w:szCs w:val="22"/>
          </w:rPr>
          <w:t>Https://doi.org/10.2991/assehr.k.210424.087</w:t>
        </w:r>
      </w:hyperlink>
    </w:p>
    <w:p w14:paraId="738463F0" w14:textId="5ADD4DD0" w:rsidR="00C02CD2" w:rsidRDefault="00C02CD2">
      <w:pPr>
        <w:pStyle w:val="NormalWeb"/>
        <w:spacing w:before="0" w:beforeAutospacing="0" w:after="0" w:afterAutospacing="0"/>
        <w:jc w:val="both"/>
      </w:pPr>
      <w:r>
        <w:rPr>
          <w:rFonts w:ascii="Arial" w:hAnsi="Arial" w:cs="Arial"/>
          <w:color w:val="000000"/>
          <w:sz w:val="22"/>
          <w:szCs w:val="22"/>
        </w:rPr>
        <w:t xml:space="preserve">Velez, A. J. Et al. (2023). Difficulties and coping strategies in understanding mathematical concepts in a private higher education institution in Tagum City, Davao del Norte, Philippines. </w:t>
      </w:r>
      <w:r>
        <w:rPr>
          <w:rStyle w:val="Emphasis"/>
          <w:rFonts w:ascii="Arial" w:hAnsi="Arial" w:cs="Arial"/>
          <w:color w:val="000000"/>
          <w:sz w:val="22"/>
          <w:szCs w:val="22"/>
        </w:rPr>
        <w:t>Davao Research Journal, 14(1)</w:t>
      </w:r>
      <w:r>
        <w:rPr>
          <w:rFonts w:ascii="Arial" w:hAnsi="Arial" w:cs="Arial"/>
          <w:color w:val="000000"/>
          <w:sz w:val="22"/>
          <w:szCs w:val="22"/>
        </w:rPr>
        <w:t xml:space="preserve">, 45–54. </w:t>
      </w:r>
      <w:hyperlink r:id="rId32" w:history="1">
        <w:r>
          <w:rPr>
            <w:rStyle w:val="Hyperlink"/>
            <w:rFonts w:ascii="Arial" w:hAnsi="Arial" w:cs="Arial"/>
            <w:color w:val="000000"/>
            <w:sz w:val="22"/>
            <w:szCs w:val="22"/>
          </w:rPr>
          <w:t>Https://doi.org/10.59120/drj.v14i1.10</w:t>
        </w:r>
      </w:hyperlink>
    </w:p>
    <w:p w14:paraId="38FAE21A" w14:textId="32BFA112" w:rsidR="00C02CD2" w:rsidRDefault="00C02CD2">
      <w:pPr>
        <w:pStyle w:val="NormalWeb"/>
        <w:jc w:val="both"/>
      </w:pPr>
      <w:r>
        <w:rPr>
          <w:rFonts w:ascii="Arial" w:hAnsi="Arial" w:cs="Arial"/>
          <w:color w:val="000000"/>
          <w:sz w:val="22"/>
          <w:szCs w:val="22"/>
        </w:rPr>
        <w:t>Yaacob, A. Et al. (2021). Impact of YouTube and video podcasts on listening comprehension among young le</w:t>
      </w:r>
      <w:r>
        <w:rPr>
          <w:rFonts w:ascii="Arial" w:hAnsi="Arial" w:cs="Arial"/>
          <w:sz w:val="22"/>
          <w:szCs w:val="22"/>
        </w:rPr>
        <w:t xml:space="preserve">arners. </w:t>
      </w:r>
      <w:r>
        <w:rPr>
          <w:rStyle w:val="Emphasis"/>
          <w:rFonts w:ascii="Arial" w:hAnsi="Arial" w:cs="Arial"/>
          <w:sz w:val="22"/>
          <w:szCs w:val="22"/>
        </w:rPr>
        <w:t>International Journal of Interactive Mobile Technologies (</w:t>
      </w:r>
      <w:proofErr w:type="spellStart"/>
      <w:r>
        <w:rPr>
          <w:rStyle w:val="Emphasis"/>
          <w:rFonts w:ascii="Arial" w:hAnsi="Arial" w:cs="Arial"/>
          <w:sz w:val="22"/>
          <w:szCs w:val="22"/>
        </w:rPr>
        <w:t>ijim</w:t>
      </w:r>
      <w:proofErr w:type="spellEnd"/>
      <w:r>
        <w:rPr>
          <w:rStyle w:val="Emphasis"/>
          <w:rFonts w:ascii="Arial" w:hAnsi="Arial" w:cs="Arial"/>
          <w:sz w:val="22"/>
          <w:szCs w:val="22"/>
        </w:rPr>
        <w:t>), 15(20)</w:t>
      </w:r>
      <w:r>
        <w:rPr>
          <w:rFonts w:ascii="Arial" w:hAnsi="Arial" w:cs="Arial"/>
          <w:sz w:val="22"/>
          <w:szCs w:val="22"/>
        </w:rPr>
        <w:t xml:space="preserve">, 4. </w:t>
      </w:r>
      <w:hyperlink r:id="rId33" w:history="1">
        <w:r>
          <w:rPr>
            <w:rStyle w:val="Hyperlink"/>
            <w:rFonts w:ascii="Arial" w:hAnsi="Arial" w:cs="Arial"/>
            <w:color w:val="auto"/>
            <w:sz w:val="22"/>
            <w:szCs w:val="22"/>
          </w:rPr>
          <w:t>Https://doi.org/10.3991/ijim.v15i20.23701</w:t>
        </w:r>
      </w:hyperlink>
    </w:p>
    <w:p w14:paraId="0BC0D94A" w14:textId="7C92F299" w:rsidR="00C02CD2" w:rsidRDefault="00C02CD2">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Yahaya, W. O., Akanbi, A. O., &amp; Yahaya, Q. (2024). </w:t>
      </w:r>
      <w:r>
        <w:rPr>
          <w:rFonts w:ascii="Arial" w:hAnsi="Arial" w:cs="Arial"/>
          <w:i/>
          <w:iCs/>
          <w:sz w:val="22"/>
          <w:szCs w:val="22"/>
        </w:rPr>
        <w:t>Assessment of the measure of Physics Quantitative Sub-Units conversion based on students’ multiple intelligence categories</w:t>
      </w:r>
      <w:r>
        <w:rPr>
          <w:rFonts w:ascii="Arial" w:hAnsi="Arial" w:cs="Arial"/>
          <w:sz w:val="22"/>
          <w:szCs w:val="22"/>
        </w:rPr>
        <w:t xml:space="preserve">. </w:t>
      </w:r>
      <w:hyperlink r:id="rId34" w:history="1">
        <w:r>
          <w:rPr>
            <w:rStyle w:val="Hyperlink"/>
            <w:rFonts w:ascii="Arial" w:hAnsi="Arial" w:cs="Arial"/>
            <w:sz w:val="22"/>
            <w:szCs w:val="22"/>
          </w:rPr>
          <w:t>Https://www.ajol.info/index.php/kje/article/view/292595</w:t>
        </w:r>
      </w:hyperlink>
    </w:p>
    <w:p w14:paraId="66E3686D" w14:textId="77777777" w:rsidR="00153D51" w:rsidRDefault="00153D51">
      <w:pPr>
        <w:jc w:val="both"/>
        <w:rPr>
          <w:rFonts w:ascii="Arial" w:hAnsi="Arial" w:cs="Arial"/>
          <w:b/>
          <w:bCs/>
          <w:sz w:val="22"/>
          <w:szCs w:val="22"/>
        </w:rPr>
      </w:pPr>
    </w:p>
    <w:p w14:paraId="35D63890" w14:textId="77777777" w:rsidR="00005BD3" w:rsidRDefault="00005BD3">
      <w:pPr>
        <w:jc w:val="both"/>
        <w:rPr>
          <w:rFonts w:ascii="Arial" w:hAnsi="Arial" w:cs="Arial"/>
          <w:b/>
          <w:bCs/>
          <w:sz w:val="22"/>
          <w:szCs w:val="22"/>
        </w:rPr>
      </w:pPr>
    </w:p>
    <w:p w14:paraId="462246F9" w14:textId="77777777" w:rsidR="00005BD3" w:rsidRDefault="00005BD3">
      <w:pPr>
        <w:jc w:val="both"/>
        <w:rPr>
          <w:rFonts w:ascii="Arial" w:hAnsi="Arial" w:cs="Arial"/>
          <w:b/>
          <w:bCs/>
          <w:sz w:val="22"/>
          <w:szCs w:val="22"/>
        </w:rPr>
      </w:pPr>
    </w:p>
    <w:p w14:paraId="3D2A0A2B" w14:textId="7644BD62" w:rsidR="00153D51" w:rsidRDefault="00BD29D9">
      <w:pPr>
        <w:jc w:val="both"/>
        <w:rPr>
          <w:rFonts w:ascii="Arial" w:hAnsi="Arial" w:cs="Arial"/>
          <w:b/>
          <w:bCs/>
          <w:sz w:val="22"/>
          <w:szCs w:val="22"/>
        </w:rPr>
      </w:pPr>
      <w:r>
        <w:rPr>
          <w:rFonts w:ascii="Arial" w:hAnsi="Arial" w:cs="Arial"/>
          <w:b/>
          <w:bCs/>
          <w:sz w:val="22"/>
          <w:szCs w:val="22"/>
        </w:rPr>
        <w:lastRenderedPageBreak/>
        <w:t>VIDEO Links</w:t>
      </w:r>
    </w:p>
    <w:p w14:paraId="10D4F508" w14:textId="77777777" w:rsidR="00153D51" w:rsidRDefault="00153D51">
      <w:pPr>
        <w:rPr>
          <w:rFonts w:ascii="Arial" w:hAnsi="Arial" w:cs="Arial"/>
          <w:color w:val="000000"/>
          <w:sz w:val="22"/>
          <w:szCs w:val="22"/>
        </w:rPr>
      </w:pPr>
    </w:p>
    <w:p w14:paraId="54C8EC7A" w14:textId="77777777" w:rsidR="00153D51" w:rsidRDefault="00BD29D9">
      <w:pPr>
        <w:rPr>
          <w:rFonts w:ascii="Arial" w:hAnsi="Arial" w:cs="Arial"/>
          <w:b/>
          <w:bCs/>
          <w:color w:val="000000"/>
          <w:sz w:val="22"/>
          <w:szCs w:val="22"/>
        </w:rPr>
      </w:pPr>
      <w:r>
        <w:rPr>
          <w:rFonts w:ascii="Arial" w:hAnsi="Arial" w:cs="Arial"/>
          <w:color w:val="000000"/>
          <w:sz w:val="22"/>
          <w:szCs w:val="22"/>
        </w:rPr>
        <w:t>Native man Math tutorial. (2024). Retrieved from </w:t>
      </w:r>
      <w:hyperlink r:id="rId35" w:history="1">
        <w:r>
          <w:rPr>
            <w:rStyle w:val="Hyperlink"/>
            <w:rFonts w:ascii="Arial" w:hAnsi="Arial" w:cs="Arial"/>
            <w:color w:val="000000"/>
            <w:sz w:val="22"/>
            <w:szCs w:val="22"/>
          </w:rPr>
          <w:t>http://sharevideo1.com/v/S3g1Szc1ZzZJSWc=?t=ytb&amp;f=co</w:t>
        </w:r>
      </w:hyperlink>
    </w:p>
    <w:p w14:paraId="3B24E37B" w14:textId="77777777" w:rsidR="00153D51" w:rsidRDefault="00153D51">
      <w:pPr>
        <w:rPr>
          <w:rFonts w:ascii="Arial" w:hAnsi="Arial" w:cs="Arial"/>
          <w:color w:val="000000"/>
          <w:sz w:val="22"/>
          <w:szCs w:val="22"/>
        </w:rPr>
      </w:pPr>
    </w:p>
    <w:p w14:paraId="1137B363" w14:textId="77777777" w:rsidR="00153D51" w:rsidRDefault="00BD29D9">
      <w:pPr>
        <w:rPr>
          <w:rFonts w:ascii="Arial" w:hAnsi="Arial" w:cs="Arial"/>
          <w:b/>
          <w:bCs/>
          <w:color w:val="000000"/>
          <w:sz w:val="22"/>
          <w:szCs w:val="22"/>
        </w:rPr>
      </w:pPr>
      <w:r>
        <w:rPr>
          <w:rFonts w:ascii="Arial" w:hAnsi="Arial" w:cs="Arial"/>
          <w:color w:val="000000"/>
          <w:sz w:val="22"/>
          <w:szCs w:val="22"/>
        </w:rPr>
        <w:t>Native man Math tutorial. (2024). Retrieved from </w:t>
      </w:r>
      <w:hyperlink r:id="rId36" w:history="1">
        <w:r>
          <w:rPr>
            <w:rStyle w:val="Hyperlink"/>
            <w:rFonts w:ascii="Arial" w:hAnsi="Arial" w:cs="Arial"/>
            <w:color w:val="000000"/>
            <w:sz w:val="22"/>
            <w:szCs w:val="22"/>
          </w:rPr>
          <w:t>http://sharevideo1.com/v/eXVEeGhUdzVySjA=?t=ytb&amp;f=co</w:t>
        </w:r>
      </w:hyperlink>
    </w:p>
    <w:p w14:paraId="20E99E4E" w14:textId="77777777" w:rsidR="00153D51" w:rsidRDefault="00153D51">
      <w:pPr>
        <w:rPr>
          <w:rFonts w:ascii="Arial" w:hAnsi="Arial" w:cs="Arial"/>
          <w:color w:val="000000"/>
          <w:sz w:val="22"/>
          <w:szCs w:val="22"/>
        </w:rPr>
      </w:pPr>
    </w:p>
    <w:p w14:paraId="3D6AD8CC" w14:textId="77777777" w:rsidR="00153D51" w:rsidRDefault="00BD29D9">
      <w:pPr>
        <w:rPr>
          <w:rFonts w:ascii="Arial" w:hAnsi="Arial" w:cs="Arial"/>
          <w:color w:val="000000"/>
          <w:sz w:val="22"/>
          <w:szCs w:val="22"/>
        </w:rPr>
      </w:pPr>
      <w:r>
        <w:rPr>
          <w:rFonts w:ascii="Arial" w:hAnsi="Arial" w:cs="Arial"/>
          <w:color w:val="000000"/>
          <w:sz w:val="22"/>
          <w:szCs w:val="22"/>
        </w:rPr>
        <w:t>Math Isip. (2024). METRIC SYSTEM CONVERSION - WITHIN SI UNITS | SECOND QUARTER GRADE 7 MATATAG TAGALOG MATH TUTORIAL. Retrieved from </w:t>
      </w:r>
      <w:hyperlink r:id="rId37" w:history="1">
        <w:r>
          <w:rPr>
            <w:rStyle w:val="Hyperlink"/>
            <w:rFonts w:ascii="Arial" w:hAnsi="Arial" w:cs="Arial"/>
            <w:color w:val="000000"/>
            <w:sz w:val="22"/>
            <w:szCs w:val="22"/>
          </w:rPr>
          <w:t>http://sharevideo1.com/v/VS1WWUMta0EwZGM=?t=ytb&amp;f=co</w:t>
        </w:r>
      </w:hyperlink>
    </w:p>
    <w:p w14:paraId="470BE85E" w14:textId="77777777" w:rsidR="00153D51" w:rsidRDefault="00153D51">
      <w:pPr>
        <w:rPr>
          <w:rFonts w:ascii="Arial" w:hAnsi="Arial" w:cs="Arial"/>
          <w:color w:val="000000"/>
          <w:sz w:val="22"/>
          <w:szCs w:val="22"/>
        </w:rPr>
      </w:pPr>
    </w:p>
    <w:p w14:paraId="2EDE4B52" w14:textId="2C71C73A" w:rsidR="00153D51" w:rsidRDefault="00BD29D9">
      <w:pPr>
        <w:rPr>
          <w:rFonts w:ascii="Arial" w:hAnsi="Arial" w:cs="Arial"/>
          <w:color w:val="000000"/>
          <w:sz w:val="22"/>
          <w:szCs w:val="22"/>
        </w:rPr>
      </w:pPr>
      <w:r>
        <w:rPr>
          <w:rFonts w:ascii="Arial" w:hAnsi="Arial" w:cs="Arial"/>
          <w:color w:val="000000"/>
          <w:sz w:val="22"/>
          <w:szCs w:val="22"/>
        </w:rPr>
        <w:t xml:space="preserve">Novy Facun. (2024). MATATAG GRADE 7 Q2 MATHEMATICS-Conversion Units of Length in both </w:t>
      </w:r>
      <w:r w:rsidR="00C02CD2">
        <w:rPr>
          <w:rFonts w:ascii="Arial" w:hAnsi="Arial" w:cs="Arial"/>
          <w:color w:val="000000"/>
          <w:sz w:val="22"/>
          <w:szCs w:val="22"/>
        </w:rPr>
        <w:t xml:space="preserve">the </w:t>
      </w:r>
      <w:r>
        <w:rPr>
          <w:rFonts w:ascii="Arial" w:hAnsi="Arial" w:cs="Arial"/>
          <w:color w:val="000000"/>
          <w:sz w:val="22"/>
          <w:szCs w:val="22"/>
        </w:rPr>
        <w:t>Metric System and English System. Retrieved from </w:t>
      </w:r>
      <w:hyperlink r:id="rId38" w:history="1">
        <w:r>
          <w:rPr>
            <w:rStyle w:val="Hyperlink"/>
            <w:rFonts w:ascii="Arial" w:hAnsi="Arial" w:cs="Arial"/>
            <w:color w:val="000000"/>
            <w:sz w:val="22"/>
            <w:szCs w:val="22"/>
          </w:rPr>
          <w:t>http://sharevideo1.com/v/RUlYbE9mY0JPbUk=?t=ytb&amp;f=co</w:t>
        </w:r>
      </w:hyperlink>
      <w:r>
        <w:rPr>
          <w:rFonts w:ascii="Arial" w:hAnsi="Arial" w:cs="Arial"/>
          <w:color w:val="000000"/>
          <w:sz w:val="22"/>
          <w:szCs w:val="22"/>
        </w:rPr>
        <w:br/>
      </w:r>
    </w:p>
    <w:p w14:paraId="20FC5538" w14:textId="00B9B499" w:rsidR="00153D51" w:rsidRDefault="00BD29D9">
      <w:pPr>
        <w:rPr>
          <w:rFonts w:ascii="Arial" w:hAnsi="Arial" w:cs="Arial"/>
          <w:color w:val="000000"/>
          <w:sz w:val="22"/>
          <w:szCs w:val="22"/>
        </w:rPr>
      </w:pPr>
      <w:r>
        <w:rPr>
          <w:rFonts w:ascii="Arial" w:hAnsi="Arial" w:cs="Arial"/>
          <w:color w:val="000000"/>
          <w:sz w:val="22"/>
          <w:szCs w:val="22"/>
        </w:rPr>
        <w:t>Novy Facun. (2024). MATATAG GRADE 7 Q2 MATHEMATICS-Conversion Units of Weight in English System (ounces</w:t>
      </w:r>
      <w:r w:rsidR="00C02CD2">
        <w:rPr>
          <w:rFonts w:ascii="Arial" w:hAnsi="Arial" w:cs="Arial"/>
          <w:color w:val="000000"/>
          <w:sz w:val="22"/>
          <w:szCs w:val="22"/>
        </w:rPr>
        <w:t xml:space="preserve">, pounds, </w:t>
      </w:r>
      <w:r>
        <w:rPr>
          <w:rFonts w:ascii="Arial" w:hAnsi="Arial" w:cs="Arial"/>
          <w:color w:val="000000"/>
          <w:sz w:val="22"/>
          <w:szCs w:val="22"/>
        </w:rPr>
        <w:t>tons). Retrieved from </w:t>
      </w:r>
      <w:hyperlink r:id="rId39" w:history="1">
        <w:r>
          <w:rPr>
            <w:rStyle w:val="Hyperlink"/>
            <w:rFonts w:ascii="Arial" w:hAnsi="Arial" w:cs="Arial"/>
            <w:color w:val="000000"/>
            <w:sz w:val="22"/>
            <w:szCs w:val="22"/>
          </w:rPr>
          <w:t>http://sharevideo1.com/v/aE04ZVZFNXh0MzA=?t=ytb&amp;f=co</w:t>
        </w:r>
      </w:hyperlink>
      <w:r>
        <w:rPr>
          <w:rFonts w:ascii="Arial" w:hAnsi="Arial" w:cs="Arial"/>
          <w:color w:val="000000"/>
          <w:sz w:val="22"/>
          <w:szCs w:val="22"/>
        </w:rPr>
        <w:br/>
      </w:r>
    </w:p>
    <w:p w14:paraId="0B5E0350" w14:textId="77777777" w:rsidR="00153D51" w:rsidRDefault="00BD29D9">
      <w:pPr>
        <w:rPr>
          <w:rFonts w:ascii="Arial" w:hAnsi="Arial" w:cs="Arial"/>
          <w:color w:val="000000"/>
          <w:sz w:val="22"/>
          <w:szCs w:val="22"/>
        </w:rPr>
      </w:pPr>
      <w:r>
        <w:rPr>
          <w:rFonts w:ascii="Arial" w:hAnsi="Arial" w:cs="Arial"/>
          <w:color w:val="000000"/>
          <w:sz w:val="22"/>
          <w:szCs w:val="22"/>
        </w:rPr>
        <w:t>Novy Facun. (2024). MATATAG GRADE 7 Q2 MATHEMATICS-Conversion Units of Length in English System (inch-foot-yard-mile). Retrieved from </w:t>
      </w:r>
      <w:hyperlink r:id="rId40" w:history="1">
        <w:r>
          <w:rPr>
            <w:rStyle w:val="Hyperlink"/>
            <w:rFonts w:ascii="Arial" w:hAnsi="Arial" w:cs="Arial"/>
            <w:color w:val="000000"/>
            <w:sz w:val="22"/>
            <w:szCs w:val="22"/>
          </w:rPr>
          <w:t>http://sharevideo1.com/v/NTM5MjdkUU5tOG8=?t=ytb&amp;f=co</w:t>
        </w:r>
      </w:hyperlink>
      <w:r>
        <w:rPr>
          <w:rFonts w:ascii="Arial" w:hAnsi="Arial" w:cs="Arial"/>
          <w:color w:val="000000"/>
          <w:sz w:val="22"/>
          <w:szCs w:val="22"/>
        </w:rPr>
        <w:br/>
      </w:r>
    </w:p>
    <w:p w14:paraId="30B1CFDB" w14:textId="77777777" w:rsidR="00153D51" w:rsidRDefault="00BD29D9">
      <w:r>
        <w:rPr>
          <w:rFonts w:ascii="Arial" w:hAnsi="Arial" w:cs="Arial"/>
          <w:color w:val="000000"/>
          <w:sz w:val="22"/>
          <w:szCs w:val="22"/>
        </w:rPr>
        <w:t>Novy Facun. (2024). MATATAG GRADE 7 Q2 MATHEMATICS-Conversion Units of Capacity in U.S. (fluid oz-cup-pint-quart-gallon). Retrieved from </w:t>
      </w:r>
      <w:hyperlink r:id="rId41" w:history="1">
        <w:r>
          <w:rPr>
            <w:rStyle w:val="Hyperlink"/>
            <w:rFonts w:ascii="Arial" w:hAnsi="Arial" w:cs="Arial"/>
            <w:color w:val="000000"/>
            <w:sz w:val="22"/>
            <w:szCs w:val="22"/>
          </w:rPr>
          <w:t>http://sharevideo1.com/v/SS1VQ3VZR1pSSE0=?t=ytb&amp;f=co</w:t>
        </w:r>
      </w:hyperlink>
    </w:p>
    <w:p w14:paraId="307FDC73" w14:textId="77777777" w:rsidR="00153D51" w:rsidRDefault="00153D51"/>
    <w:sectPr w:rsidR="00153D51">
      <w:headerReference w:type="even" r:id="rId42"/>
      <w:headerReference w:type="default" r:id="rId43"/>
      <w:footerReference w:type="default" r:id="rId44"/>
      <w:headerReference w:type="first" r:id="rId4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16420" w14:textId="77777777" w:rsidR="000A3250" w:rsidRDefault="000A3250">
      <w:r>
        <w:separator/>
      </w:r>
    </w:p>
  </w:endnote>
  <w:endnote w:type="continuationSeparator" w:id="0">
    <w:p w14:paraId="400C2528" w14:textId="77777777" w:rsidR="000A3250" w:rsidRDefault="000A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2A54" w14:textId="77777777" w:rsidR="00153D51" w:rsidRDefault="00153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BB89D" w14:textId="77777777" w:rsidR="000A3250" w:rsidRDefault="000A3250">
      <w:r>
        <w:separator/>
      </w:r>
    </w:p>
  </w:footnote>
  <w:footnote w:type="continuationSeparator" w:id="0">
    <w:p w14:paraId="240A1D82" w14:textId="77777777" w:rsidR="000A3250" w:rsidRDefault="000A3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3F52" w14:textId="77777777" w:rsidR="00153D51" w:rsidRDefault="00000000">
    <w:pPr>
      <w:pStyle w:val="Header"/>
    </w:pPr>
    <w:r>
      <w:rPr>
        <w:noProof/>
      </w:rPr>
      <w:pict w14:anchorId="6B7658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1" o:spid="_x0000_s1027" type="#_x0000_t136" style="position:absolute;margin-left:0;margin-top:0;width:572.65pt;height:63.6pt;rotation:-45;z-index:-25165721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42F9F" w14:textId="77777777" w:rsidR="00153D51" w:rsidRDefault="00000000">
    <w:pPr>
      <w:pStyle w:val="Header"/>
    </w:pPr>
    <w:r>
      <w:rPr>
        <w:noProof/>
      </w:rPr>
      <w:pict w14:anchorId="3621D4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2" o:spid="_x0000_s1026" type="#_x0000_t136" style="position:absolute;margin-left:0;margin-top:0;width:572.65pt;height:63.6pt;rotation:-45;z-index:-25165619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6965" w14:textId="77777777" w:rsidR="00153D51" w:rsidRDefault="00000000">
    <w:pPr>
      <w:pStyle w:val="Header"/>
    </w:pPr>
    <w:r>
      <w:rPr>
        <w:noProof/>
      </w:rPr>
      <w:pict w14:anchorId="4ADA3D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3" o:spid="_x0000_s1025" type="#_x0000_t136" style="position:absolute;margin-left:0;margin-top:0;width:572.65pt;height:63.6pt;rotation:-45;z-index:-251658240;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15:restartNumberingAfterBreak="0">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 w15:restartNumberingAfterBreak="0">
    <w:nsid w:val="00000004"/>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4" w15:restartNumberingAfterBreak="0">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15:restartNumberingAfterBreak="0">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15:restartNumberingAfterBreak="0">
    <w:nsid w:val="00000007"/>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15:restartNumberingAfterBreak="0">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9" w15:restartNumberingAfterBreak="0">
    <w:nsid w:val="0000000A"/>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0" w15:restartNumberingAfterBreak="0">
    <w:nsid w:val="0000000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1" w15:restartNumberingAfterBreak="0">
    <w:nsid w:val="0000000C"/>
    <w:multiLevelType w:val="singleLevel"/>
    <w:tmpl w:val="A1B04AE0"/>
    <w:lvl w:ilvl="0">
      <w:start w:val="1"/>
      <w:numFmt w:val="decimal"/>
      <w:lvlText w:val="%1."/>
      <w:lvlJc w:val="left"/>
      <w:pPr>
        <w:ind w:left="360" w:hanging="360"/>
      </w:pPr>
    </w:lvl>
  </w:abstractNum>
  <w:abstractNum w:abstractNumId="12" w15:restartNumberingAfterBreak="0">
    <w:nsid w:val="0000000D"/>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4" w15:restartNumberingAfterBreak="0">
    <w:nsid w:val="0000000F"/>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5" w15:restartNumberingAfterBreak="0">
    <w:nsid w:val="00000010"/>
    <w:multiLevelType w:val="singleLevel"/>
    <w:tmpl w:val="E368B7EE"/>
    <w:lvl w:ilvl="0">
      <w:start w:val="1"/>
      <w:numFmt w:val="decimal"/>
      <w:pStyle w:val="Reference"/>
      <w:lvlText w:val="%1."/>
      <w:lvlJc w:val="left"/>
      <w:pPr>
        <w:tabs>
          <w:tab w:val="left" w:pos="360"/>
        </w:tabs>
        <w:ind w:left="360" w:hanging="360"/>
      </w:pPr>
    </w:lvl>
  </w:abstractNum>
  <w:abstractNum w:abstractNumId="16" w15:restartNumberingAfterBreak="0">
    <w:nsid w:val="00000011"/>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00000012"/>
    <w:multiLevelType w:val="singleLevel"/>
    <w:tmpl w:val="A1B04AE0"/>
    <w:lvl w:ilvl="0">
      <w:start w:val="1"/>
      <w:numFmt w:val="decimal"/>
      <w:lvlText w:val="%1."/>
      <w:lvlJc w:val="left"/>
      <w:pPr>
        <w:ind w:left="360" w:hanging="360"/>
      </w:pPr>
    </w:lvl>
  </w:abstractNum>
  <w:abstractNum w:abstractNumId="18" w15:restartNumberingAfterBreak="0">
    <w:nsid w:val="0000001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9" w15:restartNumberingAfterBreak="0">
    <w:nsid w:val="00000014"/>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0" w15:restartNumberingAfterBreak="0">
    <w:nsid w:val="00000015"/>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1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2" w15:restartNumberingAfterBreak="0">
    <w:nsid w:val="00000017"/>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8"/>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5" w15:restartNumberingAfterBreak="0">
    <w:nsid w:val="0000001A"/>
    <w:multiLevelType w:val="singleLevel"/>
    <w:tmpl w:val="FFFFFFFF"/>
    <w:lvl w:ilvl="0">
      <w:start w:val="1"/>
      <w:numFmt w:val="decimal"/>
      <w:lvlText w:val="*"/>
      <w:lvlJc w:val="left"/>
    </w:lvl>
  </w:abstractNum>
  <w:abstractNum w:abstractNumId="26" w15:restartNumberingAfterBreak="0">
    <w:nsid w:val="0000001B"/>
    <w:multiLevelType w:val="hybridMultilevel"/>
    <w:tmpl w:val="9B908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8" w15:restartNumberingAfterBreak="0">
    <w:nsid w:val="0000001D"/>
    <w:multiLevelType w:val="hybridMultilevel"/>
    <w:tmpl w:val="70E4657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0000001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0" w15:restartNumberingAfterBreak="0">
    <w:nsid w:val="0FD042E9"/>
    <w:multiLevelType w:val="hybridMultilevel"/>
    <w:tmpl w:val="3474B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77ED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num w:numId="1" w16cid:durableId="1898471579">
    <w:abstractNumId w:val="15"/>
  </w:num>
  <w:num w:numId="2" w16cid:durableId="776677984">
    <w:abstractNumId w:val="26"/>
  </w:num>
  <w:num w:numId="3" w16cid:durableId="773600483">
    <w:abstractNumId w:val="25"/>
    <w:lvlOverride w:ilvl="0">
      <w:lvl w:ilvl="0">
        <w:start w:val="1"/>
        <w:numFmt w:val="bullet"/>
        <w:lvlText w:val=""/>
        <w:lvlJc w:val="left"/>
        <w:pPr>
          <w:ind w:left="360" w:hanging="360"/>
        </w:pPr>
        <w:rPr>
          <w:rFonts w:ascii="Symbol" w:hAnsi="Symbol" w:hint="default"/>
        </w:rPr>
      </w:lvl>
    </w:lvlOverride>
  </w:num>
  <w:num w:numId="4" w16cid:durableId="1685130559">
    <w:abstractNumId w:val="11"/>
  </w:num>
  <w:num w:numId="5" w16cid:durableId="56906887">
    <w:abstractNumId w:val="19"/>
  </w:num>
  <w:num w:numId="6" w16cid:durableId="77678024">
    <w:abstractNumId w:val="25"/>
    <w:lvlOverride w:ilvl="0">
      <w:lvl w:ilvl="0">
        <w:start w:val="1"/>
        <w:numFmt w:val="bullet"/>
        <w:lvlText w:val=""/>
        <w:lvlJc w:val="left"/>
        <w:pPr>
          <w:ind w:left="360" w:hanging="360"/>
        </w:pPr>
        <w:rPr>
          <w:rFonts w:ascii="Wingdings" w:hAnsi="Wingdings" w:hint="default"/>
          <w:sz w:val="16"/>
        </w:rPr>
      </w:lvl>
    </w:lvlOverride>
  </w:num>
  <w:num w:numId="7" w16cid:durableId="628324681">
    <w:abstractNumId w:val="3"/>
  </w:num>
  <w:num w:numId="8" w16cid:durableId="1432773250">
    <w:abstractNumId w:val="2"/>
  </w:num>
  <w:num w:numId="9" w16cid:durableId="585387207">
    <w:abstractNumId w:val="27"/>
  </w:num>
  <w:num w:numId="10" w16cid:durableId="1646472526">
    <w:abstractNumId w:val="8"/>
  </w:num>
  <w:num w:numId="11" w16cid:durableId="605161100">
    <w:abstractNumId w:val="21"/>
  </w:num>
  <w:num w:numId="12" w16cid:durableId="511145493">
    <w:abstractNumId w:val="29"/>
  </w:num>
  <w:num w:numId="13" w16cid:durableId="35014631">
    <w:abstractNumId w:val="14"/>
  </w:num>
  <w:num w:numId="14" w16cid:durableId="2080983958">
    <w:abstractNumId w:val="31"/>
  </w:num>
  <w:num w:numId="15" w16cid:durableId="894974057">
    <w:abstractNumId w:val="13"/>
  </w:num>
  <w:num w:numId="16" w16cid:durableId="26101907">
    <w:abstractNumId w:val="4"/>
  </w:num>
  <w:num w:numId="17" w16cid:durableId="2026402094">
    <w:abstractNumId w:val="17"/>
  </w:num>
  <w:num w:numId="18" w16cid:durableId="1551503278">
    <w:abstractNumId w:val="1"/>
  </w:num>
  <w:num w:numId="19" w16cid:durableId="1984459070">
    <w:abstractNumId w:val="18"/>
  </w:num>
  <w:num w:numId="20" w16cid:durableId="939801609">
    <w:abstractNumId w:val="10"/>
  </w:num>
  <w:num w:numId="21" w16cid:durableId="1722172122">
    <w:abstractNumId w:val="24"/>
  </w:num>
  <w:num w:numId="22" w16cid:durableId="1546985190">
    <w:abstractNumId w:val="7"/>
  </w:num>
  <w:num w:numId="23" w16cid:durableId="1608149889">
    <w:abstractNumId w:val="5"/>
  </w:num>
  <w:num w:numId="24" w16cid:durableId="1815681062">
    <w:abstractNumId w:val="9"/>
  </w:num>
  <w:num w:numId="25" w16cid:durableId="2035840811">
    <w:abstractNumId w:val="22"/>
  </w:num>
  <w:num w:numId="26" w16cid:durableId="868881983">
    <w:abstractNumId w:val="0"/>
  </w:num>
  <w:num w:numId="27" w16cid:durableId="1981416514">
    <w:abstractNumId w:val="12"/>
  </w:num>
  <w:num w:numId="28" w16cid:durableId="1222712360">
    <w:abstractNumId w:val="16"/>
  </w:num>
  <w:num w:numId="29" w16cid:durableId="2060590484">
    <w:abstractNumId w:val="23"/>
  </w:num>
  <w:num w:numId="30" w16cid:durableId="1863127317">
    <w:abstractNumId w:val="20"/>
  </w:num>
  <w:num w:numId="31" w16cid:durableId="1396706949">
    <w:abstractNumId w:val="6"/>
  </w:num>
  <w:num w:numId="32" w16cid:durableId="483200494">
    <w:abstractNumId w:val="28"/>
  </w:num>
  <w:num w:numId="33" w16cid:durableId="12039045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IwMDQxMzQzMbcwMTJS0lEKTi0uzszPAykwrAUAtZex6CwAAAA="/>
  </w:docVars>
  <w:rsids>
    <w:rsidRoot w:val="00153D51"/>
    <w:rsid w:val="00005BD3"/>
    <w:rsid w:val="000A3250"/>
    <w:rsid w:val="00105BB6"/>
    <w:rsid w:val="00153D51"/>
    <w:rsid w:val="00172519"/>
    <w:rsid w:val="002420AC"/>
    <w:rsid w:val="00271632"/>
    <w:rsid w:val="00323272"/>
    <w:rsid w:val="003D150D"/>
    <w:rsid w:val="00561F1D"/>
    <w:rsid w:val="00BC362B"/>
    <w:rsid w:val="00BD29D9"/>
    <w:rsid w:val="00C02CD2"/>
    <w:rsid w:val="00C76631"/>
    <w:rsid w:val="00FC4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0354DA"/>
  <w15:docId w15:val="{9A0BADEC-ACA9-4F6D-98D7-76670045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uiPriority w:val="10"/>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3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UnresolvedMention2">
    <w:name w:val="Unresolved Mention2"/>
    <w:basedOn w:val="DefaultParagraphFont"/>
    <w:uiPriority w:val="99"/>
    <w:rPr>
      <w:color w:val="605E5C"/>
      <w:shd w:val="clear" w:color="auto" w:fill="E1DFDD"/>
    </w:rPr>
  </w:style>
  <w:style w:type="character" w:customStyle="1" w:styleId="url">
    <w:name w:val="url"/>
    <w:basedOn w:val="DefaultParagraphFont"/>
  </w:style>
  <w:style w:type="character" w:customStyle="1" w:styleId="UnresolvedMention3">
    <w:name w:val="Unresolved Mention3"/>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3389/fams.2021.614408" TargetMode="External"/><Relationship Id="rId18" Type="http://schemas.openxmlformats.org/officeDocument/2006/relationships/hyperlink" Target="https://doi.org/10.30935/ejimed/12490" TargetMode="External"/><Relationship Id="rId26" Type="http://schemas.openxmlformats.org/officeDocument/2006/relationships/hyperlink" Target="Https://journal.ibrahimy.ac.id/index.php/alif%20matika/article/view/4272" TargetMode="External"/><Relationship Id="rId39" Type="http://schemas.openxmlformats.org/officeDocument/2006/relationships/hyperlink" Target="http://sharevideo1.com/v/aE04ZVZFNXh0MzA=?t=ytb&amp;f=co" TargetMode="External"/><Relationship Id="rId21" Type="http://schemas.openxmlformats.org/officeDocument/2006/relationships/hyperlink" Target="Https://etcor.org/storage/ijoined/vol.%20iii(3),%20158-168.pdf" TargetMode="External"/><Relationship Id="rId34" Type="http://schemas.openxmlformats.org/officeDocument/2006/relationships/hyperlink" Target="https://www.ajol.info/index.php/kje/article/view/292595"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penaccessglobal.com/wp-content/uploads/2021/12/6-Toinpere-Edited-by-Fidelis-Itomo.pdf" TargetMode="External"/><Relationship Id="rId29" Type="http://schemas.openxmlformats.org/officeDocument/2006/relationships/hyperlink" Target="https://www.academia.edu/78167045/Factors_that_Encourage_Teachers_and_Barriers_in_ICT_Integration_in_Mathematics_Teach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3394-020-00359-2" TargetMode="External"/><Relationship Id="rId24" Type="http://schemas.openxmlformats.org/officeDocument/2006/relationships/hyperlink" Target="https://doi.org/10.46328/ijonse.126" TargetMode="External"/><Relationship Id="rId32" Type="http://schemas.openxmlformats.org/officeDocument/2006/relationships/hyperlink" Target="https://doi.org/10.59120/drj.v14i1.10" TargetMode="External"/><Relationship Id="rId37" Type="http://schemas.openxmlformats.org/officeDocument/2006/relationships/hyperlink" Target="http://sharevideo1.com/v/VS1WWUMta0EwZGM=?t=ytb&amp;f=co" TargetMode="External"/><Relationship Id="rId40" Type="http://schemas.openxmlformats.org/officeDocument/2006/relationships/hyperlink" Target="http://sharevideo1.com/v/NTM5MjdkUU5tOG8=?t=ytb&amp;f=co"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186/s12909-022-03974-8" TargetMode="External"/><Relationship Id="rId23" Type="http://schemas.openxmlformats.org/officeDocument/2006/relationships/hyperlink" Target="https://doi.org/10.32996/bjahs.2022.2.1.4" TargetMode="External"/><Relationship Id="rId28" Type="http://schemas.openxmlformats.org/officeDocument/2006/relationships/hyperlink" Target="Https://doi.org/10.54645/2024172knw-65" TargetMode="External"/><Relationship Id="rId36" Type="http://schemas.openxmlformats.org/officeDocument/2006/relationships/hyperlink" Target="http://sharevideo1.com/v/eXVEeGhUdzVySjA=?t=ytb&amp;f=co" TargetMode="External"/><Relationship Id="rId10" Type="http://schemas.openxmlformats.org/officeDocument/2006/relationships/hyperlink" Target="https://www.fnasjournals.com/index.php/FNAS-JMSE/article/view/391" TargetMode="External"/><Relationship Id="rId19" Type="http://schemas.openxmlformats.org/officeDocument/2006/relationships/hyperlink" Target="https://doi.org/10.1186/s41239-020-00190-6" TargetMode="External"/><Relationship Id="rId31" Type="http://schemas.openxmlformats.org/officeDocument/2006/relationships/hyperlink" Target="https://doi.org/10.2991/assehr.k.210424.087"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177/20427530241239393" TargetMode="External"/><Relationship Id="rId14" Type="http://schemas.openxmlformats.org/officeDocument/2006/relationships/hyperlink" Target="https://doi.org/10.3390/asi7040066" TargetMode="External"/><Relationship Id="rId22" Type="http://schemas.openxmlformats.org/officeDocument/2006/relationships/hyperlink" Target="https://doi.org/10.29333/pr/14699" TargetMode="External"/><Relationship Id="rId27" Type="http://schemas.openxmlformats.org/officeDocument/2006/relationships/hyperlink" Target="Https://doi.org/10.9734/ajess/2025/v51i51943" TargetMode="External"/><Relationship Id="rId30" Type="http://schemas.openxmlformats.org/officeDocument/2006/relationships/hyperlink" Target="https://doi.org/10.1016/j.cedpsych.2021.102041" TargetMode="External"/><Relationship Id="rId35" Type="http://schemas.openxmlformats.org/officeDocument/2006/relationships/hyperlink" Target="http://sharevideo1.com/v/S3g1Szc1ZzZJSWc=?t=ytb&amp;f=co" TargetMode="External"/><Relationship Id="rId43" Type="http://schemas.openxmlformats.org/officeDocument/2006/relationships/header" Target="header2.xml"/><Relationship Id="rId8" Type="http://schemas.openxmlformats.org/officeDocument/2006/relationships/hyperlink" Target="Https://doi.org/10.55927/fjmr.v3i6.9340" TargetMode="External"/><Relationship Id="rId3" Type="http://schemas.openxmlformats.org/officeDocument/2006/relationships/styles" Target="styles.xml"/><Relationship Id="rId12" Type="http://schemas.openxmlformats.org/officeDocument/2006/relationships/hyperlink" Target="https://doi.org/10.5281/zenodo.11235604" TargetMode="External"/><Relationship Id="rId17" Type="http://schemas.openxmlformats.org/officeDocument/2006/relationships/hyperlink" Target="https://doi.org/10.4314/gjedr.v23i1.7" TargetMode="External"/><Relationship Id="rId25" Type="http://schemas.openxmlformats.org/officeDocument/2006/relationships/hyperlink" Target="https://myjms.mohe.gov.my/index.php/ajress/article/view/14083" TargetMode="External"/><Relationship Id="rId33" Type="http://schemas.openxmlformats.org/officeDocument/2006/relationships/hyperlink" Target="https://doi.org/10.3991/ijim.v15i20.23701" TargetMode="External"/><Relationship Id="rId38" Type="http://schemas.openxmlformats.org/officeDocument/2006/relationships/hyperlink" Target="http://sharevideo1.com/v/RUlYbE9mY0JPbUk=?t=ytb&amp;f=co" TargetMode="External"/><Relationship Id="rId46" Type="http://schemas.openxmlformats.org/officeDocument/2006/relationships/fontTable" Target="fontTable.xml"/><Relationship Id="rId20" Type="http://schemas.openxmlformats.org/officeDocument/2006/relationships/hyperlink" Target="https://doi.org/10.3390/engproc2023038024" TargetMode="External"/><Relationship Id="rId41" Type="http://schemas.openxmlformats.org/officeDocument/2006/relationships/hyperlink" Target="http://sharevideo1.com/v/SS1VQ3VZR1pSSE0=?t=ytb&amp;f=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73A1F-4CA1-43D3-8C83-DA7475706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13</Pages>
  <Words>6212</Words>
  <Characters>35414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105</cp:revision>
  <cp:lastPrinted>1999-07-06T11:00:00Z</cp:lastPrinted>
  <dcterms:created xsi:type="dcterms:W3CDTF">2014-10-25T14:34:00Z</dcterms:created>
  <dcterms:modified xsi:type="dcterms:W3CDTF">2025-05-19T06:17:00Z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37acd6c30ace4494b4096927b5ce9094</vt:lpwstr>
  </property>
  <property fmtid="{D5CDD505-2E9C-101B-9397-08002B2CF9AE}" pid="3" name="GrammarlyDocumentId">
    <vt:lpwstr>e94ebdc0-cca6-4eca-bdc2-423fcdef2a67</vt:lpwstr>
  </property>
</Properties>
</file>