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E83F0" w14:textId="1871504A" w:rsidR="008D2F96" w:rsidRDefault="008D2F96" w:rsidP="008219F1">
      <w:pPr>
        <w:rPr>
          <w:rFonts w:ascii="Times New Roman" w:hAnsi="Times New Roman" w:cs="Times New Roman"/>
          <w:b/>
          <w:sz w:val="24"/>
          <w:szCs w:val="24"/>
          <w:lang w:val="en-US"/>
        </w:rPr>
      </w:pPr>
      <w:r w:rsidRPr="008D2F96">
        <w:rPr>
          <w:rFonts w:ascii="Times New Roman" w:hAnsi="Times New Roman" w:cs="Times New Roman"/>
          <w:b/>
          <w:bCs/>
          <w:i/>
          <w:iCs/>
          <w:sz w:val="24"/>
          <w:szCs w:val="24"/>
          <w:u w:val="single"/>
          <w:lang w:val="en-US"/>
        </w:rPr>
        <w:t>Original Research Article</w:t>
      </w:r>
    </w:p>
    <w:p w14:paraId="01B2D5C6" w14:textId="3B771100" w:rsidR="007019B4" w:rsidRDefault="00B86CE5" w:rsidP="00B86CE5">
      <w:pPr>
        <w:jc w:val="center"/>
        <w:rPr>
          <w:rFonts w:ascii="Times New Roman" w:hAnsi="Times New Roman" w:cs="Times New Roman"/>
          <w:b/>
          <w:sz w:val="24"/>
          <w:szCs w:val="24"/>
          <w:lang w:val="en-US"/>
        </w:rPr>
      </w:pPr>
      <w:r w:rsidRPr="006C63B8">
        <w:rPr>
          <w:rFonts w:ascii="Times New Roman" w:hAnsi="Times New Roman" w:cs="Times New Roman"/>
          <w:b/>
          <w:sz w:val="24"/>
          <w:szCs w:val="24"/>
          <w:lang w:val="en-US"/>
        </w:rPr>
        <w:t>Effect of Nitrogen and Potassium Fertilization Strategies on Biochemical Constituents of Pearl Millet (</w:t>
      </w:r>
      <w:r w:rsidRPr="00840558">
        <w:rPr>
          <w:rFonts w:ascii="Times New Roman" w:hAnsi="Times New Roman" w:cs="Times New Roman"/>
          <w:b/>
          <w:i/>
          <w:iCs/>
          <w:sz w:val="24"/>
          <w:szCs w:val="24"/>
          <w:lang w:val="en-US"/>
        </w:rPr>
        <w:t>Pennisetum glaucum</w:t>
      </w:r>
      <w:r w:rsidRPr="006C63B8">
        <w:rPr>
          <w:rFonts w:ascii="Times New Roman" w:hAnsi="Times New Roman" w:cs="Times New Roman"/>
          <w:b/>
          <w:sz w:val="24"/>
          <w:szCs w:val="24"/>
          <w:lang w:val="en-US"/>
        </w:rPr>
        <w:t xml:space="preserve"> L.)</w:t>
      </w:r>
    </w:p>
    <w:p w14:paraId="709C6AA7" w14:textId="433AC99A" w:rsidR="00840558" w:rsidRDefault="00840558" w:rsidP="00B86CE5">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Abstract </w:t>
      </w:r>
    </w:p>
    <w:p w14:paraId="71D9275D" w14:textId="72B99772" w:rsidR="00840558" w:rsidRPr="00840558" w:rsidRDefault="00840558" w:rsidP="00840558">
      <w:pPr>
        <w:jc w:val="both"/>
        <w:rPr>
          <w:rFonts w:ascii="Times New Roman" w:hAnsi="Times New Roman" w:cs="Times New Roman"/>
          <w:bCs/>
          <w:sz w:val="24"/>
          <w:szCs w:val="24"/>
          <w:lang w:val="en-US"/>
        </w:rPr>
      </w:pPr>
      <w:r w:rsidRPr="00840558">
        <w:rPr>
          <w:rFonts w:ascii="Times New Roman" w:hAnsi="Times New Roman" w:cs="Times New Roman"/>
          <w:bCs/>
          <w:sz w:val="24"/>
          <w:szCs w:val="24"/>
          <w:lang w:val="en-US"/>
        </w:rPr>
        <w:t xml:space="preserve">A field experiment was conducted during the </w:t>
      </w:r>
      <w:r w:rsidRPr="00A27310">
        <w:rPr>
          <w:rFonts w:ascii="Times New Roman" w:hAnsi="Times New Roman" w:cs="Times New Roman"/>
          <w:bCs/>
          <w:i/>
          <w:iCs/>
          <w:sz w:val="24"/>
          <w:szCs w:val="24"/>
          <w:lang w:val="en-US"/>
        </w:rPr>
        <w:t xml:space="preserve">Kharif </w:t>
      </w:r>
      <w:r w:rsidRPr="00840558">
        <w:rPr>
          <w:rFonts w:ascii="Times New Roman" w:hAnsi="Times New Roman" w:cs="Times New Roman"/>
          <w:bCs/>
          <w:sz w:val="24"/>
          <w:szCs w:val="24"/>
          <w:lang w:val="en-US"/>
        </w:rPr>
        <w:t>season of 2023 at MJRP College of Agriculture and Research, Jaipur, to investigate the influence of nitrogen and potassium fertilization strategies on grain biochemical quality and nutrient uptake in pearl millet (</w:t>
      </w:r>
      <w:r w:rsidRPr="00A27310">
        <w:rPr>
          <w:rFonts w:ascii="Times New Roman" w:hAnsi="Times New Roman" w:cs="Times New Roman"/>
          <w:bCs/>
          <w:i/>
          <w:iCs/>
          <w:sz w:val="24"/>
          <w:szCs w:val="24"/>
          <w:lang w:val="en-US"/>
        </w:rPr>
        <w:t>Pennisetum glaucum</w:t>
      </w:r>
      <w:r w:rsidRPr="00840558">
        <w:rPr>
          <w:rFonts w:ascii="Times New Roman" w:hAnsi="Times New Roman" w:cs="Times New Roman"/>
          <w:bCs/>
          <w:sz w:val="24"/>
          <w:szCs w:val="24"/>
          <w:lang w:val="en-US"/>
        </w:rPr>
        <w:t xml:space="preserve"> L.) grown under semi-arid conditions. The experimental design consisted of eight treatments laid out in a Randomized Block Design with three replications. The treatments included a control (no fertilizers), recommended dose of fertilizers (60 kg N ha⁻¹ + 30 kg P₂O₅ ha⁻¹ + 20 kg K₂O ha⁻¹), combinations of increased nitrogen (80 and 100 kg ha⁻¹) and potassium (20 and 40 kg ha⁻¹), and a site-specific soil test-based nutrient application (78 kg N ha⁻¹ + 21 kg P₂O₅ ha⁻¹ + 14 kg K₂O ha⁻¹). Grain samples were analyzed for total protein, amino acid, and carbohydrate content, while nutrient content and uptake (N, P, and K) were measured at harvest.</w:t>
      </w:r>
      <w:r>
        <w:rPr>
          <w:rFonts w:ascii="Times New Roman" w:hAnsi="Times New Roman" w:cs="Times New Roman"/>
          <w:bCs/>
          <w:sz w:val="24"/>
          <w:szCs w:val="24"/>
          <w:lang w:val="en-US"/>
        </w:rPr>
        <w:t xml:space="preserve"> </w:t>
      </w:r>
      <w:r w:rsidRPr="00840558">
        <w:rPr>
          <w:rFonts w:ascii="Times New Roman" w:hAnsi="Times New Roman" w:cs="Times New Roman"/>
          <w:bCs/>
          <w:sz w:val="24"/>
          <w:szCs w:val="24"/>
          <w:lang w:val="en-US"/>
        </w:rPr>
        <w:t xml:space="preserve">The results indicated that grain quality parameters significantly improved with increased nitrogen and potassium application. The treatment receiving 100 kg N ha⁻¹ + 30 kg P₂O₅ ha⁻¹ + 40 kg K₂O ha⁻¹ recorded the highest total protein (14.47%), total amino acids (743.85 mg 100g⁻¹), and total carbohydrates (69.55 g 100g⁻¹), along with the maximum uptake of N, P, and K. The soil test-based treatment also showed favorable responses, demonstrating the efficacy of tailored nutrient management. </w:t>
      </w:r>
      <w:r w:rsidR="00BF73E4">
        <w:rPr>
          <w:rFonts w:ascii="Times New Roman" w:hAnsi="Times New Roman" w:cs="Times New Roman"/>
          <w:bCs/>
          <w:sz w:val="24"/>
          <w:szCs w:val="24"/>
          <w:lang w:val="en-US"/>
        </w:rPr>
        <w:t>T</w:t>
      </w:r>
      <w:r w:rsidRPr="00840558">
        <w:rPr>
          <w:rFonts w:ascii="Times New Roman" w:hAnsi="Times New Roman" w:cs="Times New Roman"/>
          <w:bCs/>
          <w:sz w:val="24"/>
          <w:szCs w:val="24"/>
          <w:lang w:val="en-US"/>
        </w:rPr>
        <w:t>he study underscores the importance of balanced and site-specific fertilization in improving the nutritional quality and nutrient use efficiency of pearl millet, promoting sustainable intensification in dryland agriculture.</w:t>
      </w:r>
    </w:p>
    <w:p w14:paraId="15B1DED5" w14:textId="4CCB86D4" w:rsidR="00840558" w:rsidRDefault="00840558" w:rsidP="00840558">
      <w:pPr>
        <w:tabs>
          <w:tab w:val="left" w:pos="216"/>
        </w:tabs>
        <w:rPr>
          <w:rFonts w:ascii="Times New Roman" w:hAnsi="Times New Roman" w:cs="Times New Roman"/>
          <w:b/>
          <w:sz w:val="24"/>
          <w:szCs w:val="24"/>
          <w:lang w:val="en-US"/>
        </w:rPr>
      </w:pPr>
      <w:r>
        <w:rPr>
          <w:rFonts w:ascii="Times New Roman" w:hAnsi="Times New Roman" w:cs="Times New Roman"/>
          <w:b/>
          <w:sz w:val="24"/>
          <w:szCs w:val="24"/>
          <w:lang w:val="en-US"/>
        </w:rPr>
        <w:t xml:space="preserve">Keywords: </w:t>
      </w:r>
      <w:r w:rsidR="00F82D2C" w:rsidRPr="00F82D2C">
        <w:rPr>
          <w:rFonts w:ascii="Times New Roman" w:hAnsi="Times New Roman" w:cs="Times New Roman"/>
          <w:bCs/>
          <w:i/>
          <w:iCs/>
          <w:sz w:val="24"/>
          <w:szCs w:val="24"/>
          <w:lang w:val="en-US"/>
        </w:rPr>
        <w:t>Pearl millet, Nitrogen, Potassium, Grain quality, Nutrient uptake, Fertilizer management</w:t>
      </w:r>
    </w:p>
    <w:p w14:paraId="4FA0B69E" w14:textId="1CD6A860" w:rsidR="006C63B8" w:rsidRPr="00391916" w:rsidRDefault="0063116A" w:rsidP="0063116A">
      <w:pPr>
        <w:rPr>
          <w:rFonts w:ascii="Times New Roman" w:hAnsi="Times New Roman" w:cs="Times New Roman"/>
          <w:b/>
          <w:lang w:val="en-US"/>
        </w:rPr>
      </w:pPr>
      <w:r w:rsidRPr="00391916">
        <w:rPr>
          <w:rFonts w:ascii="Times New Roman" w:hAnsi="Times New Roman" w:cs="Times New Roman"/>
          <w:b/>
          <w:lang w:val="en-US"/>
        </w:rPr>
        <w:t xml:space="preserve">Introduction </w:t>
      </w:r>
    </w:p>
    <w:p w14:paraId="4DEB3ACD" w14:textId="77777777" w:rsidR="00790C47" w:rsidRPr="00790C47" w:rsidRDefault="00790C47" w:rsidP="00790C47">
      <w:pPr>
        <w:jc w:val="both"/>
        <w:rPr>
          <w:rFonts w:ascii="Times New Roman" w:hAnsi="Times New Roman" w:cs="Times New Roman"/>
          <w:bCs/>
        </w:rPr>
      </w:pPr>
      <w:r w:rsidRPr="00790C47">
        <w:rPr>
          <w:rFonts w:ascii="Times New Roman" w:hAnsi="Times New Roman" w:cs="Times New Roman"/>
          <w:bCs/>
        </w:rPr>
        <w:t>Pearl millet (</w:t>
      </w:r>
      <w:r w:rsidRPr="00790C47">
        <w:rPr>
          <w:rFonts w:ascii="Times New Roman" w:hAnsi="Times New Roman" w:cs="Times New Roman"/>
          <w:bCs/>
          <w:i/>
          <w:iCs/>
        </w:rPr>
        <w:t>Pennisetum glaucum</w:t>
      </w:r>
      <w:r w:rsidRPr="00790C47">
        <w:rPr>
          <w:rFonts w:ascii="Times New Roman" w:hAnsi="Times New Roman" w:cs="Times New Roman"/>
          <w:bCs/>
        </w:rPr>
        <w:t xml:space="preserve"> L.), widely referred to as bajra, stands as one of the most vital and climate-resilient cereal crops cultivated extensively across dryland and semi-arid regions of the globe. It is the fifth most significant cereal worldwide following rice, wheat, maize, and sorghum, and its cultivation is closely linked to food security and agricultural sustainability in regions with erratic rainfall, degraded soils, and elevated temperatures. The crop’s remarkable adaptability to harsh environmental conditions makes it a lifeline for smallholder farmers inhabiting marginal ecosystems, especially throughout Sub-Saharan Africa and South Asia. Globally, pearl millet occupies an estimated 29 million hectares, with Africa accounting for approximately 60% and Asia for 35% of the total area, while limited cultivation also occurs in North America and Europe, predominantly for forage purposes (</w:t>
      </w:r>
      <w:proofErr w:type="spellStart"/>
      <w:r w:rsidRPr="00790C47">
        <w:rPr>
          <w:rFonts w:ascii="Times New Roman" w:hAnsi="Times New Roman" w:cs="Times New Roman"/>
          <w:bCs/>
        </w:rPr>
        <w:t>Jukanti</w:t>
      </w:r>
      <w:proofErr w:type="spellEnd"/>
      <w:r w:rsidRPr="00790C47">
        <w:rPr>
          <w:rFonts w:ascii="Times New Roman" w:hAnsi="Times New Roman" w:cs="Times New Roman"/>
          <w:bCs/>
        </w:rPr>
        <w:t xml:space="preserve"> et al., 2016). According to Malik (2020), India is the leading global producer, with over 9.3 million hectares under pearl millet cultivation, producing about 9.3 million tonnes annually, and maintaining an average productivity of around 1044 kg ha⁻¹ in recent years. It is the second most crucial millet crop after sorghum and holds immense value not only for human consumption but also as a reliable source of fodder and feed for livestock. Key production zones in India include Rajasthan, Maharashtra, Gujarat, Uttar Pradesh, and Haryana, with Rajasthan contributing the largest acreage, although productivity figures are notably higher in Haryana and Madhya Pradesh.</w:t>
      </w:r>
    </w:p>
    <w:p w14:paraId="543BAB5B" w14:textId="77777777" w:rsidR="00790C47" w:rsidRPr="00790C47" w:rsidRDefault="00790C47" w:rsidP="00790C47">
      <w:pPr>
        <w:jc w:val="both"/>
        <w:rPr>
          <w:rFonts w:ascii="Times New Roman" w:hAnsi="Times New Roman" w:cs="Times New Roman"/>
          <w:bCs/>
        </w:rPr>
      </w:pPr>
      <w:r w:rsidRPr="00790C47">
        <w:rPr>
          <w:rFonts w:ascii="Times New Roman" w:hAnsi="Times New Roman" w:cs="Times New Roman"/>
          <w:bCs/>
        </w:rPr>
        <w:t xml:space="preserve">From a nutritional standpoint, pearl millet grains are exceptionally rich in energy-dense macronutrients, containing 60–78% carbohydrates and 11–19% protein, along with 3.0–4.6% fat, substantial </w:t>
      </w:r>
      <w:r w:rsidRPr="00790C47">
        <w:rPr>
          <w:rFonts w:ascii="Times New Roman" w:hAnsi="Times New Roman" w:cs="Times New Roman"/>
          <w:bCs/>
        </w:rPr>
        <w:lastRenderedPageBreak/>
        <w:t>phosphorus, and iron levels, thus positioning it as a nutritionally superior cereal when compared to many conventional grains (</w:t>
      </w:r>
      <w:proofErr w:type="spellStart"/>
      <w:r w:rsidRPr="00790C47">
        <w:rPr>
          <w:rFonts w:ascii="Times New Roman" w:hAnsi="Times New Roman" w:cs="Times New Roman"/>
          <w:bCs/>
        </w:rPr>
        <w:t>Jukanti</w:t>
      </w:r>
      <w:proofErr w:type="spellEnd"/>
      <w:r w:rsidRPr="00790C47">
        <w:rPr>
          <w:rFonts w:ascii="Times New Roman" w:hAnsi="Times New Roman" w:cs="Times New Roman"/>
          <w:bCs/>
        </w:rPr>
        <w:t xml:space="preserve"> et al., 2016). This nutritional profile makes it a critical resource in combating hidden hunger and micronutrient deficiencies, especially under climate-vulnerable food systems. The crop’s physiological resilience is particularly vital in sustaining productivity amidst prolonged dry spells, degraded soil fertility, and temperature extremes. Nonetheless, yield performance remains inconsistent and sub-optimal in many rainfed systems due to the lack of appropriate agronomic and nutrient management interventions. Among the primary macronutrients influencing plant development and grain biochemical properties, nitrogen (N) and potassium (K) are especially important due to their direct involvement in vital physiological and biochemical processes (Yin et al., 2023). Nitrogen facilitates leaf area expansion, chlorophyll biosynthesis, nucleic acid development, and protein formation, while potassium supports enzyme activation, osmoregulation, photosynthate translocation, and grain quality enhancement (Jiaying et al., 2023). Imbalances or deficiencies in these nutrients adversely affect metabolic functions, leading to poor biomass accumulation, weak reproductive development, and lower grain nutritional value.</w:t>
      </w:r>
    </w:p>
    <w:p w14:paraId="10299695" w14:textId="77777777" w:rsidR="00790C47" w:rsidRPr="00790C47" w:rsidRDefault="00790C47" w:rsidP="00790C47">
      <w:pPr>
        <w:jc w:val="both"/>
        <w:rPr>
          <w:rFonts w:ascii="Times New Roman" w:hAnsi="Times New Roman" w:cs="Times New Roman"/>
          <w:bCs/>
        </w:rPr>
      </w:pPr>
      <w:r w:rsidRPr="00790C47">
        <w:rPr>
          <w:rFonts w:ascii="Times New Roman" w:hAnsi="Times New Roman" w:cs="Times New Roman"/>
          <w:bCs/>
        </w:rPr>
        <w:t xml:space="preserve">Biochemical components such as crude protein, free amino acids, and total carbohydrates not only determine the nutritive value of pearl millet but also influence its industrial applications. These biochemical parameters are highly responsive to nutrient supply, particularly N and K, as their uptake directly regulates the synthesis and storage of these constituents in the developing grain (Satyavathi et al., 2021). With the growing global demand for climate-resilient and nutrient-dense food grains, there is an urgent need to refine fertilization practices that go beyond yield maximization to include enhancement of nutritional quality traits. Despite the agronomic relevance of such practices, limited research has comprehensively addressed the biochemical implications of N and K application in pearl millet cultivation under specific semi-arid </w:t>
      </w:r>
      <w:proofErr w:type="spellStart"/>
      <w:r w:rsidRPr="00790C47">
        <w:rPr>
          <w:rFonts w:ascii="Times New Roman" w:hAnsi="Times New Roman" w:cs="Times New Roman"/>
          <w:bCs/>
        </w:rPr>
        <w:t>agro</w:t>
      </w:r>
      <w:proofErr w:type="spellEnd"/>
      <w:r w:rsidRPr="00790C47">
        <w:rPr>
          <w:rFonts w:ascii="Times New Roman" w:hAnsi="Times New Roman" w:cs="Times New Roman"/>
          <w:bCs/>
        </w:rPr>
        <w:t>-ecological conditions. In this context, the present study was undertaken to evaluate the impact of differential nitrogen and potassium fertilization on the biochemical quality attributes of pearl millet grains cultivated under the semi-arid climatic conditions of Jaipur. The investigation was focused on understanding nutrient-responsive modulation of grain protein, amino acid, and carbohydrate content, thereby contributing towards informed recommendations for balanced nutrient management and quality-oriented pearl millet production strategies suited for dryland agriculture.</w:t>
      </w:r>
    </w:p>
    <w:p w14:paraId="392A6459" w14:textId="77777777" w:rsidR="00790C47" w:rsidRPr="00790C47" w:rsidRDefault="00790C47" w:rsidP="00790C47">
      <w:pPr>
        <w:rPr>
          <w:rFonts w:ascii="Times New Roman" w:hAnsi="Times New Roman" w:cs="Times New Roman"/>
          <w:bCs/>
          <w:vanish/>
        </w:rPr>
      </w:pPr>
      <w:r w:rsidRPr="00790C47">
        <w:rPr>
          <w:rFonts w:ascii="Times New Roman" w:hAnsi="Times New Roman" w:cs="Times New Roman"/>
          <w:bCs/>
          <w:vanish/>
        </w:rPr>
        <w:t>Bottom of Form</w:t>
      </w:r>
    </w:p>
    <w:p w14:paraId="2564CAD0" w14:textId="77777777" w:rsidR="00972220" w:rsidRPr="00972220" w:rsidRDefault="00972220" w:rsidP="0063116A">
      <w:pPr>
        <w:rPr>
          <w:rFonts w:ascii="Times New Roman" w:eastAsia="Times New Roman" w:hAnsi="Times New Roman" w:cs="Times New Roman"/>
          <w:kern w:val="0"/>
          <w14:ligatures w14:val="none"/>
        </w:rPr>
      </w:pPr>
      <w:r w:rsidRPr="00972220">
        <w:rPr>
          <w:rFonts w:ascii="Times New Roman" w:eastAsia="Times New Roman" w:hAnsi="Times New Roman" w:cs="Times New Roman"/>
          <w:b/>
          <w:bCs/>
          <w:kern w:val="0"/>
          <w14:ligatures w14:val="none"/>
        </w:rPr>
        <w:t>MATERIAL AND METHODS</w:t>
      </w:r>
    </w:p>
    <w:p w14:paraId="796B2225" w14:textId="029F814E"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The field experiment was conducted during the Kharif season of 2023 at MJRP College of Agriculture and Research, Jaipur, Rajasthan. The site is located in a semi-arid subtropical region</w:t>
      </w:r>
      <w:r w:rsidR="00360A79">
        <w:rPr>
          <w:rFonts w:ascii="Times New Roman" w:eastAsia="Times New Roman" w:hAnsi="Times New Roman" w:cs="Times New Roman"/>
          <w:kern w:val="0"/>
          <w14:ligatures w14:val="none"/>
        </w:rPr>
        <w:t xml:space="preserve"> at </w:t>
      </w:r>
      <w:r w:rsidR="00360A79" w:rsidRPr="00360A79">
        <w:rPr>
          <w:rFonts w:ascii="Times New Roman" w:eastAsia="Times New Roman" w:hAnsi="Times New Roman" w:cs="Times New Roman"/>
          <w:kern w:val="0"/>
          <w14:ligatures w14:val="none"/>
        </w:rPr>
        <w:t>26° 53' 55" N latitude and 75° 46' 22"E longitude with an elevation of 264 meters above mean sea level</w:t>
      </w:r>
      <w:r w:rsidRPr="00972220">
        <w:rPr>
          <w:rFonts w:ascii="Times New Roman" w:eastAsia="Times New Roman" w:hAnsi="Times New Roman" w:cs="Times New Roman"/>
          <w:kern w:val="0"/>
          <w14:ligatures w14:val="none"/>
        </w:rPr>
        <w:t>. The weather data during the cropping period were recorded from the college meteorological observatory. The weekly mean maximum temperature ranged from 30.54 °C to 38.50 °C (average 34.40 °C), while the weekly mean minimum temperature ranged from 23.41 °C to 27.93 °C (average 25.30 °C). Relative humidity varied between 63.43% and 91.43% (mean 79.09%). Total rainfall received during the crop period was 456 mm over 6 rainy days. Evaporation ranged from 3.19 to 10.79 mm day⁻¹, with an average of 5.93 mm day⁻¹, and sunshine hours ranged from 0.61 to 7.56 hrs day⁻¹ (average 3.74 hrs day⁻¹).</w:t>
      </w:r>
      <w:r>
        <w:rPr>
          <w:rFonts w:ascii="Times New Roman" w:eastAsia="Times New Roman" w:hAnsi="Times New Roman" w:cs="Times New Roman"/>
          <w:kern w:val="0"/>
          <w14:ligatures w14:val="none"/>
        </w:rPr>
        <w:t xml:space="preserve"> </w:t>
      </w:r>
      <w:r w:rsidRPr="00972220">
        <w:rPr>
          <w:rFonts w:ascii="Times New Roman" w:eastAsia="Times New Roman" w:hAnsi="Times New Roman" w:cs="Times New Roman"/>
          <w:kern w:val="0"/>
          <w14:ligatures w14:val="none"/>
        </w:rPr>
        <w:t xml:space="preserve">Initial soil analysis of the experimental site indicated a sandy loam texture with neutral pH (7.35), normal electrical conductivity (0.068 </w:t>
      </w:r>
      <w:proofErr w:type="spellStart"/>
      <w:r w:rsidRPr="00972220">
        <w:rPr>
          <w:rFonts w:ascii="Times New Roman" w:eastAsia="Times New Roman" w:hAnsi="Times New Roman" w:cs="Times New Roman"/>
          <w:kern w:val="0"/>
          <w14:ligatures w14:val="none"/>
        </w:rPr>
        <w:t>dS</w:t>
      </w:r>
      <w:proofErr w:type="spellEnd"/>
      <w:r w:rsidRPr="00972220">
        <w:rPr>
          <w:rFonts w:ascii="Times New Roman" w:eastAsia="Times New Roman" w:hAnsi="Times New Roman" w:cs="Times New Roman"/>
          <w:kern w:val="0"/>
          <w14:ligatures w14:val="none"/>
        </w:rPr>
        <w:t xml:space="preserve"> m⁻¹), medium organic carbon content (0.63%), low available nitrogen (150.52 kg ha⁻¹), high available phosphorus (159.97 kg ha⁻¹), and high available potassium (422.01 kg ha⁻¹), as per standard soil testing protocols (Jackson, 1973).</w:t>
      </w:r>
    </w:p>
    <w:p w14:paraId="1E09E173"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The experiment was laid out in a Randomized Block Design (RBD) with eight treatments replicated three times. Treatments consisted of various combinations of nitrogen (60, 80, 100 kg ha⁻¹), phosphorus (30 kg P₂O₅ ha⁻¹), and potassium (20 or 40 kg K₂O ha⁻¹), including one treatment based on soil test values (78 kg N ha⁻¹, 21 kg P₂O₅ ha⁻¹, 14 kg K₂O ha⁻¹). The plot size for each treatment was 5.0 m × 4.5 m (22.5 m²). The test hybrid used was PHB-3.</w:t>
      </w:r>
    </w:p>
    <w:p w14:paraId="7C1AC3ED"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lastRenderedPageBreak/>
        <w:t xml:space="preserve">Sowing was done on 17th June 2023 using a seed rate of 4 kg ha⁻¹, with seeds treated using carbendazim @ 2 g kg⁻¹. The field was prepared by ploughing twice, harrowing, </w:t>
      </w:r>
      <w:proofErr w:type="spellStart"/>
      <w:r w:rsidRPr="00972220">
        <w:rPr>
          <w:rFonts w:ascii="Times New Roman" w:eastAsia="Times New Roman" w:hAnsi="Times New Roman" w:cs="Times New Roman"/>
          <w:kern w:val="0"/>
          <w14:ligatures w14:val="none"/>
        </w:rPr>
        <w:t>leveling</w:t>
      </w:r>
      <w:proofErr w:type="spellEnd"/>
      <w:r w:rsidRPr="00972220">
        <w:rPr>
          <w:rFonts w:ascii="Times New Roman" w:eastAsia="Times New Roman" w:hAnsi="Times New Roman" w:cs="Times New Roman"/>
          <w:kern w:val="0"/>
          <w14:ligatures w14:val="none"/>
        </w:rPr>
        <w:t>, and forming furrows at 45 cm spacing. Urea (46% N) was used for nitrogen, applied in two splits (basal and 30 DAT); single super phosphate (16% P₂O₅) and muriate of potash (60% K₂O) were applied basally for phosphorus and potassium, respectively.</w:t>
      </w:r>
    </w:p>
    <w:p w14:paraId="29DB626B"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Manual weeding was carried out at 15 DAS. A light irrigation was applied three days after sowing for proper establishment, and the crop was subsequently grown under rainfed conditions. Pest control included spraying chlorpyriphos @ 2.5 ml L⁻¹ against stem borer. Bird scaring was practiced from the milky stage (65 DAS) to harvest. Harvesting occurred on 23rd September 2023 (crop duration: 79 days), and ear heads and straw were dried separately and weighed after threshing.</w:t>
      </w:r>
    </w:p>
    <w:p w14:paraId="605B7E82" w14:textId="77777777"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Plant samples were taken at 30 and 60 DAT and at harvest, divided into leaf, stem, and ear head, oven dried at 60 °C, and ground using a Willey mill. For nutrient analysis, samples were digested using concentrated H₂SO₄ with a catalyst mixture (K₂SO₄-Se) for nitrogen and a triacid mixture (HNO₃:H₂SO</w:t>
      </w:r>
      <w:proofErr w:type="gramStart"/>
      <w:r w:rsidRPr="00972220">
        <w:rPr>
          <w:rFonts w:ascii="Times New Roman" w:eastAsia="Times New Roman" w:hAnsi="Times New Roman" w:cs="Times New Roman"/>
          <w:kern w:val="0"/>
          <w14:ligatures w14:val="none"/>
        </w:rPr>
        <w:t>₄:</w:t>
      </w:r>
      <w:proofErr w:type="spellStart"/>
      <w:r w:rsidRPr="00972220">
        <w:rPr>
          <w:rFonts w:ascii="Times New Roman" w:eastAsia="Times New Roman" w:hAnsi="Times New Roman" w:cs="Times New Roman"/>
          <w:kern w:val="0"/>
          <w14:ligatures w14:val="none"/>
        </w:rPr>
        <w:t>HClO</w:t>
      </w:r>
      <w:proofErr w:type="spellEnd"/>
      <w:r w:rsidRPr="00972220">
        <w:rPr>
          <w:rFonts w:ascii="Times New Roman" w:eastAsia="Times New Roman" w:hAnsi="Times New Roman" w:cs="Times New Roman"/>
          <w:kern w:val="0"/>
          <w14:ligatures w14:val="none"/>
        </w:rPr>
        <w:t>₄::</w:t>
      </w:r>
      <w:proofErr w:type="gramEnd"/>
      <w:r w:rsidRPr="00972220">
        <w:rPr>
          <w:rFonts w:ascii="Times New Roman" w:eastAsia="Times New Roman" w:hAnsi="Times New Roman" w:cs="Times New Roman"/>
          <w:kern w:val="0"/>
          <w14:ligatures w14:val="none"/>
        </w:rPr>
        <w:t xml:space="preserve">9:4:1) for phosphorus and potassium. Nitrogen content was determined using the Kjeldahl method (Jackson, 1973), phosphorus via the </w:t>
      </w:r>
      <w:proofErr w:type="spellStart"/>
      <w:r w:rsidRPr="00972220">
        <w:rPr>
          <w:rFonts w:ascii="Times New Roman" w:eastAsia="Times New Roman" w:hAnsi="Times New Roman" w:cs="Times New Roman"/>
          <w:kern w:val="0"/>
          <w14:ligatures w14:val="none"/>
        </w:rPr>
        <w:t>vanadomolybdo</w:t>
      </w:r>
      <w:proofErr w:type="spellEnd"/>
      <w:r w:rsidRPr="00972220">
        <w:rPr>
          <w:rFonts w:ascii="Times New Roman" w:eastAsia="Times New Roman" w:hAnsi="Times New Roman" w:cs="Times New Roman"/>
          <w:kern w:val="0"/>
          <w14:ligatures w14:val="none"/>
        </w:rPr>
        <w:t xml:space="preserve"> phosphoric acid yellow colour method (Jackson, 1967), and potassium using a flame photometer. Nutrient uptake was calculated by multiplying dry matter with respective nutrient contents and expressed in kg ha⁻¹.</w:t>
      </w:r>
    </w:p>
    <w:p w14:paraId="298A4F6B" w14:textId="77777777" w:rsidR="008B04B9"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 xml:space="preserve">Grain samples were also </w:t>
      </w:r>
      <w:r w:rsidR="00E207C4" w:rsidRPr="00972220">
        <w:rPr>
          <w:rFonts w:ascii="Times New Roman" w:eastAsia="Times New Roman" w:hAnsi="Times New Roman" w:cs="Times New Roman"/>
          <w:kern w:val="0"/>
          <w14:ligatures w14:val="none"/>
        </w:rPr>
        <w:t>analysed</w:t>
      </w:r>
      <w:r w:rsidRPr="00972220">
        <w:rPr>
          <w:rFonts w:ascii="Times New Roman" w:eastAsia="Times New Roman" w:hAnsi="Times New Roman" w:cs="Times New Roman"/>
          <w:kern w:val="0"/>
          <w14:ligatures w14:val="none"/>
        </w:rPr>
        <w:t xml:space="preserve"> for biochemical </w:t>
      </w:r>
      <w:proofErr w:type="gramStart"/>
      <w:r w:rsidRPr="00972220">
        <w:rPr>
          <w:rFonts w:ascii="Times New Roman" w:eastAsia="Times New Roman" w:hAnsi="Times New Roman" w:cs="Times New Roman"/>
          <w:kern w:val="0"/>
          <w14:ligatures w14:val="none"/>
        </w:rPr>
        <w:t>constituents</w:t>
      </w:r>
      <w:proofErr w:type="gramEnd"/>
      <w:r>
        <w:rPr>
          <w:rFonts w:ascii="Times New Roman" w:eastAsia="Times New Roman" w:hAnsi="Times New Roman" w:cs="Times New Roman"/>
          <w:kern w:val="0"/>
          <w14:ligatures w14:val="none"/>
        </w:rPr>
        <w:t xml:space="preserve"> </w:t>
      </w:r>
      <w:r w:rsidRPr="00972220">
        <w:rPr>
          <w:rFonts w:ascii="Times New Roman" w:eastAsia="Times New Roman" w:hAnsi="Times New Roman" w:cs="Times New Roman"/>
          <w:kern w:val="0"/>
          <w14:ligatures w14:val="none"/>
        </w:rPr>
        <w:t xml:space="preserve">total protein, total amino acids, and carbohydrates. Total protein was estimated by multiplying nitrogen content by 6.25. Total amino acids were quantified using the method of Moore and Stein (1948), while carbohydrate content was determined by the phenol-sulphuric acid method described by Hedge and </w:t>
      </w:r>
      <w:proofErr w:type="spellStart"/>
      <w:r w:rsidRPr="00972220">
        <w:rPr>
          <w:rFonts w:ascii="Times New Roman" w:eastAsia="Times New Roman" w:hAnsi="Times New Roman" w:cs="Times New Roman"/>
          <w:kern w:val="0"/>
          <w14:ligatures w14:val="none"/>
        </w:rPr>
        <w:t>Hofreiter</w:t>
      </w:r>
      <w:proofErr w:type="spellEnd"/>
      <w:r w:rsidRPr="00972220">
        <w:rPr>
          <w:rFonts w:ascii="Times New Roman" w:eastAsia="Times New Roman" w:hAnsi="Times New Roman" w:cs="Times New Roman"/>
          <w:kern w:val="0"/>
          <w14:ligatures w14:val="none"/>
        </w:rPr>
        <w:t xml:space="preserve"> (1962).</w:t>
      </w:r>
      <w:r w:rsidR="008B04B9">
        <w:rPr>
          <w:rFonts w:ascii="Times New Roman" w:eastAsia="Times New Roman" w:hAnsi="Times New Roman" w:cs="Times New Roman"/>
          <w:kern w:val="0"/>
          <w14:ligatures w14:val="none"/>
        </w:rPr>
        <w:t xml:space="preserve"> </w:t>
      </w:r>
    </w:p>
    <w:p w14:paraId="791FC325" w14:textId="4783E238" w:rsidR="00972220" w:rsidRPr="00972220" w:rsidRDefault="00972220" w:rsidP="00972220">
      <w:pPr>
        <w:jc w:val="both"/>
        <w:rPr>
          <w:rFonts w:ascii="Times New Roman" w:eastAsia="Times New Roman" w:hAnsi="Times New Roman" w:cs="Times New Roman"/>
          <w:kern w:val="0"/>
          <w14:ligatures w14:val="none"/>
        </w:rPr>
      </w:pPr>
      <w:r w:rsidRPr="00972220">
        <w:rPr>
          <w:rFonts w:ascii="Times New Roman" w:eastAsia="Times New Roman" w:hAnsi="Times New Roman" w:cs="Times New Roman"/>
          <w:kern w:val="0"/>
          <w14:ligatures w14:val="none"/>
        </w:rPr>
        <w:t>The recorded data on growth parameters</w:t>
      </w:r>
      <w:r>
        <w:rPr>
          <w:rFonts w:ascii="Times New Roman" w:eastAsia="Times New Roman" w:hAnsi="Times New Roman" w:cs="Times New Roman"/>
          <w:kern w:val="0"/>
          <w14:ligatures w14:val="none"/>
        </w:rPr>
        <w:t xml:space="preserve"> </w:t>
      </w:r>
      <w:r w:rsidRPr="00972220">
        <w:rPr>
          <w:rFonts w:ascii="Times New Roman" w:eastAsia="Times New Roman" w:hAnsi="Times New Roman" w:cs="Times New Roman"/>
          <w:kern w:val="0"/>
          <w14:ligatures w14:val="none"/>
        </w:rPr>
        <w:t xml:space="preserve">nutrient uptake, and biochemical traits were statistically </w:t>
      </w:r>
      <w:r w:rsidR="0063116A" w:rsidRPr="00972220">
        <w:rPr>
          <w:rFonts w:ascii="Times New Roman" w:eastAsia="Times New Roman" w:hAnsi="Times New Roman" w:cs="Times New Roman"/>
          <w:kern w:val="0"/>
          <w14:ligatures w14:val="none"/>
        </w:rPr>
        <w:t>analysed</w:t>
      </w:r>
      <w:r w:rsidRPr="00972220">
        <w:rPr>
          <w:rFonts w:ascii="Times New Roman" w:eastAsia="Times New Roman" w:hAnsi="Times New Roman" w:cs="Times New Roman"/>
          <w:kern w:val="0"/>
          <w14:ligatures w14:val="none"/>
        </w:rPr>
        <w:t xml:space="preserve"> using analysis of variance (ANOVA) for RBD, as outlined by Panse and </w:t>
      </w:r>
      <w:proofErr w:type="spellStart"/>
      <w:r w:rsidRPr="00972220">
        <w:rPr>
          <w:rFonts w:ascii="Times New Roman" w:eastAsia="Times New Roman" w:hAnsi="Times New Roman" w:cs="Times New Roman"/>
          <w:kern w:val="0"/>
          <w14:ligatures w14:val="none"/>
        </w:rPr>
        <w:t>Sukhatme</w:t>
      </w:r>
      <w:proofErr w:type="spellEnd"/>
      <w:r w:rsidRPr="00972220">
        <w:rPr>
          <w:rFonts w:ascii="Times New Roman" w:eastAsia="Times New Roman" w:hAnsi="Times New Roman" w:cs="Times New Roman"/>
          <w:kern w:val="0"/>
          <w14:ligatures w14:val="none"/>
        </w:rPr>
        <w:t xml:space="preserve"> (1978). Treatment means were compared using the critical difference (CD) at a 5% probability level to determine statistical significance.</w:t>
      </w:r>
    </w:p>
    <w:p w14:paraId="50CA6ED6" w14:textId="111B74BD" w:rsidR="00122EAF" w:rsidRDefault="00972220" w:rsidP="00972220">
      <w:pPr>
        <w:rPr>
          <w:rFonts w:ascii="Times New Roman" w:hAnsi="Times New Roman" w:cs="Times New Roman"/>
          <w:b/>
          <w:bCs/>
        </w:rPr>
      </w:pPr>
      <w:r>
        <w:rPr>
          <w:rFonts w:ascii="Times New Roman" w:hAnsi="Times New Roman" w:cs="Times New Roman"/>
          <w:b/>
          <w:bCs/>
        </w:rPr>
        <w:t>Result and Discussion</w:t>
      </w:r>
    </w:p>
    <w:p w14:paraId="31D85A18" w14:textId="4DECFF73" w:rsidR="0063116A" w:rsidRDefault="00FB6E31" w:rsidP="00972220">
      <w:pPr>
        <w:rPr>
          <w:rFonts w:ascii="Times New Roman" w:hAnsi="Times New Roman" w:cs="Times New Roman"/>
          <w:b/>
          <w:bCs/>
        </w:rPr>
      </w:pPr>
      <w:r w:rsidRPr="00FB6E31">
        <w:rPr>
          <w:rFonts w:ascii="Times New Roman" w:hAnsi="Times New Roman" w:cs="Times New Roman"/>
          <w:b/>
          <w:bCs/>
        </w:rPr>
        <w:t>Biochemical Quality</w:t>
      </w:r>
    </w:p>
    <w:p w14:paraId="70E24E75" w14:textId="42AFB67C" w:rsidR="00E207C4" w:rsidRDefault="00E207C4" w:rsidP="00E207C4">
      <w:pPr>
        <w:jc w:val="both"/>
        <w:rPr>
          <w:rFonts w:ascii="Times New Roman" w:hAnsi="Times New Roman" w:cs="Times New Roman"/>
        </w:rPr>
      </w:pPr>
      <w:r w:rsidRPr="00E207C4">
        <w:rPr>
          <w:rFonts w:ascii="Times New Roman" w:hAnsi="Times New Roman" w:cs="Times New Roman"/>
        </w:rPr>
        <w:t xml:space="preserve">The data presented in </w:t>
      </w:r>
      <w:r w:rsidR="009B6C1D">
        <w:rPr>
          <w:rFonts w:ascii="Times New Roman" w:hAnsi="Times New Roman" w:cs="Times New Roman"/>
        </w:rPr>
        <w:t>(</w:t>
      </w:r>
      <w:r w:rsidRPr="00E207C4">
        <w:rPr>
          <w:rFonts w:ascii="Times New Roman" w:hAnsi="Times New Roman" w:cs="Times New Roman"/>
        </w:rPr>
        <w:t>Table 1</w:t>
      </w:r>
      <w:r w:rsidR="009B6C1D">
        <w:rPr>
          <w:rFonts w:ascii="Times New Roman" w:hAnsi="Times New Roman" w:cs="Times New Roman"/>
        </w:rPr>
        <w:t>)</w:t>
      </w:r>
      <w:r w:rsidRPr="00E207C4">
        <w:rPr>
          <w:rFonts w:ascii="Times New Roman" w:hAnsi="Times New Roman" w:cs="Times New Roman"/>
        </w:rPr>
        <w:t xml:space="preserve"> clearly indicate the significant influence of nitrogen and potassium fertilization strategies on the grain quality parameters of pearl millet, namely total protein content, total amino acid content, and total carbohydrate content. The treatments involving increased levels of nitrogen and potassium demonstrated notable enhancements in all quality parameters, highlighting the synergistic effect of these essential nutrients in improving the biochemical composition of pearl millet grains under semi-arid conditions.</w:t>
      </w:r>
      <w:r w:rsidR="006B18AB">
        <w:rPr>
          <w:rFonts w:ascii="Times New Roman" w:hAnsi="Times New Roman" w:cs="Times New Roman"/>
        </w:rPr>
        <w:t xml:space="preserve"> </w:t>
      </w:r>
      <w:r w:rsidRPr="00E207C4">
        <w:rPr>
          <w:rFonts w:ascii="Times New Roman" w:hAnsi="Times New Roman" w:cs="Times New Roman"/>
        </w:rPr>
        <w:t xml:space="preserve">The treatment receiving 100 kg N ha⁻¹ + 30 kg P₂O₅ ha⁻¹ + 40 kg K₂O ha⁻¹ recorded the highest total protein content of 14.47%, which was significantly superior to all other treatments. This was followed by 100 kg N ha⁻¹ + 30 kg P₂O₅ ha⁻¹ + 20 kg K₂O ha⁻¹ (13.95%) and 80 kg N ha⁻¹ + 30 kg P₂O₅ ha⁻¹ + 40 kg K₂O ha⁻¹ (13.83%). The lowest protein content (9.74%) was observed in the control treatment that received no fertilizers. The increase in protein content with the application of higher nitrogen doses is in agreement with the findings of </w:t>
      </w:r>
      <w:r w:rsidR="00D36E22">
        <w:rPr>
          <w:rFonts w:ascii="Times New Roman" w:hAnsi="Times New Roman" w:cs="Times New Roman"/>
        </w:rPr>
        <w:t>(</w:t>
      </w:r>
      <w:r w:rsidR="00D36E22" w:rsidRPr="00D36E22">
        <w:rPr>
          <w:rFonts w:ascii="Times New Roman" w:hAnsi="Times New Roman" w:cs="Times New Roman"/>
        </w:rPr>
        <w:t>Parihar</w:t>
      </w:r>
      <w:r w:rsidR="00D36E22">
        <w:rPr>
          <w:rFonts w:ascii="Times New Roman" w:hAnsi="Times New Roman" w:cs="Times New Roman"/>
        </w:rPr>
        <w:t xml:space="preserve"> et al.,</w:t>
      </w:r>
      <w:r w:rsidR="00D36E22" w:rsidRPr="00D36E22">
        <w:rPr>
          <w:rFonts w:ascii="Times New Roman" w:hAnsi="Times New Roman" w:cs="Times New Roman"/>
        </w:rPr>
        <w:t xml:space="preserve"> 2009</w:t>
      </w:r>
      <w:r w:rsidR="00D36E22">
        <w:rPr>
          <w:rFonts w:ascii="Times New Roman" w:hAnsi="Times New Roman" w:cs="Times New Roman"/>
        </w:rPr>
        <w:t xml:space="preserve">) </w:t>
      </w:r>
      <w:r w:rsidRPr="00E207C4">
        <w:rPr>
          <w:rFonts w:ascii="Times New Roman" w:hAnsi="Times New Roman" w:cs="Times New Roman"/>
        </w:rPr>
        <w:t xml:space="preserve">and </w:t>
      </w:r>
      <w:r w:rsidR="00D36E22" w:rsidRPr="00D36E22">
        <w:rPr>
          <w:rFonts w:ascii="Times New Roman" w:hAnsi="Times New Roman" w:cs="Times New Roman"/>
        </w:rPr>
        <w:t>Jadhav</w:t>
      </w:r>
      <w:r w:rsidR="00D36E22">
        <w:rPr>
          <w:rFonts w:ascii="Times New Roman" w:hAnsi="Times New Roman" w:cs="Times New Roman"/>
        </w:rPr>
        <w:t xml:space="preserve"> </w:t>
      </w:r>
      <w:r w:rsidR="00D36E22" w:rsidRPr="00D36E22">
        <w:rPr>
          <w:rFonts w:ascii="Times New Roman" w:hAnsi="Times New Roman" w:cs="Times New Roman"/>
          <w:i/>
          <w:iCs/>
        </w:rPr>
        <w:t>et al</w:t>
      </w:r>
      <w:r w:rsidR="00D36E22">
        <w:rPr>
          <w:rFonts w:ascii="Times New Roman" w:hAnsi="Times New Roman" w:cs="Times New Roman"/>
        </w:rPr>
        <w:t xml:space="preserve">., </w:t>
      </w:r>
      <w:r w:rsidR="00D36E22" w:rsidRPr="00D36E22">
        <w:rPr>
          <w:rFonts w:ascii="Times New Roman" w:hAnsi="Times New Roman" w:cs="Times New Roman"/>
        </w:rPr>
        <w:t>2011)</w:t>
      </w:r>
      <w:r w:rsidRPr="00D36E22">
        <w:rPr>
          <w:rFonts w:ascii="Times New Roman" w:hAnsi="Times New Roman" w:cs="Times New Roman"/>
        </w:rPr>
        <w:t>, who</w:t>
      </w:r>
      <w:r w:rsidRPr="00E207C4">
        <w:rPr>
          <w:rFonts w:ascii="Times New Roman" w:hAnsi="Times New Roman" w:cs="Times New Roman"/>
        </w:rPr>
        <w:t xml:space="preserve"> established that nitrogen plays a vital role in enhancing amino acid synthesis and subsequent protein accumulation in grains. Additionally, potassium facilitates the translocation of nitrogenous compounds, further enhancing protein biosynthesis (</w:t>
      </w:r>
      <w:r w:rsidR="00D36E22" w:rsidRPr="00D36E22">
        <w:rPr>
          <w:rFonts w:ascii="Times New Roman" w:hAnsi="Times New Roman" w:cs="Times New Roman"/>
        </w:rPr>
        <w:t>Parihar et al., 2009</w:t>
      </w:r>
      <w:r w:rsidRPr="00E207C4">
        <w:rPr>
          <w:rFonts w:ascii="Times New Roman" w:hAnsi="Times New Roman" w:cs="Times New Roman"/>
        </w:rPr>
        <w:t>).</w:t>
      </w:r>
      <w:r w:rsidR="006B18AB">
        <w:rPr>
          <w:rFonts w:ascii="Times New Roman" w:hAnsi="Times New Roman" w:cs="Times New Roman"/>
        </w:rPr>
        <w:t xml:space="preserve"> </w:t>
      </w:r>
      <w:r w:rsidRPr="00E207C4">
        <w:rPr>
          <w:rFonts w:ascii="Times New Roman" w:hAnsi="Times New Roman" w:cs="Times New Roman"/>
        </w:rPr>
        <w:t xml:space="preserve">A similar trend was observed in total amino acid content. The treatment 100 kg N ha⁻¹ + 30 kg P₂O₅ ha⁻¹ + 40 kg K₂O ha⁻¹ once again recorded the highest value (743.85 mg 100g⁻¹), indicating that elevated nitrogen availability, when coupled with sufficient potassium, significantly stimulates amino acid formation. The treatments 100 kg N ha⁻¹ + 30 kg P₂O₅ ha⁻¹ + 20 kg K₂O ha⁻¹ (714.04 mg 100g⁻¹) and 80 kg N ha⁻¹ + 30 kg P₂O₅ ha⁻¹ + 40 kg K₂O ha⁻¹ (705.04 mg 100g⁻¹) also exhibited substantial amino acid concentrations. On the other hand, the control (no fertilizers) produced the lowest amino acid content </w:t>
      </w:r>
      <w:r w:rsidRPr="00E207C4">
        <w:rPr>
          <w:rFonts w:ascii="Times New Roman" w:hAnsi="Times New Roman" w:cs="Times New Roman"/>
        </w:rPr>
        <w:lastRenderedPageBreak/>
        <w:t>(573.57 mg 100g⁻¹), reiterating the importance of N and K in protein metabolism. The treatment based on soil test values (78 kg N ha⁻¹ + 21 kg P₂O₅ ha⁻¹ + 14 kg K₂O ha⁻¹) also showed relatively high amino acid content (652.94 mg 100g⁻¹), demonstrating the effectiveness of site-specific nutrient application in supporting biochemical quality (Meena et al., 2015).</w:t>
      </w:r>
      <w:r w:rsidR="006B18AB">
        <w:rPr>
          <w:rFonts w:ascii="Times New Roman" w:hAnsi="Times New Roman" w:cs="Times New Roman"/>
        </w:rPr>
        <w:t xml:space="preserve"> </w:t>
      </w:r>
      <w:r w:rsidRPr="00E207C4">
        <w:rPr>
          <w:rFonts w:ascii="Times New Roman" w:hAnsi="Times New Roman" w:cs="Times New Roman"/>
        </w:rPr>
        <w:t>With respect to total carbohydrate content, the highest value (69.55 g 100g⁻¹) was again obtained with the treatment 100 kg N ha⁻¹ + 30 kg P₂O₅ ha⁻¹ + 40 kg K₂O ha⁻¹, followed by 100 kg N ha⁻¹ + 30 kg P₂O₅ ha⁻¹ + 20 kg K₂O ha⁻¹ (67.85 g 100g⁻¹) and soil test-based treatment (64.49 g 100g⁻¹). The control treatment recorded the lowest carbohydrate content of 58.47 g 100g⁻¹. The increased carbohydrate accumulation with higher potassium doses can be attributed to potassium's critical role in enhancing photosynthetic activity, translocation of assimilates, and enzymatic functions associated with carbohydrate metabolism (</w:t>
      </w:r>
      <w:r w:rsidR="00D36E22" w:rsidRPr="00D36E22">
        <w:rPr>
          <w:rFonts w:ascii="Times New Roman" w:hAnsi="Times New Roman" w:cs="Times New Roman"/>
        </w:rPr>
        <w:t>Parihar et al., 2009</w:t>
      </w:r>
      <w:r w:rsidRPr="00E207C4">
        <w:rPr>
          <w:rFonts w:ascii="Times New Roman" w:hAnsi="Times New Roman" w:cs="Times New Roman"/>
        </w:rPr>
        <w:t>). The observed variations suggest that potassium, alongside nitrogen, supports the buildup of both structural and storage carbohydrates in pearl millet grains.</w:t>
      </w:r>
      <w:r w:rsidR="006B18AB">
        <w:rPr>
          <w:rFonts w:ascii="Times New Roman" w:hAnsi="Times New Roman" w:cs="Times New Roman"/>
        </w:rPr>
        <w:t xml:space="preserve"> </w:t>
      </w:r>
      <w:r w:rsidR="00D36E22">
        <w:rPr>
          <w:rFonts w:ascii="Times New Roman" w:hAnsi="Times New Roman" w:cs="Times New Roman"/>
        </w:rPr>
        <w:t>A</w:t>
      </w:r>
      <w:r w:rsidRPr="00E207C4">
        <w:rPr>
          <w:rFonts w:ascii="Times New Roman" w:hAnsi="Times New Roman" w:cs="Times New Roman"/>
        </w:rPr>
        <w:t xml:space="preserve"> comparison between treatments with similar nitrogen levels but different potassium applications</w:t>
      </w:r>
      <w:r>
        <w:rPr>
          <w:rFonts w:ascii="Times New Roman" w:hAnsi="Times New Roman" w:cs="Times New Roman"/>
        </w:rPr>
        <w:t xml:space="preserve"> </w:t>
      </w:r>
      <w:r w:rsidRPr="00E207C4">
        <w:rPr>
          <w:rFonts w:ascii="Times New Roman" w:hAnsi="Times New Roman" w:cs="Times New Roman"/>
        </w:rPr>
        <w:t>such as 100 kg N ha⁻¹ + 30 kg P₂O₅ ha⁻¹ + 40 kg K₂O ha⁻¹ and 100 kg N ha⁻¹ + 30 kg P₂O₅ ha⁻¹ + 20 kg K₂O ha⁻¹</w:t>
      </w:r>
      <w:r>
        <w:rPr>
          <w:rFonts w:ascii="Times New Roman" w:hAnsi="Times New Roman" w:cs="Times New Roman"/>
        </w:rPr>
        <w:t xml:space="preserve"> </w:t>
      </w:r>
      <w:r w:rsidRPr="00E207C4">
        <w:rPr>
          <w:rFonts w:ascii="Times New Roman" w:hAnsi="Times New Roman" w:cs="Times New Roman"/>
        </w:rPr>
        <w:t>revealed that increased potassium consistently enhanced grain protein, amino acid, and carbohydrate content. This highlights the synergistic effect of potassium in complementing nitrogen functions, consistent with the findings of</w:t>
      </w:r>
      <w:r w:rsidR="00A27310">
        <w:rPr>
          <w:rFonts w:ascii="Times New Roman" w:hAnsi="Times New Roman" w:cs="Times New Roman"/>
        </w:rPr>
        <w:t xml:space="preserve"> </w:t>
      </w:r>
      <w:r w:rsidR="00A27310" w:rsidRPr="00A27310">
        <w:rPr>
          <w:rFonts w:ascii="Times New Roman" w:hAnsi="Times New Roman" w:cs="Times New Roman"/>
        </w:rPr>
        <w:t>(Parihar et al., 2009.)</w:t>
      </w:r>
      <w:r w:rsidR="00D36E22">
        <w:rPr>
          <w:rFonts w:ascii="Times New Roman" w:hAnsi="Times New Roman" w:cs="Times New Roman"/>
        </w:rPr>
        <w:t xml:space="preserve"> </w:t>
      </w:r>
    </w:p>
    <w:p w14:paraId="11F9986A" w14:textId="23F06DEE" w:rsidR="00392254" w:rsidRDefault="00392254" w:rsidP="00392254">
      <w:pPr>
        <w:rPr>
          <w:rFonts w:ascii="Times New Roman" w:hAnsi="Times New Roman" w:cs="Times New Roman"/>
          <w:b/>
          <w:bCs/>
        </w:rPr>
      </w:pPr>
      <w:r w:rsidRPr="00392254">
        <w:rPr>
          <w:rFonts w:ascii="Times New Roman" w:hAnsi="Times New Roman" w:cs="Times New Roman"/>
          <w:b/>
          <w:bCs/>
        </w:rPr>
        <w:t>NPK Content and Uptake</w:t>
      </w:r>
    </w:p>
    <w:p w14:paraId="17ED094E" w14:textId="532CD2A8" w:rsidR="00E207C4" w:rsidRPr="00E207C4" w:rsidRDefault="00E207C4" w:rsidP="006B18AB">
      <w:pPr>
        <w:jc w:val="both"/>
        <w:rPr>
          <w:rFonts w:ascii="Times New Roman" w:hAnsi="Times New Roman" w:cs="Times New Roman"/>
        </w:rPr>
      </w:pPr>
      <w:r w:rsidRPr="00E207C4">
        <w:rPr>
          <w:rFonts w:ascii="Times New Roman" w:hAnsi="Times New Roman" w:cs="Times New Roman"/>
        </w:rPr>
        <w:t xml:space="preserve">The data presented in </w:t>
      </w:r>
      <w:r w:rsidR="00FD5292">
        <w:rPr>
          <w:rFonts w:ascii="Times New Roman" w:hAnsi="Times New Roman" w:cs="Times New Roman"/>
        </w:rPr>
        <w:t>(</w:t>
      </w:r>
      <w:r w:rsidRPr="00E207C4">
        <w:rPr>
          <w:rFonts w:ascii="Times New Roman" w:hAnsi="Times New Roman" w:cs="Times New Roman"/>
        </w:rPr>
        <w:t>Table 2</w:t>
      </w:r>
      <w:r w:rsidR="00FD5292">
        <w:rPr>
          <w:rFonts w:ascii="Times New Roman" w:hAnsi="Times New Roman" w:cs="Times New Roman"/>
        </w:rPr>
        <w:t>)</w:t>
      </w:r>
      <w:r w:rsidRPr="00E207C4">
        <w:rPr>
          <w:rFonts w:ascii="Times New Roman" w:hAnsi="Times New Roman" w:cs="Times New Roman"/>
        </w:rPr>
        <w:t xml:space="preserve"> illustrate the impact of varied nitrogen (N) and potassium (K) fertilization strategies on the concentration and total uptake of nitrogen, phosphorus (P), and potassium in pearl millet at harvest. These results underline the crucial role of balanced nutrient management in enhancing nutrient accumulation and utilization efficiency in cereal crops under semi-arid agro-ecological conditions.</w:t>
      </w:r>
      <w:r w:rsidR="006B18AB">
        <w:rPr>
          <w:rFonts w:ascii="Times New Roman" w:hAnsi="Times New Roman" w:cs="Times New Roman"/>
        </w:rPr>
        <w:t xml:space="preserve"> </w:t>
      </w:r>
      <w:r w:rsidRPr="00E207C4">
        <w:rPr>
          <w:rFonts w:ascii="Times New Roman" w:hAnsi="Times New Roman" w:cs="Times New Roman"/>
        </w:rPr>
        <w:t>Nitrogen content in the plant tissues at harvest showed a significant increase with the escalation of nitrogen application across the treatments. The lowest nitrogen content (1.36%) and uptake (55.79 kg ha⁻¹) were observed in the control treatment with no fertilizer application, indicating nitrogen deficiency and limited biomass accumulation. Conversely, the highest nitrogen content (1.99%) and uptake (150.19 kg ha⁻¹) were recorded under the treatment that received 100 kg N ha⁻¹ + 30 kg P₂O₅ ha⁻¹ + 40 kg K₂O ha⁻¹. These results are consistent with the findings of</w:t>
      </w:r>
      <w:r w:rsidR="00FD5292">
        <w:rPr>
          <w:rFonts w:ascii="Times New Roman" w:hAnsi="Times New Roman" w:cs="Times New Roman"/>
        </w:rPr>
        <w:t xml:space="preserve"> Singh et al. (2010)</w:t>
      </w:r>
      <w:r w:rsidRPr="00E207C4">
        <w:rPr>
          <w:rFonts w:ascii="Times New Roman" w:hAnsi="Times New Roman" w:cs="Times New Roman"/>
        </w:rPr>
        <w:t>, who reported a linear increase in nitrogen accumulation with rising N levels due to enhanced vegetative growth and protein synthesis. The synergistic interaction between nitrogen and potassium likely promoted better uptake efficiency and nitrogen assimilation in high-dose treatments (</w:t>
      </w:r>
      <w:r w:rsidR="00FD5292">
        <w:rPr>
          <w:rFonts w:ascii="Times New Roman" w:hAnsi="Times New Roman" w:cs="Times New Roman"/>
        </w:rPr>
        <w:t xml:space="preserve">Yadav </w:t>
      </w:r>
      <w:r w:rsidR="00FD5292" w:rsidRPr="00FD5292">
        <w:rPr>
          <w:rFonts w:ascii="Times New Roman" w:hAnsi="Times New Roman" w:cs="Times New Roman"/>
          <w:i/>
          <w:iCs/>
        </w:rPr>
        <w:t>et al</w:t>
      </w:r>
      <w:r w:rsidR="00FD5292">
        <w:rPr>
          <w:rFonts w:ascii="Times New Roman" w:hAnsi="Times New Roman" w:cs="Times New Roman"/>
        </w:rPr>
        <w:t>., 2011</w:t>
      </w:r>
      <w:r w:rsidRPr="00E207C4">
        <w:rPr>
          <w:rFonts w:ascii="Times New Roman" w:hAnsi="Times New Roman" w:cs="Times New Roman"/>
        </w:rPr>
        <w:t>).</w:t>
      </w:r>
      <w:r w:rsidR="006B18AB">
        <w:rPr>
          <w:rFonts w:ascii="Times New Roman" w:hAnsi="Times New Roman" w:cs="Times New Roman"/>
        </w:rPr>
        <w:t xml:space="preserve"> </w:t>
      </w:r>
      <w:r w:rsidRPr="00E207C4">
        <w:rPr>
          <w:rFonts w:ascii="Times New Roman" w:hAnsi="Times New Roman" w:cs="Times New Roman"/>
        </w:rPr>
        <w:t xml:space="preserve">Phosphorus content and uptake also responded positively to nutrient application. The control treatment exhibited the lowest phosphorus content (0.54%) and uptake (21.99 kg ha⁻¹), whereas the highest values were again found in the treatment receiving 100 kg N ha⁻¹ + 30 kg P₂O₅ ha⁻¹ + 40 kg K₂O ha⁻¹ (0.82% and 61.57 kg ha⁻¹, respectively). These results reflect not only the role of applied phosphorus in enhancing P content but also the indirect effect of nitrogen and potassium in improving root growth and P mobilization from the soil, as supported by </w:t>
      </w:r>
      <w:proofErr w:type="spellStart"/>
      <w:r w:rsidR="001757BB" w:rsidRPr="001757BB">
        <w:rPr>
          <w:rFonts w:ascii="Times New Roman" w:hAnsi="Times New Roman" w:cs="Times New Roman"/>
        </w:rPr>
        <w:t>Heeta</w:t>
      </w:r>
      <w:proofErr w:type="spellEnd"/>
      <w:r w:rsidR="001757BB">
        <w:rPr>
          <w:rFonts w:ascii="Times New Roman" w:hAnsi="Times New Roman" w:cs="Times New Roman"/>
        </w:rPr>
        <w:t xml:space="preserve"> </w:t>
      </w:r>
      <w:r w:rsidR="001757BB" w:rsidRPr="001757BB">
        <w:rPr>
          <w:rFonts w:ascii="Times New Roman" w:hAnsi="Times New Roman" w:cs="Times New Roman"/>
        </w:rPr>
        <w:t>and Sharma,</w:t>
      </w:r>
      <w:r w:rsidR="001757BB">
        <w:rPr>
          <w:rFonts w:ascii="Times New Roman" w:hAnsi="Times New Roman" w:cs="Times New Roman"/>
        </w:rPr>
        <w:t xml:space="preserve"> (</w:t>
      </w:r>
      <w:r w:rsidR="001757BB" w:rsidRPr="001757BB">
        <w:rPr>
          <w:rFonts w:ascii="Times New Roman" w:hAnsi="Times New Roman" w:cs="Times New Roman"/>
        </w:rPr>
        <w:t>2010</w:t>
      </w:r>
      <w:r w:rsidR="001757BB">
        <w:rPr>
          <w:rFonts w:ascii="Times New Roman" w:hAnsi="Times New Roman" w:cs="Times New Roman"/>
        </w:rPr>
        <w:t>)</w:t>
      </w:r>
      <w:r w:rsidR="001757BB" w:rsidRPr="001757BB">
        <w:rPr>
          <w:rFonts w:ascii="Times New Roman" w:hAnsi="Times New Roman" w:cs="Times New Roman"/>
        </w:rPr>
        <w:t>.</w:t>
      </w:r>
      <w:r w:rsidR="001757BB">
        <w:rPr>
          <w:rFonts w:ascii="Times New Roman" w:hAnsi="Times New Roman" w:cs="Times New Roman"/>
        </w:rPr>
        <w:t xml:space="preserve"> </w:t>
      </w:r>
      <w:r w:rsidRPr="00E207C4">
        <w:rPr>
          <w:rFonts w:ascii="Times New Roman" w:hAnsi="Times New Roman" w:cs="Times New Roman"/>
        </w:rPr>
        <w:t xml:space="preserve">Phosphorus uptake was consistently higher in treatments receiving increased nitrogen and potassium, suggesting a nutrient interaction effect that facilitated greater nutrient transport and </w:t>
      </w:r>
      <w:r w:rsidRPr="00E2614D">
        <w:rPr>
          <w:rFonts w:ascii="Times New Roman" w:hAnsi="Times New Roman" w:cs="Times New Roman"/>
        </w:rPr>
        <w:t>utilization (</w:t>
      </w:r>
      <w:r w:rsidR="00E2614D" w:rsidRPr="00E2614D">
        <w:rPr>
          <w:rFonts w:ascii="Times New Roman" w:hAnsi="Times New Roman" w:cs="Times New Roman"/>
        </w:rPr>
        <w:t xml:space="preserve">Rana </w:t>
      </w:r>
      <w:r w:rsidR="00E2614D" w:rsidRPr="00E2614D">
        <w:rPr>
          <w:rFonts w:ascii="Times New Roman" w:hAnsi="Times New Roman" w:cs="Times New Roman"/>
          <w:i/>
          <w:iCs/>
        </w:rPr>
        <w:t>et al</w:t>
      </w:r>
      <w:r w:rsidR="00E2614D" w:rsidRPr="00E2614D">
        <w:rPr>
          <w:rFonts w:ascii="Times New Roman" w:hAnsi="Times New Roman" w:cs="Times New Roman"/>
        </w:rPr>
        <w:t>., 2009</w:t>
      </w:r>
      <w:r w:rsidRPr="00E2614D">
        <w:rPr>
          <w:rFonts w:ascii="Times New Roman" w:hAnsi="Times New Roman" w:cs="Times New Roman"/>
        </w:rPr>
        <w:t>).</w:t>
      </w:r>
    </w:p>
    <w:p w14:paraId="10C02DA5" w14:textId="0D624B0F" w:rsidR="00E207C4" w:rsidRPr="00E207C4" w:rsidRDefault="00E207C4" w:rsidP="006B18AB">
      <w:pPr>
        <w:jc w:val="both"/>
        <w:rPr>
          <w:rFonts w:ascii="Times New Roman" w:hAnsi="Times New Roman" w:cs="Times New Roman"/>
        </w:rPr>
      </w:pPr>
      <w:r w:rsidRPr="00E207C4">
        <w:rPr>
          <w:rFonts w:ascii="Times New Roman" w:hAnsi="Times New Roman" w:cs="Times New Roman"/>
        </w:rPr>
        <w:t xml:space="preserve">Potassium content and uptake followed a similar trend, with the control plot recording the lowest values (9.97% content and 409.49 kg ha⁻¹ uptake) and the treatment receiving 100 kg N ha⁻¹ + 30 kg P₂O₅ ha⁻¹ + 40 kg K₂O ha⁻¹ achieving the highest (12.88% content and 972.36 kg ha⁻¹ uptake). Treatments with increased potassium levels, such as 60 kg N ha⁻¹ + 30 kg P₂O₅ ha⁻¹ + 40 kg K₂O ha⁻¹ and 80 kg N ha⁻¹ + 30 kg P₂O₅ ha⁻¹ + 40 kg K₂O ha⁻¹, consistently showed higher potassium content and uptake compared to their respective counterparts with lower potassium inputs. This suggests that increasing potassium availability directly enhances its accumulation in plant tissues and supports the physiological functions associated with potassium such as osmoregulation, carbohydrate translocation, and enzyme activation </w:t>
      </w:r>
      <w:r w:rsidR="00E2614D">
        <w:rPr>
          <w:rFonts w:ascii="Times New Roman" w:hAnsi="Times New Roman" w:cs="Times New Roman"/>
        </w:rPr>
        <w:t>(</w:t>
      </w:r>
      <w:r w:rsidR="00E2614D" w:rsidRPr="00E2614D">
        <w:rPr>
          <w:rFonts w:ascii="Times New Roman" w:hAnsi="Times New Roman" w:cs="Times New Roman"/>
        </w:rPr>
        <w:t>Yadav et al., 2011)</w:t>
      </w:r>
      <w:r w:rsidRPr="00E207C4">
        <w:rPr>
          <w:rFonts w:ascii="Times New Roman" w:hAnsi="Times New Roman" w:cs="Times New Roman"/>
        </w:rPr>
        <w:t xml:space="preserve"> </w:t>
      </w:r>
      <w:r w:rsidR="001757BB">
        <w:rPr>
          <w:rFonts w:ascii="Times New Roman" w:hAnsi="Times New Roman" w:cs="Times New Roman"/>
        </w:rPr>
        <w:t>P</w:t>
      </w:r>
      <w:r w:rsidRPr="00E207C4">
        <w:rPr>
          <w:rFonts w:ascii="Times New Roman" w:hAnsi="Times New Roman" w:cs="Times New Roman"/>
        </w:rPr>
        <w:t xml:space="preserve">otassium appears to play a synergistic role in facilitating better nitrogen and phosphorus uptake, likely by improving stomatal conductance and photosynthetic efficiency </w:t>
      </w:r>
      <w:r w:rsidR="00E2614D">
        <w:rPr>
          <w:rFonts w:ascii="Times New Roman" w:hAnsi="Times New Roman" w:cs="Times New Roman"/>
        </w:rPr>
        <w:t>(</w:t>
      </w:r>
      <w:r w:rsidR="00E2614D" w:rsidRPr="00E2614D">
        <w:rPr>
          <w:rFonts w:ascii="Times New Roman" w:hAnsi="Times New Roman" w:cs="Times New Roman"/>
        </w:rPr>
        <w:t xml:space="preserve">Yadav et </w:t>
      </w:r>
      <w:r w:rsidR="00E2614D" w:rsidRPr="00E2614D">
        <w:rPr>
          <w:rFonts w:ascii="Times New Roman" w:hAnsi="Times New Roman" w:cs="Times New Roman"/>
        </w:rPr>
        <w:lastRenderedPageBreak/>
        <w:t>al., 2011</w:t>
      </w:r>
      <w:r w:rsidR="00197915">
        <w:rPr>
          <w:rFonts w:ascii="Times New Roman" w:hAnsi="Times New Roman" w:cs="Times New Roman"/>
        </w:rPr>
        <w:t xml:space="preserve">, </w:t>
      </w:r>
      <w:r w:rsidR="00197915" w:rsidRPr="00E2614D">
        <w:rPr>
          <w:rFonts w:ascii="Times New Roman" w:hAnsi="Times New Roman" w:cs="Times New Roman"/>
        </w:rPr>
        <w:t xml:space="preserve">Rana </w:t>
      </w:r>
      <w:r w:rsidR="00197915" w:rsidRPr="00E2614D">
        <w:rPr>
          <w:rFonts w:ascii="Times New Roman" w:hAnsi="Times New Roman" w:cs="Times New Roman"/>
          <w:i/>
          <w:iCs/>
        </w:rPr>
        <w:t>et al</w:t>
      </w:r>
      <w:r w:rsidR="00197915" w:rsidRPr="00E2614D">
        <w:rPr>
          <w:rFonts w:ascii="Times New Roman" w:hAnsi="Times New Roman" w:cs="Times New Roman"/>
        </w:rPr>
        <w:t>., 2009</w:t>
      </w:r>
      <w:r w:rsidR="00E2614D">
        <w:rPr>
          <w:rFonts w:ascii="Times New Roman" w:hAnsi="Times New Roman" w:cs="Times New Roman"/>
        </w:rPr>
        <w:t>)</w:t>
      </w:r>
      <w:r w:rsidR="006B18AB">
        <w:rPr>
          <w:rFonts w:ascii="Times New Roman" w:hAnsi="Times New Roman" w:cs="Times New Roman"/>
        </w:rPr>
        <w:t xml:space="preserve"> </w:t>
      </w:r>
      <w:r w:rsidRPr="00E207C4">
        <w:rPr>
          <w:rFonts w:ascii="Times New Roman" w:hAnsi="Times New Roman" w:cs="Times New Roman"/>
        </w:rPr>
        <w:t>Notably, the soil test-based fertilizer application treatment, which included 78 kg N ha⁻¹, 21 kg P₂O₅ ha⁻¹, and 14 kg K₂O ha⁻¹, also performed well, with nutrient uptake values approaching those of the higher-input treatments, particularly in nitrogen and potassium. This highlights the potential of site-specific nutrient management in maintaining productivity while optimizing input use efficiency.</w:t>
      </w:r>
    </w:p>
    <w:p w14:paraId="6F11DC63" w14:textId="116F5051" w:rsidR="00784F06" w:rsidRPr="008E25DA" w:rsidRDefault="00784F06" w:rsidP="00784F06">
      <w:pPr>
        <w:rPr>
          <w:rFonts w:ascii="Times New Roman" w:hAnsi="Times New Roman" w:cs="Times New Roman"/>
          <w:bCs/>
          <w:lang w:val="en-US"/>
        </w:rPr>
      </w:pPr>
      <w:r w:rsidRPr="008E25DA">
        <w:rPr>
          <w:rFonts w:ascii="Times New Roman" w:hAnsi="Times New Roman" w:cs="Times New Roman"/>
          <w:b/>
          <w:lang w:val="en-US"/>
        </w:rPr>
        <w:t>Table</w:t>
      </w:r>
      <w:r w:rsidR="001276B5" w:rsidRPr="008E25DA">
        <w:rPr>
          <w:rFonts w:ascii="Times New Roman" w:hAnsi="Times New Roman" w:cs="Times New Roman"/>
          <w:b/>
          <w:lang w:val="en-US"/>
        </w:rPr>
        <w:t>:</w:t>
      </w:r>
      <w:r w:rsidR="004D250D">
        <w:rPr>
          <w:rFonts w:ascii="Times New Roman" w:hAnsi="Times New Roman" w:cs="Times New Roman"/>
          <w:b/>
          <w:lang w:val="en-US"/>
        </w:rPr>
        <w:t>1</w:t>
      </w:r>
      <w:r w:rsidR="001276B5" w:rsidRPr="008E25DA">
        <w:rPr>
          <w:rFonts w:ascii="Times New Roman" w:hAnsi="Times New Roman" w:cs="Times New Roman"/>
          <w:b/>
          <w:lang w:val="en-US"/>
        </w:rPr>
        <w:t xml:space="preserve"> </w:t>
      </w:r>
      <w:r w:rsidRPr="008E25DA">
        <w:rPr>
          <w:rFonts w:ascii="Times New Roman" w:hAnsi="Times New Roman" w:cs="Times New Roman"/>
          <w:bCs/>
          <w:lang w:val="en-US"/>
        </w:rPr>
        <w:t>Grain quality parameters (Total protein, Total amino acid and Total carbohydrate content) as influenced by nutrient management practices</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6"/>
        <w:gridCol w:w="1084"/>
        <w:gridCol w:w="1235"/>
        <w:gridCol w:w="1364"/>
      </w:tblGrid>
      <w:tr w:rsidR="00784F06" w:rsidRPr="008E25DA" w14:paraId="384C3296" w14:textId="77777777" w:rsidTr="001276B5">
        <w:trPr>
          <w:trHeight w:val="1202"/>
        </w:trPr>
        <w:tc>
          <w:tcPr>
            <w:tcW w:w="5186" w:type="dxa"/>
            <w:vAlign w:val="center"/>
          </w:tcPr>
          <w:p w14:paraId="1E7CBC56"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Treatment</w:t>
            </w:r>
          </w:p>
        </w:tc>
        <w:tc>
          <w:tcPr>
            <w:tcW w:w="1084" w:type="dxa"/>
          </w:tcPr>
          <w:p w14:paraId="3251EEA2"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Total Protein (%)</w:t>
            </w:r>
          </w:p>
        </w:tc>
        <w:tc>
          <w:tcPr>
            <w:tcW w:w="1235" w:type="dxa"/>
          </w:tcPr>
          <w:p w14:paraId="0C3C89F5"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Total Amino Acid</w:t>
            </w:r>
          </w:p>
          <w:p w14:paraId="09852BF6"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(mg 100g</w:t>
            </w:r>
            <w:r w:rsidRPr="008E25DA">
              <w:rPr>
                <w:rFonts w:ascii="Times New Roman" w:hAnsi="Times New Roman" w:cs="Times New Roman"/>
                <w:b/>
                <w:vertAlign w:val="superscript"/>
                <w:lang w:val="en-US"/>
              </w:rPr>
              <w:t>-1</w:t>
            </w:r>
            <w:r w:rsidRPr="008E25DA">
              <w:rPr>
                <w:rFonts w:ascii="Times New Roman" w:hAnsi="Times New Roman" w:cs="Times New Roman"/>
                <w:b/>
                <w:lang w:val="en-US"/>
              </w:rPr>
              <w:t>)</w:t>
            </w:r>
          </w:p>
        </w:tc>
        <w:tc>
          <w:tcPr>
            <w:tcW w:w="1364" w:type="dxa"/>
          </w:tcPr>
          <w:p w14:paraId="54F4396F"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Total Carbohydrates (g 100g</w:t>
            </w:r>
            <w:r w:rsidRPr="008E25DA">
              <w:rPr>
                <w:rFonts w:ascii="Times New Roman" w:hAnsi="Times New Roman" w:cs="Times New Roman"/>
                <w:b/>
                <w:vertAlign w:val="superscript"/>
                <w:lang w:val="en-US"/>
              </w:rPr>
              <w:t>-1</w:t>
            </w:r>
            <w:r w:rsidRPr="008E25DA">
              <w:rPr>
                <w:rFonts w:ascii="Times New Roman" w:hAnsi="Times New Roman" w:cs="Times New Roman"/>
                <w:b/>
                <w:lang w:val="en-US"/>
              </w:rPr>
              <w:t>)</w:t>
            </w:r>
          </w:p>
        </w:tc>
      </w:tr>
      <w:tr w:rsidR="00784F06" w:rsidRPr="008E25DA" w14:paraId="642627FB" w14:textId="77777777" w:rsidTr="001276B5">
        <w:trPr>
          <w:trHeight w:val="506"/>
        </w:trPr>
        <w:tc>
          <w:tcPr>
            <w:tcW w:w="5186" w:type="dxa"/>
            <w:vAlign w:val="center"/>
          </w:tcPr>
          <w:p w14:paraId="5E3D8779"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1</w:t>
            </w:r>
            <w:r w:rsidRPr="008E25DA">
              <w:rPr>
                <w:rFonts w:ascii="Times New Roman" w:hAnsi="Times New Roman" w:cs="Times New Roman"/>
                <w:lang w:val="en-US"/>
              </w:rPr>
              <w:t>: Control (no fertilizers).</w:t>
            </w:r>
          </w:p>
        </w:tc>
        <w:tc>
          <w:tcPr>
            <w:tcW w:w="1084" w:type="dxa"/>
          </w:tcPr>
          <w:p w14:paraId="798304C5"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9.74</w:t>
            </w:r>
          </w:p>
        </w:tc>
        <w:tc>
          <w:tcPr>
            <w:tcW w:w="1235" w:type="dxa"/>
          </w:tcPr>
          <w:p w14:paraId="325AF546"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573.57</w:t>
            </w:r>
          </w:p>
        </w:tc>
        <w:tc>
          <w:tcPr>
            <w:tcW w:w="1364" w:type="dxa"/>
          </w:tcPr>
          <w:p w14:paraId="6680541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58.47</w:t>
            </w:r>
          </w:p>
        </w:tc>
      </w:tr>
      <w:tr w:rsidR="00784F06" w:rsidRPr="008E25DA" w14:paraId="6162AE55" w14:textId="77777777" w:rsidTr="001276B5">
        <w:trPr>
          <w:trHeight w:val="505"/>
        </w:trPr>
        <w:tc>
          <w:tcPr>
            <w:tcW w:w="5186" w:type="dxa"/>
            <w:vAlign w:val="center"/>
          </w:tcPr>
          <w:p w14:paraId="26D8A22D"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2</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r w:rsidRPr="008E25DA">
              <w:rPr>
                <w:rFonts w:ascii="Times New Roman" w:hAnsi="Times New Roman" w:cs="Times New Roman"/>
                <w:lang w:val="en-US"/>
              </w:rPr>
              <w:t>(</w:t>
            </w:r>
            <w:r w:rsidRPr="008E25DA">
              <w:rPr>
                <w:rFonts w:ascii="Times New Roman" w:hAnsi="Times New Roman" w:cs="Times New Roman"/>
                <w:b/>
                <w:lang w:val="en-US"/>
              </w:rPr>
              <w:t>RDF</w:t>
            </w:r>
            <w:r w:rsidRPr="008E25DA">
              <w:rPr>
                <w:rFonts w:ascii="Times New Roman" w:hAnsi="Times New Roman" w:cs="Times New Roman"/>
                <w:lang w:val="en-US"/>
              </w:rPr>
              <w:t>)</w:t>
            </w:r>
          </w:p>
        </w:tc>
        <w:tc>
          <w:tcPr>
            <w:tcW w:w="1084" w:type="dxa"/>
          </w:tcPr>
          <w:p w14:paraId="5FD25197"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11.99</w:t>
            </w:r>
          </w:p>
        </w:tc>
        <w:tc>
          <w:tcPr>
            <w:tcW w:w="1235" w:type="dxa"/>
          </w:tcPr>
          <w:p w14:paraId="2291055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595.16</w:t>
            </w:r>
          </w:p>
        </w:tc>
        <w:tc>
          <w:tcPr>
            <w:tcW w:w="1364" w:type="dxa"/>
          </w:tcPr>
          <w:p w14:paraId="3087B620"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60.60</w:t>
            </w:r>
          </w:p>
        </w:tc>
      </w:tr>
      <w:tr w:rsidR="00784F06" w:rsidRPr="008E25DA" w14:paraId="5E929AA1" w14:textId="77777777" w:rsidTr="001276B5">
        <w:trPr>
          <w:trHeight w:val="531"/>
        </w:trPr>
        <w:tc>
          <w:tcPr>
            <w:tcW w:w="5186" w:type="dxa"/>
            <w:vAlign w:val="center"/>
          </w:tcPr>
          <w:p w14:paraId="21C6E260"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3</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65E73B23"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12.95</w:t>
            </w:r>
          </w:p>
        </w:tc>
        <w:tc>
          <w:tcPr>
            <w:tcW w:w="1235" w:type="dxa"/>
          </w:tcPr>
          <w:p w14:paraId="72D4ABB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654.03</w:t>
            </w:r>
          </w:p>
        </w:tc>
        <w:tc>
          <w:tcPr>
            <w:tcW w:w="1364" w:type="dxa"/>
          </w:tcPr>
          <w:p w14:paraId="63CD85CB"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63.01</w:t>
            </w:r>
          </w:p>
        </w:tc>
      </w:tr>
      <w:tr w:rsidR="00784F06" w:rsidRPr="008E25DA" w14:paraId="472DA2D2" w14:textId="77777777" w:rsidTr="001276B5">
        <w:trPr>
          <w:trHeight w:val="621"/>
        </w:trPr>
        <w:tc>
          <w:tcPr>
            <w:tcW w:w="5186" w:type="dxa"/>
            <w:vAlign w:val="center"/>
          </w:tcPr>
          <w:p w14:paraId="3943032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4</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5ADDDCB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13.95</w:t>
            </w:r>
          </w:p>
        </w:tc>
        <w:tc>
          <w:tcPr>
            <w:tcW w:w="1235" w:type="dxa"/>
          </w:tcPr>
          <w:p w14:paraId="0C6A477C"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714.04</w:t>
            </w:r>
          </w:p>
        </w:tc>
        <w:tc>
          <w:tcPr>
            <w:tcW w:w="1364" w:type="dxa"/>
          </w:tcPr>
          <w:p w14:paraId="64450715"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67.85</w:t>
            </w:r>
          </w:p>
        </w:tc>
      </w:tr>
      <w:tr w:rsidR="00784F06" w:rsidRPr="008E25DA" w14:paraId="339B1690" w14:textId="77777777" w:rsidTr="001276B5">
        <w:trPr>
          <w:trHeight w:val="625"/>
        </w:trPr>
        <w:tc>
          <w:tcPr>
            <w:tcW w:w="5186" w:type="dxa"/>
            <w:vAlign w:val="center"/>
          </w:tcPr>
          <w:p w14:paraId="3CCC253C"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5</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7EBD4B8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12.05</w:t>
            </w:r>
          </w:p>
        </w:tc>
        <w:tc>
          <w:tcPr>
            <w:tcW w:w="1235" w:type="dxa"/>
          </w:tcPr>
          <w:p w14:paraId="3F0881D8"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605.07</w:t>
            </w:r>
          </w:p>
        </w:tc>
        <w:tc>
          <w:tcPr>
            <w:tcW w:w="1364" w:type="dxa"/>
          </w:tcPr>
          <w:p w14:paraId="446A0DAA"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61.14</w:t>
            </w:r>
          </w:p>
        </w:tc>
      </w:tr>
      <w:tr w:rsidR="00784F06" w:rsidRPr="008E25DA" w14:paraId="0745C8AC" w14:textId="77777777" w:rsidTr="001276B5">
        <w:trPr>
          <w:trHeight w:val="625"/>
        </w:trPr>
        <w:tc>
          <w:tcPr>
            <w:tcW w:w="5186" w:type="dxa"/>
            <w:vAlign w:val="center"/>
          </w:tcPr>
          <w:p w14:paraId="5FBD6A0D"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6</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009A6977"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13.83</w:t>
            </w:r>
          </w:p>
        </w:tc>
        <w:tc>
          <w:tcPr>
            <w:tcW w:w="1235" w:type="dxa"/>
          </w:tcPr>
          <w:p w14:paraId="3ECCAD8F"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705.04</w:t>
            </w:r>
          </w:p>
        </w:tc>
        <w:tc>
          <w:tcPr>
            <w:tcW w:w="1364" w:type="dxa"/>
          </w:tcPr>
          <w:p w14:paraId="4D2B0AAF"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62.90</w:t>
            </w:r>
          </w:p>
        </w:tc>
      </w:tr>
      <w:tr w:rsidR="00784F06" w:rsidRPr="008E25DA" w14:paraId="30D3EB18" w14:textId="77777777" w:rsidTr="001276B5">
        <w:trPr>
          <w:trHeight w:val="641"/>
        </w:trPr>
        <w:tc>
          <w:tcPr>
            <w:tcW w:w="5186" w:type="dxa"/>
            <w:vAlign w:val="center"/>
          </w:tcPr>
          <w:p w14:paraId="1B3033F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7</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1084" w:type="dxa"/>
          </w:tcPr>
          <w:p w14:paraId="23458D01"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14.47</w:t>
            </w:r>
          </w:p>
        </w:tc>
        <w:tc>
          <w:tcPr>
            <w:tcW w:w="1235" w:type="dxa"/>
          </w:tcPr>
          <w:p w14:paraId="3E3F1AC8"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743.85</w:t>
            </w:r>
          </w:p>
        </w:tc>
        <w:tc>
          <w:tcPr>
            <w:tcW w:w="1364" w:type="dxa"/>
          </w:tcPr>
          <w:p w14:paraId="15F3461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69.55</w:t>
            </w:r>
          </w:p>
        </w:tc>
      </w:tr>
      <w:tr w:rsidR="00784F06" w:rsidRPr="008E25DA" w14:paraId="5AEAABE4" w14:textId="77777777" w:rsidTr="001276B5">
        <w:trPr>
          <w:trHeight w:val="625"/>
        </w:trPr>
        <w:tc>
          <w:tcPr>
            <w:tcW w:w="5186" w:type="dxa"/>
            <w:vAlign w:val="center"/>
          </w:tcPr>
          <w:p w14:paraId="4CEEC74B"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8</w:t>
            </w:r>
            <w:r w:rsidRPr="008E25DA">
              <w:rPr>
                <w:rFonts w:ascii="Times New Roman" w:hAnsi="Times New Roman" w:cs="Times New Roman"/>
                <w:lang w:val="en-US"/>
              </w:rPr>
              <w:t>: Application of N,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and K</w:t>
            </w:r>
            <w:r w:rsidRPr="008E25DA">
              <w:rPr>
                <w:rFonts w:ascii="Times New Roman" w:hAnsi="Times New Roman" w:cs="Times New Roman"/>
                <w:vertAlign w:val="subscript"/>
                <w:lang w:val="en-US"/>
              </w:rPr>
              <w:t>2</w:t>
            </w:r>
            <w:r w:rsidRPr="008E25DA">
              <w:rPr>
                <w:rFonts w:ascii="Times New Roman" w:hAnsi="Times New Roman" w:cs="Times New Roman"/>
                <w:lang w:val="en-US"/>
              </w:rPr>
              <w:t>O based on Soil Test Values.</w:t>
            </w:r>
          </w:p>
        </w:tc>
        <w:tc>
          <w:tcPr>
            <w:tcW w:w="1084" w:type="dxa"/>
          </w:tcPr>
          <w:p w14:paraId="7F605E56"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13.04</w:t>
            </w:r>
          </w:p>
        </w:tc>
        <w:tc>
          <w:tcPr>
            <w:tcW w:w="1235" w:type="dxa"/>
          </w:tcPr>
          <w:p w14:paraId="2F0FFE22"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652.94</w:t>
            </w:r>
          </w:p>
        </w:tc>
        <w:tc>
          <w:tcPr>
            <w:tcW w:w="1364" w:type="dxa"/>
          </w:tcPr>
          <w:p w14:paraId="13951F9E" w14:textId="77777777" w:rsidR="00784F06" w:rsidRPr="008E25DA" w:rsidRDefault="00784F06" w:rsidP="001276B5">
            <w:pPr>
              <w:jc w:val="center"/>
              <w:rPr>
                <w:rFonts w:ascii="Times New Roman" w:hAnsi="Times New Roman" w:cs="Times New Roman"/>
                <w:lang w:val="en-US"/>
              </w:rPr>
            </w:pPr>
            <w:r w:rsidRPr="008E25DA">
              <w:rPr>
                <w:rFonts w:ascii="Times New Roman" w:hAnsi="Times New Roman" w:cs="Times New Roman"/>
                <w:lang w:val="en-US"/>
              </w:rPr>
              <w:t>64.49</w:t>
            </w:r>
          </w:p>
        </w:tc>
      </w:tr>
      <w:tr w:rsidR="00784F06" w:rsidRPr="008E25DA" w14:paraId="5DEC225E" w14:textId="77777777" w:rsidTr="001276B5">
        <w:trPr>
          <w:trHeight w:val="449"/>
        </w:trPr>
        <w:tc>
          <w:tcPr>
            <w:tcW w:w="5186" w:type="dxa"/>
          </w:tcPr>
          <w:p w14:paraId="77D12C35" w14:textId="77777777" w:rsidR="00784F06" w:rsidRPr="008E25DA" w:rsidRDefault="00784F06" w:rsidP="001276B5">
            <w:pPr>
              <w:jc w:val="center"/>
              <w:rPr>
                <w:rFonts w:ascii="Times New Roman" w:hAnsi="Times New Roman" w:cs="Times New Roman"/>
                <w:b/>
                <w:lang w:val="en-US"/>
              </w:rPr>
            </w:pPr>
            <w:proofErr w:type="spellStart"/>
            <w:r w:rsidRPr="008E25DA">
              <w:rPr>
                <w:rFonts w:ascii="Times New Roman" w:hAnsi="Times New Roman" w:cs="Times New Roman"/>
                <w:b/>
                <w:lang w:val="en-US"/>
              </w:rPr>
              <w:t>SEm</w:t>
            </w:r>
            <w:proofErr w:type="spellEnd"/>
            <w:r w:rsidRPr="008E25DA">
              <w:rPr>
                <w:rFonts w:ascii="Times New Roman" w:hAnsi="Times New Roman" w:cs="Times New Roman"/>
                <w:b/>
                <w:lang w:val="en-US"/>
              </w:rPr>
              <w:t>±</w:t>
            </w:r>
          </w:p>
        </w:tc>
        <w:tc>
          <w:tcPr>
            <w:tcW w:w="1084" w:type="dxa"/>
          </w:tcPr>
          <w:p w14:paraId="2E99DA0D"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0.263</w:t>
            </w:r>
          </w:p>
        </w:tc>
        <w:tc>
          <w:tcPr>
            <w:tcW w:w="1235" w:type="dxa"/>
          </w:tcPr>
          <w:p w14:paraId="5F4EF4AB"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3.559</w:t>
            </w:r>
          </w:p>
        </w:tc>
        <w:tc>
          <w:tcPr>
            <w:tcW w:w="1364" w:type="dxa"/>
          </w:tcPr>
          <w:p w14:paraId="730D3D0D"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0.901</w:t>
            </w:r>
          </w:p>
        </w:tc>
      </w:tr>
      <w:tr w:rsidR="00784F06" w:rsidRPr="008E25DA" w14:paraId="36852CBD" w14:textId="77777777" w:rsidTr="001276B5">
        <w:trPr>
          <w:trHeight w:val="465"/>
        </w:trPr>
        <w:tc>
          <w:tcPr>
            <w:tcW w:w="5186" w:type="dxa"/>
          </w:tcPr>
          <w:p w14:paraId="46EF59B9"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CD (P = 0.05)</w:t>
            </w:r>
          </w:p>
        </w:tc>
        <w:tc>
          <w:tcPr>
            <w:tcW w:w="1084" w:type="dxa"/>
          </w:tcPr>
          <w:p w14:paraId="6751E56C"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0.807</w:t>
            </w:r>
          </w:p>
        </w:tc>
        <w:tc>
          <w:tcPr>
            <w:tcW w:w="1235" w:type="dxa"/>
          </w:tcPr>
          <w:p w14:paraId="4BDB4A8F"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10.898</w:t>
            </w:r>
          </w:p>
        </w:tc>
        <w:tc>
          <w:tcPr>
            <w:tcW w:w="1364" w:type="dxa"/>
          </w:tcPr>
          <w:p w14:paraId="36C82020" w14:textId="77777777" w:rsidR="00784F06" w:rsidRPr="008E25DA" w:rsidRDefault="00784F06" w:rsidP="001276B5">
            <w:pPr>
              <w:jc w:val="center"/>
              <w:rPr>
                <w:rFonts w:ascii="Times New Roman" w:hAnsi="Times New Roman" w:cs="Times New Roman"/>
                <w:b/>
                <w:lang w:val="en-US"/>
              </w:rPr>
            </w:pPr>
            <w:r w:rsidRPr="008E25DA">
              <w:rPr>
                <w:rFonts w:ascii="Times New Roman" w:hAnsi="Times New Roman" w:cs="Times New Roman"/>
                <w:b/>
                <w:lang w:val="en-US"/>
              </w:rPr>
              <w:t>2.759</w:t>
            </w:r>
          </w:p>
        </w:tc>
      </w:tr>
    </w:tbl>
    <w:p w14:paraId="799187EF" w14:textId="4982D1A0" w:rsidR="00D254DF" w:rsidRPr="008E25DA" w:rsidRDefault="00D254DF" w:rsidP="0089321A">
      <w:pPr>
        <w:rPr>
          <w:rFonts w:ascii="Times New Roman" w:hAnsi="Times New Roman" w:cs="Times New Roman"/>
        </w:rPr>
      </w:pPr>
    </w:p>
    <w:p w14:paraId="2FAC5B87" w14:textId="77777777" w:rsidR="00784F06" w:rsidRPr="008E25DA" w:rsidRDefault="00784F06" w:rsidP="0089321A">
      <w:pPr>
        <w:rPr>
          <w:rFonts w:ascii="Times New Roman" w:hAnsi="Times New Roman" w:cs="Times New Roman"/>
        </w:rPr>
      </w:pPr>
    </w:p>
    <w:p w14:paraId="298B7D8F" w14:textId="7668DDE8" w:rsidR="007206E6" w:rsidRPr="008E25DA" w:rsidRDefault="007206E6" w:rsidP="007206E6">
      <w:pPr>
        <w:tabs>
          <w:tab w:val="left" w:pos="9435"/>
        </w:tabs>
        <w:rPr>
          <w:rFonts w:ascii="Times New Roman" w:hAnsi="Times New Roman" w:cs="Times New Roman"/>
          <w:b/>
          <w:lang w:val="en-US"/>
        </w:rPr>
      </w:pPr>
      <w:r w:rsidRPr="008E25DA">
        <w:rPr>
          <w:rFonts w:ascii="Times New Roman" w:hAnsi="Times New Roman" w:cs="Times New Roman"/>
          <w:b/>
          <w:lang w:val="en-US"/>
        </w:rPr>
        <w:t>Table:</w:t>
      </w:r>
      <w:r w:rsidR="004D250D">
        <w:rPr>
          <w:rFonts w:ascii="Times New Roman" w:hAnsi="Times New Roman" w:cs="Times New Roman"/>
          <w:b/>
          <w:lang w:val="en-US"/>
        </w:rPr>
        <w:t>2</w:t>
      </w:r>
      <w:r w:rsidRPr="008E25DA">
        <w:rPr>
          <w:rFonts w:ascii="Times New Roman" w:hAnsi="Times New Roman" w:cs="Times New Roman"/>
          <w:b/>
          <w:lang w:val="en-US"/>
        </w:rPr>
        <w:t xml:space="preserve"> </w:t>
      </w:r>
      <w:r w:rsidRPr="004D250D">
        <w:rPr>
          <w:rFonts w:ascii="Times New Roman" w:hAnsi="Times New Roman" w:cs="Times New Roman"/>
          <w:bCs/>
          <w:lang w:val="en-US"/>
        </w:rPr>
        <w:t>Nitrogen, Phosphorus and Potassium content (%) and uptake (kg ha</w:t>
      </w:r>
      <w:r w:rsidRPr="004D250D">
        <w:rPr>
          <w:rFonts w:ascii="Times New Roman" w:hAnsi="Times New Roman" w:cs="Times New Roman"/>
          <w:bCs/>
          <w:vertAlign w:val="superscript"/>
          <w:lang w:val="en-US"/>
        </w:rPr>
        <w:t>-1</w:t>
      </w:r>
      <w:r w:rsidRPr="004D250D">
        <w:rPr>
          <w:rFonts w:ascii="Times New Roman" w:hAnsi="Times New Roman" w:cs="Times New Roman"/>
          <w:bCs/>
          <w:lang w:val="en-US"/>
        </w:rPr>
        <w:t>) at different stages of crop growth as influenced by nutrient management practices</w:t>
      </w:r>
    </w:p>
    <w:tbl>
      <w:tblP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1043"/>
        <w:gridCol w:w="1241"/>
        <w:gridCol w:w="1080"/>
        <w:gridCol w:w="1016"/>
        <w:gridCol w:w="700"/>
        <w:gridCol w:w="999"/>
      </w:tblGrid>
      <w:tr w:rsidR="004A66A1" w:rsidRPr="008E25DA" w14:paraId="3EB5F8CF" w14:textId="77777777" w:rsidTr="004A66A1">
        <w:trPr>
          <w:trHeight w:val="539"/>
        </w:trPr>
        <w:tc>
          <w:tcPr>
            <w:tcW w:w="1624" w:type="pct"/>
            <w:vMerge w:val="restart"/>
            <w:vAlign w:val="center"/>
          </w:tcPr>
          <w:p w14:paraId="34EC2A11" w14:textId="53F14D6B" w:rsidR="004A66A1" w:rsidRPr="008E25DA" w:rsidRDefault="004A66A1"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Treatment</w:t>
            </w:r>
          </w:p>
        </w:tc>
        <w:tc>
          <w:tcPr>
            <w:tcW w:w="3376" w:type="pct"/>
            <w:gridSpan w:val="6"/>
            <w:vAlign w:val="center"/>
          </w:tcPr>
          <w:p w14:paraId="2CF14377" w14:textId="7D4D53F0" w:rsidR="004A66A1" w:rsidRPr="008E25DA" w:rsidRDefault="004A66A1" w:rsidP="004A66A1">
            <w:pPr>
              <w:tabs>
                <w:tab w:val="left" w:pos="9435"/>
              </w:tabs>
              <w:jc w:val="center"/>
              <w:rPr>
                <w:rFonts w:ascii="Times New Roman" w:hAnsi="Times New Roman" w:cs="Times New Roman"/>
                <w:b/>
                <w:sz w:val="20"/>
                <w:szCs w:val="20"/>
                <w:lang w:val="en-US"/>
              </w:rPr>
            </w:pPr>
            <w:r>
              <w:rPr>
                <w:rFonts w:ascii="Times New Roman" w:hAnsi="Times New Roman" w:cs="Times New Roman"/>
                <w:b/>
                <w:sz w:val="20"/>
                <w:szCs w:val="20"/>
                <w:lang w:val="en-US"/>
              </w:rPr>
              <w:t>At h</w:t>
            </w:r>
            <w:r w:rsidRPr="004A66A1">
              <w:rPr>
                <w:rFonts w:ascii="Times New Roman" w:hAnsi="Times New Roman" w:cs="Times New Roman"/>
                <w:b/>
                <w:sz w:val="20"/>
                <w:szCs w:val="20"/>
                <w:lang w:val="en-US"/>
              </w:rPr>
              <w:t>arvest</w:t>
            </w:r>
          </w:p>
        </w:tc>
      </w:tr>
      <w:tr w:rsidR="004A66A1" w:rsidRPr="008E25DA" w14:paraId="38958846" w14:textId="77777777" w:rsidTr="004A66A1">
        <w:trPr>
          <w:trHeight w:val="980"/>
        </w:trPr>
        <w:tc>
          <w:tcPr>
            <w:tcW w:w="1624" w:type="pct"/>
            <w:vMerge/>
            <w:vAlign w:val="center"/>
          </w:tcPr>
          <w:p w14:paraId="675C9058" w14:textId="2FEA8B5D" w:rsidR="004A66A1" w:rsidRPr="008E25DA" w:rsidRDefault="004A66A1" w:rsidP="002724A1">
            <w:pPr>
              <w:tabs>
                <w:tab w:val="left" w:pos="9435"/>
              </w:tabs>
              <w:jc w:val="center"/>
              <w:rPr>
                <w:rFonts w:ascii="Times New Roman" w:hAnsi="Times New Roman" w:cs="Times New Roman"/>
                <w:b/>
                <w:lang w:val="en-US"/>
              </w:rPr>
            </w:pPr>
          </w:p>
        </w:tc>
        <w:tc>
          <w:tcPr>
            <w:tcW w:w="579" w:type="pct"/>
            <w:vAlign w:val="center"/>
          </w:tcPr>
          <w:p w14:paraId="651A5F0D" w14:textId="19A654E9"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Nitrogen content (%)</w:t>
            </w:r>
          </w:p>
        </w:tc>
        <w:tc>
          <w:tcPr>
            <w:tcW w:w="689" w:type="pct"/>
            <w:vAlign w:val="center"/>
          </w:tcPr>
          <w:p w14:paraId="3FBD62D2" w14:textId="1D1422F2"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Nitrogen uptake (kg ha</w:t>
            </w:r>
            <w:r w:rsidRPr="008E25DA">
              <w:rPr>
                <w:rFonts w:ascii="Times New Roman" w:hAnsi="Times New Roman" w:cs="Times New Roman"/>
                <w:b/>
                <w:sz w:val="20"/>
                <w:szCs w:val="20"/>
                <w:vertAlign w:val="superscript"/>
                <w:lang w:val="en-US"/>
              </w:rPr>
              <w:t>-1</w:t>
            </w:r>
            <w:r w:rsidRPr="008E25DA">
              <w:rPr>
                <w:rFonts w:ascii="Times New Roman" w:hAnsi="Times New Roman" w:cs="Times New Roman"/>
                <w:b/>
                <w:sz w:val="20"/>
                <w:szCs w:val="20"/>
                <w:lang w:val="en-US"/>
              </w:rPr>
              <w:t>)</w:t>
            </w:r>
          </w:p>
        </w:tc>
        <w:tc>
          <w:tcPr>
            <w:tcW w:w="600" w:type="pct"/>
            <w:vAlign w:val="center"/>
          </w:tcPr>
          <w:p w14:paraId="365ED3E0" w14:textId="77777777"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Phosphorus content (%) at harvest</w:t>
            </w:r>
          </w:p>
          <w:p w14:paraId="5F84D7BF" w14:textId="0C3EA1EB" w:rsidR="004A66A1" w:rsidRPr="008E25DA" w:rsidRDefault="004A66A1" w:rsidP="004A66A1">
            <w:pPr>
              <w:tabs>
                <w:tab w:val="left" w:pos="9435"/>
              </w:tabs>
              <w:jc w:val="center"/>
              <w:rPr>
                <w:rFonts w:ascii="Times New Roman" w:hAnsi="Times New Roman" w:cs="Times New Roman"/>
                <w:b/>
                <w:sz w:val="20"/>
                <w:szCs w:val="20"/>
                <w:lang w:val="en-US"/>
              </w:rPr>
            </w:pPr>
          </w:p>
        </w:tc>
        <w:tc>
          <w:tcPr>
            <w:tcW w:w="564" w:type="pct"/>
            <w:vAlign w:val="center"/>
          </w:tcPr>
          <w:p w14:paraId="07EED227" w14:textId="77777777"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Phosphorus uptake (kg ha</w:t>
            </w:r>
            <w:r w:rsidRPr="008E25DA">
              <w:rPr>
                <w:rFonts w:ascii="Times New Roman" w:hAnsi="Times New Roman" w:cs="Times New Roman"/>
                <w:b/>
                <w:sz w:val="20"/>
                <w:szCs w:val="20"/>
                <w:vertAlign w:val="superscript"/>
                <w:lang w:val="en-US"/>
              </w:rPr>
              <w:t>-1</w:t>
            </w:r>
            <w:r w:rsidRPr="008E25DA">
              <w:rPr>
                <w:rFonts w:ascii="Times New Roman" w:hAnsi="Times New Roman" w:cs="Times New Roman"/>
                <w:b/>
                <w:sz w:val="20"/>
                <w:szCs w:val="20"/>
                <w:lang w:val="en-US"/>
              </w:rPr>
              <w:t>)</w:t>
            </w:r>
          </w:p>
          <w:p w14:paraId="0655A2D7" w14:textId="14689E55" w:rsidR="004A66A1" w:rsidRPr="008E25DA" w:rsidRDefault="004A66A1" w:rsidP="004A66A1">
            <w:pPr>
              <w:tabs>
                <w:tab w:val="left" w:pos="9435"/>
              </w:tabs>
              <w:jc w:val="center"/>
              <w:rPr>
                <w:rFonts w:ascii="Times New Roman" w:hAnsi="Times New Roman" w:cs="Times New Roman"/>
                <w:b/>
                <w:sz w:val="20"/>
                <w:szCs w:val="20"/>
                <w:lang w:val="en-US"/>
              </w:rPr>
            </w:pPr>
          </w:p>
        </w:tc>
        <w:tc>
          <w:tcPr>
            <w:tcW w:w="389" w:type="pct"/>
            <w:vAlign w:val="center"/>
          </w:tcPr>
          <w:p w14:paraId="1E54CD87" w14:textId="747BE3AA"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Potassium content (%)</w:t>
            </w:r>
          </w:p>
        </w:tc>
        <w:tc>
          <w:tcPr>
            <w:tcW w:w="555" w:type="pct"/>
            <w:vAlign w:val="center"/>
          </w:tcPr>
          <w:p w14:paraId="0E4BCE63" w14:textId="77777777" w:rsidR="004A66A1" w:rsidRPr="008E25DA" w:rsidRDefault="004A66A1" w:rsidP="004A66A1">
            <w:pPr>
              <w:tabs>
                <w:tab w:val="left" w:pos="9435"/>
              </w:tabs>
              <w:jc w:val="center"/>
              <w:rPr>
                <w:rFonts w:ascii="Times New Roman" w:hAnsi="Times New Roman" w:cs="Times New Roman"/>
                <w:b/>
                <w:sz w:val="20"/>
                <w:szCs w:val="20"/>
                <w:lang w:val="en-US"/>
              </w:rPr>
            </w:pPr>
            <w:r w:rsidRPr="008E25DA">
              <w:rPr>
                <w:rFonts w:ascii="Times New Roman" w:hAnsi="Times New Roman" w:cs="Times New Roman"/>
                <w:b/>
                <w:sz w:val="20"/>
                <w:szCs w:val="20"/>
                <w:lang w:val="en-US"/>
              </w:rPr>
              <w:t>Potassium uptake (kg ha</w:t>
            </w:r>
            <w:r w:rsidRPr="008E25DA">
              <w:rPr>
                <w:rFonts w:ascii="Times New Roman" w:hAnsi="Times New Roman" w:cs="Times New Roman"/>
                <w:b/>
                <w:sz w:val="20"/>
                <w:szCs w:val="20"/>
                <w:vertAlign w:val="superscript"/>
                <w:lang w:val="en-US"/>
              </w:rPr>
              <w:t>-1</w:t>
            </w:r>
            <w:r w:rsidRPr="008E25DA">
              <w:rPr>
                <w:rFonts w:ascii="Times New Roman" w:hAnsi="Times New Roman" w:cs="Times New Roman"/>
                <w:b/>
                <w:sz w:val="20"/>
                <w:szCs w:val="20"/>
                <w:lang w:val="en-US"/>
              </w:rPr>
              <w:t>)</w:t>
            </w:r>
          </w:p>
          <w:p w14:paraId="365D6918" w14:textId="5D6F01FD" w:rsidR="004A66A1" w:rsidRPr="008E25DA" w:rsidRDefault="004A66A1" w:rsidP="004A66A1">
            <w:pPr>
              <w:tabs>
                <w:tab w:val="left" w:pos="9435"/>
              </w:tabs>
              <w:jc w:val="center"/>
              <w:rPr>
                <w:rFonts w:ascii="Times New Roman" w:hAnsi="Times New Roman" w:cs="Times New Roman"/>
                <w:b/>
                <w:sz w:val="20"/>
                <w:szCs w:val="20"/>
                <w:lang w:val="en-US"/>
              </w:rPr>
            </w:pPr>
          </w:p>
        </w:tc>
      </w:tr>
      <w:tr w:rsidR="007206E6" w:rsidRPr="008E25DA" w14:paraId="0B958E5B" w14:textId="77777777" w:rsidTr="002724A1">
        <w:trPr>
          <w:trHeight w:val="423"/>
        </w:trPr>
        <w:tc>
          <w:tcPr>
            <w:tcW w:w="1624" w:type="pct"/>
          </w:tcPr>
          <w:p w14:paraId="13644C85" w14:textId="54554009"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1</w:t>
            </w:r>
            <w:r w:rsidRPr="008E25DA">
              <w:rPr>
                <w:rFonts w:ascii="Times New Roman" w:hAnsi="Times New Roman" w:cs="Times New Roman"/>
                <w:lang w:val="en-US"/>
              </w:rPr>
              <w:t xml:space="preserve">: Control (no </w:t>
            </w:r>
            <w:r w:rsidR="00FA297D" w:rsidRPr="008E25DA">
              <w:rPr>
                <w:rFonts w:ascii="Times New Roman" w:hAnsi="Times New Roman" w:cs="Times New Roman"/>
                <w:lang w:val="en-US"/>
              </w:rPr>
              <w:t>fertilizers</w:t>
            </w:r>
            <w:r w:rsidRPr="008E25DA">
              <w:rPr>
                <w:rFonts w:ascii="Times New Roman" w:hAnsi="Times New Roman" w:cs="Times New Roman"/>
                <w:lang w:val="en-US"/>
              </w:rPr>
              <w:t>).</w:t>
            </w:r>
          </w:p>
        </w:tc>
        <w:tc>
          <w:tcPr>
            <w:tcW w:w="579" w:type="pct"/>
          </w:tcPr>
          <w:p w14:paraId="09D8443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1.36</w:t>
            </w:r>
          </w:p>
        </w:tc>
        <w:tc>
          <w:tcPr>
            <w:tcW w:w="689" w:type="pct"/>
          </w:tcPr>
          <w:p w14:paraId="48BE9B4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55.79</w:t>
            </w:r>
          </w:p>
        </w:tc>
        <w:tc>
          <w:tcPr>
            <w:tcW w:w="600" w:type="pct"/>
          </w:tcPr>
          <w:p w14:paraId="535882D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0.54</w:t>
            </w:r>
          </w:p>
        </w:tc>
        <w:tc>
          <w:tcPr>
            <w:tcW w:w="564" w:type="pct"/>
          </w:tcPr>
          <w:p w14:paraId="05A0FA02"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21.99</w:t>
            </w:r>
          </w:p>
        </w:tc>
        <w:tc>
          <w:tcPr>
            <w:tcW w:w="389" w:type="pct"/>
          </w:tcPr>
          <w:p w14:paraId="0BA3C82A"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9.97</w:t>
            </w:r>
          </w:p>
        </w:tc>
        <w:tc>
          <w:tcPr>
            <w:tcW w:w="555" w:type="pct"/>
          </w:tcPr>
          <w:p w14:paraId="2542B7E5"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409.49</w:t>
            </w:r>
          </w:p>
        </w:tc>
      </w:tr>
      <w:tr w:rsidR="007206E6" w:rsidRPr="008E25DA" w14:paraId="195B5500" w14:textId="77777777" w:rsidTr="002724A1">
        <w:trPr>
          <w:trHeight w:val="423"/>
        </w:trPr>
        <w:tc>
          <w:tcPr>
            <w:tcW w:w="1624" w:type="pct"/>
            <w:vAlign w:val="center"/>
          </w:tcPr>
          <w:p w14:paraId="0382FB73"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2</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r w:rsidRPr="008E25DA">
              <w:rPr>
                <w:rFonts w:ascii="Times New Roman" w:hAnsi="Times New Roman" w:cs="Times New Roman"/>
                <w:lang w:val="en-US"/>
              </w:rPr>
              <w:t>(RDF)</w:t>
            </w:r>
          </w:p>
        </w:tc>
        <w:tc>
          <w:tcPr>
            <w:tcW w:w="579" w:type="pct"/>
          </w:tcPr>
          <w:p w14:paraId="52F51BB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1.59</w:t>
            </w:r>
          </w:p>
        </w:tc>
        <w:tc>
          <w:tcPr>
            <w:tcW w:w="689" w:type="pct"/>
          </w:tcPr>
          <w:p w14:paraId="2034B9AF"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92.78</w:t>
            </w:r>
          </w:p>
        </w:tc>
        <w:tc>
          <w:tcPr>
            <w:tcW w:w="600" w:type="pct"/>
          </w:tcPr>
          <w:p w14:paraId="21C43AA1"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0.63</w:t>
            </w:r>
          </w:p>
        </w:tc>
        <w:tc>
          <w:tcPr>
            <w:tcW w:w="564" w:type="pct"/>
          </w:tcPr>
          <w:p w14:paraId="0009F3F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36.67</w:t>
            </w:r>
          </w:p>
        </w:tc>
        <w:tc>
          <w:tcPr>
            <w:tcW w:w="389" w:type="pct"/>
          </w:tcPr>
          <w:p w14:paraId="18E18E3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10.75</w:t>
            </w:r>
          </w:p>
        </w:tc>
        <w:tc>
          <w:tcPr>
            <w:tcW w:w="555" w:type="pct"/>
          </w:tcPr>
          <w:p w14:paraId="2019D05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626.77</w:t>
            </w:r>
          </w:p>
        </w:tc>
      </w:tr>
      <w:tr w:rsidR="007206E6" w:rsidRPr="008E25DA" w14:paraId="6996889E" w14:textId="77777777" w:rsidTr="002724A1">
        <w:trPr>
          <w:trHeight w:val="419"/>
        </w:trPr>
        <w:tc>
          <w:tcPr>
            <w:tcW w:w="1624" w:type="pct"/>
            <w:vAlign w:val="center"/>
          </w:tcPr>
          <w:p w14:paraId="5FD8A0C3"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lastRenderedPageBreak/>
              <w:t>T</w:t>
            </w:r>
            <w:r w:rsidRPr="008E25DA">
              <w:rPr>
                <w:rFonts w:ascii="Times New Roman" w:hAnsi="Times New Roman" w:cs="Times New Roman"/>
                <w:vertAlign w:val="subscript"/>
                <w:lang w:val="en-US"/>
              </w:rPr>
              <w:t>3</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149C48C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1.62</w:t>
            </w:r>
          </w:p>
        </w:tc>
        <w:tc>
          <w:tcPr>
            <w:tcW w:w="689" w:type="pct"/>
          </w:tcPr>
          <w:p w14:paraId="4AA108B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104.44</w:t>
            </w:r>
          </w:p>
        </w:tc>
        <w:tc>
          <w:tcPr>
            <w:tcW w:w="600" w:type="pct"/>
          </w:tcPr>
          <w:p w14:paraId="1ED8D33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0.65</w:t>
            </w:r>
          </w:p>
        </w:tc>
        <w:tc>
          <w:tcPr>
            <w:tcW w:w="564" w:type="pct"/>
          </w:tcPr>
          <w:p w14:paraId="7F2C94D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41.93</w:t>
            </w:r>
          </w:p>
        </w:tc>
        <w:tc>
          <w:tcPr>
            <w:tcW w:w="389" w:type="pct"/>
          </w:tcPr>
          <w:p w14:paraId="6C55DE9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11.33</w:t>
            </w:r>
          </w:p>
        </w:tc>
        <w:tc>
          <w:tcPr>
            <w:tcW w:w="555" w:type="pct"/>
          </w:tcPr>
          <w:p w14:paraId="3549C1A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732.15</w:t>
            </w:r>
          </w:p>
        </w:tc>
      </w:tr>
      <w:tr w:rsidR="007206E6" w:rsidRPr="008E25DA" w14:paraId="25FF8E92" w14:textId="77777777" w:rsidTr="002724A1">
        <w:trPr>
          <w:trHeight w:val="557"/>
        </w:trPr>
        <w:tc>
          <w:tcPr>
            <w:tcW w:w="1624" w:type="pct"/>
            <w:vAlign w:val="center"/>
          </w:tcPr>
          <w:p w14:paraId="4F03FFA5"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4</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w:t>
            </w:r>
            <w:proofErr w:type="gramStart"/>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w:t>
            </w:r>
            <w:proofErr w:type="gramEnd"/>
            <w:r w:rsidRPr="008E25DA">
              <w:rPr>
                <w:rFonts w:ascii="Times New Roman" w:hAnsi="Times New Roman" w:cs="Times New Roman"/>
                <w:lang w:val="en-US"/>
              </w:rPr>
              <w:t xml:space="preserve">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+ 20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67734C82"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1.94</w:t>
            </w:r>
          </w:p>
        </w:tc>
        <w:tc>
          <w:tcPr>
            <w:tcW w:w="689" w:type="pct"/>
          </w:tcPr>
          <w:p w14:paraId="4D4B02D3"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137.67</w:t>
            </w:r>
          </w:p>
        </w:tc>
        <w:tc>
          <w:tcPr>
            <w:tcW w:w="600" w:type="pct"/>
          </w:tcPr>
          <w:p w14:paraId="51B82C32"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0.74</w:t>
            </w:r>
          </w:p>
        </w:tc>
        <w:tc>
          <w:tcPr>
            <w:tcW w:w="564" w:type="pct"/>
          </w:tcPr>
          <w:p w14:paraId="2184685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52.29</w:t>
            </w:r>
          </w:p>
        </w:tc>
        <w:tc>
          <w:tcPr>
            <w:tcW w:w="389" w:type="pct"/>
          </w:tcPr>
          <w:p w14:paraId="6FA278F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12.23</w:t>
            </w:r>
          </w:p>
        </w:tc>
        <w:tc>
          <w:tcPr>
            <w:tcW w:w="555" w:type="pct"/>
          </w:tcPr>
          <w:p w14:paraId="4708570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869.60</w:t>
            </w:r>
          </w:p>
        </w:tc>
      </w:tr>
      <w:tr w:rsidR="007206E6" w:rsidRPr="008E25DA" w14:paraId="01D5CF7B" w14:textId="77777777" w:rsidTr="002724A1">
        <w:trPr>
          <w:trHeight w:val="557"/>
        </w:trPr>
        <w:tc>
          <w:tcPr>
            <w:tcW w:w="1624" w:type="pct"/>
            <w:vAlign w:val="center"/>
          </w:tcPr>
          <w:p w14:paraId="580D4783"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5</w:t>
            </w:r>
            <w:r w:rsidRPr="008E25DA">
              <w:rPr>
                <w:rFonts w:ascii="Times New Roman" w:hAnsi="Times New Roman" w:cs="Times New Roman"/>
                <w:lang w:val="en-US"/>
              </w:rPr>
              <w:t>: 60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107D499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1.59</w:t>
            </w:r>
          </w:p>
        </w:tc>
        <w:tc>
          <w:tcPr>
            <w:tcW w:w="689" w:type="pct"/>
          </w:tcPr>
          <w:p w14:paraId="317C763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95.20</w:t>
            </w:r>
          </w:p>
        </w:tc>
        <w:tc>
          <w:tcPr>
            <w:tcW w:w="600" w:type="pct"/>
          </w:tcPr>
          <w:p w14:paraId="0ECF6EA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0.65</w:t>
            </w:r>
          </w:p>
        </w:tc>
        <w:tc>
          <w:tcPr>
            <w:tcW w:w="564" w:type="pct"/>
          </w:tcPr>
          <w:p w14:paraId="46D4B444"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38.63</w:t>
            </w:r>
          </w:p>
        </w:tc>
        <w:tc>
          <w:tcPr>
            <w:tcW w:w="389" w:type="pct"/>
          </w:tcPr>
          <w:p w14:paraId="6914660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11.42</w:t>
            </w:r>
          </w:p>
        </w:tc>
        <w:tc>
          <w:tcPr>
            <w:tcW w:w="555" w:type="pct"/>
          </w:tcPr>
          <w:p w14:paraId="4E99EAE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683.03</w:t>
            </w:r>
          </w:p>
        </w:tc>
      </w:tr>
      <w:tr w:rsidR="007206E6" w:rsidRPr="008E25DA" w14:paraId="40C109C1" w14:textId="77777777" w:rsidTr="002724A1">
        <w:trPr>
          <w:trHeight w:val="553"/>
        </w:trPr>
        <w:tc>
          <w:tcPr>
            <w:tcW w:w="1624" w:type="pct"/>
            <w:vAlign w:val="center"/>
          </w:tcPr>
          <w:p w14:paraId="02854534"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6</w:t>
            </w:r>
            <w:r w:rsidRPr="008E25DA">
              <w:rPr>
                <w:rFonts w:ascii="Times New Roman" w:hAnsi="Times New Roman" w:cs="Times New Roman"/>
                <w:lang w:val="en-US"/>
              </w:rPr>
              <w:t>: 80 kg N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4DBC931D"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1.84</w:t>
            </w:r>
          </w:p>
        </w:tc>
        <w:tc>
          <w:tcPr>
            <w:tcW w:w="689" w:type="pct"/>
          </w:tcPr>
          <w:p w14:paraId="5664AB5A"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122.95</w:t>
            </w:r>
          </w:p>
        </w:tc>
        <w:tc>
          <w:tcPr>
            <w:tcW w:w="600" w:type="pct"/>
          </w:tcPr>
          <w:p w14:paraId="6F0E7C8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0.72</w:t>
            </w:r>
          </w:p>
        </w:tc>
        <w:tc>
          <w:tcPr>
            <w:tcW w:w="564" w:type="pct"/>
          </w:tcPr>
          <w:p w14:paraId="19CB2E6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48.39</w:t>
            </w:r>
          </w:p>
        </w:tc>
        <w:tc>
          <w:tcPr>
            <w:tcW w:w="389" w:type="pct"/>
          </w:tcPr>
          <w:p w14:paraId="22C07259"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11.83</w:t>
            </w:r>
          </w:p>
        </w:tc>
        <w:tc>
          <w:tcPr>
            <w:tcW w:w="555" w:type="pct"/>
          </w:tcPr>
          <w:p w14:paraId="4BEF9201"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792.43</w:t>
            </w:r>
          </w:p>
        </w:tc>
      </w:tr>
      <w:tr w:rsidR="007206E6" w:rsidRPr="008E25DA" w14:paraId="4DF4AC57" w14:textId="77777777" w:rsidTr="002724A1">
        <w:trPr>
          <w:trHeight w:val="559"/>
        </w:trPr>
        <w:tc>
          <w:tcPr>
            <w:tcW w:w="1624" w:type="pct"/>
            <w:vAlign w:val="center"/>
          </w:tcPr>
          <w:p w14:paraId="489FFF57"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7</w:t>
            </w:r>
            <w:r w:rsidRPr="008E25DA">
              <w:rPr>
                <w:rFonts w:ascii="Times New Roman" w:hAnsi="Times New Roman" w:cs="Times New Roman"/>
                <w:lang w:val="en-US"/>
              </w:rPr>
              <w:t>: 100 kg N ha</w:t>
            </w:r>
            <w:r w:rsidRPr="008E25DA">
              <w:rPr>
                <w:rFonts w:ascii="Times New Roman" w:hAnsi="Times New Roman" w:cs="Times New Roman"/>
                <w:vertAlign w:val="superscript"/>
                <w:lang w:val="en-US"/>
              </w:rPr>
              <w:t>-</w:t>
            </w:r>
            <w:proofErr w:type="gramStart"/>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w:t>
            </w:r>
            <w:proofErr w:type="gramEnd"/>
            <w:r w:rsidRPr="008E25DA">
              <w:rPr>
                <w:rFonts w:ascii="Times New Roman" w:hAnsi="Times New Roman" w:cs="Times New Roman"/>
                <w:lang w:val="en-US"/>
              </w:rPr>
              <w:t xml:space="preserve"> 30 kg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ha</w:t>
            </w:r>
            <w:r w:rsidRPr="008E25DA">
              <w:rPr>
                <w:rFonts w:ascii="Times New Roman" w:hAnsi="Times New Roman" w:cs="Times New Roman"/>
                <w:vertAlign w:val="superscript"/>
                <w:lang w:val="en-US"/>
              </w:rPr>
              <w:t>-1</w:t>
            </w:r>
            <w:r w:rsidRPr="008E25DA">
              <w:rPr>
                <w:rFonts w:ascii="Times New Roman" w:hAnsi="Times New Roman" w:cs="Times New Roman"/>
                <w:lang w:val="en-US"/>
              </w:rPr>
              <w:t xml:space="preserve"> + 40 kg K</w:t>
            </w:r>
            <w:r w:rsidRPr="008E25DA">
              <w:rPr>
                <w:rFonts w:ascii="Times New Roman" w:hAnsi="Times New Roman" w:cs="Times New Roman"/>
                <w:vertAlign w:val="subscript"/>
                <w:lang w:val="en-US"/>
              </w:rPr>
              <w:t>2</w:t>
            </w:r>
            <w:r w:rsidRPr="008E25DA">
              <w:rPr>
                <w:rFonts w:ascii="Times New Roman" w:hAnsi="Times New Roman" w:cs="Times New Roman"/>
                <w:lang w:val="en-US"/>
              </w:rPr>
              <w:t>O ha</w:t>
            </w:r>
            <w:r w:rsidRPr="008E25DA">
              <w:rPr>
                <w:rFonts w:ascii="Times New Roman" w:hAnsi="Times New Roman" w:cs="Times New Roman"/>
                <w:vertAlign w:val="superscript"/>
                <w:lang w:val="en-US"/>
              </w:rPr>
              <w:t>-1</w:t>
            </w:r>
          </w:p>
        </w:tc>
        <w:tc>
          <w:tcPr>
            <w:tcW w:w="579" w:type="pct"/>
          </w:tcPr>
          <w:p w14:paraId="3D13785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1.99</w:t>
            </w:r>
          </w:p>
        </w:tc>
        <w:tc>
          <w:tcPr>
            <w:tcW w:w="689" w:type="pct"/>
          </w:tcPr>
          <w:p w14:paraId="2EFD2D6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150.19</w:t>
            </w:r>
          </w:p>
        </w:tc>
        <w:tc>
          <w:tcPr>
            <w:tcW w:w="600" w:type="pct"/>
          </w:tcPr>
          <w:p w14:paraId="41C382F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0.82</w:t>
            </w:r>
          </w:p>
        </w:tc>
        <w:tc>
          <w:tcPr>
            <w:tcW w:w="564" w:type="pct"/>
          </w:tcPr>
          <w:p w14:paraId="048305B6"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61.57</w:t>
            </w:r>
          </w:p>
        </w:tc>
        <w:tc>
          <w:tcPr>
            <w:tcW w:w="389" w:type="pct"/>
          </w:tcPr>
          <w:p w14:paraId="317EC666"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12.88</w:t>
            </w:r>
          </w:p>
        </w:tc>
        <w:tc>
          <w:tcPr>
            <w:tcW w:w="555" w:type="pct"/>
          </w:tcPr>
          <w:p w14:paraId="678E0221"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972.36</w:t>
            </w:r>
          </w:p>
        </w:tc>
      </w:tr>
      <w:tr w:rsidR="007206E6" w:rsidRPr="008E25DA" w14:paraId="4CC5B55B" w14:textId="77777777" w:rsidTr="002724A1">
        <w:trPr>
          <w:trHeight w:val="557"/>
        </w:trPr>
        <w:tc>
          <w:tcPr>
            <w:tcW w:w="1624" w:type="pct"/>
            <w:vAlign w:val="center"/>
          </w:tcPr>
          <w:p w14:paraId="3E846537" w14:textId="77777777" w:rsidR="007206E6" w:rsidRPr="008E25DA" w:rsidRDefault="007206E6" w:rsidP="002724A1">
            <w:pPr>
              <w:tabs>
                <w:tab w:val="left" w:pos="9435"/>
              </w:tabs>
              <w:rPr>
                <w:rFonts w:ascii="Times New Roman" w:hAnsi="Times New Roman" w:cs="Times New Roman"/>
                <w:lang w:val="en-US"/>
              </w:rPr>
            </w:pPr>
            <w:r w:rsidRPr="008E25DA">
              <w:rPr>
                <w:rFonts w:ascii="Times New Roman" w:hAnsi="Times New Roman" w:cs="Times New Roman"/>
                <w:lang w:val="en-US"/>
              </w:rPr>
              <w:t>T</w:t>
            </w:r>
            <w:r w:rsidRPr="008E25DA">
              <w:rPr>
                <w:rFonts w:ascii="Times New Roman" w:hAnsi="Times New Roman" w:cs="Times New Roman"/>
                <w:vertAlign w:val="subscript"/>
                <w:lang w:val="en-US"/>
              </w:rPr>
              <w:t>8</w:t>
            </w:r>
            <w:r w:rsidRPr="008E25DA">
              <w:rPr>
                <w:rFonts w:ascii="Times New Roman" w:hAnsi="Times New Roman" w:cs="Times New Roman"/>
                <w:lang w:val="en-US"/>
              </w:rPr>
              <w:t>: Application of N, P</w:t>
            </w:r>
            <w:r w:rsidRPr="008E25DA">
              <w:rPr>
                <w:rFonts w:ascii="Times New Roman" w:hAnsi="Times New Roman" w:cs="Times New Roman"/>
                <w:vertAlign w:val="subscript"/>
                <w:lang w:val="en-US"/>
              </w:rPr>
              <w:t>2</w:t>
            </w:r>
            <w:r w:rsidRPr="008E25DA">
              <w:rPr>
                <w:rFonts w:ascii="Times New Roman" w:hAnsi="Times New Roman" w:cs="Times New Roman"/>
                <w:lang w:val="en-US"/>
              </w:rPr>
              <w:t>O</w:t>
            </w:r>
            <w:r w:rsidRPr="008E25DA">
              <w:rPr>
                <w:rFonts w:ascii="Times New Roman" w:hAnsi="Times New Roman" w:cs="Times New Roman"/>
                <w:vertAlign w:val="subscript"/>
                <w:lang w:val="en-US"/>
              </w:rPr>
              <w:t>5</w:t>
            </w:r>
            <w:r w:rsidRPr="008E25DA">
              <w:rPr>
                <w:rFonts w:ascii="Times New Roman" w:hAnsi="Times New Roman" w:cs="Times New Roman"/>
                <w:lang w:val="en-US"/>
              </w:rPr>
              <w:t xml:space="preserve"> and K</w:t>
            </w:r>
            <w:r w:rsidRPr="008E25DA">
              <w:rPr>
                <w:rFonts w:ascii="Times New Roman" w:hAnsi="Times New Roman" w:cs="Times New Roman"/>
                <w:vertAlign w:val="subscript"/>
                <w:lang w:val="en-US"/>
              </w:rPr>
              <w:t>2</w:t>
            </w:r>
            <w:r w:rsidRPr="008E25DA">
              <w:rPr>
                <w:rFonts w:ascii="Times New Roman" w:hAnsi="Times New Roman" w:cs="Times New Roman"/>
                <w:lang w:val="en-US"/>
              </w:rPr>
              <w:t>O based on Soil Test Values.</w:t>
            </w:r>
          </w:p>
        </w:tc>
        <w:tc>
          <w:tcPr>
            <w:tcW w:w="579" w:type="pct"/>
          </w:tcPr>
          <w:p w14:paraId="782BC020"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1.72</w:t>
            </w:r>
          </w:p>
        </w:tc>
        <w:tc>
          <w:tcPr>
            <w:tcW w:w="689" w:type="pct"/>
          </w:tcPr>
          <w:p w14:paraId="417680F7"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110.43</w:t>
            </w:r>
          </w:p>
        </w:tc>
        <w:tc>
          <w:tcPr>
            <w:tcW w:w="600" w:type="pct"/>
          </w:tcPr>
          <w:p w14:paraId="7A3E4896"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0.64</w:t>
            </w:r>
          </w:p>
        </w:tc>
        <w:tc>
          <w:tcPr>
            <w:tcW w:w="564" w:type="pct"/>
          </w:tcPr>
          <w:p w14:paraId="42739FEC"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40.83</w:t>
            </w:r>
          </w:p>
        </w:tc>
        <w:tc>
          <w:tcPr>
            <w:tcW w:w="389" w:type="pct"/>
          </w:tcPr>
          <w:p w14:paraId="68CAFD45"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11.25</w:t>
            </w:r>
          </w:p>
        </w:tc>
        <w:tc>
          <w:tcPr>
            <w:tcW w:w="555" w:type="pct"/>
          </w:tcPr>
          <w:p w14:paraId="4E63266B" w14:textId="77777777" w:rsidR="007206E6" w:rsidRPr="008E25DA" w:rsidRDefault="007206E6" w:rsidP="002724A1">
            <w:pPr>
              <w:tabs>
                <w:tab w:val="left" w:pos="9435"/>
              </w:tabs>
              <w:jc w:val="center"/>
              <w:rPr>
                <w:rFonts w:ascii="Times New Roman" w:hAnsi="Times New Roman" w:cs="Times New Roman"/>
                <w:lang w:val="en-US"/>
              </w:rPr>
            </w:pPr>
            <w:r w:rsidRPr="008E25DA">
              <w:rPr>
                <w:rFonts w:ascii="Times New Roman" w:hAnsi="Times New Roman" w:cs="Times New Roman"/>
                <w:lang w:val="en-US"/>
              </w:rPr>
              <w:t>723.42</w:t>
            </w:r>
          </w:p>
        </w:tc>
      </w:tr>
      <w:tr w:rsidR="007206E6" w:rsidRPr="008E25DA" w14:paraId="6340FE4B" w14:textId="77777777" w:rsidTr="002724A1">
        <w:trPr>
          <w:trHeight w:val="423"/>
        </w:trPr>
        <w:tc>
          <w:tcPr>
            <w:tcW w:w="1624" w:type="pct"/>
          </w:tcPr>
          <w:p w14:paraId="57CB3FC5" w14:textId="77777777" w:rsidR="007206E6" w:rsidRPr="008E25DA" w:rsidRDefault="007206E6" w:rsidP="002724A1">
            <w:pPr>
              <w:tabs>
                <w:tab w:val="left" w:pos="9435"/>
              </w:tabs>
              <w:rPr>
                <w:rFonts w:ascii="Times New Roman" w:hAnsi="Times New Roman" w:cs="Times New Roman"/>
                <w:b/>
                <w:lang w:val="en-US"/>
              </w:rPr>
            </w:pPr>
            <w:proofErr w:type="spellStart"/>
            <w:r w:rsidRPr="008E25DA">
              <w:rPr>
                <w:rFonts w:ascii="Times New Roman" w:hAnsi="Times New Roman" w:cs="Times New Roman"/>
                <w:b/>
                <w:lang w:val="en-US"/>
              </w:rPr>
              <w:t>SEm</w:t>
            </w:r>
            <w:proofErr w:type="spellEnd"/>
            <w:r w:rsidRPr="008E25DA">
              <w:rPr>
                <w:rFonts w:ascii="Times New Roman" w:hAnsi="Times New Roman" w:cs="Times New Roman"/>
                <w:b/>
                <w:lang w:val="en-US"/>
              </w:rPr>
              <w:t>±</w:t>
            </w:r>
          </w:p>
        </w:tc>
        <w:tc>
          <w:tcPr>
            <w:tcW w:w="579" w:type="pct"/>
          </w:tcPr>
          <w:p w14:paraId="2B5A4EFF"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0.012</w:t>
            </w:r>
          </w:p>
        </w:tc>
        <w:tc>
          <w:tcPr>
            <w:tcW w:w="689" w:type="pct"/>
          </w:tcPr>
          <w:p w14:paraId="42954BBA"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1.693</w:t>
            </w:r>
          </w:p>
        </w:tc>
        <w:tc>
          <w:tcPr>
            <w:tcW w:w="600" w:type="pct"/>
          </w:tcPr>
          <w:p w14:paraId="7486F629"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0.005</w:t>
            </w:r>
          </w:p>
        </w:tc>
        <w:tc>
          <w:tcPr>
            <w:tcW w:w="564" w:type="pct"/>
          </w:tcPr>
          <w:p w14:paraId="789E69B1"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0.678</w:t>
            </w:r>
          </w:p>
        </w:tc>
        <w:tc>
          <w:tcPr>
            <w:tcW w:w="389" w:type="pct"/>
          </w:tcPr>
          <w:p w14:paraId="7049B398"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0.052</w:t>
            </w:r>
          </w:p>
        </w:tc>
        <w:tc>
          <w:tcPr>
            <w:tcW w:w="555" w:type="pct"/>
          </w:tcPr>
          <w:p w14:paraId="567BB7A4"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9.701</w:t>
            </w:r>
          </w:p>
        </w:tc>
      </w:tr>
      <w:tr w:rsidR="007206E6" w:rsidRPr="008E25DA" w14:paraId="2A2054B0" w14:textId="77777777" w:rsidTr="002724A1">
        <w:trPr>
          <w:trHeight w:val="423"/>
        </w:trPr>
        <w:tc>
          <w:tcPr>
            <w:tcW w:w="1624" w:type="pct"/>
          </w:tcPr>
          <w:p w14:paraId="4F687CC7" w14:textId="77777777" w:rsidR="007206E6" w:rsidRPr="008E25DA" w:rsidRDefault="007206E6" w:rsidP="002724A1">
            <w:pPr>
              <w:tabs>
                <w:tab w:val="left" w:pos="9435"/>
              </w:tabs>
              <w:rPr>
                <w:rFonts w:ascii="Times New Roman" w:hAnsi="Times New Roman" w:cs="Times New Roman"/>
                <w:b/>
                <w:lang w:val="en-US"/>
              </w:rPr>
            </w:pPr>
            <w:r w:rsidRPr="008E25DA">
              <w:rPr>
                <w:rFonts w:ascii="Times New Roman" w:hAnsi="Times New Roman" w:cs="Times New Roman"/>
                <w:b/>
                <w:lang w:val="en-US"/>
              </w:rPr>
              <w:t>CD (P = 0.05)</w:t>
            </w:r>
          </w:p>
        </w:tc>
        <w:tc>
          <w:tcPr>
            <w:tcW w:w="579" w:type="pct"/>
          </w:tcPr>
          <w:p w14:paraId="7687CFF5"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0.037</w:t>
            </w:r>
          </w:p>
        </w:tc>
        <w:tc>
          <w:tcPr>
            <w:tcW w:w="689" w:type="pct"/>
          </w:tcPr>
          <w:p w14:paraId="5341D8E6"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5.185</w:t>
            </w:r>
          </w:p>
        </w:tc>
        <w:tc>
          <w:tcPr>
            <w:tcW w:w="600" w:type="pct"/>
          </w:tcPr>
          <w:p w14:paraId="202AC2CD"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0.015</w:t>
            </w:r>
          </w:p>
        </w:tc>
        <w:tc>
          <w:tcPr>
            <w:tcW w:w="564" w:type="pct"/>
          </w:tcPr>
          <w:p w14:paraId="238004BF"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2.077</w:t>
            </w:r>
          </w:p>
        </w:tc>
        <w:tc>
          <w:tcPr>
            <w:tcW w:w="389" w:type="pct"/>
          </w:tcPr>
          <w:p w14:paraId="0142D7CD"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0.158</w:t>
            </w:r>
          </w:p>
        </w:tc>
        <w:tc>
          <w:tcPr>
            <w:tcW w:w="555" w:type="pct"/>
          </w:tcPr>
          <w:p w14:paraId="7C5D80BA" w14:textId="77777777" w:rsidR="007206E6" w:rsidRPr="008E25DA" w:rsidRDefault="007206E6" w:rsidP="002724A1">
            <w:pPr>
              <w:tabs>
                <w:tab w:val="left" w:pos="9435"/>
              </w:tabs>
              <w:jc w:val="center"/>
              <w:rPr>
                <w:rFonts w:ascii="Times New Roman" w:hAnsi="Times New Roman" w:cs="Times New Roman"/>
                <w:b/>
                <w:lang w:val="en-US"/>
              </w:rPr>
            </w:pPr>
            <w:r w:rsidRPr="008E25DA">
              <w:rPr>
                <w:rFonts w:ascii="Times New Roman" w:hAnsi="Times New Roman" w:cs="Times New Roman"/>
                <w:b/>
                <w:lang w:val="en-US"/>
              </w:rPr>
              <w:t>29.712</w:t>
            </w:r>
          </w:p>
        </w:tc>
      </w:tr>
    </w:tbl>
    <w:p w14:paraId="66711791" w14:textId="77777777" w:rsidR="008B04B9" w:rsidRDefault="008B04B9" w:rsidP="0089321A">
      <w:pPr>
        <w:rPr>
          <w:rFonts w:ascii="Times New Roman" w:hAnsi="Times New Roman" w:cs="Times New Roman"/>
          <w:b/>
          <w:bCs/>
        </w:rPr>
      </w:pPr>
    </w:p>
    <w:p w14:paraId="6D496061" w14:textId="3A1583E1" w:rsidR="007206E6" w:rsidRPr="005E7BFC" w:rsidRDefault="005E7BFC" w:rsidP="0089321A">
      <w:pPr>
        <w:rPr>
          <w:rFonts w:ascii="Times New Roman" w:hAnsi="Times New Roman" w:cs="Times New Roman"/>
          <w:b/>
          <w:bCs/>
        </w:rPr>
      </w:pPr>
      <w:r w:rsidRPr="005E7BFC">
        <w:rPr>
          <w:rFonts w:ascii="Times New Roman" w:hAnsi="Times New Roman" w:cs="Times New Roman"/>
          <w:b/>
          <w:bCs/>
        </w:rPr>
        <w:t>Conclusion</w:t>
      </w:r>
    </w:p>
    <w:p w14:paraId="4DFD15B8" w14:textId="1F4E5D85" w:rsidR="00185D18" w:rsidRDefault="00295682" w:rsidP="006B18AB">
      <w:pPr>
        <w:jc w:val="both"/>
        <w:rPr>
          <w:rFonts w:ascii="Times New Roman" w:hAnsi="Times New Roman" w:cs="Times New Roman"/>
        </w:rPr>
      </w:pPr>
      <w:r>
        <w:rPr>
          <w:rFonts w:ascii="Times New Roman" w:hAnsi="Times New Roman" w:cs="Times New Roman"/>
        </w:rPr>
        <w:t>N</w:t>
      </w:r>
      <w:r w:rsidR="006B18AB" w:rsidRPr="006B18AB">
        <w:rPr>
          <w:rFonts w:ascii="Times New Roman" w:hAnsi="Times New Roman" w:cs="Times New Roman"/>
        </w:rPr>
        <w:t>itrogen and potassium fertilization significantly influenced the grain quality attributes and nutrient uptake in pearl millet under semi-arid conditions. Among the treatments, the application of 100 kg N ha⁻¹ + 30 kg P₂O₅ ha⁻¹ + 40 kg K₂O ha⁻¹ proved most effective, resulting in maximum total protein, amino acid, and carbohydrate content, as well as highest uptake of nitrogen, phosphorus, and potassium at harvest. The enhanced grain quality under this treatment may be attributed to the synergistic effect of nitrogen and potassium in promoting protein synthesis, nutrient assimilation, and photosynthetic efficiency. Furthermore, the soil test-based nutrient management approach also yielded appreciable biochemical quality, highlighting the potential for input optimization without compromising output. Thus, balanced and site-specific fertilization strategies should be promoted to improve both productivity and nutritional quality of pearl millet in dryland agro-ecosystems.</w:t>
      </w:r>
    </w:p>
    <w:p w14:paraId="22EC5AEB" w14:textId="77777777" w:rsidR="00251310" w:rsidRPr="00380A98" w:rsidRDefault="00251310" w:rsidP="00380A98">
      <w:pPr>
        <w:jc w:val="both"/>
      </w:pPr>
      <w:r w:rsidRPr="00380A98">
        <w:t>Disclaimer (Artificial intelligence)</w:t>
      </w:r>
    </w:p>
    <w:p w14:paraId="754EF447" w14:textId="77777777" w:rsidR="00251310" w:rsidRPr="00380A98" w:rsidRDefault="00251310" w:rsidP="00380A98">
      <w:pPr>
        <w:jc w:val="both"/>
      </w:pPr>
      <w:r w:rsidRPr="00380A98">
        <w:t xml:space="preserve">Author(s) hereby </w:t>
      </w:r>
      <w:proofErr w:type="gramStart"/>
      <w:r w:rsidRPr="00380A98">
        <w:t>declare</w:t>
      </w:r>
      <w:proofErr w:type="gramEnd"/>
      <w:r w:rsidRPr="00380A98">
        <w:t xml:space="preserve"> that NO generative AI technologies such as Large Language Models (ChatGPT, COPILOT, etc.) and text-to-image generators have been used during the writing or editing of this manuscript. </w:t>
      </w:r>
    </w:p>
    <w:p w14:paraId="1F4086CE" w14:textId="712EF4A8" w:rsidR="00185D18" w:rsidRPr="00185D18" w:rsidRDefault="00185D18" w:rsidP="0089321A">
      <w:pPr>
        <w:rPr>
          <w:rFonts w:ascii="Times New Roman" w:hAnsi="Times New Roman" w:cs="Times New Roman"/>
          <w:b/>
          <w:bCs/>
        </w:rPr>
      </w:pPr>
      <w:r w:rsidRPr="00185D18">
        <w:rPr>
          <w:rFonts w:ascii="Times New Roman" w:hAnsi="Times New Roman" w:cs="Times New Roman"/>
          <w:b/>
          <w:bCs/>
        </w:rPr>
        <w:t xml:space="preserve">References </w:t>
      </w:r>
    </w:p>
    <w:p w14:paraId="227F6F90" w14:textId="77777777" w:rsidR="00185D18" w:rsidRPr="00185D18" w:rsidRDefault="00185D18" w:rsidP="0033546B">
      <w:pPr>
        <w:jc w:val="both"/>
        <w:rPr>
          <w:rFonts w:ascii="Times New Roman" w:hAnsi="Times New Roman" w:cs="Times New Roman"/>
        </w:rPr>
      </w:pPr>
      <w:r w:rsidRPr="00185D18">
        <w:rPr>
          <w:rFonts w:ascii="Times New Roman" w:hAnsi="Times New Roman" w:cs="Times New Roman"/>
        </w:rPr>
        <w:t xml:space="preserve">Hedge, J.E. and </w:t>
      </w:r>
      <w:proofErr w:type="spellStart"/>
      <w:r w:rsidRPr="00185D18">
        <w:rPr>
          <w:rFonts w:ascii="Times New Roman" w:hAnsi="Times New Roman" w:cs="Times New Roman"/>
        </w:rPr>
        <w:t>Hofreiter</w:t>
      </w:r>
      <w:proofErr w:type="spellEnd"/>
      <w:r w:rsidRPr="00185D18">
        <w:rPr>
          <w:rFonts w:ascii="Times New Roman" w:hAnsi="Times New Roman" w:cs="Times New Roman"/>
        </w:rPr>
        <w:t>, B.T. (1962). Carbohydrate Chemistry. Academic Press, New York, pp. 17–22.</w:t>
      </w:r>
    </w:p>
    <w:p w14:paraId="09216972" w14:textId="77777777" w:rsidR="00185D18" w:rsidRPr="00185D18" w:rsidRDefault="00185D18" w:rsidP="0033546B">
      <w:pPr>
        <w:jc w:val="both"/>
        <w:rPr>
          <w:rFonts w:ascii="Times New Roman" w:hAnsi="Times New Roman" w:cs="Times New Roman"/>
        </w:rPr>
      </w:pPr>
      <w:r w:rsidRPr="00185D18">
        <w:rPr>
          <w:rFonts w:ascii="Times New Roman" w:hAnsi="Times New Roman" w:cs="Times New Roman"/>
        </w:rPr>
        <w:t xml:space="preserve">Jackson, M.L. (1967). Soil Chemical Analysis. Prentice Hall of India </w:t>
      </w:r>
      <w:proofErr w:type="spellStart"/>
      <w:r w:rsidRPr="00185D18">
        <w:rPr>
          <w:rFonts w:ascii="Times New Roman" w:hAnsi="Times New Roman" w:cs="Times New Roman"/>
        </w:rPr>
        <w:t>Pvt.</w:t>
      </w:r>
      <w:proofErr w:type="spellEnd"/>
      <w:r w:rsidRPr="00185D18">
        <w:rPr>
          <w:rFonts w:ascii="Times New Roman" w:hAnsi="Times New Roman" w:cs="Times New Roman"/>
        </w:rPr>
        <w:t xml:space="preserve"> Ltd., New Delhi.</w:t>
      </w:r>
    </w:p>
    <w:p w14:paraId="440E6D81" w14:textId="285C0771" w:rsidR="00185D18" w:rsidRPr="00185D18" w:rsidRDefault="00185D18" w:rsidP="0033546B">
      <w:pPr>
        <w:jc w:val="both"/>
        <w:rPr>
          <w:rFonts w:ascii="Times New Roman" w:hAnsi="Times New Roman" w:cs="Times New Roman"/>
        </w:rPr>
      </w:pPr>
      <w:r w:rsidRPr="00185D18">
        <w:rPr>
          <w:rFonts w:ascii="Times New Roman" w:hAnsi="Times New Roman" w:cs="Times New Roman"/>
        </w:rPr>
        <w:t xml:space="preserve">Jackson, M. L. (1973). Soil chemical analysis, pentice hall of India </w:t>
      </w:r>
      <w:proofErr w:type="spellStart"/>
      <w:r w:rsidRPr="00185D18">
        <w:rPr>
          <w:rFonts w:ascii="Times New Roman" w:hAnsi="Times New Roman" w:cs="Times New Roman"/>
        </w:rPr>
        <w:t>Pvt.</w:t>
      </w:r>
      <w:proofErr w:type="spellEnd"/>
      <w:r w:rsidRPr="00185D18">
        <w:rPr>
          <w:rFonts w:ascii="Times New Roman" w:hAnsi="Times New Roman" w:cs="Times New Roman"/>
        </w:rPr>
        <w:t xml:space="preserve"> Ltd., New Delhi, India, 498, 151-154.  </w:t>
      </w:r>
    </w:p>
    <w:p w14:paraId="788BD14A" w14:textId="447492AC" w:rsidR="00185D18" w:rsidRPr="00185D18" w:rsidRDefault="00185D18" w:rsidP="0033546B">
      <w:pPr>
        <w:jc w:val="both"/>
        <w:rPr>
          <w:rFonts w:ascii="Times New Roman" w:hAnsi="Times New Roman" w:cs="Times New Roman"/>
        </w:rPr>
      </w:pPr>
      <w:r w:rsidRPr="00185D18">
        <w:rPr>
          <w:rFonts w:ascii="Times New Roman" w:hAnsi="Times New Roman" w:cs="Times New Roman"/>
        </w:rPr>
        <w:t>Moore, S. and Stein, W.H. (1948). Photometric ninhydrin method for use in the chromatography of amino acids. J. Biol. Chem., 176, 367–388.</w:t>
      </w:r>
    </w:p>
    <w:p w14:paraId="1072458C" w14:textId="5BDB8EB9" w:rsidR="00AA41A7" w:rsidRDefault="00185D18" w:rsidP="0033546B">
      <w:pPr>
        <w:jc w:val="both"/>
        <w:rPr>
          <w:rFonts w:ascii="Times New Roman" w:hAnsi="Times New Roman" w:cs="Times New Roman"/>
        </w:rPr>
      </w:pPr>
      <w:r w:rsidRPr="00185D18">
        <w:rPr>
          <w:rFonts w:ascii="Times New Roman" w:hAnsi="Times New Roman" w:cs="Times New Roman"/>
        </w:rPr>
        <w:t xml:space="preserve">Panse, V.G. and </w:t>
      </w:r>
      <w:proofErr w:type="spellStart"/>
      <w:r w:rsidRPr="00185D18">
        <w:rPr>
          <w:rFonts w:ascii="Times New Roman" w:hAnsi="Times New Roman" w:cs="Times New Roman"/>
        </w:rPr>
        <w:t>Sukhatme</w:t>
      </w:r>
      <w:proofErr w:type="spellEnd"/>
      <w:r w:rsidRPr="00185D18">
        <w:rPr>
          <w:rFonts w:ascii="Times New Roman" w:hAnsi="Times New Roman" w:cs="Times New Roman"/>
        </w:rPr>
        <w:t>, P.V. (1978). Statistical Methods for Agricultural Workers. ICAR Publication, New Delhi.</w:t>
      </w:r>
    </w:p>
    <w:p w14:paraId="657ABCE3"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lastRenderedPageBreak/>
        <w:t>Parihar, C.M., Rana, K.S and Parihar, M.D. 2009. Crop productivity, quality and nutrient uptake of pearl millet (Pennisetum glaucum) Indian mustard (Brassica juncea) cropping system as influenced by land configuration and direct and residual effect of nutrient management. Indian Journal of Agricultural Sciences. 79(1): 927-930.</w:t>
      </w:r>
    </w:p>
    <w:p w14:paraId="037B279E"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 xml:space="preserve">Jadhav, R.P., </w:t>
      </w:r>
      <w:proofErr w:type="spellStart"/>
      <w:r w:rsidRPr="00AA41A7">
        <w:rPr>
          <w:rFonts w:ascii="Times New Roman" w:hAnsi="Times New Roman" w:cs="Times New Roman"/>
        </w:rPr>
        <w:t>Khafi</w:t>
      </w:r>
      <w:proofErr w:type="spellEnd"/>
      <w:r w:rsidRPr="00AA41A7">
        <w:rPr>
          <w:rFonts w:ascii="Times New Roman" w:hAnsi="Times New Roman" w:cs="Times New Roman"/>
        </w:rPr>
        <w:t>, H.R and Raj, A.D. 2011. Effect of nitrogen and vermicompost on protein content and nutrient uptake in pearl millet. Agricultural Science Digest. 31(4): 319-321.</w:t>
      </w:r>
    </w:p>
    <w:p w14:paraId="61E21BB2"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Singh, R.K., Chakraborty, D., Garg, R.N., Sharma, P.K and Sharma, U.C. 2010. Effect of different water regimes and nitrogen application on growth, yield, water use and nitrogen uptake by pearl millet (Pennisetum glaucum). Indian Journal of Agricultural Sciences. 80(3): 213-216.</w:t>
      </w:r>
    </w:p>
    <w:p w14:paraId="487C11FE"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 xml:space="preserve">Yadav, S.S., Abha </w:t>
      </w:r>
      <w:proofErr w:type="spellStart"/>
      <w:r w:rsidRPr="00AA41A7">
        <w:rPr>
          <w:rFonts w:ascii="Times New Roman" w:hAnsi="Times New Roman" w:cs="Times New Roman"/>
        </w:rPr>
        <w:t>Tikkoo</w:t>
      </w:r>
      <w:proofErr w:type="spellEnd"/>
      <w:r w:rsidRPr="00AA41A7">
        <w:rPr>
          <w:rFonts w:ascii="Times New Roman" w:hAnsi="Times New Roman" w:cs="Times New Roman"/>
        </w:rPr>
        <w:t xml:space="preserve">, </w:t>
      </w:r>
      <w:proofErr w:type="spellStart"/>
      <w:r w:rsidRPr="00AA41A7">
        <w:rPr>
          <w:rFonts w:ascii="Times New Roman" w:hAnsi="Times New Roman" w:cs="Times New Roman"/>
        </w:rPr>
        <w:t>Sulthan</w:t>
      </w:r>
      <w:proofErr w:type="spellEnd"/>
      <w:r w:rsidRPr="00AA41A7">
        <w:rPr>
          <w:rFonts w:ascii="Times New Roman" w:hAnsi="Times New Roman" w:cs="Times New Roman"/>
        </w:rPr>
        <w:t xml:space="preserve"> Singh and Bikram Singh 2011. Potassium fertilization in cluster bean-mustard and pearl millet-mustard cropping systems. Journal of the Indian Society of Soil Science. 59(2): 164-168.</w:t>
      </w:r>
    </w:p>
    <w:p w14:paraId="3F396311" w14:textId="77777777" w:rsidR="00AA41A7" w:rsidRPr="00AA41A7" w:rsidRDefault="00AA41A7" w:rsidP="00AA41A7">
      <w:pPr>
        <w:jc w:val="both"/>
        <w:rPr>
          <w:rFonts w:ascii="Times New Roman" w:hAnsi="Times New Roman" w:cs="Times New Roman"/>
        </w:rPr>
      </w:pPr>
      <w:proofErr w:type="spellStart"/>
      <w:r w:rsidRPr="00AA41A7">
        <w:rPr>
          <w:rFonts w:ascii="Times New Roman" w:hAnsi="Times New Roman" w:cs="Times New Roman"/>
        </w:rPr>
        <w:t>Heeta</w:t>
      </w:r>
      <w:proofErr w:type="spellEnd"/>
      <w:r w:rsidRPr="00AA41A7">
        <w:rPr>
          <w:rFonts w:ascii="Times New Roman" w:hAnsi="Times New Roman" w:cs="Times New Roman"/>
        </w:rPr>
        <w:t xml:space="preserve"> Sareen and Sharma, G.L. 2010. Effect of plant densities and fertilizer levels on growth and </w:t>
      </w:r>
      <w:proofErr w:type="spellStart"/>
      <w:r w:rsidRPr="00AA41A7">
        <w:rPr>
          <w:rFonts w:ascii="Times New Roman" w:hAnsi="Times New Roman" w:cs="Times New Roman"/>
        </w:rPr>
        <w:t>NPZn</w:t>
      </w:r>
      <w:proofErr w:type="spellEnd"/>
      <w:r w:rsidRPr="00AA41A7">
        <w:rPr>
          <w:rFonts w:ascii="Times New Roman" w:hAnsi="Times New Roman" w:cs="Times New Roman"/>
        </w:rPr>
        <w:t xml:space="preserve"> uptake by extra early sorghum (Sorghum </w:t>
      </w:r>
      <w:proofErr w:type="spellStart"/>
      <w:r w:rsidRPr="00AA41A7">
        <w:rPr>
          <w:rFonts w:ascii="Times New Roman" w:hAnsi="Times New Roman" w:cs="Times New Roman"/>
        </w:rPr>
        <w:t>bicolor</w:t>
      </w:r>
      <w:proofErr w:type="spellEnd"/>
      <w:r w:rsidRPr="00AA41A7">
        <w:rPr>
          <w:rFonts w:ascii="Times New Roman" w:hAnsi="Times New Roman" w:cs="Times New Roman"/>
        </w:rPr>
        <w:t xml:space="preserve"> L. </w:t>
      </w:r>
      <w:proofErr w:type="spellStart"/>
      <w:r w:rsidRPr="00AA41A7">
        <w:rPr>
          <w:rFonts w:ascii="Times New Roman" w:hAnsi="Times New Roman" w:cs="Times New Roman"/>
        </w:rPr>
        <w:t>Monech</w:t>
      </w:r>
      <w:proofErr w:type="spellEnd"/>
      <w:r w:rsidRPr="00AA41A7">
        <w:rPr>
          <w:rFonts w:ascii="Times New Roman" w:hAnsi="Times New Roman" w:cs="Times New Roman"/>
        </w:rPr>
        <w:t>) genotype. Annals of Agricultural Research. 31(1&amp;2): 32-37.</w:t>
      </w:r>
    </w:p>
    <w:p w14:paraId="766CF1C9" w14:textId="77777777" w:rsidR="00AA41A7" w:rsidRPr="00AA41A7" w:rsidRDefault="00AA41A7" w:rsidP="00AA41A7">
      <w:pPr>
        <w:jc w:val="both"/>
        <w:rPr>
          <w:rFonts w:ascii="Times New Roman" w:hAnsi="Times New Roman" w:cs="Times New Roman"/>
        </w:rPr>
      </w:pPr>
      <w:r w:rsidRPr="00AA41A7">
        <w:rPr>
          <w:rFonts w:ascii="Times New Roman" w:hAnsi="Times New Roman" w:cs="Times New Roman"/>
        </w:rPr>
        <w:t xml:space="preserve">Rana, V.S., Rathore, B.S., </w:t>
      </w:r>
      <w:proofErr w:type="spellStart"/>
      <w:r w:rsidRPr="00AA41A7">
        <w:rPr>
          <w:rFonts w:ascii="Times New Roman" w:hAnsi="Times New Roman" w:cs="Times New Roman"/>
        </w:rPr>
        <w:t>Nanwal</w:t>
      </w:r>
      <w:proofErr w:type="spellEnd"/>
      <w:r w:rsidRPr="00AA41A7">
        <w:rPr>
          <w:rFonts w:ascii="Times New Roman" w:hAnsi="Times New Roman" w:cs="Times New Roman"/>
        </w:rPr>
        <w:t xml:space="preserve">, R.K., Ashwani Kumar and </w:t>
      </w:r>
      <w:proofErr w:type="spellStart"/>
      <w:r w:rsidRPr="00AA41A7">
        <w:rPr>
          <w:rFonts w:ascii="Times New Roman" w:hAnsi="Times New Roman" w:cs="Times New Roman"/>
        </w:rPr>
        <w:t>Vasist</w:t>
      </w:r>
      <w:proofErr w:type="spellEnd"/>
      <w:r w:rsidRPr="00AA41A7">
        <w:rPr>
          <w:rFonts w:ascii="Times New Roman" w:hAnsi="Times New Roman" w:cs="Times New Roman"/>
        </w:rPr>
        <w:t xml:space="preserve">, R. 2009. Effect of hybrids, plant density and fertility levels on nutrient concentration, uptake and productivity of pearl millet in </w:t>
      </w:r>
      <w:proofErr w:type="spellStart"/>
      <w:r w:rsidRPr="00AA41A7">
        <w:rPr>
          <w:rFonts w:ascii="Times New Roman" w:hAnsi="Times New Roman" w:cs="Times New Roman"/>
        </w:rPr>
        <w:t>semi arid</w:t>
      </w:r>
      <w:proofErr w:type="spellEnd"/>
      <w:r w:rsidRPr="00AA41A7">
        <w:rPr>
          <w:rFonts w:ascii="Times New Roman" w:hAnsi="Times New Roman" w:cs="Times New Roman"/>
        </w:rPr>
        <w:t xml:space="preserve"> environment. The South Pacific Journal of Natural Science. 27: 45-48.</w:t>
      </w:r>
    </w:p>
    <w:p w14:paraId="4C84A627" w14:textId="1CBE0F4D" w:rsidR="00AA41A7" w:rsidRPr="00AA41A7" w:rsidRDefault="00CF239B" w:rsidP="00AA41A7">
      <w:pPr>
        <w:jc w:val="both"/>
        <w:rPr>
          <w:rFonts w:ascii="Times New Roman" w:hAnsi="Times New Roman" w:cs="Times New Roman"/>
        </w:rPr>
      </w:pPr>
      <w:r w:rsidRPr="00CF239B">
        <w:rPr>
          <w:rFonts w:ascii="Times New Roman" w:hAnsi="Times New Roman" w:cs="Times New Roman"/>
        </w:rPr>
        <w:t xml:space="preserve">Malik, D. P. (2020). Production, returns and policy initiatives for </w:t>
      </w:r>
      <w:proofErr w:type="spellStart"/>
      <w:r w:rsidRPr="00CF239B">
        <w:rPr>
          <w:rFonts w:ascii="Times New Roman" w:hAnsi="Times New Roman" w:cs="Times New Roman"/>
        </w:rPr>
        <w:t>nutri</w:t>
      </w:r>
      <w:proofErr w:type="spellEnd"/>
      <w:r w:rsidRPr="00CF239B">
        <w:rPr>
          <w:rFonts w:ascii="Times New Roman" w:hAnsi="Times New Roman" w:cs="Times New Roman"/>
        </w:rPr>
        <w:t>-cereals (</w:t>
      </w:r>
      <w:proofErr w:type="spellStart"/>
      <w:r w:rsidRPr="00CF239B">
        <w:rPr>
          <w:rFonts w:ascii="Times New Roman" w:hAnsi="Times New Roman" w:cs="Times New Roman"/>
        </w:rPr>
        <w:t>pearlmillet</w:t>
      </w:r>
      <w:proofErr w:type="spellEnd"/>
      <w:r w:rsidRPr="00CF239B">
        <w:rPr>
          <w:rFonts w:ascii="Times New Roman" w:hAnsi="Times New Roman" w:cs="Times New Roman"/>
        </w:rPr>
        <w:t>) in India. African-Asian Rural Development Organization, New Delhi, 43.</w:t>
      </w:r>
    </w:p>
    <w:p w14:paraId="5A504011" w14:textId="77777777" w:rsidR="00CF239B" w:rsidRPr="00CF239B" w:rsidRDefault="00CF239B" w:rsidP="00CF239B">
      <w:pPr>
        <w:jc w:val="both"/>
        <w:rPr>
          <w:rFonts w:ascii="Times New Roman" w:hAnsi="Times New Roman" w:cs="Times New Roman"/>
        </w:rPr>
      </w:pPr>
      <w:proofErr w:type="spellStart"/>
      <w:r w:rsidRPr="008219F1">
        <w:rPr>
          <w:rFonts w:ascii="Times New Roman" w:hAnsi="Times New Roman" w:cs="Times New Roman"/>
        </w:rPr>
        <w:t>Jukanti</w:t>
      </w:r>
      <w:proofErr w:type="spellEnd"/>
      <w:r w:rsidRPr="008219F1">
        <w:rPr>
          <w:rFonts w:ascii="Times New Roman" w:hAnsi="Times New Roman" w:cs="Times New Roman"/>
        </w:rPr>
        <w:t xml:space="preserve">, A. K., Gowda, C. L., Rai, K. N., Manga, V. K., &amp; Bhatt, R. K. (2016). </w:t>
      </w:r>
      <w:r w:rsidRPr="00CF239B">
        <w:rPr>
          <w:rFonts w:ascii="Times New Roman" w:hAnsi="Times New Roman" w:cs="Times New Roman"/>
        </w:rPr>
        <w:t>Crops that feed the world 11. Pearl Millet (Pennisetum glaucum L.): an important source of food security, nutrition and health in the arid and semi-arid tropics. Food Security, 8, 307-329.</w:t>
      </w:r>
    </w:p>
    <w:p w14:paraId="37128094" w14:textId="206500A1" w:rsidR="00AA41A7" w:rsidRDefault="00CF239B" w:rsidP="00CF239B">
      <w:pPr>
        <w:jc w:val="both"/>
        <w:rPr>
          <w:rFonts w:ascii="Times New Roman" w:hAnsi="Times New Roman" w:cs="Times New Roman"/>
        </w:rPr>
      </w:pPr>
      <w:r w:rsidRPr="00CF239B">
        <w:rPr>
          <w:rFonts w:ascii="Times New Roman" w:hAnsi="Times New Roman" w:cs="Times New Roman"/>
        </w:rPr>
        <w:t xml:space="preserve">Jiaying, M. A., Tingting, C., Jie, L., </w:t>
      </w:r>
      <w:proofErr w:type="spellStart"/>
      <w:r w:rsidRPr="00CF239B">
        <w:rPr>
          <w:rFonts w:ascii="Times New Roman" w:hAnsi="Times New Roman" w:cs="Times New Roman"/>
        </w:rPr>
        <w:t>Weimeng</w:t>
      </w:r>
      <w:proofErr w:type="spellEnd"/>
      <w:r w:rsidRPr="00CF239B">
        <w:rPr>
          <w:rFonts w:ascii="Times New Roman" w:hAnsi="Times New Roman" w:cs="Times New Roman"/>
        </w:rPr>
        <w:t xml:space="preserve">, F. U., </w:t>
      </w:r>
      <w:proofErr w:type="spellStart"/>
      <w:r w:rsidRPr="00CF239B">
        <w:rPr>
          <w:rFonts w:ascii="Times New Roman" w:hAnsi="Times New Roman" w:cs="Times New Roman"/>
        </w:rPr>
        <w:t>Baohua</w:t>
      </w:r>
      <w:proofErr w:type="spellEnd"/>
      <w:r w:rsidRPr="00CF239B">
        <w:rPr>
          <w:rFonts w:ascii="Times New Roman" w:hAnsi="Times New Roman" w:cs="Times New Roman"/>
        </w:rPr>
        <w:t xml:space="preserve">, F., </w:t>
      </w:r>
      <w:proofErr w:type="spellStart"/>
      <w:r w:rsidRPr="00CF239B">
        <w:rPr>
          <w:rFonts w:ascii="Times New Roman" w:hAnsi="Times New Roman" w:cs="Times New Roman"/>
        </w:rPr>
        <w:t>Guangyan</w:t>
      </w:r>
      <w:proofErr w:type="spellEnd"/>
      <w:r w:rsidRPr="00CF239B">
        <w:rPr>
          <w:rFonts w:ascii="Times New Roman" w:hAnsi="Times New Roman" w:cs="Times New Roman"/>
        </w:rPr>
        <w:t xml:space="preserve">, L., ... &amp; </w:t>
      </w:r>
      <w:proofErr w:type="spellStart"/>
      <w:r w:rsidRPr="00CF239B">
        <w:rPr>
          <w:rFonts w:ascii="Times New Roman" w:hAnsi="Times New Roman" w:cs="Times New Roman"/>
        </w:rPr>
        <w:t>Guanfu</w:t>
      </w:r>
      <w:proofErr w:type="spellEnd"/>
      <w:r w:rsidRPr="00CF239B">
        <w:rPr>
          <w:rFonts w:ascii="Times New Roman" w:hAnsi="Times New Roman" w:cs="Times New Roman"/>
        </w:rPr>
        <w:t>, F. (2022). Functions of nitrogen, phosphorus and potassium in energy status and their influences on rice growth and development. Rice Science, 29(2), 166.</w:t>
      </w:r>
    </w:p>
    <w:p w14:paraId="12567707" w14:textId="77777777" w:rsidR="007C0C09" w:rsidRPr="007C0C09" w:rsidRDefault="007C0C09" w:rsidP="007C0C09">
      <w:pPr>
        <w:jc w:val="both"/>
        <w:rPr>
          <w:rFonts w:ascii="Times New Roman" w:hAnsi="Times New Roman" w:cs="Times New Roman"/>
        </w:rPr>
      </w:pPr>
      <w:r w:rsidRPr="003D7143">
        <w:rPr>
          <w:rFonts w:ascii="Times New Roman" w:hAnsi="Times New Roman" w:cs="Times New Roman"/>
        </w:rPr>
        <w:t xml:space="preserve">Yin, M., Li, Y., Hu, Q., Yu, X., Huang, M., Zhao, J., ... </w:t>
      </w:r>
      <w:r w:rsidRPr="007C0C09">
        <w:rPr>
          <w:rFonts w:ascii="Times New Roman" w:hAnsi="Times New Roman" w:cs="Times New Roman"/>
        </w:rPr>
        <w:t>&amp; Wen, Y. (2023). Potassium increases nitrogen and potassium utilization efficiency and yield in foxtail millet. </w:t>
      </w:r>
      <w:r w:rsidRPr="007C0C09">
        <w:rPr>
          <w:rFonts w:ascii="Times New Roman" w:hAnsi="Times New Roman" w:cs="Times New Roman"/>
          <w:i/>
          <w:iCs/>
        </w:rPr>
        <w:t>Agronomy</w:t>
      </w:r>
      <w:r w:rsidRPr="007C0C09">
        <w:rPr>
          <w:rFonts w:ascii="Times New Roman" w:hAnsi="Times New Roman" w:cs="Times New Roman"/>
        </w:rPr>
        <w:t>, </w:t>
      </w:r>
      <w:r w:rsidRPr="007C0C09">
        <w:rPr>
          <w:rFonts w:ascii="Times New Roman" w:hAnsi="Times New Roman" w:cs="Times New Roman"/>
          <w:i/>
          <w:iCs/>
        </w:rPr>
        <w:t>13</w:t>
      </w:r>
      <w:r w:rsidRPr="007C0C09">
        <w:rPr>
          <w:rFonts w:ascii="Times New Roman" w:hAnsi="Times New Roman" w:cs="Times New Roman"/>
        </w:rPr>
        <w:t>(9), 2200.</w:t>
      </w:r>
    </w:p>
    <w:p w14:paraId="01727C27" w14:textId="77777777" w:rsidR="007C0C09" w:rsidRPr="007C0C09" w:rsidRDefault="007C0C09" w:rsidP="007C0C09">
      <w:pPr>
        <w:jc w:val="both"/>
        <w:rPr>
          <w:rFonts w:ascii="Times New Roman" w:hAnsi="Times New Roman" w:cs="Times New Roman"/>
        </w:rPr>
      </w:pPr>
      <w:proofErr w:type="spellStart"/>
      <w:r w:rsidRPr="003D7143">
        <w:rPr>
          <w:rFonts w:ascii="Times New Roman" w:hAnsi="Times New Roman" w:cs="Times New Roman"/>
        </w:rPr>
        <w:t>Jukanti</w:t>
      </w:r>
      <w:proofErr w:type="spellEnd"/>
      <w:r w:rsidRPr="003D7143">
        <w:rPr>
          <w:rFonts w:ascii="Times New Roman" w:hAnsi="Times New Roman" w:cs="Times New Roman"/>
        </w:rPr>
        <w:t xml:space="preserve">, A. K., Gowda, C. L., Rai, K. N., Manga, V. K., &amp; Bhatt, R. K. (2016). </w:t>
      </w:r>
      <w:r w:rsidRPr="007C0C09">
        <w:rPr>
          <w:rFonts w:ascii="Times New Roman" w:hAnsi="Times New Roman" w:cs="Times New Roman"/>
        </w:rPr>
        <w:t>Crops that feed the world 11. Pearl Millet (Pennisetum glaucum L.): an important source of food security, nutrition and health in the arid and semi-arid tropics. </w:t>
      </w:r>
      <w:r w:rsidRPr="007C0C09">
        <w:rPr>
          <w:rFonts w:ascii="Times New Roman" w:hAnsi="Times New Roman" w:cs="Times New Roman"/>
          <w:i/>
          <w:iCs/>
        </w:rPr>
        <w:t>Food Security</w:t>
      </w:r>
      <w:r w:rsidRPr="007C0C09">
        <w:rPr>
          <w:rFonts w:ascii="Times New Roman" w:hAnsi="Times New Roman" w:cs="Times New Roman"/>
        </w:rPr>
        <w:t>, </w:t>
      </w:r>
      <w:r w:rsidRPr="007C0C09">
        <w:rPr>
          <w:rFonts w:ascii="Times New Roman" w:hAnsi="Times New Roman" w:cs="Times New Roman"/>
          <w:i/>
          <w:iCs/>
        </w:rPr>
        <w:t>8</w:t>
      </w:r>
      <w:r w:rsidRPr="007C0C09">
        <w:rPr>
          <w:rFonts w:ascii="Times New Roman" w:hAnsi="Times New Roman" w:cs="Times New Roman"/>
        </w:rPr>
        <w:t>, 307-329.</w:t>
      </w:r>
    </w:p>
    <w:p w14:paraId="5CD113AD" w14:textId="77777777" w:rsidR="007C0C09" w:rsidRPr="007C0C09" w:rsidRDefault="007C0C09" w:rsidP="007C0C09">
      <w:pPr>
        <w:jc w:val="both"/>
        <w:rPr>
          <w:rFonts w:ascii="Times New Roman" w:hAnsi="Times New Roman" w:cs="Times New Roman"/>
        </w:rPr>
      </w:pPr>
      <w:r w:rsidRPr="007C0C09">
        <w:rPr>
          <w:rFonts w:ascii="Times New Roman" w:hAnsi="Times New Roman" w:cs="Times New Roman"/>
        </w:rPr>
        <w:t xml:space="preserve">Satyavathi, C. T., </w:t>
      </w:r>
      <w:proofErr w:type="spellStart"/>
      <w:r w:rsidRPr="007C0C09">
        <w:rPr>
          <w:rFonts w:ascii="Times New Roman" w:hAnsi="Times New Roman" w:cs="Times New Roman"/>
        </w:rPr>
        <w:t>Ambawat</w:t>
      </w:r>
      <w:proofErr w:type="spellEnd"/>
      <w:r w:rsidRPr="007C0C09">
        <w:rPr>
          <w:rFonts w:ascii="Times New Roman" w:hAnsi="Times New Roman" w:cs="Times New Roman"/>
        </w:rPr>
        <w:t xml:space="preserve">, S., Khandelwal, V., &amp; Srivastava, R. K. (2021). Pearl millet: a climate-resilient </w:t>
      </w:r>
      <w:proofErr w:type="spellStart"/>
      <w:r w:rsidRPr="007C0C09">
        <w:rPr>
          <w:rFonts w:ascii="Times New Roman" w:hAnsi="Times New Roman" w:cs="Times New Roman"/>
        </w:rPr>
        <w:t>nutricereal</w:t>
      </w:r>
      <w:proofErr w:type="spellEnd"/>
      <w:r w:rsidRPr="007C0C09">
        <w:rPr>
          <w:rFonts w:ascii="Times New Roman" w:hAnsi="Times New Roman" w:cs="Times New Roman"/>
        </w:rPr>
        <w:t xml:space="preserve"> for mitigating hidden hunger and provide nutritional security. </w:t>
      </w:r>
      <w:r w:rsidRPr="007C0C09">
        <w:rPr>
          <w:rFonts w:ascii="Times New Roman" w:hAnsi="Times New Roman" w:cs="Times New Roman"/>
          <w:i/>
          <w:iCs/>
        </w:rPr>
        <w:t>Frontiers in Plant Science</w:t>
      </w:r>
      <w:r w:rsidRPr="007C0C09">
        <w:rPr>
          <w:rFonts w:ascii="Times New Roman" w:hAnsi="Times New Roman" w:cs="Times New Roman"/>
        </w:rPr>
        <w:t>, </w:t>
      </w:r>
      <w:r w:rsidRPr="007C0C09">
        <w:rPr>
          <w:rFonts w:ascii="Times New Roman" w:hAnsi="Times New Roman" w:cs="Times New Roman"/>
          <w:i/>
          <w:iCs/>
        </w:rPr>
        <w:t>12</w:t>
      </w:r>
      <w:r w:rsidRPr="007C0C09">
        <w:rPr>
          <w:rFonts w:ascii="Times New Roman" w:hAnsi="Times New Roman" w:cs="Times New Roman"/>
        </w:rPr>
        <w:t>, 659938.</w:t>
      </w:r>
    </w:p>
    <w:p w14:paraId="2B590D0D" w14:textId="77777777" w:rsidR="007C0C09" w:rsidRDefault="007C0C09" w:rsidP="00CF239B">
      <w:pPr>
        <w:jc w:val="both"/>
        <w:rPr>
          <w:rFonts w:ascii="Times New Roman" w:hAnsi="Times New Roman" w:cs="Times New Roman"/>
        </w:rPr>
      </w:pPr>
    </w:p>
    <w:p w14:paraId="27DEAE5A" w14:textId="77777777" w:rsidR="00185D18" w:rsidRDefault="00185D18" w:rsidP="0089321A">
      <w:pPr>
        <w:rPr>
          <w:rFonts w:ascii="Times New Roman" w:hAnsi="Times New Roman" w:cs="Times New Roman"/>
        </w:rPr>
      </w:pPr>
    </w:p>
    <w:p w14:paraId="6116E8B6" w14:textId="77777777" w:rsidR="00185D18" w:rsidRDefault="00185D18" w:rsidP="0089321A">
      <w:pPr>
        <w:rPr>
          <w:rFonts w:ascii="Times New Roman" w:hAnsi="Times New Roman" w:cs="Times New Roman"/>
        </w:rPr>
      </w:pPr>
    </w:p>
    <w:p w14:paraId="299A5411" w14:textId="77777777" w:rsidR="00185D18" w:rsidRPr="008E25DA" w:rsidRDefault="00185D18" w:rsidP="0089321A">
      <w:pPr>
        <w:rPr>
          <w:rFonts w:ascii="Times New Roman" w:hAnsi="Times New Roman" w:cs="Times New Roman"/>
        </w:rPr>
      </w:pPr>
    </w:p>
    <w:sectPr w:rsidR="00185D18" w:rsidRPr="008E25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00ED" w14:textId="77777777" w:rsidR="006076BB" w:rsidRDefault="006076BB" w:rsidP="00CA52D0">
      <w:pPr>
        <w:spacing w:after="0" w:line="240" w:lineRule="auto"/>
      </w:pPr>
      <w:r>
        <w:separator/>
      </w:r>
    </w:p>
  </w:endnote>
  <w:endnote w:type="continuationSeparator" w:id="0">
    <w:p w14:paraId="5E381FD3" w14:textId="77777777" w:rsidR="006076BB" w:rsidRDefault="006076BB" w:rsidP="00CA5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EE57" w14:textId="77777777" w:rsidR="00CA52D0" w:rsidRDefault="00CA5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F267" w14:textId="77777777" w:rsidR="00CA52D0" w:rsidRDefault="00CA5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16FC" w14:textId="77777777" w:rsidR="00CA52D0" w:rsidRDefault="00CA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737E" w14:textId="77777777" w:rsidR="006076BB" w:rsidRDefault="006076BB" w:rsidP="00CA52D0">
      <w:pPr>
        <w:spacing w:after="0" w:line="240" w:lineRule="auto"/>
      </w:pPr>
      <w:r>
        <w:separator/>
      </w:r>
    </w:p>
  </w:footnote>
  <w:footnote w:type="continuationSeparator" w:id="0">
    <w:p w14:paraId="38D5B3EE" w14:textId="77777777" w:rsidR="006076BB" w:rsidRDefault="006076BB" w:rsidP="00CA5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DF2A" w14:textId="3029A7C6" w:rsidR="00CA52D0" w:rsidRDefault="00000000">
    <w:pPr>
      <w:pStyle w:val="Header"/>
    </w:pPr>
    <w:r>
      <w:rPr>
        <w:noProof/>
      </w:rPr>
      <w:pict w14:anchorId="20D89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26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55DB" w14:textId="3578C7E5" w:rsidR="00CA52D0" w:rsidRDefault="00000000">
    <w:pPr>
      <w:pStyle w:val="Header"/>
    </w:pPr>
    <w:r>
      <w:rPr>
        <w:noProof/>
      </w:rPr>
      <w:pict w14:anchorId="6E14F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26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3568" w14:textId="4667BFE2" w:rsidR="00CA52D0" w:rsidRDefault="00000000">
    <w:pPr>
      <w:pStyle w:val="Header"/>
    </w:pPr>
    <w:r>
      <w:rPr>
        <w:noProof/>
      </w:rPr>
      <w:pict w14:anchorId="09F63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026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145"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6"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16cid:durableId="1973973189">
    <w:abstractNumId w:val="6"/>
  </w:num>
  <w:num w:numId="2" w16cid:durableId="1607614566">
    <w:abstractNumId w:val="0"/>
  </w:num>
  <w:num w:numId="3" w16cid:durableId="1835753866">
    <w:abstractNumId w:val="4"/>
  </w:num>
  <w:num w:numId="4" w16cid:durableId="1546259396">
    <w:abstractNumId w:val="5"/>
  </w:num>
  <w:num w:numId="5" w16cid:durableId="46417091">
    <w:abstractNumId w:val="7"/>
  </w:num>
  <w:num w:numId="6" w16cid:durableId="640038569">
    <w:abstractNumId w:val="2"/>
  </w:num>
  <w:num w:numId="7" w16cid:durableId="870849370">
    <w:abstractNumId w:val="1"/>
  </w:num>
  <w:num w:numId="8" w16cid:durableId="1351561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4B7"/>
    <w:rsid w:val="000219EC"/>
    <w:rsid w:val="00024B30"/>
    <w:rsid w:val="00036EF1"/>
    <w:rsid w:val="000647C3"/>
    <w:rsid w:val="000B61E5"/>
    <w:rsid w:val="00122EAF"/>
    <w:rsid w:val="001276B5"/>
    <w:rsid w:val="0016713B"/>
    <w:rsid w:val="0016724D"/>
    <w:rsid w:val="001757BB"/>
    <w:rsid w:val="001854B7"/>
    <w:rsid w:val="00185D18"/>
    <w:rsid w:val="00197915"/>
    <w:rsid w:val="001D7683"/>
    <w:rsid w:val="0020226D"/>
    <w:rsid w:val="00251310"/>
    <w:rsid w:val="0027145A"/>
    <w:rsid w:val="00295682"/>
    <w:rsid w:val="002F2E99"/>
    <w:rsid w:val="003132E3"/>
    <w:rsid w:val="0033546B"/>
    <w:rsid w:val="00360A79"/>
    <w:rsid w:val="00380A98"/>
    <w:rsid w:val="00387398"/>
    <w:rsid w:val="00391916"/>
    <w:rsid w:val="00392254"/>
    <w:rsid w:val="003D7143"/>
    <w:rsid w:val="00422A81"/>
    <w:rsid w:val="0042775C"/>
    <w:rsid w:val="00433AC2"/>
    <w:rsid w:val="00437172"/>
    <w:rsid w:val="004A66A1"/>
    <w:rsid w:val="004B5E20"/>
    <w:rsid w:val="004D250D"/>
    <w:rsid w:val="004E1C8A"/>
    <w:rsid w:val="005300AF"/>
    <w:rsid w:val="005763B9"/>
    <w:rsid w:val="00592F63"/>
    <w:rsid w:val="005B39B4"/>
    <w:rsid w:val="005E2E6B"/>
    <w:rsid w:val="005E7BFC"/>
    <w:rsid w:val="006076BB"/>
    <w:rsid w:val="00630C77"/>
    <w:rsid w:val="0063116A"/>
    <w:rsid w:val="0067734E"/>
    <w:rsid w:val="006B18AB"/>
    <w:rsid w:val="006C1020"/>
    <w:rsid w:val="006C63B8"/>
    <w:rsid w:val="007019B4"/>
    <w:rsid w:val="007206E6"/>
    <w:rsid w:val="00762D36"/>
    <w:rsid w:val="00784F06"/>
    <w:rsid w:val="00790C47"/>
    <w:rsid w:val="007C0C09"/>
    <w:rsid w:val="008219F1"/>
    <w:rsid w:val="00826FD7"/>
    <w:rsid w:val="00840558"/>
    <w:rsid w:val="0089321A"/>
    <w:rsid w:val="008B04B9"/>
    <w:rsid w:val="008D2F96"/>
    <w:rsid w:val="008D35BC"/>
    <w:rsid w:val="008E25DA"/>
    <w:rsid w:val="0091607D"/>
    <w:rsid w:val="009277B2"/>
    <w:rsid w:val="0095228F"/>
    <w:rsid w:val="00972220"/>
    <w:rsid w:val="009A52B0"/>
    <w:rsid w:val="009B6C1D"/>
    <w:rsid w:val="00A27310"/>
    <w:rsid w:val="00A57580"/>
    <w:rsid w:val="00A83CB0"/>
    <w:rsid w:val="00A94F58"/>
    <w:rsid w:val="00AA41A7"/>
    <w:rsid w:val="00AF12CC"/>
    <w:rsid w:val="00B110A5"/>
    <w:rsid w:val="00B51DB6"/>
    <w:rsid w:val="00B5414B"/>
    <w:rsid w:val="00B86CE5"/>
    <w:rsid w:val="00BF73E4"/>
    <w:rsid w:val="00C12BBF"/>
    <w:rsid w:val="00C923B9"/>
    <w:rsid w:val="00CA52D0"/>
    <w:rsid w:val="00CF239B"/>
    <w:rsid w:val="00D254DF"/>
    <w:rsid w:val="00D36E22"/>
    <w:rsid w:val="00DB2EA8"/>
    <w:rsid w:val="00E17BD5"/>
    <w:rsid w:val="00E207C4"/>
    <w:rsid w:val="00E2614D"/>
    <w:rsid w:val="00E308D6"/>
    <w:rsid w:val="00E7419A"/>
    <w:rsid w:val="00F11C7C"/>
    <w:rsid w:val="00F82D2C"/>
    <w:rsid w:val="00FA297D"/>
    <w:rsid w:val="00FB6E31"/>
    <w:rsid w:val="00FC26D5"/>
    <w:rsid w:val="00FD52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08169"/>
  <w15:chartTrackingRefBased/>
  <w15:docId w15:val="{F1F2EBB5-B45E-4823-AF9A-7EAAC04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854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854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854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1854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4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4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4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4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4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4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4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4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4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4B7"/>
    <w:rPr>
      <w:rFonts w:eastAsiaTheme="majorEastAsia" w:cstheme="majorBidi"/>
      <w:color w:val="272727" w:themeColor="text1" w:themeTint="D8"/>
    </w:rPr>
  </w:style>
  <w:style w:type="paragraph" w:styleId="Title">
    <w:name w:val="Title"/>
    <w:basedOn w:val="Normal"/>
    <w:next w:val="Normal"/>
    <w:link w:val="TitleChar"/>
    <w:uiPriority w:val="1"/>
    <w:qFormat/>
    <w:rsid w:val="00185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85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4B7"/>
    <w:pPr>
      <w:spacing w:before="160"/>
      <w:jc w:val="center"/>
    </w:pPr>
    <w:rPr>
      <w:i/>
      <w:iCs/>
      <w:color w:val="404040" w:themeColor="text1" w:themeTint="BF"/>
    </w:rPr>
  </w:style>
  <w:style w:type="character" w:customStyle="1" w:styleId="QuoteChar">
    <w:name w:val="Quote Char"/>
    <w:basedOn w:val="DefaultParagraphFont"/>
    <w:link w:val="Quote"/>
    <w:uiPriority w:val="29"/>
    <w:rsid w:val="001854B7"/>
    <w:rPr>
      <w:i/>
      <w:iCs/>
      <w:color w:val="404040" w:themeColor="text1" w:themeTint="BF"/>
    </w:rPr>
  </w:style>
  <w:style w:type="paragraph" w:styleId="ListParagraph">
    <w:name w:val="List Paragraph"/>
    <w:basedOn w:val="Normal"/>
    <w:uiPriority w:val="1"/>
    <w:qFormat/>
    <w:rsid w:val="001854B7"/>
    <w:pPr>
      <w:ind w:left="720"/>
      <w:contextualSpacing/>
    </w:pPr>
  </w:style>
  <w:style w:type="character" w:styleId="IntenseEmphasis">
    <w:name w:val="Intense Emphasis"/>
    <w:basedOn w:val="DefaultParagraphFont"/>
    <w:uiPriority w:val="21"/>
    <w:qFormat/>
    <w:rsid w:val="001854B7"/>
    <w:rPr>
      <w:i/>
      <w:iCs/>
      <w:color w:val="2F5496" w:themeColor="accent1" w:themeShade="BF"/>
    </w:rPr>
  </w:style>
  <w:style w:type="paragraph" w:styleId="IntenseQuote">
    <w:name w:val="Intense Quote"/>
    <w:basedOn w:val="Normal"/>
    <w:next w:val="Normal"/>
    <w:link w:val="IntenseQuoteChar"/>
    <w:uiPriority w:val="30"/>
    <w:qFormat/>
    <w:rsid w:val="00185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4B7"/>
    <w:rPr>
      <w:i/>
      <w:iCs/>
      <w:color w:val="2F5496" w:themeColor="accent1" w:themeShade="BF"/>
    </w:rPr>
  </w:style>
  <w:style w:type="character" w:styleId="IntenseReference">
    <w:name w:val="Intense Reference"/>
    <w:basedOn w:val="DefaultParagraphFont"/>
    <w:uiPriority w:val="32"/>
    <w:qFormat/>
    <w:rsid w:val="001854B7"/>
    <w:rPr>
      <w:b/>
      <w:bCs/>
      <w:smallCaps/>
      <w:color w:val="2F5496" w:themeColor="accent1" w:themeShade="BF"/>
      <w:spacing w:val="5"/>
    </w:rPr>
  </w:style>
  <w:style w:type="numbering" w:customStyle="1" w:styleId="NoList1">
    <w:name w:val="No List1"/>
    <w:next w:val="NoList"/>
    <w:uiPriority w:val="99"/>
    <w:semiHidden/>
    <w:unhideWhenUsed/>
    <w:rsid w:val="00122EAF"/>
  </w:style>
  <w:style w:type="paragraph" w:styleId="BodyText">
    <w:name w:val="Body Text"/>
    <w:basedOn w:val="Normal"/>
    <w:link w:val="BodyTextChar"/>
    <w:uiPriority w:val="1"/>
    <w:qFormat/>
    <w:rsid w:val="00122EAF"/>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122EAF"/>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122EAF"/>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22EA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122EA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22EA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122EAF"/>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22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122EAF"/>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122EAF"/>
  </w:style>
  <w:style w:type="numbering" w:customStyle="1" w:styleId="NoList2">
    <w:name w:val="No List2"/>
    <w:next w:val="NoList"/>
    <w:uiPriority w:val="99"/>
    <w:semiHidden/>
    <w:unhideWhenUsed/>
    <w:rsid w:val="00122EAF"/>
  </w:style>
  <w:style w:type="character" w:styleId="Hyperlink">
    <w:name w:val="Hyperlink"/>
    <w:basedOn w:val="DefaultParagraphFont"/>
    <w:uiPriority w:val="99"/>
    <w:unhideWhenUsed/>
    <w:rsid w:val="008D2F96"/>
    <w:rPr>
      <w:color w:val="0563C1" w:themeColor="hyperlink"/>
      <w:u w:val="single"/>
    </w:rPr>
  </w:style>
  <w:style w:type="character" w:customStyle="1" w:styleId="UnresolvedMention1">
    <w:name w:val="Unresolved Mention1"/>
    <w:basedOn w:val="DefaultParagraphFont"/>
    <w:uiPriority w:val="99"/>
    <w:semiHidden/>
    <w:unhideWhenUsed/>
    <w:rsid w:val="008D2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0446">
      <w:bodyDiv w:val="1"/>
      <w:marLeft w:val="0"/>
      <w:marRight w:val="0"/>
      <w:marTop w:val="0"/>
      <w:marBottom w:val="0"/>
      <w:divBdr>
        <w:top w:val="none" w:sz="0" w:space="0" w:color="auto"/>
        <w:left w:val="none" w:sz="0" w:space="0" w:color="auto"/>
        <w:bottom w:val="none" w:sz="0" w:space="0" w:color="auto"/>
        <w:right w:val="none" w:sz="0" w:space="0" w:color="auto"/>
      </w:divBdr>
    </w:div>
    <w:div w:id="659844419">
      <w:bodyDiv w:val="1"/>
      <w:marLeft w:val="0"/>
      <w:marRight w:val="0"/>
      <w:marTop w:val="0"/>
      <w:marBottom w:val="0"/>
      <w:divBdr>
        <w:top w:val="none" w:sz="0" w:space="0" w:color="auto"/>
        <w:left w:val="none" w:sz="0" w:space="0" w:color="auto"/>
        <w:bottom w:val="none" w:sz="0" w:space="0" w:color="auto"/>
        <w:right w:val="none" w:sz="0" w:space="0" w:color="auto"/>
      </w:divBdr>
    </w:div>
    <w:div w:id="737627227">
      <w:bodyDiv w:val="1"/>
      <w:marLeft w:val="0"/>
      <w:marRight w:val="0"/>
      <w:marTop w:val="0"/>
      <w:marBottom w:val="0"/>
      <w:divBdr>
        <w:top w:val="none" w:sz="0" w:space="0" w:color="auto"/>
        <w:left w:val="none" w:sz="0" w:space="0" w:color="auto"/>
        <w:bottom w:val="none" w:sz="0" w:space="0" w:color="auto"/>
        <w:right w:val="none" w:sz="0" w:space="0" w:color="auto"/>
      </w:divBdr>
    </w:div>
    <w:div w:id="990330747">
      <w:bodyDiv w:val="1"/>
      <w:marLeft w:val="0"/>
      <w:marRight w:val="0"/>
      <w:marTop w:val="0"/>
      <w:marBottom w:val="0"/>
      <w:divBdr>
        <w:top w:val="none" w:sz="0" w:space="0" w:color="auto"/>
        <w:left w:val="none" w:sz="0" w:space="0" w:color="auto"/>
        <w:bottom w:val="none" w:sz="0" w:space="0" w:color="auto"/>
        <w:right w:val="none" w:sz="0" w:space="0" w:color="auto"/>
      </w:divBdr>
      <w:divsChild>
        <w:div w:id="1554151218">
          <w:marLeft w:val="0"/>
          <w:marRight w:val="0"/>
          <w:marTop w:val="0"/>
          <w:marBottom w:val="0"/>
          <w:divBdr>
            <w:top w:val="none" w:sz="0" w:space="0" w:color="auto"/>
            <w:left w:val="none" w:sz="0" w:space="0" w:color="auto"/>
            <w:bottom w:val="none" w:sz="0" w:space="0" w:color="auto"/>
            <w:right w:val="none" w:sz="0" w:space="0" w:color="auto"/>
          </w:divBdr>
          <w:divsChild>
            <w:div w:id="1603144363">
              <w:marLeft w:val="0"/>
              <w:marRight w:val="0"/>
              <w:marTop w:val="0"/>
              <w:marBottom w:val="0"/>
              <w:divBdr>
                <w:top w:val="none" w:sz="0" w:space="0" w:color="auto"/>
                <w:left w:val="none" w:sz="0" w:space="0" w:color="auto"/>
                <w:bottom w:val="none" w:sz="0" w:space="0" w:color="auto"/>
                <w:right w:val="none" w:sz="0" w:space="0" w:color="auto"/>
              </w:divBdr>
              <w:divsChild>
                <w:div w:id="313484571">
                  <w:marLeft w:val="0"/>
                  <w:marRight w:val="0"/>
                  <w:marTop w:val="0"/>
                  <w:marBottom w:val="0"/>
                  <w:divBdr>
                    <w:top w:val="none" w:sz="0" w:space="0" w:color="auto"/>
                    <w:left w:val="none" w:sz="0" w:space="0" w:color="auto"/>
                    <w:bottom w:val="none" w:sz="0" w:space="0" w:color="auto"/>
                    <w:right w:val="none" w:sz="0" w:space="0" w:color="auto"/>
                  </w:divBdr>
                  <w:divsChild>
                    <w:div w:id="646210030">
                      <w:marLeft w:val="0"/>
                      <w:marRight w:val="0"/>
                      <w:marTop w:val="0"/>
                      <w:marBottom w:val="0"/>
                      <w:divBdr>
                        <w:top w:val="none" w:sz="0" w:space="0" w:color="auto"/>
                        <w:left w:val="none" w:sz="0" w:space="0" w:color="auto"/>
                        <w:bottom w:val="none" w:sz="0" w:space="0" w:color="auto"/>
                        <w:right w:val="none" w:sz="0" w:space="0" w:color="auto"/>
                      </w:divBdr>
                      <w:divsChild>
                        <w:div w:id="1327439021">
                          <w:marLeft w:val="0"/>
                          <w:marRight w:val="0"/>
                          <w:marTop w:val="0"/>
                          <w:marBottom w:val="0"/>
                          <w:divBdr>
                            <w:top w:val="none" w:sz="0" w:space="0" w:color="auto"/>
                            <w:left w:val="none" w:sz="0" w:space="0" w:color="auto"/>
                            <w:bottom w:val="none" w:sz="0" w:space="0" w:color="auto"/>
                            <w:right w:val="none" w:sz="0" w:space="0" w:color="auto"/>
                          </w:divBdr>
                          <w:divsChild>
                            <w:div w:id="1631864275">
                              <w:marLeft w:val="0"/>
                              <w:marRight w:val="0"/>
                              <w:marTop w:val="0"/>
                              <w:marBottom w:val="0"/>
                              <w:divBdr>
                                <w:top w:val="none" w:sz="0" w:space="0" w:color="auto"/>
                                <w:left w:val="none" w:sz="0" w:space="0" w:color="auto"/>
                                <w:bottom w:val="none" w:sz="0" w:space="0" w:color="auto"/>
                                <w:right w:val="none" w:sz="0" w:space="0" w:color="auto"/>
                              </w:divBdr>
                              <w:divsChild>
                                <w:div w:id="1297028961">
                                  <w:marLeft w:val="0"/>
                                  <w:marRight w:val="0"/>
                                  <w:marTop w:val="0"/>
                                  <w:marBottom w:val="0"/>
                                  <w:divBdr>
                                    <w:top w:val="none" w:sz="0" w:space="0" w:color="auto"/>
                                    <w:left w:val="none" w:sz="0" w:space="0" w:color="auto"/>
                                    <w:bottom w:val="none" w:sz="0" w:space="0" w:color="auto"/>
                                    <w:right w:val="none" w:sz="0" w:space="0" w:color="auto"/>
                                  </w:divBdr>
                                  <w:divsChild>
                                    <w:div w:id="2068257389">
                                      <w:marLeft w:val="0"/>
                                      <w:marRight w:val="0"/>
                                      <w:marTop w:val="0"/>
                                      <w:marBottom w:val="0"/>
                                      <w:divBdr>
                                        <w:top w:val="none" w:sz="0" w:space="0" w:color="auto"/>
                                        <w:left w:val="none" w:sz="0" w:space="0" w:color="auto"/>
                                        <w:bottom w:val="none" w:sz="0" w:space="0" w:color="auto"/>
                                        <w:right w:val="none" w:sz="0" w:space="0" w:color="auto"/>
                                      </w:divBdr>
                                      <w:divsChild>
                                        <w:div w:id="575091220">
                                          <w:marLeft w:val="0"/>
                                          <w:marRight w:val="0"/>
                                          <w:marTop w:val="0"/>
                                          <w:marBottom w:val="0"/>
                                          <w:divBdr>
                                            <w:top w:val="none" w:sz="0" w:space="0" w:color="auto"/>
                                            <w:left w:val="none" w:sz="0" w:space="0" w:color="auto"/>
                                            <w:bottom w:val="none" w:sz="0" w:space="0" w:color="auto"/>
                                            <w:right w:val="none" w:sz="0" w:space="0" w:color="auto"/>
                                          </w:divBdr>
                                          <w:divsChild>
                                            <w:div w:id="1146779424">
                                              <w:marLeft w:val="0"/>
                                              <w:marRight w:val="0"/>
                                              <w:marTop w:val="0"/>
                                              <w:marBottom w:val="0"/>
                                              <w:divBdr>
                                                <w:top w:val="none" w:sz="0" w:space="0" w:color="auto"/>
                                                <w:left w:val="none" w:sz="0" w:space="0" w:color="auto"/>
                                                <w:bottom w:val="none" w:sz="0" w:space="0" w:color="auto"/>
                                                <w:right w:val="none" w:sz="0" w:space="0" w:color="auto"/>
                                              </w:divBdr>
                                              <w:divsChild>
                                                <w:div w:id="1673407122">
                                                  <w:marLeft w:val="0"/>
                                                  <w:marRight w:val="0"/>
                                                  <w:marTop w:val="0"/>
                                                  <w:marBottom w:val="0"/>
                                                  <w:divBdr>
                                                    <w:top w:val="none" w:sz="0" w:space="0" w:color="auto"/>
                                                    <w:left w:val="none" w:sz="0" w:space="0" w:color="auto"/>
                                                    <w:bottom w:val="none" w:sz="0" w:space="0" w:color="auto"/>
                                                    <w:right w:val="none" w:sz="0" w:space="0" w:color="auto"/>
                                                  </w:divBdr>
                                                  <w:divsChild>
                                                    <w:div w:id="12159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8016">
                                          <w:marLeft w:val="0"/>
                                          <w:marRight w:val="0"/>
                                          <w:marTop w:val="0"/>
                                          <w:marBottom w:val="0"/>
                                          <w:divBdr>
                                            <w:top w:val="none" w:sz="0" w:space="0" w:color="auto"/>
                                            <w:left w:val="none" w:sz="0" w:space="0" w:color="auto"/>
                                            <w:bottom w:val="none" w:sz="0" w:space="0" w:color="auto"/>
                                            <w:right w:val="none" w:sz="0" w:space="0" w:color="auto"/>
                                          </w:divBdr>
                                          <w:divsChild>
                                            <w:div w:id="1933391933">
                                              <w:marLeft w:val="0"/>
                                              <w:marRight w:val="0"/>
                                              <w:marTop w:val="0"/>
                                              <w:marBottom w:val="0"/>
                                              <w:divBdr>
                                                <w:top w:val="none" w:sz="0" w:space="0" w:color="auto"/>
                                                <w:left w:val="none" w:sz="0" w:space="0" w:color="auto"/>
                                                <w:bottom w:val="none" w:sz="0" w:space="0" w:color="auto"/>
                                                <w:right w:val="none" w:sz="0" w:space="0" w:color="auto"/>
                                              </w:divBdr>
                                              <w:divsChild>
                                                <w:div w:id="8561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968148">
          <w:marLeft w:val="0"/>
          <w:marRight w:val="0"/>
          <w:marTop w:val="0"/>
          <w:marBottom w:val="0"/>
          <w:divBdr>
            <w:top w:val="none" w:sz="0" w:space="0" w:color="auto"/>
            <w:left w:val="none" w:sz="0" w:space="0" w:color="auto"/>
            <w:bottom w:val="none" w:sz="0" w:space="0" w:color="auto"/>
            <w:right w:val="none" w:sz="0" w:space="0" w:color="auto"/>
          </w:divBdr>
          <w:divsChild>
            <w:div w:id="1588416599">
              <w:marLeft w:val="0"/>
              <w:marRight w:val="0"/>
              <w:marTop w:val="0"/>
              <w:marBottom w:val="0"/>
              <w:divBdr>
                <w:top w:val="none" w:sz="0" w:space="0" w:color="auto"/>
                <w:left w:val="none" w:sz="0" w:space="0" w:color="auto"/>
                <w:bottom w:val="none" w:sz="0" w:space="0" w:color="auto"/>
                <w:right w:val="none" w:sz="0" w:space="0" w:color="auto"/>
              </w:divBdr>
              <w:divsChild>
                <w:div w:id="237401475">
                  <w:marLeft w:val="0"/>
                  <w:marRight w:val="0"/>
                  <w:marTop w:val="0"/>
                  <w:marBottom w:val="0"/>
                  <w:divBdr>
                    <w:top w:val="none" w:sz="0" w:space="0" w:color="auto"/>
                    <w:left w:val="none" w:sz="0" w:space="0" w:color="auto"/>
                    <w:bottom w:val="none" w:sz="0" w:space="0" w:color="auto"/>
                    <w:right w:val="none" w:sz="0" w:space="0" w:color="auto"/>
                  </w:divBdr>
                  <w:divsChild>
                    <w:div w:id="1906140658">
                      <w:marLeft w:val="0"/>
                      <w:marRight w:val="0"/>
                      <w:marTop w:val="0"/>
                      <w:marBottom w:val="0"/>
                      <w:divBdr>
                        <w:top w:val="none" w:sz="0" w:space="0" w:color="auto"/>
                        <w:left w:val="none" w:sz="0" w:space="0" w:color="auto"/>
                        <w:bottom w:val="none" w:sz="0" w:space="0" w:color="auto"/>
                        <w:right w:val="none" w:sz="0" w:space="0" w:color="auto"/>
                      </w:divBdr>
                      <w:divsChild>
                        <w:div w:id="1901789494">
                          <w:marLeft w:val="0"/>
                          <w:marRight w:val="0"/>
                          <w:marTop w:val="0"/>
                          <w:marBottom w:val="0"/>
                          <w:divBdr>
                            <w:top w:val="none" w:sz="0" w:space="0" w:color="auto"/>
                            <w:left w:val="none" w:sz="0" w:space="0" w:color="auto"/>
                            <w:bottom w:val="none" w:sz="0" w:space="0" w:color="auto"/>
                            <w:right w:val="none" w:sz="0" w:space="0" w:color="auto"/>
                          </w:divBdr>
                          <w:divsChild>
                            <w:div w:id="383873318">
                              <w:marLeft w:val="0"/>
                              <w:marRight w:val="0"/>
                              <w:marTop w:val="0"/>
                              <w:marBottom w:val="0"/>
                              <w:divBdr>
                                <w:top w:val="none" w:sz="0" w:space="0" w:color="auto"/>
                                <w:left w:val="none" w:sz="0" w:space="0" w:color="auto"/>
                                <w:bottom w:val="none" w:sz="0" w:space="0" w:color="auto"/>
                                <w:right w:val="none" w:sz="0" w:space="0" w:color="auto"/>
                              </w:divBdr>
                              <w:divsChild>
                                <w:div w:id="706835628">
                                  <w:marLeft w:val="0"/>
                                  <w:marRight w:val="0"/>
                                  <w:marTop w:val="0"/>
                                  <w:marBottom w:val="0"/>
                                  <w:divBdr>
                                    <w:top w:val="none" w:sz="0" w:space="0" w:color="auto"/>
                                    <w:left w:val="none" w:sz="0" w:space="0" w:color="auto"/>
                                    <w:bottom w:val="none" w:sz="0" w:space="0" w:color="auto"/>
                                    <w:right w:val="none" w:sz="0" w:space="0" w:color="auto"/>
                                  </w:divBdr>
                                  <w:divsChild>
                                    <w:div w:id="1667200286">
                                      <w:marLeft w:val="0"/>
                                      <w:marRight w:val="0"/>
                                      <w:marTop w:val="0"/>
                                      <w:marBottom w:val="0"/>
                                      <w:divBdr>
                                        <w:top w:val="none" w:sz="0" w:space="0" w:color="auto"/>
                                        <w:left w:val="none" w:sz="0" w:space="0" w:color="auto"/>
                                        <w:bottom w:val="none" w:sz="0" w:space="0" w:color="auto"/>
                                        <w:right w:val="none" w:sz="0" w:space="0" w:color="auto"/>
                                      </w:divBdr>
                                      <w:divsChild>
                                        <w:div w:id="1975792429">
                                          <w:marLeft w:val="0"/>
                                          <w:marRight w:val="0"/>
                                          <w:marTop w:val="0"/>
                                          <w:marBottom w:val="0"/>
                                          <w:divBdr>
                                            <w:top w:val="none" w:sz="0" w:space="0" w:color="auto"/>
                                            <w:left w:val="none" w:sz="0" w:space="0" w:color="auto"/>
                                            <w:bottom w:val="none" w:sz="0" w:space="0" w:color="auto"/>
                                            <w:right w:val="none" w:sz="0" w:space="0" w:color="auto"/>
                                          </w:divBdr>
                                          <w:divsChild>
                                            <w:div w:id="436101930">
                                              <w:marLeft w:val="0"/>
                                              <w:marRight w:val="0"/>
                                              <w:marTop w:val="0"/>
                                              <w:marBottom w:val="0"/>
                                              <w:divBdr>
                                                <w:top w:val="none" w:sz="0" w:space="0" w:color="auto"/>
                                                <w:left w:val="none" w:sz="0" w:space="0" w:color="auto"/>
                                                <w:bottom w:val="none" w:sz="0" w:space="0" w:color="auto"/>
                                                <w:right w:val="none" w:sz="0" w:space="0" w:color="auto"/>
                                              </w:divBdr>
                                              <w:divsChild>
                                                <w:div w:id="27066839">
                                                  <w:marLeft w:val="0"/>
                                                  <w:marRight w:val="0"/>
                                                  <w:marTop w:val="0"/>
                                                  <w:marBottom w:val="0"/>
                                                  <w:divBdr>
                                                    <w:top w:val="none" w:sz="0" w:space="0" w:color="auto"/>
                                                    <w:left w:val="none" w:sz="0" w:space="0" w:color="auto"/>
                                                    <w:bottom w:val="none" w:sz="0" w:space="0" w:color="auto"/>
                                                    <w:right w:val="none" w:sz="0" w:space="0" w:color="auto"/>
                                                  </w:divBdr>
                                                  <w:divsChild>
                                                    <w:div w:id="1805855750">
                                                      <w:marLeft w:val="0"/>
                                                      <w:marRight w:val="0"/>
                                                      <w:marTop w:val="0"/>
                                                      <w:marBottom w:val="0"/>
                                                      <w:divBdr>
                                                        <w:top w:val="none" w:sz="0" w:space="0" w:color="auto"/>
                                                        <w:left w:val="none" w:sz="0" w:space="0" w:color="auto"/>
                                                        <w:bottom w:val="none" w:sz="0" w:space="0" w:color="auto"/>
                                                        <w:right w:val="none" w:sz="0" w:space="0" w:color="auto"/>
                                                      </w:divBdr>
                                                      <w:divsChild>
                                                        <w:div w:id="2077239748">
                                                          <w:marLeft w:val="0"/>
                                                          <w:marRight w:val="0"/>
                                                          <w:marTop w:val="0"/>
                                                          <w:marBottom w:val="0"/>
                                                          <w:divBdr>
                                                            <w:top w:val="none" w:sz="0" w:space="0" w:color="auto"/>
                                                            <w:left w:val="none" w:sz="0" w:space="0" w:color="auto"/>
                                                            <w:bottom w:val="none" w:sz="0" w:space="0" w:color="auto"/>
                                                            <w:right w:val="none" w:sz="0" w:space="0" w:color="auto"/>
                                                          </w:divBdr>
                                                          <w:divsChild>
                                                            <w:div w:id="1400404947">
                                                              <w:marLeft w:val="0"/>
                                                              <w:marRight w:val="0"/>
                                                              <w:marTop w:val="0"/>
                                                              <w:marBottom w:val="0"/>
                                                              <w:divBdr>
                                                                <w:top w:val="none" w:sz="0" w:space="0" w:color="auto"/>
                                                                <w:left w:val="none" w:sz="0" w:space="0" w:color="auto"/>
                                                                <w:bottom w:val="none" w:sz="0" w:space="0" w:color="auto"/>
                                                                <w:right w:val="none" w:sz="0" w:space="0" w:color="auto"/>
                                                              </w:divBdr>
                                                              <w:divsChild>
                                                                <w:div w:id="13758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9334018">
      <w:bodyDiv w:val="1"/>
      <w:marLeft w:val="0"/>
      <w:marRight w:val="0"/>
      <w:marTop w:val="0"/>
      <w:marBottom w:val="0"/>
      <w:divBdr>
        <w:top w:val="none" w:sz="0" w:space="0" w:color="auto"/>
        <w:left w:val="none" w:sz="0" w:space="0" w:color="auto"/>
        <w:bottom w:val="none" w:sz="0" w:space="0" w:color="auto"/>
        <w:right w:val="none" w:sz="0" w:space="0" w:color="auto"/>
      </w:divBdr>
    </w:div>
    <w:div w:id="1707486847">
      <w:bodyDiv w:val="1"/>
      <w:marLeft w:val="0"/>
      <w:marRight w:val="0"/>
      <w:marTop w:val="0"/>
      <w:marBottom w:val="0"/>
      <w:divBdr>
        <w:top w:val="none" w:sz="0" w:space="0" w:color="auto"/>
        <w:left w:val="none" w:sz="0" w:space="0" w:color="auto"/>
        <w:bottom w:val="none" w:sz="0" w:space="0" w:color="auto"/>
        <w:right w:val="none" w:sz="0" w:space="0" w:color="auto"/>
      </w:divBdr>
    </w:div>
    <w:div w:id="1739551905">
      <w:bodyDiv w:val="1"/>
      <w:marLeft w:val="0"/>
      <w:marRight w:val="0"/>
      <w:marTop w:val="0"/>
      <w:marBottom w:val="0"/>
      <w:divBdr>
        <w:top w:val="none" w:sz="0" w:space="0" w:color="auto"/>
        <w:left w:val="none" w:sz="0" w:space="0" w:color="auto"/>
        <w:bottom w:val="none" w:sz="0" w:space="0" w:color="auto"/>
        <w:right w:val="none" w:sz="0" w:space="0" w:color="auto"/>
      </w:divBdr>
    </w:div>
    <w:div w:id="1764565951">
      <w:bodyDiv w:val="1"/>
      <w:marLeft w:val="0"/>
      <w:marRight w:val="0"/>
      <w:marTop w:val="0"/>
      <w:marBottom w:val="0"/>
      <w:divBdr>
        <w:top w:val="none" w:sz="0" w:space="0" w:color="auto"/>
        <w:left w:val="none" w:sz="0" w:space="0" w:color="auto"/>
        <w:bottom w:val="none" w:sz="0" w:space="0" w:color="auto"/>
        <w:right w:val="none" w:sz="0" w:space="0" w:color="auto"/>
      </w:divBdr>
    </w:div>
    <w:div w:id="193528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7</Pages>
  <Words>3660</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Editor-90</cp:lastModifiedBy>
  <cp:revision>73</cp:revision>
  <dcterms:created xsi:type="dcterms:W3CDTF">2025-05-08T11:19:00Z</dcterms:created>
  <dcterms:modified xsi:type="dcterms:W3CDTF">2025-05-15T08:12:00Z</dcterms:modified>
</cp:coreProperties>
</file>