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8A458" w14:textId="7D8B92AA" w:rsidR="001A5F6B" w:rsidRDefault="001A5F6B" w:rsidP="00F87018">
      <w:pPr>
        <w:spacing w:line="360" w:lineRule="auto"/>
        <w:rPr>
          <w:rFonts w:ascii="Arial" w:hAnsi="Arial" w:cs="Arial"/>
        </w:rPr>
      </w:pPr>
      <w:r w:rsidRPr="00334A80">
        <w:rPr>
          <w:rFonts w:ascii="Arial" w:hAnsi="Arial" w:cs="Arial"/>
        </w:rPr>
        <w:t>Probabilistic Rainfall Assessment and Climate-Resilient Crop Strategies for North Bihar's Zone II Wetlands</w:t>
      </w:r>
    </w:p>
    <w:p w14:paraId="5635995A" w14:textId="77777777" w:rsidR="00597C4A" w:rsidRDefault="00597C4A" w:rsidP="00F87018">
      <w:pPr>
        <w:spacing w:line="360" w:lineRule="auto"/>
        <w:rPr>
          <w:rFonts w:ascii="Arial" w:hAnsi="Arial" w:cs="Arial"/>
        </w:rPr>
      </w:pPr>
    </w:p>
    <w:p w14:paraId="4DC8560B" w14:textId="77777777" w:rsidR="00597C4A" w:rsidRPr="00334A80" w:rsidRDefault="00597C4A" w:rsidP="00F87018">
      <w:pPr>
        <w:spacing w:line="360" w:lineRule="auto"/>
        <w:rPr>
          <w:rFonts w:ascii="Arial" w:hAnsi="Arial" w:cs="Arial"/>
          <w:sz w:val="20"/>
          <w:szCs w:val="20"/>
        </w:rPr>
      </w:pPr>
    </w:p>
    <w:p w14:paraId="580A4DD4" w14:textId="57162797" w:rsidR="00440F26" w:rsidRPr="00334A80" w:rsidRDefault="001A5F6B" w:rsidP="00F87018">
      <w:pPr>
        <w:spacing w:line="360" w:lineRule="auto"/>
        <w:jc w:val="both"/>
        <w:rPr>
          <w:rFonts w:ascii="Arial" w:hAnsi="Arial" w:cs="Arial"/>
          <w:sz w:val="20"/>
          <w:szCs w:val="20"/>
        </w:rPr>
      </w:pPr>
      <w:r w:rsidRPr="00334A80">
        <w:rPr>
          <w:rFonts w:ascii="Arial" w:hAnsi="Arial" w:cs="Arial"/>
          <w:b/>
          <w:bCs/>
        </w:rPr>
        <w:t>Abstract:</w:t>
      </w:r>
      <w:r w:rsidRPr="00334A80">
        <w:rPr>
          <w:rFonts w:ascii="Arial" w:hAnsi="Arial" w:cs="Arial"/>
        </w:rPr>
        <w:t xml:space="preserve"> </w:t>
      </w:r>
      <w:r w:rsidR="00440F26" w:rsidRPr="00334A80">
        <w:rPr>
          <w:rFonts w:ascii="Arial" w:hAnsi="Arial" w:cs="Arial"/>
          <w:sz w:val="20"/>
          <w:szCs w:val="20"/>
        </w:rPr>
        <w:t xml:space="preserve">This research investigates the long-term rainfall </w:t>
      </w:r>
      <w:r w:rsidR="006F4AAF" w:rsidRPr="00334A80">
        <w:rPr>
          <w:rFonts w:ascii="Arial" w:hAnsi="Arial" w:cs="Arial"/>
          <w:sz w:val="20"/>
          <w:szCs w:val="20"/>
        </w:rPr>
        <w:t>behaviour</w:t>
      </w:r>
      <w:r w:rsidR="00440F26" w:rsidRPr="00334A80">
        <w:rPr>
          <w:rFonts w:ascii="Arial" w:hAnsi="Arial" w:cs="Arial"/>
          <w:sz w:val="20"/>
          <w:szCs w:val="20"/>
        </w:rPr>
        <w:t xml:space="preserve"> across Zone II of North Bihar by </w:t>
      </w:r>
      <w:r w:rsidR="006F4AAF" w:rsidRPr="00334A80">
        <w:rPr>
          <w:rFonts w:ascii="Arial" w:hAnsi="Arial" w:cs="Arial"/>
          <w:sz w:val="20"/>
          <w:szCs w:val="20"/>
        </w:rPr>
        <w:t>analysing</w:t>
      </w:r>
      <w:r w:rsidR="00440F26" w:rsidRPr="00334A80">
        <w:rPr>
          <w:rFonts w:ascii="Arial" w:hAnsi="Arial" w:cs="Arial"/>
          <w:sz w:val="20"/>
          <w:szCs w:val="20"/>
        </w:rPr>
        <w:t xml:space="preserve"> historical data spanning a century. Employing probability distribution methods and regression </w:t>
      </w:r>
      <w:r w:rsidR="006F4AAF" w:rsidRPr="00334A80">
        <w:rPr>
          <w:rFonts w:ascii="Arial" w:hAnsi="Arial" w:cs="Arial"/>
          <w:sz w:val="20"/>
          <w:szCs w:val="20"/>
        </w:rPr>
        <w:t>modelling</w:t>
      </w:r>
      <w:r w:rsidR="00440F26" w:rsidRPr="00334A80">
        <w:rPr>
          <w:rFonts w:ascii="Arial" w:hAnsi="Arial" w:cs="Arial"/>
          <w:sz w:val="20"/>
          <w:szCs w:val="20"/>
        </w:rPr>
        <w:t>, the study explores the variability of rainfall across seasonal intervals</w:t>
      </w:r>
      <w:r w:rsidR="0015300D" w:rsidRPr="00334A80">
        <w:rPr>
          <w:rFonts w:ascii="Arial" w:hAnsi="Arial" w:cs="Arial"/>
          <w:sz w:val="20"/>
          <w:szCs w:val="20"/>
        </w:rPr>
        <w:t xml:space="preserve"> </w:t>
      </w:r>
      <w:r w:rsidR="00440F26" w:rsidRPr="00334A80">
        <w:rPr>
          <w:rFonts w:ascii="Arial" w:hAnsi="Arial" w:cs="Arial"/>
          <w:sz w:val="20"/>
          <w:szCs w:val="20"/>
        </w:rPr>
        <w:t>winter, pre-monsoon, monsoon, and post-monsoon. The outcomes reveal significant inconsistencies in rainfall patterns, influencing water availability and agricultural planning. Based on these findings, season-specific adaptive cropping strategies are proposed for wetlands that remain non-submerged, aiming to improve agricultural resilience amid climatic uncertainties.</w:t>
      </w:r>
      <w:r w:rsidR="00E6111C" w:rsidRPr="00E6111C">
        <w:t xml:space="preserve"> </w:t>
      </w:r>
      <w:r w:rsidR="00E6111C" w:rsidRPr="00E6111C">
        <w:rPr>
          <w:rFonts w:ascii="Arial" w:hAnsi="Arial" w:cs="Arial"/>
          <w:sz w:val="20"/>
          <w:szCs w:val="20"/>
        </w:rPr>
        <w:t xml:space="preserve">The wetlands of Zone II in North Bihar are facing increasing climatic challenges, especially erratic rainfall patterns, which critically affect agriculture. This study </w:t>
      </w:r>
      <w:proofErr w:type="spellStart"/>
      <w:r w:rsidR="00E6111C" w:rsidRPr="00E6111C">
        <w:rPr>
          <w:rFonts w:ascii="Arial" w:hAnsi="Arial" w:cs="Arial"/>
          <w:sz w:val="20"/>
          <w:szCs w:val="20"/>
        </w:rPr>
        <w:t>analyzes</w:t>
      </w:r>
      <w:proofErr w:type="spellEnd"/>
      <w:r w:rsidR="00E6111C" w:rsidRPr="00E6111C">
        <w:rPr>
          <w:rFonts w:ascii="Arial" w:hAnsi="Arial" w:cs="Arial"/>
          <w:sz w:val="20"/>
          <w:szCs w:val="20"/>
        </w:rPr>
        <w:t xml:space="preserve"> 30 years (1991–2020) of daily rainfall data from Muzaffarpur, </w:t>
      </w:r>
      <w:proofErr w:type="spellStart"/>
      <w:r w:rsidR="00E6111C" w:rsidRPr="00E6111C">
        <w:rPr>
          <w:rFonts w:ascii="Arial" w:hAnsi="Arial" w:cs="Arial"/>
          <w:sz w:val="20"/>
          <w:szCs w:val="20"/>
        </w:rPr>
        <w:t>Samastipur</w:t>
      </w:r>
      <w:proofErr w:type="spellEnd"/>
      <w:r w:rsidR="00E6111C" w:rsidRPr="00E6111C">
        <w:rPr>
          <w:rFonts w:ascii="Arial" w:hAnsi="Arial" w:cs="Arial"/>
          <w:sz w:val="20"/>
          <w:szCs w:val="20"/>
        </w:rPr>
        <w:t>, and Darbhanga to determine monthly and seasonal variability and identify probabilistic rainfall thresholds useful for crop planning. Statistical tools including mean, standard deviation, and coefficient of variation (CV) were used to assess variability. At a 75% probability level, June rainfall was below 90 mm at all locations, suggesting limited reliability for rice sowing. In contrast, July rainfall exceeded 210 mm at a 50% probability level, making it suitable for transplanting rice or introducing medium-duration crops. The rainfall in September dropped below 150 mm at 50% probability, posing risks to rice maturity and harvest. Based on these probabilistic thresholds, crop planning was formulated: short-duration pulses and oilseeds are suggested for early kharif, while flood-tolerant paddy or jute is proposed for mid-season sowing. This approach promotes adaptive crop strategies and supports climate-resilient farming practices in the wetland ecosystems of North Bihar.</w:t>
      </w:r>
    </w:p>
    <w:p w14:paraId="2E338089" w14:textId="6CB562F1" w:rsidR="001A5F6B" w:rsidRDefault="00440F26" w:rsidP="00F87018">
      <w:pPr>
        <w:spacing w:line="360" w:lineRule="auto"/>
        <w:rPr>
          <w:rFonts w:ascii="Arial" w:hAnsi="Arial" w:cs="Arial"/>
          <w:sz w:val="20"/>
          <w:szCs w:val="20"/>
        </w:rPr>
      </w:pPr>
      <w:r w:rsidRPr="00334A80">
        <w:rPr>
          <w:rFonts w:ascii="Arial" w:hAnsi="Arial" w:cs="Arial"/>
          <w:sz w:val="20"/>
          <w:szCs w:val="20"/>
        </w:rPr>
        <w:t>Keywords: Rainfall trends, probability analysis, adaptive cropping, Zone II, wetlands, seasonal rainfall, resilient agriculture.</w:t>
      </w:r>
    </w:p>
    <w:p w14:paraId="5C4A26FD" w14:textId="77777777" w:rsidR="00597C4A" w:rsidRDefault="00597C4A" w:rsidP="00F87018">
      <w:pPr>
        <w:spacing w:line="360" w:lineRule="auto"/>
        <w:rPr>
          <w:rFonts w:ascii="Arial" w:hAnsi="Arial" w:cs="Arial"/>
          <w:sz w:val="20"/>
          <w:szCs w:val="20"/>
        </w:rPr>
      </w:pPr>
    </w:p>
    <w:p w14:paraId="169284BD" w14:textId="77777777" w:rsidR="00597C4A" w:rsidRPr="00334A80" w:rsidRDefault="00597C4A" w:rsidP="00F87018">
      <w:pPr>
        <w:spacing w:line="360" w:lineRule="auto"/>
        <w:rPr>
          <w:rFonts w:ascii="Arial" w:hAnsi="Arial" w:cs="Arial"/>
          <w:sz w:val="20"/>
          <w:szCs w:val="20"/>
        </w:rPr>
      </w:pPr>
    </w:p>
    <w:p w14:paraId="057636A5" w14:textId="231B0F17" w:rsidR="00334A80" w:rsidRPr="00334A80" w:rsidRDefault="001A5F6B" w:rsidP="00F87018">
      <w:pPr>
        <w:pStyle w:val="ListParagraph"/>
        <w:numPr>
          <w:ilvl w:val="0"/>
          <w:numId w:val="16"/>
        </w:numPr>
        <w:spacing w:line="360" w:lineRule="auto"/>
        <w:ind w:left="426"/>
        <w:jc w:val="both"/>
        <w:rPr>
          <w:rFonts w:ascii="Arial" w:hAnsi="Arial" w:cs="Arial"/>
        </w:rPr>
      </w:pPr>
      <w:r w:rsidRPr="00334A80">
        <w:rPr>
          <w:rFonts w:ascii="Arial" w:hAnsi="Arial" w:cs="Arial"/>
          <w:b/>
          <w:bCs/>
        </w:rPr>
        <w:t>Introduction</w:t>
      </w:r>
      <w:r w:rsidRPr="00334A80">
        <w:rPr>
          <w:rFonts w:ascii="Arial" w:hAnsi="Arial" w:cs="Arial"/>
        </w:rPr>
        <w:t xml:space="preserve"> </w:t>
      </w:r>
    </w:p>
    <w:p w14:paraId="0634E052" w14:textId="5EE1100F" w:rsidR="00597C4A" w:rsidRPr="00334A80" w:rsidRDefault="00334A80" w:rsidP="00F87018">
      <w:pPr>
        <w:spacing w:line="360" w:lineRule="auto"/>
        <w:jc w:val="both"/>
        <w:rPr>
          <w:rFonts w:ascii="Arial" w:hAnsi="Arial" w:cs="Arial"/>
          <w:sz w:val="20"/>
          <w:szCs w:val="20"/>
        </w:rPr>
      </w:pPr>
      <w:r w:rsidRPr="00334A80">
        <w:rPr>
          <w:rFonts w:ascii="Arial" w:hAnsi="Arial" w:cs="Arial"/>
          <w:sz w:val="20"/>
          <w:szCs w:val="20"/>
        </w:rPr>
        <w:t xml:space="preserve">The </w:t>
      </w:r>
      <w:r w:rsidR="00440F26" w:rsidRPr="00334A80">
        <w:rPr>
          <w:rFonts w:ascii="Arial" w:hAnsi="Arial" w:cs="Arial"/>
          <w:sz w:val="20"/>
          <w:szCs w:val="20"/>
        </w:rPr>
        <w:t xml:space="preserve">Zone II of North Bihar is characterized by wetlands that are temporarily free from prolonged inundation but remain sensitive to erratic rainfall and climatic stress. The region's agriculture is highly dependent on the monsoon, with frequent challenges from unpredictable weather conditions. Given the susceptibility of these wetlands to both excess rainfall and dry periods, it becomes essential to evaluate historical rainfall data to develop context-specific agricultural responses. This study focuses on understanding temporal rainfall dynamics in Zone II to inform more robust and resilient crop planning strategies tailored to its unique hydrological and </w:t>
      </w:r>
      <w:proofErr w:type="spellStart"/>
      <w:r w:rsidR="00440F26" w:rsidRPr="00334A80">
        <w:rPr>
          <w:rFonts w:ascii="Arial" w:hAnsi="Arial" w:cs="Arial"/>
          <w:sz w:val="20"/>
          <w:szCs w:val="20"/>
        </w:rPr>
        <w:t>agro</w:t>
      </w:r>
      <w:proofErr w:type="spellEnd"/>
      <w:r w:rsidR="00440F26" w:rsidRPr="00334A80">
        <w:rPr>
          <w:rFonts w:ascii="Arial" w:hAnsi="Arial" w:cs="Arial"/>
          <w:sz w:val="20"/>
          <w:szCs w:val="20"/>
        </w:rPr>
        <w:t>-ecological conditions.</w:t>
      </w:r>
      <w:r w:rsidR="00E56EA9" w:rsidRPr="00E56EA9">
        <w:t xml:space="preserve"> </w:t>
      </w:r>
      <w:r w:rsidR="00976A1A" w:rsidRPr="00976A1A">
        <w:rPr>
          <w:rFonts w:ascii="Arial" w:hAnsi="Arial" w:cs="Arial"/>
          <w:sz w:val="20"/>
          <w:szCs w:val="20"/>
        </w:rPr>
        <w:t xml:space="preserve">In the context of growing climatic uncertainties and food security challenges, contingency planning has become increasingly </w:t>
      </w:r>
      <w:r w:rsidR="00976A1A" w:rsidRPr="00976A1A">
        <w:rPr>
          <w:rFonts w:ascii="Arial" w:hAnsi="Arial" w:cs="Arial"/>
          <w:sz w:val="20"/>
          <w:szCs w:val="20"/>
        </w:rPr>
        <w:lastRenderedPageBreak/>
        <w:t xml:space="preserve">relevant in agriculture. This approach involves preparing for a range of possible future scenarios rather than reacting to events as they occur. Rhinehart </w:t>
      </w:r>
      <w:r w:rsidR="00976A1A" w:rsidRPr="00145AB2">
        <w:rPr>
          <w:rFonts w:ascii="Arial" w:hAnsi="Arial" w:cs="Arial"/>
          <w:i/>
          <w:iCs/>
          <w:sz w:val="20"/>
          <w:szCs w:val="20"/>
        </w:rPr>
        <w:t>et al.</w:t>
      </w:r>
      <w:r w:rsidR="00976A1A" w:rsidRPr="00976A1A">
        <w:rPr>
          <w:rFonts w:ascii="Arial" w:hAnsi="Arial" w:cs="Arial"/>
          <w:sz w:val="20"/>
          <w:szCs w:val="20"/>
        </w:rPr>
        <w:t xml:space="preserve"> (2021) discussed the importance of planning conditional actions in dynamic environments, which is equally applicable to agricultural systems affected by unpredictable climatic </w:t>
      </w:r>
      <w:proofErr w:type="spellStart"/>
      <w:r w:rsidR="00976A1A" w:rsidRPr="00976A1A">
        <w:rPr>
          <w:rFonts w:ascii="Arial" w:hAnsi="Arial" w:cs="Arial"/>
          <w:sz w:val="20"/>
          <w:szCs w:val="20"/>
        </w:rPr>
        <w:t>behavior</w:t>
      </w:r>
      <w:proofErr w:type="spellEnd"/>
      <w:r w:rsidR="00976A1A" w:rsidRPr="00976A1A">
        <w:rPr>
          <w:rFonts w:ascii="Arial" w:hAnsi="Arial" w:cs="Arial"/>
          <w:sz w:val="20"/>
          <w:szCs w:val="20"/>
        </w:rPr>
        <w:t>. As the global population is expected to reach approximately nine billion by the mid-21st century, the demand for food and nutrition is projected to rise by nearly 60%. Achieving this target is particularly difficult in the face of persistent environmental issues such as land degradation, water scarcity, and pollution, all of which negatively affect the productivity of agricultural systems.</w:t>
      </w:r>
      <w:r w:rsidR="00145AB2">
        <w:rPr>
          <w:rFonts w:ascii="Arial" w:hAnsi="Arial" w:cs="Arial"/>
          <w:sz w:val="20"/>
          <w:szCs w:val="20"/>
        </w:rPr>
        <w:t xml:space="preserve"> </w:t>
      </w:r>
      <w:r w:rsidR="00976A1A" w:rsidRPr="00976A1A">
        <w:rPr>
          <w:rFonts w:ascii="Arial" w:hAnsi="Arial" w:cs="Arial"/>
          <w:sz w:val="20"/>
          <w:szCs w:val="20"/>
        </w:rPr>
        <w:t xml:space="preserve">Climate change compounds these problems by increasing the frequency and intensity of environmental stresses. Both biotic factors, like pest outbreaks, and abiotic pressures, including drought and temperature extremes, are becoming more severe. These stresses pose a major threat to global food production and compromise food security, particularly in regions where farming is already vulnerable. Raza </w:t>
      </w:r>
      <w:r w:rsidR="00976A1A" w:rsidRPr="00145AB2">
        <w:rPr>
          <w:rFonts w:ascii="Arial" w:hAnsi="Arial" w:cs="Arial"/>
          <w:i/>
          <w:iCs/>
          <w:sz w:val="20"/>
          <w:szCs w:val="20"/>
        </w:rPr>
        <w:t>et al.</w:t>
      </w:r>
      <w:r w:rsidR="00976A1A" w:rsidRPr="00976A1A">
        <w:rPr>
          <w:rFonts w:ascii="Arial" w:hAnsi="Arial" w:cs="Arial"/>
          <w:sz w:val="20"/>
          <w:szCs w:val="20"/>
        </w:rPr>
        <w:t xml:space="preserve"> (2025) point out that without significant adaptation measures, climate-related disruptions could offset decades of agricultural progress. Moreover, conventional food production and consumption patterns contribute to greenhouse gas emissions and ecological degradation, creating a feedback loop that further endangers agricultural sustainability.</w:t>
      </w:r>
      <w:r w:rsidR="00F87018">
        <w:rPr>
          <w:rFonts w:ascii="Arial" w:hAnsi="Arial" w:cs="Arial"/>
          <w:sz w:val="20"/>
          <w:szCs w:val="20"/>
        </w:rPr>
        <w:t xml:space="preserve"> </w:t>
      </w:r>
      <w:r w:rsidR="00976A1A" w:rsidRPr="00976A1A">
        <w:rPr>
          <w:rFonts w:ascii="Arial" w:hAnsi="Arial" w:cs="Arial"/>
          <w:sz w:val="20"/>
          <w:szCs w:val="20"/>
        </w:rPr>
        <w:t xml:space="preserve">Benitez-Alfonso </w:t>
      </w:r>
      <w:r w:rsidR="00976A1A" w:rsidRPr="00145AB2">
        <w:rPr>
          <w:rFonts w:ascii="Arial" w:hAnsi="Arial" w:cs="Arial"/>
          <w:i/>
          <w:iCs/>
          <w:sz w:val="20"/>
          <w:szCs w:val="20"/>
        </w:rPr>
        <w:t>et al.</w:t>
      </w:r>
      <w:r w:rsidR="00976A1A" w:rsidRPr="00976A1A">
        <w:rPr>
          <w:rFonts w:ascii="Arial" w:hAnsi="Arial" w:cs="Arial"/>
          <w:sz w:val="20"/>
          <w:szCs w:val="20"/>
        </w:rPr>
        <w:t xml:space="preserve"> (2023) have noted that environmental changes, especially erratic rainfall and extreme temperatures, are expected to have lasting impacts on farming systems. There is, therefore, a pressing need to enhance the resilience of crops to climate-related stress while ensuring that agricultural practices remain sustainable. Adaptation strategies should prioritize small and marginal farmers who are often the most affected but least equipped to cope. According to Baraj </w:t>
      </w:r>
      <w:r w:rsidR="00976A1A" w:rsidRPr="00145AB2">
        <w:rPr>
          <w:rFonts w:ascii="Arial" w:hAnsi="Arial" w:cs="Arial"/>
          <w:i/>
          <w:iCs/>
          <w:sz w:val="20"/>
          <w:szCs w:val="20"/>
        </w:rPr>
        <w:t>et al.</w:t>
      </w:r>
      <w:r w:rsidR="00976A1A" w:rsidRPr="00976A1A">
        <w:rPr>
          <w:rFonts w:ascii="Arial" w:hAnsi="Arial" w:cs="Arial"/>
          <w:sz w:val="20"/>
          <w:szCs w:val="20"/>
        </w:rPr>
        <w:t xml:space="preserve"> (2024), building a framework that integrates climate risk assessment with on-ground action is essential. Their work also stresses the value of community awareness and institutional support in promoting resilient </w:t>
      </w:r>
      <w:proofErr w:type="spellStart"/>
      <w:r w:rsidR="00976A1A" w:rsidRPr="00976A1A">
        <w:rPr>
          <w:rFonts w:ascii="Arial" w:hAnsi="Arial" w:cs="Arial"/>
          <w:sz w:val="20"/>
          <w:szCs w:val="20"/>
        </w:rPr>
        <w:t>practices.The</w:t>
      </w:r>
      <w:proofErr w:type="spellEnd"/>
      <w:r w:rsidR="00976A1A" w:rsidRPr="00976A1A">
        <w:rPr>
          <w:rFonts w:ascii="Arial" w:hAnsi="Arial" w:cs="Arial"/>
          <w:sz w:val="20"/>
          <w:szCs w:val="20"/>
        </w:rPr>
        <w:t xml:space="preserve"> adoption of climate-resilient agricultural technologies (CRAT) offers a viable pathway toward this goal. Jat </w:t>
      </w:r>
      <w:r w:rsidR="00976A1A" w:rsidRPr="00145AB2">
        <w:rPr>
          <w:rFonts w:ascii="Arial" w:hAnsi="Arial" w:cs="Arial"/>
          <w:i/>
          <w:iCs/>
          <w:sz w:val="20"/>
          <w:szCs w:val="20"/>
        </w:rPr>
        <w:t>et al</w:t>
      </w:r>
      <w:r w:rsidR="00976A1A" w:rsidRPr="00976A1A">
        <w:rPr>
          <w:rFonts w:ascii="Arial" w:hAnsi="Arial" w:cs="Arial"/>
          <w:sz w:val="20"/>
          <w:szCs w:val="20"/>
        </w:rPr>
        <w:t xml:space="preserve">. (2025) emphasize the need for location-specific interventions that consider regional vulnerabilities. Similarly, Sahoo </w:t>
      </w:r>
      <w:r w:rsidR="00976A1A" w:rsidRPr="00145AB2">
        <w:rPr>
          <w:rFonts w:ascii="Arial" w:hAnsi="Arial" w:cs="Arial"/>
          <w:i/>
          <w:iCs/>
          <w:sz w:val="20"/>
          <w:szCs w:val="20"/>
        </w:rPr>
        <w:t>et al.</w:t>
      </w:r>
      <w:r w:rsidR="00976A1A" w:rsidRPr="00976A1A">
        <w:rPr>
          <w:rFonts w:ascii="Arial" w:hAnsi="Arial" w:cs="Arial"/>
          <w:sz w:val="20"/>
          <w:szCs w:val="20"/>
        </w:rPr>
        <w:t xml:space="preserve"> (2024) advocate for strengthening research on </w:t>
      </w:r>
      <w:r w:rsidR="00976A1A">
        <w:rPr>
          <w:rFonts w:ascii="Arial" w:hAnsi="Arial" w:cs="Arial"/>
          <w:sz w:val="20"/>
          <w:szCs w:val="20"/>
        </w:rPr>
        <w:t>Climate resilient agriculture (</w:t>
      </w:r>
      <w:r w:rsidR="00976A1A" w:rsidRPr="00976A1A">
        <w:rPr>
          <w:rFonts w:ascii="Arial" w:hAnsi="Arial" w:cs="Arial"/>
          <w:sz w:val="20"/>
          <w:szCs w:val="20"/>
        </w:rPr>
        <w:t>CRA</w:t>
      </w:r>
      <w:r w:rsidR="00976A1A">
        <w:rPr>
          <w:rFonts w:ascii="Arial" w:hAnsi="Arial" w:cs="Arial"/>
          <w:sz w:val="20"/>
          <w:szCs w:val="20"/>
        </w:rPr>
        <w:t>)</w:t>
      </w:r>
      <w:r w:rsidR="00976A1A" w:rsidRPr="00976A1A">
        <w:rPr>
          <w:rFonts w:ascii="Arial" w:hAnsi="Arial" w:cs="Arial"/>
          <w:sz w:val="20"/>
          <w:szCs w:val="20"/>
        </w:rPr>
        <w:t xml:space="preserve"> practices tailored to distinct </w:t>
      </w:r>
      <w:proofErr w:type="spellStart"/>
      <w:r w:rsidR="00976A1A" w:rsidRPr="00976A1A">
        <w:rPr>
          <w:rFonts w:ascii="Arial" w:hAnsi="Arial" w:cs="Arial"/>
          <w:sz w:val="20"/>
          <w:szCs w:val="20"/>
        </w:rPr>
        <w:t>agro</w:t>
      </w:r>
      <w:proofErr w:type="spellEnd"/>
      <w:r w:rsidR="00976A1A" w:rsidRPr="00976A1A">
        <w:rPr>
          <w:rFonts w:ascii="Arial" w:hAnsi="Arial" w:cs="Arial"/>
          <w:sz w:val="20"/>
          <w:szCs w:val="20"/>
        </w:rPr>
        <w:t>-ecological contexts. Strengthening the resilience of agriculture will depend not only on technical innovation but also on policy, extension, and collaboration across disciplines.</w:t>
      </w:r>
      <w:r w:rsidR="00976A1A">
        <w:rPr>
          <w:rFonts w:ascii="Arial" w:hAnsi="Arial" w:cs="Arial"/>
          <w:sz w:val="20"/>
          <w:szCs w:val="20"/>
        </w:rPr>
        <w:t xml:space="preserve"> </w:t>
      </w:r>
      <w:r w:rsidRPr="00334A80">
        <w:rPr>
          <w:rFonts w:ascii="Arial" w:hAnsi="Arial" w:cs="Arial"/>
          <w:sz w:val="20"/>
          <w:szCs w:val="20"/>
        </w:rPr>
        <w:t>Recognizing these vulnerabilities and complexities, the present investigation seeks to analyse century-scale rainfall variability and devise seasonally adaptive crop planning frameworks that enhance climate resilience in the temporally non-submerged wetlands of Zone II in North Bihar.</w:t>
      </w:r>
    </w:p>
    <w:p w14:paraId="329A9D63" w14:textId="699AFB20" w:rsidR="001A5F6B" w:rsidRPr="00334A80" w:rsidRDefault="001A5F6B" w:rsidP="00F87018">
      <w:pPr>
        <w:spacing w:line="360" w:lineRule="auto"/>
        <w:rPr>
          <w:rFonts w:ascii="Arial" w:hAnsi="Arial" w:cs="Arial"/>
        </w:rPr>
      </w:pPr>
      <w:r w:rsidRPr="00334A80">
        <w:rPr>
          <w:rFonts w:ascii="Arial" w:hAnsi="Arial" w:cs="Arial"/>
          <w:b/>
          <w:bCs/>
        </w:rPr>
        <w:t>2. Materials and Methods</w:t>
      </w:r>
    </w:p>
    <w:p w14:paraId="69696297" w14:textId="77777777" w:rsidR="00440F26" w:rsidRPr="00334A80" w:rsidRDefault="00440F26" w:rsidP="00F87018">
      <w:pPr>
        <w:spacing w:before="100" w:beforeAutospacing="1" w:after="100" w:afterAutospacing="1" w:line="360" w:lineRule="auto"/>
        <w:outlineLvl w:val="3"/>
        <w:rPr>
          <w:rFonts w:ascii="Arial" w:eastAsia="Times New Roman" w:hAnsi="Arial" w:cs="Arial"/>
          <w:b/>
          <w:bCs/>
          <w:kern w:val="0"/>
          <w:lang w:eastAsia="en-IN" w:bidi="te-IN"/>
          <w14:ligatures w14:val="none"/>
        </w:rPr>
      </w:pPr>
      <w:r w:rsidRPr="00334A80">
        <w:rPr>
          <w:rFonts w:ascii="Arial" w:eastAsia="Times New Roman" w:hAnsi="Arial" w:cs="Arial"/>
          <w:b/>
          <w:bCs/>
          <w:kern w:val="0"/>
          <w:lang w:eastAsia="en-IN" w:bidi="te-IN"/>
          <w14:ligatures w14:val="none"/>
        </w:rPr>
        <w:t>2.1 Study Area</w:t>
      </w:r>
    </w:p>
    <w:p w14:paraId="70949B48" w14:textId="0D107562" w:rsidR="001A5F6B" w:rsidRPr="00334A80" w:rsidRDefault="00440F26" w:rsidP="00F87018">
      <w:pPr>
        <w:spacing w:before="100" w:beforeAutospacing="1" w:after="100" w:afterAutospacing="1" w:line="360" w:lineRule="auto"/>
        <w:jc w:val="both"/>
        <w:rPr>
          <w:rFonts w:ascii="Arial" w:eastAsia="Times New Roman" w:hAnsi="Arial" w:cs="Arial"/>
          <w:kern w:val="0"/>
          <w:sz w:val="20"/>
          <w:szCs w:val="20"/>
          <w:lang w:eastAsia="en-IN" w:bidi="te-IN"/>
          <w14:ligatures w14:val="none"/>
        </w:rPr>
      </w:pPr>
      <w:r w:rsidRPr="00334A80">
        <w:rPr>
          <w:rFonts w:ascii="Arial" w:eastAsia="Times New Roman" w:hAnsi="Arial" w:cs="Arial"/>
          <w:kern w:val="0"/>
          <w:sz w:val="20"/>
          <w:szCs w:val="20"/>
          <w:lang w:eastAsia="en-IN" w:bidi="te-IN"/>
          <w14:ligatures w14:val="none"/>
        </w:rPr>
        <w:t xml:space="preserve">The study focuses on Zone II of North Bihar, encompassing districts like Purnia, Katihar, Araria, Kishanganj, </w:t>
      </w:r>
      <w:proofErr w:type="spellStart"/>
      <w:r w:rsidRPr="00334A80">
        <w:rPr>
          <w:rFonts w:ascii="Arial" w:eastAsia="Times New Roman" w:hAnsi="Arial" w:cs="Arial"/>
          <w:kern w:val="0"/>
          <w:sz w:val="20"/>
          <w:szCs w:val="20"/>
          <w:lang w:eastAsia="en-IN" w:bidi="te-IN"/>
          <w14:ligatures w14:val="none"/>
        </w:rPr>
        <w:t>Supaul</w:t>
      </w:r>
      <w:proofErr w:type="spellEnd"/>
      <w:r w:rsidRPr="00334A80">
        <w:rPr>
          <w:rFonts w:ascii="Arial" w:eastAsia="Times New Roman" w:hAnsi="Arial" w:cs="Arial"/>
          <w:kern w:val="0"/>
          <w:sz w:val="20"/>
          <w:szCs w:val="20"/>
          <w:lang w:eastAsia="en-IN" w:bidi="te-IN"/>
          <w14:ligatures w14:val="none"/>
        </w:rPr>
        <w:t xml:space="preserve">, Saharsa, </w:t>
      </w:r>
      <w:proofErr w:type="spellStart"/>
      <w:r w:rsidRPr="00334A80">
        <w:rPr>
          <w:rFonts w:ascii="Arial" w:eastAsia="Times New Roman" w:hAnsi="Arial" w:cs="Arial"/>
          <w:kern w:val="0"/>
          <w:sz w:val="20"/>
          <w:szCs w:val="20"/>
          <w:lang w:eastAsia="en-IN" w:bidi="te-IN"/>
          <w14:ligatures w14:val="none"/>
        </w:rPr>
        <w:t>Madhepura</w:t>
      </w:r>
      <w:proofErr w:type="spellEnd"/>
      <w:r w:rsidRPr="00334A80">
        <w:rPr>
          <w:rFonts w:ascii="Arial" w:eastAsia="Times New Roman" w:hAnsi="Arial" w:cs="Arial"/>
          <w:kern w:val="0"/>
          <w:sz w:val="20"/>
          <w:szCs w:val="20"/>
          <w:lang w:eastAsia="en-IN" w:bidi="te-IN"/>
          <w14:ligatures w14:val="none"/>
        </w:rPr>
        <w:t xml:space="preserve">, and </w:t>
      </w:r>
      <w:proofErr w:type="spellStart"/>
      <w:r w:rsidRPr="00334A80">
        <w:rPr>
          <w:rFonts w:ascii="Arial" w:eastAsia="Times New Roman" w:hAnsi="Arial" w:cs="Arial"/>
          <w:kern w:val="0"/>
          <w:sz w:val="20"/>
          <w:szCs w:val="20"/>
          <w:lang w:eastAsia="en-IN" w:bidi="te-IN"/>
          <w14:ligatures w14:val="none"/>
        </w:rPr>
        <w:t>Khagaria</w:t>
      </w:r>
      <w:proofErr w:type="spellEnd"/>
      <w:r w:rsidRPr="00334A80">
        <w:rPr>
          <w:rFonts w:ascii="Arial" w:eastAsia="Times New Roman" w:hAnsi="Arial" w:cs="Arial"/>
          <w:kern w:val="0"/>
          <w:sz w:val="20"/>
          <w:szCs w:val="20"/>
          <w:lang w:eastAsia="en-IN" w:bidi="te-IN"/>
          <w14:ligatures w14:val="none"/>
        </w:rPr>
        <w:t>. These areas are agriculturally rich but frequently affected by climate extremes such as flooding and unseasonal droughts. The region's wetlands, while largely non-submerged for most of the year, remain sensitive to rainfall anomalies, affecting sowing windows and crop choices</w:t>
      </w:r>
      <w:r w:rsidR="0015300D" w:rsidRPr="00334A80">
        <w:rPr>
          <w:rFonts w:ascii="Arial" w:eastAsia="Times New Roman" w:hAnsi="Arial" w:cs="Arial"/>
          <w:kern w:val="0"/>
          <w:sz w:val="20"/>
          <w:szCs w:val="20"/>
          <w:lang w:eastAsia="en-IN" w:bidi="te-IN"/>
          <w14:ligatures w14:val="none"/>
        </w:rPr>
        <w:t xml:space="preserve"> fig 1</w:t>
      </w:r>
      <w:r w:rsidRPr="00334A80">
        <w:rPr>
          <w:rFonts w:ascii="Arial" w:eastAsia="Times New Roman" w:hAnsi="Arial" w:cs="Arial"/>
          <w:kern w:val="0"/>
          <w:sz w:val="20"/>
          <w:szCs w:val="20"/>
          <w:lang w:eastAsia="en-IN" w:bidi="te-IN"/>
          <w14:ligatures w14:val="none"/>
        </w:rPr>
        <w:t>.</w:t>
      </w:r>
    </w:p>
    <w:p w14:paraId="5D50F21A" w14:textId="1D20270F" w:rsidR="00160F88" w:rsidRPr="00334A80" w:rsidRDefault="00160F88" w:rsidP="00F87018">
      <w:pPr>
        <w:spacing w:line="360" w:lineRule="auto"/>
        <w:rPr>
          <w:rFonts w:ascii="Arial" w:hAnsi="Arial" w:cs="Arial"/>
          <w:sz w:val="20"/>
          <w:szCs w:val="20"/>
        </w:rPr>
      </w:pPr>
      <w:r w:rsidRPr="00334A80">
        <w:rPr>
          <w:rFonts w:ascii="Arial" w:hAnsi="Arial" w:cs="Arial"/>
          <w:noProof/>
          <w:sz w:val="20"/>
          <w:szCs w:val="20"/>
        </w:rPr>
        <w:lastRenderedPageBreak/>
        <w:drawing>
          <wp:inline distT="0" distB="0" distL="0" distR="0" wp14:anchorId="663BB5CC" wp14:editId="264110A8">
            <wp:extent cx="5731510" cy="4052570"/>
            <wp:effectExtent l="0" t="0" r="2540" b="5080"/>
            <wp:docPr id="7660582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4052570"/>
                    </a:xfrm>
                    <a:prstGeom prst="rect">
                      <a:avLst/>
                    </a:prstGeom>
                    <a:noFill/>
                    <a:ln>
                      <a:noFill/>
                    </a:ln>
                  </pic:spPr>
                </pic:pic>
              </a:graphicData>
            </a:graphic>
          </wp:inline>
        </w:drawing>
      </w:r>
    </w:p>
    <w:p w14:paraId="27F0D350" w14:textId="22FFF351" w:rsidR="00DB2802" w:rsidRPr="006F4AAF" w:rsidRDefault="00DB2802" w:rsidP="00F87018">
      <w:pPr>
        <w:spacing w:line="360" w:lineRule="auto"/>
        <w:jc w:val="center"/>
        <w:rPr>
          <w:rFonts w:ascii="Arial" w:hAnsi="Arial" w:cs="Arial"/>
          <w:b/>
          <w:bCs/>
          <w:sz w:val="20"/>
          <w:szCs w:val="20"/>
        </w:rPr>
      </w:pPr>
      <w:r w:rsidRPr="006F4AAF">
        <w:rPr>
          <w:rFonts w:ascii="Arial" w:hAnsi="Arial" w:cs="Arial"/>
          <w:b/>
          <w:bCs/>
          <w:sz w:val="20"/>
          <w:szCs w:val="20"/>
        </w:rPr>
        <w:t>Fig</w:t>
      </w:r>
      <w:r w:rsidR="0015300D" w:rsidRPr="006F4AAF">
        <w:rPr>
          <w:rFonts w:ascii="Arial" w:hAnsi="Arial" w:cs="Arial"/>
          <w:b/>
          <w:bCs/>
          <w:sz w:val="20"/>
          <w:szCs w:val="20"/>
        </w:rPr>
        <w:t xml:space="preserve"> 1.</w:t>
      </w:r>
      <w:r w:rsidRPr="006F4AAF">
        <w:rPr>
          <w:rFonts w:ascii="Arial" w:hAnsi="Arial" w:cs="Arial"/>
          <w:b/>
          <w:bCs/>
          <w:sz w:val="20"/>
          <w:szCs w:val="20"/>
        </w:rPr>
        <w:t xml:space="preserve"> North Bihar Regional Division: Zone I and Zone II Map</w:t>
      </w:r>
    </w:p>
    <w:p w14:paraId="2916BAE3" w14:textId="77777777" w:rsidR="00440F26" w:rsidRPr="00334A80" w:rsidRDefault="00440F26" w:rsidP="00F87018">
      <w:pPr>
        <w:spacing w:before="100" w:beforeAutospacing="1" w:after="100" w:afterAutospacing="1" w:line="360" w:lineRule="auto"/>
        <w:jc w:val="both"/>
        <w:outlineLvl w:val="3"/>
        <w:rPr>
          <w:rFonts w:ascii="Arial" w:eastAsia="Times New Roman" w:hAnsi="Arial" w:cs="Arial"/>
          <w:b/>
          <w:bCs/>
          <w:kern w:val="0"/>
          <w:lang w:eastAsia="en-IN" w:bidi="te-IN"/>
          <w14:ligatures w14:val="none"/>
        </w:rPr>
      </w:pPr>
      <w:r w:rsidRPr="00334A80">
        <w:rPr>
          <w:rFonts w:ascii="Arial" w:eastAsia="Times New Roman" w:hAnsi="Arial" w:cs="Arial"/>
          <w:b/>
          <w:bCs/>
          <w:kern w:val="0"/>
          <w:lang w:eastAsia="en-IN" w:bidi="te-IN"/>
          <w14:ligatures w14:val="none"/>
        </w:rPr>
        <w:t>2.2 Data Acquisition</w:t>
      </w:r>
    </w:p>
    <w:p w14:paraId="680C5D58" w14:textId="77777777" w:rsidR="00440F26" w:rsidRPr="00334A80" w:rsidRDefault="00440F26" w:rsidP="00F87018">
      <w:pPr>
        <w:spacing w:after="0" w:line="360" w:lineRule="auto"/>
        <w:jc w:val="both"/>
        <w:rPr>
          <w:rFonts w:ascii="Arial" w:eastAsia="Times New Roman" w:hAnsi="Arial" w:cs="Arial"/>
          <w:kern w:val="0"/>
          <w:sz w:val="20"/>
          <w:szCs w:val="20"/>
          <w:lang w:eastAsia="en-IN" w:bidi="te-IN"/>
          <w14:ligatures w14:val="none"/>
        </w:rPr>
      </w:pPr>
      <w:r w:rsidRPr="00334A80">
        <w:rPr>
          <w:rFonts w:ascii="Arial" w:eastAsia="Times New Roman" w:hAnsi="Arial" w:cs="Arial"/>
          <w:kern w:val="0"/>
          <w:sz w:val="20"/>
          <w:szCs w:val="20"/>
          <w:lang w:eastAsia="en-IN" w:bidi="te-IN"/>
          <w14:ligatures w14:val="none"/>
        </w:rPr>
        <w:t>Rainfall records from 1923 to 2022 were collected from regional meteorological sources. The dataset was organized into four seasonal categories:</w:t>
      </w:r>
    </w:p>
    <w:p w14:paraId="3D65F2BA" w14:textId="77777777" w:rsidR="00440F26" w:rsidRPr="00334A80" w:rsidRDefault="00440F26" w:rsidP="00F87018">
      <w:pPr>
        <w:numPr>
          <w:ilvl w:val="0"/>
          <w:numId w:val="8"/>
        </w:numPr>
        <w:spacing w:before="100" w:beforeAutospacing="1" w:after="100" w:afterAutospacing="1" w:line="360" w:lineRule="auto"/>
        <w:jc w:val="both"/>
        <w:rPr>
          <w:rFonts w:ascii="Arial" w:eastAsia="Times New Roman" w:hAnsi="Arial" w:cs="Arial"/>
          <w:kern w:val="0"/>
          <w:sz w:val="20"/>
          <w:szCs w:val="20"/>
          <w:lang w:eastAsia="en-IN" w:bidi="te-IN"/>
          <w14:ligatures w14:val="none"/>
        </w:rPr>
      </w:pPr>
      <w:r w:rsidRPr="00334A80">
        <w:rPr>
          <w:rFonts w:ascii="Arial" w:eastAsia="Times New Roman" w:hAnsi="Arial" w:cs="Arial"/>
          <w:b/>
          <w:bCs/>
          <w:kern w:val="0"/>
          <w:sz w:val="20"/>
          <w:szCs w:val="20"/>
          <w:lang w:eastAsia="en-IN" w:bidi="te-IN"/>
          <w14:ligatures w14:val="none"/>
        </w:rPr>
        <w:t>Winter</w:t>
      </w:r>
      <w:r w:rsidRPr="00334A80">
        <w:rPr>
          <w:rFonts w:ascii="Arial" w:eastAsia="Times New Roman" w:hAnsi="Arial" w:cs="Arial"/>
          <w:kern w:val="0"/>
          <w:sz w:val="20"/>
          <w:szCs w:val="20"/>
          <w:lang w:eastAsia="en-IN" w:bidi="te-IN"/>
          <w14:ligatures w14:val="none"/>
        </w:rPr>
        <w:t xml:space="preserve"> (January–February)</w:t>
      </w:r>
    </w:p>
    <w:p w14:paraId="0B1DA9C8" w14:textId="77777777" w:rsidR="00440F26" w:rsidRPr="00334A80" w:rsidRDefault="00440F26" w:rsidP="00F87018">
      <w:pPr>
        <w:numPr>
          <w:ilvl w:val="0"/>
          <w:numId w:val="8"/>
        </w:numPr>
        <w:spacing w:after="0" w:line="360" w:lineRule="auto"/>
        <w:jc w:val="both"/>
        <w:rPr>
          <w:rFonts w:ascii="Arial" w:eastAsia="Times New Roman" w:hAnsi="Arial" w:cs="Arial"/>
          <w:kern w:val="0"/>
          <w:sz w:val="20"/>
          <w:szCs w:val="20"/>
          <w:lang w:eastAsia="en-IN" w:bidi="te-IN"/>
          <w14:ligatures w14:val="none"/>
        </w:rPr>
      </w:pPr>
      <w:r w:rsidRPr="00334A80">
        <w:rPr>
          <w:rFonts w:ascii="Arial" w:eastAsia="Times New Roman" w:hAnsi="Arial" w:cs="Arial"/>
          <w:b/>
          <w:bCs/>
          <w:kern w:val="0"/>
          <w:sz w:val="20"/>
          <w:szCs w:val="20"/>
          <w:lang w:eastAsia="en-IN" w:bidi="te-IN"/>
          <w14:ligatures w14:val="none"/>
        </w:rPr>
        <w:t>Pre-Monsoon</w:t>
      </w:r>
      <w:r w:rsidRPr="00334A80">
        <w:rPr>
          <w:rFonts w:ascii="Arial" w:eastAsia="Times New Roman" w:hAnsi="Arial" w:cs="Arial"/>
          <w:kern w:val="0"/>
          <w:sz w:val="20"/>
          <w:szCs w:val="20"/>
          <w:lang w:eastAsia="en-IN" w:bidi="te-IN"/>
          <w14:ligatures w14:val="none"/>
        </w:rPr>
        <w:t xml:space="preserve"> (March–May)</w:t>
      </w:r>
    </w:p>
    <w:p w14:paraId="0C0719D4" w14:textId="77777777" w:rsidR="00440F26" w:rsidRPr="00334A80" w:rsidRDefault="00440F26" w:rsidP="00F87018">
      <w:pPr>
        <w:numPr>
          <w:ilvl w:val="0"/>
          <w:numId w:val="8"/>
        </w:numPr>
        <w:spacing w:before="100" w:beforeAutospacing="1" w:after="100" w:afterAutospacing="1" w:line="360" w:lineRule="auto"/>
        <w:jc w:val="both"/>
        <w:rPr>
          <w:rFonts w:ascii="Arial" w:eastAsia="Times New Roman" w:hAnsi="Arial" w:cs="Arial"/>
          <w:kern w:val="0"/>
          <w:sz w:val="20"/>
          <w:szCs w:val="20"/>
          <w:lang w:eastAsia="en-IN" w:bidi="te-IN"/>
          <w14:ligatures w14:val="none"/>
        </w:rPr>
      </w:pPr>
      <w:r w:rsidRPr="00334A80">
        <w:rPr>
          <w:rFonts w:ascii="Arial" w:eastAsia="Times New Roman" w:hAnsi="Arial" w:cs="Arial"/>
          <w:b/>
          <w:bCs/>
          <w:kern w:val="0"/>
          <w:sz w:val="20"/>
          <w:szCs w:val="20"/>
          <w:lang w:eastAsia="en-IN" w:bidi="te-IN"/>
          <w14:ligatures w14:val="none"/>
        </w:rPr>
        <w:t>Monsoon</w:t>
      </w:r>
      <w:r w:rsidRPr="00334A80">
        <w:rPr>
          <w:rFonts w:ascii="Arial" w:eastAsia="Times New Roman" w:hAnsi="Arial" w:cs="Arial"/>
          <w:kern w:val="0"/>
          <w:sz w:val="20"/>
          <w:szCs w:val="20"/>
          <w:lang w:eastAsia="en-IN" w:bidi="te-IN"/>
          <w14:ligatures w14:val="none"/>
        </w:rPr>
        <w:t xml:space="preserve"> (June–September)</w:t>
      </w:r>
    </w:p>
    <w:p w14:paraId="07768806" w14:textId="77777777" w:rsidR="00440F26" w:rsidRPr="00334A80" w:rsidRDefault="00440F26" w:rsidP="00F87018">
      <w:pPr>
        <w:numPr>
          <w:ilvl w:val="0"/>
          <w:numId w:val="8"/>
        </w:numPr>
        <w:spacing w:before="100" w:beforeAutospacing="1" w:after="100" w:afterAutospacing="1" w:line="360" w:lineRule="auto"/>
        <w:jc w:val="both"/>
        <w:rPr>
          <w:rFonts w:ascii="Arial" w:eastAsia="Times New Roman" w:hAnsi="Arial" w:cs="Arial"/>
          <w:kern w:val="0"/>
          <w:sz w:val="20"/>
          <w:szCs w:val="20"/>
          <w:lang w:eastAsia="en-IN" w:bidi="te-IN"/>
          <w14:ligatures w14:val="none"/>
        </w:rPr>
      </w:pPr>
      <w:r w:rsidRPr="00334A80">
        <w:rPr>
          <w:rFonts w:ascii="Arial" w:eastAsia="Times New Roman" w:hAnsi="Arial" w:cs="Arial"/>
          <w:b/>
          <w:bCs/>
          <w:kern w:val="0"/>
          <w:sz w:val="20"/>
          <w:szCs w:val="20"/>
          <w:lang w:eastAsia="en-IN" w:bidi="te-IN"/>
          <w14:ligatures w14:val="none"/>
        </w:rPr>
        <w:t>Post-Monsoon</w:t>
      </w:r>
      <w:r w:rsidRPr="00334A80">
        <w:rPr>
          <w:rFonts w:ascii="Arial" w:eastAsia="Times New Roman" w:hAnsi="Arial" w:cs="Arial"/>
          <w:kern w:val="0"/>
          <w:sz w:val="20"/>
          <w:szCs w:val="20"/>
          <w:lang w:eastAsia="en-IN" w:bidi="te-IN"/>
          <w14:ligatures w14:val="none"/>
        </w:rPr>
        <w:t xml:space="preserve"> (October–December)</w:t>
      </w:r>
    </w:p>
    <w:p w14:paraId="694D15E2" w14:textId="30599D9F" w:rsidR="00440F26" w:rsidRPr="00334A80" w:rsidRDefault="00440F26" w:rsidP="00F87018">
      <w:pPr>
        <w:spacing w:before="100" w:beforeAutospacing="1" w:after="100" w:afterAutospacing="1" w:line="360" w:lineRule="auto"/>
        <w:jc w:val="both"/>
        <w:rPr>
          <w:rFonts w:ascii="Arial" w:eastAsia="Times New Roman" w:hAnsi="Arial" w:cs="Arial"/>
          <w:kern w:val="0"/>
          <w:sz w:val="20"/>
          <w:szCs w:val="20"/>
          <w:lang w:eastAsia="en-IN" w:bidi="te-IN"/>
          <w14:ligatures w14:val="none"/>
        </w:rPr>
      </w:pPr>
      <w:r w:rsidRPr="00334A80">
        <w:rPr>
          <w:rFonts w:ascii="Arial" w:eastAsia="Times New Roman" w:hAnsi="Arial" w:cs="Arial"/>
          <w:kern w:val="0"/>
          <w:sz w:val="20"/>
          <w:szCs w:val="20"/>
          <w:lang w:eastAsia="en-IN" w:bidi="te-IN"/>
          <w14:ligatures w14:val="none"/>
        </w:rPr>
        <w:t xml:space="preserve">These categories helped isolate seasonal </w:t>
      </w:r>
      <w:r w:rsidR="0015300D" w:rsidRPr="00334A80">
        <w:rPr>
          <w:rFonts w:ascii="Arial" w:eastAsia="Times New Roman" w:hAnsi="Arial" w:cs="Arial"/>
          <w:kern w:val="0"/>
          <w:sz w:val="20"/>
          <w:szCs w:val="20"/>
          <w:lang w:eastAsia="en-IN" w:bidi="te-IN"/>
          <w14:ligatures w14:val="none"/>
        </w:rPr>
        <w:t>behaviours</w:t>
      </w:r>
      <w:r w:rsidRPr="00334A80">
        <w:rPr>
          <w:rFonts w:ascii="Arial" w:eastAsia="Times New Roman" w:hAnsi="Arial" w:cs="Arial"/>
          <w:kern w:val="0"/>
          <w:sz w:val="20"/>
          <w:szCs w:val="20"/>
          <w:lang w:eastAsia="en-IN" w:bidi="te-IN"/>
          <w14:ligatures w14:val="none"/>
        </w:rPr>
        <w:t xml:space="preserve"> and trends for targeted analysis.</w:t>
      </w:r>
    </w:p>
    <w:p w14:paraId="4D4D78C9" w14:textId="77777777" w:rsidR="00440F26" w:rsidRPr="00334A80" w:rsidRDefault="00440F26" w:rsidP="00F87018">
      <w:pPr>
        <w:spacing w:before="100" w:beforeAutospacing="1" w:after="100" w:afterAutospacing="1" w:line="360" w:lineRule="auto"/>
        <w:jc w:val="both"/>
        <w:outlineLvl w:val="3"/>
        <w:rPr>
          <w:rFonts w:ascii="Arial" w:eastAsia="Times New Roman" w:hAnsi="Arial" w:cs="Arial"/>
          <w:b/>
          <w:bCs/>
          <w:kern w:val="0"/>
          <w:lang w:eastAsia="en-IN" w:bidi="te-IN"/>
          <w14:ligatures w14:val="none"/>
        </w:rPr>
      </w:pPr>
      <w:r w:rsidRPr="00334A80">
        <w:rPr>
          <w:rFonts w:ascii="Arial" w:eastAsia="Times New Roman" w:hAnsi="Arial" w:cs="Arial"/>
          <w:b/>
          <w:bCs/>
          <w:kern w:val="0"/>
          <w:lang w:eastAsia="en-IN" w:bidi="te-IN"/>
          <w14:ligatures w14:val="none"/>
        </w:rPr>
        <w:t>2.3 Analytical Techniques</w:t>
      </w:r>
    </w:p>
    <w:p w14:paraId="301F9043" w14:textId="620A0AF2" w:rsidR="00440F26" w:rsidRPr="00F87018" w:rsidRDefault="00440F26" w:rsidP="00F87018">
      <w:pPr>
        <w:numPr>
          <w:ilvl w:val="0"/>
          <w:numId w:val="9"/>
        </w:numPr>
        <w:spacing w:before="100" w:beforeAutospacing="1" w:after="100" w:afterAutospacing="1" w:line="360" w:lineRule="auto"/>
        <w:jc w:val="both"/>
        <w:rPr>
          <w:rFonts w:ascii="Arial" w:eastAsia="Times New Roman" w:hAnsi="Arial" w:cs="Arial"/>
          <w:color w:val="000000" w:themeColor="text1"/>
          <w:kern w:val="0"/>
          <w:sz w:val="20"/>
          <w:szCs w:val="20"/>
          <w:lang w:eastAsia="en-IN" w:bidi="te-IN"/>
          <w14:ligatures w14:val="none"/>
        </w:rPr>
      </w:pPr>
      <w:r w:rsidRPr="00F87018">
        <w:rPr>
          <w:rFonts w:ascii="Arial" w:eastAsia="Times New Roman" w:hAnsi="Arial" w:cs="Arial"/>
          <w:b/>
          <w:bCs/>
          <w:color w:val="000000" w:themeColor="text1"/>
          <w:kern w:val="0"/>
          <w:sz w:val="20"/>
          <w:szCs w:val="20"/>
          <w:lang w:eastAsia="en-IN" w:bidi="te-IN"/>
          <w14:ligatures w14:val="none"/>
        </w:rPr>
        <w:t>Probability Distribution (Weibull Method):</w:t>
      </w:r>
      <w:r w:rsidRPr="00F87018">
        <w:rPr>
          <w:rFonts w:ascii="Arial" w:eastAsia="Times New Roman" w:hAnsi="Arial" w:cs="Arial"/>
          <w:color w:val="000000" w:themeColor="text1"/>
          <w:kern w:val="0"/>
          <w:sz w:val="20"/>
          <w:szCs w:val="20"/>
          <w:lang w:eastAsia="en-IN" w:bidi="te-IN"/>
          <w14:ligatures w14:val="none"/>
        </w:rPr>
        <w:t xml:space="preserve"> Rainfall probabilities at 50%, 70%, and 90% levels were estimated, along with return periods to understand frequency and intensity of wet/dry spells.</w:t>
      </w:r>
      <w:r w:rsidR="00051545" w:rsidRPr="00F87018">
        <w:rPr>
          <w:rFonts w:ascii="Arial" w:eastAsia="Times New Roman" w:hAnsi="Arial" w:cs="Arial"/>
          <w:color w:val="000000" w:themeColor="text1"/>
          <w:kern w:val="0"/>
          <w:sz w:val="20"/>
          <w:szCs w:val="20"/>
          <w:lang w:eastAsia="en-IN" w:bidi="te-IN"/>
          <w14:ligatures w14:val="none"/>
        </w:rPr>
        <w:t xml:space="preserve"> </w:t>
      </w:r>
      <w:r w:rsidR="00976A1A" w:rsidRPr="00F87018">
        <w:rPr>
          <w:rFonts w:ascii="Arial" w:eastAsia="Times New Roman" w:hAnsi="Arial" w:cs="Arial"/>
          <w:color w:val="000000" w:themeColor="text1"/>
          <w:kern w:val="0"/>
          <w:sz w:val="20"/>
          <w:szCs w:val="20"/>
          <w:lang w:eastAsia="en-IN" w:bidi="te-IN"/>
          <w14:ligatures w14:val="none"/>
        </w:rPr>
        <w:t xml:space="preserve">According to Cousineau </w:t>
      </w:r>
      <w:r w:rsidR="00976A1A" w:rsidRPr="00145AB2">
        <w:rPr>
          <w:rFonts w:ascii="Arial" w:eastAsia="Times New Roman" w:hAnsi="Arial" w:cs="Arial"/>
          <w:i/>
          <w:iCs/>
          <w:color w:val="000000" w:themeColor="text1"/>
          <w:kern w:val="0"/>
          <w:sz w:val="20"/>
          <w:szCs w:val="20"/>
          <w:lang w:eastAsia="en-IN" w:bidi="te-IN"/>
          <w14:ligatures w14:val="none"/>
        </w:rPr>
        <w:t>et al.</w:t>
      </w:r>
      <w:r w:rsidR="00976A1A" w:rsidRPr="00F87018">
        <w:rPr>
          <w:rFonts w:ascii="Arial" w:eastAsia="Times New Roman" w:hAnsi="Arial" w:cs="Arial"/>
          <w:color w:val="000000" w:themeColor="text1"/>
          <w:kern w:val="0"/>
          <w:sz w:val="20"/>
          <w:szCs w:val="20"/>
          <w:lang w:eastAsia="en-IN" w:bidi="te-IN"/>
          <w14:ligatures w14:val="none"/>
        </w:rPr>
        <w:t xml:space="preserve"> (2009), the Weibull distribution performs well across a variety of sample sizes and distribution shapes. When applying parameter estimation methods, the weighted maximum likelihood approach is generally effective. However, if the shape parameter is known to exceed 1, the maximum product of spacing (MPS) method yields more </w:t>
      </w:r>
      <w:r w:rsidR="00976A1A" w:rsidRPr="00F87018">
        <w:rPr>
          <w:rFonts w:ascii="Arial" w:eastAsia="Times New Roman" w:hAnsi="Arial" w:cs="Arial"/>
          <w:color w:val="000000" w:themeColor="text1"/>
          <w:kern w:val="0"/>
          <w:sz w:val="20"/>
          <w:szCs w:val="20"/>
          <w:lang w:eastAsia="en-IN" w:bidi="te-IN"/>
          <w14:ligatures w14:val="none"/>
        </w:rPr>
        <w:lastRenderedPageBreak/>
        <w:t>accurate results. In contrast, when the shape parameter is less than or equal to 1, a hybrid or mixed method is more appropriate for achieving reliable estimates.</w:t>
      </w:r>
    </w:p>
    <w:p w14:paraId="45EE1AA1" w14:textId="43C9F92D" w:rsidR="00440F26" w:rsidRPr="00334A80" w:rsidRDefault="00440F26" w:rsidP="00F87018">
      <w:pPr>
        <w:numPr>
          <w:ilvl w:val="0"/>
          <w:numId w:val="9"/>
        </w:numPr>
        <w:spacing w:before="100" w:beforeAutospacing="1" w:after="100" w:afterAutospacing="1" w:line="360" w:lineRule="auto"/>
        <w:jc w:val="both"/>
        <w:rPr>
          <w:rFonts w:ascii="Arial" w:eastAsia="Times New Roman" w:hAnsi="Arial" w:cs="Arial"/>
          <w:kern w:val="0"/>
          <w:sz w:val="20"/>
          <w:szCs w:val="20"/>
          <w:lang w:eastAsia="en-IN" w:bidi="te-IN"/>
          <w14:ligatures w14:val="none"/>
        </w:rPr>
      </w:pPr>
      <w:r w:rsidRPr="00F87018">
        <w:rPr>
          <w:rFonts w:ascii="Arial" w:eastAsia="Times New Roman" w:hAnsi="Arial" w:cs="Arial"/>
          <w:b/>
          <w:bCs/>
          <w:color w:val="000000" w:themeColor="text1"/>
          <w:kern w:val="0"/>
          <w:sz w:val="20"/>
          <w:szCs w:val="20"/>
          <w:lang w:eastAsia="en-IN" w:bidi="te-IN"/>
          <w14:ligatures w14:val="none"/>
        </w:rPr>
        <w:t>Trend Analysis (Regression Models):</w:t>
      </w:r>
      <w:r w:rsidRPr="00F87018">
        <w:rPr>
          <w:rFonts w:ascii="Arial" w:eastAsia="Times New Roman" w:hAnsi="Arial" w:cs="Arial"/>
          <w:color w:val="000000" w:themeColor="text1"/>
          <w:kern w:val="0"/>
          <w:sz w:val="20"/>
          <w:szCs w:val="20"/>
          <w:lang w:eastAsia="en-IN" w:bidi="te-IN"/>
          <w14:ligatures w14:val="none"/>
        </w:rPr>
        <w:t xml:space="preserve"> Seasonal and annual rainfall trends were </w:t>
      </w:r>
      <w:r w:rsidR="006F4AAF" w:rsidRPr="00F87018">
        <w:rPr>
          <w:rFonts w:ascii="Arial" w:eastAsia="Times New Roman" w:hAnsi="Arial" w:cs="Arial"/>
          <w:color w:val="000000" w:themeColor="text1"/>
          <w:kern w:val="0"/>
          <w:sz w:val="20"/>
          <w:szCs w:val="20"/>
          <w:lang w:eastAsia="en-IN" w:bidi="te-IN"/>
          <w14:ligatures w14:val="none"/>
        </w:rPr>
        <w:t>analysed</w:t>
      </w:r>
      <w:r w:rsidRPr="00F87018">
        <w:rPr>
          <w:rFonts w:ascii="Arial" w:eastAsia="Times New Roman" w:hAnsi="Arial" w:cs="Arial"/>
          <w:color w:val="000000" w:themeColor="text1"/>
          <w:kern w:val="0"/>
          <w:sz w:val="20"/>
          <w:szCs w:val="20"/>
          <w:lang w:eastAsia="en-IN" w:bidi="te-IN"/>
          <w14:ligatures w14:val="none"/>
        </w:rPr>
        <w:t xml:space="preserve"> using linear regression, supported by R² values to evaluate trend strength.</w:t>
      </w:r>
      <w:r w:rsidR="00051545" w:rsidRPr="00F87018">
        <w:rPr>
          <w:rFonts w:ascii="Arial" w:eastAsia="Times New Roman" w:hAnsi="Arial" w:cs="Arial"/>
          <w:color w:val="000000" w:themeColor="text1"/>
          <w:kern w:val="0"/>
          <w:sz w:val="20"/>
          <w:szCs w:val="20"/>
          <w:lang w:eastAsia="en-IN" w:bidi="te-IN"/>
          <w14:ligatures w14:val="none"/>
        </w:rPr>
        <w:t xml:space="preserve"> </w:t>
      </w:r>
      <w:r w:rsidR="00D51702" w:rsidRPr="00F87018">
        <w:rPr>
          <w:rFonts w:ascii="Arial" w:eastAsia="Times New Roman" w:hAnsi="Arial" w:cs="Arial"/>
          <w:color w:val="000000" w:themeColor="text1"/>
          <w:kern w:val="0"/>
          <w:sz w:val="20"/>
          <w:szCs w:val="20"/>
          <w:lang w:eastAsia="en-IN" w:bidi="te-IN"/>
          <w14:ligatures w14:val="none"/>
        </w:rPr>
        <w:t>“</w:t>
      </w:r>
      <w:r w:rsidR="00051545" w:rsidRPr="00F87018">
        <w:rPr>
          <w:rFonts w:ascii="Arial" w:eastAsia="Times New Roman" w:hAnsi="Arial" w:cs="Arial"/>
          <w:color w:val="000000" w:themeColor="text1"/>
          <w:kern w:val="0"/>
          <w:sz w:val="20"/>
          <w:szCs w:val="20"/>
          <w:lang w:eastAsia="en-IN" w:bidi="te-IN"/>
          <w14:ligatures w14:val="none"/>
        </w:rPr>
        <w:t>Generally, logistic regression is well suited for describing</w:t>
      </w:r>
      <w:r w:rsidR="006F4AAF" w:rsidRPr="00F87018">
        <w:rPr>
          <w:rFonts w:ascii="Arial" w:eastAsia="Times New Roman" w:hAnsi="Arial" w:cs="Arial"/>
          <w:color w:val="000000" w:themeColor="text1"/>
          <w:kern w:val="0"/>
          <w:sz w:val="20"/>
          <w:szCs w:val="20"/>
          <w:lang w:eastAsia="en-IN" w:bidi="te-IN"/>
          <w14:ligatures w14:val="none"/>
        </w:rPr>
        <w:t xml:space="preserve"> </w:t>
      </w:r>
      <w:r w:rsidR="00051545" w:rsidRPr="00F87018">
        <w:rPr>
          <w:rFonts w:ascii="Arial" w:eastAsia="Times New Roman" w:hAnsi="Arial" w:cs="Arial"/>
          <w:color w:val="000000" w:themeColor="text1"/>
          <w:kern w:val="0"/>
          <w:sz w:val="20"/>
          <w:szCs w:val="20"/>
          <w:lang w:eastAsia="en-IN" w:bidi="te-IN"/>
          <w14:ligatures w14:val="none"/>
        </w:rPr>
        <w:t>and testing hypotheses about relationships between a categorical outcome variable and one or more categorical or continuous predictor variables.</w:t>
      </w:r>
      <w:r w:rsidR="00976A1A" w:rsidRPr="00F87018">
        <w:rPr>
          <w:color w:val="000000" w:themeColor="text1"/>
        </w:rPr>
        <w:t xml:space="preserve"> </w:t>
      </w:r>
      <w:r w:rsidR="00976A1A" w:rsidRPr="00F87018">
        <w:rPr>
          <w:rFonts w:ascii="Arial" w:eastAsia="Times New Roman" w:hAnsi="Arial" w:cs="Arial"/>
          <w:color w:val="000000" w:themeColor="text1"/>
          <w:kern w:val="0"/>
          <w:sz w:val="20"/>
          <w:szCs w:val="20"/>
          <w:lang w:eastAsia="en-IN" w:bidi="te-IN"/>
          <w14:ligatures w14:val="none"/>
        </w:rPr>
        <w:t>In a basic linear regression scenario involving one continuous predictor</w:t>
      </w:r>
      <w:r w:rsidR="00145AB2">
        <w:rPr>
          <w:rFonts w:ascii="Arial" w:eastAsia="Times New Roman" w:hAnsi="Arial" w:cs="Arial"/>
          <w:color w:val="000000" w:themeColor="text1"/>
          <w:kern w:val="0"/>
          <w:sz w:val="20"/>
          <w:szCs w:val="20"/>
          <w:lang w:eastAsia="en-IN" w:bidi="te-IN"/>
          <w14:ligatures w14:val="none"/>
        </w:rPr>
        <w:t>-</w:t>
      </w:r>
      <w:r w:rsidR="00976A1A" w:rsidRPr="00F87018">
        <w:rPr>
          <w:rFonts w:ascii="Arial" w:eastAsia="Times New Roman" w:hAnsi="Arial" w:cs="Arial"/>
          <w:color w:val="000000" w:themeColor="text1"/>
          <w:kern w:val="0"/>
          <w:sz w:val="20"/>
          <w:szCs w:val="20"/>
          <w:lang w:eastAsia="en-IN" w:bidi="te-IN"/>
          <w14:ligatures w14:val="none"/>
        </w:rPr>
        <w:t>such as a child's standardized reading test score</w:t>
      </w:r>
      <w:r w:rsidR="00145AB2">
        <w:rPr>
          <w:rFonts w:ascii="Arial" w:eastAsia="Times New Roman" w:hAnsi="Arial" w:cs="Arial"/>
          <w:color w:val="000000" w:themeColor="text1"/>
          <w:kern w:val="0"/>
          <w:sz w:val="20"/>
          <w:szCs w:val="20"/>
          <w:lang w:eastAsia="en-IN" w:bidi="te-IN"/>
          <w14:ligatures w14:val="none"/>
        </w:rPr>
        <w:t>-</w:t>
      </w:r>
      <w:r w:rsidR="00976A1A" w:rsidRPr="00F87018">
        <w:rPr>
          <w:rFonts w:ascii="Arial" w:eastAsia="Times New Roman" w:hAnsi="Arial" w:cs="Arial"/>
          <w:color w:val="000000" w:themeColor="text1"/>
          <w:kern w:val="0"/>
          <w:sz w:val="20"/>
          <w:szCs w:val="20"/>
          <w:lang w:eastAsia="en-IN" w:bidi="te-IN"/>
          <w14:ligatures w14:val="none"/>
        </w:rPr>
        <w:t xml:space="preserve">and a binary outcome, like whether the child is recommended for remedial reading classes or not, the resulting scatter plot typically displays two horizontal or nearly parallel lines. Each line corresponds to one of the two categories of the outcome variable, illustrating the limitation of using linear regression for binary outcomes (Peng </w:t>
      </w:r>
      <w:r w:rsidR="00976A1A" w:rsidRPr="00145AB2">
        <w:rPr>
          <w:rFonts w:ascii="Arial" w:eastAsia="Times New Roman" w:hAnsi="Arial" w:cs="Arial"/>
          <w:i/>
          <w:iCs/>
          <w:color w:val="000000" w:themeColor="text1"/>
          <w:kern w:val="0"/>
          <w:sz w:val="20"/>
          <w:szCs w:val="20"/>
          <w:lang w:eastAsia="en-IN" w:bidi="te-IN"/>
          <w14:ligatures w14:val="none"/>
        </w:rPr>
        <w:t>et al.,</w:t>
      </w:r>
      <w:r w:rsidR="00976A1A" w:rsidRPr="00F87018">
        <w:rPr>
          <w:rFonts w:ascii="Arial" w:eastAsia="Times New Roman" w:hAnsi="Arial" w:cs="Arial"/>
          <w:color w:val="000000" w:themeColor="text1"/>
          <w:kern w:val="0"/>
          <w:sz w:val="20"/>
          <w:szCs w:val="20"/>
          <w:lang w:eastAsia="en-IN" w:bidi="te-IN"/>
          <w14:ligatures w14:val="none"/>
        </w:rPr>
        <w:t xml:space="preserve"> 2002</w:t>
      </w:r>
      <w:r w:rsidR="00976A1A" w:rsidRPr="00976A1A">
        <w:rPr>
          <w:rFonts w:ascii="Arial" w:eastAsia="Times New Roman" w:hAnsi="Arial" w:cs="Arial"/>
          <w:kern w:val="0"/>
          <w:sz w:val="20"/>
          <w:szCs w:val="20"/>
          <w:lang w:eastAsia="en-IN" w:bidi="te-IN"/>
          <w14:ligatures w14:val="none"/>
        </w:rPr>
        <w:t>).</w:t>
      </w:r>
    </w:p>
    <w:p w14:paraId="4B635A94" w14:textId="77777777" w:rsidR="001A5F6B" w:rsidRPr="00334A80" w:rsidRDefault="001A5F6B" w:rsidP="00F87018">
      <w:pPr>
        <w:spacing w:line="360" w:lineRule="auto"/>
        <w:jc w:val="both"/>
        <w:rPr>
          <w:rFonts w:ascii="Arial" w:hAnsi="Arial" w:cs="Arial"/>
        </w:rPr>
      </w:pPr>
      <w:r w:rsidRPr="00334A80">
        <w:rPr>
          <w:rFonts w:ascii="Arial" w:hAnsi="Arial" w:cs="Arial"/>
          <w:b/>
          <w:bCs/>
        </w:rPr>
        <w:t>3. Results and Discussion</w:t>
      </w:r>
    </w:p>
    <w:p w14:paraId="6789C424" w14:textId="77777777" w:rsidR="0015300D" w:rsidRPr="00334A80" w:rsidRDefault="001A5F6B" w:rsidP="00F87018">
      <w:pPr>
        <w:spacing w:line="360" w:lineRule="auto"/>
        <w:jc w:val="both"/>
        <w:rPr>
          <w:rFonts w:ascii="Arial" w:hAnsi="Arial" w:cs="Arial"/>
        </w:rPr>
      </w:pPr>
      <w:r w:rsidRPr="00334A80">
        <w:rPr>
          <w:rFonts w:ascii="Arial" w:hAnsi="Arial" w:cs="Arial"/>
          <w:b/>
          <w:bCs/>
        </w:rPr>
        <w:t>3.1 Rainfall Estimation Using Weibull's Method</w:t>
      </w:r>
    </w:p>
    <w:p w14:paraId="3D96B782" w14:textId="502639B3" w:rsidR="001A5F6B" w:rsidRPr="00334A80" w:rsidRDefault="0015300D" w:rsidP="00F87018">
      <w:pPr>
        <w:spacing w:line="360" w:lineRule="auto"/>
        <w:jc w:val="both"/>
        <w:rPr>
          <w:rFonts w:ascii="Arial" w:hAnsi="Arial" w:cs="Arial"/>
          <w:sz w:val="20"/>
          <w:szCs w:val="20"/>
        </w:rPr>
      </w:pPr>
      <w:r w:rsidRPr="00334A80">
        <w:rPr>
          <w:rFonts w:ascii="Arial" w:hAnsi="Arial" w:cs="Arial"/>
          <w:sz w:val="20"/>
          <w:szCs w:val="20"/>
        </w:rPr>
        <w:t xml:space="preserve">The </w:t>
      </w:r>
      <w:r w:rsidR="001A5F6B" w:rsidRPr="00334A80">
        <w:rPr>
          <w:rFonts w:ascii="Arial" w:hAnsi="Arial" w:cs="Arial"/>
          <w:sz w:val="20"/>
          <w:szCs w:val="20"/>
        </w:rPr>
        <w:t>Table 1 shows the estimated rainfall values at different probabilities. Rainfall decreases with increasing probability levels, indicating higher chances of low rainfall events.</w:t>
      </w:r>
      <w:r w:rsidRPr="00334A80">
        <w:rPr>
          <w:rFonts w:ascii="Arial" w:hAnsi="Arial" w:cs="Arial"/>
          <w:sz w:val="20"/>
          <w:szCs w:val="20"/>
        </w:rPr>
        <w:t xml:space="preserve"> Table 2 provides probable rainfall for selected return periods.</w:t>
      </w:r>
    </w:p>
    <w:p w14:paraId="29C096C2" w14:textId="0657D278" w:rsidR="0015300D" w:rsidRPr="006F4AAF" w:rsidRDefault="0015300D" w:rsidP="00F87018">
      <w:pPr>
        <w:spacing w:line="360" w:lineRule="auto"/>
        <w:jc w:val="center"/>
        <w:rPr>
          <w:rFonts w:ascii="Arial" w:hAnsi="Arial" w:cs="Arial"/>
          <w:b/>
          <w:bCs/>
          <w:sz w:val="20"/>
          <w:szCs w:val="20"/>
        </w:rPr>
      </w:pPr>
      <w:r w:rsidRPr="006F4AAF">
        <w:rPr>
          <w:rFonts w:ascii="Arial" w:hAnsi="Arial" w:cs="Arial"/>
          <w:b/>
          <w:bCs/>
          <w:sz w:val="20"/>
          <w:szCs w:val="20"/>
        </w:rPr>
        <w:t>Table 1: Estimated rainfall at different probabilities</w:t>
      </w:r>
    </w:p>
    <w:tbl>
      <w:tblPr>
        <w:tblW w:w="0" w:type="auto"/>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771"/>
        <w:gridCol w:w="2307"/>
      </w:tblGrid>
      <w:tr w:rsidR="001A5F6B" w:rsidRPr="00380E5A" w14:paraId="2D882DF4" w14:textId="77777777" w:rsidTr="00380E5A">
        <w:trPr>
          <w:tblCellSpacing w:w="15" w:type="dxa"/>
          <w:jc w:val="center"/>
        </w:trPr>
        <w:tc>
          <w:tcPr>
            <w:tcW w:w="0" w:type="auto"/>
            <w:tcBorders>
              <w:bottom w:val="single" w:sz="4" w:space="0" w:color="auto"/>
            </w:tcBorders>
            <w:vAlign w:val="center"/>
            <w:hideMark/>
          </w:tcPr>
          <w:p w14:paraId="5A0AC49A" w14:textId="77777777" w:rsidR="001A5F6B" w:rsidRPr="00380E5A" w:rsidRDefault="001A5F6B" w:rsidP="00F87018">
            <w:pPr>
              <w:spacing w:line="360" w:lineRule="auto"/>
              <w:jc w:val="center"/>
              <w:rPr>
                <w:rFonts w:ascii="Arial" w:hAnsi="Arial" w:cs="Arial"/>
                <w:b/>
                <w:bCs/>
                <w:sz w:val="20"/>
                <w:szCs w:val="20"/>
              </w:rPr>
            </w:pPr>
            <w:r w:rsidRPr="00380E5A">
              <w:rPr>
                <w:rFonts w:ascii="Arial" w:hAnsi="Arial" w:cs="Arial"/>
                <w:b/>
                <w:bCs/>
                <w:sz w:val="20"/>
                <w:szCs w:val="20"/>
              </w:rPr>
              <w:t>Target Probability</w:t>
            </w:r>
          </w:p>
        </w:tc>
        <w:tc>
          <w:tcPr>
            <w:tcW w:w="0" w:type="auto"/>
            <w:tcBorders>
              <w:left w:val="single" w:sz="4" w:space="0" w:color="auto"/>
              <w:bottom w:val="single" w:sz="4" w:space="0" w:color="auto"/>
            </w:tcBorders>
            <w:vAlign w:val="center"/>
            <w:hideMark/>
          </w:tcPr>
          <w:p w14:paraId="6A2521A2" w14:textId="77777777" w:rsidR="001A5F6B" w:rsidRPr="00380E5A" w:rsidRDefault="001A5F6B" w:rsidP="00F87018">
            <w:pPr>
              <w:spacing w:line="360" w:lineRule="auto"/>
              <w:jc w:val="center"/>
              <w:rPr>
                <w:rFonts w:ascii="Arial" w:hAnsi="Arial" w:cs="Arial"/>
                <w:b/>
                <w:bCs/>
                <w:sz w:val="20"/>
                <w:szCs w:val="20"/>
              </w:rPr>
            </w:pPr>
            <w:r w:rsidRPr="00380E5A">
              <w:rPr>
                <w:rFonts w:ascii="Arial" w:hAnsi="Arial" w:cs="Arial"/>
                <w:b/>
                <w:bCs/>
                <w:sz w:val="20"/>
                <w:szCs w:val="20"/>
              </w:rPr>
              <w:t>Estimated Rainfall (cm)</w:t>
            </w:r>
          </w:p>
        </w:tc>
      </w:tr>
      <w:tr w:rsidR="001A5F6B" w:rsidRPr="00380E5A" w14:paraId="219B140F" w14:textId="77777777" w:rsidTr="00380E5A">
        <w:trPr>
          <w:tblCellSpacing w:w="15" w:type="dxa"/>
          <w:jc w:val="center"/>
        </w:trPr>
        <w:tc>
          <w:tcPr>
            <w:tcW w:w="0" w:type="auto"/>
            <w:tcBorders>
              <w:bottom w:val="single" w:sz="4" w:space="0" w:color="auto"/>
            </w:tcBorders>
            <w:vAlign w:val="center"/>
            <w:hideMark/>
          </w:tcPr>
          <w:p w14:paraId="5C57A4E8" w14:textId="77777777" w:rsidR="001A5F6B" w:rsidRPr="00380E5A" w:rsidRDefault="001A5F6B" w:rsidP="00F87018">
            <w:pPr>
              <w:spacing w:line="360" w:lineRule="auto"/>
              <w:jc w:val="center"/>
              <w:rPr>
                <w:rFonts w:ascii="Arial" w:hAnsi="Arial" w:cs="Arial"/>
                <w:sz w:val="20"/>
                <w:szCs w:val="20"/>
              </w:rPr>
            </w:pPr>
            <w:r w:rsidRPr="00380E5A">
              <w:rPr>
                <w:rFonts w:ascii="Arial" w:hAnsi="Arial" w:cs="Arial"/>
                <w:sz w:val="20"/>
                <w:szCs w:val="20"/>
              </w:rPr>
              <w:t>50%</w:t>
            </w:r>
          </w:p>
        </w:tc>
        <w:tc>
          <w:tcPr>
            <w:tcW w:w="0" w:type="auto"/>
            <w:tcBorders>
              <w:left w:val="single" w:sz="4" w:space="0" w:color="auto"/>
              <w:bottom w:val="single" w:sz="4" w:space="0" w:color="auto"/>
            </w:tcBorders>
            <w:vAlign w:val="center"/>
            <w:hideMark/>
          </w:tcPr>
          <w:p w14:paraId="295E4C1F" w14:textId="0D2399D2" w:rsidR="001A5F6B" w:rsidRPr="00380E5A" w:rsidRDefault="00DB2802" w:rsidP="00F87018">
            <w:pPr>
              <w:spacing w:line="360" w:lineRule="auto"/>
              <w:jc w:val="center"/>
              <w:rPr>
                <w:rFonts w:ascii="Arial" w:hAnsi="Arial" w:cs="Arial"/>
                <w:sz w:val="20"/>
                <w:szCs w:val="20"/>
              </w:rPr>
            </w:pPr>
            <w:r w:rsidRPr="00380E5A">
              <w:rPr>
                <w:rFonts w:ascii="Arial" w:hAnsi="Arial" w:cs="Arial"/>
                <w:sz w:val="20"/>
                <w:szCs w:val="20"/>
              </w:rPr>
              <w:t>333</w:t>
            </w:r>
            <w:r w:rsidR="001A5F6B" w:rsidRPr="00380E5A">
              <w:rPr>
                <w:rFonts w:ascii="Arial" w:hAnsi="Arial" w:cs="Arial"/>
                <w:sz w:val="20"/>
                <w:szCs w:val="20"/>
              </w:rPr>
              <w:t>.00</w:t>
            </w:r>
          </w:p>
        </w:tc>
      </w:tr>
      <w:tr w:rsidR="001A5F6B" w:rsidRPr="00380E5A" w14:paraId="03C9A00D" w14:textId="77777777" w:rsidTr="00380E5A">
        <w:trPr>
          <w:tblCellSpacing w:w="15" w:type="dxa"/>
          <w:jc w:val="center"/>
        </w:trPr>
        <w:tc>
          <w:tcPr>
            <w:tcW w:w="0" w:type="auto"/>
            <w:vAlign w:val="center"/>
            <w:hideMark/>
          </w:tcPr>
          <w:p w14:paraId="555D5246" w14:textId="77777777" w:rsidR="001A5F6B" w:rsidRPr="00380E5A" w:rsidRDefault="001A5F6B" w:rsidP="00F87018">
            <w:pPr>
              <w:spacing w:line="360" w:lineRule="auto"/>
              <w:jc w:val="center"/>
              <w:rPr>
                <w:rFonts w:ascii="Arial" w:hAnsi="Arial" w:cs="Arial"/>
                <w:sz w:val="20"/>
                <w:szCs w:val="20"/>
              </w:rPr>
            </w:pPr>
            <w:r w:rsidRPr="00380E5A">
              <w:rPr>
                <w:rFonts w:ascii="Arial" w:hAnsi="Arial" w:cs="Arial"/>
                <w:sz w:val="20"/>
                <w:szCs w:val="20"/>
              </w:rPr>
              <w:t>70%</w:t>
            </w:r>
          </w:p>
        </w:tc>
        <w:tc>
          <w:tcPr>
            <w:tcW w:w="0" w:type="auto"/>
            <w:tcBorders>
              <w:left w:val="single" w:sz="4" w:space="0" w:color="auto"/>
            </w:tcBorders>
            <w:vAlign w:val="center"/>
            <w:hideMark/>
          </w:tcPr>
          <w:p w14:paraId="782A2490" w14:textId="6AC8C6FC" w:rsidR="001A5F6B" w:rsidRPr="00380E5A" w:rsidRDefault="001A5F6B" w:rsidP="00F87018">
            <w:pPr>
              <w:spacing w:line="360" w:lineRule="auto"/>
              <w:jc w:val="center"/>
              <w:rPr>
                <w:rFonts w:ascii="Arial" w:hAnsi="Arial" w:cs="Arial"/>
                <w:sz w:val="20"/>
                <w:szCs w:val="20"/>
              </w:rPr>
            </w:pPr>
            <w:r w:rsidRPr="00380E5A">
              <w:rPr>
                <w:rFonts w:ascii="Arial" w:hAnsi="Arial" w:cs="Arial"/>
                <w:sz w:val="20"/>
                <w:szCs w:val="20"/>
              </w:rPr>
              <w:t>2</w:t>
            </w:r>
            <w:r w:rsidR="00DB2802" w:rsidRPr="00380E5A">
              <w:rPr>
                <w:rFonts w:ascii="Arial" w:hAnsi="Arial" w:cs="Arial"/>
                <w:sz w:val="20"/>
                <w:szCs w:val="20"/>
              </w:rPr>
              <w:t>95.30</w:t>
            </w:r>
          </w:p>
        </w:tc>
      </w:tr>
      <w:tr w:rsidR="001A5F6B" w:rsidRPr="00380E5A" w14:paraId="716E130B" w14:textId="77777777" w:rsidTr="00380E5A">
        <w:trPr>
          <w:tblCellSpacing w:w="15" w:type="dxa"/>
          <w:jc w:val="center"/>
        </w:trPr>
        <w:tc>
          <w:tcPr>
            <w:tcW w:w="0" w:type="auto"/>
            <w:tcBorders>
              <w:top w:val="single" w:sz="4" w:space="0" w:color="auto"/>
            </w:tcBorders>
            <w:vAlign w:val="center"/>
            <w:hideMark/>
          </w:tcPr>
          <w:p w14:paraId="690DD063" w14:textId="77777777" w:rsidR="001A5F6B" w:rsidRPr="00380E5A" w:rsidRDefault="001A5F6B" w:rsidP="00F87018">
            <w:pPr>
              <w:spacing w:line="360" w:lineRule="auto"/>
              <w:jc w:val="center"/>
              <w:rPr>
                <w:rFonts w:ascii="Arial" w:hAnsi="Arial" w:cs="Arial"/>
                <w:sz w:val="20"/>
                <w:szCs w:val="20"/>
              </w:rPr>
            </w:pPr>
            <w:r w:rsidRPr="00380E5A">
              <w:rPr>
                <w:rFonts w:ascii="Arial" w:hAnsi="Arial" w:cs="Arial"/>
                <w:sz w:val="20"/>
                <w:szCs w:val="20"/>
              </w:rPr>
              <w:t>90%</w:t>
            </w:r>
          </w:p>
        </w:tc>
        <w:tc>
          <w:tcPr>
            <w:tcW w:w="0" w:type="auto"/>
            <w:tcBorders>
              <w:top w:val="single" w:sz="4" w:space="0" w:color="auto"/>
              <w:left w:val="single" w:sz="4" w:space="0" w:color="auto"/>
            </w:tcBorders>
            <w:vAlign w:val="center"/>
            <w:hideMark/>
          </w:tcPr>
          <w:p w14:paraId="5200529C" w14:textId="3BB2EDC8" w:rsidR="001A5F6B" w:rsidRPr="00380E5A" w:rsidRDefault="00DB2802" w:rsidP="00F87018">
            <w:pPr>
              <w:spacing w:line="360" w:lineRule="auto"/>
              <w:jc w:val="center"/>
              <w:rPr>
                <w:rFonts w:ascii="Arial" w:hAnsi="Arial" w:cs="Arial"/>
                <w:sz w:val="20"/>
                <w:szCs w:val="20"/>
              </w:rPr>
            </w:pPr>
            <w:r w:rsidRPr="00380E5A">
              <w:rPr>
                <w:rFonts w:ascii="Arial" w:hAnsi="Arial" w:cs="Arial"/>
                <w:sz w:val="20"/>
                <w:szCs w:val="20"/>
              </w:rPr>
              <w:t>268.10</w:t>
            </w:r>
          </w:p>
        </w:tc>
      </w:tr>
    </w:tbl>
    <w:p w14:paraId="26DD8E2D" w14:textId="1A334F39" w:rsidR="001A5F6B" w:rsidRPr="006F4AAF" w:rsidRDefault="001A5F6B" w:rsidP="00F87018">
      <w:pPr>
        <w:spacing w:line="360" w:lineRule="auto"/>
        <w:jc w:val="center"/>
        <w:rPr>
          <w:rFonts w:ascii="Arial" w:hAnsi="Arial" w:cs="Arial"/>
          <w:b/>
          <w:bCs/>
          <w:sz w:val="20"/>
          <w:szCs w:val="20"/>
        </w:rPr>
      </w:pPr>
      <w:r w:rsidRPr="006F4AAF">
        <w:rPr>
          <w:rFonts w:ascii="Arial" w:hAnsi="Arial" w:cs="Arial"/>
          <w:b/>
          <w:bCs/>
          <w:sz w:val="20"/>
          <w:szCs w:val="20"/>
        </w:rPr>
        <w:t>Table 2 probable rainfall for selected return periods.</w:t>
      </w:r>
    </w:p>
    <w:tbl>
      <w:tblPr>
        <w:tblW w:w="0" w:type="auto"/>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012"/>
        <w:gridCol w:w="2141"/>
      </w:tblGrid>
      <w:tr w:rsidR="001A5F6B" w:rsidRPr="00334A80" w14:paraId="1EB9E83C" w14:textId="77777777" w:rsidTr="00380E5A">
        <w:trPr>
          <w:tblCellSpacing w:w="15" w:type="dxa"/>
          <w:jc w:val="center"/>
        </w:trPr>
        <w:tc>
          <w:tcPr>
            <w:tcW w:w="0" w:type="auto"/>
            <w:vAlign w:val="center"/>
            <w:hideMark/>
          </w:tcPr>
          <w:p w14:paraId="1CA40D85" w14:textId="77777777" w:rsidR="001A5F6B" w:rsidRPr="00334A80" w:rsidRDefault="001A5F6B" w:rsidP="00F87018">
            <w:pPr>
              <w:spacing w:line="360" w:lineRule="auto"/>
              <w:jc w:val="center"/>
              <w:rPr>
                <w:rFonts w:ascii="Arial" w:hAnsi="Arial" w:cs="Arial"/>
                <w:sz w:val="20"/>
                <w:szCs w:val="20"/>
              </w:rPr>
            </w:pPr>
            <w:r w:rsidRPr="00334A80">
              <w:rPr>
                <w:rFonts w:ascii="Arial" w:hAnsi="Arial" w:cs="Arial"/>
                <w:sz w:val="20"/>
                <w:szCs w:val="20"/>
              </w:rPr>
              <w:t>Return Period (Years)</w:t>
            </w:r>
          </w:p>
        </w:tc>
        <w:tc>
          <w:tcPr>
            <w:tcW w:w="0" w:type="auto"/>
            <w:tcBorders>
              <w:left w:val="single" w:sz="4" w:space="0" w:color="auto"/>
            </w:tcBorders>
            <w:vAlign w:val="center"/>
            <w:hideMark/>
          </w:tcPr>
          <w:p w14:paraId="5CA7717E" w14:textId="77777777" w:rsidR="001A5F6B" w:rsidRPr="00334A80" w:rsidRDefault="001A5F6B" w:rsidP="00F87018">
            <w:pPr>
              <w:spacing w:line="360" w:lineRule="auto"/>
              <w:jc w:val="center"/>
              <w:rPr>
                <w:rFonts w:ascii="Arial" w:hAnsi="Arial" w:cs="Arial"/>
                <w:sz w:val="20"/>
                <w:szCs w:val="20"/>
              </w:rPr>
            </w:pPr>
            <w:r w:rsidRPr="00334A80">
              <w:rPr>
                <w:rFonts w:ascii="Arial" w:hAnsi="Arial" w:cs="Arial"/>
                <w:sz w:val="20"/>
                <w:szCs w:val="20"/>
              </w:rPr>
              <w:t>Probable Rainfall (mm)</w:t>
            </w:r>
          </w:p>
        </w:tc>
      </w:tr>
      <w:tr w:rsidR="00DB2802" w:rsidRPr="00334A80" w14:paraId="39BC043C" w14:textId="77777777" w:rsidTr="00380E5A">
        <w:trPr>
          <w:tblCellSpacing w:w="15" w:type="dxa"/>
          <w:jc w:val="center"/>
        </w:trPr>
        <w:tc>
          <w:tcPr>
            <w:tcW w:w="0" w:type="auto"/>
            <w:tcBorders>
              <w:top w:val="single" w:sz="4" w:space="0" w:color="auto"/>
              <w:bottom w:val="single" w:sz="4" w:space="0" w:color="auto"/>
            </w:tcBorders>
            <w:vAlign w:val="center"/>
            <w:hideMark/>
          </w:tcPr>
          <w:p w14:paraId="5D0F0A21" w14:textId="77777777" w:rsidR="00DB2802" w:rsidRPr="00334A80" w:rsidRDefault="00DB2802" w:rsidP="00F87018">
            <w:pPr>
              <w:spacing w:line="360" w:lineRule="auto"/>
              <w:jc w:val="center"/>
              <w:rPr>
                <w:rFonts w:ascii="Arial" w:hAnsi="Arial" w:cs="Arial"/>
                <w:sz w:val="20"/>
                <w:szCs w:val="20"/>
              </w:rPr>
            </w:pPr>
            <w:r w:rsidRPr="00334A80">
              <w:rPr>
                <w:rFonts w:ascii="Arial" w:hAnsi="Arial" w:cs="Arial"/>
                <w:sz w:val="20"/>
                <w:szCs w:val="20"/>
              </w:rPr>
              <w:t>25</w:t>
            </w:r>
          </w:p>
        </w:tc>
        <w:tc>
          <w:tcPr>
            <w:tcW w:w="0" w:type="auto"/>
            <w:tcBorders>
              <w:top w:val="single" w:sz="4" w:space="0" w:color="auto"/>
              <w:left w:val="single" w:sz="4" w:space="0" w:color="auto"/>
              <w:bottom w:val="single" w:sz="4" w:space="0" w:color="auto"/>
            </w:tcBorders>
            <w:hideMark/>
          </w:tcPr>
          <w:p w14:paraId="25048701" w14:textId="04A2F940" w:rsidR="00DB2802" w:rsidRPr="00334A80" w:rsidRDefault="00DB2802" w:rsidP="00F87018">
            <w:pPr>
              <w:spacing w:line="360" w:lineRule="auto"/>
              <w:jc w:val="center"/>
              <w:rPr>
                <w:rFonts w:ascii="Arial" w:hAnsi="Arial" w:cs="Arial"/>
                <w:sz w:val="20"/>
                <w:szCs w:val="20"/>
              </w:rPr>
            </w:pPr>
            <w:r w:rsidRPr="00334A80">
              <w:rPr>
                <w:rFonts w:ascii="Arial" w:hAnsi="Arial" w:cs="Arial"/>
                <w:kern w:val="0"/>
                <w:sz w:val="20"/>
                <w:szCs w:val="20"/>
                <w:lang w:bidi="te-IN"/>
              </w:rPr>
              <w:t>414.425</w:t>
            </w:r>
          </w:p>
        </w:tc>
      </w:tr>
      <w:tr w:rsidR="00DB2802" w:rsidRPr="00334A80" w14:paraId="58BCF0C2" w14:textId="77777777" w:rsidTr="00380E5A">
        <w:trPr>
          <w:tblCellSpacing w:w="15" w:type="dxa"/>
          <w:jc w:val="center"/>
        </w:trPr>
        <w:tc>
          <w:tcPr>
            <w:tcW w:w="0" w:type="auto"/>
            <w:vAlign w:val="center"/>
            <w:hideMark/>
          </w:tcPr>
          <w:p w14:paraId="7CFB4796" w14:textId="77777777" w:rsidR="00DB2802" w:rsidRPr="00334A80" w:rsidRDefault="00DB2802" w:rsidP="00F87018">
            <w:pPr>
              <w:spacing w:line="360" w:lineRule="auto"/>
              <w:jc w:val="center"/>
              <w:rPr>
                <w:rFonts w:ascii="Arial" w:hAnsi="Arial" w:cs="Arial"/>
                <w:sz w:val="20"/>
                <w:szCs w:val="20"/>
              </w:rPr>
            </w:pPr>
            <w:r w:rsidRPr="00334A80">
              <w:rPr>
                <w:rFonts w:ascii="Arial" w:hAnsi="Arial" w:cs="Arial"/>
                <w:sz w:val="20"/>
                <w:szCs w:val="20"/>
              </w:rPr>
              <w:t>75</w:t>
            </w:r>
          </w:p>
        </w:tc>
        <w:tc>
          <w:tcPr>
            <w:tcW w:w="0" w:type="auto"/>
            <w:tcBorders>
              <w:left w:val="single" w:sz="4" w:space="0" w:color="auto"/>
            </w:tcBorders>
            <w:hideMark/>
          </w:tcPr>
          <w:p w14:paraId="4EF644DF" w14:textId="7EDFAA8A" w:rsidR="00DB2802" w:rsidRPr="00334A80" w:rsidRDefault="00DB2802" w:rsidP="00F87018">
            <w:pPr>
              <w:spacing w:line="360" w:lineRule="auto"/>
              <w:jc w:val="center"/>
              <w:rPr>
                <w:rFonts w:ascii="Arial" w:hAnsi="Arial" w:cs="Arial"/>
                <w:sz w:val="20"/>
                <w:szCs w:val="20"/>
              </w:rPr>
            </w:pPr>
            <w:r w:rsidRPr="00334A80">
              <w:rPr>
                <w:rFonts w:ascii="Arial" w:hAnsi="Arial" w:cs="Arial"/>
                <w:kern w:val="0"/>
                <w:sz w:val="20"/>
                <w:szCs w:val="20"/>
                <w:lang w:bidi="te-IN"/>
              </w:rPr>
              <w:t>603.535</w:t>
            </w:r>
          </w:p>
        </w:tc>
      </w:tr>
      <w:tr w:rsidR="00DB2802" w:rsidRPr="00334A80" w14:paraId="23C491F6" w14:textId="77777777" w:rsidTr="00380E5A">
        <w:trPr>
          <w:tblCellSpacing w:w="15" w:type="dxa"/>
          <w:jc w:val="center"/>
        </w:trPr>
        <w:tc>
          <w:tcPr>
            <w:tcW w:w="0" w:type="auto"/>
            <w:tcBorders>
              <w:top w:val="single" w:sz="4" w:space="0" w:color="auto"/>
            </w:tcBorders>
            <w:vAlign w:val="center"/>
            <w:hideMark/>
          </w:tcPr>
          <w:p w14:paraId="636D22D5" w14:textId="77777777" w:rsidR="00DB2802" w:rsidRPr="00334A80" w:rsidRDefault="00DB2802" w:rsidP="00F87018">
            <w:pPr>
              <w:spacing w:line="360" w:lineRule="auto"/>
              <w:jc w:val="center"/>
              <w:rPr>
                <w:rFonts w:ascii="Arial" w:hAnsi="Arial" w:cs="Arial"/>
                <w:sz w:val="20"/>
                <w:szCs w:val="20"/>
              </w:rPr>
            </w:pPr>
            <w:r w:rsidRPr="00334A80">
              <w:rPr>
                <w:rFonts w:ascii="Arial" w:hAnsi="Arial" w:cs="Arial"/>
                <w:sz w:val="20"/>
                <w:szCs w:val="20"/>
              </w:rPr>
              <w:t>100</w:t>
            </w:r>
          </w:p>
        </w:tc>
        <w:tc>
          <w:tcPr>
            <w:tcW w:w="0" w:type="auto"/>
            <w:tcBorders>
              <w:top w:val="single" w:sz="4" w:space="0" w:color="auto"/>
              <w:left w:val="single" w:sz="4" w:space="0" w:color="auto"/>
            </w:tcBorders>
            <w:hideMark/>
          </w:tcPr>
          <w:p w14:paraId="6CDE35D8" w14:textId="09E6A964" w:rsidR="00DB2802" w:rsidRPr="00334A80" w:rsidRDefault="00DB2802" w:rsidP="00F87018">
            <w:pPr>
              <w:spacing w:line="360" w:lineRule="auto"/>
              <w:jc w:val="center"/>
              <w:rPr>
                <w:rFonts w:ascii="Arial" w:hAnsi="Arial" w:cs="Arial"/>
                <w:sz w:val="20"/>
                <w:szCs w:val="20"/>
              </w:rPr>
            </w:pPr>
            <w:r w:rsidRPr="00334A80">
              <w:rPr>
                <w:rFonts w:ascii="Arial" w:hAnsi="Arial" w:cs="Arial"/>
                <w:kern w:val="0"/>
                <w:sz w:val="20"/>
                <w:szCs w:val="20"/>
                <w:lang w:bidi="te-IN"/>
              </w:rPr>
              <w:t>698.09</w:t>
            </w:r>
          </w:p>
        </w:tc>
      </w:tr>
    </w:tbl>
    <w:p w14:paraId="5FDEBA75" w14:textId="11505E01" w:rsidR="00DB2802" w:rsidRDefault="00DB2802" w:rsidP="00145AB2">
      <w:pPr>
        <w:autoSpaceDE w:val="0"/>
        <w:autoSpaceDN w:val="0"/>
        <w:adjustRightInd w:val="0"/>
        <w:spacing w:before="240" w:line="360" w:lineRule="auto"/>
        <w:jc w:val="both"/>
        <w:rPr>
          <w:rFonts w:ascii="Arial" w:hAnsi="Arial" w:cs="Arial"/>
          <w:kern w:val="0"/>
          <w:sz w:val="20"/>
          <w:szCs w:val="20"/>
          <w:lang w:bidi="te-IN"/>
        </w:rPr>
      </w:pPr>
      <w:r w:rsidRPr="00334A80">
        <w:rPr>
          <w:rFonts w:ascii="Arial" w:hAnsi="Arial" w:cs="Arial"/>
          <w:kern w:val="0"/>
          <w:sz w:val="20"/>
          <w:szCs w:val="20"/>
          <w:lang w:bidi="te-IN"/>
        </w:rPr>
        <w:t>This figure</w:t>
      </w:r>
      <w:r w:rsidR="0015300D" w:rsidRPr="00334A80">
        <w:rPr>
          <w:rFonts w:ascii="Arial" w:hAnsi="Arial" w:cs="Arial"/>
          <w:kern w:val="0"/>
          <w:sz w:val="20"/>
          <w:szCs w:val="20"/>
          <w:lang w:bidi="te-IN"/>
        </w:rPr>
        <w:t xml:space="preserve"> 2</w:t>
      </w:r>
      <w:r w:rsidRPr="00334A80">
        <w:rPr>
          <w:rFonts w:ascii="Arial" w:hAnsi="Arial" w:cs="Arial"/>
          <w:kern w:val="0"/>
          <w:sz w:val="20"/>
          <w:szCs w:val="20"/>
          <w:lang w:bidi="te-IN"/>
        </w:rPr>
        <w:t xml:space="preserve"> demonstrates the rainfall trends in Zone II using Weibull’s probability distribution method. The analysis captures significant temporal rainfall variations, underlining the climatic instability in the region over the past century. It provides a scientific basis for assessing flood and drought vulnerability in Zone II.</w:t>
      </w:r>
      <w:r w:rsidR="00051545" w:rsidRPr="00334A80">
        <w:rPr>
          <w:rFonts w:ascii="Arial" w:hAnsi="Arial" w:cs="Arial"/>
          <w:kern w:val="0"/>
          <w:sz w:val="20"/>
          <w:szCs w:val="20"/>
          <w:lang w:bidi="te-IN"/>
        </w:rPr>
        <w:t xml:space="preserve"> </w:t>
      </w:r>
      <w:r w:rsidR="00976A1A" w:rsidRPr="00976A1A">
        <w:rPr>
          <w:rFonts w:ascii="Arial" w:hAnsi="Arial" w:cs="Arial"/>
          <w:kern w:val="0"/>
          <w:sz w:val="20"/>
          <w:szCs w:val="20"/>
          <w:lang w:bidi="te-IN"/>
        </w:rPr>
        <w:t xml:space="preserve">Several probability distributions have been employed to model wind speed frequency, including the gamma, lognormal, three-parameter beta, Rayleigh, and Weibull distributions. Among </w:t>
      </w:r>
      <w:r w:rsidR="00976A1A" w:rsidRPr="00976A1A">
        <w:rPr>
          <w:rFonts w:ascii="Arial" w:hAnsi="Arial" w:cs="Arial"/>
          <w:kern w:val="0"/>
          <w:sz w:val="20"/>
          <w:szCs w:val="20"/>
          <w:lang w:bidi="te-IN"/>
        </w:rPr>
        <w:lastRenderedPageBreak/>
        <w:t>these, the Weibull distribution has gained significant prominence in recent years due to its flexibility and accuracy in representing wind speed characteristics. It has become the preferred choice for estimating wind energy potential and is widely integrated into commercial wind energy assessment tools such as the Wind Atlas Analysis and Application Program (</w:t>
      </w:r>
      <w:proofErr w:type="spellStart"/>
      <w:r w:rsidR="00976A1A" w:rsidRPr="00976A1A">
        <w:rPr>
          <w:rFonts w:ascii="Arial" w:hAnsi="Arial" w:cs="Arial"/>
          <w:kern w:val="0"/>
          <w:sz w:val="20"/>
          <w:szCs w:val="20"/>
          <w:lang w:bidi="te-IN"/>
        </w:rPr>
        <w:t>WAsP</w:t>
      </w:r>
      <w:proofErr w:type="spellEnd"/>
      <w:r w:rsidR="00976A1A" w:rsidRPr="00976A1A">
        <w:rPr>
          <w:rFonts w:ascii="Arial" w:hAnsi="Arial" w:cs="Arial"/>
          <w:kern w:val="0"/>
          <w:sz w:val="20"/>
          <w:szCs w:val="20"/>
          <w:lang w:bidi="te-IN"/>
        </w:rPr>
        <w:t xml:space="preserve">) (Akdag </w:t>
      </w:r>
      <w:r w:rsidR="00976A1A" w:rsidRPr="00145AB2">
        <w:rPr>
          <w:rFonts w:ascii="Arial" w:hAnsi="Arial" w:cs="Arial"/>
          <w:i/>
          <w:iCs/>
          <w:kern w:val="0"/>
          <w:sz w:val="20"/>
          <w:szCs w:val="20"/>
          <w:lang w:bidi="te-IN"/>
        </w:rPr>
        <w:t>et al.,</w:t>
      </w:r>
      <w:r w:rsidR="00976A1A" w:rsidRPr="00976A1A">
        <w:rPr>
          <w:rFonts w:ascii="Arial" w:hAnsi="Arial" w:cs="Arial"/>
          <w:kern w:val="0"/>
          <w:sz w:val="20"/>
          <w:szCs w:val="20"/>
          <w:lang w:bidi="te-IN"/>
        </w:rPr>
        <w:t xml:space="preserve"> 2009).</w:t>
      </w:r>
    </w:p>
    <w:p w14:paraId="7903CD3C" w14:textId="77777777" w:rsidR="006F4AAF" w:rsidRPr="00334A80" w:rsidRDefault="006F4AAF" w:rsidP="00F87018">
      <w:pPr>
        <w:autoSpaceDE w:val="0"/>
        <w:autoSpaceDN w:val="0"/>
        <w:adjustRightInd w:val="0"/>
        <w:spacing w:line="360" w:lineRule="auto"/>
        <w:jc w:val="center"/>
        <w:rPr>
          <w:rFonts w:ascii="Arial" w:hAnsi="Arial" w:cs="Arial"/>
          <w:kern w:val="0"/>
          <w:sz w:val="20"/>
          <w:szCs w:val="20"/>
          <w:lang w:bidi="te-IN"/>
        </w:rPr>
      </w:pPr>
      <w:r w:rsidRPr="00334A80">
        <w:rPr>
          <w:rFonts w:ascii="Arial" w:hAnsi="Arial" w:cs="Arial"/>
          <w:noProof/>
          <w:kern w:val="0"/>
          <w:sz w:val="20"/>
          <w:szCs w:val="20"/>
          <w:lang w:bidi="te-IN"/>
        </w:rPr>
        <w:drawing>
          <wp:inline distT="0" distB="0" distL="0" distR="0" wp14:anchorId="77C5F2C4" wp14:editId="27F3A22C">
            <wp:extent cx="3761740" cy="2354580"/>
            <wp:effectExtent l="0" t="0" r="0" b="7620"/>
            <wp:docPr id="149570242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63312" cy="2355564"/>
                    </a:xfrm>
                    <a:prstGeom prst="rect">
                      <a:avLst/>
                    </a:prstGeom>
                    <a:noFill/>
                  </pic:spPr>
                </pic:pic>
              </a:graphicData>
            </a:graphic>
          </wp:inline>
        </w:drawing>
      </w:r>
    </w:p>
    <w:p w14:paraId="21E560F9" w14:textId="77777777" w:rsidR="006F4AAF" w:rsidRPr="00334A80" w:rsidRDefault="006F4AAF" w:rsidP="00F87018">
      <w:pPr>
        <w:autoSpaceDE w:val="0"/>
        <w:autoSpaceDN w:val="0"/>
        <w:adjustRightInd w:val="0"/>
        <w:spacing w:line="360" w:lineRule="auto"/>
        <w:jc w:val="center"/>
        <w:rPr>
          <w:rFonts w:ascii="Arial" w:hAnsi="Arial" w:cs="Arial"/>
          <w:b/>
          <w:bCs/>
          <w:kern w:val="0"/>
          <w:sz w:val="20"/>
          <w:szCs w:val="20"/>
          <w:lang w:bidi="te-IN"/>
        </w:rPr>
      </w:pPr>
      <w:r w:rsidRPr="00334A80">
        <w:rPr>
          <w:rFonts w:ascii="Arial" w:hAnsi="Arial" w:cs="Arial"/>
          <w:b/>
          <w:bCs/>
          <w:kern w:val="0"/>
          <w:sz w:val="20"/>
          <w:szCs w:val="20"/>
          <w:lang w:bidi="te-IN"/>
        </w:rPr>
        <w:t>Figure 2. Weibull's Rainfall Analysis for 100 Years for Zone II</w:t>
      </w:r>
    </w:p>
    <w:p w14:paraId="472052D3" w14:textId="49DD9381" w:rsidR="001A5F6B" w:rsidRDefault="001A5F6B" w:rsidP="00F87018">
      <w:pPr>
        <w:spacing w:line="360" w:lineRule="auto"/>
        <w:rPr>
          <w:rFonts w:ascii="Arial" w:hAnsi="Arial" w:cs="Arial"/>
          <w:b/>
          <w:bCs/>
        </w:rPr>
      </w:pPr>
      <w:r w:rsidRPr="00334A80">
        <w:rPr>
          <w:rFonts w:ascii="Arial" w:hAnsi="Arial" w:cs="Arial"/>
          <w:b/>
          <w:bCs/>
        </w:rPr>
        <w:t>3.2 Regression Analysis of Rainfall Trends</w:t>
      </w:r>
    </w:p>
    <w:p w14:paraId="1BC68681" w14:textId="33866E7B" w:rsidR="006F4AAF" w:rsidRPr="00334A80" w:rsidRDefault="006F4AAF" w:rsidP="00F87018">
      <w:pPr>
        <w:spacing w:line="360" w:lineRule="auto"/>
        <w:jc w:val="both"/>
        <w:rPr>
          <w:rFonts w:ascii="Arial" w:hAnsi="Arial" w:cs="Arial"/>
          <w:sz w:val="20"/>
          <w:szCs w:val="20"/>
        </w:rPr>
      </w:pPr>
      <w:r w:rsidRPr="00334A80">
        <w:rPr>
          <w:rFonts w:ascii="Arial" w:hAnsi="Arial" w:cs="Arial"/>
          <w:sz w:val="20"/>
          <w:szCs w:val="20"/>
        </w:rPr>
        <w:t>These results reflect moderate variability in seasonal rainfall, with the pre-monsoon phase showing the most positive trend. Summary of regression equation with corresponding R</w:t>
      </w:r>
      <w:r w:rsidRPr="00F87018">
        <w:rPr>
          <w:rFonts w:ascii="Arial" w:hAnsi="Arial" w:cs="Arial"/>
          <w:sz w:val="20"/>
          <w:szCs w:val="20"/>
          <w:vertAlign w:val="superscript"/>
        </w:rPr>
        <w:t>2</w:t>
      </w:r>
      <w:r w:rsidRPr="00334A80">
        <w:rPr>
          <w:rFonts w:ascii="Arial" w:hAnsi="Arial" w:cs="Arial"/>
          <w:sz w:val="20"/>
          <w:szCs w:val="20"/>
        </w:rPr>
        <w:t xml:space="preserve"> value during 1923-2022 for Zone II was furnished in table 3.</w:t>
      </w:r>
      <w:r w:rsidRPr="00334A80">
        <w:rPr>
          <w:rFonts w:ascii="Arial" w:eastAsia="TimesNewRomanPSMT" w:hAnsi="Arial" w:cs="Arial"/>
          <w:kern w:val="0"/>
          <w:sz w:val="20"/>
          <w:szCs w:val="20"/>
          <w:lang w:bidi="te-IN"/>
        </w:rPr>
        <w:t xml:space="preserve"> </w:t>
      </w:r>
      <w:r w:rsidR="00976A1A" w:rsidRPr="00976A1A">
        <w:rPr>
          <w:rFonts w:ascii="Arial" w:hAnsi="Arial" w:cs="Arial"/>
          <w:sz w:val="20"/>
          <w:szCs w:val="20"/>
        </w:rPr>
        <w:t xml:space="preserve">Correlation analysis involves evaluating the strength and direction of a relationship between two variables using the correlation coefficient “r,” a unitless value that ranges from −1 to +1. A coefficient close to −1 suggests a strong negative (inverse) relationship, while a value near +1 indicates a strong positive association. When the data follow a normal distribution, Pearson’s correlation coefficient is typically applied. However, for data that do not meet normality assumptions, Spearman’s rank correlation is more appropriate (Kumari </w:t>
      </w:r>
      <w:r w:rsidR="00976A1A" w:rsidRPr="00145AB2">
        <w:rPr>
          <w:rFonts w:ascii="Arial" w:hAnsi="Arial" w:cs="Arial"/>
          <w:i/>
          <w:iCs/>
          <w:sz w:val="20"/>
          <w:szCs w:val="20"/>
        </w:rPr>
        <w:t>et al.,</w:t>
      </w:r>
      <w:r w:rsidR="00976A1A" w:rsidRPr="00976A1A">
        <w:rPr>
          <w:rFonts w:ascii="Arial" w:hAnsi="Arial" w:cs="Arial"/>
          <w:sz w:val="20"/>
          <w:szCs w:val="20"/>
        </w:rPr>
        <w:t xml:space="preserve"> 2018).</w:t>
      </w:r>
    </w:p>
    <w:p w14:paraId="0EE4E683" w14:textId="277EBCE6" w:rsidR="0015300D" w:rsidRPr="00334A80" w:rsidRDefault="0015300D" w:rsidP="00F87018">
      <w:pPr>
        <w:spacing w:after="0" w:line="360" w:lineRule="auto"/>
        <w:rPr>
          <w:rFonts w:ascii="Arial" w:hAnsi="Arial" w:cs="Arial"/>
          <w:sz w:val="20"/>
          <w:szCs w:val="20"/>
        </w:rPr>
      </w:pPr>
      <w:r w:rsidRPr="00334A80">
        <w:rPr>
          <w:rFonts w:ascii="Arial" w:hAnsi="Arial" w:cs="Arial"/>
          <w:b/>
          <w:bCs/>
          <w:sz w:val="20"/>
          <w:szCs w:val="20"/>
        </w:rPr>
        <w:t>Table.3 Summary table of regression equation with corresponding R2 value during 1923-2022 for Zone II</w:t>
      </w:r>
    </w:p>
    <w:tbl>
      <w:tblPr>
        <w:tblStyle w:val="TableGrid"/>
        <w:tblW w:w="6799" w:type="dxa"/>
        <w:jc w:val="center"/>
        <w:tblLayout w:type="fixed"/>
        <w:tblLook w:val="04A0" w:firstRow="1" w:lastRow="0" w:firstColumn="1" w:lastColumn="0" w:noHBand="0" w:noVBand="1"/>
      </w:tblPr>
      <w:tblGrid>
        <w:gridCol w:w="1838"/>
        <w:gridCol w:w="2268"/>
        <w:gridCol w:w="851"/>
        <w:gridCol w:w="1842"/>
      </w:tblGrid>
      <w:tr w:rsidR="00DB2802" w:rsidRPr="00334A80" w14:paraId="169C7E4A" w14:textId="77777777" w:rsidTr="009A0B59">
        <w:trPr>
          <w:jc w:val="center"/>
        </w:trPr>
        <w:tc>
          <w:tcPr>
            <w:tcW w:w="1838" w:type="dxa"/>
            <w:shd w:val="clear" w:color="auto" w:fill="auto"/>
          </w:tcPr>
          <w:p w14:paraId="7EF0D971" w14:textId="77777777" w:rsidR="00DB2802" w:rsidRPr="00334A80" w:rsidRDefault="00DB2802" w:rsidP="00F87018">
            <w:pPr>
              <w:autoSpaceDE w:val="0"/>
              <w:autoSpaceDN w:val="0"/>
              <w:adjustRightInd w:val="0"/>
              <w:spacing w:after="120" w:line="360" w:lineRule="auto"/>
              <w:ind w:firstLine="0"/>
              <w:jc w:val="both"/>
              <w:rPr>
                <w:rFonts w:ascii="Arial" w:hAnsi="Arial" w:cs="Arial"/>
                <w:kern w:val="0"/>
                <w:sz w:val="20"/>
                <w:szCs w:val="20"/>
                <w:lang w:bidi="te-IN"/>
              </w:rPr>
            </w:pPr>
            <w:r w:rsidRPr="00334A80">
              <w:rPr>
                <w:rFonts w:ascii="Arial" w:hAnsi="Arial" w:cs="Arial"/>
                <w:kern w:val="0"/>
                <w:sz w:val="20"/>
                <w:szCs w:val="20"/>
                <w:lang w:bidi="te-IN"/>
              </w:rPr>
              <w:t xml:space="preserve">Temporal Phases </w:t>
            </w:r>
          </w:p>
        </w:tc>
        <w:tc>
          <w:tcPr>
            <w:tcW w:w="2268" w:type="dxa"/>
            <w:shd w:val="clear" w:color="auto" w:fill="auto"/>
          </w:tcPr>
          <w:p w14:paraId="78D2B56A" w14:textId="77777777" w:rsidR="00DB2802" w:rsidRPr="00334A80" w:rsidRDefault="00DB2802" w:rsidP="00F87018">
            <w:pPr>
              <w:autoSpaceDE w:val="0"/>
              <w:autoSpaceDN w:val="0"/>
              <w:adjustRightInd w:val="0"/>
              <w:spacing w:after="120" w:line="360" w:lineRule="auto"/>
              <w:ind w:firstLine="0"/>
              <w:jc w:val="both"/>
              <w:rPr>
                <w:rFonts w:ascii="Arial" w:hAnsi="Arial" w:cs="Arial"/>
                <w:kern w:val="0"/>
                <w:sz w:val="20"/>
                <w:szCs w:val="20"/>
                <w:lang w:bidi="te-IN"/>
              </w:rPr>
            </w:pPr>
            <w:r w:rsidRPr="00334A80">
              <w:rPr>
                <w:rFonts w:ascii="Arial" w:hAnsi="Arial" w:cs="Arial"/>
                <w:kern w:val="0"/>
                <w:sz w:val="20"/>
                <w:szCs w:val="20"/>
                <w:lang w:bidi="te-IN"/>
              </w:rPr>
              <w:t>Regression equation</w:t>
            </w:r>
          </w:p>
        </w:tc>
        <w:tc>
          <w:tcPr>
            <w:tcW w:w="851" w:type="dxa"/>
            <w:shd w:val="clear" w:color="auto" w:fill="auto"/>
          </w:tcPr>
          <w:p w14:paraId="46869CF7" w14:textId="77777777" w:rsidR="00DB2802" w:rsidRPr="00334A80" w:rsidRDefault="00DB2802" w:rsidP="00F87018">
            <w:pPr>
              <w:autoSpaceDE w:val="0"/>
              <w:autoSpaceDN w:val="0"/>
              <w:adjustRightInd w:val="0"/>
              <w:spacing w:after="120" w:line="360" w:lineRule="auto"/>
              <w:ind w:firstLine="0"/>
              <w:jc w:val="both"/>
              <w:rPr>
                <w:rFonts w:ascii="Arial" w:hAnsi="Arial" w:cs="Arial"/>
                <w:kern w:val="0"/>
                <w:sz w:val="20"/>
                <w:szCs w:val="20"/>
                <w:lang w:bidi="te-IN"/>
              </w:rPr>
            </w:pPr>
            <w:r w:rsidRPr="00334A80">
              <w:rPr>
                <w:rFonts w:ascii="Arial" w:hAnsi="Arial" w:cs="Arial"/>
                <w:kern w:val="0"/>
                <w:sz w:val="20"/>
                <w:szCs w:val="20"/>
                <w:lang w:bidi="te-IN"/>
              </w:rPr>
              <w:t>R</w:t>
            </w:r>
            <w:r w:rsidRPr="00334A80">
              <w:rPr>
                <w:rFonts w:ascii="Arial" w:hAnsi="Arial" w:cs="Arial"/>
                <w:kern w:val="0"/>
                <w:sz w:val="20"/>
                <w:szCs w:val="20"/>
                <w:vertAlign w:val="superscript"/>
                <w:lang w:bidi="te-IN"/>
              </w:rPr>
              <w:t>2</w:t>
            </w:r>
          </w:p>
        </w:tc>
        <w:tc>
          <w:tcPr>
            <w:tcW w:w="1842" w:type="dxa"/>
            <w:shd w:val="clear" w:color="auto" w:fill="auto"/>
          </w:tcPr>
          <w:p w14:paraId="35409A81" w14:textId="07819A4C" w:rsidR="00DB2802" w:rsidRPr="00334A80" w:rsidRDefault="00DB2802" w:rsidP="00F87018">
            <w:pPr>
              <w:autoSpaceDE w:val="0"/>
              <w:autoSpaceDN w:val="0"/>
              <w:adjustRightInd w:val="0"/>
              <w:spacing w:after="120" w:line="360" w:lineRule="auto"/>
              <w:ind w:firstLine="0"/>
              <w:jc w:val="both"/>
              <w:rPr>
                <w:rFonts w:ascii="Arial" w:hAnsi="Arial" w:cs="Arial"/>
                <w:kern w:val="0"/>
                <w:sz w:val="20"/>
                <w:szCs w:val="20"/>
                <w:lang w:bidi="te-IN"/>
              </w:rPr>
            </w:pPr>
            <w:r w:rsidRPr="00334A80">
              <w:rPr>
                <w:rFonts w:ascii="Arial" w:hAnsi="Arial" w:cs="Arial"/>
                <w:sz w:val="20"/>
                <w:szCs w:val="20"/>
              </w:rPr>
              <w:t>Trend</w:t>
            </w:r>
          </w:p>
        </w:tc>
      </w:tr>
      <w:tr w:rsidR="00DB2802" w:rsidRPr="00334A80" w14:paraId="099FD95E" w14:textId="77777777" w:rsidTr="009A0B59">
        <w:trPr>
          <w:trHeight w:val="58"/>
          <w:jc w:val="center"/>
        </w:trPr>
        <w:tc>
          <w:tcPr>
            <w:tcW w:w="1838" w:type="dxa"/>
            <w:shd w:val="clear" w:color="auto" w:fill="auto"/>
          </w:tcPr>
          <w:p w14:paraId="0CA59A1A" w14:textId="77777777" w:rsidR="00DB2802" w:rsidRPr="00334A80" w:rsidRDefault="00DB2802" w:rsidP="00F87018">
            <w:pPr>
              <w:autoSpaceDE w:val="0"/>
              <w:autoSpaceDN w:val="0"/>
              <w:adjustRightInd w:val="0"/>
              <w:spacing w:after="120" w:line="360" w:lineRule="auto"/>
              <w:ind w:firstLine="0"/>
              <w:jc w:val="both"/>
              <w:rPr>
                <w:rFonts w:ascii="Arial" w:hAnsi="Arial" w:cs="Arial"/>
                <w:kern w:val="0"/>
                <w:sz w:val="20"/>
                <w:szCs w:val="20"/>
                <w:lang w:bidi="te-IN"/>
              </w:rPr>
            </w:pPr>
            <w:r w:rsidRPr="00334A80">
              <w:rPr>
                <w:rFonts w:ascii="Arial" w:hAnsi="Arial" w:cs="Arial"/>
                <w:kern w:val="0"/>
                <w:sz w:val="20"/>
                <w:szCs w:val="20"/>
                <w:lang w:bidi="te-IN"/>
              </w:rPr>
              <w:t>Winter</w:t>
            </w:r>
          </w:p>
        </w:tc>
        <w:tc>
          <w:tcPr>
            <w:tcW w:w="2268" w:type="dxa"/>
            <w:shd w:val="clear" w:color="auto" w:fill="auto"/>
          </w:tcPr>
          <w:p w14:paraId="48159A48" w14:textId="77777777" w:rsidR="00DB2802" w:rsidRPr="00334A80" w:rsidRDefault="00DB2802" w:rsidP="00F87018">
            <w:pPr>
              <w:autoSpaceDE w:val="0"/>
              <w:autoSpaceDN w:val="0"/>
              <w:adjustRightInd w:val="0"/>
              <w:spacing w:after="120" w:line="360" w:lineRule="auto"/>
              <w:ind w:firstLine="0"/>
              <w:jc w:val="both"/>
              <w:rPr>
                <w:rFonts w:ascii="Arial" w:hAnsi="Arial" w:cs="Arial"/>
                <w:kern w:val="0"/>
                <w:sz w:val="20"/>
                <w:szCs w:val="20"/>
                <w:lang w:bidi="te-IN"/>
              </w:rPr>
            </w:pPr>
            <w:r w:rsidRPr="00334A80">
              <w:rPr>
                <w:rFonts w:ascii="Arial" w:hAnsi="Arial" w:cs="Arial"/>
                <w:kern w:val="0"/>
                <w:sz w:val="20"/>
                <w:szCs w:val="20"/>
                <w:lang w:bidi="te-IN"/>
              </w:rPr>
              <w:t>y =  95.35x10</w:t>
            </w:r>
            <w:r w:rsidRPr="00334A80">
              <w:rPr>
                <w:rFonts w:ascii="Arial" w:hAnsi="Arial" w:cs="Arial"/>
                <w:kern w:val="0"/>
                <w:sz w:val="20"/>
                <w:szCs w:val="20"/>
                <w:vertAlign w:val="superscript"/>
                <w:lang w:bidi="te-IN"/>
              </w:rPr>
              <w:t>2</w:t>
            </w:r>
            <w:r w:rsidRPr="00334A80">
              <w:rPr>
                <w:rFonts w:ascii="Arial" w:hAnsi="Arial" w:cs="Arial"/>
                <w:kern w:val="0"/>
                <w:sz w:val="20"/>
                <w:szCs w:val="20"/>
                <w:lang w:bidi="te-IN"/>
              </w:rPr>
              <w:t>-0.04x</w:t>
            </w:r>
          </w:p>
        </w:tc>
        <w:tc>
          <w:tcPr>
            <w:tcW w:w="851" w:type="dxa"/>
            <w:shd w:val="clear" w:color="auto" w:fill="auto"/>
          </w:tcPr>
          <w:p w14:paraId="7FCC96E4" w14:textId="77777777" w:rsidR="00DB2802" w:rsidRPr="00334A80" w:rsidRDefault="00DB2802" w:rsidP="00F87018">
            <w:pPr>
              <w:autoSpaceDE w:val="0"/>
              <w:autoSpaceDN w:val="0"/>
              <w:adjustRightInd w:val="0"/>
              <w:spacing w:after="120" w:line="360" w:lineRule="auto"/>
              <w:ind w:firstLine="0"/>
              <w:jc w:val="both"/>
              <w:rPr>
                <w:rFonts w:ascii="Arial" w:hAnsi="Arial" w:cs="Arial"/>
                <w:kern w:val="0"/>
                <w:sz w:val="20"/>
                <w:szCs w:val="20"/>
                <w:lang w:bidi="te-IN"/>
              </w:rPr>
            </w:pPr>
            <w:r w:rsidRPr="00334A80">
              <w:rPr>
                <w:rFonts w:ascii="Arial" w:hAnsi="Arial" w:cs="Arial"/>
                <w:kern w:val="0"/>
                <w:sz w:val="20"/>
                <w:szCs w:val="20"/>
                <w:lang w:bidi="te-IN"/>
              </w:rPr>
              <w:t>0.034</w:t>
            </w:r>
          </w:p>
        </w:tc>
        <w:tc>
          <w:tcPr>
            <w:tcW w:w="1842" w:type="dxa"/>
            <w:shd w:val="clear" w:color="auto" w:fill="auto"/>
          </w:tcPr>
          <w:p w14:paraId="66C5A7C1" w14:textId="012B4188" w:rsidR="00DB2802" w:rsidRPr="00334A80" w:rsidRDefault="00DB2802" w:rsidP="00F87018">
            <w:pPr>
              <w:spacing w:after="120" w:line="360" w:lineRule="auto"/>
              <w:ind w:firstLine="0"/>
              <w:jc w:val="both"/>
              <w:rPr>
                <w:rFonts w:ascii="Arial" w:hAnsi="Arial" w:cs="Arial"/>
                <w:color w:val="000000"/>
                <w:sz w:val="20"/>
                <w:szCs w:val="20"/>
              </w:rPr>
            </w:pPr>
            <w:r w:rsidRPr="00334A80">
              <w:rPr>
                <w:rFonts w:ascii="Arial" w:hAnsi="Arial" w:cs="Arial"/>
                <w:sz w:val="20"/>
                <w:szCs w:val="20"/>
              </w:rPr>
              <w:t>Slight decrease</w:t>
            </w:r>
          </w:p>
        </w:tc>
      </w:tr>
      <w:tr w:rsidR="00DB2802" w:rsidRPr="00334A80" w14:paraId="7BFF5CD4" w14:textId="77777777" w:rsidTr="009A0B59">
        <w:trPr>
          <w:jc w:val="center"/>
        </w:trPr>
        <w:tc>
          <w:tcPr>
            <w:tcW w:w="1838" w:type="dxa"/>
            <w:shd w:val="clear" w:color="auto" w:fill="auto"/>
          </w:tcPr>
          <w:p w14:paraId="54628EBD" w14:textId="77777777" w:rsidR="00DB2802" w:rsidRPr="00334A80" w:rsidRDefault="00DB2802" w:rsidP="00F87018">
            <w:pPr>
              <w:autoSpaceDE w:val="0"/>
              <w:autoSpaceDN w:val="0"/>
              <w:adjustRightInd w:val="0"/>
              <w:spacing w:after="120" w:line="360" w:lineRule="auto"/>
              <w:ind w:firstLine="0"/>
              <w:jc w:val="both"/>
              <w:rPr>
                <w:rFonts w:ascii="Arial" w:hAnsi="Arial" w:cs="Arial"/>
                <w:kern w:val="0"/>
                <w:sz w:val="20"/>
                <w:szCs w:val="20"/>
                <w:lang w:bidi="te-IN"/>
              </w:rPr>
            </w:pPr>
            <w:r w:rsidRPr="00334A80">
              <w:rPr>
                <w:rFonts w:ascii="Arial" w:hAnsi="Arial" w:cs="Arial"/>
                <w:kern w:val="0"/>
                <w:sz w:val="20"/>
                <w:szCs w:val="20"/>
                <w:lang w:bidi="te-IN"/>
              </w:rPr>
              <w:t>Pre-Monsoon</w:t>
            </w:r>
          </w:p>
        </w:tc>
        <w:tc>
          <w:tcPr>
            <w:tcW w:w="2268" w:type="dxa"/>
            <w:shd w:val="clear" w:color="auto" w:fill="auto"/>
          </w:tcPr>
          <w:p w14:paraId="640ACD36" w14:textId="77777777" w:rsidR="00DB2802" w:rsidRPr="00334A80" w:rsidRDefault="00DB2802" w:rsidP="00F87018">
            <w:pPr>
              <w:autoSpaceDE w:val="0"/>
              <w:autoSpaceDN w:val="0"/>
              <w:adjustRightInd w:val="0"/>
              <w:spacing w:after="120" w:line="360" w:lineRule="auto"/>
              <w:ind w:firstLine="0"/>
              <w:jc w:val="both"/>
              <w:rPr>
                <w:rFonts w:ascii="Arial" w:hAnsi="Arial" w:cs="Arial"/>
                <w:kern w:val="0"/>
                <w:sz w:val="20"/>
                <w:szCs w:val="20"/>
                <w:lang w:bidi="te-IN"/>
              </w:rPr>
            </w:pPr>
            <w:r w:rsidRPr="00334A80">
              <w:rPr>
                <w:rFonts w:ascii="Arial" w:hAnsi="Arial" w:cs="Arial"/>
                <w:kern w:val="0"/>
                <w:sz w:val="20"/>
                <w:szCs w:val="20"/>
                <w:lang w:bidi="te-IN"/>
              </w:rPr>
              <w:t>y = 2.73x10</w:t>
            </w:r>
            <w:r w:rsidRPr="00334A80">
              <w:rPr>
                <w:rFonts w:ascii="Arial" w:hAnsi="Arial" w:cs="Arial"/>
                <w:kern w:val="0"/>
                <w:sz w:val="20"/>
                <w:szCs w:val="20"/>
                <w:vertAlign w:val="superscript"/>
                <w:lang w:bidi="te-IN"/>
              </w:rPr>
              <w:t>2</w:t>
            </w:r>
            <w:r w:rsidRPr="00334A80">
              <w:rPr>
                <w:rFonts w:ascii="Arial" w:hAnsi="Arial" w:cs="Arial"/>
                <w:kern w:val="0"/>
                <w:sz w:val="20"/>
                <w:szCs w:val="20"/>
                <w:lang w:bidi="te-IN"/>
              </w:rPr>
              <w:t>+0.17x</w:t>
            </w:r>
          </w:p>
        </w:tc>
        <w:tc>
          <w:tcPr>
            <w:tcW w:w="851" w:type="dxa"/>
            <w:shd w:val="clear" w:color="auto" w:fill="auto"/>
          </w:tcPr>
          <w:p w14:paraId="0D6F87AF" w14:textId="77777777" w:rsidR="00DB2802" w:rsidRPr="00334A80" w:rsidRDefault="00DB2802" w:rsidP="00F87018">
            <w:pPr>
              <w:autoSpaceDE w:val="0"/>
              <w:autoSpaceDN w:val="0"/>
              <w:adjustRightInd w:val="0"/>
              <w:spacing w:after="120" w:line="360" w:lineRule="auto"/>
              <w:ind w:firstLine="0"/>
              <w:jc w:val="both"/>
              <w:rPr>
                <w:rFonts w:ascii="Arial" w:hAnsi="Arial" w:cs="Arial"/>
                <w:kern w:val="0"/>
                <w:sz w:val="20"/>
                <w:szCs w:val="20"/>
                <w:lang w:bidi="te-IN"/>
              </w:rPr>
            </w:pPr>
            <w:r w:rsidRPr="00334A80">
              <w:rPr>
                <w:rFonts w:ascii="Arial" w:hAnsi="Arial" w:cs="Arial"/>
                <w:kern w:val="0"/>
                <w:sz w:val="20"/>
                <w:szCs w:val="20"/>
                <w:lang w:bidi="te-IN"/>
              </w:rPr>
              <w:t>0.05</w:t>
            </w:r>
          </w:p>
        </w:tc>
        <w:tc>
          <w:tcPr>
            <w:tcW w:w="1842" w:type="dxa"/>
            <w:shd w:val="clear" w:color="auto" w:fill="auto"/>
          </w:tcPr>
          <w:p w14:paraId="0AB4E9BE" w14:textId="39951BE6" w:rsidR="00DB2802" w:rsidRPr="00334A80" w:rsidRDefault="00DB2802" w:rsidP="00F87018">
            <w:pPr>
              <w:spacing w:after="120" w:line="360" w:lineRule="auto"/>
              <w:ind w:firstLine="0"/>
              <w:jc w:val="both"/>
              <w:rPr>
                <w:rFonts w:ascii="Arial" w:hAnsi="Arial" w:cs="Arial"/>
                <w:color w:val="000000"/>
                <w:sz w:val="20"/>
                <w:szCs w:val="20"/>
              </w:rPr>
            </w:pPr>
            <w:r w:rsidRPr="00334A80">
              <w:rPr>
                <w:rFonts w:ascii="Arial" w:hAnsi="Arial" w:cs="Arial"/>
                <w:sz w:val="20"/>
                <w:szCs w:val="20"/>
              </w:rPr>
              <w:t>Increasing</w:t>
            </w:r>
          </w:p>
        </w:tc>
      </w:tr>
      <w:tr w:rsidR="00DB2802" w:rsidRPr="00334A80" w14:paraId="64E09A3B" w14:textId="77777777" w:rsidTr="009A0B59">
        <w:trPr>
          <w:trHeight w:val="476"/>
          <w:jc w:val="center"/>
        </w:trPr>
        <w:tc>
          <w:tcPr>
            <w:tcW w:w="1838" w:type="dxa"/>
            <w:shd w:val="clear" w:color="auto" w:fill="auto"/>
          </w:tcPr>
          <w:p w14:paraId="0E9939EA" w14:textId="77777777" w:rsidR="00DB2802" w:rsidRPr="00334A80" w:rsidRDefault="00DB2802" w:rsidP="00F87018">
            <w:pPr>
              <w:autoSpaceDE w:val="0"/>
              <w:autoSpaceDN w:val="0"/>
              <w:adjustRightInd w:val="0"/>
              <w:spacing w:after="120" w:line="360" w:lineRule="auto"/>
              <w:ind w:firstLine="0"/>
              <w:jc w:val="both"/>
              <w:rPr>
                <w:rFonts w:ascii="Arial" w:hAnsi="Arial" w:cs="Arial"/>
                <w:kern w:val="0"/>
                <w:sz w:val="20"/>
                <w:szCs w:val="20"/>
                <w:lang w:bidi="te-IN"/>
              </w:rPr>
            </w:pPr>
            <w:r w:rsidRPr="00334A80">
              <w:rPr>
                <w:rFonts w:ascii="Arial" w:hAnsi="Arial" w:cs="Arial"/>
                <w:kern w:val="0"/>
                <w:sz w:val="20"/>
                <w:szCs w:val="20"/>
                <w:lang w:bidi="te-IN"/>
              </w:rPr>
              <w:t>Monsoon</w:t>
            </w:r>
          </w:p>
        </w:tc>
        <w:tc>
          <w:tcPr>
            <w:tcW w:w="2268" w:type="dxa"/>
            <w:shd w:val="clear" w:color="auto" w:fill="auto"/>
          </w:tcPr>
          <w:p w14:paraId="274F7417" w14:textId="77777777" w:rsidR="00DB2802" w:rsidRPr="00334A80" w:rsidRDefault="00DB2802" w:rsidP="00F87018">
            <w:pPr>
              <w:autoSpaceDE w:val="0"/>
              <w:autoSpaceDN w:val="0"/>
              <w:adjustRightInd w:val="0"/>
              <w:spacing w:after="120" w:line="360" w:lineRule="auto"/>
              <w:ind w:firstLine="0"/>
              <w:jc w:val="both"/>
              <w:rPr>
                <w:rFonts w:ascii="Arial" w:hAnsi="Arial" w:cs="Arial"/>
                <w:kern w:val="0"/>
                <w:sz w:val="20"/>
                <w:szCs w:val="20"/>
                <w:lang w:bidi="te-IN"/>
              </w:rPr>
            </w:pPr>
            <w:r w:rsidRPr="00334A80">
              <w:rPr>
                <w:rFonts w:ascii="Arial" w:hAnsi="Arial" w:cs="Arial"/>
                <w:kern w:val="0"/>
                <w:sz w:val="20"/>
                <w:szCs w:val="20"/>
                <w:lang w:bidi="te-IN"/>
              </w:rPr>
              <w:t>y = 7.52x10</w:t>
            </w:r>
            <w:r w:rsidRPr="00334A80">
              <w:rPr>
                <w:rFonts w:ascii="Arial" w:hAnsi="Arial" w:cs="Arial"/>
                <w:kern w:val="0"/>
                <w:sz w:val="20"/>
                <w:szCs w:val="20"/>
                <w:vertAlign w:val="superscript"/>
                <w:lang w:bidi="te-IN"/>
              </w:rPr>
              <w:t>2</w:t>
            </w:r>
            <w:r w:rsidRPr="00334A80">
              <w:rPr>
                <w:rFonts w:ascii="Arial" w:hAnsi="Arial" w:cs="Arial"/>
                <w:kern w:val="0"/>
                <w:sz w:val="20"/>
                <w:szCs w:val="20"/>
                <w:lang w:bidi="te-IN"/>
              </w:rPr>
              <w:t>-0.21x</w:t>
            </w:r>
          </w:p>
        </w:tc>
        <w:tc>
          <w:tcPr>
            <w:tcW w:w="851" w:type="dxa"/>
            <w:shd w:val="clear" w:color="auto" w:fill="auto"/>
          </w:tcPr>
          <w:p w14:paraId="2E256508" w14:textId="77777777" w:rsidR="00DB2802" w:rsidRPr="00334A80" w:rsidRDefault="00DB2802" w:rsidP="00F87018">
            <w:pPr>
              <w:autoSpaceDE w:val="0"/>
              <w:autoSpaceDN w:val="0"/>
              <w:adjustRightInd w:val="0"/>
              <w:spacing w:after="120" w:line="360" w:lineRule="auto"/>
              <w:ind w:firstLine="0"/>
              <w:jc w:val="both"/>
              <w:rPr>
                <w:rFonts w:ascii="Arial" w:hAnsi="Arial" w:cs="Arial"/>
                <w:kern w:val="0"/>
                <w:sz w:val="20"/>
                <w:szCs w:val="20"/>
                <w:lang w:bidi="te-IN"/>
              </w:rPr>
            </w:pPr>
            <w:r w:rsidRPr="00334A80">
              <w:rPr>
                <w:rFonts w:ascii="Arial" w:hAnsi="Arial" w:cs="Arial"/>
                <w:kern w:val="0"/>
                <w:sz w:val="20"/>
                <w:szCs w:val="20"/>
                <w:lang w:bidi="te-IN"/>
              </w:rPr>
              <w:t>0.008</w:t>
            </w:r>
          </w:p>
        </w:tc>
        <w:tc>
          <w:tcPr>
            <w:tcW w:w="1842" w:type="dxa"/>
            <w:shd w:val="clear" w:color="auto" w:fill="auto"/>
          </w:tcPr>
          <w:p w14:paraId="6BA1B31A" w14:textId="7000639F" w:rsidR="00DB2802" w:rsidRPr="00334A80" w:rsidRDefault="00DB2802" w:rsidP="00F87018">
            <w:pPr>
              <w:spacing w:after="120" w:line="360" w:lineRule="auto"/>
              <w:ind w:firstLine="0"/>
              <w:jc w:val="both"/>
              <w:rPr>
                <w:rFonts w:ascii="Arial" w:hAnsi="Arial" w:cs="Arial"/>
                <w:color w:val="000000"/>
                <w:sz w:val="20"/>
                <w:szCs w:val="20"/>
              </w:rPr>
            </w:pPr>
            <w:r w:rsidRPr="00334A80">
              <w:rPr>
                <w:rFonts w:ascii="Arial" w:hAnsi="Arial" w:cs="Arial"/>
                <w:sz w:val="20"/>
                <w:szCs w:val="20"/>
              </w:rPr>
              <w:t>Stable</w:t>
            </w:r>
          </w:p>
        </w:tc>
      </w:tr>
      <w:tr w:rsidR="00DB2802" w:rsidRPr="00334A80" w14:paraId="756295AA" w14:textId="77777777" w:rsidTr="009A0B59">
        <w:trPr>
          <w:jc w:val="center"/>
        </w:trPr>
        <w:tc>
          <w:tcPr>
            <w:tcW w:w="1838" w:type="dxa"/>
            <w:shd w:val="clear" w:color="auto" w:fill="auto"/>
          </w:tcPr>
          <w:p w14:paraId="1789C61E" w14:textId="77777777" w:rsidR="00DB2802" w:rsidRPr="00334A80" w:rsidRDefault="00DB2802" w:rsidP="00F87018">
            <w:pPr>
              <w:autoSpaceDE w:val="0"/>
              <w:autoSpaceDN w:val="0"/>
              <w:adjustRightInd w:val="0"/>
              <w:spacing w:after="120" w:line="360" w:lineRule="auto"/>
              <w:ind w:firstLine="0"/>
              <w:jc w:val="both"/>
              <w:rPr>
                <w:rFonts w:ascii="Arial" w:hAnsi="Arial" w:cs="Arial"/>
                <w:kern w:val="0"/>
                <w:sz w:val="20"/>
                <w:szCs w:val="20"/>
                <w:lang w:bidi="te-IN"/>
              </w:rPr>
            </w:pPr>
            <w:r w:rsidRPr="00334A80">
              <w:rPr>
                <w:rFonts w:ascii="Arial" w:hAnsi="Arial" w:cs="Arial"/>
                <w:kern w:val="0"/>
                <w:sz w:val="20"/>
                <w:szCs w:val="20"/>
                <w:lang w:bidi="te-IN"/>
              </w:rPr>
              <w:t>Post-Monsoon</w:t>
            </w:r>
          </w:p>
        </w:tc>
        <w:tc>
          <w:tcPr>
            <w:tcW w:w="2268" w:type="dxa"/>
            <w:shd w:val="clear" w:color="auto" w:fill="auto"/>
          </w:tcPr>
          <w:p w14:paraId="1B8229F8" w14:textId="77777777" w:rsidR="00DB2802" w:rsidRPr="00334A80" w:rsidRDefault="00DB2802" w:rsidP="00F87018">
            <w:pPr>
              <w:autoSpaceDE w:val="0"/>
              <w:autoSpaceDN w:val="0"/>
              <w:adjustRightInd w:val="0"/>
              <w:spacing w:after="120" w:line="360" w:lineRule="auto"/>
              <w:ind w:firstLine="0"/>
              <w:jc w:val="both"/>
              <w:rPr>
                <w:rFonts w:ascii="Arial" w:hAnsi="Arial" w:cs="Arial"/>
                <w:kern w:val="0"/>
                <w:sz w:val="20"/>
                <w:szCs w:val="20"/>
                <w:lang w:bidi="te-IN"/>
              </w:rPr>
            </w:pPr>
            <w:r w:rsidRPr="00334A80">
              <w:rPr>
                <w:rFonts w:ascii="Arial" w:hAnsi="Arial" w:cs="Arial"/>
                <w:kern w:val="0"/>
                <w:sz w:val="20"/>
                <w:szCs w:val="20"/>
                <w:lang w:bidi="te-IN"/>
              </w:rPr>
              <w:t>y = 4.72x10</w:t>
            </w:r>
            <w:r w:rsidRPr="00334A80">
              <w:rPr>
                <w:rFonts w:ascii="Arial" w:hAnsi="Arial" w:cs="Arial"/>
                <w:kern w:val="0"/>
                <w:sz w:val="20"/>
                <w:szCs w:val="20"/>
                <w:vertAlign w:val="superscript"/>
                <w:lang w:bidi="te-IN"/>
              </w:rPr>
              <w:t>2</w:t>
            </w:r>
            <w:r w:rsidRPr="00334A80">
              <w:rPr>
                <w:rFonts w:ascii="Arial" w:hAnsi="Arial" w:cs="Arial"/>
                <w:kern w:val="0"/>
                <w:sz w:val="20"/>
                <w:szCs w:val="20"/>
                <w:lang w:bidi="te-IN"/>
              </w:rPr>
              <w:t>-0.17x</w:t>
            </w:r>
          </w:p>
        </w:tc>
        <w:tc>
          <w:tcPr>
            <w:tcW w:w="851" w:type="dxa"/>
            <w:shd w:val="clear" w:color="auto" w:fill="auto"/>
          </w:tcPr>
          <w:p w14:paraId="6B90C3FE" w14:textId="77777777" w:rsidR="00DB2802" w:rsidRPr="00334A80" w:rsidRDefault="00DB2802" w:rsidP="00F87018">
            <w:pPr>
              <w:autoSpaceDE w:val="0"/>
              <w:autoSpaceDN w:val="0"/>
              <w:adjustRightInd w:val="0"/>
              <w:spacing w:after="120" w:line="360" w:lineRule="auto"/>
              <w:ind w:firstLine="0"/>
              <w:jc w:val="both"/>
              <w:rPr>
                <w:rFonts w:ascii="Arial" w:hAnsi="Arial" w:cs="Arial"/>
                <w:kern w:val="0"/>
                <w:sz w:val="20"/>
                <w:szCs w:val="20"/>
                <w:lang w:bidi="te-IN"/>
              </w:rPr>
            </w:pPr>
            <w:r w:rsidRPr="00334A80">
              <w:rPr>
                <w:rFonts w:ascii="Arial" w:hAnsi="Arial" w:cs="Arial"/>
                <w:kern w:val="0"/>
                <w:sz w:val="20"/>
                <w:szCs w:val="20"/>
                <w:lang w:bidi="te-IN"/>
              </w:rPr>
              <w:t>0.014</w:t>
            </w:r>
          </w:p>
        </w:tc>
        <w:tc>
          <w:tcPr>
            <w:tcW w:w="1842" w:type="dxa"/>
            <w:shd w:val="clear" w:color="auto" w:fill="auto"/>
          </w:tcPr>
          <w:p w14:paraId="2BBBCA41" w14:textId="035ACDBA" w:rsidR="00DB2802" w:rsidRPr="00334A80" w:rsidRDefault="00DB2802" w:rsidP="00F87018">
            <w:pPr>
              <w:spacing w:after="120" w:line="360" w:lineRule="auto"/>
              <w:ind w:firstLine="0"/>
              <w:jc w:val="both"/>
              <w:rPr>
                <w:rFonts w:ascii="Arial" w:hAnsi="Arial" w:cs="Arial"/>
                <w:color w:val="000000"/>
                <w:sz w:val="20"/>
                <w:szCs w:val="20"/>
              </w:rPr>
            </w:pPr>
            <w:r w:rsidRPr="00334A80">
              <w:rPr>
                <w:rFonts w:ascii="Arial" w:hAnsi="Arial" w:cs="Arial"/>
                <w:sz w:val="20"/>
                <w:szCs w:val="20"/>
              </w:rPr>
              <w:t>Slight decrease</w:t>
            </w:r>
          </w:p>
        </w:tc>
      </w:tr>
      <w:tr w:rsidR="00DB2802" w:rsidRPr="00334A80" w14:paraId="4BEAE0F9" w14:textId="77777777" w:rsidTr="009A0B59">
        <w:trPr>
          <w:jc w:val="center"/>
        </w:trPr>
        <w:tc>
          <w:tcPr>
            <w:tcW w:w="1838" w:type="dxa"/>
            <w:shd w:val="clear" w:color="auto" w:fill="auto"/>
          </w:tcPr>
          <w:p w14:paraId="6214A2AD" w14:textId="77777777" w:rsidR="00DB2802" w:rsidRPr="00334A80" w:rsidRDefault="00DB2802" w:rsidP="00F87018">
            <w:pPr>
              <w:autoSpaceDE w:val="0"/>
              <w:autoSpaceDN w:val="0"/>
              <w:adjustRightInd w:val="0"/>
              <w:spacing w:after="120" w:line="360" w:lineRule="auto"/>
              <w:ind w:firstLine="0"/>
              <w:jc w:val="both"/>
              <w:rPr>
                <w:rFonts w:ascii="Arial" w:hAnsi="Arial" w:cs="Arial"/>
                <w:kern w:val="0"/>
                <w:sz w:val="20"/>
                <w:szCs w:val="20"/>
                <w:lang w:bidi="te-IN"/>
              </w:rPr>
            </w:pPr>
            <w:r w:rsidRPr="00334A80">
              <w:rPr>
                <w:rFonts w:ascii="Arial" w:hAnsi="Arial" w:cs="Arial"/>
                <w:kern w:val="0"/>
                <w:sz w:val="20"/>
                <w:szCs w:val="20"/>
                <w:lang w:bidi="te-IN"/>
              </w:rPr>
              <w:t>Annual Average</w:t>
            </w:r>
          </w:p>
        </w:tc>
        <w:tc>
          <w:tcPr>
            <w:tcW w:w="2268" w:type="dxa"/>
            <w:shd w:val="clear" w:color="auto" w:fill="auto"/>
          </w:tcPr>
          <w:p w14:paraId="4CB1B3DE" w14:textId="77777777" w:rsidR="00DB2802" w:rsidRPr="00334A80" w:rsidRDefault="00DB2802" w:rsidP="00F87018">
            <w:pPr>
              <w:autoSpaceDE w:val="0"/>
              <w:autoSpaceDN w:val="0"/>
              <w:adjustRightInd w:val="0"/>
              <w:spacing w:after="120" w:line="360" w:lineRule="auto"/>
              <w:ind w:firstLine="0"/>
              <w:jc w:val="both"/>
              <w:rPr>
                <w:rFonts w:ascii="Arial" w:hAnsi="Arial" w:cs="Arial"/>
                <w:kern w:val="0"/>
                <w:sz w:val="20"/>
                <w:szCs w:val="20"/>
                <w:lang w:bidi="te-IN"/>
              </w:rPr>
            </w:pPr>
            <w:r w:rsidRPr="00334A80">
              <w:rPr>
                <w:rFonts w:ascii="Arial" w:hAnsi="Arial" w:cs="Arial"/>
                <w:kern w:val="0"/>
                <w:sz w:val="20"/>
                <w:szCs w:val="20"/>
                <w:lang w:bidi="te-IN"/>
              </w:rPr>
              <w:t>y = 2.62x10</w:t>
            </w:r>
            <w:r w:rsidRPr="00334A80">
              <w:rPr>
                <w:rFonts w:ascii="Arial" w:hAnsi="Arial" w:cs="Arial"/>
                <w:kern w:val="0"/>
                <w:sz w:val="20"/>
                <w:szCs w:val="20"/>
                <w:vertAlign w:val="superscript"/>
                <w:lang w:bidi="te-IN"/>
              </w:rPr>
              <w:t>2</w:t>
            </w:r>
            <w:r w:rsidRPr="00334A80">
              <w:rPr>
                <w:rFonts w:ascii="Arial" w:hAnsi="Arial" w:cs="Arial"/>
                <w:kern w:val="0"/>
                <w:sz w:val="20"/>
                <w:szCs w:val="20"/>
                <w:lang w:bidi="te-IN"/>
              </w:rPr>
              <w:t>-0.07x</w:t>
            </w:r>
          </w:p>
        </w:tc>
        <w:tc>
          <w:tcPr>
            <w:tcW w:w="851" w:type="dxa"/>
            <w:shd w:val="clear" w:color="auto" w:fill="auto"/>
          </w:tcPr>
          <w:p w14:paraId="584E3080" w14:textId="77777777" w:rsidR="00DB2802" w:rsidRPr="00334A80" w:rsidRDefault="00DB2802" w:rsidP="00F87018">
            <w:pPr>
              <w:autoSpaceDE w:val="0"/>
              <w:autoSpaceDN w:val="0"/>
              <w:adjustRightInd w:val="0"/>
              <w:spacing w:after="120" w:line="360" w:lineRule="auto"/>
              <w:ind w:firstLine="0"/>
              <w:jc w:val="both"/>
              <w:rPr>
                <w:rFonts w:ascii="Arial" w:hAnsi="Arial" w:cs="Arial"/>
                <w:kern w:val="0"/>
                <w:sz w:val="20"/>
                <w:szCs w:val="20"/>
                <w:lang w:bidi="te-IN"/>
              </w:rPr>
            </w:pPr>
            <w:r w:rsidRPr="00334A80">
              <w:rPr>
                <w:rFonts w:ascii="Arial" w:hAnsi="Arial" w:cs="Arial"/>
                <w:kern w:val="0"/>
                <w:sz w:val="20"/>
                <w:szCs w:val="20"/>
                <w:lang w:bidi="te-IN"/>
              </w:rPr>
              <w:t>0.008</w:t>
            </w:r>
          </w:p>
        </w:tc>
        <w:tc>
          <w:tcPr>
            <w:tcW w:w="1842" w:type="dxa"/>
            <w:shd w:val="clear" w:color="auto" w:fill="auto"/>
          </w:tcPr>
          <w:p w14:paraId="4AA78B12" w14:textId="1B39B171" w:rsidR="00DB2802" w:rsidRPr="00334A80" w:rsidRDefault="00DB2802" w:rsidP="00F87018">
            <w:pPr>
              <w:autoSpaceDE w:val="0"/>
              <w:autoSpaceDN w:val="0"/>
              <w:adjustRightInd w:val="0"/>
              <w:spacing w:after="120" w:line="360" w:lineRule="auto"/>
              <w:ind w:firstLine="0"/>
              <w:jc w:val="both"/>
              <w:rPr>
                <w:rFonts w:ascii="Arial" w:hAnsi="Arial" w:cs="Arial"/>
                <w:kern w:val="0"/>
                <w:sz w:val="20"/>
                <w:szCs w:val="20"/>
                <w:lang w:bidi="te-IN"/>
              </w:rPr>
            </w:pPr>
            <w:r w:rsidRPr="00334A80">
              <w:rPr>
                <w:rFonts w:ascii="Arial" w:hAnsi="Arial" w:cs="Arial"/>
                <w:sz w:val="20"/>
                <w:szCs w:val="20"/>
              </w:rPr>
              <w:t>Minimal change</w:t>
            </w:r>
          </w:p>
        </w:tc>
      </w:tr>
    </w:tbl>
    <w:p w14:paraId="523347B5" w14:textId="77777777" w:rsidR="00597C4A" w:rsidRDefault="00597C4A" w:rsidP="00F87018">
      <w:pPr>
        <w:autoSpaceDE w:val="0"/>
        <w:autoSpaceDN w:val="0"/>
        <w:adjustRightInd w:val="0"/>
        <w:spacing w:line="360" w:lineRule="auto"/>
        <w:rPr>
          <w:rFonts w:ascii="Arial" w:hAnsi="Arial" w:cs="Arial"/>
          <w:noProof/>
          <w:kern w:val="0"/>
          <w:sz w:val="20"/>
          <w:szCs w:val="20"/>
          <w:lang w:bidi="te-IN"/>
        </w:rPr>
      </w:pPr>
    </w:p>
    <w:p w14:paraId="6F6A073D" w14:textId="51A4A70B" w:rsidR="00597C4A" w:rsidRPr="00334A80" w:rsidRDefault="00597C4A" w:rsidP="00F87018">
      <w:pPr>
        <w:autoSpaceDE w:val="0"/>
        <w:autoSpaceDN w:val="0"/>
        <w:adjustRightInd w:val="0"/>
        <w:spacing w:line="360" w:lineRule="auto"/>
        <w:jc w:val="center"/>
        <w:rPr>
          <w:rFonts w:ascii="Arial" w:hAnsi="Arial" w:cs="Arial"/>
          <w:kern w:val="0"/>
          <w:sz w:val="20"/>
          <w:szCs w:val="20"/>
          <w:lang w:bidi="te-IN"/>
        </w:rPr>
      </w:pPr>
      <w:r w:rsidRPr="00334A80">
        <w:rPr>
          <w:rFonts w:ascii="Arial" w:hAnsi="Arial" w:cs="Arial"/>
          <w:noProof/>
          <w:kern w:val="0"/>
          <w:sz w:val="20"/>
          <w:szCs w:val="20"/>
          <w:lang w:bidi="te-IN"/>
        </w:rPr>
        <w:lastRenderedPageBreak/>
        <w:drawing>
          <wp:inline distT="0" distB="0" distL="0" distR="0" wp14:anchorId="34A942D0" wp14:editId="5C74FC07">
            <wp:extent cx="3762000" cy="2354400"/>
            <wp:effectExtent l="0" t="0" r="0" b="8255"/>
            <wp:docPr id="210741594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r="21784"/>
                    <a:stretch/>
                  </pic:blipFill>
                  <pic:spPr bwMode="auto">
                    <a:xfrm>
                      <a:off x="0" y="0"/>
                      <a:ext cx="3762000" cy="2354400"/>
                    </a:xfrm>
                    <a:prstGeom prst="rect">
                      <a:avLst/>
                    </a:prstGeom>
                    <a:noFill/>
                    <a:ln>
                      <a:noFill/>
                    </a:ln>
                    <a:extLst>
                      <a:ext uri="{53640926-AAD7-44D8-BBD7-CCE9431645EC}">
                        <a14:shadowObscured xmlns:a14="http://schemas.microsoft.com/office/drawing/2010/main"/>
                      </a:ext>
                    </a:extLst>
                  </pic:spPr>
                </pic:pic>
              </a:graphicData>
            </a:graphic>
          </wp:inline>
        </w:drawing>
      </w:r>
    </w:p>
    <w:p w14:paraId="35AA95CD" w14:textId="64689F8D" w:rsidR="00DB2802" w:rsidRPr="00334A80" w:rsidRDefault="00DB2802" w:rsidP="00F87018">
      <w:pPr>
        <w:autoSpaceDE w:val="0"/>
        <w:autoSpaceDN w:val="0"/>
        <w:adjustRightInd w:val="0"/>
        <w:spacing w:line="360" w:lineRule="auto"/>
        <w:jc w:val="center"/>
        <w:rPr>
          <w:rFonts w:ascii="Arial" w:hAnsi="Arial" w:cs="Arial"/>
          <w:b/>
          <w:bCs/>
          <w:kern w:val="0"/>
          <w:sz w:val="20"/>
          <w:szCs w:val="20"/>
          <w:lang w:bidi="te-IN"/>
        </w:rPr>
      </w:pPr>
      <w:r w:rsidRPr="00334A80">
        <w:rPr>
          <w:rFonts w:ascii="Arial" w:hAnsi="Arial" w:cs="Arial"/>
          <w:b/>
          <w:bCs/>
          <w:kern w:val="0"/>
          <w:sz w:val="20"/>
          <w:szCs w:val="20"/>
          <w:lang w:bidi="te-IN"/>
        </w:rPr>
        <w:t>Figure</w:t>
      </w:r>
      <w:r w:rsidR="0015300D" w:rsidRPr="00334A80">
        <w:rPr>
          <w:rFonts w:ascii="Arial" w:hAnsi="Arial" w:cs="Arial"/>
          <w:b/>
          <w:bCs/>
          <w:kern w:val="0"/>
          <w:sz w:val="20"/>
          <w:szCs w:val="20"/>
          <w:lang w:bidi="te-IN"/>
        </w:rPr>
        <w:t xml:space="preserve"> 3</w:t>
      </w:r>
      <w:r w:rsidRPr="00334A80">
        <w:rPr>
          <w:rFonts w:ascii="Arial" w:hAnsi="Arial" w:cs="Arial"/>
          <w:b/>
          <w:bCs/>
          <w:kern w:val="0"/>
          <w:sz w:val="20"/>
          <w:szCs w:val="20"/>
          <w:lang w:bidi="te-IN"/>
        </w:rPr>
        <w:t>: Regression Analysis Using Curve Estimation for Zone I (Annual Rainfall vs. Year)</w:t>
      </w:r>
    </w:p>
    <w:p w14:paraId="37721580" w14:textId="033F4EE8" w:rsidR="00976A1A" w:rsidRPr="00976A1A" w:rsidRDefault="00DB2802" w:rsidP="00F87018">
      <w:pPr>
        <w:spacing w:line="360" w:lineRule="auto"/>
        <w:jc w:val="both"/>
        <w:rPr>
          <w:rFonts w:ascii="Arial" w:hAnsi="Arial" w:cs="Arial"/>
          <w:sz w:val="20"/>
          <w:szCs w:val="20"/>
        </w:rPr>
      </w:pPr>
      <w:r w:rsidRPr="00334A80">
        <w:rPr>
          <w:rFonts w:ascii="Arial" w:hAnsi="Arial" w:cs="Arial"/>
          <w:kern w:val="0"/>
          <w:sz w:val="20"/>
          <w:szCs w:val="20"/>
          <w:lang w:bidi="te-IN"/>
        </w:rPr>
        <w:t>This figure</w:t>
      </w:r>
      <w:r w:rsidR="0015300D" w:rsidRPr="00334A80">
        <w:rPr>
          <w:rFonts w:ascii="Arial" w:hAnsi="Arial" w:cs="Arial"/>
          <w:kern w:val="0"/>
          <w:sz w:val="20"/>
          <w:szCs w:val="20"/>
          <w:lang w:bidi="te-IN"/>
        </w:rPr>
        <w:t xml:space="preserve"> 3</w:t>
      </w:r>
      <w:r w:rsidRPr="00334A80">
        <w:rPr>
          <w:rFonts w:ascii="Arial" w:hAnsi="Arial" w:cs="Arial"/>
          <w:sz w:val="20"/>
          <w:szCs w:val="20"/>
        </w:rPr>
        <w:t xml:space="preserve"> </w:t>
      </w:r>
      <w:r w:rsidRPr="00334A80">
        <w:rPr>
          <w:rFonts w:ascii="Arial" w:hAnsi="Arial" w:cs="Arial"/>
          <w:kern w:val="0"/>
          <w:sz w:val="20"/>
          <w:szCs w:val="20"/>
          <w:lang w:bidi="te-IN"/>
        </w:rPr>
        <w:t>the plot between Annual Rainfall vs Year of 100 years in Zone I represents the annual rainfall trends in Zone I over a century. The regression analysis reveals a slight decline in rainfall, with an R² value of 0.005, indicating minimal explanatory power of the trendline for the observed data. Despite the weak trend, this figure emphasizes the importance of understanding long-term rainfall variability in the region.</w:t>
      </w:r>
      <w:r w:rsidR="00060458" w:rsidRPr="00334A80">
        <w:rPr>
          <w:rFonts w:ascii="Arial" w:hAnsi="Arial" w:cs="Arial"/>
          <w:sz w:val="20"/>
          <w:szCs w:val="20"/>
        </w:rPr>
        <w:t xml:space="preserve"> </w:t>
      </w:r>
      <w:r w:rsidR="00976A1A" w:rsidRPr="00976A1A">
        <w:rPr>
          <w:rFonts w:ascii="Arial" w:hAnsi="Arial" w:cs="Arial"/>
          <w:sz w:val="20"/>
          <w:szCs w:val="20"/>
        </w:rPr>
        <w:t>Fitting complex models that account for spatial effects generally incurs minimal computational cost, especially when weighed against the risk of overlooking significant spatial autocorrelation in model residuals. Since spatial and non-spatial models produce equivalent results when no spatial autocorrelation is present, it is advisable</w:t>
      </w:r>
      <w:r w:rsidR="00145AB2">
        <w:rPr>
          <w:rFonts w:ascii="Arial" w:hAnsi="Arial" w:cs="Arial"/>
          <w:sz w:val="20"/>
          <w:szCs w:val="20"/>
        </w:rPr>
        <w:t>-</w:t>
      </w:r>
      <w:r w:rsidR="00976A1A" w:rsidRPr="00976A1A">
        <w:rPr>
          <w:rFonts w:ascii="Arial" w:hAnsi="Arial" w:cs="Arial"/>
          <w:sz w:val="20"/>
          <w:szCs w:val="20"/>
        </w:rPr>
        <w:t>under the precautionary principle</w:t>
      </w:r>
      <w:r w:rsidR="00145AB2">
        <w:rPr>
          <w:rFonts w:ascii="Arial" w:hAnsi="Arial" w:cs="Arial"/>
          <w:sz w:val="20"/>
          <w:szCs w:val="20"/>
        </w:rPr>
        <w:t>-</w:t>
      </w:r>
      <w:r w:rsidR="00976A1A" w:rsidRPr="00976A1A">
        <w:rPr>
          <w:rFonts w:ascii="Arial" w:hAnsi="Arial" w:cs="Arial"/>
          <w:sz w:val="20"/>
          <w:szCs w:val="20"/>
        </w:rPr>
        <w:t xml:space="preserve">to default to spatial models to avoid misinterpretation or biased inference in spatial data analysis (Beale </w:t>
      </w:r>
      <w:r w:rsidR="00976A1A" w:rsidRPr="00145AB2">
        <w:rPr>
          <w:rFonts w:ascii="Arial" w:hAnsi="Arial" w:cs="Arial"/>
          <w:i/>
          <w:iCs/>
          <w:sz w:val="20"/>
          <w:szCs w:val="20"/>
        </w:rPr>
        <w:t>et al.,</w:t>
      </w:r>
      <w:r w:rsidR="00976A1A" w:rsidRPr="00976A1A">
        <w:rPr>
          <w:rFonts w:ascii="Arial" w:hAnsi="Arial" w:cs="Arial"/>
          <w:sz w:val="20"/>
          <w:szCs w:val="20"/>
        </w:rPr>
        <w:t xml:space="preserve"> 2010).</w:t>
      </w:r>
    </w:p>
    <w:p w14:paraId="2E2185E7" w14:textId="2EAFA73E" w:rsidR="00DB2802" w:rsidRPr="00334A80" w:rsidRDefault="00DB2802" w:rsidP="00145AB2">
      <w:pPr>
        <w:autoSpaceDE w:val="0"/>
        <w:autoSpaceDN w:val="0"/>
        <w:adjustRightInd w:val="0"/>
        <w:spacing w:after="0" w:line="360" w:lineRule="auto"/>
        <w:jc w:val="center"/>
        <w:rPr>
          <w:rFonts w:ascii="Arial" w:hAnsi="Arial" w:cs="Arial"/>
          <w:kern w:val="0"/>
          <w:sz w:val="20"/>
          <w:szCs w:val="20"/>
          <w:lang w:bidi="te-IN"/>
        </w:rPr>
      </w:pPr>
      <w:r w:rsidRPr="00334A80">
        <w:rPr>
          <w:rFonts w:ascii="Arial" w:hAnsi="Arial" w:cs="Arial"/>
          <w:noProof/>
          <w:kern w:val="0"/>
          <w:sz w:val="20"/>
          <w:szCs w:val="20"/>
          <w:lang w:bidi="te-IN"/>
        </w:rPr>
        <w:drawing>
          <wp:inline distT="0" distB="0" distL="0" distR="0" wp14:anchorId="5BCB541C" wp14:editId="67F28805">
            <wp:extent cx="3762000" cy="2354400"/>
            <wp:effectExtent l="0" t="0" r="0" b="8255"/>
            <wp:docPr id="112841899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62000" cy="2354400"/>
                    </a:xfrm>
                    <a:prstGeom prst="rect">
                      <a:avLst/>
                    </a:prstGeom>
                    <a:noFill/>
                  </pic:spPr>
                </pic:pic>
              </a:graphicData>
            </a:graphic>
          </wp:inline>
        </w:drawing>
      </w:r>
    </w:p>
    <w:p w14:paraId="571AB26D" w14:textId="2AF35158" w:rsidR="00DB2802" w:rsidRPr="00334A80" w:rsidRDefault="00DB2802" w:rsidP="00F87018">
      <w:pPr>
        <w:autoSpaceDE w:val="0"/>
        <w:autoSpaceDN w:val="0"/>
        <w:adjustRightInd w:val="0"/>
        <w:spacing w:line="360" w:lineRule="auto"/>
        <w:jc w:val="center"/>
        <w:rPr>
          <w:rFonts w:ascii="Arial" w:hAnsi="Arial" w:cs="Arial"/>
          <w:b/>
          <w:bCs/>
          <w:kern w:val="0"/>
          <w:sz w:val="20"/>
          <w:szCs w:val="20"/>
          <w:lang w:bidi="te-IN"/>
        </w:rPr>
      </w:pPr>
      <w:r w:rsidRPr="00334A80">
        <w:rPr>
          <w:rFonts w:ascii="Arial" w:hAnsi="Arial" w:cs="Arial"/>
          <w:b/>
          <w:bCs/>
          <w:kern w:val="0"/>
          <w:sz w:val="20"/>
          <w:szCs w:val="20"/>
          <w:lang w:bidi="te-IN"/>
        </w:rPr>
        <w:t>Figure 4: Winter Rainfall vs. Year for Zone I</w:t>
      </w:r>
    </w:p>
    <w:p w14:paraId="569EEA9D" w14:textId="0231B421" w:rsidR="00976A1A" w:rsidRPr="00F87018" w:rsidRDefault="00DB2802" w:rsidP="00F87018">
      <w:pPr>
        <w:spacing w:line="360" w:lineRule="auto"/>
        <w:jc w:val="both"/>
        <w:rPr>
          <w:rFonts w:ascii="Arial" w:hAnsi="Arial" w:cs="Arial"/>
          <w:color w:val="000000" w:themeColor="text1"/>
          <w:kern w:val="0"/>
          <w:sz w:val="20"/>
          <w:szCs w:val="20"/>
          <w:lang w:bidi="te-IN"/>
        </w:rPr>
      </w:pPr>
      <w:r w:rsidRPr="00F87018">
        <w:rPr>
          <w:rFonts w:ascii="Arial" w:hAnsi="Arial" w:cs="Arial"/>
          <w:color w:val="000000" w:themeColor="text1"/>
          <w:kern w:val="0"/>
          <w:sz w:val="20"/>
          <w:szCs w:val="20"/>
          <w:lang w:bidi="te-IN"/>
        </w:rPr>
        <w:t>This figure 4 the plot between Winter Rainfall vs Year of 100 years in Zone I plots winter rainfall against years for Zone I. The regression equation indicates a slight decrease in rainfall over time, with an R² value of 0.039, suggesting weak but noticeable changes in winter rainfall patterns. This has implications for rabi crop cultivation in North Bihar.</w:t>
      </w:r>
      <w:r w:rsidR="007C2CB9" w:rsidRPr="00F87018">
        <w:rPr>
          <w:color w:val="000000" w:themeColor="text1"/>
        </w:rPr>
        <w:t xml:space="preserve"> </w:t>
      </w:r>
      <w:r w:rsidR="00976A1A" w:rsidRPr="00F87018">
        <w:rPr>
          <w:rFonts w:ascii="Arial" w:hAnsi="Arial" w:cs="Arial"/>
          <w:color w:val="000000" w:themeColor="text1"/>
          <w:kern w:val="0"/>
          <w:sz w:val="20"/>
          <w:szCs w:val="20"/>
          <w:lang w:bidi="te-IN"/>
        </w:rPr>
        <w:t xml:space="preserve">Bihar's annual rainfall demonstrates significant interannual variability, with a general declining trend observed throughout most of the state, ranging from </w:t>
      </w:r>
      <w:r w:rsidR="00976A1A" w:rsidRPr="00F87018">
        <w:rPr>
          <w:rFonts w:ascii="Arial" w:hAnsi="Arial" w:cs="Arial"/>
          <w:color w:val="000000" w:themeColor="text1"/>
          <w:kern w:val="0"/>
          <w:sz w:val="20"/>
          <w:szCs w:val="20"/>
          <w:lang w:bidi="te-IN"/>
        </w:rPr>
        <w:lastRenderedPageBreak/>
        <w:t>approximately −3.5 mm/year to −2.8 mm/year. This downward trend is especially notable in the eastern districts. Among Bihar’s 38 districts, only three</w:t>
      </w:r>
      <w:r w:rsidR="00145AB2">
        <w:rPr>
          <w:rFonts w:ascii="Arial" w:hAnsi="Arial" w:cs="Arial"/>
          <w:color w:val="000000" w:themeColor="text1"/>
          <w:kern w:val="0"/>
          <w:sz w:val="20"/>
          <w:szCs w:val="20"/>
          <w:lang w:bidi="te-IN"/>
        </w:rPr>
        <w:t>-</w:t>
      </w:r>
      <w:proofErr w:type="spellStart"/>
      <w:r w:rsidR="00976A1A" w:rsidRPr="00F87018">
        <w:rPr>
          <w:rFonts w:ascii="Arial" w:hAnsi="Arial" w:cs="Arial"/>
          <w:color w:val="000000" w:themeColor="text1"/>
          <w:kern w:val="0"/>
          <w:sz w:val="20"/>
          <w:szCs w:val="20"/>
          <w:lang w:bidi="te-IN"/>
        </w:rPr>
        <w:t>Purnea</w:t>
      </w:r>
      <w:proofErr w:type="spellEnd"/>
      <w:r w:rsidR="00976A1A" w:rsidRPr="00F87018">
        <w:rPr>
          <w:rFonts w:ascii="Arial" w:hAnsi="Arial" w:cs="Arial"/>
          <w:color w:val="000000" w:themeColor="text1"/>
          <w:kern w:val="0"/>
          <w:sz w:val="20"/>
          <w:szCs w:val="20"/>
          <w:lang w:bidi="te-IN"/>
        </w:rPr>
        <w:t xml:space="preserve">, Paschim Champaran, and </w:t>
      </w:r>
      <w:proofErr w:type="spellStart"/>
      <w:r w:rsidR="00976A1A" w:rsidRPr="00F87018">
        <w:rPr>
          <w:rFonts w:ascii="Arial" w:hAnsi="Arial" w:cs="Arial"/>
          <w:color w:val="000000" w:themeColor="text1"/>
          <w:kern w:val="0"/>
          <w:sz w:val="20"/>
          <w:szCs w:val="20"/>
          <w:lang w:bidi="te-IN"/>
        </w:rPr>
        <w:t>Lakhisarai</w:t>
      </w:r>
      <w:proofErr w:type="spellEnd"/>
      <w:r w:rsidR="00145AB2">
        <w:rPr>
          <w:rFonts w:ascii="Arial" w:hAnsi="Arial" w:cs="Arial"/>
          <w:color w:val="000000" w:themeColor="text1"/>
          <w:kern w:val="0"/>
          <w:sz w:val="20"/>
          <w:szCs w:val="20"/>
          <w:lang w:bidi="te-IN"/>
        </w:rPr>
        <w:t>-</w:t>
      </w:r>
      <w:r w:rsidR="00976A1A" w:rsidRPr="00F87018">
        <w:rPr>
          <w:rFonts w:ascii="Arial" w:hAnsi="Arial" w:cs="Arial"/>
          <w:color w:val="000000" w:themeColor="text1"/>
          <w:kern w:val="0"/>
          <w:sz w:val="20"/>
          <w:szCs w:val="20"/>
          <w:lang w:bidi="te-IN"/>
        </w:rPr>
        <w:t>exhibited a positive trend in annual precipitation, with increases between 0.2 mm/year and 2.18 mm/year (Sharma &amp; Priya, 2023).</w:t>
      </w:r>
    </w:p>
    <w:p w14:paraId="363BF2B0" w14:textId="299B6EB7" w:rsidR="00DB2802" w:rsidRPr="00334A80" w:rsidRDefault="00DB2802" w:rsidP="00F87018">
      <w:pPr>
        <w:spacing w:line="360" w:lineRule="auto"/>
        <w:rPr>
          <w:rFonts w:ascii="Arial" w:hAnsi="Arial" w:cs="Arial"/>
          <w:kern w:val="0"/>
          <w:sz w:val="20"/>
          <w:szCs w:val="20"/>
          <w:lang w:bidi="te-IN"/>
        </w:rPr>
      </w:pPr>
    </w:p>
    <w:p w14:paraId="34DA23C7" w14:textId="77777777" w:rsidR="00DB2802" w:rsidRPr="00334A80" w:rsidRDefault="00DB2802" w:rsidP="00F87018">
      <w:pPr>
        <w:autoSpaceDE w:val="0"/>
        <w:autoSpaceDN w:val="0"/>
        <w:adjustRightInd w:val="0"/>
        <w:spacing w:line="360" w:lineRule="auto"/>
        <w:jc w:val="center"/>
        <w:rPr>
          <w:rFonts w:ascii="Arial" w:hAnsi="Arial" w:cs="Arial"/>
          <w:kern w:val="0"/>
          <w:sz w:val="20"/>
          <w:szCs w:val="20"/>
          <w:lang w:bidi="te-IN"/>
        </w:rPr>
      </w:pPr>
      <w:r w:rsidRPr="00334A80">
        <w:rPr>
          <w:rFonts w:ascii="Arial" w:hAnsi="Arial" w:cs="Arial"/>
          <w:noProof/>
          <w:kern w:val="0"/>
          <w:sz w:val="20"/>
          <w:szCs w:val="20"/>
          <w:lang w:bidi="te-IN"/>
        </w:rPr>
        <w:drawing>
          <wp:inline distT="0" distB="0" distL="0" distR="0" wp14:anchorId="5821E18C" wp14:editId="5E590B65">
            <wp:extent cx="3762000" cy="2354400"/>
            <wp:effectExtent l="0" t="0" r="0" b="8255"/>
            <wp:docPr id="461892819"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a:extLst>
                        <a:ext uri="{28A0092B-C50C-407E-A947-70E740481C1C}">
                          <a14:useLocalDpi xmlns:a14="http://schemas.microsoft.com/office/drawing/2010/main" val="0"/>
                        </a:ext>
                      </a:extLst>
                    </a:blip>
                    <a:srcRect r="22839"/>
                    <a:stretch/>
                  </pic:blipFill>
                  <pic:spPr bwMode="auto">
                    <a:xfrm>
                      <a:off x="0" y="0"/>
                      <a:ext cx="3762000" cy="2354400"/>
                    </a:xfrm>
                    <a:prstGeom prst="rect">
                      <a:avLst/>
                    </a:prstGeom>
                    <a:noFill/>
                    <a:ln>
                      <a:noFill/>
                    </a:ln>
                    <a:extLst>
                      <a:ext uri="{53640926-AAD7-44D8-BBD7-CCE9431645EC}">
                        <a14:shadowObscured xmlns:a14="http://schemas.microsoft.com/office/drawing/2010/main"/>
                      </a:ext>
                    </a:extLst>
                  </pic:spPr>
                </pic:pic>
              </a:graphicData>
            </a:graphic>
          </wp:inline>
        </w:drawing>
      </w:r>
    </w:p>
    <w:p w14:paraId="2F9B5AF7" w14:textId="4E171EE6" w:rsidR="00DB2802" w:rsidRPr="00334A80" w:rsidRDefault="00DB2802" w:rsidP="00F87018">
      <w:pPr>
        <w:autoSpaceDE w:val="0"/>
        <w:autoSpaceDN w:val="0"/>
        <w:adjustRightInd w:val="0"/>
        <w:spacing w:line="360" w:lineRule="auto"/>
        <w:jc w:val="center"/>
        <w:rPr>
          <w:rFonts w:ascii="Arial" w:hAnsi="Arial" w:cs="Arial"/>
          <w:b/>
          <w:bCs/>
          <w:kern w:val="0"/>
          <w:sz w:val="20"/>
          <w:szCs w:val="20"/>
          <w:lang w:bidi="te-IN"/>
        </w:rPr>
      </w:pPr>
      <w:r w:rsidRPr="00334A80">
        <w:rPr>
          <w:rFonts w:ascii="Arial" w:hAnsi="Arial" w:cs="Arial"/>
          <w:b/>
          <w:bCs/>
          <w:kern w:val="0"/>
          <w:sz w:val="20"/>
          <w:szCs w:val="20"/>
          <w:lang w:bidi="te-IN"/>
        </w:rPr>
        <w:t xml:space="preserve">Figure </w:t>
      </w:r>
      <w:r w:rsidR="0015300D" w:rsidRPr="00334A80">
        <w:rPr>
          <w:rFonts w:ascii="Arial" w:hAnsi="Arial" w:cs="Arial"/>
          <w:b/>
          <w:bCs/>
          <w:kern w:val="0"/>
          <w:sz w:val="20"/>
          <w:szCs w:val="20"/>
          <w:lang w:bidi="te-IN"/>
        </w:rPr>
        <w:t>5.</w:t>
      </w:r>
      <w:r w:rsidRPr="00334A80">
        <w:rPr>
          <w:rFonts w:ascii="Arial" w:hAnsi="Arial" w:cs="Arial"/>
          <w:b/>
          <w:bCs/>
          <w:kern w:val="0"/>
          <w:sz w:val="20"/>
          <w:szCs w:val="20"/>
          <w:lang w:bidi="te-IN"/>
        </w:rPr>
        <w:t xml:space="preserve"> Pre-Monsoon Rainfall vs. Year for Zone I</w:t>
      </w:r>
    </w:p>
    <w:p w14:paraId="75FD8F1E" w14:textId="3E7FAE14" w:rsidR="00DB2802" w:rsidRPr="00334A80" w:rsidRDefault="00DB2802" w:rsidP="00F87018">
      <w:pPr>
        <w:autoSpaceDE w:val="0"/>
        <w:autoSpaceDN w:val="0"/>
        <w:adjustRightInd w:val="0"/>
        <w:spacing w:line="360" w:lineRule="auto"/>
        <w:jc w:val="both"/>
        <w:rPr>
          <w:rFonts w:ascii="Arial" w:hAnsi="Arial" w:cs="Arial"/>
          <w:kern w:val="0"/>
          <w:sz w:val="20"/>
          <w:szCs w:val="20"/>
          <w:lang w:bidi="te-IN"/>
        </w:rPr>
      </w:pPr>
      <w:r w:rsidRPr="00334A80">
        <w:rPr>
          <w:rFonts w:ascii="Arial" w:hAnsi="Arial" w:cs="Arial"/>
          <w:kern w:val="0"/>
          <w:sz w:val="20"/>
          <w:szCs w:val="20"/>
          <w:lang w:bidi="te-IN"/>
        </w:rPr>
        <w:t xml:space="preserve">This </w:t>
      </w:r>
      <w:r w:rsidR="00E51A39" w:rsidRPr="00334A80">
        <w:rPr>
          <w:rFonts w:ascii="Arial" w:hAnsi="Arial" w:cs="Arial"/>
          <w:kern w:val="0"/>
          <w:sz w:val="20"/>
          <w:szCs w:val="20"/>
          <w:lang w:bidi="te-IN"/>
        </w:rPr>
        <w:t>fig 5 shows</w:t>
      </w:r>
      <w:r w:rsidRPr="00334A80">
        <w:rPr>
          <w:rFonts w:ascii="Arial" w:hAnsi="Arial" w:cs="Arial"/>
          <w:kern w:val="0"/>
          <w:sz w:val="20"/>
          <w:szCs w:val="20"/>
          <w:lang w:bidi="te-IN"/>
        </w:rPr>
        <w:t xml:space="preserve"> the plot between Pre-Monsoon Rainfall vs Year of 100 years in Zone I shows pre-monsoon rainfall trends in Zone I over a century. The regression analysis highlights an increasing trend, with a higher R² value of 0.093, indicating some significance. The upward trend in pre-monsoon rainfall suggests changing climatic conditions that could influence kharif crop sowing periods.</w:t>
      </w:r>
    </w:p>
    <w:p w14:paraId="1B68667D" w14:textId="77777777" w:rsidR="00DB2802" w:rsidRPr="00334A80" w:rsidRDefault="00DB2802" w:rsidP="00F87018">
      <w:pPr>
        <w:autoSpaceDE w:val="0"/>
        <w:autoSpaceDN w:val="0"/>
        <w:adjustRightInd w:val="0"/>
        <w:spacing w:line="360" w:lineRule="auto"/>
        <w:jc w:val="center"/>
        <w:rPr>
          <w:rFonts w:ascii="Arial" w:hAnsi="Arial" w:cs="Arial"/>
          <w:kern w:val="0"/>
          <w:sz w:val="20"/>
          <w:szCs w:val="20"/>
          <w:lang w:bidi="te-IN"/>
        </w:rPr>
      </w:pPr>
      <w:r w:rsidRPr="00334A80">
        <w:rPr>
          <w:rFonts w:ascii="Arial" w:hAnsi="Arial" w:cs="Arial"/>
          <w:noProof/>
          <w:kern w:val="0"/>
          <w:sz w:val="20"/>
          <w:szCs w:val="20"/>
          <w:lang w:bidi="te-IN"/>
        </w:rPr>
        <w:drawing>
          <wp:inline distT="0" distB="0" distL="0" distR="0" wp14:anchorId="133573F5" wp14:editId="19170AE5">
            <wp:extent cx="3762000" cy="2354400"/>
            <wp:effectExtent l="0" t="0" r="0" b="8255"/>
            <wp:docPr id="312252783"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2">
                      <a:extLst>
                        <a:ext uri="{28A0092B-C50C-407E-A947-70E740481C1C}">
                          <a14:useLocalDpi xmlns:a14="http://schemas.microsoft.com/office/drawing/2010/main" val="0"/>
                        </a:ext>
                      </a:extLst>
                    </a:blip>
                    <a:srcRect r="23360"/>
                    <a:stretch/>
                  </pic:blipFill>
                  <pic:spPr bwMode="auto">
                    <a:xfrm>
                      <a:off x="0" y="0"/>
                      <a:ext cx="3762000" cy="2354400"/>
                    </a:xfrm>
                    <a:prstGeom prst="rect">
                      <a:avLst/>
                    </a:prstGeom>
                    <a:noFill/>
                    <a:ln>
                      <a:noFill/>
                    </a:ln>
                    <a:extLst>
                      <a:ext uri="{53640926-AAD7-44D8-BBD7-CCE9431645EC}">
                        <a14:shadowObscured xmlns:a14="http://schemas.microsoft.com/office/drawing/2010/main"/>
                      </a:ext>
                    </a:extLst>
                  </pic:spPr>
                </pic:pic>
              </a:graphicData>
            </a:graphic>
          </wp:inline>
        </w:drawing>
      </w:r>
    </w:p>
    <w:p w14:paraId="0F30952A" w14:textId="2EF3952B" w:rsidR="00DB2802" w:rsidRPr="00334A80" w:rsidRDefault="00DB2802" w:rsidP="00F87018">
      <w:pPr>
        <w:autoSpaceDE w:val="0"/>
        <w:autoSpaceDN w:val="0"/>
        <w:adjustRightInd w:val="0"/>
        <w:spacing w:line="360" w:lineRule="auto"/>
        <w:jc w:val="center"/>
        <w:rPr>
          <w:rFonts w:ascii="Arial" w:hAnsi="Arial" w:cs="Arial"/>
          <w:b/>
          <w:bCs/>
          <w:kern w:val="0"/>
          <w:sz w:val="20"/>
          <w:szCs w:val="20"/>
          <w:lang w:bidi="te-IN"/>
        </w:rPr>
      </w:pPr>
      <w:r w:rsidRPr="00334A80">
        <w:rPr>
          <w:rFonts w:ascii="Arial" w:hAnsi="Arial" w:cs="Arial"/>
          <w:b/>
          <w:bCs/>
          <w:kern w:val="0"/>
          <w:sz w:val="20"/>
          <w:szCs w:val="20"/>
          <w:lang w:bidi="te-IN"/>
        </w:rPr>
        <w:t>Figure</w:t>
      </w:r>
      <w:r w:rsidR="00E51A39" w:rsidRPr="00334A80">
        <w:rPr>
          <w:rFonts w:ascii="Arial" w:hAnsi="Arial" w:cs="Arial"/>
          <w:b/>
          <w:bCs/>
          <w:kern w:val="0"/>
          <w:sz w:val="20"/>
          <w:szCs w:val="20"/>
          <w:lang w:bidi="te-IN"/>
        </w:rPr>
        <w:t xml:space="preserve"> 6.</w:t>
      </w:r>
      <w:r w:rsidRPr="00334A80">
        <w:rPr>
          <w:rFonts w:ascii="Arial" w:hAnsi="Arial" w:cs="Arial"/>
          <w:b/>
          <w:bCs/>
          <w:kern w:val="0"/>
          <w:sz w:val="20"/>
          <w:szCs w:val="20"/>
          <w:lang w:bidi="te-IN"/>
        </w:rPr>
        <w:t xml:space="preserve"> Monsoon Rainfall vs. Year for Zone I</w:t>
      </w:r>
    </w:p>
    <w:p w14:paraId="55D7383C" w14:textId="22DBFA50" w:rsidR="00DB2802" w:rsidRPr="00F87018" w:rsidRDefault="00DB2802" w:rsidP="00F87018">
      <w:pPr>
        <w:autoSpaceDE w:val="0"/>
        <w:autoSpaceDN w:val="0"/>
        <w:adjustRightInd w:val="0"/>
        <w:spacing w:line="360" w:lineRule="auto"/>
        <w:jc w:val="both"/>
        <w:rPr>
          <w:rFonts w:ascii="Arial" w:hAnsi="Arial" w:cs="Arial"/>
          <w:color w:val="000000" w:themeColor="text1"/>
          <w:kern w:val="0"/>
          <w:sz w:val="20"/>
          <w:szCs w:val="20"/>
          <w:lang w:bidi="te-IN"/>
        </w:rPr>
      </w:pPr>
      <w:r w:rsidRPr="00F87018">
        <w:rPr>
          <w:rFonts w:ascii="Arial" w:hAnsi="Arial" w:cs="Arial"/>
          <w:color w:val="000000" w:themeColor="text1"/>
          <w:kern w:val="0"/>
          <w:sz w:val="20"/>
          <w:szCs w:val="20"/>
          <w:lang w:bidi="te-IN"/>
        </w:rPr>
        <w:t>This figur</w:t>
      </w:r>
      <w:r w:rsidR="00E51A39" w:rsidRPr="00F87018">
        <w:rPr>
          <w:rFonts w:ascii="Arial" w:hAnsi="Arial" w:cs="Arial"/>
          <w:color w:val="000000" w:themeColor="text1"/>
          <w:kern w:val="0"/>
          <w:sz w:val="20"/>
          <w:szCs w:val="20"/>
          <w:lang w:bidi="te-IN"/>
        </w:rPr>
        <w:t>e 6 shows</w:t>
      </w:r>
      <w:r w:rsidRPr="00F87018">
        <w:rPr>
          <w:rFonts w:ascii="Arial" w:hAnsi="Arial" w:cs="Arial"/>
          <w:color w:val="000000" w:themeColor="text1"/>
          <w:kern w:val="0"/>
          <w:sz w:val="20"/>
          <w:szCs w:val="20"/>
          <w:lang w:bidi="te-IN"/>
        </w:rPr>
        <w:t xml:space="preserve"> the plot between Monsoon Rainfall vs Year of 100 years in Zone I captures monsoon rainfall variations in Zone I. The regression analysis reveals minimal change, with an R² value of 0.001, suggesting no significant trend. Monsoon rainfall remains a critical factor for agricultural productivity and flood occurrence in the region.</w:t>
      </w:r>
      <w:r w:rsidR="007C2CB9" w:rsidRPr="00F87018">
        <w:rPr>
          <w:color w:val="000000" w:themeColor="text1"/>
        </w:rPr>
        <w:t xml:space="preserve"> </w:t>
      </w:r>
      <w:r w:rsidR="00976A1A" w:rsidRPr="00F87018">
        <w:rPr>
          <w:rFonts w:ascii="Arial" w:hAnsi="Arial" w:cs="Arial"/>
          <w:color w:val="000000" w:themeColor="text1"/>
          <w:kern w:val="0"/>
          <w:sz w:val="20"/>
          <w:szCs w:val="20"/>
          <w:lang w:bidi="te-IN"/>
        </w:rPr>
        <w:t xml:space="preserve">To forecast rainfall patterns effectively, the SARIMA (Seasonal </w:t>
      </w:r>
      <w:r w:rsidR="00976A1A" w:rsidRPr="00F87018">
        <w:rPr>
          <w:rFonts w:ascii="Arial" w:hAnsi="Arial" w:cs="Arial"/>
          <w:color w:val="000000" w:themeColor="text1"/>
          <w:kern w:val="0"/>
          <w:sz w:val="20"/>
          <w:szCs w:val="20"/>
          <w:lang w:bidi="te-IN"/>
        </w:rPr>
        <w:lastRenderedPageBreak/>
        <w:t xml:space="preserve">Autoregressive Integrated Moving Average) model was chosen due to its capacity to account for temporal dependencies in the data. One of the primary reasons for selecting this model is its strength in capturing seasonal patterns commonly present in rainfall datasets, which often reflect periodic </w:t>
      </w:r>
      <w:proofErr w:type="spellStart"/>
      <w:r w:rsidR="00976A1A" w:rsidRPr="00F87018">
        <w:rPr>
          <w:rFonts w:ascii="Arial" w:hAnsi="Arial" w:cs="Arial"/>
          <w:color w:val="000000" w:themeColor="text1"/>
          <w:kern w:val="0"/>
          <w:sz w:val="20"/>
          <w:szCs w:val="20"/>
          <w:lang w:bidi="te-IN"/>
        </w:rPr>
        <w:t>behavior</w:t>
      </w:r>
      <w:proofErr w:type="spellEnd"/>
      <w:r w:rsidR="00976A1A" w:rsidRPr="00F87018">
        <w:rPr>
          <w:rFonts w:ascii="Arial" w:hAnsi="Arial" w:cs="Arial"/>
          <w:color w:val="000000" w:themeColor="text1"/>
          <w:kern w:val="0"/>
          <w:sz w:val="20"/>
          <w:szCs w:val="20"/>
          <w:lang w:bidi="te-IN"/>
        </w:rPr>
        <w:t xml:space="preserve"> influenced by climatic and meteorological cycles. SARIMA incorporates seasonal autoregressive and moving average terms, making it particularly well-suited for </w:t>
      </w:r>
      <w:proofErr w:type="spellStart"/>
      <w:r w:rsidR="00976A1A" w:rsidRPr="00F87018">
        <w:rPr>
          <w:rFonts w:ascii="Arial" w:hAnsi="Arial" w:cs="Arial"/>
          <w:color w:val="000000" w:themeColor="text1"/>
          <w:kern w:val="0"/>
          <w:sz w:val="20"/>
          <w:szCs w:val="20"/>
          <w:lang w:bidi="te-IN"/>
        </w:rPr>
        <w:t>modeling</w:t>
      </w:r>
      <w:proofErr w:type="spellEnd"/>
      <w:r w:rsidR="00976A1A" w:rsidRPr="00F87018">
        <w:rPr>
          <w:rFonts w:ascii="Arial" w:hAnsi="Arial" w:cs="Arial"/>
          <w:color w:val="000000" w:themeColor="text1"/>
          <w:kern w:val="0"/>
          <w:sz w:val="20"/>
          <w:szCs w:val="20"/>
          <w:lang w:bidi="te-IN"/>
        </w:rPr>
        <w:t xml:space="preserve"> such recurring fluctuations. Moreover, the model is capable of addressing both trend and seasonality within the data. Rainfall records frequently demonstrate long-term increasing or decreasing tendencies, which SARIMA accommodates through appropriate differencing techniques. This makes the model robust for handling complex structures in hydrological time series (Banik &amp; Biswas, 2025).</w:t>
      </w:r>
    </w:p>
    <w:p w14:paraId="3C9536AE" w14:textId="77777777" w:rsidR="00DB2802" w:rsidRPr="00334A80" w:rsidRDefault="00DB2802" w:rsidP="00F87018">
      <w:pPr>
        <w:autoSpaceDE w:val="0"/>
        <w:autoSpaceDN w:val="0"/>
        <w:adjustRightInd w:val="0"/>
        <w:spacing w:line="360" w:lineRule="auto"/>
        <w:jc w:val="center"/>
        <w:rPr>
          <w:rFonts w:ascii="Arial" w:hAnsi="Arial" w:cs="Arial"/>
          <w:kern w:val="0"/>
          <w:sz w:val="20"/>
          <w:szCs w:val="20"/>
          <w:lang w:bidi="te-IN"/>
        </w:rPr>
      </w:pPr>
      <w:r w:rsidRPr="00334A80">
        <w:rPr>
          <w:rFonts w:ascii="Arial" w:hAnsi="Arial" w:cs="Arial"/>
          <w:noProof/>
          <w:kern w:val="0"/>
          <w:sz w:val="20"/>
          <w:szCs w:val="20"/>
          <w:lang w:bidi="te-IN"/>
        </w:rPr>
        <w:drawing>
          <wp:inline distT="0" distB="0" distL="0" distR="0" wp14:anchorId="2B4AFABC" wp14:editId="2409A791">
            <wp:extent cx="3762000" cy="2354400"/>
            <wp:effectExtent l="0" t="0" r="0" b="8255"/>
            <wp:docPr id="686319756"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3">
                      <a:extLst>
                        <a:ext uri="{28A0092B-C50C-407E-A947-70E740481C1C}">
                          <a14:useLocalDpi xmlns:a14="http://schemas.microsoft.com/office/drawing/2010/main" val="0"/>
                        </a:ext>
                      </a:extLst>
                    </a:blip>
                    <a:srcRect r="23880"/>
                    <a:stretch/>
                  </pic:blipFill>
                  <pic:spPr bwMode="auto">
                    <a:xfrm>
                      <a:off x="0" y="0"/>
                      <a:ext cx="3762000" cy="2354400"/>
                    </a:xfrm>
                    <a:prstGeom prst="rect">
                      <a:avLst/>
                    </a:prstGeom>
                    <a:noFill/>
                    <a:ln>
                      <a:noFill/>
                    </a:ln>
                    <a:extLst>
                      <a:ext uri="{53640926-AAD7-44D8-BBD7-CCE9431645EC}">
                        <a14:shadowObscured xmlns:a14="http://schemas.microsoft.com/office/drawing/2010/main"/>
                      </a:ext>
                    </a:extLst>
                  </pic:spPr>
                </pic:pic>
              </a:graphicData>
            </a:graphic>
          </wp:inline>
        </w:drawing>
      </w:r>
    </w:p>
    <w:p w14:paraId="435F85BB" w14:textId="0BB6D26D" w:rsidR="00DB2802" w:rsidRPr="00334A80" w:rsidRDefault="00DB2802" w:rsidP="00F87018">
      <w:pPr>
        <w:autoSpaceDE w:val="0"/>
        <w:autoSpaceDN w:val="0"/>
        <w:adjustRightInd w:val="0"/>
        <w:spacing w:line="360" w:lineRule="auto"/>
        <w:jc w:val="center"/>
        <w:rPr>
          <w:rFonts w:ascii="Arial" w:hAnsi="Arial" w:cs="Arial"/>
          <w:b/>
          <w:bCs/>
          <w:kern w:val="0"/>
          <w:sz w:val="20"/>
          <w:szCs w:val="20"/>
          <w:lang w:bidi="te-IN"/>
        </w:rPr>
      </w:pPr>
      <w:r w:rsidRPr="00334A80">
        <w:rPr>
          <w:rFonts w:ascii="Arial" w:hAnsi="Arial" w:cs="Arial"/>
          <w:b/>
          <w:bCs/>
          <w:kern w:val="0"/>
          <w:sz w:val="20"/>
          <w:szCs w:val="20"/>
          <w:lang w:bidi="te-IN"/>
        </w:rPr>
        <w:t>Figure</w:t>
      </w:r>
      <w:r w:rsidR="00E51A39" w:rsidRPr="00334A80">
        <w:rPr>
          <w:rFonts w:ascii="Arial" w:hAnsi="Arial" w:cs="Arial"/>
          <w:b/>
          <w:bCs/>
          <w:kern w:val="0"/>
          <w:sz w:val="20"/>
          <w:szCs w:val="20"/>
          <w:lang w:bidi="te-IN"/>
        </w:rPr>
        <w:t xml:space="preserve"> 7</w:t>
      </w:r>
      <w:r w:rsidRPr="00334A80">
        <w:rPr>
          <w:rFonts w:ascii="Arial" w:hAnsi="Arial" w:cs="Arial"/>
          <w:b/>
          <w:bCs/>
          <w:kern w:val="0"/>
          <w:sz w:val="20"/>
          <w:szCs w:val="20"/>
          <w:lang w:bidi="te-IN"/>
        </w:rPr>
        <w:t xml:space="preserve"> Post-Monsoon Rainfall vs. Year for Zone I</w:t>
      </w:r>
    </w:p>
    <w:p w14:paraId="33B523D0" w14:textId="77777777" w:rsidR="00976A1A" w:rsidRPr="00F87018" w:rsidRDefault="00DB2802" w:rsidP="00F87018">
      <w:pPr>
        <w:autoSpaceDE w:val="0"/>
        <w:autoSpaceDN w:val="0"/>
        <w:adjustRightInd w:val="0"/>
        <w:spacing w:line="360" w:lineRule="auto"/>
        <w:jc w:val="both"/>
        <w:rPr>
          <w:rFonts w:ascii="Arial" w:hAnsi="Arial" w:cs="Arial"/>
          <w:color w:val="000000" w:themeColor="text1"/>
          <w:kern w:val="0"/>
          <w:sz w:val="20"/>
          <w:szCs w:val="20"/>
          <w:lang w:bidi="te-IN"/>
        </w:rPr>
      </w:pPr>
      <w:r w:rsidRPr="00F87018">
        <w:rPr>
          <w:rFonts w:ascii="Arial" w:hAnsi="Arial" w:cs="Arial"/>
          <w:color w:val="000000" w:themeColor="text1"/>
          <w:kern w:val="0"/>
          <w:sz w:val="20"/>
          <w:szCs w:val="20"/>
          <w:lang w:bidi="te-IN"/>
        </w:rPr>
        <w:t xml:space="preserve">This </w:t>
      </w:r>
      <w:r w:rsidR="00E51A39" w:rsidRPr="00F87018">
        <w:rPr>
          <w:rFonts w:ascii="Arial" w:hAnsi="Arial" w:cs="Arial"/>
          <w:color w:val="000000" w:themeColor="text1"/>
          <w:kern w:val="0"/>
          <w:sz w:val="20"/>
          <w:szCs w:val="20"/>
          <w:lang w:bidi="te-IN"/>
        </w:rPr>
        <w:t xml:space="preserve">figure 7 shows </w:t>
      </w:r>
      <w:r w:rsidRPr="00F87018">
        <w:rPr>
          <w:rFonts w:ascii="Arial" w:hAnsi="Arial" w:cs="Arial"/>
          <w:color w:val="000000" w:themeColor="text1"/>
          <w:kern w:val="0"/>
          <w:sz w:val="20"/>
          <w:szCs w:val="20"/>
          <w:lang w:bidi="te-IN"/>
        </w:rPr>
        <w:t>the plot between Post-Monsoon Rainfall vs Year of 100 years in Zone I illustrates post-monsoon rainfall trends for Zone I, with a regression analysis showing a slight decrease in rainfall and an R² value of 0.031. Post-monsoon rainfall impacts water availability and winter cropping systems.</w:t>
      </w:r>
      <w:r w:rsidR="005E6C39" w:rsidRPr="00F87018">
        <w:rPr>
          <w:color w:val="000000" w:themeColor="text1"/>
        </w:rPr>
        <w:t xml:space="preserve"> </w:t>
      </w:r>
      <w:r w:rsidR="00976A1A" w:rsidRPr="00F87018">
        <w:rPr>
          <w:rFonts w:ascii="Arial" w:hAnsi="Arial" w:cs="Arial"/>
          <w:color w:val="000000" w:themeColor="text1"/>
          <w:kern w:val="0"/>
          <w:sz w:val="20"/>
          <w:szCs w:val="20"/>
          <w:lang w:bidi="te-IN"/>
        </w:rPr>
        <w:t>Crop management encompasses a broad spectrum of approaches, ranging from time-tested traditional techniques to contemporary scientific interventions. These methods often involve modifying specific plant traits or adapting cultivation strategies to enhance productivity, ensure healthy growth, and respond to changing environmental conditions. A key aspect of this adaptive strategy is the development and dissemination of improved crop varieties. Since its establishment, the Indian Council of Agricultural Research (ICAR) has introduced over 6,100 such varieties, including approximately 1,622 specifically bred to withstand climate-related stresses (Goswami</w:t>
      </w:r>
      <w:r w:rsidR="00976A1A" w:rsidRPr="00145AB2">
        <w:rPr>
          <w:rFonts w:ascii="Arial" w:hAnsi="Arial" w:cs="Arial"/>
          <w:i/>
          <w:iCs/>
          <w:color w:val="000000" w:themeColor="text1"/>
          <w:kern w:val="0"/>
          <w:sz w:val="20"/>
          <w:szCs w:val="20"/>
          <w:lang w:bidi="te-IN"/>
        </w:rPr>
        <w:t xml:space="preserve"> et al.,</w:t>
      </w:r>
      <w:r w:rsidR="00976A1A" w:rsidRPr="00F87018">
        <w:rPr>
          <w:rFonts w:ascii="Arial" w:hAnsi="Arial" w:cs="Arial"/>
          <w:color w:val="000000" w:themeColor="text1"/>
          <w:kern w:val="0"/>
          <w:sz w:val="20"/>
          <w:szCs w:val="20"/>
          <w:lang w:bidi="te-IN"/>
        </w:rPr>
        <w:t xml:space="preserve"> 2023). These climate-resilient cultivars play an increasingly vital role in sustaining agricultural output amid fluctuating weather patterns and emerging challenges posed by climate change.</w:t>
      </w:r>
    </w:p>
    <w:p w14:paraId="2ACD2078" w14:textId="038F8384" w:rsidR="0015300D" w:rsidRPr="0015300D" w:rsidRDefault="0015300D" w:rsidP="00F87018">
      <w:pPr>
        <w:autoSpaceDE w:val="0"/>
        <w:autoSpaceDN w:val="0"/>
        <w:adjustRightInd w:val="0"/>
        <w:spacing w:line="360" w:lineRule="auto"/>
        <w:jc w:val="both"/>
        <w:rPr>
          <w:rFonts w:ascii="Arial" w:eastAsia="Times New Roman" w:hAnsi="Arial" w:cs="Arial"/>
          <w:b/>
          <w:bCs/>
          <w:kern w:val="0"/>
          <w:lang w:eastAsia="en-IN" w:bidi="te-IN"/>
          <w14:ligatures w14:val="none"/>
        </w:rPr>
      </w:pPr>
      <w:r w:rsidRPr="0015300D">
        <w:rPr>
          <w:rFonts w:ascii="Arial" w:eastAsia="Times New Roman" w:hAnsi="Arial" w:cs="Arial"/>
          <w:b/>
          <w:bCs/>
          <w:kern w:val="0"/>
          <w:lang w:eastAsia="en-IN" w:bidi="te-IN"/>
          <w14:ligatures w14:val="none"/>
        </w:rPr>
        <w:t>3.</w:t>
      </w:r>
      <w:r w:rsidRPr="00334A80">
        <w:rPr>
          <w:rFonts w:ascii="Arial" w:eastAsia="Times New Roman" w:hAnsi="Arial" w:cs="Arial"/>
          <w:b/>
          <w:bCs/>
          <w:kern w:val="0"/>
          <w:lang w:eastAsia="en-IN" w:bidi="te-IN"/>
          <w14:ligatures w14:val="none"/>
        </w:rPr>
        <w:t>2</w:t>
      </w:r>
      <w:r w:rsidRPr="0015300D">
        <w:rPr>
          <w:rFonts w:ascii="Arial" w:eastAsia="Times New Roman" w:hAnsi="Arial" w:cs="Arial"/>
          <w:b/>
          <w:bCs/>
          <w:kern w:val="0"/>
          <w:lang w:eastAsia="en-IN" w:bidi="te-IN"/>
          <w14:ligatures w14:val="none"/>
        </w:rPr>
        <w:t xml:space="preserve"> Adaptive Crop Planning Strategies</w:t>
      </w:r>
    </w:p>
    <w:p w14:paraId="1A636E3E" w14:textId="77777777" w:rsidR="0015300D" w:rsidRPr="0015300D" w:rsidRDefault="0015300D" w:rsidP="00F87018">
      <w:pPr>
        <w:spacing w:before="100" w:beforeAutospacing="1" w:after="100" w:afterAutospacing="1" w:line="360" w:lineRule="auto"/>
        <w:jc w:val="both"/>
        <w:rPr>
          <w:rFonts w:ascii="Arial" w:eastAsia="Times New Roman" w:hAnsi="Arial" w:cs="Arial"/>
          <w:kern w:val="0"/>
          <w:sz w:val="20"/>
          <w:szCs w:val="20"/>
          <w:lang w:eastAsia="en-IN" w:bidi="te-IN"/>
          <w14:ligatures w14:val="none"/>
        </w:rPr>
      </w:pPr>
      <w:r w:rsidRPr="0015300D">
        <w:rPr>
          <w:rFonts w:ascii="Arial" w:eastAsia="Times New Roman" w:hAnsi="Arial" w:cs="Arial"/>
          <w:b/>
          <w:bCs/>
          <w:kern w:val="0"/>
          <w:sz w:val="20"/>
          <w:szCs w:val="20"/>
          <w:lang w:eastAsia="en-IN" w:bidi="te-IN"/>
          <w14:ligatures w14:val="none"/>
        </w:rPr>
        <w:t>Winter Season (Rabi Period):</w:t>
      </w:r>
    </w:p>
    <w:p w14:paraId="73890169" w14:textId="77777777" w:rsidR="0015300D" w:rsidRPr="0015300D" w:rsidRDefault="0015300D" w:rsidP="00F87018">
      <w:pPr>
        <w:numPr>
          <w:ilvl w:val="0"/>
          <w:numId w:val="10"/>
        </w:numPr>
        <w:spacing w:before="100" w:beforeAutospacing="1" w:after="100" w:afterAutospacing="1" w:line="360" w:lineRule="auto"/>
        <w:jc w:val="both"/>
        <w:rPr>
          <w:rFonts w:ascii="Arial" w:eastAsia="Times New Roman" w:hAnsi="Arial" w:cs="Arial"/>
          <w:kern w:val="0"/>
          <w:sz w:val="20"/>
          <w:szCs w:val="20"/>
          <w:lang w:eastAsia="en-IN" w:bidi="te-IN"/>
          <w14:ligatures w14:val="none"/>
        </w:rPr>
      </w:pPr>
      <w:r w:rsidRPr="0015300D">
        <w:rPr>
          <w:rFonts w:ascii="Arial" w:eastAsia="Times New Roman" w:hAnsi="Arial" w:cs="Arial"/>
          <w:kern w:val="0"/>
          <w:sz w:val="20"/>
          <w:szCs w:val="20"/>
          <w:lang w:eastAsia="en-IN" w:bidi="te-IN"/>
          <w14:ligatures w14:val="none"/>
        </w:rPr>
        <w:t>Encourage timely planting of cereals and oilseeds like wheat and mustard by utilizing conserved soil moisture.</w:t>
      </w:r>
    </w:p>
    <w:p w14:paraId="6A07FE85" w14:textId="77777777" w:rsidR="0015300D" w:rsidRPr="0015300D" w:rsidRDefault="0015300D" w:rsidP="00F87018">
      <w:pPr>
        <w:numPr>
          <w:ilvl w:val="0"/>
          <w:numId w:val="10"/>
        </w:numPr>
        <w:spacing w:before="100" w:beforeAutospacing="1" w:after="100" w:afterAutospacing="1" w:line="360" w:lineRule="auto"/>
        <w:jc w:val="both"/>
        <w:rPr>
          <w:rFonts w:ascii="Arial" w:eastAsia="Times New Roman" w:hAnsi="Arial" w:cs="Arial"/>
          <w:kern w:val="0"/>
          <w:sz w:val="20"/>
          <w:szCs w:val="20"/>
          <w:lang w:eastAsia="en-IN" w:bidi="te-IN"/>
          <w14:ligatures w14:val="none"/>
        </w:rPr>
      </w:pPr>
      <w:r w:rsidRPr="0015300D">
        <w:rPr>
          <w:rFonts w:ascii="Arial" w:eastAsia="Times New Roman" w:hAnsi="Arial" w:cs="Arial"/>
          <w:kern w:val="0"/>
          <w:sz w:val="20"/>
          <w:szCs w:val="20"/>
          <w:lang w:eastAsia="en-IN" w:bidi="te-IN"/>
          <w14:ligatures w14:val="none"/>
        </w:rPr>
        <w:lastRenderedPageBreak/>
        <w:t>Promote conservation agriculture practices such as reduced tillage to minimize water loss.</w:t>
      </w:r>
    </w:p>
    <w:p w14:paraId="22D3FDF1" w14:textId="77777777" w:rsidR="00F87018" w:rsidRDefault="0015300D" w:rsidP="00F87018">
      <w:pPr>
        <w:numPr>
          <w:ilvl w:val="0"/>
          <w:numId w:val="10"/>
        </w:numPr>
        <w:spacing w:before="100" w:beforeAutospacing="1" w:after="100" w:afterAutospacing="1" w:line="360" w:lineRule="auto"/>
        <w:jc w:val="both"/>
        <w:rPr>
          <w:rFonts w:ascii="Arial" w:eastAsia="Times New Roman" w:hAnsi="Arial" w:cs="Arial"/>
          <w:kern w:val="0"/>
          <w:sz w:val="20"/>
          <w:szCs w:val="20"/>
          <w:lang w:eastAsia="en-IN" w:bidi="te-IN"/>
          <w14:ligatures w14:val="none"/>
        </w:rPr>
      </w:pPr>
      <w:r w:rsidRPr="0015300D">
        <w:rPr>
          <w:rFonts w:ascii="Arial" w:eastAsia="Times New Roman" w:hAnsi="Arial" w:cs="Arial"/>
          <w:kern w:val="0"/>
          <w:sz w:val="20"/>
          <w:szCs w:val="20"/>
          <w:lang w:eastAsia="en-IN" w:bidi="te-IN"/>
          <w14:ligatures w14:val="none"/>
        </w:rPr>
        <w:t>Facilitate access to supplementary irrigation via on-farm water storage systems or shallow bore wells.</w:t>
      </w:r>
    </w:p>
    <w:p w14:paraId="7150F052" w14:textId="12E2D361" w:rsidR="00976A1A" w:rsidRPr="00F87018" w:rsidRDefault="00976A1A" w:rsidP="00F87018">
      <w:pPr>
        <w:numPr>
          <w:ilvl w:val="0"/>
          <w:numId w:val="10"/>
        </w:numPr>
        <w:spacing w:before="100" w:beforeAutospacing="1" w:after="100" w:afterAutospacing="1" w:line="360" w:lineRule="auto"/>
        <w:jc w:val="both"/>
        <w:rPr>
          <w:rFonts w:ascii="Arial" w:eastAsia="Times New Roman" w:hAnsi="Arial" w:cs="Arial"/>
          <w:kern w:val="0"/>
          <w:sz w:val="20"/>
          <w:szCs w:val="20"/>
          <w:lang w:eastAsia="en-IN" w:bidi="te-IN"/>
          <w14:ligatures w14:val="none"/>
        </w:rPr>
      </w:pPr>
      <w:r w:rsidRPr="00F87018">
        <w:rPr>
          <w:rFonts w:ascii="Arial" w:eastAsia="Times New Roman" w:hAnsi="Arial" w:cs="Arial"/>
          <w:kern w:val="0"/>
          <w:sz w:val="20"/>
          <w:szCs w:val="20"/>
          <w:lang w:eastAsia="en-IN" w:bidi="te-IN"/>
          <w14:ligatures w14:val="none"/>
        </w:rPr>
        <w:t xml:space="preserve">Liquid fertilizers are well-suited for fertigation; however, in India, their limited availability and high cost hinder widespread use. Therefore, selecting an appropriate fertigation system for delivering fertilizers with irrigation water becomes essential. Available equipment includes Venturi injectors, fertilizer injector pumps, and fertilizer tanks. Among these, the Venturi injector is most commonly used in drip irrigation due to its simplicity, ease of operation, and low cost (Singh </w:t>
      </w:r>
      <w:r w:rsidRPr="00145AB2">
        <w:rPr>
          <w:rFonts w:ascii="Arial" w:eastAsia="Times New Roman" w:hAnsi="Arial" w:cs="Arial"/>
          <w:i/>
          <w:iCs/>
          <w:kern w:val="0"/>
          <w:sz w:val="20"/>
          <w:szCs w:val="20"/>
          <w:lang w:eastAsia="en-IN" w:bidi="te-IN"/>
          <w14:ligatures w14:val="none"/>
        </w:rPr>
        <w:t>et al.,</w:t>
      </w:r>
      <w:r w:rsidRPr="00F87018">
        <w:rPr>
          <w:rFonts w:ascii="Arial" w:eastAsia="Times New Roman" w:hAnsi="Arial" w:cs="Arial"/>
          <w:kern w:val="0"/>
          <w:sz w:val="20"/>
          <w:szCs w:val="20"/>
          <w:lang w:eastAsia="en-IN" w:bidi="te-IN"/>
          <w14:ligatures w14:val="none"/>
        </w:rPr>
        <w:t xml:space="preserve"> 2018).</w:t>
      </w:r>
    </w:p>
    <w:p w14:paraId="00D8F3C5" w14:textId="180ACC6B" w:rsidR="0015300D" w:rsidRPr="0015300D" w:rsidRDefault="0015300D" w:rsidP="00F87018">
      <w:pPr>
        <w:spacing w:before="100" w:beforeAutospacing="1" w:after="100" w:afterAutospacing="1" w:line="360" w:lineRule="auto"/>
        <w:jc w:val="both"/>
        <w:rPr>
          <w:rFonts w:ascii="Arial" w:eastAsia="Times New Roman" w:hAnsi="Arial" w:cs="Arial"/>
          <w:kern w:val="0"/>
          <w:sz w:val="20"/>
          <w:szCs w:val="20"/>
          <w:lang w:eastAsia="en-IN" w:bidi="te-IN"/>
          <w14:ligatures w14:val="none"/>
        </w:rPr>
      </w:pPr>
      <w:r w:rsidRPr="0015300D">
        <w:rPr>
          <w:rFonts w:ascii="Arial" w:eastAsia="Times New Roman" w:hAnsi="Arial" w:cs="Arial"/>
          <w:b/>
          <w:bCs/>
          <w:kern w:val="0"/>
          <w:sz w:val="20"/>
          <w:szCs w:val="20"/>
          <w:lang w:eastAsia="en-IN" w:bidi="te-IN"/>
          <w14:ligatures w14:val="none"/>
        </w:rPr>
        <w:t>Pre-Monsoon Period:</w:t>
      </w:r>
    </w:p>
    <w:p w14:paraId="1E0C83A4" w14:textId="77777777" w:rsidR="0015300D" w:rsidRPr="0015300D" w:rsidRDefault="0015300D" w:rsidP="00F87018">
      <w:pPr>
        <w:numPr>
          <w:ilvl w:val="0"/>
          <w:numId w:val="11"/>
        </w:numPr>
        <w:spacing w:before="100" w:beforeAutospacing="1" w:after="100" w:afterAutospacing="1" w:line="360" w:lineRule="auto"/>
        <w:jc w:val="both"/>
        <w:rPr>
          <w:rFonts w:ascii="Arial" w:eastAsia="Times New Roman" w:hAnsi="Arial" w:cs="Arial"/>
          <w:kern w:val="0"/>
          <w:sz w:val="20"/>
          <w:szCs w:val="20"/>
          <w:lang w:eastAsia="en-IN" w:bidi="te-IN"/>
          <w14:ligatures w14:val="none"/>
        </w:rPr>
      </w:pPr>
      <w:r w:rsidRPr="0015300D">
        <w:rPr>
          <w:rFonts w:ascii="Arial" w:eastAsia="Times New Roman" w:hAnsi="Arial" w:cs="Arial"/>
          <w:kern w:val="0"/>
          <w:sz w:val="20"/>
          <w:szCs w:val="20"/>
          <w:lang w:eastAsia="en-IN" w:bidi="te-IN"/>
          <w14:ligatures w14:val="none"/>
        </w:rPr>
        <w:t>Support the cultivation of short-duration legumes such as mung bean and urad during early summer showers.</w:t>
      </w:r>
    </w:p>
    <w:p w14:paraId="6122F176" w14:textId="77777777" w:rsidR="0015300D" w:rsidRPr="0015300D" w:rsidRDefault="0015300D" w:rsidP="00F87018">
      <w:pPr>
        <w:numPr>
          <w:ilvl w:val="0"/>
          <w:numId w:val="11"/>
        </w:numPr>
        <w:spacing w:before="100" w:beforeAutospacing="1" w:after="100" w:afterAutospacing="1" w:line="360" w:lineRule="auto"/>
        <w:jc w:val="both"/>
        <w:rPr>
          <w:rFonts w:ascii="Arial" w:eastAsia="Times New Roman" w:hAnsi="Arial" w:cs="Arial"/>
          <w:kern w:val="0"/>
          <w:sz w:val="20"/>
          <w:szCs w:val="20"/>
          <w:lang w:eastAsia="en-IN" w:bidi="te-IN"/>
          <w14:ligatures w14:val="none"/>
        </w:rPr>
      </w:pPr>
      <w:r w:rsidRPr="0015300D">
        <w:rPr>
          <w:rFonts w:ascii="Arial" w:eastAsia="Times New Roman" w:hAnsi="Arial" w:cs="Arial"/>
          <w:kern w:val="0"/>
          <w:sz w:val="20"/>
          <w:szCs w:val="20"/>
          <w:lang w:eastAsia="en-IN" w:bidi="te-IN"/>
          <w14:ligatures w14:val="none"/>
        </w:rPr>
        <w:t>Recommend moisture-preserving approaches including organic mulching and minimum soil disturbance.</w:t>
      </w:r>
    </w:p>
    <w:p w14:paraId="163818D9" w14:textId="77777777" w:rsidR="00145AB2" w:rsidRPr="00145AB2" w:rsidRDefault="0015300D" w:rsidP="00F87018">
      <w:pPr>
        <w:numPr>
          <w:ilvl w:val="0"/>
          <w:numId w:val="11"/>
        </w:numPr>
        <w:spacing w:before="100" w:beforeAutospacing="1" w:after="100" w:afterAutospacing="1" w:line="360" w:lineRule="auto"/>
        <w:jc w:val="both"/>
        <w:rPr>
          <w:rFonts w:ascii="Arial" w:eastAsia="Times New Roman" w:hAnsi="Arial" w:cs="Arial"/>
          <w:kern w:val="0"/>
          <w:sz w:val="20"/>
          <w:szCs w:val="20"/>
          <w:lang w:eastAsia="en-IN" w:bidi="te-IN"/>
          <w14:ligatures w14:val="none"/>
        </w:rPr>
      </w:pPr>
      <w:r w:rsidRPr="0015300D">
        <w:rPr>
          <w:rFonts w:ascii="Arial" w:eastAsia="Times New Roman" w:hAnsi="Arial" w:cs="Arial"/>
          <w:kern w:val="0"/>
          <w:sz w:val="20"/>
          <w:szCs w:val="20"/>
          <w:lang w:eastAsia="en-IN" w:bidi="te-IN"/>
          <w14:ligatures w14:val="none"/>
        </w:rPr>
        <w:t>Integrate multi-purpose tree species along field boundaries to diversify income and improve microclimate.</w:t>
      </w:r>
      <w:r w:rsidR="00145AB2" w:rsidRPr="00145AB2">
        <w:t xml:space="preserve"> </w:t>
      </w:r>
    </w:p>
    <w:p w14:paraId="14961AC4" w14:textId="530EA1C7" w:rsidR="0015300D" w:rsidRPr="0015300D" w:rsidRDefault="00145AB2" w:rsidP="00F87018">
      <w:pPr>
        <w:numPr>
          <w:ilvl w:val="0"/>
          <w:numId w:val="11"/>
        </w:numPr>
        <w:spacing w:before="100" w:beforeAutospacing="1" w:after="100" w:afterAutospacing="1" w:line="360" w:lineRule="auto"/>
        <w:jc w:val="both"/>
        <w:rPr>
          <w:rFonts w:ascii="Arial" w:eastAsia="Times New Roman" w:hAnsi="Arial" w:cs="Arial"/>
          <w:kern w:val="0"/>
          <w:sz w:val="20"/>
          <w:szCs w:val="20"/>
          <w:lang w:eastAsia="en-IN" w:bidi="te-IN"/>
          <w14:ligatures w14:val="none"/>
        </w:rPr>
      </w:pPr>
      <w:r w:rsidRPr="00145AB2">
        <w:rPr>
          <w:rFonts w:ascii="Arial" w:eastAsia="Times New Roman" w:hAnsi="Arial" w:cs="Arial"/>
          <w:kern w:val="0"/>
          <w:sz w:val="20"/>
          <w:szCs w:val="20"/>
          <w:lang w:eastAsia="en-IN" w:bidi="te-IN"/>
          <w14:ligatures w14:val="none"/>
        </w:rPr>
        <w:t>The 27th–38th weeks emerge as the most reliable period for rainfed crop production, with high-probability rainfall events supporting agricultural activities</w:t>
      </w:r>
      <w:r>
        <w:rPr>
          <w:rFonts w:ascii="Arial" w:eastAsia="Times New Roman" w:hAnsi="Arial" w:cs="Arial"/>
          <w:kern w:val="0"/>
          <w:sz w:val="20"/>
          <w:szCs w:val="20"/>
          <w:lang w:eastAsia="en-IN" w:bidi="te-IN"/>
          <w14:ligatures w14:val="none"/>
        </w:rPr>
        <w:t xml:space="preserve"> (</w:t>
      </w:r>
      <w:proofErr w:type="spellStart"/>
      <w:r>
        <w:rPr>
          <w:rFonts w:ascii="Arial" w:eastAsia="Times New Roman" w:hAnsi="Arial" w:cs="Arial"/>
          <w:kern w:val="0"/>
          <w:sz w:val="20"/>
          <w:szCs w:val="20"/>
          <w:lang w:eastAsia="en-IN" w:bidi="te-IN"/>
          <w14:ligatures w14:val="none"/>
        </w:rPr>
        <w:t>Janghel</w:t>
      </w:r>
      <w:proofErr w:type="spellEnd"/>
      <w:r>
        <w:rPr>
          <w:rFonts w:ascii="Arial" w:eastAsia="Times New Roman" w:hAnsi="Arial" w:cs="Arial"/>
          <w:kern w:val="0"/>
          <w:sz w:val="20"/>
          <w:szCs w:val="20"/>
          <w:lang w:eastAsia="en-IN" w:bidi="te-IN"/>
          <w14:ligatures w14:val="none"/>
        </w:rPr>
        <w:t xml:space="preserve"> </w:t>
      </w:r>
      <w:r w:rsidRPr="00145AB2">
        <w:rPr>
          <w:rFonts w:ascii="Arial" w:eastAsia="Times New Roman" w:hAnsi="Arial" w:cs="Arial"/>
          <w:i/>
          <w:iCs/>
          <w:kern w:val="0"/>
          <w:sz w:val="20"/>
          <w:szCs w:val="20"/>
          <w:lang w:eastAsia="en-IN" w:bidi="te-IN"/>
          <w14:ligatures w14:val="none"/>
        </w:rPr>
        <w:t>et al.,</w:t>
      </w:r>
      <w:r>
        <w:rPr>
          <w:rFonts w:ascii="Arial" w:eastAsia="Times New Roman" w:hAnsi="Arial" w:cs="Arial"/>
          <w:kern w:val="0"/>
          <w:sz w:val="20"/>
          <w:szCs w:val="20"/>
          <w:lang w:eastAsia="en-IN" w:bidi="te-IN"/>
          <w14:ligatures w14:val="none"/>
        </w:rPr>
        <w:t xml:space="preserve"> 2025)</w:t>
      </w:r>
    </w:p>
    <w:p w14:paraId="5D8D99BB" w14:textId="77777777" w:rsidR="0015300D" w:rsidRPr="0015300D" w:rsidRDefault="0015300D" w:rsidP="00F87018">
      <w:pPr>
        <w:spacing w:before="100" w:beforeAutospacing="1" w:after="100" w:afterAutospacing="1" w:line="360" w:lineRule="auto"/>
        <w:jc w:val="both"/>
        <w:rPr>
          <w:rFonts w:ascii="Arial" w:eastAsia="Times New Roman" w:hAnsi="Arial" w:cs="Arial"/>
          <w:kern w:val="0"/>
          <w:sz w:val="20"/>
          <w:szCs w:val="20"/>
          <w:lang w:eastAsia="en-IN" w:bidi="te-IN"/>
          <w14:ligatures w14:val="none"/>
        </w:rPr>
      </w:pPr>
      <w:r w:rsidRPr="0015300D">
        <w:rPr>
          <w:rFonts w:ascii="Arial" w:eastAsia="Times New Roman" w:hAnsi="Arial" w:cs="Arial"/>
          <w:b/>
          <w:bCs/>
          <w:kern w:val="0"/>
          <w:sz w:val="20"/>
          <w:szCs w:val="20"/>
          <w:lang w:eastAsia="en-IN" w:bidi="te-IN"/>
          <w14:ligatures w14:val="none"/>
        </w:rPr>
        <w:t>Rainy Season (Kharif Period):</w:t>
      </w:r>
    </w:p>
    <w:p w14:paraId="1C4F948B" w14:textId="77777777" w:rsidR="0015300D" w:rsidRPr="0015300D" w:rsidRDefault="0015300D" w:rsidP="00F87018">
      <w:pPr>
        <w:numPr>
          <w:ilvl w:val="0"/>
          <w:numId w:val="12"/>
        </w:numPr>
        <w:spacing w:before="100" w:beforeAutospacing="1" w:after="100" w:afterAutospacing="1" w:line="360" w:lineRule="auto"/>
        <w:jc w:val="both"/>
        <w:rPr>
          <w:rFonts w:ascii="Arial" w:eastAsia="Times New Roman" w:hAnsi="Arial" w:cs="Arial"/>
          <w:kern w:val="0"/>
          <w:sz w:val="20"/>
          <w:szCs w:val="20"/>
          <w:lang w:eastAsia="en-IN" w:bidi="te-IN"/>
          <w14:ligatures w14:val="none"/>
        </w:rPr>
      </w:pPr>
      <w:r w:rsidRPr="0015300D">
        <w:rPr>
          <w:rFonts w:ascii="Arial" w:eastAsia="Times New Roman" w:hAnsi="Arial" w:cs="Arial"/>
          <w:kern w:val="0"/>
          <w:sz w:val="20"/>
          <w:szCs w:val="20"/>
          <w:lang w:eastAsia="en-IN" w:bidi="te-IN"/>
          <w14:ligatures w14:val="none"/>
        </w:rPr>
        <w:t>Advocate for climate-resilient, fast-maturing rice cultivars that can escape late-season flooding.</w:t>
      </w:r>
    </w:p>
    <w:p w14:paraId="34026AC5" w14:textId="77777777" w:rsidR="0015300D" w:rsidRPr="0015300D" w:rsidRDefault="0015300D" w:rsidP="00F87018">
      <w:pPr>
        <w:numPr>
          <w:ilvl w:val="0"/>
          <w:numId w:val="12"/>
        </w:numPr>
        <w:spacing w:before="100" w:beforeAutospacing="1" w:after="100" w:afterAutospacing="1" w:line="360" w:lineRule="auto"/>
        <w:jc w:val="both"/>
        <w:rPr>
          <w:rFonts w:ascii="Arial" w:eastAsia="Times New Roman" w:hAnsi="Arial" w:cs="Arial"/>
          <w:kern w:val="0"/>
          <w:sz w:val="20"/>
          <w:szCs w:val="20"/>
          <w:lang w:eastAsia="en-IN" w:bidi="te-IN"/>
          <w14:ligatures w14:val="none"/>
        </w:rPr>
      </w:pPr>
      <w:r w:rsidRPr="0015300D">
        <w:rPr>
          <w:rFonts w:ascii="Arial" w:eastAsia="Times New Roman" w:hAnsi="Arial" w:cs="Arial"/>
          <w:kern w:val="0"/>
          <w:sz w:val="20"/>
          <w:szCs w:val="20"/>
          <w:lang w:eastAsia="en-IN" w:bidi="te-IN"/>
          <w14:ligatures w14:val="none"/>
        </w:rPr>
        <w:t>Design localized emergency crop response plans at the panchayat or block level.</w:t>
      </w:r>
    </w:p>
    <w:p w14:paraId="5BC6CBF9" w14:textId="77777777" w:rsidR="0015300D" w:rsidRPr="0015300D" w:rsidRDefault="0015300D" w:rsidP="00F87018">
      <w:pPr>
        <w:numPr>
          <w:ilvl w:val="0"/>
          <w:numId w:val="12"/>
        </w:numPr>
        <w:spacing w:before="100" w:beforeAutospacing="1" w:after="100" w:afterAutospacing="1" w:line="360" w:lineRule="auto"/>
        <w:jc w:val="both"/>
        <w:rPr>
          <w:rFonts w:ascii="Arial" w:eastAsia="Times New Roman" w:hAnsi="Arial" w:cs="Arial"/>
          <w:kern w:val="0"/>
          <w:sz w:val="20"/>
          <w:szCs w:val="20"/>
          <w:lang w:eastAsia="en-IN" w:bidi="te-IN"/>
          <w14:ligatures w14:val="none"/>
        </w:rPr>
      </w:pPr>
      <w:r w:rsidRPr="0015300D">
        <w:rPr>
          <w:rFonts w:ascii="Arial" w:eastAsia="Times New Roman" w:hAnsi="Arial" w:cs="Arial"/>
          <w:kern w:val="0"/>
          <w:sz w:val="20"/>
          <w:szCs w:val="20"/>
          <w:lang w:eastAsia="en-IN" w:bidi="te-IN"/>
          <w14:ligatures w14:val="none"/>
        </w:rPr>
        <w:t>Integrate animal husbandry with cropping systems to spread climatic risk and stabilize farm income.</w:t>
      </w:r>
    </w:p>
    <w:p w14:paraId="748C0970" w14:textId="77777777" w:rsidR="0015300D" w:rsidRPr="0015300D" w:rsidRDefault="0015300D" w:rsidP="00F87018">
      <w:pPr>
        <w:spacing w:before="100" w:beforeAutospacing="1" w:after="100" w:afterAutospacing="1" w:line="360" w:lineRule="auto"/>
        <w:jc w:val="both"/>
        <w:rPr>
          <w:rFonts w:ascii="Arial" w:eastAsia="Times New Roman" w:hAnsi="Arial" w:cs="Arial"/>
          <w:kern w:val="0"/>
          <w:sz w:val="20"/>
          <w:szCs w:val="20"/>
          <w:lang w:eastAsia="en-IN" w:bidi="te-IN"/>
          <w14:ligatures w14:val="none"/>
        </w:rPr>
      </w:pPr>
      <w:r w:rsidRPr="0015300D">
        <w:rPr>
          <w:rFonts w:ascii="Arial" w:eastAsia="Times New Roman" w:hAnsi="Arial" w:cs="Arial"/>
          <w:b/>
          <w:bCs/>
          <w:kern w:val="0"/>
          <w:sz w:val="20"/>
          <w:szCs w:val="20"/>
          <w:lang w:eastAsia="en-IN" w:bidi="te-IN"/>
          <w14:ligatures w14:val="none"/>
        </w:rPr>
        <w:t>Post-Monsoon Period:</w:t>
      </w:r>
    </w:p>
    <w:p w14:paraId="3B5302CD" w14:textId="77777777" w:rsidR="0015300D" w:rsidRPr="0015300D" w:rsidRDefault="0015300D" w:rsidP="00F87018">
      <w:pPr>
        <w:numPr>
          <w:ilvl w:val="0"/>
          <w:numId w:val="13"/>
        </w:numPr>
        <w:spacing w:before="100" w:beforeAutospacing="1" w:after="100" w:afterAutospacing="1" w:line="360" w:lineRule="auto"/>
        <w:jc w:val="both"/>
        <w:rPr>
          <w:rFonts w:ascii="Arial" w:eastAsia="Times New Roman" w:hAnsi="Arial" w:cs="Arial"/>
          <w:kern w:val="0"/>
          <w:sz w:val="20"/>
          <w:szCs w:val="20"/>
          <w:lang w:eastAsia="en-IN" w:bidi="te-IN"/>
          <w14:ligatures w14:val="none"/>
        </w:rPr>
      </w:pPr>
      <w:r w:rsidRPr="0015300D">
        <w:rPr>
          <w:rFonts w:ascii="Arial" w:eastAsia="Times New Roman" w:hAnsi="Arial" w:cs="Arial"/>
          <w:kern w:val="0"/>
          <w:sz w:val="20"/>
          <w:szCs w:val="20"/>
          <w:lang w:eastAsia="en-IN" w:bidi="te-IN"/>
          <w14:ligatures w14:val="none"/>
        </w:rPr>
        <w:t>Recommend pulses and oilseeds that can thrive on declining residual moisture during late autumn.</w:t>
      </w:r>
    </w:p>
    <w:p w14:paraId="7A9F48B6" w14:textId="77777777" w:rsidR="0015300D" w:rsidRPr="0015300D" w:rsidRDefault="0015300D" w:rsidP="00F87018">
      <w:pPr>
        <w:numPr>
          <w:ilvl w:val="0"/>
          <w:numId w:val="13"/>
        </w:numPr>
        <w:spacing w:before="100" w:beforeAutospacing="1" w:after="100" w:afterAutospacing="1" w:line="360" w:lineRule="auto"/>
        <w:jc w:val="both"/>
        <w:rPr>
          <w:rFonts w:ascii="Arial" w:eastAsia="Times New Roman" w:hAnsi="Arial" w:cs="Arial"/>
          <w:kern w:val="0"/>
          <w:sz w:val="20"/>
          <w:szCs w:val="20"/>
          <w:lang w:eastAsia="en-IN" w:bidi="te-IN"/>
          <w14:ligatures w14:val="none"/>
        </w:rPr>
      </w:pPr>
      <w:r w:rsidRPr="0015300D">
        <w:rPr>
          <w:rFonts w:ascii="Arial" w:eastAsia="Times New Roman" w:hAnsi="Arial" w:cs="Arial"/>
          <w:kern w:val="0"/>
          <w:sz w:val="20"/>
          <w:szCs w:val="20"/>
          <w:lang w:eastAsia="en-IN" w:bidi="te-IN"/>
          <w14:ligatures w14:val="none"/>
        </w:rPr>
        <w:t>Employ precision irrigation methods like drip or sprinklers to optimize limited water resources.</w:t>
      </w:r>
    </w:p>
    <w:p w14:paraId="07C5E2CB" w14:textId="77777777" w:rsidR="00F87018" w:rsidRDefault="0015300D" w:rsidP="00F87018">
      <w:pPr>
        <w:numPr>
          <w:ilvl w:val="0"/>
          <w:numId w:val="13"/>
        </w:numPr>
        <w:spacing w:before="100" w:beforeAutospacing="1" w:after="100" w:afterAutospacing="1" w:line="360" w:lineRule="auto"/>
        <w:jc w:val="both"/>
        <w:rPr>
          <w:rFonts w:ascii="Arial" w:eastAsia="Times New Roman" w:hAnsi="Arial" w:cs="Arial"/>
          <w:kern w:val="0"/>
          <w:sz w:val="20"/>
          <w:szCs w:val="20"/>
          <w:lang w:eastAsia="en-IN" w:bidi="te-IN"/>
          <w14:ligatures w14:val="none"/>
        </w:rPr>
      </w:pPr>
      <w:r w:rsidRPr="0015300D">
        <w:rPr>
          <w:rFonts w:ascii="Arial" w:eastAsia="Times New Roman" w:hAnsi="Arial" w:cs="Arial"/>
          <w:kern w:val="0"/>
          <w:sz w:val="20"/>
          <w:szCs w:val="20"/>
          <w:lang w:eastAsia="en-IN" w:bidi="te-IN"/>
          <w14:ligatures w14:val="none"/>
        </w:rPr>
        <w:t>Encourage sowing of green manure and legume-based cover crops to enhance soil organic matter and prevent erosion.</w:t>
      </w:r>
      <w:r w:rsidR="00BF6809" w:rsidRPr="00BF6809">
        <w:t xml:space="preserve"> </w:t>
      </w:r>
    </w:p>
    <w:p w14:paraId="4BB570F1" w14:textId="13E9B4B3" w:rsidR="0015300D" w:rsidRPr="00F87018" w:rsidRDefault="00976A1A" w:rsidP="00F87018">
      <w:pPr>
        <w:numPr>
          <w:ilvl w:val="0"/>
          <w:numId w:val="13"/>
        </w:numPr>
        <w:spacing w:before="100" w:beforeAutospacing="1" w:after="100" w:afterAutospacing="1" w:line="360" w:lineRule="auto"/>
        <w:jc w:val="both"/>
        <w:rPr>
          <w:rFonts w:ascii="Arial" w:eastAsia="Times New Roman" w:hAnsi="Arial" w:cs="Arial"/>
          <w:color w:val="000000" w:themeColor="text1"/>
          <w:kern w:val="0"/>
          <w:sz w:val="20"/>
          <w:szCs w:val="20"/>
          <w:lang w:eastAsia="en-IN" w:bidi="te-IN"/>
          <w14:ligatures w14:val="none"/>
        </w:rPr>
      </w:pPr>
      <w:r w:rsidRPr="00F87018">
        <w:rPr>
          <w:rFonts w:ascii="Arial" w:eastAsia="Times New Roman" w:hAnsi="Arial" w:cs="Arial"/>
          <w:color w:val="000000" w:themeColor="text1"/>
          <w:kern w:val="0"/>
          <w:sz w:val="20"/>
          <w:szCs w:val="20"/>
          <w:lang w:eastAsia="en-IN" w:bidi="te-IN"/>
          <w14:ligatures w14:val="none"/>
        </w:rPr>
        <w:t xml:space="preserve">Climate variability poses a significant threat to agricultural sustainability, particularly for small and marginal farmers, where the failure of even a single crop can result in severe consequences such as malnutrition or food insecurity for the household. Early-season stress often damages standing crops at initial growth stages, but timely re-sowing can sometimes offset the loss. However, in many cases, farmers may lack sufficient seed reserves to undertake re-sowing, further compounding their vulnerability (Maheswari </w:t>
      </w:r>
      <w:r w:rsidRPr="00145AB2">
        <w:rPr>
          <w:rFonts w:ascii="Arial" w:eastAsia="Times New Roman" w:hAnsi="Arial" w:cs="Arial"/>
          <w:i/>
          <w:iCs/>
          <w:color w:val="000000" w:themeColor="text1"/>
          <w:kern w:val="0"/>
          <w:sz w:val="20"/>
          <w:szCs w:val="20"/>
          <w:lang w:eastAsia="en-IN" w:bidi="te-IN"/>
          <w14:ligatures w14:val="none"/>
        </w:rPr>
        <w:t>et al.,</w:t>
      </w:r>
      <w:r w:rsidRPr="00F87018">
        <w:rPr>
          <w:rFonts w:ascii="Arial" w:eastAsia="Times New Roman" w:hAnsi="Arial" w:cs="Arial"/>
          <w:color w:val="000000" w:themeColor="text1"/>
          <w:kern w:val="0"/>
          <w:sz w:val="20"/>
          <w:szCs w:val="20"/>
          <w:lang w:eastAsia="en-IN" w:bidi="te-IN"/>
          <w14:ligatures w14:val="none"/>
        </w:rPr>
        <w:t xml:space="preserve"> 2019).</w:t>
      </w:r>
    </w:p>
    <w:p w14:paraId="0ABAAD17" w14:textId="77777777" w:rsidR="0015300D" w:rsidRPr="0015300D" w:rsidRDefault="00000000" w:rsidP="00F87018">
      <w:pPr>
        <w:spacing w:after="0" w:line="360" w:lineRule="auto"/>
        <w:jc w:val="both"/>
        <w:rPr>
          <w:rFonts w:ascii="Arial" w:eastAsia="Times New Roman" w:hAnsi="Arial" w:cs="Arial"/>
          <w:kern w:val="0"/>
          <w:sz w:val="20"/>
          <w:szCs w:val="20"/>
          <w:lang w:eastAsia="en-IN" w:bidi="te-IN"/>
          <w14:ligatures w14:val="none"/>
        </w:rPr>
      </w:pPr>
      <w:r>
        <w:rPr>
          <w:rFonts w:ascii="Arial" w:eastAsia="Times New Roman" w:hAnsi="Arial" w:cs="Arial"/>
          <w:kern w:val="0"/>
          <w:sz w:val="20"/>
          <w:szCs w:val="20"/>
          <w:lang w:eastAsia="en-IN" w:bidi="te-IN"/>
          <w14:ligatures w14:val="none"/>
        </w:rPr>
        <w:lastRenderedPageBreak/>
        <w:pict w14:anchorId="7C74E048">
          <v:rect id="_x0000_i1025" style="width:0;height:1.5pt" o:hralign="center" o:hrstd="t" o:hr="t" fillcolor="#a0a0a0" stroked="f"/>
        </w:pict>
      </w:r>
    </w:p>
    <w:p w14:paraId="368EEF2C" w14:textId="60242EB1" w:rsidR="0015300D" w:rsidRPr="0015300D" w:rsidRDefault="0015300D" w:rsidP="00F87018">
      <w:pPr>
        <w:spacing w:before="100" w:beforeAutospacing="1" w:after="100" w:afterAutospacing="1" w:line="360" w:lineRule="auto"/>
        <w:jc w:val="both"/>
        <w:outlineLvl w:val="2"/>
        <w:rPr>
          <w:rFonts w:ascii="Arial" w:eastAsia="Times New Roman" w:hAnsi="Arial" w:cs="Arial"/>
          <w:b/>
          <w:bCs/>
          <w:kern w:val="0"/>
          <w:lang w:eastAsia="en-IN" w:bidi="te-IN"/>
          <w14:ligatures w14:val="none"/>
        </w:rPr>
      </w:pPr>
      <w:r w:rsidRPr="0015300D">
        <w:rPr>
          <w:rFonts w:ascii="Arial" w:eastAsia="Times New Roman" w:hAnsi="Arial" w:cs="Arial"/>
          <w:b/>
          <w:bCs/>
          <w:kern w:val="0"/>
          <w:lang w:eastAsia="en-IN" w:bidi="te-IN"/>
          <w14:ligatures w14:val="none"/>
        </w:rPr>
        <w:t>3.</w:t>
      </w:r>
      <w:r w:rsidRPr="00334A80">
        <w:rPr>
          <w:rFonts w:ascii="Arial" w:eastAsia="Times New Roman" w:hAnsi="Arial" w:cs="Arial"/>
          <w:b/>
          <w:bCs/>
          <w:kern w:val="0"/>
          <w:lang w:eastAsia="en-IN" w:bidi="te-IN"/>
          <w14:ligatures w14:val="none"/>
        </w:rPr>
        <w:t>3</w:t>
      </w:r>
      <w:r w:rsidRPr="0015300D">
        <w:rPr>
          <w:rFonts w:ascii="Arial" w:eastAsia="Times New Roman" w:hAnsi="Arial" w:cs="Arial"/>
          <w:b/>
          <w:bCs/>
          <w:kern w:val="0"/>
          <w:lang w:eastAsia="en-IN" w:bidi="te-IN"/>
          <w14:ligatures w14:val="none"/>
        </w:rPr>
        <w:t xml:space="preserve"> Resilience Measures for Flood-Impacted Regions</w:t>
      </w:r>
    </w:p>
    <w:p w14:paraId="247A3E15" w14:textId="77777777" w:rsidR="0015300D" w:rsidRPr="0015300D" w:rsidRDefault="0015300D" w:rsidP="00F87018">
      <w:pPr>
        <w:spacing w:before="100" w:beforeAutospacing="1" w:after="100" w:afterAutospacing="1" w:line="360" w:lineRule="auto"/>
        <w:jc w:val="both"/>
        <w:rPr>
          <w:rFonts w:ascii="Arial" w:eastAsia="Times New Roman" w:hAnsi="Arial" w:cs="Arial"/>
          <w:kern w:val="0"/>
          <w:sz w:val="20"/>
          <w:szCs w:val="20"/>
          <w:lang w:eastAsia="en-IN" w:bidi="te-IN"/>
          <w14:ligatures w14:val="none"/>
        </w:rPr>
      </w:pPr>
      <w:r w:rsidRPr="0015300D">
        <w:rPr>
          <w:rFonts w:ascii="Arial" w:eastAsia="Times New Roman" w:hAnsi="Arial" w:cs="Arial"/>
          <w:b/>
          <w:bCs/>
          <w:kern w:val="0"/>
          <w:sz w:val="20"/>
          <w:szCs w:val="20"/>
          <w:lang w:eastAsia="en-IN" w:bidi="te-IN"/>
          <w14:ligatures w14:val="none"/>
        </w:rPr>
        <w:t>Site-Specific Interventions:</w:t>
      </w:r>
    </w:p>
    <w:p w14:paraId="00AC6FF8" w14:textId="034AF26C" w:rsidR="0015300D" w:rsidRPr="0015300D" w:rsidRDefault="0015300D" w:rsidP="00F87018">
      <w:pPr>
        <w:numPr>
          <w:ilvl w:val="0"/>
          <w:numId w:val="14"/>
        </w:numPr>
        <w:spacing w:before="100" w:beforeAutospacing="1" w:after="100" w:afterAutospacing="1" w:line="360" w:lineRule="auto"/>
        <w:jc w:val="both"/>
        <w:rPr>
          <w:rFonts w:ascii="Arial" w:eastAsia="Times New Roman" w:hAnsi="Arial" w:cs="Arial"/>
          <w:kern w:val="0"/>
          <w:sz w:val="20"/>
          <w:szCs w:val="20"/>
          <w:lang w:eastAsia="en-IN" w:bidi="te-IN"/>
          <w14:ligatures w14:val="none"/>
        </w:rPr>
      </w:pPr>
      <w:r w:rsidRPr="0015300D">
        <w:rPr>
          <w:rFonts w:ascii="Arial" w:eastAsia="Times New Roman" w:hAnsi="Arial" w:cs="Arial"/>
          <w:kern w:val="0"/>
          <w:sz w:val="20"/>
          <w:szCs w:val="20"/>
          <w:lang w:eastAsia="en-IN" w:bidi="te-IN"/>
          <w14:ligatures w14:val="none"/>
        </w:rPr>
        <w:t>Deploy submergence-tolerant rice varieties such as ‘</w:t>
      </w:r>
      <w:proofErr w:type="spellStart"/>
      <w:r w:rsidRPr="0015300D">
        <w:rPr>
          <w:rFonts w:ascii="Arial" w:eastAsia="Times New Roman" w:hAnsi="Arial" w:cs="Arial"/>
          <w:kern w:val="0"/>
          <w:sz w:val="20"/>
          <w:szCs w:val="20"/>
          <w:lang w:eastAsia="en-IN" w:bidi="te-IN"/>
          <w14:ligatures w14:val="none"/>
        </w:rPr>
        <w:t>Sahbhagi</w:t>
      </w:r>
      <w:proofErr w:type="spellEnd"/>
      <w:r w:rsidRPr="0015300D">
        <w:rPr>
          <w:rFonts w:ascii="Arial" w:eastAsia="Times New Roman" w:hAnsi="Arial" w:cs="Arial"/>
          <w:kern w:val="0"/>
          <w:sz w:val="20"/>
          <w:szCs w:val="20"/>
          <w:lang w:eastAsia="en-IN" w:bidi="te-IN"/>
          <w14:ligatures w14:val="none"/>
        </w:rPr>
        <w:t xml:space="preserve"> Dhan’ in areas with frequent</w:t>
      </w:r>
      <w:r w:rsidR="00145AB2">
        <w:rPr>
          <w:rFonts w:ascii="Arial" w:eastAsia="Times New Roman" w:hAnsi="Arial" w:cs="Arial"/>
          <w:kern w:val="0"/>
          <w:sz w:val="20"/>
          <w:szCs w:val="20"/>
          <w:lang w:eastAsia="en-IN" w:bidi="te-IN"/>
          <w14:ligatures w14:val="none"/>
        </w:rPr>
        <w:t xml:space="preserve"> </w:t>
      </w:r>
      <w:r w:rsidRPr="0015300D">
        <w:rPr>
          <w:rFonts w:ascii="Arial" w:eastAsia="Times New Roman" w:hAnsi="Arial" w:cs="Arial"/>
          <w:kern w:val="0"/>
          <w:sz w:val="20"/>
          <w:szCs w:val="20"/>
          <w:lang w:eastAsia="en-IN" w:bidi="te-IN"/>
          <w14:ligatures w14:val="none"/>
        </w:rPr>
        <w:t>inundation.</w:t>
      </w:r>
    </w:p>
    <w:p w14:paraId="72502361" w14:textId="34D14985" w:rsidR="0015300D" w:rsidRPr="0015300D" w:rsidRDefault="0015300D" w:rsidP="00F87018">
      <w:pPr>
        <w:numPr>
          <w:ilvl w:val="0"/>
          <w:numId w:val="14"/>
        </w:numPr>
        <w:spacing w:before="100" w:beforeAutospacing="1" w:after="100" w:afterAutospacing="1" w:line="360" w:lineRule="auto"/>
        <w:jc w:val="both"/>
        <w:rPr>
          <w:rFonts w:ascii="Arial" w:eastAsia="Times New Roman" w:hAnsi="Arial" w:cs="Arial"/>
          <w:kern w:val="0"/>
          <w:sz w:val="20"/>
          <w:szCs w:val="20"/>
          <w:lang w:eastAsia="en-IN" w:bidi="te-IN"/>
          <w14:ligatures w14:val="none"/>
        </w:rPr>
      </w:pPr>
      <w:r w:rsidRPr="0015300D">
        <w:rPr>
          <w:rFonts w:ascii="Arial" w:eastAsia="Times New Roman" w:hAnsi="Arial" w:cs="Arial"/>
          <w:kern w:val="0"/>
          <w:sz w:val="20"/>
          <w:szCs w:val="20"/>
          <w:lang w:eastAsia="en-IN" w:bidi="te-IN"/>
          <w14:ligatures w14:val="none"/>
        </w:rPr>
        <w:t>Utilize elevated planting platforms or furrow-bed systems to reduce crop damage during</w:t>
      </w:r>
      <w:r w:rsidR="00145AB2">
        <w:rPr>
          <w:rFonts w:ascii="Arial" w:eastAsia="Times New Roman" w:hAnsi="Arial" w:cs="Arial"/>
          <w:kern w:val="0"/>
          <w:sz w:val="20"/>
          <w:szCs w:val="20"/>
          <w:lang w:eastAsia="en-IN" w:bidi="te-IN"/>
          <w14:ligatures w14:val="none"/>
        </w:rPr>
        <w:t xml:space="preserve"> </w:t>
      </w:r>
      <w:r w:rsidRPr="0015300D">
        <w:rPr>
          <w:rFonts w:ascii="Arial" w:eastAsia="Times New Roman" w:hAnsi="Arial" w:cs="Arial"/>
          <w:kern w:val="0"/>
          <w:sz w:val="20"/>
          <w:szCs w:val="20"/>
          <w:lang w:eastAsia="en-IN" w:bidi="te-IN"/>
          <w14:ligatures w14:val="none"/>
        </w:rPr>
        <w:t>waterlogging.</w:t>
      </w:r>
    </w:p>
    <w:p w14:paraId="39DF069F" w14:textId="77777777" w:rsidR="00334A80" w:rsidRDefault="0015300D" w:rsidP="00F87018">
      <w:pPr>
        <w:numPr>
          <w:ilvl w:val="0"/>
          <w:numId w:val="14"/>
        </w:numPr>
        <w:spacing w:before="100" w:beforeAutospacing="1" w:after="100" w:afterAutospacing="1" w:line="360" w:lineRule="auto"/>
        <w:jc w:val="both"/>
        <w:rPr>
          <w:rFonts w:ascii="Arial" w:eastAsia="Times New Roman" w:hAnsi="Arial" w:cs="Arial"/>
          <w:kern w:val="0"/>
          <w:sz w:val="20"/>
          <w:szCs w:val="20"/>
          <w:lang w:eastAsia="en-IN" w:bidi="te-IN"/>
          <w14:ligatures w14:val="none"/>
        </w:rPr>
      </w:pPr>
      <w:r w:rsidRPr="0015300D">
        <w:rPr>
          <w:rFonts w:ascii="Arial" w:eastAsia="Times New Roman" w:hAnsi="Arial" w:cs="Arial"/>
          <w:kern w:val="0"/>
          <w:sz w:val="20"/>
          <w:szCs w:val="20"/>
          <w:lang w:eastAsia="en-IN" w:bidi="te-IN"/>
          <w14:ligatures w14:val="none"/>
        </w:rPr>
        <w:t>After flood recession, recommend quick-sown direct-seeding options to restore cropping cycles rapidly.</w:t>
      </w:r>
    </w:p>
    <w:p w14:paraId="3BFCD58D" w14:textId="43CC2142" w:rsidR="00334A80" w:rsidRDefault="0015300D" w:rsidP="00F87018">
      <w:pPr>
        <w:numPr>
          <w:ilvl w:val="0"/>
          <w:numId w:val="14"/>
        </w:numPr>
        <w:spacing w:before="100" w:beforeAutospacing="1" w:after="100" w:afterAutospacing="1" w:line="360" w:lineRule="auto"/>
        <w:jc w:val="both"/>
        <w:rPr>
          <w:rFonts w:ascii="Arial" w:eastAsia="Times New Roman" w:hAnsi="Arial" w:cs="Arial"/>
          <w:kern w:val="0"/>
          <w:sz w:val="20"/>
          <w:szCs w:val="20"/>
          <w:lang w:eastAsia="en-IN" w:bidi="te-IN"/>
          <w14:ligatures w14:val="none"/>
        </w:rPr>
      </w:pPr>
      <w:r w:rsidRPr="0015300D">
        <w:rPr>
          <w:rFonts w:ascii="Arial" w:eastAsia="Times New Roman" w:hAnsi="Arial" w:cs="Arial"/>
          <w:kern w:val="0"/>
          <w:sz w:val="20"/>
          <w:szCs w:val="20"/>
          <w:lang w:eastAsia="en-IN" w:bidi="te-IN"/>
          <w14:ligatures w14:val="none"/>
        </w:rPr>
        <w:t>Establish decentralized, farmer-led seed reserves equipped with stress-adapted genetic</w:t>
      </w:r>
      <w:r w:rsidR="00145AB2">
        <w:rPr>
          <w:rFonts w:ascii="Arial" w:eastAsia="Times New Roman" w:hAnsi="Arial" w:cs="Arial"/>
          <w:kern w:val="0"/>
          <w:sz w:val="20"/>
          <w:szCs w:val="20"/>
          <w:lang w:eastAsia="en-IN" w:bidi="te-IN"/>
          <w14:ligatures w14:val="none"/>
        </w:rPr>
        <w:t xml:space="preserve"> </w:t>
      </w:r>
      <w:r w:rsidRPr="0015300D">
        <w:rPr>
          <w:rFonts w:ascii="Arial" w:eastAsia="Times New Roman" w:hAnsi="Arial" w:cs="Arial"/>
          <w:kern w:val="0"/>
          <w:sz w:val="20"/>
          <w:szCs w:val="20"/>
          <w:lang w:eastAsia="en-IN" w:bidi="te-IN"/>
          <w14:ligatures w14:val="none"/>
        </w:rPr>
        <w:t>materials.</w:t>
      </w:r>
    </w:p>
    <w:p w14:paraId="249AE704" w14:textId="77777777" w:rsidR="00334A80" w:rsidRDefault="0015300D" w:rsidP="00F87018">
      <w:pPr>
        <w:numPr>
          <w:ilvl w:val="0"/>
          <w:numId w:val="14"/>
        </w:numPr>
        <w:spacing w:before="100" w:beforeAutospacing="1" w:after="100" w:afterAutospacing="1" w:line="360" w:lineRule="auto"/>
        <w:jc w:val="both"/>
        <w:rPr>
          <w:rFonts w:ascii="Arial" w:eastAsia="Times New Roman" w:hAnsi="Arial" w:cs="Arial"/>
          <w:kern w:val="0"/>
          <w:sz w:val="20"/>
          <w:szCs w:val="20"/>
          <w:lang w:eastAsia="en-IN" w:bidi="te-IN"/>
          <w14:ligatures w14:val="none"/>
        </w:rPr>
      </w:pPr>
      <w:r w:rsidRPr="0015300D">
        <w:rPr>
          <w:rFonts w:ascii="Arial" w:eastAsia="Times New Roman" w:hAnsi="Arial" w:cs="Arial"/>
          <w:kern w:val="0"/>
          <w:sz w:val="20"/>
          <w:szCs w:val="20"/>
          <w:lang w:eastAsia="en-IN" w:bidi="te-IN"/>
          <w14:ligatures w14:val="none"/>
        </w:rPr>
        <w:t>Upgrade canal systems, check dams, and farm-level irrigation networks to ensure water availability and drainage.</w:t>
      </w:r>
    </w:p>
    <w:p w14:paraId="04938065" w14:textId="77777777" w:rsidR="00334A80" w:rsidRDefault="0015300D" w:rsidP="00F87018">
      <w:pPr>
        <w:numPr>
          <w:ilvl w:val="0"/>
          <w:numId w:val="14"/>
        </w:numPr>
        <w:spacing w:before="100" w:beforeAutospacing="1" w:after="100" w:afterAutospacing="1" w:line="360" w:lineRule="auto"/>
        <w:jc w:val="both"/>
        <w:rPr>
          <w:rFonts w:ascii="Arial" w:eastAsia="Times New Roman" w:hAnsi="Arial" w:cs="Arial"/>
          <w:kern w:val="0"/>
          <w:sz w:val="20"/>
          <w:szCs w:val="20"/>
          <w:lang w:eastAsia="en-IN" w:bidi="te-IN"/>
          <w14:ligatures w14:val="none"/>
        </w:rPr>
      </w:pPr>
      <w:r w:rsidRPr="0015300D">
        <w:rPr>
          <w:rFonts w:ascii="Arial" w:eastAsia="Times New Roman" w:hAnsi="Arial" w:cs="Arial"/>
          <w:kern w:val="0"/>
          <w:sz w:val="20"/>
          <w:szCs w:val="20"/>
          <w:lang w:eastAsia="en-IN" w:bidi="te-IN"/>
          <w14:ligatures w14:val="none"/>
        </w:rPr>
        <w:t>Build capacity of farming communities through participatory training on adaptive agricultural techniques.</w:t>
      </w:r>
    </w:p>
    <w:p w14:paraId="1099D119" w14:textId="6D9B9441" w:rsidR="00DB2802" w:rsidRPr="00334A80" w:rsidRDefault="0015300D" w:rsidP="00F87018">
      <w:pPr>
        <w:numPr>
          <w:ilvl w:val="0"/>
          <w:numId w:val="14"/>
        </w:numPr>
        <w:spacing w:before="100" w:beforeAutospacing="1" w:after="100" w:afterAutospacing="1" w:line="360" w:lineRule="auto"/>
        <w:jc w:val="both"/>
        <w:rPr>
          <w:rFonts w:ascii="Arial" w:eastAsia="Times New Roman" w:hAnsi="Arial" w:cs="Arial"/>
          <w:kern w:val="0"/>
          <w:sz w:val="20"/>
          <w:szCs w:val="20"/>
          <w:lang w:eastAsia="en-IN" w:bidi="te-IN"/>
          <w14:ligatures w14:val="none"/>
        </w:rPr>
      </w:pPr>
      <w:r w:rsidRPr="0015300D">
        <w:rPr>
          <w:rFonts w:ascii="Arial" w:eastAsia="Times New Roman" w:hAnsi="Arial" w:cs="Arial"/>
          <w:kern w:val="0"/>
          <w:sz w:val="20"/>
          <w:szCs w:val="20"/>
          <w:lang w:eastAsia="en-IN" w:bidi="te-IN"/>
          <w14:ligatures w14:val="none"/>
        </w:rPr>
        <w:t xml:space="preserve">Deliver timely </w:t>
      </w:r>
      <w:proofErr w:type="spellStart"/>
      <w:r w:rsidRPr="0015300D">
        <w:rPr>
          <w:rFonts w:ascii="Arial" w:eastAsia="Times New Roman" w:hAnsi="Arial" w:cs="Arial"/>
          <w:kern w:val="0"/>
          <w:sz w:val="20"/>
          <w:szCs w:val="20"/>
          <w:lang w:eastAsia="en-IN" w:bidi="te-IN"/>
          <w14:ligatures w14:val="none"/>
        </w:rPr>
        <w:t>agro</w:t>
      </w:r>
      <w:proofErr w:type="spellEnd"/>
      <w:r w:rsidRPr="0015300D">
        <w:rPr>
          <w:rFonts w:ascii="Arial" w:eastAsia="Times New Roman" w:hAnsi="Arial" w:cs="Arial"/>
          <w:kern w:val="0"/>
          <w:sz w:val="20"/>
          <w:szCs w:val="20"/>
          <w:lang w:eastAsia="en-IN" w:bidi="te-IN"/>
          <w14:ligatures w14:val="none"/>
        </w:rPr>
        <w:t>-climatic advisories using ICT tools and community-based dissemination platforms.</w:t>
      </w:r>
    </w:p>
    <w:p w14:paraId="2EB7C6B8" w14:textId="77777777" w:rsidR="00F87018" w:rsidRDefault="001A5F6B" w:rsidP="00F87018">
      <w:pPr>
        <w:spacing w:line="360" w:lineRule="auto"/>
        <w:jc w:val="both"/>
        <w:rPr>
          <w:rFonts w:ascii="Arial" w:hAnsi="Arial" w:cs="Arial"/>
        </w:rPr>
      </w:pPr>
      <w:r w:rsidRPr="00334A80">
        <w:rPr>
          <w:rFonts w:ascii="Arial" w:hAnsi="Arial" w:cs="Arial"/>
          <w:b/>
          <w:bCs/>
        </w:rPr>
        <w:t>4. Conclusion</w:t>
      </w:r>
      <w:r w:rsidRPr="00334A80">
        <w:rPr>
          <w:rFonts w:ascii="Arial" w:hAnsi="Arial" w:cs="Arial"/>
        </w:rPr>
        <w:t xml:space="preserve"> </w:t>
      </w:r>
    </w:p>
    <w:p w14:paraId="248F3A49" w14:textId="4D9A2CDC" w:rsidR="00E56EA9" w:rsidRPr="00E56EA9" w:rsidRDefault="00E56EA9" w:rsidP="00F87018">
      <w:pPr>
        <w:spacing w:line="360" w:lineRule="auto"/>
        <w:jc w:val="both"/>
        <w:rPr>
          <w:rFonts w:ascii="Arial" w:hAnsi="Arial" w:cs="Arial"/>
          <w:sz w:val="20"/>
          <w:szCs w:val="20"/>
        </w:rPr>
      </w:pPr>
      <w:r w:rsidRPr="00E56EA9">
        <w:rPr>
          <w:rFonts w:ascii="Arial" w:hAnsi="Arial" w:cs="Arial"/>
          <w:sz w:val="20"/>
          <w:szCs w:val="20"/>
        </w:rPr>
        <w:t xml:space="preserve">The probabilistic assessment of historical rainfall data from 1991 to 2020 revealed that June, July, and August exhibit the highest rainfall probabilities, with July showing a peak probability of over 70% at the 20 mm threshold, and August showing over 60% probability at the 30 mm </w:t>
      </w:r>
      <w:proofErr w:type="spellStart"/>
      <w:r w:rsidRPr="00E56EA9">
        <w:rPr>
          <w:rFonts w:ascii="Arial" w:hAnsi="Arial" w:cs="Arial"/>
          <w:sz w:val="20"/>
          <w:szCs w:val="20"/>
        </w:rPr>
        <w:t>threshold.</w:t>
      </w:r>
      <w:r w:rsidR="00440F26" w:rsidRPr="00334A80">
        <w:rPr>
          <w:rFonts w:ascii="Arial" w:hAnsi="Arial" w:cs="Arial"/>
          <w:sz w:val="20"/>
          <w:szCs w:val="20"/>
        </w:rPr>
        <w:t>The</w:t>
      </w:r>
      <w:proofErr w:type="spellEnd"/>
      <w:r w:rsidR="00440F26" w:rsidRPr="00334A80">
        <w:rPr>
          <w:rFonts w:ascii="Arial" w:hAnsi="Arial" w:cs="Arial"/>
          <w:sz w:val="20"/>
          <w:szCs w:val="20"/>
        </w:rPr>
        <w:t xml:space="preserve"> analysis of historical rainfall data in Zone II of North Bihar reveals notable seasonal fluctuations and long-term variability, posing challenges to traditional agricultural practices in temporarily non-submerged wetland areas. By applying probabilistic methods and trend analysis, this study has identified critical insights into rainfall distribution patterns across different seasons. Based on these findings, targeted crop planning and adaptive strategies have been formulated to optimize water use, reduce climate-related risks, and improve farm productivity. These measures are intended to strengthen the region’s agricultural resilience and support sustainable livelihoods for farming communities under increasing climatic uncertainty.</w:t>
      </w:r>
      <w:r w:rsidRPr="00E56EA9">
        <w:t xml:space="preserve"> </w:t>
      </w:r>
      <w:r w:rsidRPr="00E56EA9">
        <w:rPr>
          <w:rFonts w:ascii="Arial" w:hAnsi="Arial" w:cs="Arial"/>
          <w:sz w:val="20"/>
          <w:szCs w:val="20"/>
        </w:rPr>
        <w:t xml:space="preserve">The analysis indicated that more than 60% rainfall occurrence during these months can support the planning of short-duration, water-tolerant crops suited for the wetland ecology. The seasonal classification confirmed the predominance of the south-west monsoon, contributing over 70% of the total annual rainfall. This analysis provides critical insights for selecting and adjusting cropping calendars in wetland conditions, particularly for temporally non-submerged areas. The study’s output supports the development of adaptive crop strategies, which are crucial for enhancing resilience against rainfall variability and for improving food security in North Bihar's flood-prone </w:t>
      </w:r>
      <w:proofErr w:type="spellStart"/>
      <w:r w:rsidRPr="00E56EA9">
        <w:rPr>
          <w:rFonts w:ascii="Arial" w:hAnsi="Arial" w:cs="Arial"/>
          <w:sz w:val="20"/>
          <w:szCs w:val="20"/>
        </w:rPr>
        <w:t>agro</w:t>
      </w:r>
      <w:proofErr w:type="spellEnd"/>
      <w:r w:rsidRPr="00E56EA9">
        <w:rPr>
          <w:rFonts w:ascii="Arial" w:hAnsi="Arial" w:cs="Arial"/>
          <w:sz w:val="20"/>
          <w:szCs w:val="20"/>
        </w:rPr>
        <w:t>-ecosystems.</w:t>
      </w:r>
    </w:p>
    <w:p w14:paraId="02C9355A" w14:textId="25BBD94A" w:rsidR="001A5F6B" w:rsidRDefault="001A5F6B" w:rsidP="00F87018">
      <w:pPr>
        <w:spacing w:line="360" w:lineRule="auto"/>
        <w:jc w:val="both"/>
        <w:rPr>
          <w:rFonts w:ascii="Arial" w:hAnsi="Arial" w:cs="Arial"/>
          <w:sz w:val="20"/>
          <w:szCs w:val="20"/>
        </w:rPr>
      </w:pPr>
    </w:p>
    <w:p w14:paraId="72C992FA" w14:textId="77777777" w:rsidR="005F01F9" w:rsidRDefault="005F01F9" w:rsidP="00F87018">
      <w:pPr>
        <w:spacing w:line="360" w:lineRule="auto"/>
        <w:jc w:val="both"/>
        <w:rPr>
          <w:rFonts w:ascii="Arial" w:hAnsi="Arial" w:cs="Arial"/>
          <w:sz w:val="20"/>
          <w:szCs w:val="20"/>
        </w:rPr>
      </w:pPr>
    </w:p>
    <w:p w14:paraId="306709B3" w14:textId="77777777" w:rsidR="005F01F9" w:rsidRPr="005F01F9" w:rsidRDefault="005F01F9" w:rsidP="00F87018">
      <w:pPr>
        <w:spacing w:after="200" w:line="360" w:lineRule="auto"/>
        <w:rPr>
          <w:rFonts w:ascii="Calibri" w:eastAsia="Calibri" w:hAnsi="Calibri" w:cs="Times New Roman"/>
          <w:highlight w:val="yellow"/>
          <w:lang w:val="en-US"/>
        </w:rPr>
      </w:pPr>
      <w:bookmarkStart w:id="0" w:name="_Hlk193540946"/>
      <w:bookmarkStart w:id="1" w:name="_Hlk183680988"/>
      <w:bookmarkStart w:id="2" w:name="_Hlk180402183"/>
      <w:r w:rsidRPr="005F01F9">
        <w:rPr>
          <w:rFonts w:ascii="Calibri" w:eastAsia="Calibri" w:hAnsi="Calibri" w:cs="Times New Roman"/>
          <w:highlight w:val="yellow"/>
          <w:lang w:val="en-US"/>
        </w:rPr>
        <w:t>Disclaimer (Artificial intelligence)</w:t>
      </w:r>
    </w:p>
    <w:p w14:paraId="7BEBF3A9" w14:textId="77777777" w:rsidR="005F01F9" w:rsidRPr="005F01F9" w:rsidRDefault="005F01F9" w:rsidP="00F87018">
      <w:pPr>
        <w:spacing w:after="200" w:line="360" w:lineRule="auto"/>
        <w:rPr>
          <w:rFonts w:ascii="Calibri" w:eastAsia="Calibri" w:hAnsi="Calibri" w:cs="Times New Roman"/>
          <w:highlight w:val="yellow"/>
          <w:lang w:val="en-US"/>
        </w:rPr>
      </w:pPr>
      <w:r w:rsidRPr="005F01F9">
        <w:rPr>
          <w:rFonts w:ascii="Calibri" w:eastAsia="Calibri" w:hAnsi="Calibri" w:cs="Times New Roman"/>
          <w:highlight w:val="yellow"/>
          <w:lang w:val="en-US"/>
        </w:rPr>
        <w:t xml:space="preserve">Option 1: </w:t>
      </w:r>
    </w:p>
    <w:p w14:paraId="25EFA038" w14:textId="77777777" w:rsidR="005F01F9" w:rsidRPr="005F01F9" w:rsidRDefault="005F01F9" w:rsidP="00F87018">
      <w:pPr>
        <w:spacing w:after="200" w:line="360" w:lineRule="auto"/>
        <w:rPr>
          <w:rFonts w:ascii="Calibri" w:eastAsia="Calibri" w:hAnsi="Calibri" w:cs="Times New Roman"/>
          <w:highlight w:val="yellow"/>
          <w:lang w:val="en-US"/>
        </w:rPr>
      </w:pPr>
      <w:r w:rsidRPr="005F01F9">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74E247B4" w14:textId="77777777" w:rsidR="005F01F9" w:rsidRPr="005F01F9" w:rsidRDefault="005F01F9" w:rsidP="00F87018">
      <w:pPr>
        <w:spacing w:after="200" w:line="360" w:lineRule="auto"/>
        <w:rPr>
          <w:rFonts w:ascii="Calibri" w:eastAsia="Calibri" w:hAnsi="Calibri" w:cs="Times New Roman"/>
          <w:highlight w:val="yellow"/>
          <w:lang w:val="en-US"/>
        </w:rPr>
      </w:pPr>
      <w:r w:rsidRPr="005F01F9">
        <w:rPr>
          <w:rFonts w:ascii="Calibri" w:eastAsia="Calibri" w:hAnsi="Calibri" w:cs="Times New Roman"/>
          <w:highlight w:val="yellow"/>
          <w:lang w:val="en-US"/>
        </w:rPr>
        <w:t xml:space="preserve">Option 2: </w:t>
      </w:r>
    </w:p>
    <w:p w14:paraId="27E5A98C" w14:textId="77777777" w:rsidR="005F01F9" w:rsidRPr="005F01F9" w:rsidRDefault="005F01F9" w:rsidP="00F87018">
      <w:pPr>
        <w:spacing w:after="200" w:line="360" w:lineRule="auto"/>
        <w:rPr>
          <w:rFonts w:ascii="Calibri" w:eastAsia="Calibri" w:hAnsi="Calibri" w:cs="Times New Roman"/>
          <w:highlight w:val="yellow"/>
          <w:lang w:val="en-US"/>
        </w:rPr>
      </w:pPr>
      <w:r w:rsidRPr="005F01F9">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0A61BBA" w14:textId="77777777" w:rsidR="005F01F9" w:rsidRPr="005F01F9" w:rsidRDefault="005F01F9" w:rsidP="00F87018">
      <w:pPr>
        <w:spacing w:after="200" w:line="360" w:lineRule="auto"/>
        <w:rPr>
          <w:rFonts w:ascii="Calibri" w:eastAsia="Calibri" w:hAnsi="Calibri" w:cs="Times New Roman"/>
          <w:highlight w:val="yellow"/>
          <w:lang w:val="en-US"/>
        </w:rPr>
      </w:pPr>
      <w:r w:rsidRPr="005F01F9">
        <w:rPr>
          <w:rFonts w:ascii="Calibri" w:eastAsia="Calibri" w:hAnsi="Calibri" w:cs="Times New Roman"/>
          <w:highlight w:val="yellow"/>
          <w:lang w:val="en-US"/>
        </w:rPr>
        <w:t>Details of the AI usage are given below:</w:t>
      </w:r>
    </w:p>
    <w:p w14:paraId="6F828D6D" w14:textId="77777777" w:rsidR="005F01F9" w:rsidRPr="005F01F9" w:rsidRDefault="005F01F9" w:rsidP="00F87018">
      <w:pPr>
        <w:spacing w:after="200" w:line="360" w:lineRule="auto"/>
        <w:rPr>
          <w:rFonts w:ascii="Calibri" w:eastAsia="Calibri" w:hAnsi="Calibri" w:cs="Times New Roman"/>
          <w:highlight w:val="yellow"/>
          <w:lang w:val="en-US"/>
        </w:rPr>
      </w:pPr>
      <w:r w:rsidRPr="005F01F9">
        <w:rPr>
          <w:rFonts w:ascii="Calibri" w:eastAsia="Calibri" w:hAnsi="Calibri" w:cs="Times New Roman"/>
          <w:highlight w:val="yellow"/>
          <w:lang w:val="en-US"/>
        </w:rPr>
        <w:t>1.</w:t>
      </w:r>
    </w:p>
    <w:p w14:paraId="7E788D26" w14:textId="77777777" w:rsidR="005F01F9" w:rsidRPr="005F01F9" w:rsidRDefault="005F01F9" w:rsidP="00F87018">
      <w:pPr>
        <w:spacing w:after="200" w:line="360" w:lineRule="auto"/>
        <w:rPr>
          <w:rFonts w:ascii="Calibri" w:eastAsia="Calibri" w:hAnsi="Calibri" w:cs="Times New Roman"/>
          <w:highlight w:val="yellow"/>
          <w:lang w:val="en-US"/>
        </w:rPr>
      </w:pPr>
      <w:r w:rsidRPr="005F01F9">
        <w:rPr>
          <w:rFonts w:ascii="Calibri" w:eastAsia="Calibri" w:hAnsi="Calibri" w:cs="Times New Roman"/>
          <w:highlight w:val="yellow"/>
          <w:lang w:val="en-US"/>
        </w:rPr>
        <w:t>2.</w:t>
      </w:r>
    </w:p>
    <w:p w14:paraId="5565B594" w14:textId="5B4F4FAB" w:rsidR="005F01F9" w:rsidRPr="00F87018" w:rsidRDefault="005F01F9" w:rsidP="00F87018">
      <w:pPr>
        <w:spacing w:after="200" w:line="360" w:lineRule="auto"/>
        <w:rPr>
          <w:rFonts w:ascii="Calibri" w:eastAsia="Calibri" w:hAnsi="Calibri" w:cs="Times New Roman"/>
          <w:lang w:val="en-US"/>
        </w:rPr>
      </w:pPr>
      <w:r w:rsidRPr="005F01F9">
        <w:rPr>
          <w:rFonts w:ascii="Calibri" w:eastAsia="Calibri" w:hAnsi="Calibri" w:cs="Times New Roman"/>
          <w:highlight w:val="yellow"/>
          <w:lang w:val="en-US"/>
        </w:rPr>
        <w:t>3.</w:t>
      </w:r>
      <w:bookmarkEnd w:id="0"/>
      <w:bookmarkEnd w:id="1"/>
      <w:bookmarkEnd w:id="2"/>
    </w:p>
    <w:p w14:paraId="4DDB231A" w14:textId="0B81065F" w:rsidR="00F87018" w:rsidRPr="00F87018" w:rsidRDefault="001A5F6B" w:rsidP="00F87018">
      <w:pPr>
        <w:spacing w:line="360" w:lineRule="auto"/>
        <w:jc w:val="both"/>
        <w:rPr>
          <w:rFonts w:ascii="Arial" w:hAnsi="Arial" w:cs="Arial"/>
          <w:b/>
          <w:bCs/>
          <w:color w:val="000000" w:themeColor="text1"/>
        </w:rPr>
      </w:pPr>
      <w:r w:rsidRPr="00380E5A">
        <w:rPr>
          <w:rFonts w:ascii="Arial" w:hAnsi="Arial" w:cs="Arial"/>
          <w:b/>
          <w:bCs/>
          <w:color w:val="000000" w:themeColor="text1"/>
        </w:rPr>
        <w:t>References</w:t>
      </w:r>
    </w:p>
    <w:p w14:paraId="6ADE8E09" w14:textId="37E37C91" w:rsidR="00F87018" w:rsidRPr="00F87018" w:rsidRDefault="00F87018" w:rsidP="00F87018">
      <w:pPr>
        <w:spacing w:line="360" w:lineRule="auto"/>
        <w:jc w:val="both"/>
        <w:rPr>
          <w:rFonts w:ascii="Arial" w:hAnsi="Arial" w:cs="Arial"/>
          <w:color w:val="000000" w:themeColor="text1"/>
          <w:sz w:val="20"/>
          <w:szCs w:val="20"/>
        </w:rPr>
      </w:pPr>
      <w:r w:rsidRPr="00F87018">
        <w:rPr>
          <w:rFonts w:ascii="Arial" w:hAnsi="Arial" w:cs="Arial"/>
          <w:color w:val="000000" w:themeColor="text1"/>
          <w:sz w:val="20"/>
          <w:szCs w:val="20"/>
        </w:rPr>
        <w:t>Akda</w:t>
      </w:r>
      <w:r>
        <w:rPr>
          <w:rFonts w:ascii="Arial" w:hAnsi="Arial" w:cs="Arial"/>
          <w:color w:val="000000" w:themeColor="text1"/>
          <w:sz w:val="20"/>
          <w:szCs w:val="20"/>
        </w:rPr>
        <w:t>g</w:t>
      </w:r>
      <w:r w:rsidRPr="00F87018">
        <w:rPr>
          <w:rFonts w:ascii="Arial" w:hAnsi="Arial" w:cs="Arial"/>
          <w:color w:val="000000" w:themeColor="text1"/>
          <w:sz w:val="20"/>
          <w:szCs w:val="20"/>
        </w:rPr>
        <w:t>, S. A., &amp; Dinler, A. (2009). A new method to estimate Weibull parameters for wind energy applications. </w:t>
      </w:r>
      <w:r w:rsidRPr="00F87018">
        <w:rPr>
          <w:rFonts w:ascii="Arial" w:hAnsi="Arial" w:cs="Arial"/>
          <w:i/>
          <w:iCs/>
          <w:color w:val="000000" w:themeColor="text1"/>
          <w:sz w:val="20"/>
          <w:szCs w:val="20"/>
        </w:rPr>
        <w:t>Energy conversion and management</w:t>
      </w:r>
      <w:r w:rsidRPr="00F87018">
        <w:rPr>
          <w:rFonts w:ascii="Arial" w:hAnsi="Arial" w:cs="Arial"/>
          <w:color w:val="000000" w:themeColor="text1"/>
          <w:sz w:val="20"/>
          <w:szCs w:val="20"/>
        </w:rPr>
        <w:t>, </w:t>
      </w:r>
      <w:r w:rsidRPr="00F87018">
        <w:rPr>
          <w:rFonts w:ascii="Arial" w:hAnsi="Arial" w:cs="Arial"/>
          <w:i/>
          <w:iCs/>
          <w:color w:val="000000" w:themeColor="text1"/>
          <w:sz w:val="20"/>
          <w:szCs w:val="20"/>
        </w:rPr>
        <w:t>50</w:t>
      </w:r>
      <w:r w:rsidRPr="00F87018">
        <w:rPr>
          <w:rFonts w:ascii="Arial" w:hAnsi="Arial" w:cs="Arial"/>
          <w:color w:val="000000" w:themeColor="text1"/>
          <w:sz w:val="20"/>
          <w:szCs w:val="20"/>
        </w:rPr>
        <w:t>(7), 1761-1766.</w:t>
      </w:r>
    </w:p>
    <w:p w14:paraId="76FBD731" w14:textId="77777777" w:rsidR="00F87018" w:rsidRPr="00F87018" w:rsidRDefault="00F87018" w:rsidP="00F87018">
      <w:pPr>
        <w:spacing w:line="360" w:lineRule="auto"/>
        <w:rPr>
          <w:rFonts w:ascii="Arial" w:hAnsi="Arial" w:cs="Arial"/>
          <w:color w:val="000000" w:themeColor="text1"/>
          <w:sz w:val="20"/>
          <w:szCs w:val="20"/>
        </w:rPr>
      </w:pPr>
      <w:r w:rsidRPr="00F87018">
        <w:rPr>
          <w:rFonts w:ascii="Arial" w:hAnsi="Arial" w:cs="Arial"/>
          <w:color w:val="000000" w:themeColor="text1"/>
          <w:sz w:val="20"/>
          <w:szCs w:val="20"/>
        </w:rPr>
        <w:t xml:space="preserve">Banik, R., &amp; Biswas, A. (2025). Rainfall prediction for climate-resilient agriculture: a robust ensemble with SARIMA and </w:t>
      </w:r>
      <w:proofErr w:type="spellStart"/>
      <w:r w:rsidRPr="00F87018">
        <w:rPr>
          <w:rFonts w:ascii="Arial" w:hAnsi="Arial" w:cs="Arial"/>
          <w:color w:val="000000" w:themeColor="text1"/>
          <w:sz w:val="20"/>
          <w:szCs w:val="20"/>
        </w:rPr>
        <w:t>LightGBM</w:t>
      </w:r>
      <w:proofErr w:type="spellEnd"/>
      <w:r w:rsidRPr="00F87018">
        <w:rPr>
          <w:rFonts w:ascii="Arial" w:hAnsi="Arial" w:cs="Arial"/>
          <w:color w:val="000000" w:themeColor="text1"/>
          <w:sz w:val="20"/>
          <w:szCs w:val="20"/>
        </w:rPr>
        <w:t>. </w:t>
      </w:r>
      <w:r w:rsidRPr="00F87018">
        <w:rPr>
          <w:rFonts w:ascii="Arial" w:hAnsi="Arial" w:cs="Arial"/>
          <w:i/>
          <w:iCs/>
          <w:color w:val="000000" w:themeColor="text1"/>
          <w:sz w:val="20"/>
          <w:szCs w:val="20"/>
        </w:rPr>
        <w:t>Paddy and Water Environment</w:t>
      </w:r>
      <w:r w:rsidRPr="00F87018">
        <w:rPr>
          <w:rFonts w:ascii="Arial" w:hAnsi="Arial" w:cs="Arial"/>
          <w:color w:val="000000" w:themeColor="text1"/>
          <w:sz w:val="20"/>
          <w:szCs w:val="20"/>
        </w:rPr>
        <w:t>, </w:t>
      </w:r>
      <w:r w:rsidRPr="00F87018">
        <w:rPr>
          <w:rFonts w:ascii="Arial" w:hAnsi="Arial" w:cs="Arial"/>
          <w:i/>
          <w:iCs/>
          <w:color w:val="000000" w:themeColor="text1"/>
          <w:sz w:val="20"/>
          <w:szCs w:val="20"/>
        </w:rPr>
        <w:t>23</w:t>
      </w:r>
      <w:r w:rsidRPr="00F87018">
        <w:rPr>
          <w:rFonts w:ascii="Arial" w:hAnsi="Arial" w:cs="Arial"/>
          <w:color w:val="000000" w:themeColor="text1"/>
          <w:sz w:val="20"/>
          <w:szCs w:val="20"/>
        </w:rPr>
        <w:t>(2), 263-275.</w:t>
      </w:r>
    </w:p>
    <w:p w14:paraId="367B709B" w14:textId="77777777" w:rsidR="00F87018" w:rsidRPr="00F87018" w:rsidRDefault="00F87018" w:rsidP="00F87018">
      <w:pPr>
        <w:spacing w:line="360" w:lineRule="auto"/>
        <w:rPr>
          <w:rFonts w:ascii="Arial" w:hAnsi="Arial" w:cs="Arial"/>
          <w:color w:val="000000" w:themeColor="text1"/>
          <w:sz w:val="20"/>
          <w:szCs w:val="20"/>
        </w:rPr>
      </w:pPr>
      <w:r w:rsidRPr="00F87018">
        <w:rPr>
          <w:rFonts w:ascii="Arial" w:hAnsi="Arial" w:cs="Arial"/>
          <w:color w:val="000000" w:themeColor="text1"/>
          <w:sz w:val="20"/>
          <w:szCs w:val="20"/>
        </w:rPr>
        <w:t>Baraj, B., Mishra, M., Sudarsan, D., da Silva, R. M., &amp; Santos, C. A. G. (2024). Climate change and resilience, adaptation, and sustainability of agriculture in India: A bibliometric review. </w:t>
      </w:r>
      <w:proofErr w:type="spellStart"/>
      <w:r w:rsidRPr="00F87018">
        <w:rPr>
          <w:rFonts w:ascii="Arial" w:hAnsi="Arial" w:cs="Arial"/>
          <w:i/>
          <w:iCs/>
          <w:color w:val="000000" w:themeColor="text1"/>
          <w:sz w:val="20"/>
          <w:szCs w:val="20"/>
        </w:rPr>
        <w:t>Heliyon</w:t>
      </w:r>
      <w:proofErr w:type="spellEnd"/>
      <w:r w:rsidRPr="00F87018">
        <w:rPr>
          <w:rFonts w:ascii="Arial" w:hAnsi="Arial" w:cs="Arial"/>
          <w:color w:val="000000" w:themeColor="text1"/>
          <w:sz w:val="20"/>
          <w:szCs w:val="20"/>
        </w:rPr>
        <w:t>.</w:t>
      </w:r>
    </w:p>
    <w:p w14:paraId="389BC340" w14:textId="77777777" w:rsidR="00F87018" w:rsidRPr="00F87018" w:rsidRDefault="00F87018" w:rsidP="00F87018">
      <w:pPr>
        <w:spacing w:after="0" w:line="360" w:lineRule="auto"/>
        <w:jc w:val="both"/>
        <w:rPr>
          <w:rFonts w:ascii="Arial" w:hAnsi="Arial" w:cs="Arial"/>
          <w:color w:val="000000" w:themeColor="text1"/>
          <w:sz w:val="20"/>
          <w:szCs w:val="20"/>
        </w:rPr>
      </w:pPr>
      <w:r w:rsidRPr="00F87018">
        <w:rPr>
          <w:rFonts w:ascii="Arial" w:hAnsi="Arial" w:cs="Arial"/>
          <w:color w:val="000000" w:themeColor="text1"/>
          <w:sz w:val="20"/>
          <w:szCs w:val="20"/>
        </w:rPr>
        <w:t>Beale, C. M., Lennon, J. J., Yearsley, J. M., Brewer, M. J., &amp; Elston, D. A. (2010). Regression analysis of spatial data. </w:t>
      </w:r>
      <w:r w:rsidRPr="00F87018">
        <w:rPr>
          <w:rFonts w:ascii="Arial" w:hAnsi="Arial" w:cs="Arial"/>
          <w:i/>
          <w:iCs/>
          <w:color w:val="000000" w:themeColor="text1"/>
          <w:sz w:val="20"/>
          <w:szCs w:val="20"/>
        </w:rPr>
        <w:t>Ecology letters</w:t>
      </w:r>
      <w:r w:rsidRPr="00F87018">
        <w:rPr>
          <w:rFonts w:ascii="Arial" w:hAnsi="Arial" w:cs="Arial"/>
          <w:color w:val="000000" w:themeColor="text1"/>
          <w:sz w:val="20"/>
          <w:szCs w:val="20"/>
        </w:rPr>
        <w:t>, </w:t>
      </w:r>
      <w:r w:rsidRPr="00F87018">
        <w:rPr>
          <w:rFonts w:ascii="Arial" w:hAnsi="Arial" w:cs="Arial"/>
          <w:i/>
          <w:iCs/>
          <w:color w:val="000000" w:themeColor="text1"/>
          <w:sz w:val="20"/>
          <w:szCs w:val="20"/>
        </w:rPr>
        <w:t>13</w:t>
      </w:r>
      <w:r w:rsidRPr="00F87018">
        <w:rPr>
          <w:rFonts w:ascii="Arial" w:hAnsi="Arial" w:cs="Arial"/>
          <w:color w:val="000000" w:themeColor="text1"/>
          <w:sz w:val="20"/>
          <w:szCs w:val="20"/>
        </w:rPr>
        <w:t>(2), 246-264.</w:t>
      </w:r>
    </w:p>
    <w:p w14:paraId="4A9E3907" w14:textId="77777777" w:rsidR="00F87018" w:rsidRPr="00F87018" w:rsidRDefault="00F87018" w:rsidP="00F87018">
      <w:pPr>
        <w:spacing w:line="360" w:lineRule="auto"/>
        <w:rPr>
          <w:rFonts w:ascii="Arial" w:hAnsi="Arial" w:cs="Arial"/>
          <w:color w:val="000000" w:themeColor="text1"/>
          <w:sz w:val="20"/>
          <w:szCs w:val="20"/>
        </w:rPr>
      </w:pPr>
      <w:r w:rsidRPr="00F87018">
        <w:rPr>
          <w:rFonts w:ascii="Arial" w:hAnsi="Arial" w:cs="Arial"/>
          <w:color w:val="000000" w:themeColor="text1"/>
          <w:sz w:val="20"/>
          <w:szCs w:val="20"/>
        </w:rPr>
        <w:t xml:space="preserve">Benitez-Alfonso, Y., Soanes, B. K., Zimba, S., </w:t>
      </w:r>
      <w:proofErr w:type="spellStart"/>
      <w:r w:rsidRPr="00F87018">
        <w:rPr>
          <w:rFonts w:ascii="Arial" w:hAnsi="Arial" w:cs="Arial"/>
          <w:color w:val="000000" w:themeColor="text1"/>
          <w:sz w:val="20"/>
          <w:szCs w:val="20"/>
        </w:rPr>
        <w:t>Sinanaj</w:t>
      </w:r>
      <w:proofErr w:type="spellEnd"/>
      <w:r w:rsidRPr="00F87018">
        <w:rPr>
          <w:rFonts w:ascii="Arial" w:hAnsi="Arial" w:cs="Arial"/>
          <w:color w:val="000000" w:themeColor="text1"/>
          <w:sz w:val="20"/>
          <w:szCs w:val="20"/>
        </w:rPr>
        <w:t>, B., German, L., Sharma, V., ... &amp; Foyer, C. H. (2023). Enhancing climate change resilience in agricultural crops. </w:t>
      </w:r>
      <w:r w:rsidRPr="00F87018">
        <w:rPr>
          <w:rFonts w:ascii="Arial" w:hAnsi="Arial" w:cs="Arial"/>
          <w:i/>
          <w:iCs/>
          <w:color w:val="000000" w:themeColor="text1"/>
          <w:sz w:val="20"/>
          <w:szCs w:val="20"/>
        </w:rPr>
        <w:t>Current Biology</w:t>
      </w:r>
      <w:r w:rsidRPr="00F87018">
        <w:rPr>
          <w:rFonts w:ascii="Arial" w:hAnsi="Arial" w:cs="Arial"/>
          <w:color w:val="000000" w:themeColor="text1"/>
          <w:sz w:val="20"/>
          <w:szCs w:val="20"/>
        </w:rPr>
        <w:t>, </w:t>
      </w:r>
      <w:r w:rsidRPr="00F87018">
        <w:rPr>
          <w:rFonts w:ascii="Arial" w:hAnsi="Arial" w:cs="Arial"/>
          <w:i/>
          <w:iCs/>
          <w:color w:val="000000" w:themeColor="text1"/>
          <w:sz w:val="20"/>
          <w:szCs w:val="20"/>
        </w:rPr>
        <w:t>33</w:t>
      </w:r>
      <w:r w:rsidRPr="00F87018">
        <w:rPr>
          <w:rFonts w:ascii="Arial" w:hAnsi="Arial" w:cs="Arial"/>
          <w:color w:val="000000" w:themeColor="text1"/>
          <w:sz w:val="20"/>
          <w:szCs w:val="20"/>
        </w:rPr>
        <w:t>(23), R1246-R1261.</w:t>
      </w:r>
    </w:p>
    <w:p w14:paraId="32FEA606" w14:textId="77777777" w:rsidR="00F87018" w:rsidRPr="00F87018" w:rsidRDefault="00F87018" w:rsidP="00F87018">
      <w:pPr>
        <w:spacing w:after="0" w:line="360" w:lineRule="auto"/>
        <w:jc w:val="both"/>
        <w:rPr>
          <w:rFonts w:ascii="Arial" w:hAnsi="Arial" w:cs="Arial"/>
          <w:color w:val="000000" w:themeColor="text1"/>
          <w:sz w:val="20"/>
          <w:szCs w:val="20"/>
        </w:rPr>
      </w:pPr>
      <w:r w:rsidRPr="00F87018">
        <w:rPr>
          <w:rFonts w:ascii="Arial" w:hAnsi="Arial" w:cs="Arial"/>
          <w:color w:val="000000" w:themeColor="text1"/>
          <w:sz w:val="20"/>
          <w:szCs w:val="20"/>
        </w:rPr>
        <w:t>Cousineau, D. (2009). Fitting the three-parameter Weibull distribution: Review and evaluation of existing and new methods. </w:t>
      </w:r>
      <w:r w:rsidRPr="00F87018">
        <w:rPr>
          <w:rFonts w:ascii="Arial" w:hAnsi="Arial" w:cs="Arial"/>
          <w:i/>
          <w:iCs/>
          <w:color w:val="000000" w:themeColor="text1"/>
          <w:sz w:val="20"/>
          <w:szCs w:val="20"/>
        </w:rPr>
        <w:t>IEEE Transactions on Dielectrics and Electrical Insulation</w:t>
      </w:r>
      <w:r w:rsidRPr="00F87018">
        <w:rPr>
          <w:rFonts w:ascii="Arial" w:hAnsi="Arial" w:cs="Arial"/>
          <w:color w:val="000000" w:themeColor="text1"/>
          <w:sz w:val="20"/>
          <w:szCs w:val="20"/>
        </w:rPr>
        <w:t>, </w:t>
      </w:r>
      <w:r w:rsidRPr="00F87018">
        <w:rPr>
          <w:rFonts w:ascii="Arial" w:hAnsi="Arial" w:cs="Arial"/>
          <w:i/>
          <w:iCs/>
          <w:color w:val="000000" w:themeColor="text1"/>
          <w:sz w:val="20"/>
          <w:szCs w:val="20"/>
        </w:rPr>
        <w:t>16</w:t>
      </w:r>
      <w:r w:rsidRPr="00F87018">
        <w:rPr>
          <w:rFonts w:ascii="Arial" w:hAnsi="Arial" w:cs="Arial"/>
          <w:color w:val="000000" w:themeColor="text1"/>
          <w:sz w:val="20"/>
          <w:szCs w:val="20"/>
        </w:rPr>
        <w:t>(1), 281-288.</w:t>
      </w:r>
    </w:p>
    <w:p w14:paraId="6E33FDE8" w14:textId="77777777" w:rsidR="00F87018" w:rsidRDefault="00F87018" w:rsidP="00F87018">
      <w:pPr>
        <w:spacing w:line="360" w:lineRule="auto"/>
        <w:rPr>
          <w:rFonts w:ascii="Arial" w:hAnsi="Arial" w:cs="Arial"/>
          <w:color w:val="000000" w:themeColor="text1"/>
          <w:sz w:val="20"/>
          <w:szCs w:val="20"/>
        </w:rPr>
      </w:pPr>
      <w:r w:rsidRPr="00F87018">
        <w:rPr>
          <w:rFonts w:ascii="Arial" w:hAnsi="Arial" w:cs="Arial"/>
          <w:color w:val="000000" w:themeColor="text1"/>
          <w:sz w:val="20"/>
          <w:szCs w:val="20"/>
        </w:rPr>
        <w:lastRenderedPageBreak/>
        <w:t>Goswami, M., Gupta, A. K., Kishan, R., Baidya, S., Khan, Y. I., Prakash, S., ... &amp; Nautiyal, S. (2023). An evaluation of climate resilient agricultural practices in India: a narrative synthesis of literature. Environmental Sustainability, 6(1), 7-23.</w:t>
      </w:r>
    </w:p>
    <w:p w14:paraId="4C2CB9FE" w14:textId="66128C4D" w:rsidR="00145AB2" w:rsidRDefault="00145AB2" w:rsidP="00145AB2">
      <w:pPr>
        <w:spacing w:after="0" w:line="360" w:lineRule="auto"/>
        <w:jc w:val="both"/>
        <w:rPr>
          <w:rFonts w:ascii="Arial" w:hAnsi="Arial" w:cs="Arial"/>
          <w:color w:val="000000" w:themeColor="text1"/>
          <w:sz w:val="20"/>
          <w:szCs w:val="20"/>
        </w:rPr>
      </w:pPr>
      <w:proofErr w:type="spellStart"/>
      <w:r w:rsidRPr="00145AB2">
        <w:rPr>
          <w:rFonts w:ascii="Arial" w:hAnsi="Arial" w:cs="Arial"/>
          <w:color w:val="000000" w:themeColor="text1"/>
          <w:sz w:val="20"/>
          <w:szCs w:val="20"/>
        </w:rPr>
        <w:t>Janghel</w:t>
      </w:r>
      <w:proofErr w:type="spellEnd"/>
      <w:r w:rsidRPr="00145AB2">
        <w:rPr>
          <w:rFonts w:ascii="Arial" w:hAnsi="Arial" w:cs="Arial"/>
          <w:color w:val="000000" w:themeColor="text1"/>
          <w:sz w:val="20"/>
          <w:szCs w:val="20"/>
        </w:rPr>
        <w:t xml:space="preserve">, Y., Kanchibhotla, G. V., &amp; </w:t>
      </w:r>
      <w:proofErr w:type="spellStart"/>
      <w:r w:rsidRPr="00145AB2">
        <w:rPr>
          <w:rFonts w:ascii="Arial" w:hAnsi="Arial" w:cs="Arial"/>
          <w:color w:val="000000" w:themeColor="text1"/>
          <w:sz w:val="20"/>
          <w:szCs w:val="20"/>
        </w:rPr>
        <w:t>Unjan</w:t>
      </w:r>
      <w:proofErr w:type="spellEnd"/>
      <w:r w:rsidRPr="00145AB2">
        <w:rPr>
          <w:rFonts w:ascii="Arial" w:hAnsi="Arial" w:cs="Arial"/>
          <w:color w:val="000000" w:themeColor="text1"/>
          <w:sz w:val="20"/>
          <w:szCs w:val="20"/>
        </w:rPr>
        <w:t>, D. (2025). Temporal Distribution of Rainfall in Northern Hilly Region of Chhattisgarh, India: A Crop Planning Approach. </w:t>
      </w:r>
      <w:r w:rsidRPr="00145AB2">
        <w:rPr>
          <w:rFonts w:ascii="Arial" w:hAnsi="Arial" w:cs="Arial"/>
          <w:i/>
          <w:iCs/>
          <w:color w:val="000000" w:themeColor="text1"/>
          <w:sz w:val="20"/>
          <w:szCs w:val="20"/>
        </w:rPr>
        <w:t>International Journal of Environment and Climate Change</w:t>
      </w:r>
      <w:r w:rsidRPr="00145AB2">
        <w:rPr>
          <w:rFonts w:ascii="Arial" w:hAnsi="Arial" w:cs="Arial"/>
          <w:color w:val="000000" w:themeColor="text1"/>
          <w:sz w:val="20"/>
          <w:szCs w:val="20"/>
        </w:rPr>
        <w:t>, </w:t>
      </w:r>
      <w:r w:rsidRPr="00145AB2">
        <w:rPr>
          <w:rFonts w:ascii="Arial" w:hAnsi="Arial" w:cs="Arial"/>
          <w:i/>
          <w:iCs/>
          <w:color w:val="000000" w:themeColor="text1"/>
          <w:sz w:val="20"/>
          <w:szCs w:val="20"/>
        </w:rPr>
        <w:t>15</w:t>
      </w:r>
      <w:r w:rsidRPr="00145AB2">
        <w:rPr>
          <w:rFonts w:ascii="Arial" w:hAnsi="Arial" w:cs="Arial"/>
          <w:color w:val="000000" w:themeColor="text1"/>
          <w:sz w:val="20"/>
          <w:szCs w:val="20"/>
        </w:rPr>
        <w:t>(5), 51-57.</w:t>
      </w:r>
    </w:p>
    <w:p w14:paraId="5D049075" w14:textId="77777777" w:rsidR="00145AB2" w:rsidRPr="00F87018" w:rsidRDefault="00145AB2" w:rsidP="00145AB2">
      <w:pPr>
        <w:spacing w:after="0" w:line="360" w:lineRule="auto"/>
        <w:jc w:val="both"/>
        <w:rPr>
          <w:rFonts w:ascii="Arial" w:hAnsi="Arial" w:cs="Arial"/>
          <w:color w:val="000000" w:themeColor="text1"/>
          <w:sz w:val="20"/>
          <w:szCs w:val="20"/>
        </w:rPr>
      </w:pPr>
    </w:p>
    <w:p w14:paraId="4DB361EB" w14:textId="6C268F10" w:rsidR="00145AB2" w:rsidRPr="00F87018" w:rsidRDefault="00F87018" w:rsidP="00145AB2">
      <w:pPr>
        <w:spacing w:line="360" w:lineRule="auto"/>
        <w:rPr>
          <w:rFonts w:ascii="Arial" w:hAnsi="Arial" w:cs="Arial"/>
          <w:color w:val="000000" w:themeColor="text1"/>
          <w:sz w:val="20"/>
          <w:szCs w:val="20"/>
        </w:rPr>
      </w:pPr>
      <w:r w:rsidRPr="00F87018">
        <w:rPr>
          <w:rFonts w:ascii="Arial" w:hAnsi="Arial" w:cs="Arial"/>
          <w:color w:val="000000" w:themeColor="text1"/>
          <w:sz w:val="20"/>
          <w:szCs w:val="20"/>
        </w:rPr>
        <w:t xml:space="preserve">Jat, R. K., Meena, V. S., </w:t>
      </w:r>
      <w:proofErr w:type="spellStart"/>
      <w:r w:rsidRPr="00F87018">
        <w:rPr>
          <w:rFonts w:ascii="Arial" w:hAnsi="Arial" w:cs="Arial"/>
          <w:color w:val="000000" w:themeColor="text1"/>
          <w:sz w:val="20"/>
          <w:szCs w:val="20"/>
        </w:rPr>
        <w:t>Durgude</w:t>
      </w:r>
      <w:proofErr w:type="spellEnd"/>
      <w:r w:rsidRPr="00F87018">
        <w:rPr>
          <w:rFonts w:ascii="Arial" w:hAnsi="Arial" w:cs="Arial"/>
          <w:color w:val="000000" w:themeColor="text1"/>
          <w:sz w:val="20"/>
          <w:szCs w:val="20"/>
        </w:rPr>
        <w:t xml:space="preserve">, S., Sohane, R. K., Jha, R. K., Kumar, A., ... &amp; Lenka, A. K. (2025). Bridging the gap: challenges and adoption of climate-resilient agriculture technologies in agricultural landscapes across </w:t>
      </w:r>
      <w:proofErr w:type="spellStart"/>
      <w:r w:rsidRPr="00F87018">
        <w:rPr>
          <w:rFonts w:ascii="Arial" w:hAnsi="Arial" w:cs="Arial"/>
          <w:color w:val="000000" w:themeColor="text1"/>
          <w:sz w:val="20"/>
          <w:szCs w:val="20"/>
        </w:rPr>
        <w:t>agro</w:t>
      </w:r>
      <w:proofErr w:type="spellEnd"/>
      <w:r w:rsidRPr="00F87018">
        <w:rPr>
          <w:rFonts w:ascii="Arial" w:hAnsi="Arial" w:cs="Arial"/>
          <w:color w:val="000000" w:themeColor="text1"/>
          <w:sz w:val="20"/>
          <w:szCs w:val="20"/>
        </w:rPr>
        <w:t>-climatic zones of Bihar, India. </w:t>
      </w:r>
      <w:r w:rsidRPr="00F87018">
        <w:rPr>
          <w:rFonts w:ascii="Arial" w:hAnsi="Arial" w:cs="Arial"/>
          <w:i/>
          <w:iCs/>
          <w:color w:val="000000" w:themeColor="text1"/>
          <w:sz w:val="20"/>
          <w:szCs w:val="20"/>
        </w:rPr>
        <w:t>Frontiers in Sustainable Food Systems</w:t>
      </w:r>
      <w:r w:rsidRPr="00F87018">
        <w:rPr>
          <w:rFonts w:ascii="Arial" w:hAnsi="Arial" w:cs="Arial"/>
          <w:color w:val="000000" w:themeColor="text1"/>
          <w:sz w:val="20"/>
          <w:szCs w:val="20"/>
        </w:rPr>
        <w:t>, </w:t>
      </w:r>
      <w:r w:rsidRPr="00F87018">
        <w:rPr>
          <w:rFonts w:ascii="Arial" w:hAnsi="Arial" w:cs="Arial"/>
          <w:i/>
          <w:iCs/>
          <w:color w:val="000000" w:themeColor="text1"/>
          <w:sz w:val="20"/>
          <w:szCs w:val="20"/>
        </w:rPr>
        <w:t>8</w:t>
      </w:r>
      <w:r w:rsidRPr="00F87018">
        <w:rPr>
          <w:rFonts w:ascii="Arial" w:hAnsi="Arial" w:cs="Arial"/>
          <w:color w:val="000000" w:themeColor="text1"/>
          <w:sz w:val="20"/>
          <w:szCs w:val="20"/>
        </w:rPr>
        <w:t>, 1504388.</w:t>
      </w:r>
    </w:p>
    <w:p w14:paraId="3CA55162" w14:textId="77777777" w:rsidR="00F87018" w:rsidRPr="00F87018" w:rsidRDefault="00F87018" w:rsidP="00F87018">
      <w:pPr>
        <w:spacing w:line="360" w:lineRule="auto"/>
        <w:jc w:val="both"/>
        <w:rPr>
          <w:rFonts w:ascii="Arial" w:hAnsi="Arial" w:cs="Arial"/>
          <w:color w:val="000000" w:themeColor="text1"/>
          <w:sz w:val="20"/>
          <w:szCs w:val="20"/>
        </w:rPr>
      </w:pPr>
      <w:r w:rsidRPr="00F87018">
        <w:rPr>
          <w:rFonts w:ascii="Arial" w:hAnsi="Arial" w:cs="Arial"/>
          <w:color w:val="000000" w:themeColor="text1"/>
          <w:sz w:val="20"/>
          <w:szCs w:val="20"/>
        </w:rPr>
        <w:t>Kumari, K., &amp; Yadav, S. (2018). Linear regression analysis study. </w:t>
      </w:r>
      <w:r w:rsidRPr="00F87018">
        <w:rPr>
          <w:rFonts w:ascii="Arial" w:hAnsi="Arial" w:cs="Arial"/>
          <w:i/>
          <w:iCs/>
          <w:color w:val="000000" w:themeColor="text1"/>
          <w:sz w:val="20"/>
          <w:szCs w:val="20"/>
        </w:rPr>
        <w:t>Journal of the practice of Cardiovascular Sciences</w:t>
      </w:r>
      <w:r w:rsidRPr="00F87018">
        <w:rPr>
          <w:rFonts w:ascii="Arial" w:hAnsi="Arial" w:cs="Arial"/>
          <w:color w:val="000000" w:themeColor="text1"/>
          <w:sz w:val="20"/>
          <w:szCs w:val="20"/>
        </w:rPr>
        <w:t>, </w:t>
      </w:r>
      <w:r w:rsidRPr="00F87018">
        <w:rPr>
          <w:rFonts w:ascii="Arial" w:hAnsi="Arial" w:cs="Arial"/>
          <w:i/>
          <w:iCs/>
          <w:color w:val="000000" w:themeColor="text1"/>
          <w:sz w:val="20"/>
          <w:szCs w:val="20"/>
        </w:rPr>
        <w:t>4</w:t>
      </w:r>
      <w:r w:rsidRPr="00F87018">
        <w:rPr>
          <w:rFonts w:ascii="Arial" w:hAnsi="Arial" w:cs="Arial"/>
          <w:color w:val="000000" w:themeColor="text1"/>
          <w:sz w:val="20"/>
          <w:szCs w:val="20"/>
        </w:rPr>
        <w:t>(1), 33-36.</w:t>
      </w:r>
    </w:p>
    <w:p w14:paraId="2D2FEDFA" w14:textId="77777777" w:rsidR="00F87018" w:rsidRPr="00F87018" w:rsidRDefault="00F87018" w:rsidP="00F87018">
      <w:pPr>
        <w:spacing w:line="360" w:lineRule="auto"/>
        <w:rPr>
          <w:rFonts w:ascii="Arial" w:hAnsi="Arial" w:cs="Arial"/>
          <w:color w:val="000000" w:themeColor="text1"/>
          <w:sz w:val="20"/>
          <w:szCs w:val="20"/>
        </w:rPr>
      </w:pPr>
      <w:r w:rsidRPr="00F87018">
        <w:rPr>
          <w:rFonts w:ascii="Arial" w:hAnsi="Arial" w:cs="Arial"/>
          <w:color w:val="000000" w:themeColor="text1"/>
          <w:sz w:val="20"/>
          <w:szCs w:val="20"/>
        </w:rPr>
        <w:t xml:space="preserve">Maheswari, M., Sarkar, B., Vanaja, M., Srinivasa Rao, M., Prasad, J. V. N. S., Prabhakar, M., ... &amp; </w:t>
      </w:r>
      <w:proofErr w:type="spellStart"/>
      <w:r w:rsidRPr="00F87018">
        <w:rPr>
          <w:rFonts w:ascii="Arial" w:hAnsi="Arial" w:cs="Arial"/>
          <w:color w:val="000000" w:themeColor="text1"/>
          <w:sz w:val="20"/>
          <w:szCs w:val="20"/>
        </w:rPr>
        <w:t>Alagusundaram</w:t>
      </w:r>
      <w:proofErr w:type="spellEnd"/>
      <w:r w:rsidRPr="00F87018">
        <w:rPr>
          <w:rFonts w:ascii="Arial" w:hAnsi="Arial" w:cs="Arial"/>
          <w:color w:val="000000" w:themeColor="text1"/>
          <w:sz w:val="20"/>
          <w:szCs w:val="20"/>
        </w:rPr>
        <w:t>, K. (2019). </w:t>
      </w:r>
      <w:r w:rsidRPr="00F87018">
        <w:rPr>
          <w:rFonts w:ascii="Arial" w:hAnsi="Arial" w:cs="Arial"/>
          <w:i/>
          <w:iCs/>
          <w:color w:val="000000" w:themeColor="text1"/>
          <w:sz w:val="20"/>
          <w:szCs w:val="20"/>
        </w:rPr>
        <w:t>Climate resilient crop varieties for sustainable food production under aberrant weather conditions</w:t>
      </w:r>
      <w:r w:rsidRPr="00F87018">
        <w:rPr>
          <w:rFonts w:ascii="Arial" w:hAnsi="Arial" w:cs="Arial"/>
          <w:color w:val="000000" w:themeColor="text1"/>
          <w:sz w:val="20"/>
          <w:szCs w:val="20"/>
        </w:rPr>
        <w:t>. ICAR-Central Research Institute for Dryland Agriculture, Natural Resource Management Division, Indian Council of Agriculture Research.</w:t>
      </w:r>
    </w:p>
    <w:p w14:paraId="22C94D57" w14:textId="77777777" w:rsidR="00F87018" w:rsidRPr="00F87018" w:rsidRDefault="00F87018" w:rsidP="00F87018">
      <w:pPr>
        <w:spacing w:line="360" w:lineRule="auto"/>
        <w:jc w:val="both"/>
        <w:rPr>
          <w:rFonts w:ascii="Arial" w:hAnsi="Arial" w:cs="Arial"/>
          <w:color w:val="000000" w:themeColor="text1"/>
          <w:sz w:val="20"/>
          <w:szCs w:val="20"/>
        </w:rPr>
      </w:pPr>
      <w:r w:rsidRPr="00F87018">
        <w:rPr>
          <w:rFonts w:ascii="Arial" w:hAnsi="Arial" w:cs="Arial"/>
          <w:color w:val="000000" w:themeColor="text1"/>
          <w:sz w:val="20"/>
          <w:szCs w:val="20"/>
        </w:rPr>
        <w:t>Peng, C. Y. J., Lee, K. L., &amp; Ingersoll, G. M. (2002). An introduction to logistic regression analysis and reporting. </w:t>
      </w:r>
      <w:r w:rsidRPr="00F87018">
        <w:rPr>
          <w:rFonts w:ascii="Arial" w:hAnsi="Arial" w:cs="Arial"/>
          <w:i/>
          <w:iCs/>
          <w:color w:val="000000" w:themeColor="text1"/>
          <w:sz w:val="20"/>
          <w:szCs w:val="20"/>
        </w:rPr>
        <w:t>The journal of educational research</w:t>
      </w:r>
      <w:r w:rsidRPr="00F87018">
        <w:rPr>
          <w:rFonts w:ascii="Arial" w:hAnsi="Arial" w:cs="Arial"/>
          <w:color w:val="000000" w:themeColor="text1"/>
          <w:sz w:val="20"/>
          <w:szCs w:val="20"/>
        </w:rPr>
        <w:t>, </w:t>
      </w:r>
      <w:r w:rsidRPr="00F87018">
        <w:rPr>
          <w:rFonts w:ascii="Arial" w:hAnsi="Arial" w:cs="Arial"/>
          <w:i/>
          <w:iCs/>
          <w:color w:val="000000" w:themeColor="text1"/>
          <w:sz w:val="20"/>
          <w:szCs w:val="20"/>
        </w:rPr>
        <w:t>96</w:t>
      </w:r>
      <w:r w:rsidRPr="00F87018">
        <w:rPr>
          <w:rFonts w:ascii="Arial" w:hAnsi="Arial" w:cs="Arial"/>
          <w:color w:val="000000" w:themeColor="text1"/>
          <w:sz w:val="20"/>
          <w:szCs w:val="20"/>
        </w:rPr>
        <w:t>(1), 3-14.</w:t>
      </w:r>
    </w:p>
    <w:p w14:paraId="1FA8BAF4" w14:textId="77777777" w:rsidR="00F87018" w:rsidRPr="00F87018" w:rsidRDefault="00F87018" w:rsidP="00F87018">
      <w:pPr>
        <w:spacing w:line="360" w:lineRule="auto"/>
        <w:rPr>
          <w:rFonts w:ascii="Arial" w:hAnsi="Arial" w:cs="Arial"/>
          <w:color w:val="000000" w:themeColor="text1"/>
          <w:sz w:val="20"/>
          <w:szCs w:val="20"/>
        </w:rPr>
      </w:pPr>
      <w:r w:rsidRPr="00F87018">
        <w:rPr>
          <w:rFonts w:ascii="Arial" w:hAnsi="Arial" w:cs="Arial"/>
          <w:color w:val="000000" w:themeColor="text1"/>
          <w:sz w:val="20"/>
          <w:szCs w:val="20"/>
        </w:rPr>
        <w:t>Raza, A., Khare, T., Zhang, X., Rahman, M. M., Hussain, M., Gill, S. S., ... &amp; Varshney, R. K. (2025). Novel Strategies for Designing Climate</w:t>
      </w:r>
      <w:r w:rsidRPr="00F87018">
        <w:rPr>
          <w:rFonts w:ascii="Cambria Math" w:hAnsi="Cambria Math" w:cs="Cambria Math"/>
          <w:color w:val="000000" w:themeColor="text1"/>
          <w:sz w:val="20"/>
          <w:szCs w:val="20"/>
        </w:rPr>
        <w:t>‐</w:t>
      </w:r>
      <w:r w:rsidRPr="00F87018">
        <w:rPr>
          <w:rFonts w:ascii="Arial" w:hAnsi="Arial" w:cs="Arial"/>
          <w:color w:val="000000" w:themeColor="text1"/>
          <w:sz w:val="20"/>
          <w:szCs w:val="20"/>
        </w:rPr>
        <w:t>Smart Crops to Ensure Sustainable Agriculture and Future Food Security. </w:t>
      </w:r>
      <w:r w:rsidRPr="00F87018">
        <w:rPr>
          <w:rFonts w:ascii="Arial" w:hAnsi="Arial" w:cs="Arial"/>
          <w:i/>
          <w:iCs/>
          <w:color w:val="000000" w:themeColor="text1"/>
          <w:sz w:val="20"/>
          <w:szCs w:val="20"/>
        </w:rPr>
        <w:t>Journal of sustainable agriculture and environment</w:t>
      </w:r>
      <w:r w:rsidRPr="00F87018">
        <w:rPr>
          <w:rFonts w:ascii="Arial" w:hAnsi="Arial" w:cs="Arial"/>
          <w:color w:val="000000" w:themeColor="text1"/>
          <w:sz w:val="20"/>
          <w:szCs w:val="20"/>
        </w:rPr>
        <w:t>, </w:t>
      </w:r>
      <w:r w:rsidRPr="00F87018">
        <w:rPr>
          <w:rFonts w:ascii="Arial" w:hAnsi="Arial" w:cs="Arial"/>
          <w:i/>
          <w:iCs/>
          <w:color w:val="000000" w:themeColor="text1"/>
          <w:sz w:val="20"/>
          <w:szCs w:val="20"/>
        </w:rPr>
        <w:t>4</w:t>
      </w:r>
      <w:r w:rsidRPr="00F87018">
        <w:rPr>
          <w:rFonts w:ascii="Arial" w:hAnsi="Arial" w:cs="Arial"/>
          <w:color w:val="000000" w:themeColor="text1"/>
          <w:sz w:val="20"/>
          <w:szCs w:val="20"/>
        </w:rPr>
        <w:t>(2), e70048.</w:t>
      </w:r>
    </w:p>
    <w:p w14:paraId="2718ECE5" w14:textId="77777777" w:rsidR="00F87018" w:rsidRPr="00F87018" w:rsidRDefault="00F87018" w:rsidP="00F87018">
      <w:pPr>
        <w:spacing w:line="360" w:lineRule="auto"/>
        <w:jc w:val="both"/>
        <w:rPr>
          <w:rFonts w:ascii="Arial" w:hAnsi="Arial" w:cs="Arial"/>
          <w:color w:val="000000" w:themeColor="text1"/>
          <w:sz w:val="20"/>
          <w:szCs w:val="20"/>
        </w:rPr>
      </w:pPr>
      <w:r w:rsidRPr="00F87018">
        <w:rPr>
          <w:rFonts w:ascii="Arial" w:hAnsi="Arial" w:cs="Arial"/>
          <w:color w:val="000000" w:themeColor="text1"/>
          <w:sz w:val="20"/>
          <w:szCs w:val="20"/>
        </w:rPr>
        <w:t xml:space="preserve">Rhinehart, N., He, J., Packer, C., Wright, M. A., McAllister, R., Gonzalez, J. E., &amp; Levine, S. (2021, May). Contingencies from observations: Tractable contingency planning with learned </w:t>
      </w:r>
      <w:proofErr w:type="spellStart"/>
      <w:r w:rsidRPr="00F87018">
        <w:rPr>
          <w:rFonts w:ascii="Arial" w:hAnsi="Arial" w:cs="Arial"/>
          <w:color w:val="000000" w:themeColor="text1"/>
          <w:sz w:val="20"/>
          <w:szCs w:val="20"/>
        </w:rPr>
        <w:t>behavior</w:t>
      </w:r>
      <w:proofErr w:type="spellEnd"/>
      <w:r w:rsidRPr="00F87018">
        <w:rPr>
          <w:rFonts w:ascii="Arial" w:hAnsi="Arial" w:cs="Arial"/>
          <w:color w:val="000000" w:themeColor="text1"/>
          <w:sz w:val="20"/>
          <w:szCs w:val="20"/>
        </w:rPr>
        <w:t xml:space="preserve"> models. In </w:t>
      </w:r>
      <w:r w:rsidRPr="00F87018">
        <w:rPr>
          <w:rFonts w:ascii="Arial" w:hAnsi="Arial" w:cs="Arial"/>
          <w:i/>
          <w:iCs/>
          <w:color w:val="000000" w:themeColor="text1"/>
          <w:sz w:val="20"/>
          <w:szCs w:val="20"/>
        </w:rPr>
        <w:t>2021 IEEE International Conference on Robotics and Automation (ICRA)</w:t>
      </w:r>
      <w:r w:rsidRPr="00F87018">
        <w:rPr>
          <w:rFonts w:ascii="Arial" w:hAnsi="Arial" w:cs="Arial"/>
          <w:color w:val="000000" w:themeColor="text1"/>
          <w:sz w:val="20"/>
          <w:szCs w:val="20"/>
        </w:rPr>
        <w:t> (pp. 13663-13669). IEEE.</w:t>
      </w:r>
    </w:p>
    <w:p w14:paraId="0244E742" w14:textId="77777777" w:rsidR="00F87018" w:rsidRPr="00F87018" w:rsidRDefault="00F87018" w:rsidP="00F87018">
      <w:pPr>
        <w:spacing w:line="360" w:lineRule="auto"/>
        <w:rPr>
          <w:rFonts w:ascii="Arial" w:hAnsi="Arial" w:cs="Arial"/>
          <w:color w:val="000000" w:themeColor="text1"/>
          <w:sz w:val="20"/>
          <w:szCs w:val="20"/>
        </w:rPr>
      </w:pPr>
      <w:r w:rsidRPr="00F87018">
        <w:rPr>
          <w:rFonts w:ascii="Arial" w:hAnsi="Arial" w:cs="Arial"/>
          <w:color w:val="000000" w:themeColor="text1"/>
          <w:sz w:val="20"/>
          <w:szCs w:val="20"/>
        </w:rPr>
        <w:t>Sahoo, S., Singha, C., Govind, A., &amp; Moghimi, A. (2024). Review of Climate-Resilient Agriculture for Ensuring Food Security: Sustainability Opportunities and Challenges of India. </w:t>
      </w:r>
      <w:r w:rsidRPr="00F87018">
        <w:rPr>
          <w:rFonts w:ascii="Arial" w:hAnsi="Arial" w:cs="Arial"/>
          <w:i/>
          <w:iCs/>
          <w:color w:val="000000" w:themeColor="text1"/>
          <w:sz w:val="20"/>
          <w:szCs w:val="20"/>
        </w:rPr>
        <w:t>Environmental and Sustainability Indicators</w:t>
      </w:r>
      <w:r w:rsidRPr="00F87018">
        <w:rPr>
          <w:rFonts w:ascii="Arial" w:hAnsi="Arial" w:cs="Arial"/>
          <w:color w:val="000000" w:themeColor="text1"/>
          <w:sz w:val="20"/>
          <w:szCs w:val="20"/>
        </w:rPr>
        <w:t xml:space="preserve">, 100544. </w:t>
      </w:r>
    </w:p>
    <w:p w14:paraId="28688F31" w14:textId="77777777" w:rsidR="00F87018" w:rsidRPr="00F87018" w:rsidRDefault="00F87018" w:rsidP="00F87018">
      <w:pPr>
        <w:spacing w:line="360" w:lineRule="auto"/>
        <w:rPr>
          <w:rFonts w:ascii="Arial" w:hAnsi="Arial" w:cs="Arial"/>
          <w:color w:val="000000" w:themeColor="text1"/>
          <w:sz w:val="20"/>
          <w:szCs w:val="20"/>
        </w:rPr>
      </w:pPr>
      <w:r w:rsidRPr="00F87018">
        <w:rPr>
          <w:rFonts w:ascii="Arial" w:hAnsi="Arial" w:cs="Arial"/>
          <w:color w:val="000000" w:themeColor="text1"/>
          <w:sz w:val="20"/>
          <w:szCs w:val="20"/>
        </w:rPr>
        <w:t>Sharma, M. R., &amp; Priya, S. (2023). Long-term assessment of precipitation behaviour in Bihar (1901–2021): patterns, trends and observed variability. Curr World Environ 18 (2): 662–673.</w:t>
      </w:r>
    </w:p>
    <w:p w14:paraId="4E4A17D4" w14:textId="77777777" w:rsidR="00F87018" w:rsidRDefault="00F87018" w:rsidP="00F87018">
      <w:pPr>
        <w:spacing w:after="0" w:line="360" w:lineRule="auto"/>
        <w:jc w:val="both"/>
        <w:rPr>
          <w:rFonts w:ascii="Arial" w:hAnsi="Arial" w:cs="Arial"/>
          <w:color w:val="000000" w:themeColor="text1"/>
          <w:sz w:val="20"/>
          <w:szCs w:val="20"/>
        </w:rPr>
      </w:pPr>
      <w:r w:rsidRPr="00F87018">
        <w:rPr>
          <w:rFonts w:ascii="Arial" w:hAnsi="Arial" w:cs="Arial"/>
          <w:color w:val="000000" w:themeColor="text1"/>
          <w:sz w:val="20"/>
          <w:szCs w:val="20"/>
        </w:rPr>
        <w:t>Singh, B. G., Babu, G. R., Kumar, K., Babu, R. G., &amp; Edukondalu, L. (2018). Performance evaluation of different fertigation equipment and hydraulic performance of drip fertigation system. Andhra Agric. J, 65-658.</w:t>
      </w:r>
    </w:p>
    <w:sectPr w:rsidR="00F87018">
      <w:headerReference w:type="even" r:id="rId14"/>
      <w:headerReference w:type="default" r:id="rId15"/>
      <w:head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BF73C" w14:textId="77777777" w:rsidR="001A068D" w:rsidRDefault="001A068D" w:rsidP="009C2600">
      <w:pPr>
        <w:spacing w:after="0" w:line="240" w:lineRule="auto"/>
      </w:pPr>
      <w:r>
        <w:separator/>
      </w:r>
    </w:p>
  </w:endnote>
  <w:endnote w:type="continuationSeparator" w:id="0">
    <w:p w14:paraId="1747D0B5" w14:textId="77777777" w:rsidR="001A068D" w:rsidRDefault="001A068D" w:rsidP="009C2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CC869" w14:textId="77777777" w:rsidR="001A068D" w:rsidRDefault="001A068D" w:rsidP="009C2600">
      <w:pPr>
        <w:spacing w:after="0" w:line="240" w:lineRule="auto"/>
      </w:pPr>
      <w:r>
        <w:separator/>
      </w:r>
    </w:p>
  </w:footnote>
  <w:footnote w:type="continuationSeparator" w:id="0">
    <w:p w14:paraId="7FDB2081" w14:textId="77777777" w:rsidR="001A068D" w:rsidRDefault="001A068D" w:rsidP="009C2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9984" w14:textId="2AA668A6" w:rsidR="009C2600" w:rsidRDefault="00000000">
    <w:pPr>
      <w:pStyle w:val="Header"/>
    </w:pPr>
    <w:r>
      <w:rPr>
        <w:noProof/>
      </w:rPr>
      <w:pict w14:anchorId="425750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87362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6C098" w14:textId="7665291D" w:rsidR="009C2600" w:rsidRDefault="00000000">
    <w:pPr>
      <w:pStyle w:val="Header"/>
    </w:pPr>
    <w:r>
      <w:rPr>
        <w:noProof/>
      </w:rPr>
      <w:pict w14:anchorId="1B430D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87362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C915E" w14:textId="5C6E27EA" w:rsidR="009C2600" w:rsidRDefault="00000000">
    <w:pPr>
      <w:pStyle w:val="Header"/>
    </w:pPr>
    <w:r>
      <w:rPr>
        <w:noProof/>
      </w:rPr>
      <w:pict w14:anchorId="32720D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87362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28C1"/>
    <w:multiLevelType w:val="multilevel"/>
    <w:tmpl w:val="7690E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61741"/>
    <w:multiLevelType w:val="hybridMultilevel"/>
    <w:tmpl w:val="ECCC1700"/>
    <w:lvl w:ilvl="0" w:tplc="AB2AE31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1D12F8"/>
    <w:multiLevelType w:val="multilevel"/>
    <w:tmpl w:val="C9926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C5632B"/>
    <w:multiLevelType w:val="multilevel"/>
    <w:tmpl w:val="7304D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F811F1"/>
    <w:multiLevelType w:val="multilevel"/>
    <w:tmpl w:val="E1006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A7498"/>
    <w:multiLevelType w:val="multilevel"/>
    <w:tmpl w:val="9246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F564EF"/>
    <w:multiLevelType w:val="multilevel"/>
    <w:tmpl w:val="D4348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815613"/>
    <w:multiLevelType w:val="multilevel"/>
    <w:tmpl w:val="BAC8F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A2686C"/>
    <w:multiLevelType w:val="multilevel"/>
    <w:tmpl w:val="802C8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545C3F"/>
    <w:multiLevelType w:val="multilevel"/>
    <w:tmpl w:val="5DDC1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6A1A4A"/>
    <w:multiLevelType w:val="multilevel"/>
    <w:tmpl w:val="6B66A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21B67"/>
    <w:multiLevelType w:val="multilevel"/>
    <w:tmpl w:val="F902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3C6BF8"/>
    <w:multiLevelType w:val="multilevel"/>
    <w:tmpl w:val="D0086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BD2E92"/>
    <w:multiLevelType w:val="multilevel"/>
    <w:tmpl w:val="A142E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0F55A7"/>
    <w:multiLevelType w:val="multilevel"/>
    <w:tmpl w:val="3C585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02854"/>
    <w:multiLevelType w:val="multilevel"/>
    <w:tmpl w:val="BBE8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2383178">
    <w:abstractNumId w:val="6"/>
  </w:num>
  <w:num w:numId="2" w16cid:durableId="1055812028">
    <w:abstractNumId w:val="3"/>
  </w:num>
  <w:num w:numId="3" w16cid:durableId="146867745">
    <w:abstractNumId w:val="0"/>
  </w:num>
  <w:num w:numId="4" w16cid:durableId="272442424">
    <w:abstractNumId w:val="14"/>
  </w:num>
  <w:num w:numId="5" w16cid:durableId="475997362">
    <w:abstractNumId w:val="13"/>
  </w:num>
  <w:num w:numId="6" w16cid:durableId="347678133">
    <w:abstractNumId w:val="7"/>
  </w:num>
  <w:num w:numId="7" w16cid:durableId="1300721102">
    <w:abstractNumId w:val="9"/>
  </w:num>
  <w:num w:numId="8" w16cid:durableId="572392350">
    <w:abstractNumId w:val="5"/>
  </w:num>
  <w:num w:numId="9" w16cid:durableId="1688751843">
    <w:abstractNumId w:val="10"/>
  </w:num>
  <w:num w:numId="10" w16cid:durableId="1595017960">
    <w:abstractNumId w:val="15"/>
  </w:num>
  <w:num w:numId="11" w16cid:durableId="653221816">
    <w:abstractNumId w:val="2"/>
  </w:num>
  <w:num w:numId="12" w16cid:durableId="1290477159">
    <w:abstractNumId w:val="8"/>
  </w:num>
  <w:num w:numId="13" w16cid:durableId="37438391">
    <w:abstractNumId w:val="11"/>
  </w:num>
  <w:num w:numId="14" w16cid:durableId="1911379744">
    <w:abstractNumId w:val="4"/>
  </w:num>
  <w:num w:numId="15" w16cid:durableId="118650827">
    <w:abstractNumId w:val="12"/>
  </w:num>
  <w:num w:numId="16" w16cid:durableId="759058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610"/>
    <w:rsid w:val="00051545"/>
    <w:rsid w:val="00060458"/>
    <w:rsid w:val="00070730"/>
    <w:rsid w:val="000B3FEC"/>
    <w:rsid w:val="000E2983"/>
    <w:rsid w:val="00145AB2"/>
    <w:rsid w:val="0015300D"/>
    <w:rsid w:val="00160F88"/>
    <w:rsid w:val="001A068D"/>
    <w:rsid w:val="001A5F6B"/>
    <w:rsid w:val="002705CD"/>
    <w:rsid w:val="00334A80"/>
    <w:rsid w:val="00372EF2"/>
    <w:rsid w:val="00380E5A"/>
    <w:rsid w:val="003813A7"/>
    <w:rsid w:val="00394BB0"/>
    <w:rsid w:val="004355DA"/>
    <w:rsid w:val="00440F26"/>
    <w:rsid w:val="004A4671"/>
    <w:rsid w:val="005006A4"/>
    <w:rsid w:val="0052160B"/>
    <w:rsid w:val="00556389"/>
    <w:rsid w:val="00576C17"/>
    <w:rsid w:val="00597C4A"/>
    <w:rsid w:val="005E4BBB"/>
    <w:rsid w:val="005E6C39"/>
    <w:rsid w:val="005F01F9"/>
    <w:rsid w:val="005F6090"/>
    <w:rsid w:val="0064591B"/>
    <w:rsid w:val="006F4AAF"/>
    <w:rsid w:val="00774E2A"/>
    <w:rsid w:val="007C2CB9"/>
    <w:rsid w:val="008A0610"/>
    <w:rsid w:val="008A3ED3"/>
    <w:rsid w:val="0093484E"/>
    <w:rsid w:val="00976A1A"/>
    <w:rsid w:val="009A0B59"/>
    <w:rsid w:val="009A7AB3"/>
    <w:rsid w:val="009C2600"/>
    <w:rsid w:val="00A22058"/>
    <w:rsid w:val="00A2795C"/>
    <w:rsid w:val="00A57A63"/>
    <w:rsid w:val="00A63079"/>
    <w:rsid w:val="00AE1104"/>
    <w:rsid w:val="00B8766A"/>
    <w:rsid w:val="00BE52EB"/>
    <w:rsid w:val="00BF6809"/>
    <w:rsid w:val="00C20097"/>
    <w:rsid w:val="00CB012C"/>
    <w:rsid w:val="00CF7821"/>
    <w:rsid w:val="00D51702"/>
    <w:rsid w:val="00DB2802"/>
    <w:rsid w:val="00DD3470"/>
    <w:rsid w:val="00DF750C"/>
    <w:rsid w:val="00E03C89"/>
    <w:rsid w:val="00E149C1"/>
    <w:rsid w:val="00E51A39"/>
    <w:rsid w:val="00E56EA9"/>
    <w:rsid w:val="00E6111C"/>
    <w:rsid w:val="00F87018"/>
    <w:rsid w:val="00F92E4C"/>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70114"/>
  <w15:chartTrackingRefBased/>
  <w15:docId w15:val="{BF4E9AFA-3018-4337-A2E1-BC5967DDC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6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06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06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06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06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06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06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06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06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6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06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06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06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06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06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06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06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0610"/>
    <w:rPr>
      <w:rFonts w:eastAsiaTheme="majorEastAsia" w:cstheme="majorBidi"/>
      <w:color w:val="272727" w:themeColor="text1" w:themeTint="D8"/>
    </w:rPr>
  </w:style>
  <w:style w:type="paragraph" w:styleId="Title">
    <w:name w:val="Title"/>
    <w:basedOn w:val="Normal"/>
    <w:next w:val="Normal"/>
    <w:link w:val="TitleChar"/>
    <w:uiPriority w:val="10"/>
    <w:qFormat/>
    <w:rsid w:val="008A06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6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06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06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0610"/>
    <w:pPr>
      <w:spacing w:before="160"/>
      <w:jc w:val="center"/>
    </w:pPr>
    <w:rPr>
      <w:i/>
      <w:iCs/>
      <w:color w:val="404040" w:themeColor="text1" w:themeTint="BF"/>
    </w:rPr>
  </w:style>
  <w:style w:type="character" w:customStyle="1" w:styleId="QuoteChar">
    <w:name w:val="Quote Char"/>
    <w:basedOn w:val="DefaultParagraphFont"/>
    <w:link w:val="Quote"/>
    <w:uiPriority w:val="29"/>
    <w:rsid w:val="008A0610"/>
    <w:rPr>
      <w:i/>
      <w:iCs/>
      <w:color w:val="404040" w:themeColor="text1" w:themeTint="BF"/>
    </w:rPr>
  </w:style>
  <w:style w:type="paragraph" w:styleId="ListParagraph">
    <w:name w:val="List Paragraph"/>
    <w:basedOn w:val="Normal"/>
    <w:uiPriority w:val="34"/>
    <w:qFormat/>
    <w:rsid w:val="008A0610"/>
    <w:pPr>
      <w:ind w:left="720"/>
      <w:contextualSpacing/>
    </w:pPr>
  </w:style>
  <w:style w:type="character" w:styleId="IntenseEmphasis">
    <w:name w:val="Intense Emphasis"/>
    <w:basedOn w:val="DefaultParagraphFont"/>
    <w:uiPriority w:val="21"/>
    <w:qFormat/>
    <w:rsid w:val="008A0610"/>
    <w:rPr>
      <w:i/>
      <w:iCs/>
      <w:color w:val="2F5496" w:themeColor="accent1" w:themeShade="BF"/>
    </w:rPr>
  </w:style>
  <w:style w:type="paragraph" w:styleId="IntenseQuote">
    <w:name w:val="Intense Quote"/>
    <w:basedOn w:val="Normal"/>
    <w:next w:val="Normal"/>
    <w:link w:val="IntenseQuoteChar"/>
    <w:uiPriority w:val="30"/>
    <w:qFormat/>
    <w:rsid w:val="008A06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0610"/>
    <w:rPr>
      <w:i/>
      <w:iCs/>
      <w:color w:val="2F5496" w:themeColor="accent1" w:themeShade="BF"/>
    </w:rPr>
  </w:style>
  <w:style w:type="character" w:styleId="IntenseReference">
    <w:name w:val="Intense Reference"/>
    <w:basedOn w:val="DefaultParagraphFont"/>
    <w:uiPriority w:val="32"/>
    <w:qFormat/>
    <w:rsid w:val="008A0610"/>
    <w:rPr>
      <w:b/>
      <w:bCs/>
      <w:smallCaps/>
      <w:color w:val="2F5496" w:themeColor="accent1" w:themeShade="BF"/>
      <w:spacing w:val="5"/>
    </w:rPr>
  </w:style>
  <w:style w:type="table" w:styleId="TableGrid">
    <w:name w:val="Table Grid"/>
    <w:basedOn w:val="TableNormal"/>
    <w:uiPriority w:val="59"/>
    <w:rsid w:val="00DB2802"/>
    <w:pPr>
      <w:spacing w:after="0" w:line="240" w:lineRule="auto"/>
      <w:ind w:firstLine="1418"/>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7C4A"/>
    <w:rPr>
      <w:color w:val="0563C1" w:themeColor="hyperlink"/>
      <w:u w:val="single"/>
    </w:rPr>
  </w:style>
  <w:style w:type="character" w:styleId="UnresolvedMention">
    <w:name w:val="Unresolved Mention"/>
    <w:basedOn w:val="DefaultParagraphFont"/>
    <w:uiPriority w:val="99"/>
    <w:semiHidden/>
    <w:unhideWhenUsed/>
    <w:rsid w:val="00597C4A"/>
    <w:rPr>
      <w:color w:val="605E5C"/>
      <w:shd w:val="clear" w:color="auto" w:fill="E1DFDD"/>
    </w:rPr>
  </w:style>
  <w:style w:type="paragraph" w:styleId="Header">
    <w:name w:val="header"/>
    <w:basedOn w:val="Normal"/>
    <w:link w:val="HeaderChar"/>
    <w:uiPriority w:val="99"/>
    <w:unhideWhenUsed/>
    <w:rsid w:val="009C26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600"/>
  </w:style>
  <w:style w:type="paragraph" w:styleId="Footer">
    <w:name w:val="footer"/>
    <w:basedOn w:val="Normal"/>
    <w:link w:val="FooterChar"/>
    <w:uiPriority w:val="99"/>
    <w:unhideWhenUsed/>
    <w:rsid w:val="009C26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975">
      <w:bodyDiv w:val="1"/>
      <w:marLeft w:val="0"/>
      <w:marRight w:val="0"/>
      <w:marTop w:val="0"/>
      <w:marBottom w:val="0"/>
      <w:divBdr>
        <w:top w:val="none" w:sz="0" w:space="0" w:color="auto"/>
        <w:left w:val="none" w:sz="0" w:space="0" w:color="auto"/>
        <w:bottom w:val="none" w:sz="0" w:space="0" w:color="auto"/>
        <w:right w:val="none" w:sz="0" w:space="0" w:color="auto"/>
      </w:divBdr>
    </w:div>
    <w:div w:id="118959633">
      <w:bodyDiv w:val="1"/>
      <w:marLeft w:val="0"/>
      <w:marRight w:val="0"/>
      <w:marTop w:val="0"/>
      <w:marBottom w:val="0"/>
      <w:divBdr>
        <w:top w:val="none" w:sz="0" w:space="0" w:color="auto"/>
        <w:left w:val="none" w:sz="0" w:space="0" w:color="auto"/>
        <w:bottom w:val="none" w:sz="0" w:space="0" w:color="auto"/>
        <w:right w:val="none" w:sz="0" w:space="0" w:color="auto"/>
      </w:divBdr>
    </w:div>
    <w:div w:id="331643037">
      <w:bodyDiv w:val="1"/>
      <w:marLeft w:val="0"/>
      <w:marRight w:val="0"/>
      <w:marTop w:val="0"/>
      <w:marBottom w:val="0"/>
      <w:divBdr>
        <w:top w:val="none" w:sz="0" w:space="0" w:color="auto"/>
        <w:left w:val="none" w:sz="0" w:space="0" w:color="auto"/>
        <w:bottom w:val="none" w:sz="0" w:space="0" w:color="auto"/>
        <w:right w:val="none" w:sz="0" w:space="0" w:color="auto"/>
      </w:divBdr>
    </w:div>
    <w:div w:id="365372392">
      <w:bodyDiv w:val="1"/>
      <w:marLeft w:val="0"/>
      <w:marRight w:val="0"/>
      <w:marTop w:val="0"/>
      <w:marBottom w:val="0"/>
      <w:divBdr>
        <w:top w:val="none" w:sz="0" w:space="0" w:color="auto"/>
        <w:left w:val="none" w:sz="0" w:space="0" w:color="auto"/>
        <w:bottom w:val="none" w:sz="0" w:space="0" w:color="auto"/>
        <w:right w:val="none" w:sz="0" w:space="0" w:color="auto"/>
      </w:divBdr>
    </w:div>
    <w:div w:id="576331932">
      <w:bodyDiv w:val="1"/>
      <w:marLeft w:val="0"/>
      <w:marRight w:val="0"/>
      <w:marTop w:val="0"/>
      <w:marBottom w:val="0"/>
      <w:divBdr>
        <w:top w:val="none" w:sz="0" w:space="0" w:color="auto"/>
        <w:left w:val="none" w:sz="0" w:space="0" w:color="auto"/>
        <w:bottom w:val="none" w:sz="0" w:space="0" w:color="auto"/>
        <w:right w:val="none" w:sz="0" w:space="0" w:color="auto"/>
      </w:divBdr>
      <w:divsChild>
        <w:div w:id="1641616773">
          <w:marLeft w:val="0"/>
          <w:marRight w:val="0"/>
          <w:marTop w:val="0"/>
          <w:marBottom w:val="0"/>
          <w:divBdr>
            <w:top w:val="none" w:sz="0" w:space="0" w:color="auto"/>
            <w:left w:val="none" w:sz="0" w:space="0" w:color="auto"/>
            <w:bottom w:val="none" w:sz="0" w:space="0" w:color="auto"/>
            <w:right w:val="none" w:sz="0" w:space="0" w:color="auto"/>
          </w:divBdr>
        </w:div>
      </w:divsChild>
    </w:div>
    <w:div w:id="1201942338">
      <w:bodyDiv w:val="1"/>
      <w:marLeft w:val="0"/>
      <w:marRight w:val="0"/>
      <w:marTop w:val="0"/>
      <w:marBottom w:val="0"/>
      <w:divBdr>
        <w:top w:val="none" w:sz="0" w:space="0" w:color="auto"/>
        <w:left w:val="none" w:sz="0" w:space="0" w:color="auto"/>
        <w:bottom w:val="none" w:sz="0" w:space="0" w:color="auto"/>
        <w:right w:val="none" w:sz="0" w:space="0" w:color="auto"/>
      </w:divBdr>
    </w:div>
    <w:div w:id="1463815390">
      <w:bodyDiv w:val="1"/>
      <w:marLeft w:val="0"/>
      <w:marRight w:val="0"/>
      <w:marTop w:val="0"/>
      <w:marBottom w:val="0"/>
      <w:divBdr>
        <w:top w:val="none" w:sz="0" w:space="0" w:color="auto"/>
        <w:left w:val="none" w:sz="0" w:space="0" w:color="auto"/>
        <w:bottom w:val="none" w:sz="0" w:space="0" w:color="auto"/>
        <w:right w:val="none" w:sz="0" w:space="0" w:color="auto"/>
      </w:divBdr>
      <w:divsChild>
        <w:div w:id="680666472">
          <w:marLeft w:val="0"/>
          <w:marRight w:val="0"/>
          <w:marTop w:val="0"/>
          <w:marBottom w:val="0"/>
          <w:divBdr>
            <w:top w:val="none" w:sz="0" w:space="0" w:color="auto"/>
            <w:left w:val="none" w:sz="0" w:space="0" w:color="auto"/>
            <w:bottom w:val="none" w:sz="0" w:space="0" w:color="auto"/>
            <w:right w:val="none" w:sz="0" w:space="0" w:color="auto"/>
          </w:divBdr>
        </w:div>
      </w:divsChild>
    </w:div>
    <w:div w:id="1471904767">
      <w:bodyDiv w:val="1"/>
      <w:marLeft w:val="0"/>
      <w:marRight w:val="0"/>
      <w:marTop w:val="0"/>
      <w:marBottom w:val="0"/>
      <w:divBdr>
        <w:top w:val="none" w:sz="0" w:space="0" w:color="auto"/>
        <w:left w:val="none" w:sz="0" w:space="0" w:color="auto"/>
        <w:bottom w:val="none" w:sz="0" w:space="0" w:color="auto"/>
        <w:right w:val="none" w:sz="0" w:space="0" w:color="auto"/>
      </w:divBdr>
    </w:div>
    <w:div w:id="1543516479">
      <w:bodyDiv w:val="1"/>
      <w:marLeft w:val="0"/>
      <w:marRight w:val="0"/>
      <w:marTop w:val="0"/>
      <w:marBottom w:val="0"/>
      <w:divBdr>
        <w:top w:val="none" w:sz="0" w:space="0" w:color="auto"/>
        <w:left w:val="none" w:sz="0" w:space="0" w:color="auto"/>
        <w:bottom w:val="none" w:sz="0" w:space="0" w:color="auto"/>
        <w:right w:val="none" w:sz="0" w:space="0" w:color="auto"/>
      </w:divBdr>
    </w:div>
    <w:div w:id="157843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TotalTime>
  <Pages>12</Pages>
  <Words>3842</Words>
  <Characters>21904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Budithi Gowtham Singh</dc:creator>
  <cp:keywords/>
  <dc:description/>
  <cp:lastModifiedBy>Budithi Gowtham Singh</cp:lastModifiedBy>
  <cp:revision>27</cp:revision>
  <cp:lastPrinted>2025-05-05T06:25:00Z</cp:lastPrinted>
  <dcterms:created xsi:type="dcterms:W3CDTF">2025-05-04T17:37:00Z</dcterms:created>
  <dcterms:modified xsi:type="dcterms:W3CDTF">2025-05-09T10:12:00Z</dcterms:modified>
</cp:coreProperties>
</file>