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710F1" w14:textId="0D4AF30B" w:rsidR="005F5148" w:rsidRDefault="005F5148" w:rsidP="005F5148">
      <w:pPr>
        <w:rPr>
          <w:b/>
          <w:bCs/>
        </w:rPr>
      </w:pPr>
      <w:bookmarkStart w:id="0" w:name="_Hlk197031529"/>
      <w:bookmarkEnd w:id="0"/>
      <w:r w:rsidRPr="00F30550">
        <w:rPr>
          <w:b/>
          <w:bCs/>
        </w:rPr>
        <w:t xml:space="preserve">Trends in Area, Production, and Productivity of Soybean Crop in </w:t>
      </w:r>
      <w:proofErr w:type="spellStart"/>
      <w:r w:rsidRPr="00F30550">
        <w:rPr>
          <w:b/>
          <w:bCs/>
        </w:rPr>
        <w:t>Sagar</w:t>
      </w:r>
      <w:proofErr w:type="spellEnd"/>
      <w:r w:rsidRPr="00F30550">
        <w:rPr>
          <w:b/>
          <w:bCs/>
        </w:rPr>
        <w:t xml:space="preserve"> District, Madhya Pradesh</w:t>
      </w:r>
      <w:r w:rsidR="00773567">
        <w:rPr>
          <w:b/>
          <w:bCs/>
        </w:rPr>
        <w:t>, India</w:t>
      </w:r>
      <w:bookmarkStart w:id="1" w:name="_GoBack"/>
      <w:bookmarkEnd w:id="1"/>
      <w:r w:rsidRPr="00F30550">
        <w:rPr>
          <w:b/>
          <w:bCs/>
        </w:rPr>
        <w:t>: A Comprehensive Analysis</w:t>
      </w:r>
    </w:p>
    <w:p w14:paraId="00C6F3C2" w14:textId="77777777" w:rsidR="005F5148" w:rsidRPr="00F30550" w:rsidRDefault="005F5148" w:rsidP="005F5148">
      <w:r>
        <w:rPr>
          <w:b/>
          <w:bCs/>
        </w:rPr>
        <w:t xml:space="preserve">                                                            </w:t>
      </w:r>
      <w:r w:rsidRPr="00F30550">
        <w:rPr>
          <w:b/>
          <w:bCs/>
        </w:rPr>
        <w:t>Abstract</w:t>
      </w:r>
    </w:p>
    <w:p w14:paraId="6B820EE6" w14:textId="77777777" w:rsidR="005F5148" w:rsidRPr="005B35FD" w:rsidRDefault="005F5148" w:rsidP="005F5148">
      <w:pPr>
        <w:jc w:val="both"/>
        <w:rPr>
          <w:sz w:val="22"/>
          <w:szCs w:val="22"/>
        </w:rPr>
      </w:pPr>
      <w:r w:rsidRPr="005B35FD">
        <w:rPr>
          <w:sz w:val="22"/>
          <w:szCs w:val="22"/>
        </w:rPr>
        <w:t>Agriculture remains a cornerstone of India's economy, with oilseeds such as soybean playing a crucial role in sustaining livelihoods and contributing to the country's agricultural output. This research paper investigates the trends in area, production, and productivity of the soybean crop in Sagar District, Madhya Pradesh, over a period from 2012 to 2024. The study explores the dynamics of soybean cultivation, focusing on key factors such as climatic conditions, agricultural practices, government policies, and market influences. Using various statistical tools like simple and compound growth rates, coefficient of variation, and linear trends, the study highlights a steady increase in the area under soybean cultivation, accompanied by fluctuations in production and productivity due to weather conditions and other external factors. Despite these fluctuations, the findings suggest a positive long-term trend in soybean farming in the region. The paper provides valuable insights into the growth patterns of soybean cultivation, offering recommendations for improving productivity and sustainability. These recommendations aim to help policymakers, farmers, and agricultural stakeholders navigate the challenges and leverage opportunities for enhancing soybean farming in Sagar District, ultimately contributing to the economic prosperity of Madhya Pradesh.</w:t>
      </w:r>
    </w:p>
    <w:p w14:paraId="77827AF3" w14:textId="77777777" w:rsidR="005F5148" w:rsidRPr="005B35FD" w:rsidRDefault="005F5148" w:rsidP="005F5148">
      <w:pPr>
        <w:jc w:val="both"/>
        <w:rPr>
          <w:sz w:val="22"/>
          <w:szCs w:val="22"/>
        </w:rPr>
      </w:pPr>
      <w:r>
        <w:t xml:space="preserve">       </w:t>
      </w:r>
      <w:r>
        <w:rPr>
          <w:rFonts w:ascii="Times New Roman" w:hAnsi="Times New Roman" w:cs="Times New Roman"/>
          <w:b/>
          <w:bCs/>
        </w:rPr>
        <w:t xml:space="preserve">Keywords- </w:t>
      </w:r>
      <w:r w:rsidRPr="005B35FD">
        <w:rPr>
          <w:sz w:val="22"/>
          <w:szCs w:val="22"/>
        </w:rPr>
        <w:t>Cultivation, Area, production, productivity, Agricultural trends.</w:t>
      </w:r>
    </w:p>
    <w:p w14:paraId="63B3A925" w14:textId="77777777" w:rsidR="005F5148" w:rsidRPr="00C35372" w:rsidRDefault="005F5148" w:rsidP="005F5148">
      <w:pPr>
        <w:rPr>
          <w:b/>
          <w:bCs/>
        </w:rPr>
      </w:pPr>
      <w:r w:rsidRPr="00675898">
        <w:rPr>
          <w:b/>
          <w:bCs/>
        </w:rPr>
        <w:t>Introduction</w:t>
      </w:r>
      <w:r>
        <w:rPr>
          <w:b/>
          <w:bCs/>
        </w:rPr>
        <w:t xml:space="preserve"> </w:t>
      </w:r>
    </w:p>
    <w:p w14:paraId="7E6CEDCB" w14:textId="2D3FA7B1" w:rsidR="005F5148" w:rsidRPr="00792C12" w:rsidRDefault="005F5148" w:rsidP="005F5148">
      <w:pPr>
        <w:jc w:val="both"/>
        <w:rPr>
          <w:sz w:val="22"/>
          <w:szCs w:val="22"/>
        </w:rPr>
      </w:pPr>
      <w:r w:rsidRPr="00792C12">
        <w:rPr>
          <w:sz w:val="22"/>
          <w:szCs w:val="22"/>
        </w:rPr>
        <w:t xml:space="preserve">Agriculture remains a cornerstone of India's economy, providing employment to nearly half of the country's workforce and contributing significantly to its GDP (Government of India, 2023). In states like Madhya Pradesh, often referred to as the “Soy State” of India, a substantial proportion of the population relies on agriculture for their livelihood. Among the wide array of agricultural commodities cultivated in the region, soybean has emerged as one of the most important crops, particularly in districts like </w:t>
      </w:r>
      <w:proofErr w:type="spellStart"/>
      <w:r w:rsidR="003227F2" w:rsidRPr="00792C12">
        <w:rPr>
          <w:sz w:val="22"/>
          <w:szCs w:val="22"/>
        </w:rPr>
        <w:t>Sagar</w:t>
      </w:r>
      <w:proofErr w:type="spellEnd"/>
      <w:r w:rsidR="003227F2">
        <w:rPr>
          <w:sz w:val="22"/>
          <w:szCs w:val="22"/>
        </w:rPr>
        <w:t xml:space="preserve"> </w:t>
      </w:r>
      <w:r w:rsidR="003227F2" w:rsidRPr="00766816">
        <w:rPr>
          <w:sz w:val="22"/>
          <w:szCs w:val="22"/>
        </w:rPr>
        <w:t>(Agarwal et al., 2013)</w:t>
      </w:r>
      <w:r w:rsidR="003227F2" w:rsidRPr="00792C12">
        <w:rPr>
          <w:sz w:val="22"/>
          <w:szCs w:val="22"/>
        </w:rPr>
        <w:t xml:space="preserve">. </w:t>
      </w:r>
      <w:r w:rsidRPr="00792C12">
        <w:rPr>
          <w:sz w:val="22"/>
          <w:szCs w:val="22"/>
        </w:rPr>
        <w:t>. As a leading oilseed crop, soybean holds immense agronomic and economic value due to its multifaceted uses—as a source of edible oil, protein-rich animal feed, and nutritional food products. Its role in both domestic consumption and export markets underscores its growing strategic importance (ICAR-IISR, 2022; Ministry of Agriculture and Farmers Welfare, 2023).</w:t>
      </w:r>
    </w:p>
    <w:p w14:paraId="33EB8087" w14:textId="77777777" w:rsidR="005F5148" w:rsidRPr="00792C12" w:rsidRDefault="005F5148" w:rsidP="005F5148">
      <w:pPr>
        <w:jc w:val="both"/>
        <w:rPr>
          <w:sz w:val="22"/>
          <w:szCs w:val="22"/>
        </w:rPr>
      </w:pPr>
      <w:r w:rsidRPr="00792C12">
        <w:rPr>
          <w:sz w:val="22"/>
          <w:szCs w:val="22"/>
        </w:rPr>
        <w:t xml:space="preserve">Over the past few decades, the cultivation of soybean in Madhya Pradesh has witnessed rapid expansion, attributed to </w:t>
      </w:r>
      <w:proofErr w:type="spellStart"/>
      <w:r w:rsidRPr="00792C12">
        <w:rPr>
          <w:sz w:val="22"/>
          <w:szCs w:val="22"/>
        </w:rPr>
        <w:t>favorable</w:t>
      </w:r>
      <w:proofErr w:type="spellEnd"/>
      <w:r w:rsidRPr="00792C12">
        <w:rPr>
          <w:sz w:val="22"/>
          <w:szCs w:val="22"/>
        </w:rPr>
        <w:t xml:space="preserve"> agro-climatic conditions, improved seed varieties, and evolving farming practices. Sagar District, situated in the central part of the state, exemplifies this growth trajectory. The region’s black cotton soil and monsoon-dependent rainfall patterns make it particularly suitable for soybean cultivation. Consequently, the trends in area under cultivation, production levels, and productivity rates have seen notable shifts influenced by various factors including technological advancements, policy interventions, changing climatic conditions, and global demand for oilseeds (Sharma et al., 2021; Ramesh &amp; Singh, 2020).</w:t>
      </w:r>
    </w:p>
    <w:p w14:paraId="6CAE9794" w14:textId="77777777" w:rsidR="005F5148" w:rsidRPr="00792C12" w:rsidRDefault="005F5148" w:rsidP="005F5148">
      <w:pPr>
        <w:jc w:val="both"/>
        <w:rPr>
          <w:sz w:val="22"/>
          <w:szCs w:val="22"/>
        </w:rPr>
      </w:pPr>
      <w:r w:rsidRPr="00792C12">
        <w:rPr>
          <w:sz w:val="22"/>
          <w:szCs w:val="22"/>
        </w:rPr>
        <w:t xml:space="preserve">Understanding these trends is vital for evaluating the long-term viability of soybean farming in Sagar District. It also aids in identifying key challenges faced by cultivators, such as yield stagnation, pest infestations, and post-harvest losses, which can hinder growth despite rising demand. </w:t>
      </w:r>
      <w:proofErr w:type="spellStart"/>
      <w:r w:rsidRPr="00792C12">
        <w:rPr>
          <w:sz w:val="22"/>
          <w:szCs w:val="22"/>
        </w:rPr>
        <w:t>Analyzing</w:t>
      </w:r>
      <w:proofErr w:type="spellEnd"/>
      <w:r w:rsidRPr="00792C12">
        <w:rPr>
          <w:sz w:val="22"/>
          <w:szCs w:val="22"/>
        </w:rPr>
        <w:t xml:space="preserve"> these </w:t>
      </w:r>
      <w:r w:rsidRPr="00792C12">
        <w:rPr>
          <w:sz w:val="22"/>
          <w:szCs w:val="22"/>
        </w:rPr>
        <w:lastRenderedPageBreak/>
        <w:t>factors offers valuable insights that can inform policy decisions, extension strategies, and investment planning aimed at enhancing agricultural sustainability and farmer welfare.</w:t>
      </w:r>
    </w:p>
    <w:p w14:paraId="00F9EF1F" w14:textId="77777777" w:rsidR="005F5148" w:rsidRPr="00792C12" w:rsidRDefault="005F5148" w:rsidP="005F5148">
      <w:pPr>
        <w:jc w:val="both"/>
        <w:rPr>
          <w:sz w:val="22"/>
          <w:szCs w:val="22"/>
        </w:rPr>
      </w:pPr>
      <w:r w:rsidRPr="00792C12">
        <w:rPr>
          <w:sz w:val="22"/>
          <w:szCs w:val="22"/>
        </w:rPr>
        <w:t>This research paper aims to examine the temporal trends in area, production, and productivity of soybean in Sagar District, Madhya Pradesh. Through a systematic analysis of available data and literature, the study seeks to uncover patterns and determinants that influence soybean cultivation in the region. The findings are expected to contribute to evidence-based policy recommendations and support strategic initiatives that can drive the sustainable growth of soybean farming, ultimately benefiting local farming communities and strengthening the broader agricultural economy.</w:t>
      </w:r>
    </w:p>
    <w:p w14:paraId="0F573089" w14:textId="77777777" w:rsidR="005F5148" w:rsidRPr="00675898" w:rsidRDefault="005F5148" w:rsidP="005F5148">
      <w:pPr>
        <w:jc w:val="both"/>
      </w:pPr>
    </w:p>
    <w:p w14:paraId="1EEDBB0F" w14:textId="77777777" w:rsidR="005F5148" w:rsidRPr="005B35FD" w:rsidRDefault="005F5148" w:rsidP="005F5148">
      <w:pPr>
        <w:spacing w:line="276" w:lineRule="auto"/>
        <w:jc w:val="both"/>
        <w:rPr>
          <w:rFonts w:ascii="Times New Roman" w:hAnsi="Times New Roman" w:cs="Times New Roman"/>
          <w:b/>
        </w:rPr>
      </w:pPr>
      <w:r w:rsidRPr="005B35FD">
        <w:rPr>
          <w:rFonts w:ascii="Times New Roman" w:hAnsi="Times New Roman" w:cs="Times New Roman"/>
          <w:b/>
        </w:rPr>
        <w:t xml:space="preserve">1.1 Research Objective </w:t>
      </w:r>
    </w:p>
    <w:p w14:paraId="212DF1C6" w14:textId="77777777" w:rsidR="005F5148" w:rsidRPr="005B35FD" w:rsidRDefault="005F5148" w:rsidP="005F5148">
      <w:pPr>
        <w:pStyle w:val="ListParagraph"/>
        <w:numPr>
          <w:ilvl w:val="0"/>
          <w:numId w:val="1"/>
        </w:numPr>
        <w:tabs>
          <w:tab w:val="left" w:pos="10740"/>
        </w:tabs>
        <w:spacing w:line="360" w:lineRule="auto"/>
        <w:jc w:val="both"/>
        <w:rPr>
          <w:rFonts w:ascii="Times New Roman" w:hAnsi="Times New Roman" w:cs="Times New Roman"/>
          <w:sz w:val="22"/>
          <w:szCs w:val="22"/>
        </w:rPr>
      </w:pPr>
      <w:r w:rsidRPr="005B35FD">
        <w:rPr>
          <w:rFonts w:ascii="Times New Roman" w:hAnsi="Times New Roman" w:cs="Times New Roman"/>
          <w:sz w:val="22"/>
          <w:szCs w:val="22"/>
        </w:rPr>
        <w:t>To analyse area of production, productivity and production growth of Soybean crop in study area.</w:t>
      </w:r>
    </w:p>
    <w:p w14:paraId="7AA1076A" w14:textId="77777777" w:rsidR="005F5148" w:rsidRPr="00692A5E" w:rsidRDefault="005F5148" w:rsidP="005F5148">
      <w:pPr>
        <w:tabs>
          <w:tab w:val="left" w:pos="10740"/>
        </w:tabs>
        <w:spacing w:line="360" w:lineRule="auto"/>
        <w:ind w:left="360"/>
        <w:jc w:val="both"/>
        <w:rPr>
          <w:rFonts w:ascii="Times New Roman" w:hAnsi="Times New Roman" w:cs="Times New Roman"/>
          <w:b/>
          <w:bCs/>
        </w:rPr>
      </w:pPr>
      <w:r w:rsidRPr="00692A5E">
        <w:rPr>
          <w:rFonts w:ascii="Times New Roman" w:hAnsi="Times New Roman" w:cs="Times New Roman"/>
          <w:b/>
          <w:bCs/>
        </w:rPr>
        <w:t>2. RESEARCH METHODOLOGY</w:t>
      </w:r>
    </w:p>
    <w:p w14:paraId="0EA664D6" w14:textId="77777777" w:rsidR="005F5148" w:rsidRPr="00692A5E" w:rsidRDefault="005F5148" w:rsidP="005F5148">
      <w:pPr>
        <w:tabs>
          <w:tab w:val="left" w:pos="10740"/>
        </w:tabs>
        <w:spacing w:line="360" w:lineRule="auto"/>
        <w:ind w:left="360"/>
        <w:jc w:val="both"/>
        <w:rPr>
          <w:rFonts w:ascii="Times New Roman" w:hAnsi="Times New Roman" w:cs="Times New Roman"/>
          <w:b/>
          <w:bCs/>
        </w:rPr>
      </w:pPr>
      <w:r w:rsidRPr="00692A5E">
        <w:rPr>
          <w:rFonts w:ascii="Times New Roman" w:hAnsi="Times New Roman" w:cs="Times New Roman"/>
          <w:b/>
          <w:bCs/>
        </w:rPr>
        <w:t>2.1 Sampling Design</w:t>
      </w:r>
    </w:p>
    <w:p w14:paraId="2077103B" w14:textId="77777777" w:rsidR="005F5148" w:rsidRPr="00DA391F" w:rsidRDefault="005F5148" w:rsidP="005F5148">
      <w:pPr>
        <w:tabs>
          <w:tab w:val="left" w:pos="10740"/>
        </w:tabs>
        <w:spacing w:line="276" w:lineRule="auto"/>
        <w:ind w:left="360"/>
        <w:jc w:val="both"/>
        <w:rPr>
          <w:rFonts w:ascii="Times New Roman" w:hAnsi="Times New Roman" w:cs="Times New Roman"/>
        </w:rPr>
      </w:pPr>
      <w:r w:rsidRPr="005B35FD">
        <w:rPr>
          <w:rFonts w:ascii="Times New Roman" w:hAnsi="Times New Roman" w:cs="Times New Roman"/>
          <w:sz w:val="22"/>
          <w:szCs w:val="22"/>
        </w:rPr>
        <w:t>Samples were selected by using a multi-stage sampling technique for the selection of districts, blocks, villages, (respondents) and soybean growers</w:t>
      </w:r>
      <w:r w:rsidRPr="00DA391F">
        <w:rPr>
          <w:rFonts w:ascii="Times New Roman" w:hAnsi="Times New Roman" w:cs="Times New Roman"/>
        </w:rPr>
        <w:t>.</w:t>
      </w:r>
    </w:p>
    <w:p w14:paraId="12B65A8A" w14:textId="77777777" w:rsidR="005F5148" w:rsidRDefault="005F5148" w:rsidP="005F5148">
      <w:pPr>
        <w:tabs>
          <w:tab w:val="left" w:pos="10740"/>
        </w:tabs>
        <w:spacing w:line="360" w:lineRule="auto"/>
        <w:jc w:val="both"/>
        <w:rPr>
          <w:rFonts w:ascii="Times New Roman" w:hAnsi="Times New Roman" w:cs="Times New Roman"/>
          <w:b/>
          <w:bCs/>
        </w:rPr>
      </w:pPr>
      <w:r w:rsidRPr="00DA391F">
        <w:rPr>
          <w:rFonts w:ascii="Times New Roman" w:hAnsi="Times New Roman" w:cs="Times New Roman"/>
          <w:b/>
          <w:bCs/>
        </w:rPr>
        <w:t>2.2 Selection of the Study Area</w:t>
      </w:r>
    </w:p>
    <w:p w14:paraId="78BC0EF6" w14:textId="77777777" w:rsidR="005F5148" w:rsidRPr="001F13EA" w:rsidRDefault="005F5148" w:rsidP="005F5148">
      <w:pPr>
        <w:tabs>
          <w:tab w:val="left" w:pos="10740"/>
        </w:tabs>
        <w:spacing w:line="360" w:lineRule="auto"/>
        <w:jc w:val="both"/>
        <w:rPr>
          <w:rFonts w:ascii="Times New Roman" w:hAnsi="Times New Roman" w:cs="Times New Roman"/>
        </w:rPr>
      </w:pPr>
      <w:r w:rsidRPr="00E1489F">
        <w:rPr>
          <w:rFonts w:ascii="Times New Roman" w:hAnsi="Times New Roman" w:cs="Times New Roman"/>
          <w:sz w:val="22"/>
          <w:szCs w:val="22"/>
        </w:rPr>
        <w:t xml:space="preserve">Madhya Pradesh, located in central India, is a leading agricultural state known for its substantial contribution to the nation’s oilseed production, especially soybean. For this study, Sagar district was deliberately selected due to its high density of oilseed farmers and its economic importance in the region. Out of the district’s eleven administrative blocks, </w:t>
      </w:r>
      <w:proofErr w:type="spellStart"/>
      <w:r w:rsidRPr="00E1489F">
        <w:rPr>
          <w:rFonts w:ascii="Times New Roman" w:hAnsi="Times New Roman" w:cs="Times New Roman"/>
          <w:sz w:val="22"/>
          <w:szCs w:val="22"/>
        </w:rPr>
        <w:t>Khimlasa</w:t>
      </w:r>
      <w:proofErr w:type="spellEnd"/>
      <w:r w:rsidRPr="00E1489F">
        <w:rPr>
          <w:rFonts w:ascii="Times New Roman" w:hAnsi="Times New Roman" w:cs="Times New Roman"/>
          <w:sz w:val="22"/>
          <w:szCs w:val="22"/>
        </w:rPr>
        <w:t xml:space="preserve"> and </w:t>
      </w:r>
      <w:proofErr w:type="spellStart"/>
      <w:r w:rsidRPr="00E1489F">
        <w:rPr>
          <w:rFonts w:ascii="Times New Roman" w:hAnsi="Times New Roman" w:cs="Times New Roman"/>
          <w:sz w:val="22"/>
          <w:szCs w:val="22"/>
        </w:rPr>
        <w:t>Khurai</w:t>
      </w:r>
      <w:proofErr w:type="spellEnd"/>
      <w:r w:rsidRPr="00E1489F">
        <w:rPr>
          <w:rFonts w:ascii="Times New Roman" w:hAnsi="Times New Roman" w:cs="Times New Roman"/>
          <w:sz w:val="22"/>
          <w:szCs w:val="22"/>
        </w:rPr>
        <w:t xml:space="preserve"> were chosen based on their balanced distribution of soybean producers across various farm sizes. From these two blocks, a total of ten villages—</w:t>
      </w:r>
      <w:proofErr w:type="spellStart"/>
      <w:r w:rsidRPr="00E1489F">
        <w:rPr>
          <w:rFonts w:ascii="Times New Roman" w:hAnsi="Times New Roman" w:cs="Times New Roman"/>
          <w:sz w:val="22"/>
          <w:szCs w:val="22"/>
        </w:rPr>
        <w:t>Dhanora</w:t>
      </w:r>
      <w:proofErr w:type="spellEnd"/>
      <w:r w:rsidRPr="00E1489F">
        <w:rPr>
          <w:rFonts w:ascii="Times New Roman" w:hAnsi="Times New Roman" w:cs="Times New Roman"/>
          <w:sz w:val="22"/>
          <w:szCs w:val="22"/>
        </w:rPr>
        <w:t xml:space="preserve">, </w:t>
      </w:r>
      <w:proofErr w:type="spellStart"/>
      <w:r w:rsidRPr="00E1489F">
        <w:rPr>
          <w:rFonts w:ascii="Times New Roman" w:hAnsi="Times New Roman" w:cs="Times New Roman"/>
          <w:sz w:val="22"/>
          <w:szCs w:val="22"/>
        </w:rPr>
        <w:t>Nardha</w:t>
      </w:r>
      <w:proofErr w:type="spellEnd"/>
      <w:r w:rsidRPr="00E1489F">
        <w:rPr>
          <w:rFonts w:ascii="Times New Roman" w:hAnsi="Times New Roman" w:cs="Times New Roman"/>
          <w:sz w:val="22"/>
          <w:szCs w:val="22"/>
        </w:rPr>
        <w:t xml:space="preserve">, </w:t>
      </w:r>
      <w:proofErr w:type="spellStart"/>
      <w:r w:rsidRPr="00E1489F">
        <w:rPr>
          <w:rFonts w:ascii="Times New Roman" w:hAnsi="Times New Roman" w:cs="Times New Roman"/>
          <w:sz w:val="22"/>
          <w:szCs w:val="22"/>
        </w:rPr>
        <w:t>Ghorat</w:t>
      </w:r>
      <w:proofErr w:type="spellEnd"/>
      <w:r w:rsidRPr="00E1489F">
        <w:rPr>
          <w:rFonts w:ascii="Times New Roman" w:hAnsi="Times New Roman" w:cs="Times New Roman"/>
          <w:sz w:val="22"/>
          <w:szCs w:val="22"/>
        </w:rPr>
        <w:t xml:space="preserve">, </w:t>
      </w:r>
      <w:proofErr w:type="spellStart"/>
      <w:r w:rsidRPr="00E1489F">
        <w:rPr>
          <w:rFonts w:ascii="Times New Roman" w:hAnsi="Times New Roman" w:cs="Times New Roman"/>
          <w:sz w:val="22"/>
          <w:szCs w:val="22"/>
        </w:rPr>
        <w:t>Talapar</w:t>
      </w:r>
      <w:proofErr w:type="spellEnd"/>
      <w:r w:rsidRPr="00E1489F">
        <w:rPr>
          <w:rFonts w:ascii="Times New Roman" w:hAnsi="Times New Roman" w:cs="Times New Roman"/>
          <w:sz w:val="22"/>
          <w:szCs w:val="22"/>
        </w:rPr>
        <w:t xml:space="preserve">, </w:t>
      </w:r>
      <w:proofErr w:type="spellStart"/>
      <w:r w:rsidRPr="00E1489F">
        <w:rPr>
          <w:rFonts w:ascii="Times New Roman" w:hAnsi="Times New Roman" w:cs="Times New Roman"/>
          <w:sz w:val="22"/>
          <w:szCs w:val="22"/>
        </w:rPr>
        <w:t>Tewra</w:t>
      </w:r>
      <w:proofErr w:type="spellEnd"/>
      <w:r w:rsidRPr="00E1489F">
        <w:rPr>
          <w:rFonts w:ascii="Times New Roman" w:hAnsi="Times New Roman" w:cs="Times New Roman"/>
          <w:sz w:val="22"/>
          <w:szCs w:val="22"/>
        </w:rPr>
        <w:t xml:space="preserve">, </w:t>
      </w:r>
      <w:proofErr w:type="spellStart"/>
      <w:r w:rsidRPr="00E1489F">
        <w:rPr>
          <w:rFonts w:ascii="Times New Roman" w:hAnsi="Times New Roman" w:cs="Times New Roman"/>
          <w:sz w:val="22"/>
          <w:szCs w:val="22"/>
        </w:rPr>
        <w:t>Bhugawli</w:t>
      </w:r>
      <w:proofErr w:type="spellEnd"/>
      <w:r w:rsidRPr="00E1489F">
        <w:rPr>
          <w:rFonts w:ascii="Times New Roman" w:hAnsi="Times New Roman" w:cs="Times New Roman"/>
          <w:sz w:val="22"/>
          <w:szCs w:val="22"/>
        </w:rPr>
        <w:t xml:space="preserve">, </w:t>
      </w:r>
      <w:proofErr w:type="spellStart"/>
      <w:r w:rsidRPr="00E1489F">
        <w:rPr>
          <w:rFonts w:ascii="Times New Roman" w:hAnsi="Times New Roman" w:cs="Times New Roman"/>
          <w:sz w:val="22"/>
          <w:szCs w:val="22"/>
        </w:rPr>
        <w:t>Basari</w:t>
      </w:r>
      <w:proofErr w:type="spellEnd"/>
      <w:r w:rsidRPr="00E1489F">
        <w:rPr>
          <w:rFonts w:ascii="Times New Roman" w:hAnsi="Times New Roman" w:cs="Times New Roman"/>
          <w:sz w:val="22"/>
          <w:szCs w:val="22"/>
        </w:rPr>
        <w:t xml:space="preserve">, </w:t>
      </w:r>
      <w:proofErr w:type="spellStart"/>
      <w:r w:rsidRPr="00E1489F">
        <w:rPr>
          <w:rFonts w:ascii="Times New Roman" w:hAnsi="Times New Roman" w:cs="Times New Roman"/>
          <w:sz w:val="22"/>
          <w:szCs w:val="22"/>
        </w:rPr>
        <w:t>Halau</w:t>
      </w:r>
      <w:proofErr w:type="spellEnd"/>
      <w:r w:rsidRPr="00E1489F">
        <w:rPr>
          <w:rFonts w:ascii="Times New Roman" w:hAnsi="Times New Roman" w:cs="Times New Roman"/>
          <w:sz w:val="22"/>
          <w:szCs w:val="22"/>
        </w:rPr>
        <w:t xml:space="preserve">, </w:t>
      </w:r>
      <w:proofErr w:type="spellStart"/>
      <w:r w:rsidRPr="00E1489F">
        <w:rPr>
          <w:rFonts w:ascii="Times New Roman" w:hAnsi="Times New Roman" w:cs="Times New Roman"/>
          <w:sz w:val="22"/>
          <w:szCs w:val="22"/>
        </w:rPr>
        <w:t>Madana</w:t>
      </w:r>
      <w:proofErr w:type="spellEnd"/>
      <w:r w:rsidRPr="00E1489F">
        <w:rPr>
          <w:rFonts w:ascii="Times New Roman" w:hAnsi="Times New Roman" w:cs="Times New Roman"/>
          <w:sz w:val="22"/>
          <w:szCs w:val="22"/>
        </w:rPr>
        <w:t xml:space="preserve">, and </w:t>
      </w:r>
      <w:proofErr w:type="spellStart"/>
      <w:r w:rsidRPr="00E1489F">
        <w:rPr>
          <w:rFonts w:ascii="Times New Roman" w:hAnsi="Times New Roman" w:cs="Times New Roman"/>
          <w:sz w:val="22"/>
          <w:szCs w:val="22"/>
        </w:rPr>
        <w:t>Pathariya</w:t>
      </w:r>
      <w:proofErr w:type="spellEnd"/>
      <w:r w:rsidRPr="00E1489F">
        <w:rPr>
          <w:rFonts w:ascii="Times New Roman" w:hAnsi="Times New Roman" w:cs="Times New Roman"/>
          <w:sz w:val="22"/>
          <w:szCs w:val="22"/>
        </w:rPr>
        <w:t>—were randomly selected. These villages represent approximately 5% of the total villages in the blocks and form the basis of the study’s sample area</w:t>
      </w:r>
      <w:r w:rsidRPr="001F13EA">
        <w:rPr>
          <w:rFonts w:ascii="Times New Roman" w:hAnsi="Times New Roman" w:cs="Times New Roman"/>
        </w:rPr>
        <w:t>.</w:t>
      </w:r>
    </w:p>
    <w:p w14:paraId="6196E15C" w14:textId="77777777" w:rsidR="005F5148" w:rsidRPr="00DA391F" w:rsidRDefault="005F5148" w:rsidP="005F5148">
      <w:pPr>
        <w:tabs>
          <w:tab w:val="left" w:pos="10740"/>
        </w:tabs>
        <w:spacing w:line="360" w:lineRule="auto"/>
        <w:ind w:left="360"/>
        <w:jc w:val="both"/>
        <w:rPr>
          <w:rFonts w:ascii="Times New Roman" w:hAnsi="Times New Roman" w:cs="Times New Roman"/>
        </w:rPr>
      </w:pPr>
      <w:r w:rsidRPr="00DA391F">
        <w:rPr>
          <w:rFonts w:ascii="Times New Roman" w:hAnsi="Times New Roman" w:cs="Times New Roman"/>
          <w:b/>
          <w:bCs/>
        </w:rPr>
        <w:t>2.3 Data Collection</w:t>
      </w:r>
    </w:p>
    <w:p w14:paraId="74507922" w14:textId="77777777" w:rsidR="005F5148" w:rsidRPr="00E1489F" w:rsidRDefault="005F5148" w:rsidP="005F5148">
      <w:pPr>
        <w:tabs>
          <w:tab w:val="left" w:pos="10740"/>
        </w:tabs>
        <w:spacing w:line="360" w:lineRule="auto"/>
        <w:ind w:left="360"/>
        <w:jc w:val="both"/>
        <w:rPr>
          <w:rFonts w:ascii="Times New Roman" w:hAnsi="Times New Roman" w:cs="Times New Roman"/>
          <w:sz w:val="22"/>
          <w:szCs w:val="22"/>
        </w:rPr>
      </w:pPr>
      <w:r w:rsidRPr="00E1489F">
        <w:rPr>
          <w:rFonts w:ascii="Times New Roman" w:hAnsi="Times New Roman" w:cs="Times New Roman"/>
          <w:sz w:val="22"/>
          <w:szCs w:val="22"/>
        </w:rPr>
        <w:t>For this study, primary data was obtained from a randomly selected sample of 158 soybean farmers in Sagar district, Madhya Pradesh, during the 2023–2024 agricultural season. The data collection involved structured personal interviews designed to align with the study’s key research objectives. Information gathered included details on cropping patterns, land use, area dedicated to soybean cultivation, production figures, and post-harvest losses. Additionally, secondary data and regional agricultural statistics were sourced from the Madhya Pradesh Agriculture Department and the District Statistical Office to corroborate and enhance the primary data</w:t>
      </w:r>
    </w:p>
    <w:tbl>
      <w:tblPr>
        <w:tblStyle w:val="TableGrid"/>
        <w:tblpPr w:leftFromText="180" w:rightFromText="180" w:vertAnchor="text" w:horzAnchor="margin" w:tblpY="461"/>
        <w:tblW w:w="9109" w:type="dxa"/>
        <w:tblLook w:val="04A0" w:firstRow="1" w:lastRow="0" w:firstColumn="1" w:lastColumn="0" w:noHBand="0" w:noVBand="1"/>
      </w:tblPr>
      <w:tblGrid>
        <w:gridCol w:w="1125"/>
        <w:gridCol w:w="1145"/>
        <w:gridCol w:w="1266"/>
        <w:gridCol w:w="1156"/>
        <w:gridCol w:w="1156"/>
        <w:gridCol w:w="1097"/>
        <w:gridCol w:w="1068"/>
        <w:gridCol w:w="1096"/>
      </w:tblGrid>
      <w:tr w:rsidR="005F5148" w:rsidRPr="00E1489F" w14:paraId="78190F1C" w14:textId="77777777" w:rsidTr="002554E0">
        <w:trPr>
          <w:trHeight w:val="446"/>
        </w:trPr>
        <w:tc>
          <w:tcPr>
            <w:tcW w:w="1125" w:type="dxa"/>
          </w:tcPr>
          <w:p w14:paraId="4E441113" w14:textId="77777777" w:rsidR="005F5148" w:rsidRPr="00E1489F" w:rsidRDefault="005F5148" w:rsidP="002554E0">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lastRenderedPageBreak/>
              <w:t>District</w:t>
            </w:r>
          </w:p>
        </w:tc>
        <w:tc>
          <w:tcPr>
            <w:tcW w:w="1145" w:type="dxa"/>
          </w:tcPr>
          <w:p w14:paraId="244FEC55" w14:textId="77777777" w:rsidR="005F5148" w:rsidRPr="00E1489F" w:rsidRDefault="005F5148" w:rsidP="002554E0">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Blocks</w:t>
            </w:r>
          </w:p>
        </w:tc>
        <w:tc>
          <w:tcPr>
            <w:tcW w:w="1266" w:type="dxa"/>
          </w:tcPr>
          <w:p w14:paraId="292A37F8" w14:textId="77777777" w:rsidR="005F5148" w:rsidRPr="00E1489F" w:rsidRDefault="005F5148" w:rsidP="002554E0">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Villages</w:t>
            </w:r>
          </w:p>
        </w:tc>
        <w:tc>
          <w:tcPr>
            <w:tcW w:w="1156" w:type="dxa"/>
          </w:tcPr>
          <w:p w14:paraId="53B1FCAF" w14:textId="77777777" w:rsidR="005F5148" w:rsidRPr="00E1489F" w:rsidRDefault="005F5148" w:rsidP="002554E0">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Marginal</w:t>
            </w:r>
          </w:p>
        </w:tc>
        <w:tc>
          <w:tcPr>
            <w:tcW w:w="1156" w:type="dxa"/>
          </w:tcPr>
          <w:p w14:paraId="6E37AC60" w14:textId="77777777" w:rsidR="005F5148" w:rsidRPr="00E1489F" w:rsidRDefault="005F5148" w:rsidP="002554E0">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Small</w:t>
            </w:r>
          </w:p>
        </w:tc>
        <w:tc>
          <w:tcPr>
            <w:tcW w:w="1097" w:type="dxa"/>
          </w:tcPr>
          <w:p w14:paraId="68DCC0CE" w14:textId="77777777" w:rsidR="005F5148" w:rsidRPr="00E1489F" w:rsidRDefault="005F5148" w:rsidP="002554E0">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Medium</w:t>
            </w:r>
          </w:p>
        </w:tc>
        <w:tc>
          <w:tcPr>
            <w:tcW w:w="1068" w:type="dxa"/>
          </w:tcPr>
          <w:p w14:paraId="77DD8842" w14:textId="77777777" w:rsidR="005F5148" w:rsidRPr="00E1489F" w:rsidRDefault="005F5148" w:rsidP="002554E0">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Large</w:t>
            </w:r>
          </w:p>
        </w:tc>
        <w:tc>
          <w:tcPr>
            <w:tcW w:w="1096" w:type="dxa"/>
          </w:tcPr>
          <w:p w14:paraId="08C13BA0" w14:textId="77777777" w:rsidR="005F5148" w:rsidRPr="00E1489F" w:rsidRDefault="005F5148" w:rsidP="002554E0">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Total</w:t>
            </w:r>
          </w:p>
        </w:tc>
      </w:tr>
      <w:tr w:rsidR="005F5148" w:rsidRPr="00E1489F" w14:paraId="56895334" w14:textId="77777777" w:rsidTr="002554E0">
        <w:trPr>
          <w:trHeight w:val="459"/>
        </w:trPr>
        <w:tc>
          <w:tcPr>
            <w:tcW w:w="1125" w:type="dxa"/>
            <w:vMerge w:val="restart"/>
            <w:vAlign w:val="center"/>
          </w:tcPr>
          <w:p w14:paraId="7465A8E5"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Sagar</w:t>
            </w:r>
          </w:p>
        </w:tc>
        <w:tc>
          <w:tcPr>
            <w:tcW w:w="1145" w:type="dxa"/>
            <w:vMerge w:val="restart"/>
            <w:vAlign w:val="center"/>
          </w:tcPr>
          <w:p w14:paraId="7B0D3F9D" w14:textId="77777777" w:rsidR="005F5148" w:rsidRPr="00E1489F" w:rsidRDefault="005F5148" w:rsidP="002554E0">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Khurai</w:t>
            </w:r>
            <w:proofErr w:type="spellEnd"/>
          </w:p>
        </w:tc>
        <w:tc>
          <w:tcPr>
            <w:tcW w:w="1266" w:type="dxa"/>
          </w:tcPr>
          <w:p w14:paraId="464E75ED" w14:textId="77777777" w:rsidR="005F5148" w:rsidRPr="00E1489F" w:rsidRDefault="005F5148" w:rsidP="002554E0">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Dhanora</w:t>
            </w:r>
            <w:proofErr w:type="spellEnd"/>
          </w:p>
        </w:tc>
        <w:tc>
          <w:tcPr>
            <w:tcW w:w="1156" w:type="dxa"/>
          </w:tcPr>
          <w:p w14:paraId="4B0EE3BB"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6(10.9)</w:t>
            </w:r>
          </w:p>
        </w:tc>
        <w:tc>
          <w:tcPr>
            <w:tcW w:w="1156" w:type="dxa"/>
          </w:tcPr>
          <w:p w14:paraId="15436696"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5(10.4)</w:t>
            </w:r>
          </w:p>
        </w:tc>
        <w:tc>
          <w:tcPr>
            <w:tcW w:w="1097" w:type="dxa"/>
          </w:tcPr>
          <w:p w14:paraId="55C34050"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4(10.8)</w:t>
            </w:r>
          </w:p>
        </w:tc>
        <w:tc>
          <w:tcPr>
            <w:tcW w:w="1068" w:type="dxa"/>
          </w:tcPr>
          <w:p w14:paraId="3E872344"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2(11.1)</w:t>
            </w:r>
          </w:p>
        </w:tc>
        <w:tc>
          <w:tcPr>
            <w:tcW w:w="1096" w:type="dxa"/>
          </w:tcPr>
          <w:p w14:paraId="6160B840"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17(10.8)</w:t>
            </w:r>
          </w:p>
        </w:tc>
      </w:tr>
      <w:tr w:rsidR="005F5148" w:rsidRPr="00E1489F" w14:paraId="6FB28116" w14:textId="77777777" w:rsidTr="002554E0">
        <w:trPr>
          <w:trHeight w:val="157"/>
        </w:trPr>
        <w:tc>
          <w:tcPr>
            <w:tcW w:w="1125" w:type="dxa"/>
            <w:vMerge/>
            <w:vAlign w:val="center"/>
          </w:tcPr>
          <w:p w14:paraId="6D49D791"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145" w:type="dxa"/>
            <w:vMerge/>
          </w:tcPr>
          <w:p w14:paraId="44DFC22C"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266" w:type="dxa"/>
          </w:tcPr>
          <w:p w14:paraId="5728EC6C" w14:textId="77777777" w:rsidR="005F5148" w:rsidRPr="00E1489F" w:rsidRDefault="005F5148" w:rsidP="002554E0">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Nardha</w:t>
            </w:r>
            <w:proofErr w:type="spellEnd"/>
          </w:p>
        </w:tc>
        <w:tc>
          <w:tcPr>
            <w:tcW w:w="1156" w:type="dxa"/>
          </w:tcPr>
          <w:p w14:paraId="5802CE4A"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5(9.1)</w:t>
            </w:r>
          </w:p>
        </w:tc>
        <w:tc>
          <w:tcPr>
            <w:tcW w:w="1156" w:type="dxa"/>
          </w:tcPr>
          <w:p w14:paraId="7EB0CBAA"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4(8.3)</w:t>
            </w:r>
          </w:p>
        </w:tc>
        <w:tc>
          <w:tcPr>
            <w:tcW w:w="1097" w:type="dxa"/>
          </w:tcPr>
          <w:p w14:paraId="5F823057"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3(8.1)</w:t>
            </w:r>
          </w:p>
        </w:tc>
        <w:tc>
          <w:tcPr>
            <w:tcW w:w="1068" w:type="dxa"/>
          </w:tcPr>
          <w:p w14:paraId="208575EA"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2(11.1)</w:t>
            </w:r>
          </w:p>
        </w:tc>
        <w:tc>
          <w:tcPr>
            <w:tcW w:w="1096" w:type="dxa"/>
          </w:tcPr>
          <w:p w14:paraId="3B095299"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14(8.9)</w:t>
            </w:r>
          </w:p>
        </w:tc>
      </w:tr>
      <w:tr w:rsidR="005F5148" w:rsidRPr="00E1489F" w14:paraId="12251684" w14:textId="77777777" w:rsidTr="002554E0">
        <w:trPr>
          <w:trHeight w:val="157"/>
        </w:trPr>
        <w:tc>
          <w:tcPr>
            <w:tcW w:w="1125" w:type="dxa"/>
            <w:vMerge/>
            <w:vAlign w:val="center"/>
          </w:tcPr>
          <w:p w14:paraId="2E0F0A1A"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145" w:type="dxa"/>
            <w:vMerge/>
          </w:tcPr>
          <w:p w14:paraId="12034A82"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266" w:type="dxa"/>
          </w:tcPr>
          <w:p w14:paraId="234E2682" w14:textId="77777777" w:rsidR="005F5148" w:rsidRPr="00E1489F" w:rsidRDefault="005F5148" w:rsidP="002554E0">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Ghorat</w:t>
            </w:r>
            <w:proofErr w:type="spellEnd"/>
          </w:p>
        </w:tc>
        <w:tc>
          <w:tcPr>
            <w:tcW w:w="1156" w:type="dxa"/>
          </w:tcPr>
          <w:p w14:paraId="0828156F"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7(12.7)</w:t>
            </w:r>
          </w:p>
        </w:tc>
        <w:tc>
          <w:tcPr>
            <w:tcW w:w="1156" w:type="dxa"/>
          </w:tcPr>
          <w:p w14:paraId="04CAEC64"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6(12.5)</w:t>
            </w:r>
          </w:p>
        </w:tc>
        <w:tc>
          <w:tcPr>
            <w:tcW w:w="1097" w:type="dxa"/>
          </w:tcPr>
          <w:p w14:paraId="77DB5A1E"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5(13.5)</w:t>
            </w:r>
          </w:p>
        </w:tc>
        <w:tc>
          <w:tcPr>
            <w:tcW w:w="1068" w:type="dxa"/>
          </w:tcPr>
          <w:p w14:paraId="351D2E08"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1(5.6)</w:t>
            </w:r>
          </w:p>
        </w:tc>
        <w:tc>
          <w:tcPr>
            <w:tcW w:w="1096" w:type="dxa"/>
          </w:tcPr>
          <w:p w14:paraId="3B7BA992"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19(12.0)</w:t>
            </w:r>
          </w:p>
        </w:tc>
      </w:tr>
      <w:tr w:rsidR="005F5148" w:rsidRPr="00E1489F" w14:paraId="7344A61C" w14:textId="77777777" w:rsidTr="002554E0">
        <w:trPr>
          <w:trHeight w:val="157"/>
        </w:trPr>
        <w:tc>
          <w:tcPr>
            <w:tcW w:w="1125" w:type="dxa"/>
            <w:vMerge/>
            <w:vAlign w:val="center"/>
          </w:tcPr>
          <w:p w14:paraId="33DD7C94"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145" w:type="dxa"/>
            <w:vMerge/>
          </w:tcPr>
          <w:p w14:paraId="5300FD33"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266" w:type="dxa"/>
          </w:tcPr>
          <w:p w14:paraId="67FE79A6" w14:textId="77777777" w:rsidR="005F5148" w:rsidRPr="00E1489F" w:rsidRDefault="005F5148" w:rsidP="002554E0">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Talapar</w:t>
            </w:r>
            <w:proofErr w:type="spellEnd"/>
          </w:p>
        </w:tc>
        <w:tc>
          <w:tcPr>
            <w:tcW w:w="1156" w:type="dxa"/>
          </w:tcPr>
          <w:p w14:paraId="288DB344"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6(10.9)</w:t>
            </w:r>
          </w:p>
        </w:tc>
        <w:tc>
          <w:tcPr>
            <w:tcW w:w="1156" w:type="dxa"/>
          </w:tcPr>
          <w:p w14:paraId="5F230900"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5(10.4)</w:t>
            </w:r>
          </w:p>
        </w:tc>
        <w:tc>
          <w:tcPr>
            <w:tcW w:w="1097" w:type="dxa"/>
          </w:tcPr>
          <w:p w14:paraId="5E1D21E9"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3(8.1)</w:t>
            </w:r>
          </w:p>
        </w:tc>
        <w:tc>
          <w:tcPr>
            <w:tcW w:w="1068" w:type="dxa"/>
          </w:tcPr>
          <w:p w14:paraId="1EAACA7A"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3(16.7)</w:t>
            </w:r>
          </w:p>
        </w:tc>
        <w:tc>
          <w:tcPr>
            <w:tcW w:w="1096" w:type="dxa"/>
          </w:tcPr>
          <w:p w14:paraId="19267434"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17(10.8)</w:t>
            </w:r>
          </w:p>
        </w:tc>
      </w:tr>
      <w:tr w:rsidR="005F5148" w:rsidRPr="00E1489F" w14:paraId="66871C16" w14:textId="77777777" w:rsidTr="002554E0">
        <w:trPr>
          <w:trHeight w:val="157"/>
        </w:trPr>
        <w:tc>
          <w:tcPr>
            <w:tcW w:w="1125" w:type="dxa"/>
            <w:vMerge/>
            <w:vAlign w:val="center"/>
          </w:tcPr>
          <w:p w14:paraId="2BA57B5B"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145" w:type="dxa"/>
            <w:vMerge/>
          </w:tcPr>
          <w:p w14:paraId="067A1D37"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266" w:type="dxa"/>
          </w:tcPr>
          <w:p w14:paraId="15BF8194" w14:textId="77777777" w:rsidR="005F5148" w:rsidRPr="00E1489F" w:rsidRDefault="005F5148" w:rsidP="002554E0">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Tewra</w:t>
            </w:r>
            <w:proofErr w:type="spellEnd"/>
          </w:p>
        </w:tc>
        <w:tc>
          <w:tcPr>
            <w:tcW w:w="1156" w:type="dxa"/>
          </w:tcPr>
          <w:p w14:paraId="6EDABFE3"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6(10.9)</w:t>
            </w:r>
          </w:p>
        </w:tc>
        <w:tc>
          <w:tcPr>
            <w:tcW w:w="1156" w:type="dxa"/>
          </w:tcPr>
          <w:p w14:paraId="59005F59"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5(10.4)</w:t>
            </w:r>
          </w:p>
        </w:tc>
        <w:tc>
          <w:tcPr>
            <w:tcW w:w="1097" w:type="dxa"/>
          </w:tcPr>
          <w:p w14:paraId="7E56CB25"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4(10.8)</w:t>
            </w:r>
          </w:p>
        </w:tc>
        <w:tc>
          <w:tcPr>
            <w:tcW w:w="1068" w:type="dxa"/>
          </w:tcPr>
          <w:p w14:paraId="62BC4745"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2(11.1)</w:t>
            </w:r>
          </w:p>
        </w:tc>
        <w:tc>
          <w:tcPr>
            <w:tcW w:w="1096" w:type="dxa"/>
          </w:tcPr>
          <w:p w14:paraId="6C071395"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17(10.8)</w:t>
            </w:r>
          </w:p>
        </w:tc>
      </w:tr>
      <w:tr w:rsidR="005F5148" w:rsidRPr="00E1489F" w14:paraId="12DFC183" w14:textId="77777777" w:rsidTr="002554E0">
        <w:trPr>
          <w:trHeight w:val="157"/>
        </w:trPr>
        <w:tc>
          <w:tcPr>
            <w:tcW w:w="1125" w:type="dxa"/>
            <w:vMerge/>
            <w:vAlign w:val="center"/>
          </w:tcPr>
          <w:p w14:paraId="684D53A1"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145" w:type="dxa"/>
            <w:vMerge w:val="restart"/>
            <w:vAlign w:val="center"/>
          </w:tcPr>
          <w:p w14:paraId="798E26F2" w14:textId="77777777" w:rsidR="005F5148" w:rsidRPr="00E1489F" w:rsidRDefault="005F5148" w:rsidP="002554E0">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Khimlasa</w:t>
            </w:r>
            <w:proofErr w:type="spellEnd"/>
          </w:p>
        </w:tc>
        <w:tc>
          <w:tcPr>
            <w:tcW w:w="1266" w:type="dxa"/>
          </w:tcPr>
          <w:p w14:paraId="5D78FB7D" w14:textId="77777777" w:rsidR="005F5148" w:rsidRPr="00E1489F" w:rsidRDefault="005F5148" w:rsidP="002554E0">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Bhugawali</w:t>
            </w:r>
            <w:proofErr w:type="spellEnd"/>
          </w:p>
        </w:tc>
        <w:tc>
          <w:tcPr>
            <w:tcW w:w="1156" w:type="dxa"/>
          </w:tcPr>
          <w:p w14:paraId="0554C1B5"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7(12.7)</w:t>
            </w:r>
          </w:p>
        </w:tc>
        <w:tc>
          <w:tcPr>
            <w:tcW w:w="1156" w:type="dxa"/>
          </w:tcPr>
          <w:p w14:paraId="1F97E152"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6(12.5)</w:t>
            </w:r>
          </w:p>
        </w:tc>
        <w:tc>
          <w:tcPr>
            <w:tcW w:w="1097" w:type="dxa"/>
          </w:tcPr>
          <w:p w14:paraId="20ABD2D8"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5(13.5)</w:t>
            </w:r>
          </w:p>
        </w:tc>
        <w:tc>
          <w:tcPr>
            <w:tcW w:w="1068" w:type="dxa"/>
          </w:tcPr>
          <w:p w14:paraId="7AC469F4"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2(11.1)</w:t>
            </w:r>
          </w:p>
        </w:tc>
        <w:tc>
          <w:tcPr>
            <w:tcW w:w="1096" w:type="dxa"/>
          </w:tcPr>
          <w:p w14:paraId="5C21AC67"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20(12.7)</w:t>
            </w:r>
          </w:p>
        </w:tc>
      </w:tr>
      <w:tr w:rsidR="005F5148" w:rsidRPr="00E1489F" w14:paraId="5EE8E635" w14:textId="77777777" w:rsidTr="002554E0">
        <w:trPr>
          <w:trHeight w:val="157"/>
        </w:trPr>
        <w:tc>
          <w:tcPr>
            <w:tcW w:w="1125" w:type="dxa"/>
            <w:vMerge/>
            <w:vAlign w:val="center"/>
          </w:tcPr>
          <w:p w14:paraId="2D0F8D1E"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145" w:type="dxa"/>
            <w:vMerge/>
            <w:vAlign w:val="center"/>
          </w:tcPr>
          <w:p w14:paraId="48A57929"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266" w:type="dxa"/>
          </w:tcPr>
          <w:p w14:paraId="0F25FBC1" w14:textId="77777777" w:rsidR="005F5148" w:rsidRPr="00E1489F" w:rsidRDefault="005F5148" w:rsidP="002554E0">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Basari</w:t>
            </w:r>
            <w:proofErr w:type="spellEnd"/>
          </w:p>
        </w:tc>
        <w:tc>
          <w:tcPr>
            <w:tcW w:w="1156" w:type="dxa"/>
          </w:tcPr>
          <w:p w14:paraId="3F37D722"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6(10.9)</w:t>
            </w:r>
          </w:p>
        </w:tc>
        <w:tc>
          <w:tcPr>
            <w:tcW w:w="1156" w:type="dxa"/>
          </w:tcPr>
          <w:p w14:paraId="5C44F9C8"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5(10.4)</w:t>
            </w:r>
          </w:p>
        </w:tc>
        <w:tc>
          <w:tcPr>
            <w:tcW w:w="1097" w:type="dxa"/>
          </w:tcPr>
          <w:p w14:paraId="5D2F63F7"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4(10.8)</w:t>
            </w:r>
          </w:p>
        </w:tc>
        <w:tc>
          <w:tcPr>
            <w:tcW w:w="1068" w:type="dxa"/>
          </w:tcPr>
          <w:p w14:paraId="7E1AF3A9"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1(5.6)</w:t>
            </w:r>
          </w:p>
        </w:tc>
        <w:tc>
          <w:tcPr>
            <w:tcW w:w="1096" w:type="dxa"/>
          </w:tcPr>
          <w:p w14:paraId="6B02A10A"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16(10.1)</w:t>
            </w:r>
          </w:p>
        </w:tc>
      </w:tr>
      <w:tr w:rsidR="005F5148" w:rsidRPr="00E1489F" w14:paraId="4AC48764" w14:textId="77777777" w:rsidTr="002554E0">
        <w:trPr>
          <w:trHeight w:val="157"/>
        </w:trPr>
        <w:tc>
          <w:tcPr>
            <w:tcW w:w="1125" w:type="dxa"/>
            <w:vMerge/>
            <w:vAlign w:val="center"/>
          </w:tcPr>
          <w:p w14:paraId="27D4568C"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145" w:type="dxa"/>
            <w:vMerge/>
            <w:vAlign w:val="center"/>
          </w:tcPr>
          <w:p w14:paraId="180903CA"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266" w:type="dxa"/>
          </w:tcPr>
          <w:p w14:paraId="2CE32870"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Halau</w:t>
            </w:r>
          </w:p>
        </w:tc>
        <w:tc>
          <w:tcPr>
            <w:tcW w:w="1156" w:type="dxa"/>
          </w:tcPr>
          <w:p w14:paraId="2193122D"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5(9.1)</w:t>
            </w:r>
          </w:p>
        </w:tc>
        <w:tc>
          <w:tcPr>
            <w:tcW w:w="1156" w:type="dxa"/>
          </w:tcPr>
          <w:p w14:paraId="222D18BF"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4(8.3)</w:t>
            </w:r>
          </w:p>
        </w:tc>
        <w:tc>
          <w:tcPr>
            <w:tcW w:w="1097" w:type="dxa"/>
          </w:tcPr>
          <w:p w14:paraId="371B2D68"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3(8.1)</w:t>
            </w:r>
          </w:p>
        </w:tc>
        <w:tc>
          <w:tcPr>
            <w:tcW w:w="1068" w:type="dxa"/>
          </w:tcPr>
          <w:p w14:paraId="28A9B657"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2(11.1)</w:t>
            </w:r>
          </w:p>
        </w:tc>
        <w:tc>
          <w:tcPr>
            <w:tcW w:w="1096" w:type="dxa"/>
          </w:tcPr>
          <w:p w14:paraId="11C4ECFE"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14(8.9)</w:t>
            </w:r>
          </w:p>
        </w:tc>
      </w:tr>
      <w:tr w:rsidR="005F5148" w:rsidRPr="00E1489F" w14:paraId="3B149CD0" w14:textId="77777777" w:rsidTr="002554E0">
        <w:trPr>
          <w:trHeight w:val="157"/>
        </w:trPr>
        <w:tc>
          <w:tcPr>
            <w:tcW w:w="1125" w:type="dxa"/>
            <w:vMerge/>
            <w:vAlign w:val="center"/>
          </w:tcPr>
          <w:p w14:paraId="708AED3A"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145" w:type="dxa"/>
            <w:vMerge/>
            <w:vAlign w:val="center"/>
          </w:tcPr>
          <w:p w14:paraId="1CBBCB79"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266" w:type="dxa"/>
          </w:tcPr>
          <w:p w14:paraId="6B79AF1B"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Madana</w:t>
            </w:r>
          </w:p>
        </w:tc>
        <w:tc>
          <w:tcPr>
            <w:tcW w:w="1156" w:type="dxa"/>
          </w:tcPr>
          <w:p w14:paraId="363F89F5"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6(10.9)</w:t>
            </w:r>
          </w:p>
        </w:tc>
        <w:tc>
          <w:tcPr>
            <w:tcW w:w="1156" w:type="dxa"/>
          </w:tcPr>
          <w:p w14:paraId="3E9C4C41"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5(10.4)</w:t>
            </w:r>
          </w:p>
        </w:tc>
        <w:tc>
          <w:tcPr>
            <w:tcW w:w="1097" w:type="dxa"/>
          </w:tcPr>
          <w:p w14:paraId="0D2621B3"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3(8.1)</w:t>
            </w:r>
          </w:p>
        </w:tc>
        <w:tc>
          <w:tcPr>
            <w:tcW w:w="1068" w:type="dxa"/>
          </w:tcPr>
          <w:p w14:paraId="0AE77977"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2(11.1)</w:t>
            </w:r>
          </w:p>
        </w:tc>
        <w:tc>
          <w:tcPr>
            <w:tcW w:w="1096" w:type="dxa"/>
          </w:tcPr>
          <w:p w14:paraId="6D2B8EDD"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16(10.1)</w:t>
            </w:r>
          </w:p>
        </w:tc>
      </w:tr>
      <w:tr w:rsidR="005F5148" w:rsidRPr="00E1489F" w14:paraId="63FC2FED" w14:textId="77777777" w:rsidTr="002554E0">
        <w:trPr>
          <w:trHeight w:val="157"/>
        </w:trPr>
        <w:tc>
          <w:tcPr>
            <w:tcW w:w="1125" w:type="dxa"/>
            <w:vMerge/>
            <w:vAlign w:val="center"/>
          </w:tcPr>
          <w:p w14:paraId="20D09A07"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145" w:type="dxa"/>
            <w:vMerge/>
            <w:vAlign w:val="center"/>
          </w:tcPr>
          <w:p w14:paraId="7DB1B670" w14:textId="77777777" w:rsidR="005F5148" w:rsidRPr="00E1489F" w:rsidRDefault="005F5148" w:rsidP="002554E0">
            <w:pPr>
              <w:tabs>
                <w:tab w:val="left" w:pos="10740"/>
              </w:tabs>
              <w:spacing w:after="160" w:line="360" w:lineRule="auto"/>
              <w:jc w:val="both"/>
              <w:rPr>
                <w:rFonts w:ascii="Times New Roman" w:hAnsi="Times New Roman" w:cs="Times New Roman"/>
              </w:rPr>
            </w:pPr>
          </w:p>
        </w:tc>
        <w:tc>
          <w:tcPr>
            <w:tcW w:w="1266" w:type="dxa"/>
          </w:tcPr>
          <w:p w14:paraId="25B0D3DC" w14:textId="77777777" w:rsidR="005F5148" w:rsidRPr="00E1489F" w:rsidRDefault="005F5148" w:rsidP="002554E0">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Pathariya</w:t>
            </w:r>
            <w:proofErr w:type="spellEnd"/>
          </w:p>
        </w:tc>
        <w:tc>
          <w:tcPr>
            <w:tcW w:w="1156" w:type="dxa"/>
          </w:tcPr>
          <w:p w14:paraId="0BBC6B6D"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7(12.7)</w:t>
            </w:r>
          </w:p>
        </w:tc>
        <w:tc>
          <w:tcPr>
            <w:tcW w:w="1156" w:type="dxa"/>
          </w:tcPr>
          <w:p w14:paraId="5671F988"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5(10.4)</w:t>
            </w:r>
          </w:p>
        </w:tc>
        <w:tc>
          <w:tcPr>
            <w:tcW w:w="1097" w:type="dxa"/>
          </w:tcPr>
          <w:p w14:paraId="6D7EB470"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4(10.8)</w:t>
            </w:r>
          </w:p>
        </w:tc>
        <w:tc>
          <w:tcPr>
            <w:tcW w:w="1068" w:type="dxa"/>
          </w:tcPr>
          <w:p w14:paraId="30DD2B51"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2(11.1)</w:t>
            </w:r>
          </w:p>
        </w:tc>
        <w:tc>
          <w:tcPr>
            <w:tcW w:w="1096" w:type="dxa"/>
          </w:tcPr>
          <w:p w14:paraId="2FD39B5E"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18(11.4)</w:t>
            </w:r>
          </w:p>
        </w:tc>
      </w:tr>
      <w:tr w:rsidR="005F5148" w:rsidRPr="00E1489F" w14:paraId="7C8EF5D1" w14:textId="77777777" w:rsidTr="002554E0">
        <w:trPr>
          <w:trHeight w:val="619"/>
        </w:trPr>
        <w:tc>
          <w:tcPr>
            <w:tcW w:w="3536" w:type="dxa"/>
            <w:gridSpan w:val="3"/>
            <w:vAlign w:val="center"/>
          </w:tcPr>
          <w:p w14:paraId="5CC77B93"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Total no of farmers in different categories</w:t>
            </w:r>
          </w:p>
        </w:tc>
        <w:tc>
          <w:tcPr>
            <w:tcW w:w="1156" w:type="dxa"/>
          </w:tcPr>
          <w:p w14:paraId="6BDCA67E"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55(100)</w:t>
            </w:r>
          </w:p>
        </w:tc>
        <w:tc>
          <w:tcPr>
            <w:tcW w:w="1156" w:type="dxa"/>
          </w:tcPr>
          <w:p w14:paraId="0AEC25CA"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48(100)</w:t>
            </w:r>
          </w:p>
        </w:tc>
        <w:tc>
          <w:tcPr>
            <w:tcW w:w="1097" w:type="dxa"/>
          </w:tcPr>
          <w:p w14:paraId="20726D28"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37(100)</w:t>
            </w:r>
          </w:p>
        </w:tc>
        <w:tc>
          <w:tcPr>
            <w:tcW w:w="1068" w:type="dxa"/>
          </w:tcPr>
          <w:p w14:paraId="60D268E7"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18(100)</w:t>
            </w:r>
          </w:p>
        </w:tc>
        <w:tc>
          <w:tcPr>
            <w:tcW w:w="1096" w:type="dxa"/>
          </w:tcPr>
          <w:p w14:paraId="030F49CD" w14:textId="77777777" w:rsidR="005F5148" w:rsidRPr="00E1489F" w:rsidRDefault="005F5148" w:rsidP="002554E0">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158(100)</w:t>
            </w:r>
          </w:p>
        </w:tc>
      </w:tr>
    </w:tbl>
    <w:p w14:paraId="1379438C" w14:textId="77777777" w:rsidR="005F5148" w:rsidRPr="00DA391F" w:rsidRDefault="005F5148" w:rsidP="005F5148">
      <w:pPr>
        <w:tabs>
          <w:tab w:val="left" w:pos="10740"/>
        </w:tabs>
        <w:spacing w:line="360" w:lineRule="auto"/>
        <w:jc w:val="both"/>
        <w:rPr>
          <w:rFonts w:ascii="Times New Roman" w:hAnsi="Times New Roman" w:cs="Times New Roman"/>
          <w:b/>
          <w:bCs/>
        </w:rPr>
      </w:pPr>
      <w:r w:rsidRPr="00DA391F">
        <w:rPr>
          <w:rFonts w:ascii="Times New Roman" w:hAnsi="Times New Roman" w:cs="Times New Roman"/>
          <w:b/>
          <w:bCs/>
        </w:rPr>
        <w:t xml:space="preserve">                                                   Table 1. Sampling framework</w:t>
      </w:r>
    </w:p>
    <w:p w14:paraId="2E211C90" w14:textId="77777777" w:rsidR="005F5148" w:rsidRPr="00E1489F" w:rsidRDefault="005F5148" w:rsidP="005F5148">
      <w:pPr>
        <w:tabs>
          <w:tab w:val="left" w:pos="10740"/>
        </w:tabs>
        <w:spacing w:line="360" w:lineRule="auto"/>
        <w:ind w:left="360"/>
        <w:jc w:val="both"/>
        <w:rPr>
          <w:rFonts w:ascii="Times New Roman" w:hAnsi="Times New Roman" w:cs="Times New Roman"/>
          <w:sz w:val="22"/>
          <w:szCs w:val="22"/>
        </w:rPr>
      </w:pPr>
      <w:r w:rsidRPr="00E1489F">
        <w:rPr>
          <w:rFonts w:ascii="Times New Roman" w:hAnsi="Times New Roman" w:cs="Times New Roman"/>
          <w:sz w:val="22"/>
          <w:szCs w:val="22"/>
        </w:rPr>
        <w:t>Table 1 presents the sampling framework, where a total of 158 farmers were selected from 1,580 respondents across 10 different villages in Sagar district</w:t>
      </w:r>
    </w:p>
    <w:p w14:paraId="47519DD3" w14:textId="77777777" w:rsidR="005F5148" w:rsidRPr="00E1489F" w:rsidRDefault="005F5148" w:rsidP="005F5148">
      <w:pPr>
        <w:spacing w:line="360" w:lineRule="auto"/>
        <w:jc w:val="center"/>
        <w:rPr>
          <w:rFonts w:ascii="Times New Roman" w:hAnsi="Times New Roman" w:cs="Times New Roman"/>
          <w:b/>
        </w:rPr>
      </w:pPr>
    </w:p>
    <w:p w14:paraId="21207581" w14:textId="77777777" w:rsidR="005F5148" w:rsidRPr="0006798B" w:rsidRDefault="005F5148" w:rsidP="005F5148">
      <w:pPr>
        <w:spacing w:line="360" w:lineRule="auto"/>
        <w:rPr>
          <w:rFonts w:ascii="Times New Roman" w:hAnsi="Times New Roman" w:cs="Times New Roman"/>
          <w:b/>
        </w:rPr>
      </w:pPr>
      <w:r w:rsidRPr="0006798B">
        <w:rPr>
          <w:rFonts w:ascii="Times New Roman" w:hAnsi="Times New Roman" w:cs="Times New Roman"/>
          <w:b/>
        </w:rPr>
        <w:t>3.</w:t>
      </w:r>
      <w:r>
        <w:rPr>
          <w:rFonts w:ascii="Times New Roman" w:hAnsi="Times New Roman" w:cs="Times New Roman"/>
          <w:b/>
          <w:sz w:val="26"/>
          <w:szCs w:val="26"/>
        </w:rPr>
        <w:t xml:space="preserve"> </w:t>
      </w:r>
      <w:r w:rsidRPr="0006798B">
        <w:rPr>
          <w:rFonts w:ascii="Times New Roman" w:hAnsi="Times New Roman" w:cs="Times New Roman"/>
          <w:b/>
        </w:rPr>
        <w:t>Analytical Tools used</w:t>
      </w:r>
    </w:p>
    <w:p w14:paraId="7548A522" w14:textId="77777777" w:rsidR="005F5148" w:rsidRDefault="005F5148" w:rsidP="005F5148">
      <w:pPr>
        <w:spacing w:line="360" w:lineRule="auto"/>
        <w:jc w:val="both"/>
        <w:rPr>
          <w:rFonts w:ascii="Times New Roman" w:hAnsi="Times New Roman" w:cs="Times New Roman"/>
        </w:rPr>
      </w:pPr>
      <w:r w:rsidRPr="0006798B">
        <w:rPr>
          <w:rFonts w:ascii="Times New Roman" w:hAnsi="Times New Roman" w:cs="Times New Roman"/>
          <w:sz w:val="22"/>
          <w:szCs w:val="22"/>
        </w:rPr>
        <w:t>The following mathematical and statistical tools have been employed in the Research work to analyse the various aspects of the study in order to fulfil the objective</w:t>
      </w:r>
      <w:r w:rsidRPr="00521D9F">
        <w:rPr>
          <w:rFonts w:ascii="Times New Roman" w:hAnsi="Times New Roman" w:cs="Times New Roman"/>
        </w:rPr>
        <w:t>:</w:t>
      </w:r>
    </w:p>
    <w:p w14:paraId="7EF4104B" w14:textId="77777777" w:rsidR="005F5148" w:rsidRPr="0006798B" w:rsidRDefault="005F5148" w:rsidP="005F5148">
      <w:pPr>
        <w:spacing w:line="360" w:lineRule="auto"/>
        <w:jc w:val="center"/>
        <w:rPr>
          <w:rFonts w:ascii="Times New Roman" w:hAnsi="Times New Roman" w:cs="Times New Roman"/>
          <w:b/>
          <w:sz w:val="22"/>
          <w:szCs w:val="22"/>
        </w:rPr>
      </w:pPr>
    </w:p>
    <w:p w14:paraId="742212B1" w14:textId="77777777" w:rsidR="005F5148" w:rsidRPr="0006798B" w:rsidRDefault="005F5148" w:rsidP="005F5148">
      <w:pPr>
        <w:pStyle w:val="ListParagraph"/>
        <w:numPr>
          <w:ilvl w:val="1"/>
          <w:numId w:val="2"/>
        </w:numPr>
        <w:spacing w:line="360" w:lineRule="auto"/>
        <w:jc w:val="both"/>
        <w:rPr>
          <w:rFonts w:ascii="Times New Roman" w:hAnsi="Times New Roman" w:cs="Times New Roman"/>
          <w:b/>
          <w:bCs/>
        </w:rPr>
      </w:pPr>
      <w:r w:rsidRPr="0006798B">
        <w:rPr>
          <w:rFonts w:ascii="Times New Roman" w:hAnsi="Times New Roman" w:cs="Times New Roman"/>
          <w:b/>
          <w:bCs/>
        </w:rPr>
        <w:t>Percentage:</w:t>
      </w:r>
    </w:p>
    <w:p w14:paraId="5A33FD78" w14:textId="77777777" w:rsidR="005F5148" w:rsidRPr="0006798B" w:rsidRDefault="005F5148" w:rsidP="005F5148">
      <w:pPr>
        <w:pStyle w:val="ListParagraph"/>
        <w:spacing w:line="360" w:lineRule="auto"/>
        <w:ind w:left="1080"/>
        <w:jc w:val="both"/>
        <w:rPr>
          <w:rFonts w:ascii="Times New Roman" w:eastAsiaTheme="minorEastAsia" w:hAnsi="Times New Roman" w:cs="Times New Roman"/>
          <w:sz w:val="22"/>
          <w:szCs w:val="22"/>
        </w:rPr>
      </w:pPr>
      <m:oMathPara>
        <m:oMath>
          <m:r>
            <w:rPr>
              <w:rFonts w:ascii="Cambria Math" w:hAnsi="Cambria Math" w:cs="Times New Roman"/>
              <w:sz w:val="22"/>
              <w:szCs w:val="22"/>
            </w:rPr>
            <m:t xml:space="preserve">P= </m:t>
          </m:r>
          <m:f>
            <m:fPr>
              <m:ctrlPr>
                <w:rPr>
                  <w:rFonts w:ascii="Cambria Math" w:hAnsi="Cambria Math" w:cs="Times New Roman"/>
                  <w:i/>
                  <w:sz w:val="22"/>
                  <w:szCs w:val="22"/>
                </w:rPr>
              </m:ctrlPr>
            </m:fPr>
            <m:num>
              <m:r>
                <w:rPr>
                  <w:rFonts w:ascii="Cambria Math" w:hAnsi="Cambria Math" w:cs="Times New Roman"/>
                  <w:sz w:val="22"/>
                  <w:szCs w:val="22"/>
                </w:rPr>
                <m:t>X</m:t>
              </m:r>
            </m:num>
            <m:den>
              <m:r>
                <w:rPr>
                  <w:rFonts w:ascii="Cambria Math" w:hAnsi="Cambria Math" w:cs="Times New Roman"/>
                  <w:sz w:val="22"/>
                  <w:szCs w:val="22"/>
                </w:rPr>
                <m:t>Y</m:t>
              </m:r>
            </m:den>
          </m:f>
          <m:r>
            <w:rPr>
              <w:rFonts w:ascii="Cambria Math" w:hAnsi="Cambria Math" w:cs="Times New Roman"/>
              <w:sz w:val="22"/>
              <w:szCs w:val="22"/>
            </w:rPr>
            <m:t>*100</m:t>
          </m:r>
        </m:oMath>
      </m:oMathPara>
    </w:p>
    <w:p w14:paraId="178FD776" w14:textId="77777777" w:rsidR="005F5148" w:rsidRPr="0006798B" w:rsidRDefault="005F5148" w:rsidP="005F5148">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Here,</w:t>
      </w:r>
    </w:p>
    <w:p w14:paraId="04498ECE" w14:textId="77777777" w:rsidR="005F5148" w:rsidRPr="0006798B" w:rsidRDefault="005F5148" w:rsidP="005F5148">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P = Percentage value</w:t>
      </w:r>
    </w:p>
    <w:p w14:paraId="14F82C83" w14:textId="77777777" w:rsidR="005F5148" w:rsidRPr="0006798B" w:rsidRDefault="005F5148" w:rsidP="005F5148">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X = number of farmers falling into the specific category to be measured</w:t>
      </w:r>
    </w:p>
    <w:p w14:paraId="0FD04F7F" w14:textId="77777777" w:rsidR="005F5148" w:rsidRPr="0006798B" w:rsidRDefault="005F5148" w:rsidP="005F5148">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Y = Total number of farmers</w:t>
      </w:r>
    </w:p>
    <w:p w14:paraId="45866D90" w14:textId="77777777" w:rsidR="005F5148" w:rsidRPr="00B316CC" w:rsidRDefault="005F5148" w:rsidP="005F5148">
      <w:pPr>
        <w:pStyle w:val="ListParagraph"/>
        <w:spacing w:line="360" w:lineRule="auto"/>
        <w:ind w:left="1080"/>
        <w:jc w:val="both"/>
        <w:rPr>
          <w:rFonts w:ascii="Times New Roman" w:hAnsi="Times New Roman" w:cs="Times New Roman"/>
        </w:rPr>
      </w:pPr>
    </w:p>
    <w:p w14:paraId="51261084" w14:textId="77777777" w:rsidR="005F5148" w:rsidRPr="0006798B" w:rsidRDefault="005F5148" w:rsidP="005F5148">
      <w:pPr>
        <w:pStyle w:val="ListParagraph"/>
        <w:numPr>
          <w:ilvl w:val="1"/>
          <w:numId w:val="2"/>
        </w:numPr>
        <w:spacing w:line="360" w:lineRule="auto"/>
        <w:jc w:val="both"/>
        <w:rPr>
          <w:rFonts w:ascii="Times New Roman" w:hAnsi="Times New Roman" w:cs="Times New Roman"/>
          <w:b/>
          <w:bCs/>
          <w:sz w:val="22"/>
          <w:szCs w:val="22"/>
        </w:rPr>
      </w:pPr>
      <w:r w:rsidRPr="009501DE">
        <w:rPr>
          <w:rFonts w:ascii="Times New Roman" w:hAnsi="Times New Roman" w:cs="Times New Roman"/>
          <w:b/>
          <w:bCs/>
        </w:rPr>
        <w:lastRenderedPageBreak/>
        <w:t>Arithmetic Mean:</w:t>
      </w:r>
    </w:p>
    <w:p w14:paraId="3C5484AD" w14:textId="77777777" w:rsidR="005F5148" w:rsidRPr="0006798B" w:rsidRDefault="005F5148" w:rsidP="005F5148">
      <w:pPr>
        <w:pStyle w:val="ListParagraph"/>
        <w:spacing w:line="360" w:lineRule="auto"/>
        <w:ind w:left="1080"/>
        <w:jc w:val="both"/>
        <w:rPr>
          <w:rFonts w:ascii="Times New Roman" w:eastAsiaTheme="minorEastAsia" w:hAnsi="Times New Roman" w:cs="Times New Roman"/>
          <w:sz w:val="22"/>
          <w:szCs w:val="22"/>
        </w:rPr>
      </w:pPr>
      <m:oMathPara>
        <m:oMath>
          <m:r>
            <w:rPr>
              <w:rFonts w:ascii="Cambria Math" w:hAnsi="Cambria Math" w:cs="Times New Roman"/>
              <w:sz w:val="22"/>
              <w:szCs w:val="22"/>
            </w:rPr>
            <m:t xml:space="preserve">X= </m:t>
          </m:r>
          <m:f>
            <m:fPr>
              <m:ctrlPr>
                <w:rPr>
                  <w:rFonts w:ascii="Cambria Math" w:hAnsi="Cambria Math" w:cs="Times New Roman"/>
                  <w:i/>
                  <w:sz w:val="22"/>
                  <w:szCs w:val="22"/>
                </w:rPr>
              </m:ctrlPr>
            </m:fPr>
            <m:num>
              <m:r>
                <m:rPr>
                  <m:sty m:val="p"/>
                </m:rPr>
                <w:rPr>
                  <w:rFonts w:ascii="Cambria Math" w:hAnsi="Cambria Math" w:cs="Times New Roman"/>
                  <w:sz w:val="22"/>
                  <w:szCs w:val="22"/>
                </w:rPr>
                <m:t>Σ</m:t>
              </m:r>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i</m:t>
                  </m:r>
                </m:sub>
              </m:sSub>
            </m:num>
            <m:den>
              <m:r>
                <w:rPr>
                  <w:rFonts w:ascii="Cambria Math" w:hAnsi="Cambria Math" w:cs="Times New Roman"/>
                  <w:sz w:val="22"/>
                  <w:szCs w:val="22"/>
                </w:rPr>
                <m:t>N</m:t>
              </m:r>
            </m:den>
          </m:f>
        </m:oMath>
      </m:oMathPara>
    </w:p>
    <w:p w14:paraId="1172A9D5" w14:textId="77777777" w:rsidR="005F5148" w:rsidRPr="0006798B" w:rsidRDefault="005F5148" w:rsidP="005F5148">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Here,</w:t>
      </w:r>
    </w:p>
    <w:p w14:paraId="76EA00B4" w14:textId="77777777" w:rsidR="005F5148" w:rsidRPr="0006798B" w:rsidRDefault="005F5148" w:rsidP="005F5148">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X = arithmetic mean</w:t>
      </w:r>
    </w:p>
    <w:p w14:paraId="0A29FFAA" w14:textId="77777777" w:rsidR="005F5148" w:rsidRPr="0006798B" w:rsidRDefault="005F5148" w:rsidP="005F5148">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Σ X</w:t>
      </w:r>
      <w:r w:rsidRPr="0006798B">
        <w:rPr>
          <w:rFonts w:ascii="Times New Roman" w:eastAsiaTheme="minorEastAsia" w:hAnsi="Times New Roman" w:cs="Times New Roman"/>
          <w:sz w:val="22"/>
          <w:szCs w:val="22"/>
          <w:vertAlign w:val="subscript"/>
        </w:rPr>
        <w:t>i</w:t>
      </w:r>
      <w:r w:rsidRPr="0006798B">
        <w:rPr>
          <w:rFonts w:ascii="Times New Roman" w:eastAsiaTheme="minorEastAsia" w:hAnsi="Times New Roman" w:cs="Times New Roman"/>
          <w:sz w:val="22"/>
          <w:szCs w:val="22"/>
        </w:rPr>
        <w:t xml:space="preserve"> = Sum of observations</w:t>
      </w:r>
    </w:p>
    <w:p w14:paraId="0841E36B" w14:textId="77777777" w:rsidR="005F5148" w:rsidRPr="0006798B" w:rsidRDefault="005F5148" w:rsidP="005F5148">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N = total number of observations</w:t>
      </w:r>
    </w:p>
    <w:p w14:paraId="62BE3E5C" w14:textId="77777777" w:rsidR="005F5148" w:rsidRPr="00B316CC" w:rsidRDefault="005F5148" w:rsidP="005F5148">
      <w:pPr>
        <w:pStyle w:val="ListParagraph"/>
        <w:spacing w:line="360" w:lineRule="auto"/>
        <w:ind w:left="1080"/>
        <w:jc w:val="both"/>
        <w:rPr>
          <w:rFonts w:ascii="Times New Roman" w:eastAsiaTheme="minorEastAsia" w:hAnsi="Times New Roman" w:cs="Times New Roman"/>
        </w:rPr>
      </w:pPr>
    </w:p>
    <w:p w14:paraId="376B3BFE" w14:textId="77777777" w:rsidR="005F5148" w:rsidRPr="00B37AE1" w:rsidRDefault="005F5148" w:rsidP="005F5148">
      <w:pPr>
        <w:pStyle w:val="ListParagraph"/>
        <w:numPr>
          <w:ilvl w:val="1"/>
          <w:numId w:val="2"/>
        </w:numPr>
        <w:spacing w:after="124" w:line="360" w:lineRule="auto"/>
        <w:rPr>
          <w:rFonts w:ascii="Times New Roman" w:hAnsi="Times New Roman" w:cs="Times New Roman"/>
          <w:bCs/>
        </w:rPr>
      </w:pPr>
      <w:r w:rsidRPr="009501DE">
        <w:rPr>
          <w:rFonts w:ascii="Times New Roman" w:hAnsi="Times New Roman" w:cs="Times New Roman"/>
          <w:b/>
        </w:rPr>
        <w:t>Absolute Change</w:t>
      </w:r>
      <w:r w:rsidRPr="00521D9F">
        <w:rPr>
          <w:rFonts w:ascii="Times New Roman" w:hAnsi="Times New Roman" w:cs="Times New Roman"/>
          <w:bCs/>
        </w:rPr>
        <w:t>:</w:t>
      </w:r>
    </w:p>
    <w:p w14:paraId="27E960AF" w14:textId="77777777" w:rsidR="005F5148" w:rsidRPr="0006798B" w:rsidRDefault="005F5148" w:rsidP="005F5148">
      <w:pPr>
        <w:pStyle w:val="ListParagraph"/>
        <w:spacing w:after="99" w:line="360" w:lineRule="auto"/>
        <w:ind w:left="1080" w:right="230"/>
        <w:jc w:val="both"/>
        <w:rPr>
          <w:rFonts w:ascii="Times New Roman" w:hAnsi="Times New Roman" w:cs="Times New Roman"/>
          <w:color w:val="111111"/>
          <w:sz w:val="22"/>
          <w:szCs w:val="22"/>
        </w:rPr>
      </w:pPr>
      <w:r w:rsidRPr="0006798B">
        <w:rPr>
          <w:rFonts w:ascii="Times New Roman" w:hAnsi="Times New Roman" w:cs="Times New Roman"/>
          <w:color w:val="111111"/>
          <w:sz w:val="22"/>
          <w:szCs w:val="22"/>
        </w:rPr>
        <w:t xml:space="preserve">Absolute change explains the overall variation in components with respect to base year. This can be worked out using the average of Base Year and Current Year of the given period. </w:t>
      </w:r>
    </w:p>
    <w:p w14:paraId="3F2ED225" w14:textId="77777777" w:rsidR="005F5148" w:rsidRPr="0006798B" w:rsidRDefault="005F5148" w:rsidP="005F5148">
      <w:pPr>
        <w:spacing w:after="107"/>
        <w:ind w:left="360"/>
        <w:jc w:val="center"/>
        <w:rPr>
          <w:rFonts w:ascii="Times New Roman" w:eastAsiaTheme="minorEastAsia" w:hAnsi="Times New Roman" w:cs="Times New Roman"/>
          <w:sz w:val="22"/>
          <w:szCs w:val="22"/>
        </w:rPr>
      </w:pPr>
      <m:oMathPara>
        <m:oMath>
          <m:r>
            <w:rPr>
              <w:rFonts w:ascii="Cambria Math" w:hAnsi="Cambria Math" w:cs="Times New Roman"/>
              <w:sz w:val="22"/>
              <w:szCs w:val="22"/>
            </w:rPr>
            <m:t>Absolute Change=Current Year-Base Year</m:t>
          </m:r>
        </m:oMath>
      </m:oMathPara>
    </w:p>
    <w:p w14:paraId="0240B49B" w14:textId="77777777" w:rsidR="005F5148" w:rsidRPr="0006798B" w:rsidRDefault="005F5148" w:rsidP="005F5148">
      <w:pPr>
        <w:spacing w:after="107"/>
        <w:ind w:left="360"/>
        <w:jc w:val="center"/>
        <w:rPr>
          <w:rFonts w:ascii="Times New Roman" w:hAnsi="Times New Roman" w:cs="Times New Roman"/>
          <w:sz w:val="22"/>
          <w:szCs w:val="22"/>
        </w:rPr>
      </w:pPr>
    </w:p>
    <w:p w14:paraId="075D45A6" w14:textId="77777777" w:rsidR="005F5148" w:rsidRPr="0006798B" w:rsidRDefault="005F5148" w:rsidP="005F5148">
      <w:pPr>
        <w:pStyle w:val="ListParagraph"/>
        <w:spacing w:after="234" w:line="360" w:lineRule="auto"/>
        <w:ind w:left="1080"/>
        <w:jc w:val="both"/>
        <w:rPr>
          <w:rFonts w:ascii="Times New Roman" w:hAnsi="Times New Roman" w:cs="Times New Roman"/>
          <w:sz w:val="22"/>
          <w:szCs w:val="22"/>
        </w:rPr>
      </w:pPr>
      <w:r w:rsidRPr="0006798B">
        <w:rPr>
          <w:rFonts w:ascii="Times New Roman" w:hAnsi="Times New Roman" w:cs="Times New Roman"/>
          <w:sz w:val="22"/>
          <w:szCs w:val="22"/>
        </w:rPr>
        <w:t xml:space="preserve">Current year: Mean value of final three years was considered as current year </w:t>
      </w:r>
    </w:p>
    <w:p w14:paraId="2045B2A6" w14:textId="77777777" w:rsidR="005F5148" w:rsidRPr="0006798B" w:rsidRDefault="005F5148" w:rsidP="005F5148">
      <w:pPr>
        <w:pStyle w:val="ListParagraph"/>
        <w:spacing w:after="222" w:line="360" w:lineRule="auto"/>
        <w:ind w:left="1080"/>
        <w:jc w:val="both"/>
        <w:rPr>
          <w:rFonts w:ascii="Times New Roman" w:hAnsi="Times New Roman" w:cs="Times New Roman"/>
          <w:sz w:val="22"/>
          <w:szCs w:val="22"/>
        </w:rPr>
      </w:pPr>
      <w:r w:rsidRPr="0006798B">
        <w:rPr>
          <w:rFonts w:ascii="Times New Roman" w:hAnsi="Times New Roman" w:cs="Times New Roman"/>
          <w:sz w:val="22"/>
          <w:szCs w:val="22"/>
        </w:rPr>
        <w:t xml:space="preserve">Base year: Mean value of initial three years was considered as base year </w:t>
      </w:r>
    </w:p>
    <w:p w14:paraId="2CE33D66" w14:textId="77777777" w:rsidR="005F5148" w:rsidRPr="0006798B" w:rsidRDefault="005F5148" w:rsidP="005F5148">
      <w:pPr>
        <w:pStyle w:val="ListParagraph"/>
        <w:spacing w:line="360" w:lineRule="auto"/>
        <w:ind w:left="1080"/>
        <w:jc w:val="both"/>
        <w:rPr>
          <w:rFonts w:ascii="Times New Roman" w:hAnsi="Times New Roman" w:cs="Times New Roman"/>
          <w:sz w:val="22"/>
          <w:szCs w:val="22"/>
        </w:rPr>
      </w:pPr>
    </w:p>
    <w:p w14:paraId="24B73801" w14:textId="77777777" w:rsidR="005F5148" w:rsidRPr="009501DE" w:rsidRDefault="005F5148" w:rsidP="005F5148">
      <w:pPr>
        <w:pStyle w:val="ListParagraph"/>
        <w:numPr>
          <w:ilvl w:val="1"/>
          <w:numId w:val="2"/>
        </w:numPr>
        <w:spacing w:line="360" w:lineRule="auto"/>
        <w:jc w:val="both"/>
        <w:rPr>
          <w:rFonts w:ascii="Times New Roman" w:hAnsi="Times New Roman" w:cs="Times New Roman"/>
          <w:b/>
          <w:bCs/>
        </w:rPr>
      </w:pPr>
      <w:r w:rsidRPr="009501DE">
        <w:rPr>
          <w:rFonts w:ascii="Times New Roman" w:hAnsi="Times New Roman" w:cs="Times New Roman"/>
          <w:b/>
          <w:bCs/>
        </w:rPr>
        <w:t>Relative Change:</w:t>
      </w:r>
    </w:p>
    <w:p w14:paraId="23EC3434" w14:textId="77777777" w:rsidR="005F5148" w:rsidRPr="0006798B" w:rsidRDefault="005F5148" w:rsidP="005F5148">
      <w:pPr>
        <w:pStyle w:val="ListParagraph"/>
        <w:spacing w:after="30" w:line="360" w:lineRule="auto"/>
        <w:ind w:left="1080" w:right="230"/>
        <w:rPr>
          <w:rFonts w:ascii="Times New Roman" w:hAnsi="Times New Roman" w:cs="Times New Roman"/>
          <w:color w:val="111111"/>
          <w:sz w:val="22"/>
          <w:szCs w:val="22"/>
        </w:rPr>
      </w:pPr>
      <w:r w:rsidRPr="0006798B">
        <w:rPr>
          <w:rFonts w:ascii="Times New Roman" w:hAnsi="Times New Roman" w:cs="Times New Roman"/>
          <w:color w:val="111111"/>
          <w:sz w:val="22"/>
          <w:szCs w:val="22"/>
        </w:rPr>
        <w:t xml:space="preserve">The comparative change amongst the components might not be explained using the absolute change; hence, relative change was worked out using following formula. </w:t>
      </w:r>
    </w:p>
    <w:p w14:paraId="379B62B4" w14:textId="77777777" w:rsidR="005F5148" w:rsidRPr="0006798B" w:rsidRDefault="005F5148" w:rsidP="005F5148">
      <w:pPr>
        <w:pStyle w:val="ListParagraph"/>
        <w:spacing w:after="30" w:line="360" w:lineRule="auto"/>
        <w:ind w:left="1080" w:right="230"/>
        <w:rPr>
          <w:rFonts w:ascii="Times New Roman" w:hAnsi="Times New Roman" w:cs="Times New Roman"/>
          <w:color w:val="111111"/>
          <w:sz w:val="22"/>
          <w:szCs w:val="22"/>
        </w:rPr>
      </w:pPr>
    </w:p>
    <w:p w14:paraId="5F26713D" w14:textId="77777777" w:rsidR="005F5148" w:rsidRPr="0006798B" w:rsidRDefault="005F5148" w:rsidP="005F5148">
      <w:pPr>
        <w:pStyle w:val="ListParagraph"/>
        <w:spacing w:after="30" w:line="276" w:lineRule="auto"/>
        <w:ind w:left="1080" w:right="230"/>
        <w:rPr>
          <w:rFonts w:ascii="Times New Roman" w:hAnsi="Times New Roman" w:cs="Times New Roman"/>
          <w:sz w:val="22"/>
          <w:szCs w:val="22"/>
        </w:rPr>
      </w:pPr>
      <m:oMathPara>
        <m:oMath>
          <m:r>
            <w:rPr>
              <w:rFonts w:ascii="Cambria Math" w:hAnsi="Cambria Math" w:cs="Times New Roman"/>
              <w:sz w:val="22"/>
              <w:szCs w:val="22"/>
            </w:rPr>
            <m:t xml:space="preserve">Relative Change= </m:t>
          </m:r>
          <m:f>
            <m:fPr>
              <m:ctrlPr>
                <w:rPr>
                  <w:rFonts w:ascii="Cambria Math" w:hAnsi="Cambria Math" w:cs="Times New Roman"/>
                  <w:i/>
                  <w:sz w:val="22"/>
                  <w:szCs w:val="22"/>
                </w:rPr>
              </m:ctrlPr>
            </m:fPr>
            <m:num>
              <m:r>
                <w:rPr>
                  <w:rFonts w:ascii="Cambria Math" w:hAnsi="Cambria Math" w:cs="Times New Roman"/>
                  <w:sz w:val="22"/>
                  <w:szCs w:val="22"/>
                </w:rPr>
                <m:t>Current Year-Base Year</m:t>
              </m:r>
            </m:num>
            <m:den>
              <m:r>
                <w:rPr>
                  <w:rFonts w:ascii="Cambria Math" w:hAnsi="Cambria Math" w:cs="Times New Roman"/>
                  <w:sz w:val="22"/>
                  <w:szCs w:val="22"/>
                </w:rPr>
                <m:t>Base Year</m:t>
              </m:r>
            </m:den>
          </m:f>
          <m:r>
            <w:rPr>
              <w:rFonts w:ascii="Cambria Math" w:hAnsi="Cambria Math" w:cs="Times New Roman"/>
              <w:sz w:val="22"/>
              <w:szCs w:val="22"/>
            </w:rPr>
            <m:t>*100</m:t>
          </m:r>
        </m:oMath>
      </m:oMathPara>
    </w:p>
    <w:p w14:paraId="60D30B39" w14:textId="77777777" w:rsidR="005F5148" w:rsidRPr="0006798B" w:rsidRDefault="005F5148" w:rsidP="005F5148">
      <w:pPr>
        <w:pStyle w:val="ListParagraph"/>
        <w:spacing w:line="360" w:lineRule="auto"/>
        <w:ind w:left="1080"/>
        <w:jc w:val="both"/>
        <w:rPr>
          <w:rFonts w:ascii="Times New Roman" w:hAnsi="Times New Roman" w:cs="Times New Roman"/>
          <w:sz w:val="22"/>
          <w:szCs w:val="22"/>
        </w:rPr>
      </w:pPr>
    </w:p>
    <w:p w14:paraId="1B627049" w14:textId="77777777" w:rsidR="005F5148" w:rsidRPr="009501DE" w:rsidRDefault="005F5148" w:rsidP="005F5148">
      <w:pPr>
        <w:pStyle w:val="ListParagraph"/>
        <w:numPr>
          <w:ilvl w:val="1"/>
          <w:numId w:val="2"/>
        </w:numPr>
        <w:spacing w:line="360" w:lineRule="auto"/>
        <w:jc w:val="both"/>
        <w:rPr>
          <w:rFonts w:ascii="Times New Roman" w:hAnsi="Times New Roman" w:cs="Times New Roman"/>
          <w:b/>
        </w:rPr>
      </w:pPr>
      <w:r w:rsidRPr="009501DE">
        <w:rPr>
          <w:rFonts w:ascii="Times New Roman" w:hAnsi="Times New Roman" w:cs="Times New Roman"/>
          <w:b/>
        </w:rPr>
        <w:t>Coefficient of Variation (%):</w:t>
      </w:r>
    </w:p>
    <w:p w14:paraId="2A7A6D8C" w14:textId="77777777" w:rsidR="005F5148" w:rsidRPr="0006798B" w:rsidRDefault="005F5148" w:rsidP="005F5148">
      <w:pPr>
        <w:pStyle w:val="ListParagraph"/>
        <w:spacing w:after="1" w:line="360" w:lineRule="auto"/>
        <w:ind w:left="1080" w:right="237"/>
        <w:rPr>
          <w:rFonts w:ascii="Times New Roman" w:hAnsi="Times New Roman" w:cs="Times New Roman"/>
          <w:color w:val="111111"/>
          <w:sz w:val="22"/>
          <w:szCs w:val="22"/>
        </w:rPr>
      </w:pPr>
      <w:r w:rsidRPr="0006798B">
        <w:rPr>
          <w:rFonts w:ascii="Times New Roman" w:hAnsi="Times New Roman" w:cs="Times New Roman"/>
          <w:color w:val="111111"/>
          <w:sz w:val="22"/>
          <w:szCs w:val="22"/>
        </w:rPr>
        <w:t xml:space="preserve">Coefficient of variation is the percentage variation around the mean. It was </w:t>
      </w:r>
      <w:r w:rsidRPr="0006798B">
        <w:rPr>
          <w:rFonts w:ascii="Times New Roman" w:hAnsi="Times New Roman" w:cs="Times New Roman"/>
          <w:sz w:val="22"/>
          <w:szCs w:val="22"/>
        </w:rPr>
        <w:t xml:space="preserve">used to analyse the variability in area, production and productivity of </w:t>
      </w:r>
      <w:proofErr w:type="gramStart"/>
      <w:r w:rsidRPr="0006798B">
        <w:rPr>
          <w:rFonts w:ascii="Times New Roman" w:hAnsi="Times New Roman" w:cs="Times New Roman"/>
          <w:sz w:val="22"/>
          <w:szCs w:val="22"/>
        </w:rPr>
        <w:t>soybean  in</w:t>
      </w:r>
      <w:proofErr w:type="gramEnd"/>
      <w:r w:rsidRPr="0006798B">
        <w:rPr>
          <w:rFonts w:ascii="Times New Roman" w:hAnsi="Times New Roman" w:cs="Times New Roman"/>
          <w:sz w:val="22"/>
          <w:szCs w:val="22"/>
        </w:rPr>
        <w:t xml:space="preserve"> Madhya Pradesh</w:t>
      </w:r>
      <w:r w:rsidRPr="0006798B">
        <w:rPr>
          <w:rFonts w:ascii="Times New Roman" w:hAnsi="Times New Roman" w:cs="Times New Roman"/>
          <w:color w:val="111111"/>
          <w:sz w:val="22"/>
          <w:szCs w:val="22"/>
        </w:rPr>
        <w:t xml:space="preserve">. </w:t>
      </w:r>
    </w:p>
    <w:p w14:paraId="35C96336" w14:textId="77777777" w:rsidR="005F5148" w:rsidRPr="0006798B" w:rsidRDefault="005F5148" w:rsidP="005F5148">
      <w:pPr>
        <w:pStyle w:val="ListParagraph"/>
        <w:spacing w:after="1" w:line="360" w:lineRule="auto"/>
        <w:ind w:left="1080" w:right="237"/>
        <w:rPr>
          <w:color w:val="111111"/>
          <w:sz w:val="22"/>
          <w:szCs w:val="22"/>
        </w:rPr>
      </w:pPr>
    </w:p>
    <w:p w14:paraId="09EFCFCF" w14:textId="77777777" w:rsidR="005F5148" w:rsidRPr="0006798B" w:rsidRDefault="005F5148" w:rsidP="005F5148">
      <w:pPr>
        <w:pStyle w:val="ListParagraph"/>
        <w:spacing w:after="1" w:line="360" w:lineRule="auto"/>
        <w:ind w:left="1080" w:right="237"/>
        <w:rPr>
          <w:sz w:val="22"/>
          <w:szCs w:val="22"/>
        </w:rPr>
      </w:pPr>
      <m:oMathPara>
        <m:oMath>
          <m:r>
            <w:rPr>
              <w:rFonts w:ascii="Cambria Math" w:hAnsi="Cambria Math"/>
              <w:sz w:val="22"/>
              <w:szCs w:val="22"/>
            </w:rPr>
            <m:t xml:space="preserve">CV= </m:t>
          </m:r>
          <m:f>
            <m:fPr>
              <m:ctrlPr>
                <w:rPr>
                  <w:rFonts w:ascii="Cambria Math" w:hAnsi="Cambria Math"/>
                  <w:i/>
                  <w:sz w:val="22"/>
                  <w:szCs w:val="22"/>
                </w:rPr>
              </m:ctrlPr>
            </m:fPr>
            <m:num>
              <m:r>
                <w:rPr>
                  <w:rFonts w:ascii="Cambria Math" w:hAnsi="Cambria Math"/>
                  <w:sz w:val="22"/>
                  <w:szCs w:val="22"/>
                </w:rPr>
                <m:t>Standard Deviation</m:t>
              </m:r>
            </m:num>
            <m:den>
              <m:r>
                <w:rPr>
                  <w:rFonts w:ascii="Cambria Math" w:hAnsi="Cambria Math"/>
                  <w:sz w:val="22"/>
                  <w:szCs w:val="22"/>
                </w:rPr>
                <m:t>Mean Value</m:t>
              </m:r>
            </m:den>
          </m:f>
          <m:r>
            <w:rPr>
              <w:rFonts w:ascii="Cambria Math" w:hAnsi="Cambria Math"/>
              <w:sz w:val="22"/>
              <w:szCs w:val="22"/>
            </w:rPr>
            <m:t>*100</m:t>
          </m:r>
        </m:oMath>
      </m:oMathPara>
    </w:p>
    <w:p w14:paraId="5003ECB9" w14:textId="77777777" w:rsidR="005F5148" w:rsidRPr="0006798B" w:rsidRDefault="005F5148" w:rsidP="005F5148">
      <w:pPr>
        <w:pStyle w:val="ListParagraph"/>
        <w:spacing w:after="1" w:line="360" w:lineRule="auto"/>
        <w:ind w:left="1080" w:right="237"/>
        <w:rPr>
          <w:sz w:val="22"/>
          <w:szCs w:val="22"/>
        </w:rPr>
      </w:pPr>
      <m:oMathPara>
        <m:oMath>
          <m:r>
            <w:rPr>
              <w:rFonts w:ascii="Cambria Math" w:hAnsi="Cambria Math"/>
              <w:sz w:val="22"/>
              <w:szCs w:val="22"/>
            </w:rPr>
            <m:t xml:space="preserve">Standard Deviation= </m:t>
          </m:r>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n</m:t>
                  </m:r>
                </m:den>
              </m:f>
              <m:nary>
                <m:naryPr>
                  <m:chr m:val="∑"/>
                  <m:limLoc m:val="undOvr"/>
                  <m:subHide m:val="1"/>
                  <m:supHide m:val="1"/>
                  <m:ctrlPr>
                    <w:rPr>
                      <w:rFonts w:ascii="Cambria Math" w:hAnsi="Cambria Math"/>
                      <w:i/>
                      <w:sz w:val="22"/>
                      <w:szCs w:val="22"/>
                    </w:rPr>
                  </m:ctrlPr>
                </m:naryPr>
                <m:sub/>
                <m:sup/>
                <m:e>
                  <m:sSup>
                    <m:sSupPr>
                      <m:ctrlPr>
                        <w:rPr>
                          <w:rFonts w:ascii="Cambria Math" w:hAnsi="Cambria Math"/>
                          <w:i/>
                          <w:sz w:val="22"/>
                          <w:szCs w:val="22"/>
                        </w:rPr>
                      </m:ctrlPr>
                    </m:sSupPr>
                    <m:e>
                      <m:r>
                        <w:rPr>
                          <w:rFonts w:ascii="Cambria Math" w:hAnsi="Cambria Math"/>
                          <w:sz w:val="22"/>
                          <w:szCs w:val="22"/>
                        </w:rPr>
                        <m:t xml:space="preserve">(x- </m:t>
                      </m:r>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m:t>
                      </m:r>
                    </m:e>
                    <m:sup>
                      <m:r>
                        <w:rPr>
                          <w:rFonts w:ascii="Cambria Math" w:hAnsi="Cambria Math"/>
                          <w:sz w:val="22"/>
                          <w:szCs w:val="22"/>
                        </w:rPr>
                        <m:t>2</m:t>
                      </m:r>
                    </m:sup>
                  </m:sSup>
                </m:e>
              </m:nary>
            </m:e>
          </m:rad>
        </m:oMath>
      </m:oMathPara>
    </w:p>
    <w:p w14:paraId="419D5BB6" w14:textId="77777777" w:rsidR="005F5148" w:rsidRPr="0006798B" w:rsidRDefault="005F5148" w:rsidP="005F5148">
      <w:pPr>
        <w:pStyle w:val="ListParagraph"/>
        <w:spacing w:after="1" w:line="360" w:lineRule="auto"/>
        <w:ind w:left="1080" w:right="237"/>
        <w:rPr>
          <w:sz w:val="22"/>
          <w:szCs w:val="22"/>
        </w:rPr>
      </w:pPr>
    </w:p>
    <w:p w14:paraId="4CD41B2D" w14:textId="77777777" w:rsidR="005F5148" w:rsidRPr="0006798B" w:rsidRDefault="005F5148" w:rsidP="005F5148">
      <w:pPr>
        <w:pStyle w:val="ListParagraph"/>
        <w:spacing w:after="1" w:line="360" w:lineRule="auto"/>
        <w:ind w:left="1080" w:right="237"/>
        <w:rPr>
          <w:rFonts w:eastAsiaTheme="minorEastAsia"/>
          <w:sz w:val="22"/>
          <w:szCs w:val="22"/>
        </w:rPr>
      </w:pPr>
      <m:oMathPara>
        <m:oMath>
          <m:r>
            <w:rPr>
              <w:rFonts w:ascii="Cambria Math" w:hAnsi="Cambria Math"/>
              <w:sz w:val="22"/>
              <w:szCs w:val="22"/>
            </w:rPr>
            <m:t xml:space="preserve">Mean Value= </m:t>
          </m:r>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 xml:space="preserve">= </m:t>
          </m:r>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e>
              </m:nary>
            </m:num>
            <m:den>
              <m:r>
                <w:rPr>
                  <w:rFonts w:ascii="Cambria Math" w:hAnsi="Cambria Math"/>
                  <w:sz w:val="22"/>
                  <w:szCs w:val="22"/>
                </w:rPr>
                <m:t>n</m:t>
              </m:r>
            </m:den>
          </m:f>
        </m:oMath>
      </m:oMathPara>
    </w:p>
    <w:p w14:paraId="002360D2" w14:textId="77777777" w:rsidR="005F5148" w:rsidRPr="00B37AE1" w:rsidRDefault="005F5148" w:rsidP="005F5148">
      <w:pPr>
        <w:pStyle w:val="ListParagraph"/>
        <w:spacing w:after="1" w:line="360" w:lineRule="auto"/>
        <w:ind w:left="1080" w:right="237"/>
      </w:pPr>
    </w:p>
    <w:p w14:paraId="6846191A" w14:textId="77777777" w:rsidR="005F5148" w:rsidRPr="009501DE" w:rsidRDefault="005F5148" w:rsidP="005F5148">
      <w:pPr>
        <w:pStyle w:val="ListParagraph"/>
        <w:numPr>
          <w:ilvl w:val="1"/>
          <w:numId w:val="2"/>
        </w:numPr>
        <w:spacing w:line="360" w:lineRule="auto"/>
        <w:jc w:val="both"/>
        <w:rPr>
          <w:rFonts w:ascii="Times New Roman" w:hAnsi="Times New Roman" w:cs="Times New Roman"/>
          <w:b/>
        </w:rPr>
      </w:pPr>
      <w:r w:rsidRPr="009501DE">
        <w:rPr>
          <w:rFonts w:ascii="Times New Roman" w:hAnsi="Times New Roman" w:cs="Times New Roman"/>
          <w:b/>
        </w:rPr>
        <w:lastRenderedPageBreak/>
        <w:t>Linear Trend:</w:t>
      </w:r>
    </w:p>
    <w:p w14:paraId="643DD8DB" w14:textId="77777777" w:rsidR="005F5148" w:rsidRPr="0006798B" w:rsidRDefault="005F5148" w:rsidP="005F5148">
      <w:pPr>
        <w:pStyle w:val="ListParagraph"/>
        <w:spacing w:after="271"/>
        <w:ind w:left="1080"/>
        <w:rPr>
          <w:sz w:val="22"/>
          <w:szCs w:val="22"/>
        </w:rPr>
      </w:pPr>
      <m:oMathPara>
        <m:oMath>
          <m:r>
            <w:rPr>
              <w:rFonts w:ascii="Cambria Math" w:hAnsi="Cambria Math"/>
              <w:sz w:val="22"/>
              <w:szCs w:val="22"/>
            </w:rPr>
            <m:t>Y=a+bx</m:t>
          </m:r>
        </m:oMath>
      </m:oMathPara>
    </w:p>
    <w:p w14:paraId="33B52CB1" w14:textId="77777777" w:rsidR="005F5148" w:rsidRPr="0006798B" w:rsidRDefault="005F5148" w:rsidP="005F5148">
      <w:pPr>
        <w:pStyle w:val="ListParagraph"/>
        <w:spacing w:after="271"/>
        <w:ind w:left="1080"/>
        <w:rPr>
          <w:szCs w:val="22"/>
        </w:rPr>
      </w:pPr>
      <m:oMathPara>
        <m:oMath>
          <m:r>
            <w:rPr>
              <w:rFonts w:ascii="Cambria Math" w:hAnsi="Cambria Math"/>
              <w:sz w:val="22"/>
              <w:szCs w:val="22"/>
            </w:rPr>
            <m:t xml:space="preserve">b= </m:t>
          </m:r>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xy</m:t>
                  </m:r>
                </m:e>
              </m:nary>
              <m:r>
                <w:rPr>
                  <w:rFonts w:ascii="Cambria Math" w:hAnsi="Cambria Math"/>
                  <w:sz w:val="22"/>
                  <w:szCs w:val="22"/>
                </w:rPr>
                <m:t xml:space="preserve">- </m:t>
              </m:r>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y</m:t>
                          </m:r>
                        </m:e>
                      </m:nary>
                    </m:e>
                  </m:nary>
                </m:num>
                <m:den>
                  <m:r>
                    <w:rPr>
                      <w:rFonts w:ascii="Cambria Math" w:hAnsi="Cambria Math"/>
                      <w:sz w:val="22"/>
                      <w:szCs w:val="22"/>
                    </w:rPr>
                    <m:t>N</m:t>
                  </m:r>
                </m:den>
              </m:f>
              <m:r>
                <w:rPr>
                  <w:rFonts w:ascii="Cambria Math" w:hAnsi="Cambria Math"/>
                  <w:sz w:val="22"/>
                  <w:szCs w:val="22"/>
                </w:rPr>
                <m:t xml:space="preserve"> </m:t>
              </m:r>
            </m:num>
            <m:den>
              <m:nary>
                <m:naryPr>
                  <m:chr m:val="∑"/>
                  <m:limLoc m:val="undOvr"/>
                  <m:subHide m:val="1"/>
                  <m:supHide m:val="1"/>
                  <m:ctrlPr>
                    <w:rPr>
                      <w:rFonts w:ascii="Cambria Math" w:hAnsi="Cambria Math"/>
                      <w:i/>
                      <w:sz w:val="22"/>
                      <w:szCs w:val="22"/>
                    </w:rPr>
                  </m:ctrlPr>
                </m:naryPr>
                <m:sub/>
                <m:sup/>
                <m:e>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e>
              </m:nary>
              <m:r>
                <w:rPr>
                  <w:rFonts w:ascii="Cambria Math" w:hAnsi="Cambria Math"/>
                  <w:sz w:val="22"/>
                  <w:szCs w:val="22"/>
                </w:rPr>
                <m:t xml:space="preserve">- </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e>
                      </m:nary>
                    </m:e>
                    <m:sup>
                      <m:r>
                        <w:rPr>
                          <w:rFonts w:ascii="Cambria Math" w:hAnsi="Cambria Math"/>
                          <w:sz w:val="22"/>
                          <w:szCs w:val="22"/>
                        </w:rPr>
                        <m:t>2</m:t>
                      </m:r>
                    </m:sup>
                  </m:sSup>
                </m:num>
                <m:den>
                  <m:r>
                    <w:rPr>
                      <w:rFonts w:ascii="Cambria Math" w:hAnsi="Cambria Math"/>
                      <w:sz w:val="22"/>
                      <w:szCs w:val="22"/>
                    </w:rPr>
                    <m:t>N</m:t>
                  </m:r>
                </m:den>
              </m:f>
            </m:den>
          </m:f>
        </m:oMath>
      </m:oMathPara>
    </w:p>
    <w:p w14:paraId="488041B1" w14:textId="77777777" w:rsidR="005F5148" w:rsidRPr="0006798B" w:rsidRDefault="005F5148" w:rsidP="005F5148">
      <w:pPr>
        <w:pStyle w:val="ListParagraph"/>
        <w:spacing w:after="182"/>
        <w:ind w:left="1080"/>
        <w:rPr>
          <w:sz w:val="22"/>
          <w:szCs w:val="22"/>
        </w:rPr>
      </w:pPr>
    </w:p>
    <w:p w14:paraId="7B64F066" w14:textId="77777777" w:rsidR="005F5148" w:rsidRPr="0006798B" w:rsidRDefault="005F5148" w:rsidP="005F5148">
      <w:pPr>
        <w:pStyle w:val="ListParagraph"/>
        <w:spacing w:line="360" w:lineRule="auto"/>
        <w:ind w:left="1080"/>
        <w:jc w:val="both"/>
        <w:rPr>
          <w:rFonts w:ascii="Times New Roman" w:hAnsi="Times New Roman" w:cs="Times New Roman"/>
          <w:color w:val="111111"/>
          <w:sz w:val="22"/>
          <w:szCs w:val="22"/>
        </w:rPr>
      </w:pPr>
      <w:r w:rsidRPr="0006798B">
        <w:rPr>
          <w:rFonts w:ascii="Times New Roman" w:hAnsi="Times New Roman" w:cs="Times New Roman"/>
          <w:color w:val="111111"/>
          <w:sz w:val="22"/>
          <w:szCs w:val="22"/>
        </w:rPr>
        <w:t>Here,</w:t>
      </w:r>
    </w:p>
    <w:p w14:paraId="6A6775BC" w14:textId="77777777" w:rsidR="005F5148" w:rsidRPr="0006798B" w:rsidRDefault="005F5148" w:rsidP="005F5148">
      <w:pPr>
        <w:pStyle w:val="ListParagraph"/>
        <w:spacing w:line="360" w:lineRule="auto"/>
        <w:ind w:left="1080"/>
        <w:jc w:val="both"/>
        <w:rPr>
          <w:rFonts w:ascii="Times New Roman" w:hAnsi="Times New Roman" w:cs="Times New Roman"/>
          <w:color w:val="111111"/>
          <w:sz w:val="22"/>
          <w:szCs w:val="22"/>
        </w:rPr>
      </w:pPr>
      <w:r w:rsidRPr="0006798B">
        <w:rPr>
          <w:rFonts w:ascii="Times New Roman" w:hAnsi="Times New Roman" w:cs="Times New Roman"/>
          <w:color w:val="111111"/>
          <w:sz w:val="22"/>
          <w:szCs w:val="22"/>
        </w:rPr>
        <w:t>Y = Dependent variable</w:t>
      </w:r>
    </w:p>
    <w:p w14:paraId="1E1C90BB" w14:textId="77777777" w:rsidR="005F5148" w:rsidRPr="0006798B" w:rsidRDefault="005F5148" w:rsidP="005F5148">
      <w:pPr>
        <w:pStyle w:val="ListParagraph"/>
        <w:spacing w:line="360" w:lineRule="auto"/>
        <w:ind w:left="1080"/>
        <w:jc w:val="both"/>
        <w:rPr>
          <w:rFonts w:ascii="Times New Roman" w:hAnsi="Times New Roman" w:cs="Times New Roman"/>
          <w:color w:val="111111"/>
          <w:sz w:val="22"/>
          <w:szCs w:val="22"/>
        </w:rPr>
      </w:pPr>
      <w:r w:rsidRPr="0006798B">
        <w:rPr>
          <w:rFonts w:ascii="Times New Roman" w:hAnsi="Times New Roman" w:cs="Times New Roman"/>
          <w:color w:val="111111"/>
          <w:sz w:val="22"/>
          <w:szCs w:val="22"/>
        </w:rPr>
        <w:t>a = Intercept</w:t>
      </w:r>
    </w:p>
    <w:p w14:paraId="48E90AD5" w14:textId="77777777" w:rsidR="005F5148" w:rsidRPr="0006798B" w:rsidRDefault="005F5148" w:rsidP="005F5148">
      <w:pPr>
        <w:pStyle w:val="ListParagraph"/>
        <w:spacing w:line="360" w:lineRule="auto"/>
        <w:ind w:left="1080"/>
        <w:jc w:val="both"/>
        <w:rPr>
          <w:rFonts w:ascii="Times New Roman" w:hAnsi="Times New Roman" w:cs="Times New Roman"/>
          <w:color w:val="111111"/>
          <w:sz w:val="22"/>
          <w:szCs w:val="22"/>
        </w:rPr>
      </w:pPr>
      <w:r w:rsidRPr="0006798B">
        <w:rPr>
          <w:rFonts w:ascii="Times New Roman" w:hAnsi="Times New Roman" w:cs="Times New Roman"/>
          <w:color w:val="111111"/>
          <w:sz w:val="22"/>
          <w:szCs w:val="22"/>
        </w:rPr>
        <w:t>b = Regression Coefficient             x = Independent variable</w:t>
      </w:r>
    </w:p>
    <w:p w14:paraId="2F51705C" w14:textId="77777777" w:rsidR="005F5148" w:rsidRPr="00B37AE1" w:rsidRDefault="005F5148" w:rsidP="005F5148">
      <w:pPr>
        <w:pStyle w:val="ListParagraph"/>
        <w:spacing w:line="360" w:lineRule="auto"/>
        <w:ind w:left="1080"/>
        <w:jc w:val="both"/>
        <w:rPr>
          <w:rFonts w:ascii="Times New Roman" w:hAnsi="Times New Roman" w:cs="Times New Roman"/>
          <w:b/>
        </w:rPr>
      </w:pPr>
    </w:p>
    <w:p w14:paraId="6250513C" w14:textId="77777777" w:rsidR="005F5148" w:rsidRPr="009501DE" w:rsidRDefault="005F5148" w:rsidP="005F5148">
      <w:pPr>
        <w:pStyle w:val="ListParagraph"/>
        <w:numPr>
          <w:ilvl w:val="1"/>
          <w:numId w:val="2"/>
        </w:numPr>
        <w:spacing w:line="360" w:lineRule="auto"/>
        <w:jc w:val="both"/>
        <w:rPr>
          <w:rFonts w:ascii="Times New Roman" w:hAnsi="Times New Roman" w:cs="Times New Roman"/>
          <w:b/>
        </w:rPr>
      </w:pPr>
      <w:r w:rsidRPr="009501DE">
        <w:rPr>
          <w:rFonts w:ascii="Times New Roman" w:hAnsi="Times New Roman" w:cs="Times New Roman"/>
          <w:b/>
        </w:rPr>
        <w:t>Simple Growth Rate (SGR):</w:t>
      </w:r>
    </w:p>
    <w:p w14:paraId="3E496681" w14:textId="77777777" w:rsidR="005F5148" w:rsidRPr="0006798B" w:rsidRDefault="005F5148" w:rsidP="005F5148">
      <w:pPr>
        <w:pStyle w:val="ListParagraph"/>
        <w:spacing w:after="281"/>
        <w:ind w:left="1080"/>
        <w:rPr>
          <w:sz w:val="22"/>
          <w:szCs w:val="22"/>
        </w:rPr>
      </w:pPr>
      <m:oMathPara>
        <m:oMath>
          <m:r>
            <w:rPr>
              <w:rFonts w:ascii="Cambria Math" w:hAnsi="Cambria Math"/>
              <w:sz w:val="22"/>
              <w:szCs w:val="22"/>
            </w:rPr>
            <m:t xml:space="preserve">SGR= </m:t>
          </m:r>
          <m:f>
            <m:fPr>
              <m:ctrlPr>
                <w:rPr>
                  <w:rFonts w:ascii="Cambria Math" w:hAnsi="Cambria Math"/>
                  <w:i/>
                  <w:sz w:val="22"/>
                  <w:szCs w:val="22"/>
                </w:rPr>
              </m:ctrlPr>
            </m:fPr>
            <m:num>
              <m:r>
                <w:rPr>
                  <w:rFonts w:ascii="Cambria Math" w:hAnsi="Cambria Math"/>
                  <w:sz w:val="22"/>
                  <w:szCs w:val="22"/>
                </w:rPr>
                <m:t>b</m:t>
              </m:r>
            </m:num>
            <m:den>
              <m:r>
                <w:rPr>
                  <w:rFonts w:ascii="Cambria Math" w:hAnsi="Cambria Math"/>
                  <w:sz w:val="22"/>
                  <w:szCs w:val="22"/>
                </w:rPr>
                <m:t>y</m:t>
              </m:r>
            </m:den>
          </m:f>
          <m:r>
            <w:rPr>
              <w:rFonts w:ascii="Cambria Math" w:hAnsi="Cambria Math"/>
              <w:sz w:val="22"/>
              <w:szCs w:val="22"/>
            </w:rPr>
            <m:t>*100</m:t>
          </m:r>
        </m:oMath>
      </m:oMathPara>
    </w:p>
    <w:p w14:paraId="20EE386F" w14:textId="77777777" w:rsidR="005F5148" w:rsidRPr="0006798B" w:rsidRDefault="005F5148" w:rsidP="005F5148">
      <w:pPr>
        <w:pStyle w:val="ListParagraph"/>
        <w:spacing w:line="360" w:lineRule="auto"/>
        <w:ind w:left="1080"/>
        <w:jc w:val="both"/>
        <w:rPr>
          <w:rFonts w:ascii="Times New Roman" w:hAnsi="Times New Roman" w:cs="Times New Roman"/>
          <w:b/>
          <w:sz w:val="22"/>
          <w:szCs w:val="22"/>
        </w:rPr>
      </w:pPr>
    </w:p>
    <w:p w14:paraId="6DF7BE6E" w14:textId="77777777" w:rsidR="005F5148" w:rsidRPr="00B37AE1" w:rsidRDefault="005F5148" w:rsidP="005F5148">
      <w:pPr>
        <w:pStyle w:val="ListParagraph"/>
        <w:spacing w:line="360" w:lineRule="auto"/>
        <w:ind w:left="1080"/>
        <w:jc w:val="both"/>
        <w:rPr>
          <w:rFonts w:ascii="Times New Roman" w:hAnsi="Times New Roman" w:cs="Times New Roman"/>
          <w:b/>
        </w:rPr>
      </w:pPr>
    </w:p>
    <w:p w14:paraId="5451866F" w14:textId="77777777" w:rsidR="005F5148" w:rsidRPr="00E8728F" w:rsidRDefault="005F5148" w:rsidP="005F5148">
      <w:pPr>
        <w:pStyle w:val="ListParagraph"/>
        <w:numPr>
          <w:ilvl w:val="1"/>
          <w:numId w:val="2"/>
        </w:numPr>
        <w:spacing w:line="360" w:lineRule="auto"/>
        <w:jc w:val="both"/>
        <w:rPr>
          <w:rFonts w:ascii="Times New Roman" w:hAnsi="Times New Roman" w:cs="Times New Roman"/>
          <w:b/>
        </w:rPr>
      </w:pPr>
      <w:r w:rsidRPr="009501DE">
        <w:rPr>
          <w:rFonts w:ascii="Times New Roman" w:hAnsi="Times New Roman" w:cs="Times New Roman"/>
          <w:b/>
        </w:rPr>
        <w:t>Compound Growth Rate (CGR)</w:t>
      </w:r>
      <w:r>
        <w:rPr>
          <w:rFonts w:ascii="Times New Roman" w:hAnsi="Times New Roman" w:cs="Times New Roman"/>
          <w:bCs/>
        </w:rPr>
        <w:t>:</w:t>
      </w:r>
    </w:p>
    <w:p w14:paraId="569F2F8F" w14:textId="77777777" w:rsidR="005F5148" w:rsidRPr="0006798B" w:rsidRDefault="005F5148" w:rsidP="005F5148">
      <w:pPr>
        <w:pStyle w:val="ListParagraph"/>
        <w:spacing w:after="74" w:line="394" w:lineRule="auto"/>
        <w:ind w:left="1080" w:right="230"/>
        <w:rPr>
          <w:rFonts w:ascii="Times New Roman" w:hAnsi="Times New Roman" w:cs="Times New Roman"/>
          <w:color w:val="111111"/>
          <w:sz w:val="22"/>
          <w:szCs w:val="22"/>
        </w:rPr>
      </w:pPr>
      <w:r w:rsidRPr="0006798B">
        <w:rPr>
          <w:rFonts w:ascii="Times New Roman" w:hAnsi="Times New Roman" w:cs="Times New Roman"/>
          <w:color w:val="111111"/>
          <w:sz w:val="22"/>
          <w:szCs w:val="22"/>
        </w:rPr>
        <w:t>It is usually estimated by fitting a semi-log trend equation of the form:</w:t>
      </w:r>
    </w:p>
    <w:p w14:paraId="33F0559F" w14:textId="77777777" w:rsidR="005F5148" w:rsidRPr="0006798B" w:rsidRDefault="005F5148" w:rsidP="005F5148">
      <w:pPr>
        <w:pStyle w:val="ListParagraph"/>
        <w:spacing w:after="74" w:line="394" w:lineRule="auto"/>
        <w:ind w:left="1080" w:right="230"/>
        <w:rPr>
          <w:rFonts w:ascii="Times New Roman" w:hAnsi="Times New Roman" w:cs="Times New Roman"/>
          <w:bCs/>
          <w:i/>
          <w:color w:val="111111"/>
          <w:sz w:val="22"/>
          <w:szCs w:val="22"/>
        </w:rPr>
      </w:pPr>
      <w:proofErr w:type="spellStart"/>
      <w:r w:rsidRPr="0006798B">
        <w:rPr>
          <w:rFonts w:ascii="Times New Roman" w:hAnsi="Times New Roman" w:cs="Times New Roman"/>
          <w:bCs/>
          <w:i/>
          <w:color w:val="111111"/>
          <w:sz w:val="22"/>
          <w:szCs w:val="22"/>
        </w:rPr>
        <w:t>lnY</w:t>
      </w:r>
      <w:proofErr w:type="spellEnd"/>
      <w:r w:rsidRPr="0006798B">
        <w:rPr>
          <w:rFonts w:ascii="Times New Roman" w:hAnsi="Times New Roman" w:cs="Times New Roman"/>
          <w:bCs/>
          <w:i/>
          <w:color w:val="111111"/>
          <w:sz w:val="22"/>
          <w:szCs w:val="22"/>
        </w:rPr>
        <w:t xml:space="preserve"> =</w:t>
      </w:r>
      <w:proofErr w:type="spellStart"/>
      <w:r w:rsidRPr="0006798B">
        <w:rPr>
          <w:rFonts w:ascii="Times New Roman" w:hAnsi="Times New Roman" w:cs="Times New Roman"/>
          <w:bCs/>
          <w:i/>
          <w:color w:val="111111"/>
          <w:sz w:val="22"/>
          <w:szCs w:val="22"/>
        </w:rPr>
        <w:t>a+bt</w:t>
      </w:r>
      <w:proofErr w:type="spellEnd"/>
      <w:r w:rsidRPr="0006798B">
        <w:rPr>
          <w:rFonts w:ascii="Times New Roman" w:hAnsi="Times New Roman" w:cs="Times New Roman"/>
          <w:bCs/>
          <w:i/>
          <w:color w:val="111111"/>
          <w:sz w:val="22"/>
          <w:szCs w:val="22"/>
        </w:rPr>
        <w:t xml:space="preserve"> </w:t>
      </w:r>
    </w:p>
    <w:p w14:paraId="261171FB" w14:textId="77777777" w:rsidR="005F5148" w:rsidRPr="0006798B" w:rsidRDefault="005F5148" w:rsidP="005F5148">
      <w:pPr>
        <w:pStyle w:val="ListParagraph"/>
        <w:spacing w:after="74" w:line="394" w:lineRule="auto"/>
        <w:ind w:left="1080" w:right="230"/>
        <w:rPr>
          <w:rFonts w:ascii="Times New Roman" w:hAnsi="Times New Roman" w:cs="Times New Roman"/>
          <w:color w:val="111111"/>
          <w:sz w:val="22"/>
          <w:szCs w:val="22"/>
        </w:rPr>
      </w:pPr>
      <w:r w:rsidRPr="0006798B">
        <w:rPr>
          <w:rFonts w:ascii="Times New Roman" w:hAnsi="Times New Roman" w:cs="Times New Roman"/>
          <w:color w:val="111111"/>
          <w:sz w:val="22"/>
          <w:szCs w:val="22"/>
        </w:rPr>
        <w:t xml:space="preserve">Here, </w:t>
      </w:r>
    </w:p>
    <w:p w14:paraId="064E6D06" w14:textId="77777777" w:rsidR="005F5148" w:rsidRPr="0006798B" w:rsidRDefault="005F5148" w:rsidP="005F5148">
      <w:pPr>
        <w:pStyle w:val="ListParagraph"/>
        <w:spacing w:after="74" w:line="394" w:lineRule="auto"/>
        <w:ind w:left="1080" w:right="230"/>
        <w:rPr>
          <w:rFonts w:ascii="Times New Roman" w:hAnsi="Times New Roman" w:cs="Times New Roman"/>
          <w:color w:val="111111"/>
          <w:sz w:val="22"/>
          <w:szCs w:val="22"/>
        </w:rPr>
      </w:pPr>
      <w:r w:rsidRPr="0006798B">
        <w:rPr>
          <w:rFonts w:ascii="Times New Roman" w:hAnsi="Times New Roman" w:cs="Times New Roman"/>
          <w:color w:val="111111"/>
          <w:sz w:val="22"/>
          <w:szCs w:val="22"/>
        </w:rPr>
        <w:t>Y = time series data of area, production and yield of main crops</w:t>
      </w:r>
    </w:p>
    <w:p w14:paraId="09B9338F" w14:textId="77777777" w:rsidR="005F5148" w:rsidRPr="0006798B" w:rsidRDefault="005F5148" w:rsidP="005F5148">
      <w:pPr>
        <w:pStyle w:val="ListParagraph"/>
        <w:spacing w:after="74" w:line="394" w:lineRule="auto"/>
        <w:ind w:left="1080" w:right="230"/>
        <w:rPr>
          <w:rFonts w:ascii="Times New Roman" w:hAnsi="Times New Roman" w:cs="Times New Roman"/>
          <w:color w:val="111111"/>
          <w:sz w:val="22"/>
          <w:szCs w:val="22"/>
        </w:rPr>
      </w:pPr>
      <w:r w:rsidRPr="0006798B">
        <w:rPr>
          <w:rFonts w:ascii="Times New Roman" w:hAnsi="Times New Roman" w:cs="Times New Roman"/>
          <w:color w:val="111111"/>
          <w:sz w:val="22"/>
          <w:szCs w:val="22"/>
        </w:rPr>
        <w:t xml:space="preserve"> t = trend term </w:t>
      </w:r>
    </w:p>
    <w:p w14:paraId="20FBA727" w14:textId="77777777" w:rsidR="005F5148" w:rsidRPr="0006798B" w:rsidRDefault="005F5148" w:rsidP="005F5148">
      <w:pPr>
        <w:pStyle w:val="ListParagraph"/>
        <w:spacing w:after="74" w:line="394" w:lineRule="auto"/>
        <w:ind w:left="1080" w:right="230"/>
        <w:rPr>
          <w:rFonts w:ascii="Times New Roman" w:hAnsi="Times New Roman" w:cs="Times New Roman"/>
          <w:color w:val="111111"/>
          <w:sz w:val="22"/>
          <w:szCs w:val="22"/>
        </w:rPr>
      </w:pPr>
      <w:r w:rsidRPr="0006798B">
        <w:rPr>
          <w:rFonts w:ascii="Times New Roman" w:hAnsi="Times New Roman" w:cs="Times New Roman"/>
          <w:color w:val="111111"/>
          <w:sz w:val="22"/>
          <w:szCs w:val="22"/>
        </w:rPr>
        <w:t xml:space="preserve"> a = constant coefficient</w:t>
      </w:r>
    </w:p>
    <w:p w14:paraId="71485177" w14:textId="77777777" w:rsidR="005F5148" w:rsidRPr="0006798B" w:rsidRDefault="005F5148" w:rsidP="005F5148">
      <w:pPr>
        <w:pStyle w:val="ListParagraph"/>
        <w:spacing w:after="74" w:line="394" w:lineRule="auto"/>
        <w:ind w:left="1080" w:right="230"/>
        <w:rPr>
          <w:rFonts w:eastAsiaTheme="minorEastAsia"/>
          <w:sz w:val="22"/>
          <w:szCs w:val="22"/>
        </w:rPr>
      </w:pPr>
      <m:oMathPara>
        <m:oMath>
          <m:r>
            <w:rPr>
              <w:rFonts w:ascii="Cambria Math" w:hAnsi="Cambria Math"/>
              <w:sz w:val="22"/>
              <w:szCs w:val="22"/>
            </w:rPr>
            <m:t>CGR=</m:t>
          </m:r>
          <m:d>
            <m:dPr>
              <m:begChr m:val="["/>
              <m:endChr m:val="]"/>
              <m:ctrlPr>
                <w:rPr>
                  <w:rFonts w:ascii="Cambria Math" w:hAnsi="Cambria Math"/>
                  <w:i/>
                  <w:sz w:val="22"/>
                  <w:szCs w:val="22"/>
                </w:rPr>
              </m:ctrlPr>
            </m:dPr>
            <m:e>
              <m:d>
                <m:dPr>
                  <m:ctrlPr>
                    <w:rPr>
                      <w:rFonts w:ascii="Cambria Math" w:hAnsi="Cambria Math"/>
                      <w:i/>
                      <w:sz w:val="22"/>
                      <w:szCs w:val="22"/>
                    </w:rPr>
                  </m:ctrlPr>
                </m:dPr>
                <m:e>
                  <m:r>
                    <w:rPr>
                      <w:rFonts w:ascii="Cambria Math" w:hAnsi="Cambria Math"/>
                      <w:sz w:val="22"/>
                      <w:szCs w:val="22"/>
                    </w:rPr>
                    <m:t>Antilog b</m:t>
                  </m:r>
                </m:e>
              </m:d>
              <m:r>
                <w:rPr>
                  <w:rFonts w:ascii="Cambria Math" w:hAnsi="Cambria Math"/>
                  <w:sz w:val="22"/>
                  <w:szCs w:val="22"/>
                </w:rPr>
                <m:t>-1</m:t>
              </m:r>
            </m:e>
          </m:d>
          <m:r>
            <w:rPr>
              <w:rFonts w:ascii="Cambria Math" w:hAnsi="Cambria Math"/>
              <w:sz w:val="22"/>
              <w:szCs w:val="22"/>
            </w:rPr>
            <m:t>*100</m:t>
          </m:r>
        </m:oMath>
      </m:oMathPara>
    </w:p>
    <w:p w14:paraId="7E6A3B50" w14:textId="77777777" w:rsidR="005F5148" w:rsidRDefault="005F5148" w:rsidP="005F5148">
      <w:pPr>
        <w:spacing w:after="74" w:line="394" w:lineRule="auto"/>
        <w:ind w:right="230"/>
      </w:pPr>
    </w:p>
    <w:p w14:paraId="4C725A48" w14:textId="77777777" w:rsidR="005F5148" w:rsidRPr="006433F5" w:rsidRDefault="005F5148" w:rsidP="005F5148">
      <w:pPr>
        <w:spacing w:after="74" w:line="394" w:lineRule="auto"/>
        <w:ind w:right="230"/>
      </w:pPr>
    </w:p>
    <w:p w14:paraId="59FE5D7D" w14:textId="77777777" w:rsidR="005F5148" w:rsidRDefault="005F5148" w:rsidP="005F5148">
      <w:pPr>
        <w:rPr>
          <w:rFonts w:ascii="Times New Roman" w:hAnsi="Times New Roman" w:cs="Times New Roman"/>
          <w:b/>
          <w:bCs/>
        </w:rPr>
      </w:pPr>
      <w:r w:rsidRPr="00AD0995">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AD0995">
        <w:rPr>
          <w:rFonts w:ascii="Times New Roman" w:hAnsi="Times New Roman" w:cs="Times New Roman"/>
          <w:b/>
          <w:bCs/>
          <w:sz w:val="28"/>
          <w:szCs w:val="28"/>
        </w:rPr>
        <w:t xml:space="preserve">  </w:t>
      </w:r>
      <w:r w:rsidRPr="00AD0995">
        <w:rPr>
          <w:rFonts w:ascii="Times New Roman" w:hAnsi="Times New Roman" w:cs="Times New Roman"/>
          <w:b/>
          <w:bCs/>
        </w:rPr>
        <w:t>RESULTS &amp; DISCUSSION</w:t>
      </w:r>
    </w:p>
    <w:p w14:paraId="0E555C61" w14:textId="77777777" w:rsidR="005F5148" w:rsidRPr="00B05932" w:rsidRDefault="005F5148" w:rsidP="005F5148">
      <w:pPr>
        <w:pStyle w:val="ListParagraph"/>
        <w:numPr>
          <w:ilvl w:val="0"/>
          <w:numId w:val="3"/>
        </w:numPr>
        <w:spacing w:line="259" w:lineRule="auto"/>
        <w:rPr>
          <w:rFonts w:ascii="Times New Roman" w:hAnsi="Times New Roman" w:cs="Times New Roman"/>
          <w:b/>
          <w:bCs/>
        </w:rPr>
      </w:pPr>
      <w:r w:rsidRPr="00B05932">
        <w:rPr>
          <w:rFonts w:ascii="Times New Roman" w:hAnsi="Times New Roman" w:cs="Times New Roman"/>
          <w:b/>
          <w:bCs/>
        </w:rPr>
        <w:t xml:space="preserve">LINEAR TRENDS: </w:t>
      </w:r>
    </w:p>
    <w:p w14:paraId="7BC5B227" w14:textId="77777777" w:rsidR="005F5148" w:rsidRDefault="005F5148" w:rsidP="005F5148">
      <w:pPr>
        <w:rPr>
          <w:rFonts w:ascii="Times New Roman" w:hAnsi="Times New Roman" w:cs="Times New Roman"/>
        </w:rPr>
      </w:pPr>
      <w:r>
        <w:rPr>
          <w:rFonts w:ascii="Times New Roman" w:hAnsi="Times New Roman" w:cs="Times New Roman"/>
          <w:b/>
          <w:bCs/>
        </w:rPr>
        <w:t xml:space="preserve">4.1 </w:t>
      </w:r>
      <w:r w:rsidRPr="00926672">
        <w:rPr>
          <w:rFonts w:ascii="Times New Roman" w:hAnsi="Times New Roman" w:cs="Times New Roman"/>
          <w:b/>
          <w:bCs/>
        </w:rPr>
        <w:t>Trends in area, production and productivity of soybean</w:t>
      </w:r>
      <w:r w:rsidRPr="00222DC1">
        <w:rPr>
          <w:rFonts w:ascii="Times New Roman" w:hAnsi="Times New Roman" w:cs="Times New Roman"/>
        </w:rPr>
        <w:t>:</w:t>
      </w:r>
    </w:p>
    <w:p w14:paraId="6A5075DB" w14:textId="2D7C701B" w:rsidR="005F5148" w:rsidRPr="00076268" w:rsidRDefault="00F01872" w:rsidP="005F5148">
      <w:pPr>
        <w:spacing w:line="360" w:lineRule="auto"/>
        <w:jc w:val="both"/>
        <w:rPr>
          <w:rFonts w:ascii="Times New Roman" w:hAnsi="Times New Roman" w:cs="Times New Roman"/>
        </w:rPr>
      </w:pPr>
      <w:r>
        <w:rPr>
          <w:rFonts w:ascii="Times New Roman" w:hAnsi="Times New Roman" w:cs="Times New Roman"/>
          <w:sz w:val="22"/>
          <w:szCs w:val="22"/>
        </w:rPr>
        <w:t>It can be seen from table 2</w:t>
      </w:r>
      <w:r w:rsidR="00927208">
        <w:rPr>
          <w:rFonts w:ascii="Times New Roman" w:hAnsi="Times New Roman" w:cs="Times New Roman"/>
          <w:sz w:val="22"/>
          <w:szCs w:val="22"/>
        </w:rPr>
        <w:t xml:space="preserve"> </w:t>
      </w:r>
      <w:r w:rsidR="005F5148" w:rsidRPr="0006798B">
        <w:rPr>
          <w:rFonts w:ascii="Times New Roman" w:hAnsi="Times New Roman" w:cs="Times New Roman"/>
          <w:sz w:val="22"/>
          <w:szCs w:val="22"/>
        </w:rPr>
        <w:t xml:space="preserve"> that during the period of 2012 – 2024, area of soybean cultivation has increased from 5310 thousand hectares in 2012 – 13 to 5890 thousand hectares in 2024-25, production of soybean has increased 6570 thousand tonnes in 2024 – 25. This is turn caused increase in productivity of the crop</w:t>
      </w:r>
      <w:r w:rsidR="005F5148">
        <w:rPr>
          <w:rFonts w:ascii="Times New Roman" w:hAnsi="Times New Roman" w:cs="Times New Roman"/>
        </w:rPr>
        <w:t>.</w:t>
      </w:r>
    </w:p>
    <w:p w14:paraId="2BC63DC8" w14:textId="77777777" w:rsidR="005F5148" w:rsidRPr="00A02C1C" w:rsidRDefault="005F5148" w:rsidP="005F5148">
      <w:pPr>
        <w:spacing w:line="360" w:lineRule="auto"/>
        <w:jc w:val="both"/>
        <w:rPr>
          <w:rFonts w:ascii="Times New Roman" w:hAnsi="Times New Roman" w:cs="Times New Roman"/>
          <w:b/>
          <w:bCs/>
        </w:rPr>
      </w:pPr>
      <w:r w:rsidRPr="00A02C1C">
        <w:rPr>
          <w:rFonts w:ascii="Times New Roman" w:hAnsi="Times New Roman" w:cs="Times New Roman"/>
          <w:b/>
          <w:bCs/>
        </w:rPr>
        <w:t>Year-wise Data of Area, Production, and Productivity of Soybean Crop</w:t>
      </w:r>
    </w:p>
    <w:p w14:paraId="5FD4ECCA" w14:textId="068CE3C4" w:rsidR="00F81DF1" w:rsidRPr="00222DC1" w:rsidRDefault="00F01872" w:rsidP="00F81DF1">
      <w:pPr>
        <w:spacing w:after="0" w:line="360" w:lineRule="auto"/>
        <w:ind w:left="360"/>
        <w:jc w:val="center"/>
        <w:rPr>
          <w:rFonts w:ascii="Times New Roman" w:hAnsi="Times New Roman" w:cs="Times New Roman"/>
          <w:b/>
        </w:rPr>
      </w:pPr>
      <w:r>
        <w:rPr>
          <w:rFonts w:ascii="Times New Roman" w:hAnsi="Times New Roman" w:cs="Times New Roman"/>
          <w:b/>
        </w:rPr>
        <w:lastRenderedPageBreak/>
        <w:t>Table 2</w:t>
      </w:r>
      <w:r w:rsidR="00F81DF1">
        <w:rPr>
          <w:rFonts w:ascii="Times New Roman" w:hAnsi="Times New Roman" w:cs="Times New Roman"/>
          <w:b/>
        </w:rPr>
        <w:t xml:space="preserve"> </w:t>
      </w:r>
      <w:r w:rsidR="00F81DF1" w:rsidRPr="008938B2">
        <w:rPr>
          <w:rFonts w:ascii="Times New Roman" w:hAnsi="Times New Roman" w:cs="Times New Roman"/>
          <w:b/>
        </w:rPr>
        <w:t>Year-wise Data of Area, Production, and Productivity of Soybean Crop</w:t>
      </w:r>
    </w:p>
    <w:p w14:paraId="6F3CF8B8" w14:textId="1E2E8A92" w:rsidR="005F5148" w:rsidRPr="00222DC1" w:rsidRDefault="005F5148" w:rsidP="005F5148">
      <w:pPr>
        <w:spacing w:after="0" w:line="360" w:lineRule="auto"/>
        <w:ind w:left="360"/>
        <w:jc w:val="center"/>
        <w:rPr>
          <w:rFonts w:ascii="Times New Roman" w:hAnsi="Times New Roman" w:cs="Times New Roman"/>
          <w:b/>
        </w:rPr>
      </w:pPr>
    </w:p>
    <w:tbl>
      <w:tblPr>
        <w:tblStyle w:val="TableGrid"/>
        <w:tblW w:w="8917" w:type="dxa"/>
        <w:tblLook w:val="04A0" w:firstRow="1" w:lastRow="0" w:firstColumn="1" w:lastColumn="0" w:noHBand="0" w:noVBand="1"/>
      </w:tblPr>
      <w:tblGrid>
        <w:gridCol w:w="1501"/>
        <w:gridCol w:w="2657"/>
        <w:gridCol w:w="2333"/>
        <w:gridCol w:w="2426"/>
      </w:tblGrid>
      <w:tr w:rsidR="005F5148" w:rsidRPr="00222DC1" w14:paraId="1D66A0EF" w14:textId="77777777" w:rsidTr="002554E0">
        <w:trPr>
          <w:trHeight w:val="322"/>
        </w:trPr>
        <w:tc>
          <w:tcPr>
            <w:tcW w:w="1501" w:type="dxa"/>
            <w:noWrap/>
            <w:vAlign w:val="center"/>
            <w:hideMark/>
          </w:tcPr>
          <w:p w14:paraId="111EAD99" w14:textId="77777777" w:rsidR="005F5148" w:rsidRPr="00222DC1" w:rsidRDefault="005F5148" w:rsidP="002554E0">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Year</w:t>
            </w:r>
          </w:p>
        </w:tc>
        <w:tc>
          <w:tcPr>
            <w:tcW w:w="2657" w:type="dxa"/>
            <w:noWrap/>
            <w:vAlign w:val="center"/>
            <w:hideMark/>
          </w:tcPr>
          <w:p w14:paraId="60F678B5" w14:textId="77777777" w:rsidR="005F5148"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 xml:space="preserve">Area </w:t>
            </w:r>
          </w:p>
          <w:p w14:paraId="6A81A572"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('000 ha)</w:t>
            </w:r>
          </w:p>
        </w:tc>
        <w:tc>
          <w:tcPr>
            <w:tcW w:w="2333" w:type="dxa"/>
            <w:noWrap/>
            <w:vAlign w:val="center"/>
            <w:hideMark/>
          </w:tcPr>
          <w:p w14:paraId="0AB5039F" w14:textId="77777777" w:rsidR="005F5148"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 xml:space="preserve">Production </w:t>
            </w:r>
          </w:p>
          <w:p w14:paraId="5D58B23E"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('000 Ton)</w:t>
            </w:r>
          </w:p>
        </w:tc>
        <w:tc>
          <w:tcPr>
            <w:tcW w:w="2426" w:type="dxa"/>
            <w:noWrap/>
            <w:vAlign w:val="center"/>
            <w:hideMark/>
          </w:tcPr>
          <w:p w14:paraId="2EBAD94E" w14:textId="77777777" w:rsidR="005F5148"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Productivity</w:t>
            </w:r>
          </w:p>
          <w:p w14:paraId="512F4493"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(kg/ha)</w:t>
            </w:r>
          </w:p>
        </w:tc>
      </w:tr>
      <w:tr w:rsidR="005F5148" w:rsidRPr="00222DC1" w14:paraId="37626CE2" w14:textId="77777777" w:rsidTr="002554E0">
        <w:trPr>
          <w:trHeight w:val="322"/>
        </w:trPr>
        <w:tc>
          <w:tcPr>
            <w:tcW w:w="1501" w:type="dxa"/>
            <w:noWrap/>
            <w:vAlign w:val="center"/>
            <w:hideMark/>
          </w:tcPr>
          <w:p w14:paraId="0538A906" w14:textId="77777777" w:rsidR="005F5148" w:rsidRPr="00222DC1" w:rsidRDefault="005F5148" w:rsidP="002554E0">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2012-13</w:t>
            </w:r>
          </w:p>
        </w:tc>
        <w:tc>
          <w:tcPr>
            <w:tcW w:w="2657" w:type="dxa"/>
            <w:noWrap/>
            <w:vAlign w:val="center"/>
            <w:hideMark/>
          </w:tcPr>
          <w:p w14:paraId="69B9077F"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5310</w:t>
            </w:r>
          </w:p>
        </w:tc>
        <w:tc>
          <w:tcPr>
            <w:tcW w:w="2333" w:type="dxa"/>
            <w:noWrap/>
            <w:vAlign w:val="center"/>
            <w:hideMark/>
          </w:tcPr>
          <w:p w14:paraId="7A617570"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5903</w:t>
            </w:r>
          </w:p>
        </w:tc>
        <w:tc>
          <w:tcPr>
            <w:tcW w:w="2426" w:type="dxa"/>
            <w:noWrap/>
            <w:vAlign w:val="center"/>
            <w:hideMark/>
          </w:tcPr>
          <w:p w14:paraId="07E355E2"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1111.68</w:t>
            </w:r>
          </w:p>
        </w:tc>
      </w:tr>
      <w:tr w:rsidR="005F5148" w:rsidRPr="00222DC1" w14:paraId="65E0DB21" w14:textId="77777777" w:rsidTr="002554E0">
        <w:trPr>
          <w:trHeight w:val="322"/>
        </w:trPr>
        <w:tc>
          <w:tcPr>
            <w:tcW w:w="1501" w:type="dxa"/>
            <w:noWrap/>
            <w:vAlign w:val="center"/>
            <w:hideMark/>
          </w:tcPr>
          <w:p w14:paraId="55F7F344" w14:textId="77777777" w:rsidR="005F5148" w:rsidRPr="00222DC1" w:rsidRDefault="005F5148" w:rsidP="002554E0">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2013-14</w:t>
            </w:r>
          </w:p>
        </w:tc>
        <w:tc>
          <w:tcPr>
            <w:tcW w:w="2657" w:type="dxa"/>
            <w:noWrap/>
            <w:vAlign w:val="center"/>
            <w:hideMark/>
          </w:tcPr>
          <w:p w14:paraId="243C5763"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5654</w:t>
            </w:r>
          </w:p>
        </w:tc>
        <w:tc>
          <w:tcPr>
            <w:tcW w:w="2333" w:type="dxa"/>
            <w:noWrap/>
            <w:vAlign w:val="center"/>
            <w:hideMark/>
          </w:tcPr>
          <w:p w14:paraId="39F14915"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5242</w:t>
            </w:r>
          </w:p>
        </w:tc>
        <w:tc>
          <w:tcPr>
            <w:tcW w:w="2426" w:type="dxa"/>
            <w:noWrap/>
            <w:vAlign w:val="center"/>
            <w:hideMark/>
          </w:tcPr>
          <w:p w14:paraId="788D757B"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927.13</w:t>
            </w:r>
          </w:p>
        </w:tc>
      </w:tr>
      <w:tr w:rsidR="005F5148" w:rsidRPr="00222DC1" w14:paraId="2139BB77" w14:textId="77777777" w:rsidTr="002554E0">
        <w:trPr>
          <w:trHeight w:val="322"/>
        </w:trPr>
        <w:tc>
          <w:tcPr>
            <w:tcW w:w="1501" w:type="dxa"/>
            <w:noWrap/>
            <w:vAlign w:val="center"/>
            <w:hideMark/>
          </w:tcPr>
          <w:p w14:paraId="7E436D1B" w14:textId="77777777" w:rsidR="005F5148" w:rsidRPr="00222DC1" w:rsidRDefault="005F5148" w:rsidP="002554E0">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2014-15</w:t>
            </w:r>
          </w:p>
        </w:tc>
        <w:tc>
          <w:tcPr>
            <w:tcW w:w="2657" w:type="dxa"/>
            <w:noWrap/>
            <w:vAlign w:val="center"/>
            <w:hideMark/>
          </w:tcPr>
          <w:p w14:paraId="7BBDA921"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5578</w:t>
            </w:r>
          </w:p>
        </w:tc>
        <w:tc>
          <w:tcPr>
            <w:tcW w:w="2333" w:type="dxa"/>
            <w:noWrap/>
            <w:vAlign w:val="center"/>
            <w:hideMark/>
          </w:tcPr>
          <w:p w14:paraId="360E4ECD"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6353</w:t>
            </w:r>
          </w:p>
        </w:tc>
        <w:tc>
          <w:tcPr>
            <w:tcW w:w="2426" w:type="dxa"/>
            <w:noWrap/>
            <w:vAlign w:val="center"/>
            <w:hideMark/>
          </w:tcPr>
          <w:p w14:paraId="5DF1D308"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1138.94</w:t>
            </w:r>
          </w:p>
        </w:tc>
      </w:tr>
      <w:tr w:rsidR="005F5148" w:rsidRPr="00222DC1" w14:paraId="4BBE8C57" w14:textId="77777777" w:rsidTr="002554E0">
        <w:trPr>
          <w:trHeight w:val="322"/>
        </w:trPr>
        <w:tc>
          <w:tcPr>
            <w:tcW w:w="1501" w:type="dxa"/>
            <w:noWrap/>
            <w:vAlign w:val="center"/>
            <w:hideMark/>
          </w:tcPr>
          <w:p w14:paraId="3ED98ABD" w14:textId="77777777" w:rsidR="005F5148" w:rsidRPr="00222DC1" w:rsidRDefault="005F5148" w:rsidP="002554E0">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2015-16</w:t>
            </w:r>
          </w:p>
        </w:tc>
        <w:tc>
          <w:tcPr>
            <w:tcW w:w="2657" w:type="dxa"/>
            <w:noWrap/>
            <w:vAlign w:val="center"/>
            <w:hideMark/>
          </w:tcPr>
          <w:p w14:paraId="3AAC4B94"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5906</w:t>
            </w:r>
          </w:p>
        </w:tc>
        <w:tc>
          <w:tcPr>
            <w:tcW w:w="2333" w:type="dxa"/>
            <w:noWrap/>
            <w:vAlign w:val="center"/>
            <w:hideMark/>
          </w:tcPr>
          <w:p w14:paraId="7EDC3B36"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4908</w:t>
            </w:r>
          </w:p>
        </w:tc>
        <w:tc>
          <w:tcPr>
            <w:tcW w:w="2426" w:type="dxa"/>
            <w:noWrap/>
            <w:vAlign w:val="center"/>
            <w:hideMark/>
          </w:tcPr>
          <w:p w14:paraId="61D88DA3"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831.02</w:t>
            </w:r>
          </w:p>
        </w:tc>
      </w:tr>
      <w:tr w:rsidR="005F5148" w:rsidRPr="00222DC1" w14:paraId="5BC9A6B2" w14:textId="77777777" w:rsidTr="002554E0">
        <w:trPr>
          <w:trHeight w:val="322"/>
        </w:trPr>
        <w:tc>
          <w:tcPr>
            <w:tcW w:w="1501" w:type="dxa"/>
            <w:noWrap/>
            <w:vAlign w:val="center"/>
            <w:hideMark/>
          </w:tcPr>
          <w:p w14:paraId="681AD58C" w14:textId="77777777" w:rsidR="005F5148" w:rsidRPr="00222DC1" w:rsidRDefault="005F5148" w:rsidP="002554E0">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2016-17</w:t>
            </w:r>
          </w:p>
        </w:tc>
        <w:tc>
          <w:tcPr>
            <w:tcW w:w="2657" w:type="dxa"/>
            <w:noWrap/>
            <w:vAlign w:val="center"/>
            <w:hideMark/>
          </w:tcPr>
          <w:p w14:paraId="687F43EF"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5401</w:t>
            </w:r>
          </w:p>
        </w:tc>
        <w:tc>
          <w:tcPr>
            <w:tcW w:w="2333" w:type="dxa"/>
            <w:noWrap/>
            <w:vAlign w:val="center"/>
            <w:hideMark/>
          </w:tcPr>
          <w:p w14:paraId="755E0D20"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6649</w:t>
            </w:r>
          </w:p>
        </w:tc>
        <w:tc>
          <w:tcPr>
            <w:tcW w:w="2426" w:type="dxa"/>
            <w:noWrap/>
            <w:vAlign w:val="center"/>
            <w:hideMark/>
          </w:tcPr>
          <w:p w14:paraId="342A74A5"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1231.07</w:t>
            </w:r>
          </w:p>
        </w:tc>
      </w:tr>
      <w:tr w:rsidR="005F5148" w:rsidRPr="00222DC1" w14:paraId="30EE627E" w14:textId="77777777" w:rsidTr="002554E0">
        <w:trPr>
          <w:trHeight w:val="322"/>
        </w:trPr>
        <w:tc>
          <w:tcPr>
            <w:tcW w:w="1501" w:type="dxa"/>
            <w:noWrap/>
            <w:vAlign w:val="center"/>
            <w:hideMark/>
          </w:tcPr>
          <w:p w14:paraId="620CE2D0" w14:textId="77777777" w:rsidR="005F5148" w:rsidRPr="00222DC1" w:rsidRDefault="005F5148" w:rsidP="002554E0">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2017-18</w:t>
            </w:r>
          </w:p>
        </w:tc>
        <w:tc>
          <w:tcPr>
            <w:tcW w:w="2657" w:type="dxa"/>
            <w:noWrap/>
            <w:vAlign w:val="center"/>
            <w:hideMark/>
          </w:tcPr>
          <w:p w14:paraId="236631D6"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5010</w:t>
            </w:r>
          </w:p>
        </w:tc>
        <w:tc>
          <w:tcPr>
            <w:tcW w:w="2333" w:type="dxa"/>
            <w:noWrap/>
            <w:vAlign w:val="center"/>
            <w:hideMark/>
          </w:tcPr>
          <w:p w14:paraId="2292A447"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5900</w:t>
            </w:r>
          </w:p>
        </w:tc>
        <w:tc>
          <w:tcPr>
            <w:tcW w:w="2426" w:type="dxa"/>
            <w:noWrap/>
            <w:vAlign w:val="center"/>
            <w:hideMark/>
          </w:tcPr>
          <w:p w14:paraId="6EB500D8"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1177.64</w:t>
            </w:r>
          </w:p>
        </w:tc>
      </w:tr>
      <w:tr w:rsidR="005F5148" w:rsidRPr="00222DC1" w14:paraId="3618ED35" w14:textId="77777777" w:rsidTr="002554E0">
        <w:trPr>
          <w:trHeight w:val="322"/>
        </w:trPr>
        <w:tc>
          <w:tcPr>
            <w:tcW w:w="1501" w:type="dxa"/>
            <w:noWrap/>
            <w:vAlign w:val="center"/>
            <w:hideMark/>
          </w:tcPr>
          <w:p w14:paraId="444557B6" w14:textId="77777777" w:rsidR="005F5148" w:rsidRPr="00222DC1" w:rsidRDefault="005F5148" w:rsidP="002554E0">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2018-19</w:t>
            </w:r>
          </w:p>
        </w:tc>
        <w:tc>
          <w:tcPr>
            <w:tcW w:w="2657" w:type="dxa"/>
            <w:noWrap/>
            <w:vAlign w:val="center"/>
            <w:hideMark/>
          </w:tcPr>
          <w:p w14:paraId="3342B616"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5409</w:t>
            </w:r>
          </w:p>
        </w:tc>
        <w:tc>
          <w:tcPr>
            <w:tcW w:w="2333" w:type="dxa"/>
            <w:noWrap/>
            <w:vAlign w:val="center"/>
            <w:hideMark/>
          </w:tcPr>
          <w:p w14:paraId="21504316"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5818</w:t>
            </w:r>
          </w:p>
        </w:tc>
        <w:tc>
          <w:tcPr>
            <w:tcW w:w="2426" w:type="dxa"/>
            <w:noWrap/>
            <w:vAlign w:val="center"/>
            <w:hideMark/>
          </w:tcPr>
          <w:p w14:paraId="1F2A5559"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1075.61</w:t>
            </w:r>
          </w:p>
        </w:tc>
      </w:tr>
      <w:tr w:rsidR="005F5148" w:rsidRPr="00222DC1" w14:paraId="619E218A" w14:textId="77777777" w:rsidTr="002554E0">
        <w:trPr>
          <w:trHeight w:val="322"/>
        </w:trPr>
        <w:tc>
          <w:tcPr>
            <w:tcW w:w="1501" w:type="dxa"/>
            <w:noWrap/>
            <w:vAlign w:val="center"/>
            <w:hideMark/>
          </w:tcPr>
          <w:p w14:paraId="7550D4BB" w14:textId="77777777" w:rsidR="005F5148" w:rsidRPr="00222DC1" w:rsidRDefault="005F5148" w:rsidP="002554E0">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2019-20</w:t>
            </w:r>
          </w:p>
        </w:tc>
        <w:tc>
          <w:tcPr>
            <w:tcW w:w="2657" w:type="dxa"/>
            <w:noWrap/>
            <w:vAlign w:val="center"/>
            <w:hideMark/>
          </w:tcPr>
          <w:p w14:paraId="38FDF8E7"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5195</w:t>
            </w:r>
          </w:p>
        </w:tc>
        <w:tc>
          <w:tcPr>
            <w:tcW w:w="2333" w:type="dxa"/>
            <w:noWrap/>
            <w:vAlign w:val="center"/>
            <w:hideMark/>
          </w:tcPr>
          <w:p w14:paraId="02429036"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5562</w:t>
            </w:r>
          </w:p>
        </w:tc>
        <w:tc>
          <w:tcPr>
            <w:tcW w:w="2426" w:type="dxa"/>
            <w:noWrap/>
            <w:vAlign w:val="center"/>
            <w:hideMark/>
          </w:tcPr>
          <w:p w14:paraId="4EA3165F"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1070.64</w:t>
            </w:r>
          </w:p>
        </w:tc>
      </w:tr>
      <w:tr w:rsidR="005F5148" w:rsidRPr="00222DC1" w14:paraId="3C060A03" w14:textId="77777777" w:rsidTr="002554E0">
        <w:trPr>
          <w:trHeight w:val="322"/>
        </w:trPr>
        <w:tc>
          <w:tcPr>
            <w:tcW w:w="1501" w:type="dxa"/>
            <w:noWrap/>
            <w:vAlign w:val="center"/>
            <w:hideMark/>
          </w:tcPr>
          <w:p w14:paraId="0A79929D" w14:textId="77777777" w:rsidR="005F5148" w:rsidRPr="00222DC1" w:rsidRDefault="005F5148" w:rsidP="002554E0">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2020-21</w:t>
            </w:r>
          </w:p>
        </w:tc>
        <w:tc>
          <w:tcPr>
            <w:tcW w:w="2657" w:type="dxa"/>
            <w:noWrap/>
            <w:vAlign w:val="center"/>
            <w:hideMark/>
          </w:tcPr>
          <w:p w14:paraId="74FA3E97"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5854</w:t>
            </w:r>
          </w:p>
        </w:tc>
        <w:tc>
          <w:tcPr>
            <w:tcW w:w="2333" w:type="dxa"/>
            <w:noWrap/>
            <w:vAlign w:val="center"/>
            <w:hideMark/>
          </w:tcPr>
          <w:p w14:paraId="3F40117B"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5660</w:t>
            </w:r>
          </w:p>
        </w:tc>
        <w:tc>
          <w:tcPr>
            <w:tcW w:w="2426" w:type="dxa"/>
            <w:noWrap/>
            <w:vAlign w:val="center"/>
            <w:hideMark/>
          </w:tcPr>
          <w:p w14:paraId="17EB6172"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966.86</w:t>
            </w:r>
          </w:p>
        </w:tc>
      </w:tr>
      <w:tr w:rsidR="005F5148" w:rsidRPr="00222DC1" w14:paraId="4E3618E2" w14:textId="77777777" w:rsidTr="002554E0">
        <w:trPr>
          <w:trHeight w:val="322"/>
        </w:trPr>
        <w:tc>
          <w:tcPr>
            <w:tcW w:w="1501" w:type="dxa"/>
            <w:noWrap/>
            <w:vAlign w:val="center"/>
            <w:hideMark/>
          </w:tcPr>
          <w:p w14:paraId="4EBAE663" w14:textId="77777777" w:rsidR="005F5148" w:rsidRPr="00222DC1" w:rsidRDefault="005F5148" w:rsidP="002554E0">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2021-22</w:t>
            </w:r>
          </w:p>
        </w:tc>
        <w:tc>
          <w:tcPr>
            <w:tcW w:w="2657" w:type="dxa"/>
            <w:noWrap/>
            <w:vAlign w:val="center"/>
            <w:hideMark/>
          </w:tcPr>
          <w:p w14:paraId="732540E0"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5960</w:t>
            </w:r>
          </w:p>
        </w:tc>
        <w:tc>
          <w:tcPr>
            <w:tcW w:w="2333" w:type="dxa"/>
            <w:noWrap/>
            <w:vAlign w:val="center"/>
            <w:hideMark/>
          </w:tcPr>
          <w:p w14:paraId="7736B434"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6200</w:t>
            </w:r>
          </w:p>
        </w:tc>
        <w:tc>
          <w:tcPr>
            <w:tcW w:w="2426" w:type="dxa"/>
            <w:noWrap/>
            <w:vAlign w:val="center"/>
            <w:hideMark/>
          </w:tcPr>
          <w:p w14:paraId="08AC1F36"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1040.27</w:t>
            </w:r>
          </w:p>
        </w:tc>
      </w:tr>
      <w:tr w:rsidR="005F5148" w:rsidRPr="00222DC1" w14:paraId="5D9643C0" w14:textId="77777777" w:rsidTr="002554E0">
        <w:trPr>
          <w:trHeight w:val="322"/>
        </w:trPr>
        <w:tc>
          <w:tcPr>
            <w:tcW w:w="1501" w:type="dxa"/>
            <w:noWrap/>
            <w:vAlign w:val="center"/>
            <w:hideMark/>
          </w:tcPr>
          <w:p w14:paraId="0C656DC5" w14:textId="77777777" w:rsidR="005F5148" w:rsidRPr="00222DC1" w:rsidRDefault="005F5148" w:rsidP="002554E0">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2022-23</w:t>
            </w:r>
          </w:p>
        </w:tc>
        <w:tc>
          <w:tcPr>
            <w:tcW w:w="2657" w:type="dxa"/>
            <w:noWrap/>
            <w:vAlign w:val="center"/>
            <w:hideMark/>
          </w:tcPr>
          <w:p w14:paraId="2A30E5FA"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5995</w:t>
            </w:r>
          </w:p>
        </w:tc>
        <w:tc>
          <w:tcPr>
            <w:tcW w:w="2333" w:type="dxa"/>
            <w:noWrap/>
            <w:vAlign w:val="center"/>
            <w:hideMark/>
          </w:tcPr>
          <w:p w14:paraId="30F35F45"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6320</w:t>
            </w:r>
          </w:p>
        </w:tc>
        <w:tc>
          <w:tcPr>
            <w:tcW w:w="2426" w:type="dxa"/>
            <w:noWrap/>
            <w:vAlign w:val="center"/>
            <w:hideMark/>
          </w:tcPr>
          <w:p w14:paraId="039A9D6E"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1054.21</w:t>
            </w:r>
          </w:p>
        </w:tc>
      </w:tr>
      <w:tr w:rsidR="005F5148" w:rsidRPr="00222DC1" w14:paraId="5351EB90" w14:textId="77777777" w:rsidTr="002554E0">
        <w:trPr>
          <w:trHeight w:val="322"/>
        </w:trPr>
        <w:tc>
          <w:tcPr>
            <w:tcW w:w="1501" w:type="dxa"/>
            <w:noWrap/>
            <w:vAlign w:val="center"/>
            <w:hideMark/>
          </w:tcPr>
          <w:p w14:paraId="68B1FED4" w14:textId="77777777" w:rsidR="005F5148" w:rsidRPr="00222DC1" w:rsidRDefault="005F5148" w:rsidP="002554E0">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2023-24</w:t>
            </w:r>
          </w:p>
        </w:tc>
        <w:tc>
          <w:tcPr>
            <w:tcW w:w="2657" w:type="dxa"/>
            <w:noWrap/>
            <w:vAlign w:val="center"/>
            <w:hideMark/>
          </w:tcPr>
          <w:p w14:paraId="0F8A024E"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5842</w:t>
            </w:r>
          </w:p>
        </w:tc>
        <w:tc>
          <w:tcPr>
            <w:tcW w:w="2333" w:type="dxa"/>
            <w:noWrap/>
            <w:vAlign w:val="center"/>
            <w:hideMark/>
          </w:tcPr>
          <w:p w14:paraId="3C872468"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6500</w:t>
            </w:r>
          </w:p>
        </w:tc>
        <w:tc>
          <w:tcPr>
            <w:tcW w:w="2426" w:type="dxa"/>
            <w:noWrap/>
            <w:vAlign w:val="center"/>
            <w:hideMark/>
          </w:tcPr>
          <w:p w14:paraId="278C7ADB"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1112.63</w:t>
            </w:r>
          </w:p>
        </w:tc>
      </w:tr>
      <w:tr w:rsidR="005F5148" w:rsidRPr="00222DC1" w14:paraId="089C40B5" w14:textId="77777777" w:rsidTr="002554E0">
        <w:trPr>
          <w:trHeight w:val="322"/>
        </w:trPr>
        <w:tc>
          <w:tcPr>
            <w:tcW w:w="1501" w:type="dxa"/>
            <w:noWrap/>
            <w:vAlign w:val="center"/>
            <w:hideMark/>
          </w:tcPr>
          <w:p w14:paraId="08C6E283" w14:textId="77777777" w:rsidR="005F5148" w:rsidRPr="00222DC1" w:rsidRDefault="005F5148" w:rsidP="002554E0">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2024-25</w:t>
            </w:r>
          </w:p>
        </w:tc>
        <w:tc>
          <w:tcPr>
            <w:tcW w:w="2657" w:type="dxa"/>
            <w:noWrap/>
            <w:vAlign w:val="center"/>
            <w:hideMark/>
          </w:tcPr>
          <w:p w14:paraId="50EC5DFB"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5890</w:t>
            </w:r>
          </w:p>
        </w:tc>
        <w:tc>
          <w:tcPr>
            <w:tcW w:w="2333" w:type="dxa"/>
            <w:noWrap/>
            <w:vAlign w:val="center"/>
            <w:hideMark/>
          </w:tcPr>
          <w:p w14:paraId="16DE4E56"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6570</w:t>
            </w:r>
          </w:p>
        </w:tc>
        <w:tc>
          <w:tcPr>
            <w:tcW w:w="2426" w:type="dxa"/>
            <w:noWrap/>
            <w:vAlign w:val="center"/>
            <w:hideMark/>
          </w:tcPr>
          <w:p w14:paraId="696FFF26" w14:textId="77777777" w:rsidR="005F5148" w:rsidRPr="00222DC1" w:rsidRDefault="005F5148" w:rsidP="002554E0">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1115.45</w:t>
            </w:r>
          </w:p>
        </w:tc>
      </w:tr>
    </w:tbl>
    <w:p w14:paraId="6D6B0271" w14:textId="77777777" w:rsidR="005F5148" w:rsidRPr="0006798B" w:rsidRDefault="005F5148" w:rsidP="005F5148">
      <w:pPr>
        <w:spacing w:after="0" w:line="360" w:lineRule="auto"/>
        <w:rPr>
          <w:rFonts w:ascii="Times New Roman" w:hAnsi="Times New Roman" w:cs="Times New Roman"/>
          <w:sz w:val="22"/>
          <w:szCs w:val="22"/>
        </w:rPr>
      </w:pPr>
      <w:r w:rsidRPr="0006798B">
        <w:rPr>
          <w:rFonts w:ascii="Times New Roman" w:hAnsi="Times New Roman" w:cs="Times New Roman"/>
          <w:sz w:val="22"/>
          <w:szCs w:val="22"/>
        </w:rPr>
        <w:t xml:space="preserve">Source: </w:t>
      </w:r>
      <w:r w:rsidRPr="0006798B">
        <w:rPr>
          <w:rFonts w:ascii="Times New Roman" w:hAnsi="Times New Roman" w:cs="Times New Roman"/>
          <w:i/>
          <w:iCs/>
          <w:sz w:val="22"/>
          <w:szCs w:val="22"/>
        </w:rPr>
        <w:t>https://desagri.gov.in</w:t>
      </w:r>
      <w:r w:rsidRPr="0006798B">
        <w:rPr>
          <w:rFonts w:ascii="Times New Roman" w:hAnsi="Times New Roman" w:cs="Times New Roman"/>
          <w:sz w:val="22"/>
          <w:szCs w:val="22"/>
        </w:rPr>
        <w:t xml:space="preserve">/    </w:t>
      </w:r>
    </w:p>
    <w:p w14:paraId="3D49AD13" w14:textId="6A3ED80B" w:rsidR="005F5148" w:rsidRDefault="008E0AC0" w:rsidP="005F5148">
      <w:pPr>
        <w:spacing w:line="360" w:lineRule="auto"/>
        <w:jc w:val="both"/>
        <w:rPr>
          <w:rFonts w:ascii="Times New Roman" w:hAnsi="Times New Roman" w:cs="Times New Roman"/>
        </w:rPr>
      </w:pPr>
      <w:r>
        <w:rPr>
          <w:rFonts w:ascii="Times New Roman" w:hAnsi="Times New Roman" w:cs="Times New Roman"/>
          <w:sz w:val="22"/>
          <w:szCs w:val="22"/>
        </w:rPr>
        <w:t>From Table 2</w:t>
      </w:r>
      <w:r w:rsidR="005F5148" w:rsidRPr="0006798B">
        <w:rPr>
          <w:rFonts w:ascii="Times New Roman" w:hAnsi="Times New Roman" w:cs="Times New Roman"/>
          <w:sz w:val="22"/>
          <w:szCs w:val="22"/>
        </w:rPr>
        <w:t xml:space="preserve"> and Fig 1, it can be analysed that during the overall period of 2012 – 2024, there has been an increase in area by 7.16 %, in production by 10.8 % and in productivity by 3.31 % with a measure of 40.33 thousand hectare, 64.39 thousand tonnes &amp; 3.31 kg/ha per year respectively. There have been fluctuations of 5.77 % in area, 8.88 % in production and 10.02 % in productivity. The simple and compound growth rates are positive and significant at 0.84 % and 0.9 % for area, 0.87 % and 0.7 % for production, 0.02 % and 0.01 % for productivity</w:t>
      </w:r>
      <w:r w:rsidR="005F5148">
        <w:rPr>
          <w:rFonts w:ascii="Times New Roman" w:hAnsi="Times New Roman" w:cs="Times New Roman"/>
        </w:rPr>
        <w:t>.</w:t>
      </w:r>
    </w:p>
    <w:p w14:paraId="4E818DD7" w14:textId="77777777" w:rsidR="005F5148" w:rsidRPr="00222DC1" w:rsidRDefault="005F5148" w:rsidP="005F5148">
      <w:pPr>
        <w:spacing w:line="36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578A59B5" wp14:editId="71A05389">
            <wp:extent cx="2354580" cy="1160362"/>
            <wp:effectExtent l="0" t="0" r="7620" b="1905"/>
            <wp:docPr id="963076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4558" cy="1180064"/>
                    </a:xfrm>
                    <a:prstGeom prst="rect">
                      <a:avLst/>
                    </a:prstGeom>
                    <a:noFill/>
                  </pic:spPr>
                </pic:pic>
              </a:graphicData>
            </a:graphic>
          </wp:inline>
        </w:drawing>
      </w:r>
      <w:r>
        <w:rPr>
          <w:rFonts w:ascii="Times New Roman" w:hAnsi="Times New Roman" w:cs="Times New Roman"/>
          <w:noProof/>
          <w:lang w:val="en-US"/>
        </w:rPr>
        <w:drawing>
          <wp:inline distT="0" distB="0" distL="0" distR="0" wp14:anchorId="2EB1A65B" wp14:editId="7047C700">
            <wp:extent cx="3139440" cy="1210945"/>
            <wp:effectExtent l="0" t="0" r="3810" b="8255"/>
            <wp:docPr id="5584279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5500" cy="1224854"/>
                    </a:xfrm>
                    <a:prstGeom prst="rect">
                      <a:avLst/>
                    </a:prstGeom>
                    <a:noFill/>
                  </pic:spPr>
                </pic:pic>
              </a:graphicData>
            </a:graphic>
          </wp:inline>
        </w:drawing>
      </w:r>
    </w:p>
    <w:p w14:paraId="5B2B4613" w14:textId="77777777" w:rsidR="005F5148" w:rsidRDefault="005F5148" w:rsidP="005F5148">
      <w:pPr>
        <w:spacing w:after="0" w:line="360" w:lineRule="auto"/>
        <w:rPr>
          <w:rFonts w:ascii="Times New Roman" w:hAnsi="Times New Roman" w:cs="Times New Roman"/>
        </w:rPr>
      </w:pPr>
      <w:r w:rsidRPr="0006798B">
        <w:rPr>
          <w:rFonts w:ascii="Times New Roman" w:hAnsi="Times New Roman" w:cs="Times New Roman"/>
          <w:sz w:val="22"/>
          <w:szCs w:val="22"/>
        </w:rPr>
        <w:t>The photographs above were taken during my visit to the Soybean Research Institute, ICAR–Indore, for the purpose of data collection</w:t>
      </w:r>
      <w:r w:rsidRPr="006E688C">
        <w:rPr>
          <w:rFonts w:ascii="Times New Roman" w:hAnsi="Times New Roman" w:cs="Times New Roman"/>
        </w:rPr>
        <w:t>.</w:t>
      </w:r>
    </w:p>
    <w:p w14:paraId="262C1FFE" w14:textId="77777777" w:rsidR="005F5148" w:rsidRPr="00683E52" w:rsidRDefault="005F5148" w:rsidP="005F5148">
      <w:pPr>
        <w:spacing w:after="0" w:line="360" w:lineRule="auto"/>
        <w:rPr>
          <w:rFonts w:ascii="Times New Roman" w:hAnsi="Times New Roman" w:cs="Times New Roman"/>
          <w:b/>
          <w:bCs/>
        </w:rPr>
      </w:pPr>
      <w:r>
        <w:rPr>
          <w:rFonts w:ascii="Times New Roman" w:hAnsi="Times New Roman" w:cs="Times New Roman"/>
          <w:b/>
          <w:bCs/>
        </w:rPr>
        <w:t>5.</w:t>
      </w:r>
      <w:r w:rsidRPr="00683E52">
        <w:rPr>
          <w:rFonts w:ascii="Times New Roman" w:hAnsi="Times New Roman" w:cs="Times New Roman"/>
          <w:b/>
          <w:bCs/>
        </w:rPr>
        <w:t>Comprehensive Analysis of Area, Production, and Productivity of Soybean Crop: Base Year, Current Year, Absolute Change, Relative Change, Coefficient of Variation, SGR, and CGR</w:t>
      </w:r>
    </w:p>
    <w:p w14:paraId="022345B5" w14:textId="77777777" w:rsidR="00C61608" w:rsidRPr="00F27D4D" w:rsidRDefault="00C61608" w:rsidP="00C61608">
      <w:pPr>
        <w:spacing w:after="0" w:line="360" w:lineRule="auto"/>
        <w:rPr>
          <w:rFonts w:ascii="Times New Roman" w:hAnsi="Times New Roman" w:cs="Times New Roman"/>
          <w:b/>
        </w:rPr>
      </w:pPr>
      <w:r w:rsidRPr="006C5948">
        <w:rPr>
          <w:rFonts w:ascii="Times New Roman" w:hAnsi="Times New Roman" w:cs="Times New Roman"/>
          <w:b/>
        </w:rPr>
        <w:t xml:space="preserve">Table </w:t>
      </w:r>
      <w:r>
        <w:rPr>
          <w:rFonts w:ascii="Times New Roman" w:hAnsi="Times New Roman" w:cs="Times New Roman"/>
          <w:b/>
        </w:rPr>
        <w:t>3</w:t>
      </w:r>
      <w:r w:rsidRPr="008938B2">
        <w:t xml:space="preserve"> </w:t>
      </w:r>
      <w:r w:rsidRPr="008938B2">
        <w:rPr>
          <w:rFonts w:ascii="Times New Roman" w:hAnsi="Times New Roman" w:cs="Times New Roman"/>
          <w:b/>
        </w:rPr>
        <w:t>Comprehensive Analysis of Area, Production, and Productivity of Soybean Crop</w:t>
      </w:r>
    </w:p>
    <w:tbl>
      <w:tblPr>
        <w:tblStyle w:val="TableGrid"/>
        <w:tblW w:w="7465" w:type="dxa"/>
        <w:tblLook w:val="04A0" w:firstRow="1" w:lastRow="0" w:firstColumn="1" w:lastColumn="0" w:noHBand="0" w:noVBand="1"/>
      </w:tblPr>
      <w:tblGrid>
        <w:gridCol w:w="2483"/>
        <w:gridCol w:w="1419"/>
        <w:gridCol w:w="1691"/>
        <w:gridCol w:w="1872"/>
      </w:tblGrid>
      <w:tr w:rsidR="005F5148" w:rsidRPr="0006798B" w14:paraId="1BD8B1F1" w14:textId="77777777" w:rsidTr="002554E0">
        <w:trPr>
          <w:trHeight w:val="303"/>
        </w:trPr>
        <w:tc>
          <w:tcPr>
            <w:tcW w:w="2483" w:type="dxa"/>
            <w:noWrap/>
            <w:hideMark/>
          </w:tcPr>
          <w:p w14:paraId="37A86526" w14:textId="77777777" w:rsidR="005F5148" w:rsidRPr="0006798B" w:rsidRDefault="005F5148" w:rsidP="002554E0">
            <w:pPr>
              <w:rPr>
                <w:rFonts w:ascii="Times New Roman" w:eastAsia="Times New Roman" w:hAnsi="Times New Roman" w:cs="Times New Roman"/>
                <w:kern w:val="0"/>
                <w:lang w:eastAsia="en-IN" w:bidi="bn-BD"/>
                <w14:ligatures w14:val="none"/>
              </w:rPr>
            </w:pPr>
          </w:p>
        </w:tc>
        <w:tc>
          <w:tcPr>
            <w:tcW w:w="1419" w:type="dxa"/>
            <w:noWrap/>
            <w:hideMark/>
          </w:tcPr>
          <w:p w14:paraId="523D2D48"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 xml:space="preserve">AREA </w:t>
            </w:r>
          </w:p>
          <w:p w14:paraId="0FFF1221"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('000 ha)</w:t>
            </w:r>
          </w:p>
        </w:tc>
        <w:tc>
          <w:tcPr>
            <w:tcW w:w="1691" w:type="dxa"/>
            <w:noWrap/>
            <w:hideMark/>
          </w:tcPr>
          <w:p w14:paraId="47672FD7"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 xml:space="preserve">PRODUCTION </w:t>
            </w:r>
          </w:p>
          <w:p w14:paraId="5CA31941"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('000 Ton)</w:t>
            </w:r>
          </w:p>
        </w:tc>
        <w:tc>
          <w:tcPr>
            <w:tcW w:w="1872" w:type="dxa"/>
            <w:noWrap/>
            <w:vAlign w:val="center"/>
            <w:hideMark/>
          </w:tcPr>
          <w:p w14:paraId="780CBDC2"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PRODUCTIVITY (kg/ha)</w:t>
            </w:r>
          </w:p>
        </w:tc>
      </w:tr>
      <w:tr w:rsidR="005F5148" w:rsidRPr="0006798B" w14:paraId="4FCC5A9F" w14:textId="77777777" w:rsidTr="002554E0">
        <w:trPr>
          <w:trHeight w:val="303"/>
        </w:trPr>
        <w:tc>
          <w:tcPr>
            <w:tcW w:w="2483" w:type="dxa"/>
            <w:noWrap/>
            <w:vAlign w:val="center"/>
            <w:hideMark/>
          </w:tcPr>
          <w:p w14:paraId="632F24C5" w14:textId="77777777" w:rsidR="005F5148" w:rsidRPr="0006798B" w:rsidRDefault="005F5148" w:rsidP="002554E0">
            <w:pP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lastRenderedPageBreak/>
              <w:t>BASE YEAR</w:t>
            </w:r>
          </w:p>
        </w:tc>
        <w:tc>
          <w:tcPr>
            <w:tcW w:w="1419" w:type="dxa"/>
            <w:noWrap/>
            <w:vAlign w:val="center"/>
            <w:hideMark/>
          </w:tcPr>
          <w:p w14:paraId="22A27894"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5514</w:t>
            </w:r>
          </w:p>
        </w:tc>
        <w:tc>
          <w:tcPr>
            <w:tcW w:w="1691" w:type="dxa"/>
            <w:noWrap/>
            <w:vAlign w:val="center"/>
            <w:hideMark/>
          </w:tcPr>
          <w:p w14:paraId="4DF88587"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5833</w:t>
            </w:r>
          </w:p>
        </w:tc>
        <w:tc>
          <w:tcPr>
            <w:tcW w:w="1872" w:type="dxa"/>
            <w:noWrap/>
            <w:vAlign w:val="center"/>
            <w:hideMark/>
          </w:tcPr>
          <w:p w14:paraId="52277BFC"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1059</w:t>
            </w:r>
          </w:p>
        </w:tc>
      </w:tr>
      <w:tr w:rsidR="005F5148" w:rsidRPr="0006798B" w14:paraId="7E0D72C5" w14:textId="77777777" w:rsidTr="002554E0">
        <w:trPr>
          <w:trHeight w:val="303"/>
        </w:trPr>
        <w:tc>
          <w:tcPr>
            <w:tcW w:w="2483" w:type="dxa"/>
            <w:noWrap/>
            <w:vAlign w:val="center"/>
            <w:hideMark/>
          </w:tcPr>
          <w:p w14:paraId="6DBD6B10" w14:textId="77777777" w:rsidR="005F5148" w:rsidRPr="0006798B" w:rsidRDefault="005F5148" w:rsidP="002554E0">
            <w:pP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CURRENT YEAR</w:t>
            </w:r>
          </w:p>
        </w:tc>
        <w:tc>
          <w:tcPr>
            <w:tcW w:w="1419" w:type="dxa"/>
            <w:noWrap/>
            <w:vAlign w:val="center"/>
            <w:hideMark/>
          </w:tcPr>
          <w:p w14:paraId="16C134D5"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5909</w:t>
            </w:r>
          </w:p>
        </w:tc>
        <w:tc>
          <w:tcPr>
            <w:tcW w:w="1691" w:type="dxa"/>
            <w:noWrap/>
            <w:vAlign w:val="center"/>
            <w:hideMark/>
          </w:tcPr>
          <w:p w14:paraId="0D149823"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6463</w:t>
            </w:r>
          </w:p>
        </w:tc>
        <w:tc>
          <w:tcPr>
            <w:tcW w:w="1872" w:type="dxa"/>
            <w:noWrap/>
            <w:vAlign w:val="center"/>
            <w:hideMark/>
          </w:tcPr>
          <w:p w14:paraId="6A1D3880"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1094</w:t>
            </w:r>
          </w:p>
        </w:tc>
      </w:tr>
      <w:tr w:rsidR="005F5148" w:rsidRPr="0006798B" w14:paraId="06E45489" w14:textId="77777777" w:rsidTr="002554E0">
        <w:trPr>
          <w:trHeight w:val="303"/>
        </w:trPr>
        <w:tc>
          <w:tcPr>
            <w:tcW w:w="2483" w:type="dxa"/>
            <w:noWrap/>
            <w:vAlign w:val="center"/>
            <w:hideMark/>
          </w:tcPr>
          <w:p w14:paraId="64F8DB76" w14:textId="77777777" w:rsidR="005F5148" w:rsidRPr="0006798B" w:rsidRDefault="005F5148" w:rsidP="002554E0">
            <w:pP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Absolute Change</w:t>
            </w:r>
          </w:p>
        </w:tc>
        <w:tc>
          <w:tcPr>
            <w:tcW w:w="1419" w:type="dxa"/>
            <w:noWrap/>
            <w:vAlign w:val="center"/>
            <w:hideMark/>
          </w:tcPr>
          <w:p w14:paraId="3A082D49"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395</w:t>
            </w:r>
          </w:p>
        </w:tc>
        <w:tc>
          <w:tcPr>
            <w:tcW w:w="1691" w:type="dxa"/>
            <w:noWrap/>
            <w:vAlign w:val="center"/>
            <w:hideMark/>
          </w:tcPr>
          <w:p w14:paraId="66BE272E"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630</w:t>
            </w:r>
          </w:p>
        </w:tc>
        <w:tc>
          <w:tcPr>
            <w:tcW w:w="1872" w:type="dxa"/>
            <w:noWrap/>
            <w:vAlign w:val="center"/>
            <w:hideMark/>
          </w:tcPr>
          <w:p w14:paraId="27F1EB80"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35</w:t>
            </w:r>
          </w:p>
        </w:tc>
      </w:tr>
      <w:tr w:rsidR="005F5148" w:rsidRPr="0006798B" w14:paraId="544B2737" w14:textId="77777777" w:rsidTr="002554E0">
        <w:trPr>
          <w:trHeight w:val="303"/>
        </w:trPr>
        <w:tc>
          <w:tcPr>
            <w:tcW w:w="2483" w:type="dxa"/>
            <w:noWrap/>
            <w:vAlign w:val="center"/>
            <w:hideMark/>
          </w:tcPr>
          <w:p w14:paraId="008BC6BE" w14:textId="77777777" w:rsidR="005F5148" w:rsidRPr="0006798B" w:rsidRDefault="005F5148" w:rsidP="002554E0">
            <w:pP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Relative Change (%)</w:t>
            </w:r>
          </w:p>
        </w:tc>
        <w:tc>
          <w:tcPr>
            <w:tcW w:w="1419" w:type="dxa"/>
            <w:noWrap/>
            <w:vAlign w:val="center"/>
            <w:hideMark/>
          </w:tcPr>
          <w:p w14:paraId="0D5418A1"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7.16</w:t>
            </w:r>
          </w:p>
        </w:tc>
        <w:tc>
          <w:tcPr>
            <w:tcW w:w="1691" w:type="dxa"/>
            <w:noWrap/>
            <w:vAlign w:val="center"/>
            <w:hideMark/>
          </w:tcPr>
          <w:p w14:paraId="6E419567"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10.80</w:t>
            </w:r>
          </w:p>
        </w:tc>
        <w:tc>
          <w:tcPr>
            <w:tcW w:w="1872" w:type="dxa"/>
            <w:noWrap/>
            <w:vAlign w:val="center"/>
            <w:hideMark/>
          </w:tcPr>
          <w:p w14:paraId="650D8F9B"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3.31</w:t>
            </w:r>
          </w:p>
        </w:tc>
      </w:tr>
      <w:tr w:rsidR="005F5148" w:rsidRPr="0006798B" w14:paraId="0CDD5725" w14:textId="77777777" w:rsidTr="002554E0">
        <w:trPr>
          <w:trHeight w:val="303"/>
        </w:trPr>
        <w:tc>
          <w:tcPr>
            <w:tcW w:w="2483" w:type="dxa"/>
            <w:noWrap/>
            <w:vAlign w:val="center"/>
            <w:hideMark/>
          </w:tcPr>
          <w:p w14:paraId="622C5720" w14:textId="77777777" w:rsidR="005F5148" w:rsidRPr="0006798B" w:rsidRDefault="005F5148" w:rsidP="002554E0">
            <w:pP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Coefficient of variation (%)</w:t>
            </w:r>
          </w:p>
        </w:tc>
        <w:tc>
          <w:tcPr>
            <w:tcW w:w="1419" w:type="dxa"/>
            <w:noWrap/>
            <w:vAlign w:val="center"/>
            <w:hideMark/>
          </w:tcPr>
          <w:p w14:paraId="5A1740EA"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5.77</w:t>
            </w:r>
          </w:p>
        </w:tc>
        <w:tc>
          <w:tcPr>
            <w:tcW w:w="1691" w:type="dxa"/>
            <w:noWrap/>
            <w:vAlign w:val="center"/>
            <w:hideMark/>
          </w:tcPr>
          <w:p w14:paraId="49222620"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8.88</w:t>
            </w:r>
          </w:p>
        </w:tc>
        <w:tc>
          <w:tcPr>
            <w:tcW w:w="1872" w:type="dxa"/>
            <w:noWrap/>
            <w:vAlign w:val="center"/>
            <w:hideMark/>
          </w:tcPr>
          <w:p w14:paraId="3E1D80A7"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10.02</w:t>
            </w:r>
          </w:p>
        </w:tc>
      </w:tr>
      <w:tr w:rsidR="005F5148" w:rsidRPr="0006798B" w14:paraId="199B1A0E" w14:textId="77777777" w:rsidTr="002554E0">
        <w:trPr>
          <w:trHeight w:val="303"/>
        </w:trPr>
        <w:tc>
          <w:tcPr>
            <w:tcW w:w="2483" w:type="dxa"/>
            <w:noWrap/>
            <w:vAlign w:val="center"/>
            <w:hideMark/>
          </w:tcPr>
          <w:p w14:paraId="2264DD11" w14:textId="77777777" w:rsidR="005F5148" w:rsidRPr="0006798B" w:rsidRDefault="005F5148" w:rsidP="002554E0">
            <w:pP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SGR (%)</w:t>
            </w:r>
          </w:p>
        </w:tc>
        <w:tc>
          <w:tcPr>
            <w:tcW w:w="1419" w:type="dxa"/>
            <w:noWrap/>
            <w:vAlign w:val="center"/>
            <w:hideMark/>
          </w:tcPr>
          <w:p w14:paraId="1281989D"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0.84</w:t>
            </w:r>
          </w:p>
        </w:tc>
        <w:tc>
          <w:tcPr>
            <w:tcW w:w="1691" w:type="dxa"/>
            <w:noWrap/>
            <w:vAlign w:val="center"/>
            <w:hideMark/>
          </w:tcPr>
          <w:p w14:paraId="10C884CC"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0.87</w:t>
            </w:r>
          </w:p>
        </w:tc>
        <w:tc>
          <w:tcPr>
            <w:tcW w:w="1872" w:type="dxa"/>
            <w:noWrap/>
            <w:vAlign w:val="center"/>
            <w:hideMark/>
          </w:tcPr>
          <w:p w14:paraId="779B3DB4"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0.02</w:t>
            </w:r>
          </w:p>
        </w:tc>
      </w:tr>
      <w:tr w:rsidR="005F5148" w:rsidRPr="0006798B" w14:paraId="63C9A7C2" w14:textId="77777777" w:rsidTr="002554E0">
        <w:trPr>
          <w:trHeight w:val="303"/>
        </w:trPr>
        <w:tc>
          <w:tcPr>
            <w:tcW w:w="2483" w:type="dxa"/>
            <w:noWrap/>
            <w:vAlign w:val="center"/>
            <w:hideMark/>
          </w:tcPr>
          <w:p w14:paraId="6E4341B5" w14:textId="77777777" w:rsidR="005F5148" w:rsidRPr="0006798B" w:rsidRDefault="005F5148" w:rsidP="002554E0">
            <w:pP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CGR (%)</w:t>
            </w:r>
          </w:p>
        </w:tc>
        <w:tc>
          <w:tcPr>
            <w:tcW w:w="1419" w:type="dxa"/>
            <w:noWrap/>
            <w:vAlign w:val="center"/>
            <w:hideMark/>
          </w:tcPr>
          <w:p w14:paraId="253CA68E"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0.9</w:t>
            </w:r>
          </w:p>
        </w:tc>
        <w:tc>
          <w:tcPr>
            <w:tcW w:w="1691" w:type="dxa"/>
            <w:noWrap/>
            <w:vAlign w:val="center"/>
            <w:hideMark/>
          </w:tcPr>
          <w:p w14:paraId="22CE5B59"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0.7</w:t>
            </w:r>
          </w:p>
        </w:tc>
        <w:tc>
          <w:tcPr>
            <w:tcW w:w="1872" w:type="dxa"/>
            <w:noWrap/>
            <w:vAlign w:val="center"/>
            <w:hideMark/>
          </w:tcPr>
          <w:p w14:paraId="61931CED" w14:textId="77777777" w:rsidR="005F5148" w:rsidRPr="0006798B" w:rsidRDefault="005F5148" w:rsidP="002554E0">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0.01</w:t>
            </w:r>
          </w:p>
        </w:tc>
      </w:tr>
    </w:tbl>
    <w:p w14:paraId="4A359A63" w14:textId="77777777" w:rsidR="005F5148" w:rsidRDefault="005F5148" w:rsidP="005F5148">
      <w:pPr>
        <w:rPr>
          <w:rStyle w:val="Hyperlink"/>
          <w:rFonts w:ascii="Times New Roman" w:hAnsi="Times New Roman" w:cs="Times New Roman"/>
          <w:i/>
          <w:iCs/>
        </w:rPr>
      </w:pPr>
    </w:p>
    <w:p w14:paraId="0570AACD" w14:textId="40699BB3" w:rsidR="005F5148" w:rsidRPr="000832D8" w:rsidRDefault="00476871" w:rsidP="005F5148">
      <w:pPr>
        <w:jc w:val="both"/>
        <w:rPr>
          <w:rStyle w:val="Hyperlink"/>
          <w:rFonts w:ascii="Times New Roman" w:hAnsi="Times New Roman" w:cs="Times New Roman"/>
          <w:color w:val="000000" w:themeColor="text1"/>
          <w:sz w:val="22"/>
          <w:szCs w:val="22"/>
          <w:u w:val="none"/>
        </w:rPr>
      </w:pPr>
      <w:r>
        <w:rPr>
          <w:rStyle w:val="Hyperlink"/>
          <w:rFonts w:ascii="Times New Roman" w:hAnsi="Times New Roman" w:cs="Times New Roman"/>
          <w:color w:val="000000" w:themeColor="text1"/>
          <w:sz w:val="22"/>
          <w:szCs w:val="22"/>
          <w:u w:val="none"/>
        </w:rPr>
        <w:t>Table 3</w:t>
      </w:r>
      <w:r w:rsidR="005F5148" w:rsidRPr="000832D8">
        <w:rPr>
          <w:rStyle w:val="Hyperlink"/>
          <w:rFonts w:ascii="Times New Roman" w:hAnsi="Times New Roman" w:cs="Times New Roman"/>
          <w:color w:val="000000" w:themeColor="text1"/>
          <w:sz w:val="22"/>
          <w:szCs w:val="22"/>
          <w:u w:val="none"/>
        </w:rPr>
        <w:t xml:space="preserve"> presents a comprehensive analysis of area, production, and productivity between the base year and the current year using various statistical tools such as absolute change, relative change, coefficient of variation (CV), simple growth rate (SGR), and compound growth rate (CGR). The absolute change reflects a notable increase of 395,000 hectares in area, 630,000 tons in production, and 35 kg/ha in productivity, indicating positive growth over the period. The relative change further illustrates a percentage increase of 7.16% in area, 10.80% in production, and 3.31% in productivity, signifying an encouraging upward trend. The coefficient of variation, which measures variability in these parameters, shows moderate variation with values of 5.77% for area, 8.88% for production, and 10.02% for productivity, suggesting consistent performance with manageable fluctuations.</w:t>
      </w:r>
    </w:p>
    <w:p w14:paraId="4E551DFD" w14:textId="77777777" w:rsidR="005F5148" w:rsidRPr="000832D8" w:rsidRDefault="005F5148" w:rsidP="005F5148">
      <w:pPr>
        <w:jc w:val="both"/>
        <w:rPr>
          <w:rStyle w:val="Hyperlink"/>
          <w:rFonts w:ascii="Times New Roman" w:hAnsi="Times New Roman" w:cs="Times New Roman"/>
          <w:color w:val="000000" w:themeColor="text1"/>
          <w:sz w:val="22"/>
          <w:szCs w:val="22"/>
          <w:u w:val="none"/>
        </w:rPr>
      </w:pPr>
    </w:p>
    <w:p w14:paraId="326C507F" w14:textId="77777777" w:rsidR="005F5148" w:rsidRPr="0006798B" w:rsidRDefault="005F5148" w:rsidP="005F5148">
      <w:pPr>
        <w:jc w:val="both"/>
        <w:rPr>
          <w:rStyle w:val="Hyperlink"/>
          <w:rFonts w:ascii="Times New Roman" w:hAnsi="Times New Roman" w:cs="Times New Roman"/>
          <w:sz w:val="22"/>
          <w:szCs w:val="22"/>
        </w:rPr>
      </w:pPr>
      <w:r w:rsidRPr="000832D8">
        <w:rPr>
          <w:rStyle w:val="Hyperlink"/>
          <w:rFonts w:ascii="Times New Roman" w:hAnsi="Times New Roman" w:cs="Times New Roman"/>
          <w:color w:val="000000" w:themeColor="text1"/>
          <w:sz w:val="22"/>
          <w:szCs w:val="22"/>
          <w:u w:val="none"/>
        </w:rPr>
        <w:t>The simple growth rate (SGR), representing the annual growth rate based on a linear trend, shows a steady increase of 0.84% in area, 0.87% in production, and a minimal 0.02% in productivity annually. Meanwhile, the compound growth rate (CGR), which indicates the annual compounded growth, shows an overall increase of 0.9% for area, 0.7% for production, and 0.01% for productivity. This consistent yet modest growth suggests gradual improvements over time. These findings collectively highlight steady progress in agricultural performance, driven by technological advancements, better farming practices, and policy support. Although the growth rates appear moderate, they reflect sustainable development in agricultural productivity, indicating the potential for long-term growth and stability in the sector</w:t>
      </w:r>
      <w:r w:rsidRPr="0006798B">
        <w:rPr>
          <w:rStyle w:val="Hyperlink"/>
          <w:rFonts w:ascii="Times New Roman" w:hAnsi="Times New Roman" w:cs="Times New Roman"/>
          <w:sz w:val="22"/>
          <w:szCs w:val="22"/>
        </w:rPr>
        <w:t>.</w:t>
      </w:r>
    </w:p>
    <w:p w14:paraId="0058ECF6" w14:textId="77777777" w:rsidR="005F5148" w:rsidRPr="0006798B" w:rsidRDefault="005F5148" w:rsidP="005F5148">
      <w:pPr>
        <w:rPr>
          <w:rStyle w:val="Hyperlink"/>
          <w:rFonts w:ascii="Times New Roman" w:hAnsi="Times New Roman" w:cs="Times New Roman"/>
          <w:b/>
          <w:bCs/>
          <w:sz w:val="22"/>
          <w:szCs w:val="22"/>
        </w:rPr>
      </w:pPr>
    </w:p>
    <w:p w14:paraId="6E873E28" w14:textId="77777777" w:rsidR="005F5148" w:rsidRPr="0006798B" w:rsidRDefault="005F5148" w:rsidP="005F5148">
      <w:pPr>
        <w:rPr>
          <w:rStyle w:val="Hyperlink"/>
          <w:rFonts w:ascii="Times New Roman" w:hAnsi="Times New Roman" w:cs="Times New Roman"/>
          <w:b/>
          <w:bCs/>
          <w:sz w:val="22"/>
          <w:szCs w:val="22"/>
        </w:rPr>
      </w:pPr>
    </w:p>
    <w:p w14:paraId="5568657D" w14:textId="77777777" w:rsidR="005F5148" w:rsidRDefault="005F5148" w:rsidP="005F5148">
      <w:pPr>
        <w:rPr>
          <w:rStyle w:val="Hyperlink"/>
          <w:rFonts w:ascii="Times New Roman" w:hAnsi="Times New Roman" w:cs="Times New Roman"/>
          <w:b/>
          <w:bCs/>
          <w:sz w:val="22"/>
          <w:szCs w:val="22"/>
        </w:rPr>
      </w:pPr>
    </w:p>
    <w:p w14:paraId="1782472C" w14:textId="77777777" w:rsidR="000832D8" w:rsidRPr="0006798B" w:rsidRDefault="000832D8" w:rsidP="005F5148">
      <w:pPr>
        <w:rPr>
          <w:rStyle w:val="Hyperlink"/>
          <w:rFonts w:ascii="Times New Roman" w:hAnsi="Times New Roman" w:cs="Times New Roman"/>
          <w:b/>
          <w:bCs/>
          <w:sz w:val="22"/>
          <w:szCs w:val="22"/>
        </w:rPr>
      </w:pPr>
    </w:p>
    <w:p w14:paraId="210A5649" w14:textId="77777777" w:rsidR="005F5148" w:rsidRPr="000832D8" w:rsidRDefault="005F5148" w:rsidP="005F5148">
      <w:pPr>
        <w:rPr>
          <w:rStyle w:val="Hyperlink"/>
          <w:rFonts w:ascii="Times New Roman" w:hAnsi="Times New Roman" w:cs="Times New Roman"/>
          <w:b/>
          <w:bCs/>
          <w:u w:val="none"/>
        </w:rPr>
      </w:pPr>
      <w:r w:rsidRPr="000832D8">
        <w:rPr>
          <w:rStyle w:val="Hyperlink"/>
          <w:rFonts w:ascii="Times New Roman" w:hAnsi="Times New Roman" w:cs="Times New Roman"/>
          <w:b/>
          <w:bCs/>
          <w:u w:val="none"/>
        </w:rPr>
        <w:t>Trends in area, production &amp; productivity of soybean for overall period in Madhya Pradesh</w:t>
      </w:r>
    </w:p>
    <w:p w14:paraId="249CFB40" w14:textId="77777777" w:rsidR="005F5148" w:rsidRDefault="005F5148" w:rsidP="005F5148">
      <w:pPr>
        <w:rPr>
          <w:rFonts w:ascii="Times New Roman" w:hAnsi="Times New Roman" w:cs="Times New Roman"/>
          <w:bCs/>
          <w:i/>
        </w:rPr>
      </w:pPr>
      <w:r w:rsidRPr="00702243">
        <w:rPr>
          <w:rFonts w:ascii="Times New Roman" w:hAnsi="Times New Roman" w:cs="Times New Roman"/>
          <w:noProof/>
          <w:lang w:val="en-US"/>
        </w:rPr>
        <w:lastRenderedPageBreak/>
        <w:drawing>
          <wp:inline distT="0" distB="0" distL="0" distR="0" wp14:anchorId="0CAA31F4" wp14:editId="784B274B">
            <wp:extent cx="5715000" cy="3459480"/>
            <wp:effectExtent l="0" t="0" r="0" b="7620"/>
            <wp:docPr id="1578154397" name="Chart 1578154397">
              <a:extLst xmlns:a="http://schemas.openxmlformats.org/drawingml/2006/main">
                <a:ext uri="{FF2B5EF4-FFF2-40B4-BE49-F238E27FC236}">
                  <a16:creationId xmlns:a16="http://schemas.microsoft.com/office/drawing/2014/main" id="{6377F345-273E-FDE3-62A0-E336FD6DDA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bCs/>
          <w:i/>
        </w:rPr>
        <w:t xml:space="preserve">      </w:t>
      </w:r>
      <w:r w:rsidRPr="00702243">
        <w:rPr>
          <w:rFonts w:ascii="Times New Roman" w:hAnsi="Times New Roman" w:cs="Times New Roman"/>
          <w:bCs/>
          <w:i/>
        </w:rPr>
        <w:t xml:space="preserve">Fig. </w:t>
      </w:r>
      <w:r>
        <w:rPr>
          <w:rFonts w:ascii="Times New Roman" w:hAnsi="Times New Roman" w:cs="Times New Roman"/>
          <w:bCs/>
          <w:i/>
        </w:rPr>
        <w:t>1</w:t>
      </w:r>
      <w:r w:rsidRPr="00702243">
        <w:rPr>
          <w:rFonts w:ascii="Times New Roman" w:hAnsi="Times New Roman" w:cs="Times New Roman"/>
          <w:bCs/>
          <w:i/>
        </w:rPr>
        <w:t>:</w:t>
      </w:r>
      <w:r>
        <w:rPr>
          <w:rFonts w:ascii="Times New Roman" w:hAnsi="Times New Roman" w:cs="Times New Roman"/>
          <w:bCs/>
          <w:i/>
        </w:rPr>
        <w:t xml:space="preserve"> Trends in area, production &amp; productivity of soybean for overall period in Madhya Pradesh</w:t>
      </w:r>
    </w:p>
    <w:p w14:paraId="355F79BA" w14:textId="77777777" w:rsidR="005F5148" w:rsidRPr="0006798B" w:rsidRDefault="005F5148" w:rsidP="005F5148">
      <w:pPr>
        <w:jc w:val="both"/>
        <w:rPr>
          <w:rFonts w:ascii="Times New Roman" w:hAnsi="Times New Roman" w:cs="Times New Roman"/>
          <w:bCs/>
          <w:sz w:val="22"/>
          <w:szCs w:val="22"/>
        </w:rPr>
      </w:pPr>
      <w:r w:rsidRPr="0006798B">
        <w:rPr>
          <w:rFonts w:ascii="Times New Roman" w:hAnsi="Times New Roman" w:cs="Times New Roman"/>
          <w:bCs/>
          <w:sz w:val="22"/>
          <w:szCs w:val="22"/>
        </w:rPr>
        <w:t>Trends in Area, Production, and Productivity of Soybean in Madhya Pradesh</w:t>
      </w:r>
    </w:p>
    <w:p w14:paraId="2ACDA63E" w14:textId="77777777" w:rsidR="005F5148" w:rsidRPr="0006798B" w:rsidRDefault="005F5148" w:rsidP="005F5148">
      <w:pPr>
        <w:jc w:val="both"/>
        <w:rPr>
          <w:rFonts w:ascii="Times New Roman" w:hAnsi="Times New Roman" w:cs="Times New Roman"/>
          <w:bCs/>
          <w:sz w:val="22"/>
          <w:szCs w:val="22"/>
        </w:rPr>
      </w:pPr>
    </w:p>
    <w:p w14:paraId="2E6F71EA" w14:textId="77777777" w:rsidR="005F5148" w:rsidRPr="00217557" w:rsidRDefault="005F5148" w:rsidP="005F5148">
      <w:pPr>
        <w:jc w:val="both"/>
        <w:rPr>
          <w:rFonts w:ascii="Times New Roman" w:hAnsi="Times New Roman" w:cs="Times New Roman"/>
          <w:bCs/>
        </w:rPr>
      </w:pPr>
      <w:r w:rsidRPr="0006798B">
        <w:rPr>
          <w:rFonts w:ascii="Times New Roman" w:hAnsi="Times New Roman" w:cs="Times New Roman"/>
          <w:bCs/>
          <w:sz w:val="22"/>
          <w:szCs w:val="22"/>
        </w:rPr>
        <w:t>Figure 1. illustrates the trends in the area, production, and productivity of soybean in Madhya Pradesh from 2012-13 to 2024-25. The graphical analysis provides a clear picture of how these three parameters have evolved over time, revealing significant fluctuations and long-term trends. Understanding these trends is crucial for assessing the performance of soybean cultivation in the region, identifying underlying factors driving the changes, and formulating strategies to promote sustainable growth</w:t>
      </w:r>
      <w:r w:rsidRPr="00217557">
        <w:rPr>
          <w:rFonts w:ascii="Times New Roman" w:hAnsi="Times New Roman" w:cs="Times New Roman"/>
          <w:bCs/>
        </w:rPr>
        <w:t>.</w:t>
      </w:r>
    </w:p>
    <w:p w14:paraId="0471EC3D" w14:textId="77777777" w:rsidR="005F5148" w:rsidRPr="006C37D1" w:rsidRDefault="005F5148" w:rsidP="005F5148">
      <w:pPr>
        <w:jc w:val="both"/>
        <w:rPr>
          <w:rFonts w:ascii="Times New Roman" w:hAnsi="Times New Roman" w:cs="Times New Roman"/>
          <w:b/>
        </w:rPr>
      </w:pPr>
      <w:r w:rsidRPr="006C37D1">
        <w:rPr>
          <w:rFonts w:ascii="Times New Roman" w:hAnsi="Times New Roman" w:cs="Times New Roman"/>
          <w:b/>
        </w:rPr>
        <w:t>Trend in Area</w:t>
      </w:r>
    </w:p>
    <w:p w14:paraId="2180858D" w14:textId="77777777" w:rsidR="005F5148" w:rsidRPr="0006798B" w:rsidRDefault="005F5148" w:rsidP="005F5148">
      <w:pPr>
        <w:jc w:val="both"/>
        <w:rPr>
          <w:rFonts w:ascii="Times New Roman" w:hAnsi="Times New Roman" w:cs="Times New Roman"/>
          <w:bCs/>
          <w:sz w:val="22"/>
          <w:szCs w:val="22"/>
        </w:rPr>
      </w:pPr>
      <w:r w:rsidRPr="0006798B">
        <w:rPr>
          <w:rFonts w:ascii="Times New Roman" w:hAnsi="Times New Roman" w:cs="Times New Roman"/>
          <w:bCs/>
          <w:sz w:val="22"/>
          <w:szCs w:val="22"/>
        </w:rPr>
        <w:t>The area under soybean cultivation exhibits a fluctuating but generally increasing trend during the study period. The linear trendline equation indicates a steady rise in the area allocated for soybean farming. The initial years saw consistent growth as soybean gained popularity due to its profitability and adaptability to the region’s climatic conditions. However, the trend was not uniform, with intermittent declines observed in some years. These fluctuations can be attributed to several factors, such as erratic monsoon patterns, changes in farmers' preferences for alternative crops, and variations in market prices. In years with favourable weather and higher market demand, the area under soybean cultivation expanded significantly. Conversely, during years of low rainfall, farmers either reduced the area or shifted to less water-intensive crops, resulting in a temporary decline in soybean acreage.</w:t>
      </w:r>
    </w:p>
    <w:p w14:paraId="5A903E33" w14:textId="77777777" w:rsidR="005F5148" w:rsidRPr="0006798B" w:rsidRDefault="005F5148" w:rsidP="005F5148">
      <w:pPr>
        <w:jc w:val="both"/>
        <w:rPr>
          <w:rFonts w:ascii="Times New Roman" w:hAnsi="Times New Roman" w:cs="Times New Roman"/>
          <w:bCs/>
          <w:sz w:val="22"/>
          <w:szCs w:val="22"/>
        </w:rPr>
      </w:pPr>
      <w:r w:rsidRPr="0006798B">
        <w:rPr>
          <w:rFonts w:ascii="Times New Roman" w:hAnsi="Times New Roman" w:cs="Times New Roman"/>
          <w:bCs/>
          <w:sz w:val="22"/>
          <w:szCs w:val="22"/>
        </w:rPr>
        <w:t>Despite these ups and downs, the overall trend suggests that soybean remains an important crop in Madhya Pradesh, occupying a substantial portion of the total cultivated area. The rising trend in the area indicates farmers’ continued interest in soybean, driven by technological advancements, government support schemes, and improved access to seeds and fertilizers</w:t>
      </w:r>
    </w:p>
    <w:p w14:paraId="6AAF0B68" w14:textId="77777777" w:rsidR="005F5148" w:rsidRPr="006C37D1" w:rsidRDefault="005F5148" w:rsidP="005F5148">
      <w:pPr>
        <w:jc w:val="both"/>
        <w:rPr>
          <w:rFonts w:ascii="Times New Roman" w:hAnsi="Times New Roman" w:cs="Times New Roman"/>
          <w:b/>
        </w:rPr>
      </w:pPr>
      <w:r w:rsidRPr="006C37D1">
        <w:rPr>
          <w:rFonts w:ascii="Times New Roman" w:hAnsi="Times New Roman" w:cs="Times New Roman"/>
          <w:b/>
        </w:rPr>
        <w:t>Trend in Production</w:t>
      </w:r>
    </w:p>
    <w:p w14:paraId="58558FAA" w14:textId="77777777" w:rsidR="005F5148" w:rsidRPr="0006798B" w:rsidRDefault="005F5148" w:rsidP="005F5148">
      <w:pPr>
        <w:jc w:val="both"/>
        <w:rPr>
          <w:rFonts w:ascii="Times New Roman" w:hAnsi="Times New Roman" w:cs="Times New Roman"/>
          <w:bCs/>
          <w:sz w:val="22"/>
          <w:szCs w:val="22"/>
        </w:rPr>
      </w:pPr>
      <w:r w:rsidRPr="0006798B">
        <w:rPr>
          <w:rFonts w:ascii="Times New Roman" w:hAnsi="Times New Roman" w:cs="Times New Roman"/>
          <w:bCs/>
          <w:sz w:val="22"/>
          <w:szCs w:val="22"/>
        </w:rPr>
        <w:lastRenderedPageBreak/>
        <w:t>The production of soybean in Madhya Pradesh follows a more volatile trend compared to the area. The linear trendline equation suggests an overall increase in production over the study period, despite the high degree of variability from year to year. This variability reflects the sensitivity of soybean production to both biotic (pests and diseases) and abiotic (weather and soil conditions) factors.</w:t>
      </w:r>
    </w:p>
    <w:p w14:paraId="65754266" w14:textId="77777777" w:rsidR="005F5148" w:rsidRPr="0006798B" w:rsidRDefault="005F5148" w:rsidP="005F5148">
      <w:pPr>
        <w:jc w:val="both"/>
        <w:rPr>
          <w:rFonts w:ascii="Times New Roman" w:hAnsi="Times New Roman" w:cs="Times New Roman"/>
          <w:bCs/>
          <w:sz w:val="22"/>
          <w:szCs w:val="22"/>
        </w:rPr>
      </w:pPr>
      <w:r w:rsidRPr="0006798B">
        <w:rPr>
          <w:rFonts w:ascii="Times New Roman" w:hAnsi="Times New Roman" w:cs="Times New Roman"/>
          <w:bCs/>
          <w:sz w:val="22"/>
          <w:szCs w:val="22"/>
        </w:rPr>
        <w:t>During years with favourable rainfall and optimal growing conditions, production peaked significantly, reflecting the crop's high yield potential. However, periods of drought, untimely rainfall, or other adverse weather conditions led to sharp declines in production. Additionally, pest infestations and disease outbreaks in some years further contributed to the observed variations.</w:t>
      </w:r>
    </w:p>
    <w:p w14:paraId="5E81347F" w14:textId="77777777" w:rsidR="005F5148" w:rsidRPr="00217557" w:rsidRDefault="005F5148" w:rsidP="005F5148">
      <w:pPr>
        <w:jc w:val="both"/>
        <w:rPr>
          <w:rFonts w:ascii="Times New Roman" w:hAnsi="Times New Roman" w:cs="Times New Roman"/>
          <w:bCs/>
        </w:rPr>
      </w:pPr>
      <w:r w:rsidRPr="0006798B">
        <w:rPr>
          <w:rFonts w:ascii="Times New Roman" w:hAnsi="Times New Roman" w:cs="Times New Roman"/>
          <w:bCs/>
          <w:sz w:val="22"/>
          <w:szCs w:val="22"/>
        </w:rPr>
        <w:t>The variability in production highlights the importance of adopting climate-resilient practices and enhancing the availability of improved crop varieties to mitigate risks. It also underscores the need for better water management strategies and timely intervention through crop insurance and support mechanisms to safeguard farmers' incomes during adverse years</w:t>
      </w:r>
      <w:r w:rsidRPr="00217557">
        <w:rPr>
          <w:rFonts w:ascii="Times New Roman" w:hAnsi="Times New Roman" w:cs="Times New Roman"/>
          <w:bCs/>
        </w:rPr>
        <w:t>.</w:t>
      </w:r>
    </w:p>
    <w:p w14:paraId="1DC7C621" w14:textId="77777777" w:rsidR="005F5148" w:rsidRPr="006C37D1" w:rsidRDefault="005F5148" w:rsidP="005F5148">
      <w:pPr>
        <w:jc w:val="both"/>
        <w:rPr>
          <w:rFonts w:ascii="Times New Roman" w:hAnsi="Times New Roman" w:cs="Times New Roman"/>
          <w:b/>
        </w:rPr>
      </w:pPr>
      <w:r w:rsidRPr="006C37D1">
        <w:rPr>
          <w:rFonts w:ascii="Times New Roman" w:hAnsi="Times New Roman" w:cs="Times New Roman"/>
          <w:b/>
        </w:rPr>
        <w:t>Trend in Productivity</w:t>
      </w:r>
    </w:p>
    <w:p w14:paraId="1408993D" w14:textId="77777777" w:rsidR="005F5148" w:rsidRPr="0006798B" w:rsidRDefault="005F5148" w:rsidP="005F5148">
      <w:pPr>
        <w:jc w:val="both"/>
        <w:rPr>
          <w:rFonts w:ascii="Times New Roman" w:hAnsi="Times New Roman" w:cs="Times New Roman"/>
          <w:bCs/>
          <w:sz w:val="22"/>
          <w:szCs w:val="22"/>
        </w:rPr>
      </w:pPr>
      <w:r w:rsidRPr="0006798B">
        <w:rPr>
          <w:rFonts w:ascii="Times New Roman" w:hAnsi="Times New Roman" w:cs="Times New Roman"/>
          <w:bCs/>
          <w:sz w:val="22"/>
          <w:szCs w:val="22"/>
        </w:rPr>
        <w:t>The productivity of soybean, or yield per hectare, shows a relatively stable pattern compared to area and production. The linear trendline reflects a gradual but consistent improvement in productivity over the study period. This steady increase in yield indicates ongoing advancements in agricultural practices, including the adoption of high-yielding seed varieties, better crop management techniques, and improved soil fertility management.</w:t>
      </w:r>
    </w:p>
    <w:p w14:paraId="28EB63F2" w14:textId="77777777" w:rsidR="005F5148" w:rsidRPr="0006798B" w:rsidRDefault="005F5148" w:rsidP="005F5148">
      <w:pPr>
        <w:jc w:val="both"/>
        <w:rPr>
          <w:rFonts w:ascii="Times New Roman" w:hAnsi="Times New Roman" w:cs="Times New Roman"/>
          <w:bCs/>
          <w:sz w:val="22"/>
          <w:szCs w:val="22"/>
        </w:rPr>
      </w:pPr>
      <w:r w:rsidRPr="0006798B">
        <w:rPr>
          <w:rFonts w:ascii="Times New Roman" w:hAnsi="Times New Roman" w:cs="Times New Roman"/>
          <w:bCs/>
          <w:sz w:val="22"/>
          <w:szCs w:val="22"/>
        </w:rPr>
        <w:t>Unlike area and production, productivity did not exhibit extreme fluctuations, suggesting that farmers have increasingly focused on optimizing yields rather than just expanding the cultivated area. Even during years of reduced production, the decline in productivity was less pronounced, reflecting efforts to stabilize yields through adaptive practices. The slow but consistent growth in productivity also signifies the positive impact of research and extension services, which have played a vital role in disseminating knowledge about modern agricultural practices and technologies.</w:t>
      </w:r>
    </w:p>
    <w:p w14:paraId="696609E3" w14:textId="77777777" w:rsidR="005F5148" w:rsidRPr="00217557" w:rsidRDefault="005F5148" w:rsidP="005F5148">
      <w:pPr>
        <w:jc w:val="both"/>
        <w:rPr>
          <w:rFonts w:ascii="Times New Roman" w:hAnsi="Times New Roman" w:cs="Times New Roman"/>
          <w:bCs/>
        </w:rPr>
      </w:pPr>
      <w:r w:rsidRPr="0006798B">
        <w:rPr>
          <w:rFonts w:ascii="Times New Roman" w:hAnsi="Times New Roman" w:cs="Times New Roman"/>
          <w:bCs/>
          <w:sz w:val="22"/>
          <w:szCs w:val="22"/>
        </w:rPr>
        <w:t>However, while the trend is encouraging, the relatively modest rate of improvement in productivity suggests that there is still significant scope for further enhancement. Addressing constraints such as limited irrigation facilities, inadequate pest management, and poor soil health will be critical for achieving higher productivity levels in the future</w:t>
      </w:r>
      <w:r w:rsidRPr="00217557">
        <w:rPr>
          <w:rFonts w:ascii="Times New Roman" w:hAnsi="Times New Roman" w:cs="Times New Roman"/>
          <w:bCs/>
        </w:rPr>
        <w:t>.</w:t>
      </w:r>
    </w:p>
    <w:p w14:paraId="0A96348A" w14:textId="77777777" w:rsidR="005F5148" w:rsidRPr="006C37D1" w:rsidRDefault="005F5148" w:rsidP="005F5148">
      <w:pPr>
        <w:jc w:val="both"/>
        <w:rPr>
          <w:rFonts w:ascii="Times New Roman" w:hAnsi="Times New Roman" w:cs="Times New Roman"/>
          <w:b/>
        </w:rPr>
      </w:pPr>
      <w:r w:rsidRPr="006C37D1">
        <w:rPr>
          <w:rFonts w:ascii="Times New Roman" w:hAnsi="Times New Roman" w:cs="Times New Roman"/>
          <w:b/>
        </w:rPr>
        <w:t>Overall Trend Analysis</w:t>
      </w:r>
    </w:p>
    <w:p w14:paraId="3F6A5B43" w14:textId="77777777" w:rsidR="005F5148" w:rsidRPr="0006798B" w:rsidRDefault="005F5148" w:rsidP="005F5148">
      <w:pPr>
        <w:jc w:val="both"/>
        <w:rPr>
          <w:rFonts w:ascii="Times New Roman" w:hAnsi="Times New Roman" w:cs="Times New Roman"/>
          <w:bCs/>
          <w:sz w:val="22"/>
          <w:szCs w:val="22"/>
        </w:rPr>
      </w:pPr>
      <w:r w:rsidRPr="0006798B">
        <w:rPr>
          <w:rFonts w:ascii="Times New Roman" w:hAnsi="Times New Roman" w:cs="Times New Roman"/>
          <w:bCs/>
          <w:sz w:val="22"/>
          <w:szCs w:val="22"/>
        </w:rPr>
        <w:t>The overall trend analysis of area, production, and productivity of soybean in Madhya Pradesh reveals a pattern of moderate growth with periodic fluctuations. While the area and production showed more variability due to external factors like climate and market conditions, productivity remained relatively stable and improved gradually over time.</w:t>
      </w:r>
    </w:p>
    <w:p w14:paraId="6E3BFDF7" w14:textId="77777777" w:rsidR="005F5148" w:rsidRPr="0006798B" w:rsidRDefault="005F5148" w:rsidP="005F5148">
      <w:pPr>
        <w:jc w:val="both"/>
        <w:rPr>
          <w:rFonts w:ascii="Times New Roman" w:hAnsi="Times New Roman" w:cs="Times New Roman"/>
          <w:bCs/>
          <w:sz w:val="22"/>
          <w:szCs w:val="22"/>
        </w:rPr>
      </w:pPr>
      <w:r w:rsidRPr="0006798B">
        <w:rPr>
          <w:rFonts w:ascii="Times New Roman" w:hAnsi="Times New Roman" w:cs="Times New Roman"/>
          <w:bCs/>
          <w:sz w:val="22"/>
          <w:szCs w:val="22"/>
        </w:rPr>
        <w:t>These findings highlight the dynamic nature of soybean cultivation in Madhya Pradesh, reflecting both opportunities and challenges. The positive growth trends underscore the potential for further expansion and development of the soybean sector. However, the observed fluctuations indicate the need for policy interventions to reduce variability and enhance resilience.</w:t>
      </w:r>
    </w:p>
    <w:p w14:paraId="0E8AEAC3" w14:textId="77777777" w:rsidR="005F5148" w:rsidRPr="0006798B" w:rsidRDefault="005F5148" w:rsidP="005F5148">
      <w:pPr>
        <w:jc w:val="both"/>
        <w:rPr>
          <w:rFonts w:ascii="Times New Roman" w:hAnsi="Times New Roman" w:cs="Times New Roman"/>
          <w:bCs/>
          <w:sz w:val="22"/>
          <w:szCs w:val="22"/>
        </w:rPr>
      </w:pPr>
      <w:r w:rsidRPr="0006798B">
        <w:rPr>
          <w:rFonts w:ascii="Times New Roman" w:hAnsi="Times New Roman" w:cs="Times New Roman"/>
          <w:bCs/>
          <w:sz w:val="22"/>
          <w:szCs w:val="22"/>
        </w:rPr>
        <w:t>Efforts should focus on stabilizing production by promoting climate-resilient technologies, strengthening irrigation infrastructure, and improving access to quality inputs. Additionally, enhancing market linkages, providing price support during periods of low market demand, and encouraging diversification of income sources for farmers can help reduce risks.</w:t>
      </w:r>
    </w:p>
    <w:p w14:paraId="025D0267" w14:textId="77777777" w:rsidR="005F5148" w:rsidRPr="0006798B" w:rsidRDefault="005F5148" w:rsidP="005F5148">
      <w:pPr>
        <w:jc w:val="both"/>
        <w:rPr>
          <w:rFonts w:ascii="Times New Roman" w:hAnsi="Times New Roman" w:cs="Times New Roman"/>
          <w:bCs/>
          <w:sz w:val="22"/>
          <w:szCs w:val="22"/>
        </w:rPr>
      </w:pPr>
      <w:r w:rsidRPr="0006798B">
        <w:rPr>
          <w:rFonts w:ascii="Times New Roman" w:hAnsi="Times New Roman" w:cs="Times New Roman"/>
          <w:bCs/>
          <w:sz w:val="22"/>
          <w:szCs w:val="22"/>
        </w:rPr>
        <w:lastRenderedPageBreak/>
        <w:t>By addressing these challenges, it is possible to achieve sustained growth in soybean cultivation, ensuring its continued contribution to the agricultural economy of Madhya Pradesh and improving the livelihoods of soybean farmers in the region.</w:t>
      </w:r>
    </w:p>
    <w:p w14:paraId="4531C870" w14:textId="77777777" w:rsidR="005F5148" w:rsidRPr="006C37D1" w:rsidRDefault="005F5148" w:rsidP="005F5148">
      <w:pPr>
        <w:rPr>
          <w:b/>
          <w:bCs/>
        </w:rPr>
      </w:pPr>
      <w:r w:rsidRPr="006C37D1">
        <w:rPr>
          <w:b/>
          <w:bCs/>
        </w:rPr>
        <w:t>Conclusion:</w:t>
      </w:r>
    </w:p>
    <w:p w14:paraId="21E3522C" w14:textId="77777777" w:rsidR="005F5148" w:rsidRPr="0006798B" w:rsidRDefault="005F5148" w:rsidP="005F5148">
      <w:pPr>
        <w:jc w:val="both"/>
        <w:rPr>
          <w:sz w:val="22"/>
          <w:szCs w:val="22"/>
        </w:rPr>
      </w:pPr>
      <w:r w:rsidRPr="0006798B">
        <w:rPr>
          <w:sz w:val="22"/>
          <w:szCs w:val="22"/>
        </w:rPr>
        <w:t>This study on the trends of soybean cultivation in Sagar District, Madhya Pradesh, presents a detailed analysis of the area's growth, production patterns, and productivity shifts from 2012 to 2024. Over the years, soybean cultivation has experienced fluctuations in production and productivity, primarily influenced by climatic variables, technological advancements, and market conditions. However, the overall trend indicates a consistent increase in the area under cultivation and a moderate rise in production, with a gradual improvement in productivity. The analysis of growth rates and variability suggests that while soybean farming in the region has seen positive developments, challenges remain, particularly in terms of climate resilience and production stability.</w:t>
      </w:r>
    </w:p>
    <w:p w14:paraId="28D43887" w14:textId="77777777" w:rsidR="005F5148" w:rsidRDefault="005F5148" w:rsidP="005F5148">
      <w:pPr>
        <w:jc w:val="both"/>
      </w:pPr>
      <w:r w:rsidRPr="0006798B">
        <w:rPr>
          <w:sz w:val="22"/>
          <w:szCs w:val="22"/>
        </w:rPr>
        <w:t>For continued growth and sustainability, it is crucial to focus on enhancing irrigation infrastructure, promoting climate-resilient agricultural practices, and improving access to quality inputs and market support. Addressing these challenges will ensure that soybean cultivation in Sagar District can thrive in the long term, contributing to both the local economy and India's broader agricultural sector. The insights and recommendations presented in this paper can guide policymakers, agricultural researchers, and farmers in enhancing productivity, stabilizing production, and fostering sustainable growth in soybean farming, ensuring the continued importance of this vital crop in Madhya Pradesh’s agricultural landscape</w:t>
      </w:r>
      <w:r w:rsidRPr="00F30550">
        <w:t>.</w:t>
      </w:r>
    </w:p>
    <w:p w14:paraId="70896503" w14:textId="77777777" w:rsidR="005F5148" w:rsidRDefault="005F5148" w:rsidP="005F5148">
      <w:pPr>
        <w:jc w:val="both"/>
      </w:pPr>
    </w:p>
    <w:p w14:paraId="61F5195A" w14:textId="77777777" w:rsidR="005F5148" w:rsidRDefault="005F5148" w:rsidP="005F5148">
      <w:pPr>
        <w:rPr>
          <w:rFonts w:ascii="Calibri" w:eastAsia="Calibri" w:hAnsi="Calibri" w:cs="Times New Roman"/>
          <w:highlight w:val="yellow"/>
          <w:lang w:val="en-US"/>
        </w:rPr>
      </w:pPr>
      <w:bookmarkStart w:id="2" w:name="_Hlk193540946"/>
      <w:bookmarkStart w:id="3" w:name="_Hlk183680988"/>
      <w:bookmarkStart w:id="4" w:name="_Hlk180402183"/>
      <w:r>
        <w:rPr>
          <w:rFonts w:ascii="Calibri" w:eastAsia="Calibri" w:hAnsi="Calibri" w:cs="Times New Roman"/>
          <w:highlight w:val="yellow"/>
          <w:lang w:val="en-US"/>
        </w:rPr>
        <w:t>Disclaimer (Artificial intelligence)</w:t>
      </w:r>
    </w:p>
    <w:p w14:paraId="12DA75E1" w14:textId="77777777" w:rsidR="005F5148" w:rsidRDefault="005F5148" w:rsidP="005F5148">
      <w:pPr>
        <w:rPr>
          <w:rFonts w:ascii="Calibri" w:eastAsia="Calibri" w:hAnsi="Calibri" w:cs="Times New Roman"/>
          <w:highlight w:val="yellow"/>
          <w:lang w:val="en-US"/>
        </w:rPr>
      </w:pPr>
      <w:r>
        <w:rPr>
          <w:rFonts w:ascii="Calibri" w:eastAsia="Calibri" w:hAnsi="Calibri" w:cs="Times New Roman"/>
          <w:highlight w:val="yellow"/>
          <w:lang w:val="en-US"/>
        </w:rPr>
        <w:t xml:space="preserve">Option 1: </w:t>
      </w:r>
    </w:p>
    <w:p w14:paraId="61E8E698" w14:textId="77777777" w:rsidR="005F5148" w:rsidRPr="004F5638" w:rsidRDefault="005F5148" w:rsidP="005F5148">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2"/>
      <w:bookmarkEnd w:id="3"/>
      <w:bookmarkEnd w:id="4"/>
    </w:p>
    <w:p w14:paraId="3EE3355A" w14:textId="77777777" w:rsidR="005F5148" w:rsidRDefault="005F5148" w:rsidP="005F5148">
      <w:pPr>
        <w:jc w:val="both"/>
      </w:pPr>
    </w:p>
    <w:p w14:paraId="2D829942" w14:textId="77777777" w:rsidR="005F5148" w:rsidRDefault="005F5148" w:rsidP="005F5148">
      <w:pPr>
        <w:jc w:val="both"/>
        <w:rPr>
          <w:b/>
          <w:bCs/>
        </w:rPr>
      </w:pPr>
      <w:r w:rsidRPr="000D449B">
        <w:rPr>
          <w:b/>
          <w:bCs/>
        </w:rPr>
        <w:t xml:space="preserve">References </w:t>
      </w:r>
    </w:p>
    <w:p w14:paraId="063E5179" w14:textId="77777777" w:rsidR="005F5148" w:rsidRPr="00012C22" w:rsidRDefault="005F5148" w:rsidP="005F5148">
      <w:pPr>
        <w:pStyle w:val="ListParagraph"/>
        <w:numPr>
          <w:ilvl w:val="0"/>
          <w:numId w:val="4"/>
        </w:numPr>
        <w:jc w:val="both"/>
      </w:pPr>
      <w:r w:rsidRPr="00C76CD3">
        <w:t>Singh, S., Joshi, A., &amp; Bhatt, M. Crop Clusters in Madhya Pradesh: A Comprehensive Analysis of Production, Market Dynamics and Implications. </w:t>
      </w:r>
      <w:r w:rsidRPr="00C76CD3">
        <w:rPr>
          <w:i/>
          <w:iCs/>
        </w:rPr>
        <w:t>Journal of Development Policy and Practice</w:t>
      </w:r>
      <w:r w:rsidRPr="00C76CD3">
        <w:t>, 24551333251327254.</w:t>
      </w:r>
    </w:p>
    <w:p w14:paraId="1FC82FEE" w14:textId="77777777" w:rsidR="005F5148" w:rsidRDefault="005F5148" w:rsidP="005F5148">
      <w:pPr>
        <w:pStyle w:val="ListParagraph"/>
        <w:numPr>
          <w:ilvl w:val="0"/>
          <w:numId w:val="4"/>
        </w:numPr>
        <w:jc w:val="both"/>
      </w:pPr>
      <w:r w:rsidRPr="005A56FB">
        <w:t>Rathore, M.V., 2021. Dynamics of Production and Profitability of Soybean in Different States of India.</w:t>
      </w:r>
    </w:p>
    <w:p w14:paraId="5DE36DF0" w14:textId="77777777" w:rsidR="005F5148" w:rsidRDefault="005F5148" w:rsidP="005F5148">
      <w:pPr>
        <w:pStyle w:val="ListParagraph"/>
        <w:numPr>
          <w:ilvl w:val="0"/>
          <w:numId w:val="4"/>
        </w:numPr>
        <w:jc w:val="both"/>
      </w:pPr>
      <w:proofErr w:type="spellStart"/>
      <w:r w:rsidRPr="00FE0DC4">
        <w:t>Rameshrao</w:t>
      </w:r>
      <w:proofErr w:type="spellEnd"/>
      <w:r w:rsidRPr="00FE0DC4">
        <w:t>, M. P. Y. (2024). </w:t>
      </w:r>
      <w:r w:rsidRPr="00FE0DC4">
        <w:rPr>
          <w:i/>
          <w:iCs/>
        </w:rPr>
        <w:t>RESOURCE USE EFFICIENCY AND YIELD GAP ANALYSIS OF SOYBEAN IN AMRAVATI DISTRICT OF MAHARASHTRA</w:t>
      </w:r>
      <w:r w:rsidRPr="00FE0DC4">
        <w:t> (Doctoral dissertation, DEPARTMENT OF AGRICULTURAL ECONOMICS POST GRADUATE INSTITUTE, MAHATMA PHULE KRISHI VIDYAPEETH).</w:t>
      </w:r>
    </w:p>
    <w:p w14:paraId="78FD7E07" w14:textId="77777777" w:rsidR="005F5148" w:rsidRDefault="005F5148" w:rsidP="005F5148">
      <w:pPr>
        <w:pStyle w:val="ListParagraph"/>
        <w:numPr>
          <w:ilvl w:val="0"/>
          <w:numId w:val="4"/>
        </w:numPr>
        <w:jc w:val="both"/>
      </w:pPr>
      <w:r w:rsidRPr="003647CF">
        <w:lastRenderedPageBreak/>
        <w:t>Raghunath, M. D. S. (2024). </w:t>
      </w:r>
      <w:r w:rsidRPr="003647CF">
        <w:rPr>
          <w:i/>
          <w:iCs/>
        </w:rPr>
        <w:t>“ACREAGE RESPONSE OF SOYBEAN IN BULDHANA DISTRICT OF MAHARASHTRA</w:t>
      </w:r>
      <w:r w:rsidRPr="003647CF">
        <w:t> (Doctoral dissertation, MAHATMA PHULE KRISHI VIDYAPEETH).</w:t>
      </w:r>
    </w:p>
    <w:p w14:paraId="2FD8DDB0" w14:textId="77777777" w:rsidR="005F5148" w:rsidRDefault="005F5148" w:rsidP="005F5148">
      <w:pPr>
        <w:pStyle w:val="ListParagraph"/>
        <w:numPr>
          <w:ilvl w:val="0"/>
          <w:numId w:val="4"/>
        </w:numPr>
        <w:jc w:val="both"/>
      </w:pPr>
      <w:proofErr w:type="spellStart"/>
      <w:r w:rsidRPr="00412D08">
        <w:t>Prashnani</w:t>
      </w:r>
      <w:proofErr w:type="spellEnd"/>
      <w:r w:rsidRPr="00412D08">
        <w:t xml:space="preserve">, M., </w:t>
      </w:r>
      <w:proofErr w:type="spellStart"/>
      <w:r w:rsidRPr="00412D08">
        <w:t>Dupare</w:t>
      </w:r>
      <w:proofErr w:type="spellEnd"/>
      <w:r w:rsidRPr="00412D08">
        <w:t xml:space="preserve">, B., </w:t>
      </w:r>
      <w:proofErr w:type="spellStart"/>
      <w:r w:rsidRPr="00412D08">
        <w:t>Vadrevu</w:t>
      </w:r>
      <w:proofErr w:type="spellEnd"/>
      <w:r w:rsidRPr="00412D08">
        <w:t xml:space="preserve">, K. P., &amp; Justice, C. (2024). Towards food security: Exploring the </w:t>
      </w:r>
      <w:proofErr w:type="spellStart"/>
      <w:r w:rsidRPr="00412D08">
        <w:t>spatio</w:t>
      </w:r>
      <w:proofErr w:type="spellEnd"/>
      <w:r w:rsidRPr="00412D08">
        <w:t>-temporal dynamics of soybean in India. </w:t>
      </w:r>
      <w:proofErr w:type="spellStart"/>
      <w:r w:rsidRPr="00412D08">
        <w:rPr>
          <w:i/>
          <w:iCs/>
        </w:rPr>
        <w:t>PloS</w:t>
      </w:r>
      <w:proofErr w:type="spellEnd"/>
      <w:r w:rsidRPr="00412D08">
        <w:rPr>
          <w:i/>
          <w:iCs/>
        </w:rPr>
        <w:t xml:space="preserve"> one</w:t>
      </w:r>
      <w:r w:rsidRPr="00412D08">
        <w:t>, </w:t>
      </w:r>
      <w:r w:rsidRPr="00412D08">
        <w:rPr>
          <w:i/>
          <w:iCs/>
        </w:rPr>
        <w:t>19</w:t>
      </w:r>
      <w:r w:rsidRPr="00412D08">
        <w:t>(5), e0292005.</w:t>
      </w:r>
    </w:p>
    <w:p w14:paraId="2DBD6841" w14:textId="77777777" w:rsidR="005F5148" w:rsidRDefault="005F5148" w:rsidP="005F5148">
      <w:pPr>
        <w:pStyle w:val="ListParagraph"/>
        <w:numPr>
          <w:ilvl w:val="0"/>
          <w:numId w:val="4"/>
        </w:numPr>
        <w:jc w:val="both"/>
      </w:pPr>
      <w:r w:rsidRPr="000175A6">
        <w:t>Meena, S. C., Deepak, R., &amp; Sharma, H. O. (2014). Dynamics of soybean production in different districts of Madhya Pradesh. </w:t>
      </w:r>
      <w:r w:rsidRPr="00C76CD3">
        <w:rPr>
          <w:i/>
          <w:iCs/>
        </w:rPr>
        <w:t>Soybean Research</w:t>
      </w:r>
      <w:r w:rsidRPr="000175A6">
        <w:t>, </w:t>
      </w:r>
      <w:r w:rsidRPr="00C76CD3">
        <w:rPr>
          <w:i/>
          <w:iCs/>
        </w:rPr>
        <w:t>12</w:t>
      </w:r>
      <w:r w:rsidRPr="000175A6">
        <w:t>(2), 101.</w:t>
      </w:r>
    </w:p>
    <w:p w14:paraId="56554BBF" w14:textId="77777777" w:rsidR="005F5148" w:rsidRDefault="005F5148" w:rsidP="005F5148">
      <w:pPr>
        <w:pStyle w:val="ListParagraph"/>
        <w:numPr>
          <w:ilvl w:val="0"/>
          <w:numId w:val="4"/>
        </w:numPr>
        <w:jc w:val="both"/>
      </w:pPr>
      <w:proofErr w:type="spellStart"/>
      <w:r w:rsidRPr="00012C22">
        <w:t>Ahirwar</w:t>
      </w:r>
      <w:proofErr w:type="spellEnd"/>
      <w:r w:rsidRPr="00012C22">
        <w:t xml:space="preserve">, R. F., Verma, A. K., &amp; </w:t>
      </w:r>
      <w:proofErr w:type="spellStart"/>
      <w:r w:rsidRPr="00012C22">
        <w:t>Raghuwanshi</w:t>
      </w:r>
      <w:proofErr w:type="spellEnd"/>
      <w:r w:rsidRPr="00012C22">
        <w:t>, S. R. S. (2016). Analysis of growth trends and variability of soybean production in different districts of Madhya Pradesh. </w:t>
      </w:r>
      <w:r w:rsidRPr="00C76CD3">
        <w:rPr>
          <w:i/>
          <w:iCs/>
        </w:rPr>
        <w:t>Soybean Research</w:t>
      </w:r>
      <w:r w:rsidRPr="00012C22">
        <w:t>, 89.</w:t>
      </w:r>
    </w:p>
    <w:p w14:paraId="2147B8D4" w14:textId="77777777" w:rsidR="005F5148" w:rsidRPr="000D449B" w:rsidRDefault="005F5148" w:rsidP="005F5148">
      <w:pPr>
        <w:jc w:val="both"/>
        <w:rPr>
          <w:b/>
          <w:bCs/>
        </w:rPr>
      </w:pPr>
    </w:p>
    <w:p w14:paraId="39ADAC13" w14:textId="77777777" w:rsidR="009221E6" w:rsidRDefault="009221E6" w:rsidP="009221E6">
      <w:pPr>
        <w:pStyle w:val="ListParagraph"/>
        <w:numPr>
          <w:ilvl w:val="0"/>
          <w:numId w:val="4"/>
        </w:numPr>
        <w:jc w:val="both"/>
      </w:pPr>
      <w:r w:rsidRPr="00766816">
        <w:t xml:space="preserve">Agarwal, D. K., </w:t>
      </w:r>
      <w:proofErr w:type="spellStart"/>
      <w:r w:rsidRPr="00766816">
        <w:t>Billore</w:t>
      </w:r>
      <w:proofErr w:type="spellEnd"/>
      <w:r w:rsidRPr="00766816">
        <w:t xml:space="preserve">, S. D., Sharma, A. N., </w:t>
      </w:r>
      <w:proofErr w:type="spellStart"/>
      <w:r w:rsidRPr="00766816">
        <w:t>Dupare</w:t>
      </w:r>
      <w:proofErr w:type="spellEnd"/>
      <w:r w:rsidRPr="00766816">
        <w:t>, B. U., &amp; Srivastava, S. K. (2013). Soybean: introduction, improvement, and utilization in India—problems and prospects. Agricultural Research, 2(4), 293-300.</w:t>
      </w:r>
    </w:p>
    <w:p w14:paraId="56AF16D7" w14:textId="77777777" w:rsidR="009221E6" w:rsidRDefault="009221E6" w:rsidP="009221E6">
      <w:pPr>
        <w:pStyle w:val="ListParagraph"/>
        <w:numPr>
          <w:ilvl w:val="0"/>
          <w:numId w:val="4"/>
        </w:numPr>
        <w:jc w:val="both"/>
      </w:pPr>
      <w:r w:rsidRPr="00766816">
        <w:t xml:space="preserve">Alfonso, C., Barbieri, P. A., Hernandez, M. D., </w:t>
      </w:r>
      <w:proofErr w:type="spellStart"/>
      <w:r w:rsidRPr="00766816">
        <w:t>Lewczuk</w:t>
      </w:r>
      <w:proofErr w:type="spellEnd"/>
      <w:r w:rsidRPr="00766816">
        <w:t xml:space="preserve">, N. A., </w:t>
      </w:r>
      <w:proofErr w:type="spellStart"/>
      <w:r w:rsidRPr="00766816">
        <w:t>Martínez</w:t>
      </w:r>
      <w:proofErr w:type="spellEnd"/>
      <w:r w:rsidRPr="00766816">
        <w:t xml:space="preserve">, J. P., </w:t>
      </w:r>
      <w:proofErr w:type="spellStart"/>
      <w:r w:rsidRPr="00766816">
        <w:t>Echarte</w:t>
      </w:r>
      <w:proofErr w:type="spellEnd"/>
      <w:r w:rsidRPr="00766816">
        <w:t xml:space="preserve">, M. M., &amp; </w:t>
      </w:r>
      <w:proofErr w:type="spellStart"/>
      <w:r w:rsidRPr="00766816">
        <w:t>Echarte</w:t>
      </w:r>
      <w:proofErr w:type="spellEnd"/>
      <w:r w:rsidRPr="00766816">
        <w:t>, L. (2020). Water productivity in soybean following a cover crop in a humid environment. Agricultural Water Management, 232, 106045.</w:t>
      </w:r>
    </w:p>
    <w:p w14:paraId="160C09F4" w14:textId="77777777" w:rsidR="009221E6" w:rsidRDefault="009221E6" w:rsidP="009221E6">
      <w:pPr>
        <w:pStyle w:val="ListParagraph"/>
        <w:numPr>
          <w:ilvl w:val="0"/>
          <w:numId w:val="4"/>
        </w:numPr>
        <w:jc w:val="both"/>
      </w:pPr>
      <w:proofErr w:type="spellStart"/>
      <w:r w:rsidRPr="00766816">
        <w:t>Mustikawati</w:t>
      </w:r>
      <w:proofErr w:type="spellEnd"/>
      <w:r w:rsidRPr="00766816">
        <w:t xml:space="preserve">, D. R., </w:t>
      </w:r>
      <w:proofErr w:type="spellStart"/>
      <w:r w:rsidRPr="00766816">
        <w:t>Mulyanti</w:t>
      </w:r>
      <w:proofErr w:type="spellEnd"/>
      <w:r w:rsidRPr="00766816">
        <w:t xml:space="preserve">, N., &amp; </w:t>
      </w:r>
      <w:proofErr w:type="spellStart"/>
      <w:r w:rsidRPr="00766816">
        <w:t>Arief</w:t>
      </w:r>
      <w:proofErr w:type="spellEnd"/>
      <w:r w:rsidRPr="00766816">
        <w:t>, R. W. (2018). Productivity of soybean on different agroecosystems. International Journal of Environment, Agriculture and Biotechnology, 3(4), 264385.</w:t>
      </w:r>
    </w:p>
    <w:p w14:paraId="66E692EE" w14:textId="77777777" w:rsidR="009221E6" w:rsidRPr="000D449B" w:rsidRDefault="009221E6" w:rsidP="009221E6">
      <w:pPr>
        <w:jc w:val="both"/>
        <w:rPr>
          <w:b/>
          <w:bCs/>
        </w:rPr>
      </w:pPr>
    </w:p>
    <w:p w14:paraId="16211663" w14:textId="77777777" w:rsidR="00787E39" w:rsidRDefault="00787E39"/>
    <w:sectPr w:rsidR="00787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089E"/>
    <w:multiLevelType w:val="hybridMultilevel"/>
    <w:tmpl w:val="83F865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7312DDB"/>
    <w:multiLevelType w:val="hybridMultilevel"/>
    <w:tmpl w:val="46A47876"/>
    <w:lvl w:ilvl="0" w:tplc="BEBA763A">
      <w:start w:val="1"/>
      <w:numFmt w:val="lowerRoman"/>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2B239B"/>
    <w:multiLevelType w:val="hybridMultilevel"/>
    <w:tmpl w:val="9822C61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7CD768E"/>
    <w:multiLevelType w:val="multilevel"/>
    <w:tmpl w:val="044AF010"/>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 w15:restartNumberingAfterBreak="0">
    <w:nsid w:val="7EB2598E"/>
    <w:multiLevelType w:val="hybridMultilevel"/>
    <w:tmpl w:val="1592E1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SzMLK0MDC1MDMwMDRX0lEKTi0uzszPAykwrAUAwcVZuywAAAA="/>
  </w:docVars>
  <w:rsids>
    <w:rsidRoot w:val="00787E39"/>
    <w:rsid w:val="000832D8"/>
    <w:rsid w:val="00154C03"/>
    <w:rsid w:val="002815AA"/>
    <w:rsid w:val="003227F2"/>
    <w:rsid w:val="003D6590"/>
    <w:rsid w:val="004152DD"/>
    <w:rsid w:val="0047606F"/>
    <w:rsid w:val="00476871"/>
    <w:rsid w:val="00581237"/>
    <w:rsid w:val="005F5148"/>
    <w:rsid w:val="00773567"/>
    <w:rsid w:val="00787E39"/>
    <w:rsid w:val="008A524D"/>
    <w:rsid w:val="008E0AC0"/>
    <w:rsid w:val="009221E6"/>
    <w:rsid w:val="00927208"/>
    <w:rsid w:val="00944AC2"/>
    <w:rsid w:val="00BB15DB"/>
    <w:rsid w:val="00BC5D9D"/>
    <w:rsid w:val="00C61608"/>
    <w:rsid w:val="00C757AB"/>
    <w:rsid w:val="00F01872"/>
    <w:rsid w:val="00F81D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B32F"/>
  <w15:chartTrackingRefBased/>
  <w15:docId w15:val="{E2D4BD74-9DD9-4FF9-AD3B-ED412CEE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148"/>
  </w:style>
  <w:style w:type="paragraph" w:styleId="Heading1">
    <w:name w:val="heading 1"/>
    <w:basedOn w:val="Normal"/>
    <w:next w:val="Normal"/>
    <w:link w:val="Heading1Char"/>
    <w:uiPriority w:val="9"/>
    <w:qFormat/>
    <w:rsid w:val="00787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7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E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E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7E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7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E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7E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E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E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7E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7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E39"/>
    <w:rPr>
      <w:rFonts w:eastAsiaTheme="majorEastAsia" w:cstheme="majorBidi"/>
      <w:color w:val="272727" w:themeColor="text1" w:themeTint="D8"/>
    </w:rPr>
  </w:style>
  <w:style w:type="paragraph" w:styleId="Title">
    <w:name w:val="Title"/>
    <w:basedOn w:val="Normal"/>
    <w:next w:val="Normal"/>
    <w:link w:val="TitleChar"/>
    <w:uiPriority w:val="10"/>
    <w:qFormat/>
    <w:rsid w:val="00787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E39"/>
    <w:pPr>
      <w:spacing w:before="160"/>
      <w:jc w:val="center"/>
    </w:pPr>
    <w:rPr>
      <w:i/>
      <w:iCs/>
      <w:color w:val="404040" w:themeColor="text1" w:themeTint="BF"/>
    </w:rPr>
  </w:style>
  <w:style w:type="character" w:customStyle="1" w:styleId="QuoteChar">
    <w:name w:val="Quote Char"/>
    <w:basedOn w:val="DefaultParagraphFont"/>
    <w:link w:val="Quote"/>
    <w:uiPriority w:val="29"/>
    <w:rsid w:val="00787E39"/>
    <w:rPr>
      <w:i/>
      <w:iCs/>
      <w:color w:val="404040" w:themeColor="text1" w:themeTint="BF"/>
    </w:rPr>
  </w:style>
  <w:style w:type="paragraph" w:styleId="ListParagraph">
    <w:name w:val="List Paragraph"/>
    <w:basedOn w:val="Normal"/>
    <w:uiPriority w:val="1"/>
    <w:qFormat/>
    <w:rsid w:val="00787E39"/>
    <w:pPr>
      <w:ind w:left="720"/>
      <w:contextualSpacing/>
    </w:pPr>
  </w:style>
  <w:style w:type="character" w:styleId="IntenseEmphasis">
    <w:name w:val="Intense Emphasis"/>
    <w:basedOn w:val="DefaultParagraphFont"/>
    <w:uiPriority w:val="21"/>
    <w:qFormat/>
    <w:rsid w:val="00787E39"/>
    <w:rPr>
      <w:i/>
      <w:iCs/>
      <w:color w:val="2F5496" w:themeColor="accent1" w:themeShade="BF"/>
    </w:rPr>
  </w:style>
  <w:style w:type="paragraph" w:styleId="IntenseQuote">
    <w:name w:val="Intense Quote"/>
    <w:basedOn w:val="Normal"/>
    <w:next w:val="Normal"/>
    <w:link w:val="IntenseQuoteChar"/>
    <w:uiPriority w:val="30"/>
    <w:qFormat/>
    <w:rsid w:val="00787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7E39"/>
    <w:rPr>
      <w:i/>
      <w:iCs/>
      <w:color w:val="2F5496" w:themeColor="accent1" w:themeShade="BF"/>
    </w:rPr>
  </w:style>
  <w:style w:type="character" w:styleId="IntenseReference">
    <w:name w:val="Intense Reference"/>
    <w:basedOn w:val="DefaultParagraphFont"/>
    <w:uiPriority w:val="32"/>
    <w:qFormat/>
    <w:rsid w:val="00787E39"/>
    <w:rPr>
      <w:b/>
      <w:bCs/>
      <w:smallCaps/>
      <w:color w:val="2F5496" w:themeColor="accent1" w:themeShade="BF"/>
      <w:spacing w:val="5"/>
    </w:rPr>
  </w:style>
  <w:style w:type="table" w:styleId="TableGrid">
    <w:name w:val="Table Grid"/>
    <w:basedOn w:val="TableNormal"/>
    <w:uiPriority w:val="59"/>
    <w:rsid w:val="005F514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51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data%20trend%20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48888864209326"/>
          <c:y val="4.2872454448017148E-2"/>
          <c:w val="0.8465111113579068"/>
          <c:h val="0.66027321343674483"/>
        </c:manualLayout>
      </c:layout>
      <c:lineChart>
        <c:grouping val="standard"/>
        <c:varyColors val="0"/>
        <c:ser>
          <c:idx val="0"/>
          <c:order val="0"/>
          <c:tx>
            <c:v>Area</c:v>
          </c:tx>
          <c:spPr>
            <a:ln w="19050" cap="rnd">
              <a:solidFill>
                <a:schemeClr val="accent6"/>
              </a:solidFill>
              <a:round/>
            </a:ln>
            <a:effectLst/>
          </c:spPr>
          <c:marker>
            <c:symbol val="none"/>
          </c:marker>
          <c:trendline>
            <c:spPr>
              <a:ln w="19050" cap="rnd">
                <a:solidFill>
                  <a:schemeClr val="accent6"/>
                </a:solidFill>
                <a:prstDash val="sysDash"/>
              </a:ln>
              <a:effectLst/>
            </c:spPr>
            <c:trendlineType val="linear"/>
            <c:dispRSqr val="0"/>
            <c:dispEq val="1"/>
            <c:trendlineLbl>
              <c:layout>
                <c:manualLayout>
                  <c:x val="-0.1448856139604171"/>
                  <c:y val="9.178088384884904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'Trend graph'!$A$2:$A$14</c:f>
              <c:strCache>
                <c:ptCount val="13"/>
                <c:pt idx="0">
                  <c:v>2012-13</c:v>
                </c:pt>
                <c:pt idx="1">
                  <c:v>2013-14</c:v>
                </c:pt>
                <c:pt idx="2">
                  <c:v>2014-15</c:v>
                </c:pt>
                <c:pt idx="3">
                  <c:v>2015-16</c:v>
                </c:pt>
                <c:pt idx="4">
                  <c:v>2016-17</c:v>
                </c:pt>
                <c:pt idx="5">
                  <c:v>2017-18</c:v>
                </c:pt>
                <c:pt idx="6">
                  <c:v>2018-19</c:v>
                </c:pt>
                <c:pt idx="7">
                  <c:v>2019-20</c:v>
                </c:pt>
                <c:pt idx="8">
                  <c:v>2020-21</c:v>
                </c:pt>
                <c:pt idx="9">
                  <c:v>2021-22</c:v>
                </c:pt>
                <c:pt idx="10">
                  <c:v>2022-23</c:v>
                </c:pt>
                <c:pt idx="11">
                  <c:v>2023-24</c:v>
                </c:pt>
                <c:pt idx="12">
                  <c:v>2024-25</c:v>
                </c:pt>
              </c:strCache>
            </c:strRef>
          </c:cat>
          <c:val>
            <c:numRef>
              <c:f>'Trend graph'!$B$2:$B$14</c:f>
              <c:numCache>
                <c:formatCode>General</c:formatCode>
                <c:ptCount val="13"/>
                <c:pt idx="0">
                  <c:v>5310</c:v>
                </c:pt>
                <c:pt idx="1">
                  <c:v>5654</c:v>
                </c:pt>
                <c:pt idx="2">
                  <c:v>5578</c:v>
                </c:pt>
                <c:pt idx="3">
                  <c:v>5906</c:v>
                </c:pt>
                <c:pt idx="4">
                  <c:v>5401</c:v>
                </c:pt>
                <c:pt idx="5">
                  <c:v>5010</c:v>
                </c:pt>
                <c:pt idx="6">
                  <c:v>5409</c:v>
                </c:pt>
                <c:pt idx="7">
                  <c:v>5195</c:v>
                </c:pt>
                <c:pt idx="8">
                  <c:v>5854</c:v>
                </c:pt>
                <c:pt idx="9">
                  <c:v>5960</c:v>
                </c:pt>
                <c:pt idx="10">
                  <c:v>5995</c:v>
                </c:pt>
                <c:pt idx="11">
                  <c:v>5842</c:v>
                </c:pt>
                <c:pt idx="12">
                  <c:v>5890</c:v>
                </c:pt>
              </c:numCache>
            </c:numRef>
          </c:val>
          <c:smooth val="0"/>
          <c:extLst>
            <c:ext xmlns:c16="http://schemas.microsoft.com/office/drawing/2014/chart" uri="{C3380CC4-5D6E-409C-BE32-E72D297353CC}">
              <c16:uniqueId val="{00000001-26DE-472D-9B32-1C63EDCF9680}"/>
            </c:ext>
          </c:extLst>
        </c:ser>
        <c:ser>
          <c:idx val="2"/>
          <c:order val="2"/>
          <c:tx>
            <c:v>Production</c:v>
          </c:tx>
          <c:spPr>
            <a:ln w="19050" cap="rnd">
              <a:solidFill>
                <a:schemeClr val="accent4"/>
              </a:solidFill>
              <a:round/>
            </a:ln>
            <a:effectLst/>
          </c:spPr>
          <c:marker>
            <c:symbol val="none"/>
          </c:marker>
          <c:trendline>
            <c:spPr>
              <a:ln w="19050" cap="rnd">
                <a:solidFill>
                  <a:schemeClr val="accent4"/>
                </a:solidFill>
                <a:prstDash val="sysDash"/>
              </a:ln>
              <a:effectLst/>
            </c:spPr>
            <c:trendlineType val="linear"/>
            <c:dispRSqr val="0"/>
            <c:dispEq val="1"/>
            <c:trendlineLbl>
              <c:layout>
                <c:manualLayout>
                  <c:x val="-0.25975047882528196"/>
                  <c:y val="-2.4042999409762775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'Trend graph'!$A$2:$A$14</c:f>
              <c:strCache>
                <c:ptCount val="13"/>
                <c:pt idx="0">
                  <c:v>2012-13</c:v>
                </c:pt>
                <c:pt idx="1">
                  <c:v>2013-14</c:v>
                </c:pt>
                <c:pt idx="2">
                  <c:v>2014-15</c:v>
                </c:pt>
                <c:pt idx="3">
                  <c:v>2015-16</c:v>
                </c:pt>
                <c:pt idx="4">
                  <c:v>2016-17</c:v>
                </c:pt>
                <c:pt idx="5">
                  <c:v>2017-18</c:v>
                </c:pt>
                <c:pt idx="6">
                  <c:v>2018-19</c:v>
                </c:pt>
                <c:pt idx="7">
                  <c:v>2019-20</c:v>
                </c:pt>
                <c:pt idx="8">
                  <c:v>2020-21</c:v>
                </c:pt>
                <c:pt idx="9">
                  <c:v>2021-22</c:v>
                </c:pt>
                <c:pt idx="10">
                  <c:v>2022-23</c:v>
                </c:pt>
                <c:pt idx="11">
                  <c:v>2023-24</c:v>
                </c:pt>
                <c:pt idx="12">
                  <c:v>2024-25</c:v>
                </c:pt>
              </c:strCache>
            </c:strRef>
          </c:cat>
          <c:val>
            <c:numRef>
              <c:f>'Trend graph'!$D$2:$D$14</c:f>
              <c:numCache>
                <c:formatCode>General</c:formatCode>
                <c:ptCount val="13"/>
                <c:pt idx="0">
                  <c:v>5903</c:v>
                </c:pt>
                <c:pt idx="1">
                  <c:v>5242</c:v>
                </c:pt>
                <c:pt idx="2">
                  <c:v>6353</c:v>
                </c:pt>
                <c:pt idx="3">
                  <c:v>4908</c:v>
                </c:pt>
                <c:pt idx="4">
                  <c:v>6649</c:v>
                </c:pt>
                <c:pt idx="5">
                  <c:v>5900</c:v>
                </c:pt>
                <c:pt idx="6">
                  <c:v>5818</c:v>
                </c:pt>
                <c:pt idx="7">
                  <c:v>5562</c:v>
                </c:pt>
                <c:pt idx="8">
                  <c:v>5660</c:v>
                </c:pt>
                <c:pt idx="9">
                  <c:v>6200</c:v>
                </c:pt>
                <c:pt idx="10">
                  <c:v>6320</c:v>
                </c:pt>
                <c:pt idx="11">
                  <c:v>6500</c:v>
                </c:pt>
                <c:pt idx="12">
                  <c:v>6570</c:v>
                </c:pt>
              </c:numCache>
            </c:numRef>
          </c:val>
          <c:smooth val="0"/>
          <c:extLst>
            <c:ext xmlns:c16="http://schemas.microsoft.com/office/drawing/2014/chart" uri="{C3380CC4-5D6E-409C-BE32-E72D297353CC}">
              <c16:uniqueId val="{00000003-26DE-472D-9B32-1C63EDCF9680}"/>
            </c:ext>
          </c:extLst>
        </c:ser>
        <c:ser>
          <c:idx val="4"/>
          <c:order val="4"/>
          <c:tx>
            <c:v>Productivity</c:v>
          </c:tx>
          <c:spPr>
            <a:ln w="19050" cap="rnd">
              <a:solidFill>
                <a:schemeClr val="accent5">
                  <a:lumMod val="60000"/>
                </a:schemeClr>
              </a:solidFill>
              <a:round/>
            </a:ln>
            <a:effectLst/>
          </c:spPr>
          <c:marker>
            <c:symbol val="none"/>
          </c:marker>
          <c:trendline>
            <c:spPr>
              <a:ln w="19050" cap="rnd">
                <a:solidFill>
                  <a:schemeClr val="accent5">
                    <a:lumMod val="60000"/>
                  </a:schemeClr>
                </a:solidFill>
                <a:prstDash val="sysDash"/>
              </a:ln>
              <a:effectLst/>
            </c:spPr>
            <c:trendlineType val="linear"/>
            <c:dispRSqr val="0"/>
            <c:dispEq val="1"/>
            <c:trendlineLbl>
              <c:layout>
                <c:manualLayout>
                  <c:x val="-0.1786693977442009"/>
                  <c:y val="-2.9804970550929937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'Trend graph'!$A$2:$A$14</c:f>
              <c:strCache>
                <c:ptCount val="13"/>
                <c:pt idx="0">
                  <c:v>2012-13</c:v>
                </c:pt>
                <c:pt idx="1">
                  <c:v>2013-14</c:v>
                </c:pt>
                <c:pt idx="2">
                  <c:v>2014-15</c:v>
                </c:pt>
                <c:pt idx="3">
                  <c:v>2015-16</c:v>
                </c:pt>
                <c:pt idx="4">
                  <c:v>2016-17</c:v>
                </c:pt>
                <c:pt idx="5">
                  <c:v>2017-18</c:v>
                </c:pt>
                <c:pt idx="6">
                  <c:v>2018-19</c:v>
                </c:pt>
                <c:pt idx="7">
                  <c:v>2019-20</c:v>
                </c:pt>
                <c:pt idx="8">
                  <c:v>2020-21</c:v>
                </c:pt>
                <c:pt idx="9">
                  <c:v>2021-22</c:v>
                </c:pt>
                <c:pt idx="10">
                  <c:v>2022-23</c:v>
                </c:pt>
                <c:pt idx="11">
                  <c:v>2023-24</c:v>
                </c:pt>
                <c:pt idx="12">
                  <c:v>2024-25</c:v>
                </c:pt>
              </c:strCache>
            </c:strRef>
          </c:cat>
          <c:val>
            <c:numRef>
              <c:f>'Trend graph'!$F$2:$F$14</c:f>
              <c:numCache>
                <c:formatCode>0.00</c:formatCode>
                <c:ptCount val="13"/>
                <c:pt idx="0">
                  <c:v>1111.6760828625236</c:v>
                </c:pt>
                <c:pt idx="1">
                  <c:v>927.13123452423065</c:v>
                </c:pt>
                <c:pt idx="2">
                  <c:v>1138.9386877016852</c:v>
                </c:pt>
                <c:pt idx="3">
                  <c:v>831.01930240433455</c:v>
                </c:pt>
                <c:pt idx="4">
                  <c:v>1231.0683206813553</c:v>
                </c:pt>
                <c:pt idx="5">
                  <c:v>1177.6447105788423</c:v>
                </c:pt>
                <c:pt idx="6">
                  <c:v>1075.6147162137179</c:v>
                </c:pt>
                <c:pt idx="7">
                  <c:v>1070.6448508180943</c:v>
                </c:pt>
                <c:pt idx="8">
                  <c:v>966.86026648445511</c:v>
                </c:pt>
                <c:pt idx="9">
                  <c:v>1040.2684563758389</c:v>
                </c:pt>
                <c:pt idx="10">
                  <c:v>1054.2118432026689</c:v>
                </c:pt>
                <c:pt idx="11">
                  <c:v>1112.6326600479288</c:v>
                </c:pt>
                <c:pt idx="12">
                  <c:v>1115.4499151103566</c:v>
                </c:pt>
              </c:numCache>
            </c:numRef>
          </c:val>
          <c:smooth val="0"/>
          <c:extLst>
            <c:ext xmlns:c16="http://schemas.microsoft.com/office/drawing/2014/chart" uri="{C3380CC4-5D6E-409C-BE32-E72D297353CC}">
              <c16:uniqueId val="{00000005-26DE-472D-9B32-1C63EDCF9680}"/>
            </c:ext>
          </c:extLst>
        </c:ser>
        <c:dLbls>
          <c:showLegendKey val="0"/>
          <c:showVal val="0"/>
          <c:showCatName val="0"/>
          <c:showSerName val="0"/>
          <c:showPercent val="0"/>
          <c:showBubbleSize val="0"/>
        </c:dLbls>
        <c:smooth val="0"/>
        <c:axId val="2019896192"/>
        <c:axId val="1973028240"/>
        <c:extLst>
          <c:ext xmlns:c15="http://schemas.microsoft.com/office/drawing/2012/chart" uri="{02D57815-91ED-43cb-92C2-25804820EDAC}">
            <c15:filteredLineSeries>
              <c15:ser>
                <c:idx val="1"/>
                <c:order val="1"/>
                <c:spPr>
                  <a:ln w="28575" cap="rnd">
                    <a:solidFill>
                      <a:schemeClr val="accent5"/>
                    </a:solidFill>
                    <a:round/>
                  </a:ln>
                  <a:effectLst/>
                </c:spPr>
                <c:marker>
                  <c:symbol val="none"/>
                </c:marker>
                <c:cat>
                  <c:strRef>
                    <c:extLst>
                      <c:ext uri="{02D57815-91ED-43cb-92C2-25804820EDAC}">
                        <c15:formulaRef>
                          <c15:sqref>'Trend graph'!$A$2:$A$14</c15:sqref>
                        </c15:formulaRef>
                      </c:ext>
                    </c:extLst>
                    <c:strCache>
                      <c:ptCount val="13"/>
                      <c:pt idx="0">
                        <c:v>2012-13</c:v>
                      </c:pt>
                      <c:pt idx="1">
                        <c:v>2013-14</c:v>
                      </c:pt>
                      <c:pt idx="2">
                        <c:v>2014-15</c:v>
                      </c:pt>
                      <c:pt idx="3">
                        <c:v>2015-16</c:v>
                      </c:pt>
                      <c:pt idx="4">
                        <c:v>2016-17</c:v>
                      </c:pt>
                      <c:pt idx="5">
                        <c:v>2017-18</c:v>
                      </c:pt>
                      <c:pt idx="6">
                        <c:v>2018-19</c:v>
                      </c:pt>
                      <c:pt idx="7">
                        <c:v>2019-20</c:v>
                      </c:pt>
                      <c:pt idx="8">
                        <c:v>2020-21</c:v>
                      </c:pt>
                      <c:pt idx="9">
                        <c:v>2021-22</c:v>
                      </c:pt>
                      <c:pt idx="10">
                        <c:v>2022-23</c:v>
                      </c:pt>
                      <c:pt idx="11">
                        <c:v>2023-24</c:v>
                      </c:pt>
                      <c:pt idx="12">
                        <c:v>2024-25</c:v>
                      </c:pt>
                    </c:strCache>
                  </c:strRef>
                </c:cat>
                <c:val>
                  <c:numRef>
                    <c:extLst>
                      <c:ext uri="{02D57815-91ED-43cb-92C2-25804820EDAC}">
                        <c15:formulaRef>
                          <c15:sqref>'Trend graph'!$C$2:$C$14</c15:sqref>
                        </c15:formulaRef>
                      </c:ext>
                    </c:extLst>
                    <c:numCache>
                      <c:formatCode>General</c:formatCode>
                      <c:ptCount val="13"/>
                    </c:numCache>
                  </c:numRef>
                </c:val>
                <c:smooth val="0"/>
                <c:extLst>
                  <c:ext xmlns:c16="http://schemas.microsoft.com/office/drawing/2014/chart" uri="{C3380CC4-5D6E-409C-BE32-E72D297353CC}">
                    <c16:uniqueId val="{00000006-26DE-472D-9B32-1C63EDCF9680}"/>
                  </c:ext>
                </c:extLst>
              </c15:ser>
            </c15:filteredLineSeries>
            <c15:filteredLineSeries>
              <c15:ser>
                <c:idx val="3"/>
                <c:order val="3"/>
                <c:spPr>
                  <a:ln w="28575" cap="rnd">
                    <a:solidFill>
                      <a:schemeClr val="accent6">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'Trend graph'!$A$2:$A$14</c15:sqref>
                        </c15:formulaRef>
                      </c:ext>
                    </c:extLst>
                    <c:strCache>
                      <c:ptCount val="13"/>
                      <c:pt idx="0">
                        <c:v>2012-13</c:v>
                      </c:pt>
                      <c:pt idx="1">
                        <c:v>2013-14</c:v>
                      </c:pt>
                      <c:pt idx="2">
                        <c:v>2014-15</c:v>
                      </c:pt>
                      <c:pt idx="3">
                        <c:v>2015-16</c:v>
                      </c:pt>
                      <c:pt idx="4">
                        <c:v>2016-17</c:v>
                      </c:pt>
                      <c:pt idx="5">
                        <c:v>2017-18</c:v>
                      </c:pt>
                      <c:pt idx="6">
                        <c:v>2018-19</c:v>
                      </c:pt>
                      <c:pt idx="7">
                        <c:v>2019-20</c:v>
                      </c:pt>
                      <c:pt idx="8">
                        <c:v>2020-21</c:v>
                      </c:pt>
                      <c:pt idx="9">
                        <c:v>2021-22</c:v>
                      </c:pt>
                      <c:pt idx="10">
                        <c:v>2022-23</c:v>
                      </c:pt>
                      <c:pt idx="11">
                        <c:v>2023-24</c:v>
                      </c:pt>
                      <c:pt idx="12">
                        <c:v>2024-25</c:v>
                      </c:pt>
                    </c:strCache>
                  </c:strRef>
                </c:cat>
                <c:val>
                  <c:numRef>
                    <c:extLst xmlns:c15="http://schemas.microsoft.com/office/drawing/2012/chart">
                      <c:ext xmlns:c15="http://schemas.microsoft.com/office/drawing/2012/chart" uri="{02D57815-91ED-43cb-92C2-25804820EDAC}">
                        <c15:formulaRef>
                          <c15:sqref>'Trend graph'!$E$2:$E$14</c15:sqref>
                        </c15:formulaRef>
                      </c:ext>
                    </c:extLst>
                    <c:numCache>
                      <c:formatCode>General</c:formatCode>
                      <c:ptCount val="13"/>
                    </c:numCache>
                  </c:numRef>
                </c:val>
                <c:smooth val="0"/>
                <c:extLst xmlns:c15="http://schemas.microsoft.com/office/drawing/2012/chart">
                  <c:ext xmlns:c16="http://schemas.microsoft.com/office/drawing/2014/chart" uri="{C3380CC4-5D6E-409C-BE32-E72D297353CC}">
                    <c16:uniqueId val="{00000007-26DE-472D-9B32-1C63EDCF9680}"/>
                  </c:ext>
                </c:extLst>
              </c15:ser>
            </c15:filteredLineSeries>
            <c15:filteredLineSeries>
              <c15:ser>
                <c:idx val="5"/>
                <c:order val="5"/>
                <c:spPr>
                  <a:ln w="28575" cap="rnd">
                    <a:solidFill>
                      <a:schemeClr val="accent4">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'Trend graph'!$A$2:$A$14</c15:sqref>
                        </c15:formulaRef>
                      </c:ext>
                    </c:extLst>
                    <c:strCache>
                      <c:ptCount val="13"/>
                      <c:pt idx="0">
                        <c:v>2012-13</c:v>
                      </c:pt>
                      <c:pt idx="1">
                        <c:v>2013-14</c:v>
                      </c:pt>
                      <c:pt idx="2">
                        <c:v>2014-15</c:v>
                      </c:pt>
                      <c:pt idx="3">
                        <c:v>2015-16</c:v>
                      </c:pt>
                      <c:pt idx="4">
                        <c:v>2016-17</c:v>
                      </c:pt>
                      <c:pt idx="5">
                        <c:v>2017-18</c:v>
                      </c:pt>
                      <c:pt idx="6">
                        <c:v>2018-19</c:v>
                      </c:pt>
                      <c:pt idx="7">
                        <c:v>2019-20</c:v>
                      </c:pt>
                      <c:pt idx="8">
                        <c:v>2020-21</c:v>
                      </c:pt>
                      <c:pt idx="9">
                        <c:v>2021-22</c:v>
                      </c:pt>
                      <c:pt idx="10">
                        <c:v>2022-23</c:v>
                      </c:pt>
                      <c:pt idx="11">
                        <c:v>2023-24</c:v>
                      </c:pt>
                      <c:pt idx="12">
                        <c:v>2024-25</c:v>
                      </c:pt>
                    </c:strCache>
                  </c:strRef>
                </c:cat>
                <c:val>
                  <c:numRef>
                    <c:extLst xmlns:c15="http://schemas.microsoft.com/office/drawing/2012/chart">
                      <c:ext xmlns:c15="http://schemas.microsoft.com/office/drawing/2012/chart" uri="{02D57815-91ED-43cb-92C2-25804820EDAC}">
                        <c15:formulaRef>
                          <c15:sqref>'Trend graph'!$G$2:$G$14</c15:sqref>
                        </c15:formulaRef>
                      </c:ext>
                    </c:extLst>
                    <c:numCache>
                      <c:formatCode>General</c:formatCode>
                      <c:ptCount val="13"/>
                    </c:numCache>
                  </c:numRef>
                </c:val>
                <c:smooth val="0"/>
                <c:extLst xmlns:c15="http://schemas.microsoft.com/office/drawing/2012/chart">
                  <c:ext xmlns:c16="http://schemas.microsoft.com/office/drawing/2014/chart" uri="{C3380CC4-5D6E-409C-BE32-E72D297353CC}">
                    <c16:uniqueId val="{00000008-26DE-472D-9B32-1C63EDCF9680}"/>
                  </c:ext>
                </c:extLst>
              </c15:ser>
            </c15:filteredLineSeries>
          </c:ext>
        </c:extLst>
      </c:lineChart>
      <c:catAx>
        <c:axId val="201989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3028240"/>
        <c:crosses val="autoZero"/>
        <c:auto val="1"/>
        <c:lblAlgn val="ctr"/>
        <c:lblOffset val="100"/>
        <c:noMultiLvlLbl val="0"/>
      </c:catAx>
      <c:valAx>
        <c:axId val="19730282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Area Production Productivity</a:t>
                </a:r>
              </a:p>
            </c:rich>
          </c:tx>
          <c:layout>
            <c:manualLayout>
              <c:xMode val="edge"/>
              <c:yMode val="edge"/>
              <c:x val="3.5260930888575459E-2"/>
              <c:y val="0.1651312476615664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19896192"/>
        <c:crosses val="autoZero"/>
        <c:crossBetween val="between"/>
      </c:valAx>
      <c:spPr>
        <a:noFill/>
        <a:ln>
          <a:noFill/>
        </a:ln>
        <a:effectLst/>
      </c:spPr>
    </c:plotArea>
    <c:legend>
      <c:legendPos val="b"/>
      <c:layout>
        <c:manualLayout>
          <c:xMode val="edge"/>
          <c:yMode val="edge"/>
          <c:x val="3.893861821574137E-2"/>
          <c:y val="0.81687249620113278"/>
          <c:w val="0.9479807795534726"/>
          <c:h val="0.161691343605972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3395</Words>
  <Characters>19357</Characters>
  <Application>Microsoft Office Word</Application>
  <DocSecurity>0</DocSecurity>
  <Lines>161</Lines>
  <Paragraphs>45</Paragraphs>
  <ScaleCrop>false</ScaleCrop>
  <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Madhusudan Tiwari</dc:creator>
  <cp:keywords/>
  <dc:description/>
  <cp:lastModifiedBy>CPU SDI 1080</cp:lastModifiedBy>
  <cp:revision>23</cp:revision>
  <dcterms:created xsi:type="dcterms:W3CDTF">2025-05-14T05:49:00Z</dcterms:created>
  <dcterms:modified xsi:type="dcterms:W3CDTF">2025-05-14T08:04:00Z</dcterms:modified>
</cp:coreProperties>
</file>