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D32EB" w14:textId="77777777" w:rsidR="00207C1E" w:rsidRDefault="00207C1E" w:rsidP="00201479">
      <w:pPr>
        <w:spacing w:line="360" w:lineRule="auto"/>
        <w:jc w:val="center"/>
        <w:rPr>
          <w:rFonts w:ascii="Times New Roman" w:hAnsi="Times New Roman" w:cs="Times New Roman"/>
          <w:b/>
          <w:bCs/>
          <w:sz w:val="28"/>
          <w:szCs w:val="28"/>
        </w:rPr>
      </w:pPr>
      <w:r w:rsidRPr="00207C1E">
        <w:rPr>
          <w:rFonts w:ascii="Times New Roman" w:hAnsi="Times New Roman" w:cs="Times New Roman"/>
          <w:b/>
          <w:bCs/>
          <w:sz w:val="28"/>
          <w:szCs w:val="28"/>
        </w:rPr>
        <w:t>"Breaking the Cycle: Addressing Menstrual Health Inequities to Enhance Women's Workplace Productivity and Empowerment in India"</w:t>
      </w:r>
    </w:p>
    <w:p w14:paraId="54DA7AF3" w14:textId="77777777" w:rsidR="005B2A09" w:rsidRPr="00207C1E" w:rsidRDefault="005B2A09" w:rsidP="00201479">
      <w:pPr>
        <w:spacing w:line="360" w:lineRule="auto"/>
        <w:jc w:val="center"/>
        <w:rPr>
          <w:rFonts w:ascii="Times New Roman" w:hAnsi="Times New Roman" w:cs="Times New Roman"/>
          <w:b/>
          <w:bCs/>
          <w:sz w:val="28"/>
          <w:szCs w:val="28"/>
        </w:rPr>
      </w:pPr>
    </w:p>
    <w:p w14:paraId="7EAF9FE9" w14:textId="77777777" w:rsidR="006F0673" w:rsidRPr="00D251A9" w:rsidRDefault="006F0673" w:rsidP="00D251A9">
      <w:pPr>
        <w:jc w:val="center"/>
        <w:rPr>
          <w:rFonts w:ascii="Times New Roman" w:hAnsi="Times New Roman" w:cs="Times New Roman"/>
          <w:b/>
          <w:bCs/>
          <w:kern w:val="2"/>
          <w:sz w:val="24"/>
          <w:szCs w:val="24"/>
        </w:rPr>
      </w:pPr>
    </w:p>
    <w:p w14:paraId="633E93A4" w14:textId="77777777" w:rsidR="00D251A9" w:rsidRPr="00D251A9" w:rsidRDefault="00D251A9" w:rsidP="00D251A9">
      <w:pPr>
        <w:jc w:val="center"/>
        <w:rPr>
          <w:rFonts w:ascii="Times New Roman" w:hAnsi="Times New Roman" w:cs="Times New Roman"/>
          <w:b/>
          <w:bCs/>
          <w:kern w:val="2"/>
          <w:sz w:val="24"/>
          <w:szCs w:val="24"/>
        </w:rPr>
      </w:pPr>
      <w:r w:rsidRPr="00D251A9">
        <w:rPr>
          <w:rFonts w:ascii="Times New Roman" w:hAnsi="Times New Roman" w:cs="Times New Roman"/>
          <w:b/>
          <w:bCs/>
          <w:kern w:val="2"/>
          <w:sz w:val="24"/>
          <w:szCs w:val="24"/>
        </w:rPr>
        <w:t>Abstract</w:t>
      </w:r>
    </w:p>
    <w:p w14:paraId="14054194" w14:textId="45B5D647" w:rsidR="004754FB" w:rsidRPr="004754FB" w:rsidRDefault="00706725" w:rsidP="004754FB">
      <w:pPr>
        <w:spacing w:line="360" w:lineRule="auto"/>
        <w:jc w:val="both"/>
        <w:rPr>
          <w:rFonts w:ascii="Times New Roman" w:hAnsi="Times New Roman" w:cs="Times New Roman"/>
          <w:bCs/>
          <w:sz w:val="24"/>
          <w:szCs w:val="24"/>
        </w:rPr>
      </w:pPr>
      <w:r w:rsidRPr="00706725">
        <w:rPr>
          <w:rFonts w:ascii="Times New Roman" w:hAnsi="Times New Roman" w:cs="Times New Roman"/>
          <w:bCs/>
          <w:sz w:val="24"/>
          <w:szCs w:val="24"/>
        </w:rPr>
        <w:t>Menstrua</w:t>
      </w:r>
      <w:r w:rsidR="008F3D72">
        <w:rPr>
          <w:rFonts w:ascii="Times New Roman" w:hAnsi="Times New Roman" w:cs="Times New Roman"/>
          <w:bCs/>
          <w:sz w:val="24"/>
          <w:szCs w:val="24"/>
        </w:rPr>
        <w:t xml:space="preserve">tion </w:t>
      </w:r>
      <w:r w:rsidRPr="00706725">
        <w:rPr>
          <w:rFonts w:ascii="Times New Roman" w:hAnsi="Times New Roman" w:cs="Times New Roman"/>
          <w:bCs/>
          <w:sz w:val="24"/>
          <w:szCs w:val="24"/>
        </w:rPr>
        <w:t xml:space="preserve">is a </w:t>
      </w:r>
      <w:r>
        <w:rPr>
          <w:rFonts w:ascii="Times New Roman" w:hAnsi="Times New Roman" w:cs="Times New Roman"/>
          <w:bCs/>
          <w:sz w:val="24"/>
          <w:szCs w:val="24"/>
        </w:rPr>
        <w:t>pivotal</w:t>
      </w:r>
      <w:r w:rsidRPr="00706725">
        <w:rPr>
          <w:rFonts w:ascii="Times New Roman" w:hAnsi="Times New Roman" w:cs="Times New Roman"/>
          <w:bCs/>
          <w:sz w:val="24"/>
          <w:szCs w:val="24"/>
        </w:rPr>
        <w:t xml:space="preserve"> component of women's overall well-being and workplace productivity, yet it remains largely neglected in public health and workplace discussions.</w:t>
      </w:r>
      <w:r w:rsidR="007857F5">
        <w:rPr>
          <w:rFonts w:ascii="Times New Roman" w:hAnsi="Times New Roman" w:cs="Times New Roman"/>
          <w:bCs/>
          <w:sz w:val="24"/>
          <w:szCs w:val="24"/>
        </w:rPr>
        <w:t xml:space="preserve"> Despite a significant influence, menstrual health remains an under-researched condition in various policy frameworks in India. This study explains the conjuncture of menstrual </w:t>
      </w:r>
      <w:r w:rsidR="00534728">
        <w:rPr>
          <w:rFonts w:ascii="Times New Roman" w:hAnsi="Times New Roman" w:cs="Times New Roman"/>
          <w:bCs/>
          <w:sz w:val="24"/>
          <w:szCs w:val="24"/>
        </w:rPr>
        <w:t>health</w:t>
      </w:r>
      <w:r w:rsidR="007857F5">
        <w:rPr>
          <w:rFonts w:ascii="Times New Roman" w:hAnsi="Times New Roman" w:cs="Times New Roman"/>
          <w:bCs/>
          <w:sz w:val="24"/>
          <w:szCs w:val="24"/>
        </w:rPr>
        <w:t xml:space="preserve"> management (MHM) and participation rate </w:t>
      </w:r>
      <w:r w:rsidR="00534728">
        <w:rPr>
          <w:rFonts w:ascii="Times New Roman" w:hAnsi="Times New Roman" w:cs="Times New Roman"/>
          <w:bCs/>
          <w:sz w:val="24"/>
          <w:szCs w:val="24"/>
        </w:rPr>
        <w:t>of women</w:t>
      </w:r>
      <w:r w:rsidR="007857F5">
        <w:rPr>
          <w:rFonts w:ascii="Times New Roman" w:hAnsi="Times New Roman" w:cs="Times New Roman"/>
          <w:bCs/>
          <w:sz w:val="24"/>
          <w:szCs w:val="24"/>
        </w:rPr>
        <w:t xml:space="preserve"> in workforce that </w:t>
      </w:r>
      <w:r w:rsidR="00534728">
        <w:rPr>
          <w:rFonts w:ascii="Times New Roman" w:hAnsi="Times New Roman" w:cs="Times New Roman"/>
          <w:bCs/>
          <w:sz w:val="24"/>
          <w:szCs w:val="24"/>
        </w:rPr>
        <w:t xml:space="preserve">emphasizes the global inequalities in access to menstrual products and sanitation facilities. Considering the latest data from the National Family Health Survey (NFHS-5), the urban, educated and privileged women are more likely to make use of safe and hygienic methods in comparison to women hailing from rural and lower socio-economic status who depend on unhygienic traditional practices, thereby amplifying health risks and absenteeism.  By underlining these divergences, the paper focuses on the urgent need for interventions that address the gap in menstrual health access. Highlighting the menstrual health inequities, not only aids in the improvement of women’s well-being but also enhances their productivity, gender </w:t>
      </w:r>
      <w:r w:rsidR="00613F49">
        <w:rPr>
          <w:rFonts w:ascii="Times New Roman" w:hAnsi="Times New Roman" w:cs="Times New Roman"/>
          <w:bCs/>
          <w:sz w:val="24"/>
          <w:szCs w:val="24"/>
        </w:rPr>
        <w:t xml:space="preserve">equity </w:t>
      </w:r>
      <w:r w:rsidR="00C260B4">
        <w:rPr>
          <w:rFonts w:ascii="Times New Roman" w:hAnsi="Times New Roman" w:cs="Times New Roman"/>
          <w:bCs/>
          <w:sz w:val="24"/>
          <w:szCs w:val="24"/>
        </w:rPr>
        <w:t>and achievement of multiple Sustainable Development Goals (SDGs). Hence, t</w:t>
      </w:r>
      <w:r w:rsidR="004754FB" w:rsidRPr="004754FB">
        <w:rPr>
          <w:rFonts w:ascii="Times New Roman" w:hAnsi="Times New Roman" w:cs="Times New Roman"/>
          <w:bCs/>
          <w:sz w:val="24"/>
          <w:szCs w:val="24"/>
        </w:rPr>
        <w:t>his research contributes to the literature calling for an integrated approach to menstrual health as a key factor in women's empowerment and national economic progress.</w:t>
      </w:r>
    </w:p>
    <w:p w14:paraId="534C4A5E" w14:textId="77777777" w:rsidR="001267D8" w:rsidRPr="0053062A" w:rsidRDefault="006513B1" w:rsidP="006513B1">
      <w:pPr>
        <w:spacing w:line="360" w:lineRule="auto"/>
        <w:jc w:val="both"/>
        <w:rPr>
          <w:rFonts w:ascii="Times New Roman" w:hAnsi="Times New Roman" w:cs="Times New Roman"/>
          <w:bCs/>
        </w:rPr>
      </w:pPr>
      <w:r w:rsidRPr="006513B1">
        <w:rPr>
          <w:rFonts w:ascii="Times New Roman" w:hAnsi="Times New Roman" w:cs="Times New Roman"/>
          <w:b/>
          <w:bCs/>
        </w:rPr>
        <w:t>Keywords:</w:t>
      </w:r>
      <w:r w:rsidR="008D251B">
        <w:rPr>
          <w:rFonts w:ascii="Times New Roman" w:hAnsi="Times New Roman" w:cs="Times New Roman"/>
          <w:b/>
          <w:bCs/>
        </w:rPr>
        <w:t xml:space="preserve"> </w:t>
      </w:r>
      <w:r>
        <w:rPr>
          <w:rFonts w:ascii="Times New Roman" w:hAnsi="Times New Roman" w:cs="Times New Roman"/>
          <w:bCs/>
          <w:sz w:val="24"/>
          <w:szCs w:val="24"/>
        </w:rPr>
        <w:t>M</w:t>
      </w:r>
      <w:r w:rsidRPr="00D251A9">
        <w:rPr>
          <w:rFonts w:ascii="Times New Roman" w:hAnsi="Times New Roman" w:cs="Times New Roman"/>
          <w:bCs/>
          <w:sz w:val="24"/>
          <w:szCs w:val="24"/>
        </w:rPr>
        <w:t>enstrual health</w:t>
      </w:r>
      <w:r>
        <w:rPr>
          <w:rFonts w:ascii="Times New Roman" w:hAnsi="Times New Roman" w:cs="Times New Roman"/>
          <w:bCs/>
          <w:sz w:val="24"/>
          <w:szCs w:val="24"/>
        </w:rPr>
        <w:t xml:space="preserve">, </w:t>
      </w:r>
      <w:r w:rsidRPr="006513B1">
        <w:rPr>
          <w:rFonts w:ascii="Times New Roman" w:hAnsi="Times New Roman" w:cs="Times New Roman"/>
          <w:bCs/>
          <w:sz w:val="24"/>
          <w:szCs w:val="24"/>
        </w:rPr>
        <w:t>workplace productivity</w:t>
      </w:r>
      <w:r>
        <w:rPr>
          <w:rFonts w:ascii="Times New Roman" w:hAnsi="Times New Roman" w:cs="Times New Roman"/>
          <w:bCs/>
          <w:sz w:val="24"/>
          <w:szCs w:val="24"/>
        </w:rPr>
        <w:t xml:space="preserve">, </w:t>
      </w:r>
      <w:r w:rsidR="00207C1E">
        <w:rPr>
          <w:rFonts w:ascii="Times New Roman" w:hAnsi="Times New Roman" w:cs="Times New Roman"/>
          <w:bCs/>
          <w:sz w:val="24"/>
          <w:szCs w:val="24"/>
        </w:rPr>
        <w:t>public</w:t>
      </w:r>
      <w:r w:rsidRPr="006513B1">
        <w:rPr>
          <w:rFonts w:ascii="Times New Roman" w:hAnsi="Times New Roman" w:cs="Times New Roman"/>
          <w:bCs/>
          <w:sz w:val="24"/>
          <w:szCs w:val="24"/>
        </w:rPr>
        <w:t xml:space="preserve"> health</w:t>
      </w:r>
      <w:r>
        <w:rPr>
          <w:rFonts w:ascii="Times New Roman" w:hAnsi="Times New Roman" w:cs="Times New Roman"/>
          <w:bCs/>
          <w:sz w:val="24"/>
          <w:szCs w:val="24"/>
        </w:rPr>
        <w:t xml:space="preserve">, </w:t>
      </w:r>
      <w:r w:rsidR="00207C1E" w:rsidRPr="00207C1E">
        <w:rPr>
          <w:rFonts w:ascii="Times New Roman" w:hAnsi="Times New Roman" w:cs="Times New Roman"/>
          <w:bCs/>
          <w:sz w:val="24"/>
          <w:szCs w:val="24"/>
        </w:rPr>
        <w:t>hygienic methods</w:t>
      </w:r>
      <w:r w:rsidR="00207C1E">
        <w:rPr>
          <w:rFonts w:ascii="Times New Roman" w:hAnsi="Times New Roman" w:cs="Times New Roman"/>
          <w:bCs/>
          <w:sz w:val="24"/>
          <w:szCs w:val="24"/>
        </w:rPr>
        <w:t xml:space="preserve">, </w:t>
      </w:r>
      <w:r w:rsidR="00207C1E" w:rsidRPr="00706725">
        <w:rPr>
          <w:rFonts w:ascii="Times New Roman" w:hAnsi="Times New Roman" w:cs="Times New Roman"/>
          <w:bCs/>
          <w:sz w:val="24"/>
          <w:szCs w:val="24"/>
        </w:rPr>
        <w:t>gender equality</w:t>
      </w:r>
    </w:p>
    <w:p w14:paraId="30CDDAFB" w14:textId="77777777" w:rsidR="001267D8" w:rsidRDefault="0053062A" w:rsidP="004610D7">
      <w:pPr>
        <w:rPr>
          <w:rFonts w:ascii="Times New Roman" w:hAnsi="Times New Roman" w:cs="Times New Roman"/>
          <w:b/>
          <w:bCs/>
          <w:sz w:val="24"/>
          <w:szCs w:val="24"/>
        </w:rPr>
      </w:pPr>
      <w:r w:rsidRPr="0053062A">
        <w:rPr>
          <w:rFonts w:ascii="Times New Roman" w:hAnsi="Times New Roman" w:cs="Times New Roman"/>
          <w:b/>
          <w:bCs/>
          <w:sz w:val="24"/>
          <w:szCs w:val="24"/>
        </w:rPr>
        <w:t>Introduction:</w:t>
      </w:r>
    </w:p>
    <w:p w14:paraId="395B98A5" w14:textId="3662051C" w:rsidR="00762363" w:rsidRDefault="009743F5" w:rsidP="00762363">
      <w:pPr>
        <w:spacing w:line="360" w:lineRule="auto"/>
        <w:jc w:val="both"/>
        <w:rPr>
          <w:rFonts w:ascii="Times New Roman" w:hAnsi="Times New Roman" w:cs="Times New Roman"/>
          <w:sz w:val="24"/>
          <w:szCs w:val="24"/>
        </w:rPr>
      </w:pPr>
      <w:r w:rsidRPr="00006514">
        <w:rPr>
          <w:rFonts w:ascii="Times New Roman" w:hAnsi="Times New Roman" w:cs="Times New Roman"/>
          <w:sz w:val="24"/>
          <w:szCs w:val="24"/>
        </w:rPr>
        <w:t xml:space="preserve">The participation of women in decent work is a prime necessity for sustainable development that shall reduce poverty, while </w:t>
      </w:r>
      <w:r w:rsidR="00135BA5">
        <w:rPr>
          <w:rFonts w:ascii="Times New Roman" w:hAnsi="Times New Roman" w:cs="Times New Roman"/>
          <w:sz w:val="24"/>
          <w:szCs w:val="24"/>
        </w:rPr>
        <w:t xml:space="preserve">enhancing </w:t>
      </w:r>
      <w:r w:rsidRPr="00006514">
        <w:rPr>
          <w:rFonts w:ascii="Times New Roman" w:hAnsi="Times New Roman" w:cs="Times New Roman"/>
          <w:sz w:val="24"/>
          <w:szCs w:val="24"/>
        </w:rPr>
        <w:t xml:space="preserve">their </w:t>
      </w:r>
      <w:r w:rsidR="009D6155">
        <w:rPr>
          <w:rFonts w:ascii="Times New Roman" w:hAnsi="Times New Roman" w:cs="Times New Roman"/>
          <w:sz w:val="24"/>
          <w:szCs w:val="24"/>
        </w:rPr>
        <w:t>vitality</w:t>
      </w:r>
      <w:r w:rsidRPr="00006514">
        <w:rPr>
          <w:rFonts w:ascii="Times New Roman" w:hAnsi="Times New Roman" w:cs="Times New Roman"/>
          <w:sz w:val="24"/>
          <w:szCs w:val="24"/>
        </w:rPr>
        <w:t xml:space="preserve"> and that of the family</w:t>
      </w:r>
      <w:r w:rsidR="00C3196B">
        <w:rPr>
          <w:rFonts w:ascii="Times New Roman" w:hAnsi="Times New Roman" w:cs="Times New Roman"/>
          <w:sz w:val="24"/>
          <w:szCs w:val="24"/>
        </w:rPr>
        <w:t xml:space="preserve"> (</w:t>
      </w:r>
      <w:r w:rsidR="00C3196B" w:rsidRPr="009743F5">
        <w:rPr>
          <w:rFonts w:ascii="Times New Roman" w:hAnsi="Times New Roman" w:cs="Times New Roman"/>
          <w:sz w:val="24"/>
          <w:szCs w:val="24"/>
        </w:rPr>
        <w:t>Brinda</w:t>
      </w:r>
      <w:r w:rsidR="00C3196B">
        <w:rPr>
          <w:rFonts w:ascii="Times New Roman" w:hAnsi="Times New Roman" w:cs="Times New Roman"/>
          <w:sz w:val="24"/>
          <w:szCs w:val="24"/>
        </w:rPr>
        <w:t xml:space="preserve"> et al., 2015; </w:t>
      </w:r>
      <w:proofErr w:type="spellStart"/>
      <w:r w:rsidR="00C3196B" w:rsidRPr="00C3196B">
        <w:rPr>
          <w:rFonts w:ascii="Times New Roman" w:hAnsi="Times New Roman" w:cs="Times New Roman"/>
          <w:sz w:val="24"/>
          <w:szCs w:val="24"/>
        </w:rPr>
        <w:t>Moyo</w:t>
      </w:r>
      <w:proofErr w:type="spellEnd"/>
      <w:r w:rsidR="00C3196B">
        <w:rPr>
          <w:rFonts w:ascii="Times New Roman" w:hAnsi="Times New Roman" w:cs="Times New Roman"/>
          <w:sz w:val="24"/>
          <w:szCs w:val="24"/>
        </w:rPr>
        <w:t xml:space="preserve"> &amp;</w:t>
      </w:r>
      <w:r w:rsidR="00C3196B" w:rsidRPr="00C3196B">
        <w:rPr>
          <w:rFonts w:ascii="Times New Roman" w:hAnsi="Times New Roman" w:cs="Times New Roman"/>
          <w:sz w:val="24"/>
          <w:szCs w:val="24"/>
        </w:rPr>
        <w:t xml:space="preserve"> </w:t>
      </w:r>
      <w:proofErr w:type="spellStart"/>
      <w:r w:rsidR="00C3196B" w:rsidRPr="00C3196B">
        <w:rPr>
          <w:rFonts w:ascii="Times New Roman" w:hAnsi="Times New Roman" w:cs="Times New Roman"/>
          <w:sz w:val="24"/>
          <w:szCs w:val="24"/>
        </w:rPr>
        <w:t>Dhliwayo</w:t>
      </w:r>
      <w:proofErr w:type="spellEnd"/>
      <w:r w:rsidR="00C3196B">
        <w:rPr>
          <w:rFonts w:ascii="Times New Roman" w:hAnsi="Times New Roman" w:cs="Times New Roman"/>
          <w:sz w:val="24"/>
          <w:szCs w:val="24"/>
        </w:rPr>
        <w:t xml:space="preserve">, </w:t>
      </w:r>
      <w:proofErr w:type="gramStart"/>
      <w:r w:rsidR="00C3196B">
        <w:rPr>
          <w:rFonts w:ascii="Times New Roman" w:hAnsi="Times New Roman" w:cs="Times New Roman"/>
          <w:sz w:val="24"/>
          <w:szCs w:val="24"/>
        </w:rPr>
        <w:t>2019 ;</w:t>
      </w:r>
      <w:proofErr w:type="gramEnd"/>
      <w:r w:rsidR="00C3196B">
        <w:rPr>
          <w:rFonts w:ascii="Times New Roman" w:hAnsi="Times New Roman" w:cs="Times New Roman"/>
          <w:sz w:val="24"/>
          <w:szCs w:val="24"/>
        </w:rPr>
        <w:t xml:space="preserve"> UNDP, 2018; Sommer et al., 2021).</w:t>
      </w:r>
      <w:r w:rsidR="00972E85" w:rsidRPr="00006514">
        <w:rPr>
          <w:rFonts w:ascii="Times New Roman" w:hAnsi="Times New Roman" w:cs="Times New Roman"/>
          <w:sz w:val="24"/>
          <w:szCs w:val="24"/>
        </w:rPr>
        <w:t xml:space="preserve"> The </w:t>
      </w:r>
      <w:r w:rsidR="008F3D72">
        <w:rPr>
          <w:rFonts w:ascii="Times New Roman" w:hAnsi="Times New Roman" w:cs="Times New Roman"/>
          <w:sz w:val="24"/>
          <w:szCs w:val="24"/>
        </w:rPr>
        <w:t>time</w:t>
      </w:r>
      <w:r w:rsidR="00972E85" w:rsidRPr="00006514">
        <w:rPr>
          <w:rFonts w:ascii="Times New Roman" w:hAnsi="Times New Roman" w:cs="Times New Roman"/>
          <w:sz w:val="24"/>
          <w:szCs w:val="24"/>
        </w:rPr>
        <w:t xml:space="preserve"> spent at work also </w:t>
      </w:r>
      <w:r w:rsidR="008F3D72">
        <w:rPr>
          <w:rFonts w:ascii="Times New Roman" w:hAnsi="Times New Roman" w:cs="Times New Roman"/>
          <w:sz w:val="24"/>
          <w:szCs w:val="24"/>
        </w:rPr>
        <w:t>highlights the significance of</w:t>
      </w:r>
      <w:r w:rsidR="00972E85" w:rsidRPr="00006514">
        <w:rPr>
          <w:rFonts w:ascii="Times New Roman" w:hAnsi="Times New Roman" w:cs="Times New Roman"/>
          <w:sz w:val="24"/>
          <w:szCs w:val="24"/>
        </w:rPr>
        <w:t xml:space="preserve"> workplaces</w:t>
      </w:r>
      <w:r w:rsidR="005E05E1">
        <w:rPr>
          <w:rFonts w:ascii="Times New Roman" w:hAnsi="Times New Roman" w:cs="Times New Roman"/>
          <w:sz w:val="24"/>
          <w:szCs w:val="24"/>
        </w:rPr>
        <w:t xml:space="preserve"> </w:t>
      </w:r>
      <w:r w:rsidR="00972E85" w:rsidRPr="00006514">
        <w:rPr>
          <w:rFonts w:ascii="Times New Roman" w:hAnsi="Times New Roman" w:cs="Times New Roman"/>
          <w:sz w:val="24"/>
          <w:szCs w:val="24"/>
        </w:rPr>
        <w:t xml:space="preserve">that can either support </w:t>
      </w:r>
      <w:r w:rsidR="00135BA5">
        <w:rPr>
          <w:rFonts w:ascii="Times New Roman" w:hAnsi="Times New Roman" w:cs="Times New Roman"/>
          <w:sz w:val="24"/>
          <w:szCs w:val="24"/>
        </w:rPr>
        <w:t>or undermine health</w:t>
      </w:r>
      <w:r w:rsidR="00C3196B">
        <w:rPr>
          <w:rFonts w:ascii="Times New Roman" w:hAnsi="Times New Roman" w:cs="Times New Roman"/>
          <w:sz w:val="24"/>
          <w:szCs w:val="24"/>
        </w:rPr>
        <w:t xml:space="preserve"> (</w:t>
      </w:r>
      <w:proofErr w:type="spellStart"/>
      <w:r w:rsidR="00C3196B" w:rsidRPr="00C3196B">
        <w:rPr>
          <w:rFonts w:ascii="Times New Roman" w:hAnsi="Times New Roman" w:cs="Times New Roman"/>
          <w:sz w:val="24"/>
          <w:szCs w:val="24"/>
        </w:rPr>
        <w:t>Asselberg</w:t>
      </w:r>
      <w:proofErr w:type="spellEnd"/>
      <w:r w:rsidR="00C3196B">
        <w:rPr>
          <w:rFonts w:ascii="Times New Roman" w:hAnsi="Times New Roman" w:cs="Times New Roman"/>
          <w:sz w:val="24"/>
          <w:szCs w:val="24"/>
        </w:rPr>
        <w:t xml:space="preserve"> &amp; </w:t>
      </w:r>
      <w:r w:rsidR="00C3196B" w:rsidRPr="00C3196B">
        <w:rPr>
          <w:rFonts w:ascii="Times New Roman" w:hAnsi="Times New Roman" w:cs="Times New Roman"/>
          <w:sz w:val="24"/>
          <w:szCs w:val="24"/>
        </w:rPr>
        <w:t>Rasmussen</w:t>
      </w:r>
      <w:r w:rsidR="00C3196B">
        <w:rPr>
          <w:rFonts w:ascii="Times New Roman" w:hAnsi="Times New Roman" w:cs="Times New Roman"/>
          <w:sz w:val="24"/>
          <w:szCs w:val="24"/>
        </w:rPr>
        <w:t xml:space="preserve">,2018). </w:t>
      </w:r>
      <w:r w:rsidR="00135BA5">
        <w:rPr>
          <w:rFonts w:ascii="Times New Roman" w:hAnsi="Times New Roman" w:cs="Times New Roman"/>
          <w:sz w:val="24"/>
          <w:szCs w:val="24"/>
        </w:rPr>
        <w:t xml:space="preserve">In </w:t>
      </w:r>
      <w:r w:rsidR="00972E85" w:rsidRPr="00006514">
        <w:rPr>
          <w:rFonts w:ascii="Times New Roman" w:hAnsi="Times New Roman" w:cs="Times New Roman"/>
          <w:sz w:val="24"/>
          <w:szCs w:val="24"/>
        </w:rPr>
        <w:t>work</w:t>
      </w:r>
      <w:r w:rsidR="009D6155">
        <w:rPr>
          <w:rFonts w:ascii="Times New Roman" w:hAnsi="Times New Roman" w:cs="Times New Roman"/>
          <w:sz w:val="24"/>
          <w:szCs w:val="24"/>
        </w:rPr>
        <w:t>site</w:t>
      </w:r>
      <w:r w:rsidR="00972E85" w:rsidRPr="00006514">
        <w:rPr>
          <w:rFonts w:ascii="Times New Roman" w:hAnsi="Times New Roman" w:cs="Times New Roman"/>
          <w:sz w:val="24"/>
          <w:szCs w:val="24"/>
        </w:rPr>
        <w:t>, the needs</w:t>
      </w:r>
      <w:r w:rsidR="009D6155">
        <w:rPr>
          <w:rFonts w:ascii="Times New Roman" w:hAnsi="Times New Roman" w:cs="Times New Roman"/>
          <w:sz w:val="24"/>
          <w:szCs w:val="24"/>
        </w:rPr>
        <w:t xml:space="preserve"> of menstrual health</w:t>
      </w:r>
      <w:r w:rsidR="00972E85" w:rsidRPr="00006514">
        <w:rPr>
          <w:rFonts w:ascii="Times New Roman" w:hAnsi="Times New Roman" w:cs="Times New Roman"/>
          <w:sz w:val="24"/>
          <w:szCs w:val="24"/>
        </w:rPr>
        <w:t xml:space="preserve"> are generally </w:t>
      </w:r>
      <w:r w:rsidR="009D6155">
        <w:rPr>
          <w:rFonts w:ascii="Times New Roman" w:hAnsi="Times New Roman" w:cs="Times New Roman"/>
          <w:sz w:val="24"/>
          <w:szCs w:val="24"/>
        </w:rPr>
        <w:t xml:space="preserve">overlooked </w:t>
      </w:r>
      <w:r w:rsidR="00361BB4" w:rsidRPr="00006514">
        <w:rPr>
          <w:rFonts w:ascii="Times New Roman" w:hAnsi="Times New Roman" w:cs="Times New Roman"/>
          <w:sz w:val="24"/>
          <w:szCs w:val="24"/>
        </w:rPr>
        <w:t>despite the fact that</w:t>
      </w:r>
      <w:r w:rsidR="00223D84">
        <w:rPr>
          <w:rFonts w:ascii="Times New Roman" w:hAnsi="Times New Roman" w:cs="Times New Roman"/>
          <w:sz w:val="24"/>
          <w:szCs w:val="24"/>
        </w:rPr>
        <w:t xml:space="preserve"> wome</w:t>
      </w:r>
      <w:r w:rsidR="00972E85" w:rsidRPr="00006514">
        <w:rPr>
          <w:rFonts w:ascii="Times New Roman" w:hAnsi="Times New Roman" w:cs="Times New Roman"/>
          <w:sz w:val="24"/>
          <w:szCs w:val="24"/>
        </w:rPr>
        <w:t>n menstruate 65 days of the year</w:t>
      </w:r>
      <w:r w:rsidR="00361BB4" w:rsidRPr="00006514">
        <w:rPr>
          <w:rFonts w:ascii="Times New Roman" w:hAnsi="Times New Roman" w:cs="Times New Roman"/>
          <w:sz w:val="24"/>
          <w:szCs w:val="24"/>
        </w:rPr>
        <w:t xml:space="preserve"> </w:t>
      </w:r>
      <w:r w:rsidR="00C3196B">
        <w:rPr>
          <w:rFonts w:ascii="Times New Roman" w:hAnsi="Times New Roman" w:cs="Times New Roman"/>
          <w:sz w:val="24"/>
          <w:szCs w:val="24"/>
        </w:rPr>
        <w:t xml:space="preserve">(Sommer et al., 2016). </w:t>
      </w:r>
      <w:r w:rsidR="00361BB4" w:rsidRPr="00006514">
        <w:rPr>
          <w:rFonts w:ascii="Times New Roman" w:hAnsi="Times New Roman" w:cs="Times New Roman"/>
          <w:sz w:val="24"/>
          <w:szCs w:val="24"/>
        </w:rPr>
        <w:t>Menstrual health has been acknowledged</w:t>
      </w:r>
      <w:r w:rsidR="00135BA5">
        <w:rPr>
          <w:rFonts w:ascii="Times New Roman" w:hAnsi="Times New Roman" w:cs="Times New Roman"/>
          <w:sz w:val="24"/>
          <w:szCs w:val="24"/>
        </w:rPr>
        <w:t xml:space="preserve"> as a crucial part of sexual as well as</w:t>
      </w:r>
      <w:r w:rsidR="00361BB4" w:rsidRPr="00006514">
        <w:rPr>
          <w:rFonts w:ascii="Times New Roman" w:hAnsi="Times New Roman" w:cs="Times New Roman"/>
          <w:sz w:val="24"/>
          <w:szCs w:val="24"/>
        </w:rPr>
        <w:t xml:space="preserve"> reproductive </w:t>
      </w:r>
      <w:r w:rsidR="00361BB4" w:rsidRPr="00006514">
        <w:rPr>
          <w:rFonts w:ascii="Times New Roman" w:hAnsi="Times New Roman" w:cs="Times New Roman"/>
          <w:sz w:val="24"/>
          <w:szCs w:val="24"/>
        </w:rPr>
        <w:lastRenderedPageBreak/>
        <w:t xml:space="preserve">health. It is also considered to be </w:t>
      </w:r>
      <w:r w:rsidR="00FA0C8C" w:rsidRPr="00006514">
        <w:rPr>
          <w:rFonts w:ascii="Times New Roman" w:hAnsi="Times New Roman" w:cs="Times New Roman"/>
          <w:sz w:val="24"/>
          <w:szCs w:val="24"/>
        </w:rPr>
        <w:t>an</w:t>
      </w:r>
      <w:r w:rsidR="00361BB4" w:rsidRPr="00006514">
        <w:rPr>
          <w:rFonts w:ascii="Times New Roman" w:hAnsi="Times New Roman" w:cs="Times New Roman"/>
          <w:sz w:val="24"/>
          <w:szCs w:val="24"/>
        </w:rPr>
        <w:t xml:space="preserve"> integral </w:t>
      </w:r>
      <w:r w:rsidR="00AE6433">
        <w:rPr>
          <w:rFonts w:ascii="Times New Roman" w:hAnsi="Times New Roman" w:cs="Times New Roman"/>
          <w:sz w:val="24"/>
          <w:szCs w:val="24"/>
        </w:rPr>
        <w:t>aspect for water, sanitation as well as</w:t>
      </w:r>
      <w:r w:rsidR="00361BB4" w:rsidRPr="00006514">
        <w:rPr>
          <w:rFonts w:ascii="Times New Roman" w:hAnsi="Times New Roman" w:cs="Times New Roman"/>
          <w:sz w:val="24"/>
          <w:szCs w:val="24"/>
        </w:rPr>
        <w:t xml:space="preserve"> hygiene </w:t>
      </w:r>
      <w:r w:rsidR="007A3E26" w:rsidRPr="00006514">
        <w:rPr>
          <w:rFonts w:ascii="Times New Roman" w:hAnsi="Times New Roman" w:cs="Times New Roman"/>
          <w:sz w:val="24"/>
          <w:szCs w:val="24"/>
        </w:rPr>
        <w:t>service provisions</w:t>
      </w:r>
      <w:r w:rsidR="00C3196B">
        <w:rPr>
          <w:rFonts w:ascii="Times New Roman" w:hAnsi="Times New Roman" w:cs="Times New Roman"/>
          <w:sz w:val="24"/>
          <w:szCs w:val="24"/>
        </w:rPr>
        <w:t xml:space="preserve"> (</w:t>
      </w:r>
      <w:proofErr w:type="spellStart"/>
      <w:r w:rsidR="00C3196B" w:rsidRPr="000F0431">
        <w:rPr>
          <w:rFonts w:ascii="Times New Roman" w:hAnsi="Times New Roman" w:cs="Times New Roman"/>
          <w:sz w:val="24"/>
          <w:szCs w:val="24"/>
        </w:rPr>
        <w:t>Hennegan</w:t>
      </w:r>
      <w:proofErr w:type="spellEnd"/>
      <w:r w:rsidR="00C3196B">
        <w:rPr>
          <w:rFonts w:ascii="Times New Roman" w:hAnsi="Times New Roman" w:cs="Times New Roman"/>
          <w:sz w:val="24"/>
          <w:szCs w:val="24"/>
        </w:rPr>
        <w:t xml:space="preserve"> et al., 2021;</w:t>
      </w:r>
      <w:r w:rsidR="00C3196B" w:rsidRPr="00C3196B">
        <w:rPr>
          <w:rFonts w:ascii="Times New Roman" w:hAnsi="Times New Roman" w:cs="Times New Roman"/>
          <w:sz w:val="24"/>
          <w:szCs w:val="24"/>
        </w:rPr>
        <w:t xml:space="preserve"> </w:t>
      </w:r>
      <w:proofErr w:type="spellStart"/>
      <w:r w:rsidR="00C3196B" w:rsidRPr="00C3196B">
        <w:rPr>
          <w:rFonts w:ascii="Times New Roman" w:hAnsi="Times New Roman" w:cs="Times New Roman"/>
          <w:sz w:val="24"/>
          <w:szCs w:val="24"/>
        </w:rPr>
        <w:t>Hennegan</w:t>
      </w:r>
      <w:proofErr w:type="spellEnd"/>
      <w:r w:rsidR="00C3196B" w:rsidRPr="00C3196B">
        <w:rPr>
          <w:rFonts w:ascii="Times New Roman" w:hAnsi="Times New Roman" w:cs="Times New Roman"/>
          <w:sz w:val="24"/>
          <w:szCs w:val="24"/>
        </w:rPr>
        <w:t xml:space="preserve"> et al., </w:t>
      </w:r>
      <w:r w:rsidR="00EE58CB" w:rsidRPr="00C3196B">
        <w:rPr>
          <w:rFonts w:ascii="Times New Roman" w:hAnsi="Times New Roman" w:cs="Times New Roman"/>
          <w:sz w:val="24"/>
          <w:szCs w:val="24"/>
        </w:rPr>
        <w:t>20</w:t>
      </w:r>
      <w:r w:rsidR="00EE58CB">
        <w:rPr>
          <w:rFonts w:ascii="Times New Roman" w:hAnsi="Times New Roman" w:cs="Times New Roman"/>
          <w:sz w:val="24"/>
          <w:szCs w:val="24"/>
        </w:rPr>
        <w:t xml:space="preserve">19; </w:t>
      </w:r>
      <w:r w:rsidR="00EE58CB" w:rsidRPr="00EE58CB">
        <w:rPr>
          <w:rFonts w:ascii="Times New Roman" w:hAnsi="Times New Roman" w:cs="Times New Roman"/>
          <w:sz w:val="24"/>
          <w:szCs w:val="24"/>
        </w:rPr>
        <w:t>UNFPA</w:t>
      </w:r>
      <w:r w:rsidR="00EE58CB">
        <w:rPr>
          <w:rFonts w:ascii="Times New Roman" w:hAnsi="Times New Roman" w:cs="Times New Roman"/>
          <w:sz w:val="24"/>
          <w:szCs w:val="24"/>
        </w:rPr>
        <w:t xml:space="preserve">, 2021). </w:t>
      </w:r>
      <w:r w:rsidR="00FA0C8C" w:rsidRPr="00006514">
        <w:rPr>
          <w:rFonts w:ascii="Times New Roman" w:hAnsi="Times New Roman" w:cs="Times New Roman"/>
          <w:sz w:val="24"/>
          <w:szCs w:val="24"/>
        </w:rPr>
        <w:t xml:space="preserve">Additionally, women also </w:t>
      </w:r>
      <w:r w:rsidR="00DD46E4" w:rsidRPr="00006514">
        <w:rPr>
          <w:rFonts w:ascii="Times New Roman" w:hAnsi="Times New Roman" w:cs="Times New Roman"/>
          <w:sz w:val="24"/>
          <w:szCs w:val="24"/>
        </w:rPr>
        <w:t>constitute</w:t>
      </w:r>
      <w:r w:rsidR="00FA0C8C" w:rsidRPr="00006514">
        <w:rPr>
          <w:rFonts w:ascii="Times New Roman" w:hAnsi="Times New Roman" w:cs="Times New Roman"/>
          <w:sz w:val="24"/>
          <w:szCs w:val="24"/>
        </w:rPr>
        <w:t xml:space="preserve"> half of the workforce</w:t>
      </w:r>
      <w:r w:rsidR="00223D84">
        <w:rPr>
          <w:rFonts w:ascii="Times New Roman" w:hAnsi="Times New Roman" w:cs="Times New Roman"/>
          <w:sz w:val="24"/>
          <w:szCs w:val="24"/>
        </w:rPr>
        <w:t>,</w:t>
      </w:r>
      <w:r w:rsidR="00FA0C8C" w:rsidRPr="00006514">
        <w:rPr>
          <w:rFonts w:ascii="Times New Roman" w:hAnsi="Times New Roman" w:cs="Times New Roman"/>
          <w:sz w:val="24"/>
          <w:szCs w:val="24"/>
        </w:rPr>
        <w:t xml:space="preserve"> and it is incumbent upon researchers to comprehend that </w:t>
      </w:r>
      <w:r w:rsidR="00223D84">
        <w:rPr>
          <w:rFonts w:ascii="Times New Roman" w:hAnsi="Times New Roman" w:cs="Times New Roman"/>
          <w:sz w:val="24"/>
          <w:szCs w:val="24"/>
        </w:rPr>
        <w:t xml:space="preserve">this </w:t>
      </w:r>
      <w:r w:rsidR="00FA0C8C" w:rsidRPr="00006514">
        <w:rPr>
          <w:rFonts w:ascii="Times New Roman" w:hAnsi="Times New Roman" w:cs="Times New Roman"/>
          <w:sz w:val="24"/>
          <w:szCs w:val="24"/>
        </w:rPr>
        <w:t>relates to the individual’s experiences</w:t>
      </w:r>
      <w:r w:rsidR="00EE58CB">
        <w:rPr>
          <w:rFonts w:ascii="Times New Roman" w:hAnsi="Times New Roman" w:cs="Times New Roman"/>
          <w:sz w:val="24"/>
          <w:szCs w:val="24"/>
        </w:rPr>
        <w:t xml:space="preserve"> (</w:t>
      </w:r>
      <w:r w:rsidR="00EE58CB" w:rsidRPr="000F0431">
        <w:rPr>
          <w:rFonts w:ascii="Times New Roman" w:hAnsi="Times New Roman" w:cs="Times New Roman"/>
          <w:sz w:val="24"/>
          <w:szCs w:val="24"/>
        </w:rPr>
        <w:t>World Bank Group</w:t>
      </w:r>
      <w:r w:rsidR="00EE58CB">
        <w:rPr>
          <w:rFonts w:ascii="Times New Roman" w:hAnsi="Times New Roman" w:cs="Times New Roman"/>
          <w:sz w:val="24"/>
          <w:szCs w:val="24"/>
        </w:rPr>
        <w:t xml:space="preserve">, </w:t>
      </w:r>
      <w:r w:rsidR="00EE58CB" w:rsidRPr="000F0431">
        <w:rPr>
          <w:rFonts w:ascii="Times New Roman" w:hAnsi="Times New Roman" w:cs="Times New Roman"/>
          <w:sz w:val="24"/>
          <w:szCs w:val="24"/>
        </w:rPr>
        <w:t xml:space="preserve">2016). </w:t>
      </w:r>
      <w:r w:rsidR="00DD46E4" w:rsidRPr="00006514">
        <w:rPr>
          <w:rFonts w:ascii="Times New Roman" w:hAnsi="Times New Roman" w:cs="Times New Roman"/>
          <w:sz w:val="24"/>
          <w:szCs w:val="24"/>
        </w:rPr>
        <w:t xml:space="preserve">Menstruation is </w:t>
      </w:r>
      <w:r w:rsidR="00135BA5">
        <w:rPr>
          <w:rFonts w:ascii="Times New Roman" w:hAnsi="Times New Roman" w:cs="Times New Roman"/>
          <w:sz w:val="24"/>
          <w:szCs w:val="24"/>
        </w:rPr>
        <w:t>biological process that takes place every 3-</w:t>
      </w:r>
      <w:r w:rsidR="00DD46E4" w:rsidRPr="00006514">
        <w:rPr>
          <w:rFonts w:ascii="Times New Roman" w:hAnsi="Times New Roman" w:cs="Times New Roman"/>
          <w:sz w:val="24"/>
          <w:szCs w:val="24"/>
        </w:rPr>
        <w:t>5 weeks and is a normal and unavoidable factor for women.</w:t>
      </w:r>
      <w:r w:rsidR="008D251B">
        <w:rPr>
          <w:rFonts w:ascii="Times New Roman" w:hAnsi="Times New Roman" w:cs="Times New Roman"/>
          <w:sz w:val="24"/>
          <w:szCs w:val="24"/>
        </w:rPr>
        <w:t xml:space="preserve"> </w:t>
      </w:r>
      <w:r w:rsidR="00DD46E4" w:rsidRPr="00006514">
        <w:rPr>
          <w:rFonts w:ascii="Times New Roman" w:hAnsi="Times New Roman" w:cs="Times New Roman"/>
          <w:sz w:val="24"/>
          <w:szCs w:val="24"/>
        </w:rPr>
        <w:t xml:space="preserve">It may also concede certain predictable </w:t>
      </w:r>
      <w:r w:rsidR="00006514" w:rsidRPr="00006514">
        <w:rPr>
          <w:rFonts w:ascii="Times New Roman" w:hAnsi="Times New Roman" w:cs="Times New Roman"/>
          <w:sz w:val="24"/>
          <w:szCs w:val="24"/>
        </w:rPr>
        <w:t>iterative effects on the well-being and behaviour of women at work.</w:t>
      </w:r>
      <w:r w:rsidR="00006514">
        <w:rPr>
          <w:rFonts w:ascii="Times New Roman" w:hAnsi="Times New Roman" w:cs="Times New Roman"/>
          <w:sz w:val="24"/>
          <w:szCs w:val="24"/>
        </w:rPr>
        <w:t xml:space="preserve"> Menstruation is that aspect of life that cannot be separated from work</w:t>
      </w:r>
      <w:r w:rsidR="00EE58CB">
        <w:rPr>
          <w:rFonts w:ascii="Times New Roman" w:hAnsi="Times New Roman" w:cs="Times New Roman"/>
          <w:sz w:val="24"/>
          <w:szCs w:val="24"/>
        </w:rPr>
        <w:t xml:space="preserve"> (</w:t>
      </w:r>
      <w:proofErr w:type="spellStart"/>
      <w:r w:rsidR="00EE58CB" w:rsidRPr="000F0431">
        <w:rPr>
          <w:rFonts w:ascii="Times New Roman" w:hAnsi="Times New Roman" w:cs="Times New Roman"/>
          <w:sz w:val="24"/>
          <w:szCs w:val="24"/>
        </w:rPr>
        <w:t>Ashforth</w:t>
      </w:r>
      <w:proofErr w:type="spellEnd"/>
      <w:r w:rsidR="00EE58CB">
        <w:rPr>
          <w:rFonts w:ascii="Times New Roman" w:hAnsi="Times New Roman" w:cs="Times New Roman"/>
          <w:sz w:val="24"/>
          <w:szCs w:val="24"/>
        </w:rPr>
        <w:t xml:space="preserve"> et al., 2000). However</w:t>
      </w:r>
      <w:r w:rsidR="00BB5D10">
        <w:rPr>
          <w:rFonts w:ascii="Times New Roman" w:hAnsi="Times New Roman" w:cs="Times New Roman"/>
          <w:sz w:val="24"/>
          <w:szCs w:val="24"/>
        </w:rPr>
        <w:t>, research to interpret the menstrual experiences and development of policies in developing countries has focused on adolescent and sc</w:t>
      </w:r>
      <w:r w:rsidR="00223D84">
        <w:rPr>
          <w:rFonts w:ascii="Times New Roman" w:hAnsi="Times New Roman" w:cs="Times New Roman"/>
          <w:sz w:val="24"/>
          <w:szCs w:val="24"/>
        </w:rPr>
        <w:t xml:space="preserve">hool going girls </w:t>
      </w:r>
      <w:r w:rsidR="00EE58CB">
        <w:rPr>
          <w:rFonts w:ascii="Times New Roman" w:hAnsi="Times New Roman" w:cs="Times New Roman"/>
          <w:sz w:val="24"/>
          <w:szCs w:val="24"/>
        </w:rPr>
        <w:t>(</w:t>
      </w:r>
      <w:proofErr w:type="spellStart"/>
      <w:r w:rsidR="00EE58CB" w:rsidRPr="00EE58CB">
        <w:rPr>
          <w:rFonts w:ascii="Times New Roman" w:hAnsi="Times New Roman" w:cs="Times New Roman"/>
          <w:sz w:val="24"/>
          <w:szCs w:val="24"/>
        </w:rPr>
        <w:t>Hennegan</w:t>
      </w:r>
      <w:proofErr w:type="spellEnd"/>
      <w:r w:rsidR="00EE58CB">
        <w:rPr>
          <w:rFonts w:ascii="Times New Roman" w:hAnsi="Times New Roman" w:cs="Times New Roman"/>
          <w:sz w:val="24"/>
          <w:szCs w:val="24"/>
        </w:rPr>
        <w:t xml:space="preserve"> et al., 2019)</w:t>
      </w:r>
      <w:r w:rsidR="00223D84">
        <w:rPr>
          <w:rFonts w:ascii="Times New Roman" w:hAnsi="Times New Roman" w:cs="Times New Roman"/>
          <w:sz w:val="24"/>
          <w:szCs w:val="24"/>
        </w:rPr>
        <w:t>. Although</w:t>
      </w:r>
      <w:r w:rsidR="00BB5D10">
        <w:rPr>
          <w:rFonts w:ascii="Times New Roman" w:hAnsi="Times New Roman" w:cs="Times New Roman"/>
          <w:sz w:val="24"/>
          <w:szCs w:val="24"/>
        </w:rPr>
        <w:t xml:space="preserve"> menstrual health can be protected and safeguarded to the utmost during adolescence, it needs to be continued </w:t>
      </w:r>
      <w:r w:rsidR="00825022">
        <w:rPr>
          <w:rFonts w:ascii="Times New Roman" w:hAnsi="Times New Roman" w:cs="Times New Roman"/>
          <w:sz w:val="24"/>
          <w:szCs w:val="24"/>
        </w:rPr>
        <w:t>in</w:t>
      </w:r>
      <w:r w:rsidR="00BB5D10">
        <w:rPr>
          <w:rFonts w:ascii="Times New Roman" w:hAnsi="Times New Roman" w:cs="Times New Roman"/>
          <w:sz w:val="24"/>
          <w:szCs w:val="24"/>
        </w:rPr>
        <w:t xml:space="preserve">to adulthood </w:t>
      </w:r>
      <w:r w:rsidR="003B69C0">
        <w:rPr>
          <w:rFonts w:ascii="Times New Roman" w:hAnsi="Times New Roman" w:cs="Times New Roman"/>
          <w:sz w:val="24"/>
          <w:szCs w:val="24"/>
        </w:rPr>
        <w:t>(</w:t>
      </w:r>
      <w:r w:rsidR="003B69C0" w:rsidRPr="003B69C0">
        <w:rPr>
          <w:rFonts w:ascii="Times New Roman" w:hAnsi="Times New Roman" w:cs="Times New Roman"/>
          <w:sz w:val="24"/>
          <w:szCs w:val="24"/>
        </w:rPr>
        <w:t>Sommer,</w:t>
      </w:r>
      <w:r w:rsidR="003B69C0">
        <w:rPr>
          <w:rFonts w:ascii="Times New Roman" w:hAnsi="Times New Roman" w:cs="Times New Roman"/>
          <w:sz w:val="24"/>
          <w:szCs w:val="24"/>
        </w:rPr>
        <w:t xml:space="preserve"> 2011; </w:t>
      </w:r>
      <w:proofErr w:type="spellStart"/>
      <w:r w:rsidR="003B69C0" w:rsidRPr="003B69C0">
        <w:rPr>
          <w:rFonts w:ascii="Times New Roman" w:hAnsi="Times New Roman" w:cs="Times New Roman"/>
          <w:sz w:val="24"/>
          <w:szCs w:val="24"/>
        </w:rPr>
        <w:t>Hennegan</w:t>
      </w:r>
      <w:proofErr w:type="spellEnd"/>
      <w:r w:rsidR="003B69C0">
        <w:rPr>
          <w:rFonts w:ascii="Times New Roman" w:hAnsi="Times New Roman" w:cs="Times New Roman"/>
          <w:sz w:val="24"/>
          <w:szCs w:val="24"/>
        </w:rPr>
        <w:t xml:space="preserve"> et al., 2021)</w:t>
      </w:r>
      <w:r w:rsidR="00BB5D10">
        <w:rPr>
          <w:rFonts w:ascii="Times New Roman" w:hAnsi="Times New Roman" w:cs="Times New Roman"/>
          <w:sz w:val="24"/>
          <w:szCs w:val="24"/>
        </w:rPr>
        <w:t>.</w:t>
      </w:r>
    </w:p>
    <w:p w14:paraId="64569910" w14:textId="49EF09D9" w:rsidR="009743F5" w:rsidRDefault="00BB5D10" w:rsidP="000065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2363" w:rsidRPr="00B502FB">
        <w:rPr>
          <w:rFonts w:ascii="Times New Roman" w:hAnsi="Times New Roman" w:cs="Times New Roman"/>
          <w:sz w:val="24"/>
          <w:szCs w:val="24"/>
        </w:rPr>
        <w:t>As long as the scientific and policy making community is concerned, this article is extremely important as it focuses on the facet and aspect of women’s health and the way it directly affects public health, gender equality and labour rights by analysing the various obstacles to menstrual health management in India. Besides, it highlights the urgent research needs to link the future studies and evidence-based treatments, particularly in areas like sanitation and cleanliness in workplaces, menstruation stigma and policy implementation (Kaur et al., 2020; Garg &amp; Anand, 2015).</w:t>
      </w:r>
      <w:r w:rsidR="00762363" w:rsidRPr="00762363">
        <w:rPr>
          <w:rFonts w:ascii="Times New Roman" w:hAnsi="Times New Roman" w:cs="Times New Roman"/>
          <w:sz w:val="24"/>
          <w:szCs w:val="24"/>
        </w:rPr>
        <w:t xml:space="preserve"> </w:t>
      </w:r>
    </w:p>
    <w:p w14:paraId="72599A3A" w14:textId="3EC22AA4" w:rsidR="0080443F" w:rsidRPr="0080443F" w:rsidRDefault="0080443F" w:rsidP="00006514">
      <w:pPr>
        <w:spacing w:line="360" w:lineRule="auto"/>
        <w:jc w:val="both"/>
        <w:rPr>
          <w:rFonts w:ascii="Times New Roman" w:hAnsi="Times New Roman" w:cs="Times New Roman"/>
          <w:b/>
          <w:sz w:val="24"/>
          <w:szCs w:val="24"/>
        </w:rPr>
      </w:pPr>
      <w:r w:rsidRPr="0080443F">
        <w:rPr>
          <w:rFonts w:ascii="Times New Roman" w:hAnsi="Times New Roman" w:cs="Times New Roman"/>
          <w:b/>
          <w:sz w:val="24"/>
          <w:szCs w:val="24"/>
        </w:rPr>
        <w:t>Research Problem:</w:t>
      </w:r>
    </w:p>
    <w:p w14:paraId="39EAA634" w14:textId="31B0E2BF" w:rsidR="0080443F" w:rsidRDefault="0080443F" w:rsidP="000065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the essential integrity of women’s health, menstrual health management (MHM) remains </w:t>
      </w:r>
      <w:r w:rsidR="00285135">
        <w:rPr>
          <w:rFonts w:ascii="Times New Roman" w:hAnsi="Times New Roman" w:cs="Times New Roman"/>
          <w:sz w:val="24"/>
          <w:szCs w:val="24"/>
        </w:rPr>
        <w:t xml:space="preserve">underrated in both public health and workplace policy frameworks in India. Significant </w:t>
      </w:r>
      <w:r w:rsidR="00D16690">
        <w:rPr>
          <w:rFonts w:ascii="Times New Roman" w:hAnsi="Times New Roman" w:cs="Times New Roman"/>
          <w:sz w:val="24"/>
          <w:szCs w:val="24"/>
        </w:rPr>
        <w:t xml:space="preserve">variations are present in access to hygiene and sanitation, among uneducated, low economic and rural women. The inequalities add up to the adverse health outcomes, reduction in productivity, increase in absenteeism and limited economic and educational opportunities for women. NFHS-5 gives detail on the existing gaps in the perusal of hygienic products in underprivileged regions. </w:t>
      </w:r>
    </w:p>
    <w:p w14:paraId="12E20CF6" w14:textId="7ED5A5AB" w:rsidR="0080443F" w:rsidRDefault="00AB28B0" w:rsidP="0080443F">
      <w:pPr>
        <w:spacing w:after="0" w:line="240" w:lineRule="auto"/>
        <w:rPr>
          <w:rFonts w:ascii="Times New Roman" w:eastAsia="Times New Roman" w:hAnsi="Times New Roman" w:cs="Times New Roman"/>
          <w:b/>
          <w:sz w:val="24"/>
          <w:szCs w:val="24"/>
          <w:lang w:eastAsia="en-IN"/>
        </w:rPr>
      </w:pPr>
      <w:r w:rsidRPr="00AB28B0">
        <w:rPr>
          <w:rFonts w:ascii="Times New Roman" w:eastAsia="Times New Roman" w:hAnsi="Times New Roman" w:cs="Times New Roman"/>
          <w:b/>
          <w:sz w:val="24"/>
          <w:szCs w:val="24"/>
          <w:lang w:eastAsia="en-IN"/>
        </w:rPr>
        <w:t>Research Objectives:</w:t>
      </w:r>
    </w:p>
    <w:p w14:paraId="65417E4A" w14:textId="1C96CFC0" w:rsidR="00AB28B0" w:rsidRPr="00AB28B0" w:rsidRDefault="00AB28B0" w:rsidP="0080443F">
      <w:pPr>
        <w:spacing w:after="0" w:line="240" w:lineRule="auto"/>
        <w:rPr>
          <w:rFonts w:ascii="Times New Roman" w:eastAsia="Times New Roman" w:hAnsi="Times New Roman" w:cs="Times New Roman"/>
          <w:sz w:val="24"/>
          <w:szCs w:val="24"/>
          <w:lang w:eastAsia="en-IN"/>
        </w:rPr>
      </w:pPr>
    </w:p>
    <w:p w14:paraId="60ACBDAF" w14:textId="6CE0F0C1" w:rsidR="00AB28B0" w:rsidRDefault="00AB28B0" w:rsidP="00AB28B0">
      <w:pPr>
        <w:pStyle w:val="ListParagraph"/>
        <w:numPr>
          <w:ilvl w:val="0"/>
          <w:numId w:val="13"/>
        </w:num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 assess the current menstrual hygiene management among women aged 15 to 24 years using NFHS-5 data</w:t>
      </w:r>
    </w:p>
    <w:p w14:paraId="0C80FCB3" w14:textId="5857A13B" w:rsidR="00AB28B0" w:rsidRPr="00AB28B0" w:rsidRDefault="00D530BD" w:rsidP="00AB28B0">
      <w:pPr>
        <w:pStyle w:val="ListParagraph"/>
        <w:numPr>
          <w:ilvl w:val="0"/>
          <w:numId w:val="13"/>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 understand the impact of menstruation on women’s productivity and participation</w:t>
      </w:r>
    </w:p>
    <w:p w14:paraId="142553D3" w14:textId="77777777" w:rsidR="0080443F" w:rsidRPr="00006514" w:rsidRDefault="0080443F" w:rsidP="00006514">
      <w:pPr>
        <w:spacing w:line="360" w:lineRule="auto"/>
        <w:jc w:val="both"/>
        <w:rPr>
          <w:rFonts w:ascii="Times New Roman" w:hAnsi="Times New Roman" w:cs="Times New Roman"/>
          <w:sz w:val="24"/>
          <w:szCs w:val="24"/>
        </w:rPr>
      </w:pPr>
    </w:p>
    <w:p w14:paraId="693AD865" w14:textId="29C383C7" w:rsidR="00DD46E4" w:rsidRDefault="00DC1D13" w:rsidP="00FA0C8C">
      <w:pPr>
        <w:rPr>
          <w:rFonts w:ascii="Times New Roman" w:hAnsi="Times New Roman" w:cs="Times New Roman"/>
          <w:sz w:val="24"/>
          <w:szCs w:val="24"/>
        </w:rPr>
      </w:pPr>
      <w:r>
        <w:rPr>
          <w:rFonts w:ascii="Times New Roman" w:hAnsi="Times New Roman" w:cs="Times New Roman"/>
          <w:b/>
          <w:bCs/>
          <w:sz w:val="24"/>
          <w:szCs w:val="24"/>
        </w:rPr>
        <w:t>Literature Review:</w:t>
      </w:r>
    </w:p>
    <w:p w14:paraId="118C95E0" w14:textId="2C290C14" w:rsidR="00DE0E86" w:rsidRDefault="008E4A26" w:rsidP="002D3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Menstruating women undergo a lot of mental and physical changes </w:t>
      </w:r>
      <w:r w:rsidR="00BD4EE8">
        <w:rPr>
          <w:rFonts w:ascii="Times New Roman" w:hAnsi="Times New Roman" w:cs="Times New Roman"/>
          <w:sz w:val="24"/>
          <w:szCs w:val="24"/>
        </w:rPr>
        <w:t xml:space="preserve">throughout their period cycle that have a notable </w:t>
      </w:r>
      <w:r w:rsidR="00135BA5">
        <w:rPr>
          <w:rFonts w:ascii="Times New Roman" w:hAnsi="Times New Roman" w:cs="Times New Roman"/>
          <w:sz w:val="24"/>
          <w:szCs w:val="24"/>
        </w:rPr>
        <w:t xml:space="preserve">influence </w:t>
      </w:r>
      <w:r w:rsidR="00BD4EE8">
        <w:rPr>
          <w:rFonts w:ascii="Times New Roman" w:hAnsi="Times New Roman" w:cs="Times New Roman"/>
          <w:sz w:val="24"/>
          <w:szCs w:val="24"/>
        </w:rPr>
        <w:t xml:space="preserve">on </w:t>
      </w:r>
      <w:r w:rsidR="00135BA5">
        <w:rPr>
          <w:rFonts w:ascii="Times New Roman" w:hAnsi="Times New Roman" w:cs="Times New Roman"/>
          <w:sz w:val="24"/>
          <w:szCs w:val="24"/>
        </w:rPr>
        <w:t xml:space="preserve">various phases of their lives, especially </w:t>
      </w:r>
      <w:r w:rsidR="00BD4EE8">
        <w:rPr>
          <w:rFonts w:ascii="Times New Roman" w:hAnsi="Times New Roman" w:cs="Times New Roman"/>
          <w:sz w:val="24"/>
          <w:szCs w:val="24"/>
        </w:rPr>
        <w:t xml:space="preserve">their professional life </w:t>
      </w:r>
      <w:r w:rsidR="0079574E">
        <w:rPr>
          <w:rFonts w:ascii="Times New Roman" w:hAnsi="Times New Roman" w:cs="Times New Roman"/>
          <w:sz w:val="24"/>
          <w:szCs w:val="24"/>
        </w:rPr>
        <w:t>(</w:t>
      </w:r>
      <w:r w:rsidR="0079574E" w:rsidRPr="009F0AB9">
        <w:rPr>
          <w:rFonts w:ascii="Times New Roman" w:hAnsi="Times New Roman" w:cs="Times New Roman"/>
          <w:sz w:val="24"/>
          <w:szCs w:val="24"/>
        </w:rPr>
        <w:t>Tanaka</w:t>
      </w:r>
      <w:r w:rsidR="0079574E">
        <w:rPr>
          <w:rFonts w:ascii="Times New Roman" w:hAnsi="Times New Roman" w:cs="Times New Roman"/>
          <w:sz w:val="24"/>
          <w:szCs w:val="24"/>
        </w:rPr>
        <w:t xml:space="preserve"> et al., 2013)</w:t>
      </w:r>
      <w:r w:rsidR="00BD4EE8">
        <w:rPr>
          <w:rFonts w:ascii="Times New Roman" w:hAnsi="Times New Roman" w:cs="Times New Roman"/>
          <w:sz w:val="24"/>
          <w:szCs w:val="24"/>
        </w:rPr>
        <w:t xml:space="preserve">. </w:t>
      </w:r>
      <w:r w:rsidR="00135BA5">
        <w:rPr>
          <w:rFonts w:ascii="Times New Roman" w:hAnsi="Times New Roman" w:cs="Times New Roman"/>
          <w:sz w:val="24"/>
          <w:szCs w:val="24"/>
        </w:rPr>
        <w:t xml:space="preserve">Despite being </w:t>
      </w:r>
      <w:r w:rsidR="00955B6E">
        <w:rPr>
          <w:rFonts w:ascii="Times New Roman" w:hAnsi="Times New Roman" w:cs="Times New Roman"/>
          <w:sz w:val="24"/>
          <w:szCs w:val="24"/>
        </w:rPr>
        <w:t xml:space="preserve">significant source of gender-based inequalities in workplace, menstrual cycle is overlooked in explorations of </w:t>
      </w:r>
      <w:r w:rsidR="009D6155">
        <w:rPr>
          <w:rFonts w:ascii="Times New Roman" w:hAnsi="Times New Roman" w:cs="Times New Roman"/>
          <w:sz w:val="24"/>
          <w:szCs w:val="24"/>
        </w:rPr>
        <w:t>community</w:t>
      </w:r>
      <w:r w:rsidR="00955B6E">
        <w:rPr>
          <w:rFonts w:ascii="Times New Roman" w:hAnsi="Times New Roman" w:cs="Times New Roman"/>
          <w:sz w:val="24"/>
          <w:szCs w:val="24"/>
        </w:rPr>
        <w:t xml:space="preserve"> health </w:t>
      </w:r>
      <w:r w:rsidR="002C2E48">
        <w:rPr>
          <w:rFonts w:ascii="Times New Roman" w:hAnsi="Times New Roman" w:cs="Times New Roman"/>
          <w:sz w:val="24"/>
          <w:szCs w:val="24"/>
        </w:rPr>
        <w:t>(</w:t>
      </w:r>
      <w:r w:rsidR="002C2E48" w:rsidRPr="009F0AB9">
        <w:rPr>
          <w:rFonts w:ascii="Times New Roman" w:hAnsi="Times New Roman" w:cs="Times New Roman"/>
          <w:sz w:val="24"/>
          <w:szCs w:val="24"/>
        </w:rPr>
        <w:t>Sang</w:t>
      </w:r>
      <w:r w:rsidR="002C2E48">
        <w:rPr>
          <w:rFonts w:ascii="Times New Roman" w:hAnsi="Times New Roman" w:cs="Times New Roman"/>
          <w:sz w:val="24"/>
          <w:szCs w:val="24"/>
        </w:rPr>
        <w:t xml:space="preserve"> et al., 2021)</w:t>
      </w:r>
      <w:r w:rsidR="00955B6E">
        <w:rPr>
          <w:rFonts w:ascii="Times New Roman" w:hAnsi="Times New Roman" w:cs="Times New Roman"/>
          <w:sz w:val="24"/>
          <w:szCs w:val="24"/>
        </w:rPr>
        <w:t xml:space="preserve">. The issues of menstruation are </w:t>
      </w:r>
      <w:r w:rsidR="00135BA5">
        <w:rPr>
          <w:rFonts w:ascii="Times New Roman" w:hAnsi="Times New Roman" w:cs="Times New Roman"/>
          <w:sz w:val="24"/>
          <w:szCs w:val="24"/>
        </w:rPr>
        <w:t xml:space="preserve">related to </w:t>
      </w:r>
      <w:r w:rsidR="00955B6E">
        <w:rPr>
          <w:rFonts w:ascii="Times New Roman" w:hAnsi="Times New Roman" w:cs="Times New Roman"/>
          <w:sz w:val="24"/>
          <w:szCs w:val="24"/>
        </w:rPr>
        <w:t xml:space="preserve">economic hardship; </w:t>
      </w:r>
      <w:r w:rsidR="009D6155">
        <w:rPr>
          <w:rFonts w:ascii="Times New Roman" w:hAnsi="Times New Roman" w:cs="Times New Roman"/>
          <w:sz w:val="24"/>
          <w:szCs w:val="24"/>
        </w:rPr>
        <w:t>particularly for those who are experiencing challenges</w:t>
      </w:r>
      <w:r w:rsidR="00955B6E">
        <w:rPr>
          <w:rFonts w:ascii="Times New Roman" w:hAnsi="Times New Roman" w:cs="Times New Roman"/>
          <w:sz w:val="24"/>
          <w:szCs w:val="24"/>
        </w:rPr>
        <w:t xml:space="preserve"> from </w:t>
      </w:r>
      <w:r w:rsidR="00D251A9">
        <w:rPr>
          <w:rFonts w:ascii="Times New Roman" w:hAnsi="Times New Roman" w:cs="Times New Roman"/>
          <w:sz w:val="24"/>
          <w:szCs w:val="24"/>
        </w:rPr>
        <w:t xml:space="preserve">irregular menstrual cycle or severe cramps with tiredness, often face economic disadvantages as a result of unemployment, work absenteeism and higher rates of part-time employment </w:t>
      </w:r>
      <w:r w:rsidR="00FE6101">
        <w:rPr>
          <w:rFonts w:ascii="Times New Roman" w:hAnsi="Times New Roman" w:cs="Times New Roman"/>
          <w:sz w:val="24"/>
          <w:szCs w:val="24"/>
        </w:rPr>
        <w:t>(</w:t>
      </w:r>
      <w:proofErr w:type="spellStart"/>
      <w:r w:rsidR="00FE6101" w:rsidRPr="00FE6101">
        <w:rPr>
          <w:rFonts w:ascii="Times New Roman" w:hAnsi="Times New Roman" w:cs="Times New Roman"/>
          <w:sz w:val="24"/>
          <w:szCs w:val="24"/>
        </w:rPr>
        <w:t>Oğurlu</w:t>
      </w:r>
      <w:proofErr w:type="spellEnd"/>
      <w:r w:rsidR="00FE6101">
        <w:rPr>
          <w:rFonts w:ascii="Times New Roman" w:hAnsi="Times New Roman" w:cs="Times New Roman"/>
          <w:sz w:val="24"/>
          <w:szCs w:val="24"/>
        </w:rPr>
        <w:t xml:space="preserve"> et al., 2011; </w:t>
      </w:r>
      <w:r w:rsidR="00FE6101" w:rsidRPr="00FE6101">
        <w:rPr>
          <w:rFonts w:ascii="Times New Roman" w:hAnsi="Times New Roman" w:cs="Times New Roman"/>
          <w:sz w:val="24"/>
          <w:szCs w:val="24"/>
        </w:rPr>
        <w:t>Kwak &amp; Kim</w:t>
      </w:r>
      <w:r w:rsidR="00FE6101">
        <w:rPr>
          <w:rFonts w:ascii="Times New Roman" w:hAnsi="Times New Roman" w:cs="Times New Roman"/>
          <w:sz w:val="24"/>
          <w:szCs w:val="24"/>
        </w:rPr>
        <w:t>, 2018)</w:t>
      </w:r>
      <w:r w:rsidR="00D251A9">
        <w:rPr>
          <w:rFonts w:ascii="Times New Roman" w:hAnsi="Times New Roman" w:cs="Times New Roman"/>
          <w:sz w:val="24"/>
          <w:szCs w:val="24"/>
        </w:rPr>
        <w:t xml:space="preserve">. </w:t>
      </w:r>
      <w:r w:rsidR="006513B1">
        <w:rPr>
          <w:rFonts w:ascii="Times New Roman" w:hAnsi="Times New Roman" w:cs="Times New Roman"/>
          <w:sz w:val="24"/>
          <w:szCs w:val="24"/>
        </w:rPr>
        <w:t>The women emphasize and prioritize presence instead of their health on the basis of certain factors</w:t>
      </w:r>
      <w:r w:rsidR="00825022">
        <w:rPr>
          <w:rFonts w:ascii="Times New Roman" w:hAnsi="Times New Roman" w:cs="Times New Roman"/>
          <w:sz w:val="24"/>
          <w:szCs w:val="24"/>
        </w:rPr>
        <w:t>,</w:t>
      </w:r>
      <w:r w:rsidR="006513B1">
        <w:rPr>
          <w:rFonts w:ascii="Times New Roman" w:hAnsi="Times New Roman" w:cs="Times New Roman"/>
          <w:sz w:val="24"/>
          <w:szCs w:val="24"/>
        </w:rPr>
        <w:t xml:space="preserve"> including the negative outcomes. The correlation between distress, discomfort and presenteeism besides high attendance pressure </w:t>
      </w:r>
      <w:r w:rsidR="001D1073">
        <w:rPr>
          <w:rFonts w:ascii="Times New Roman" w:hAnsi="Times New Roman" w:cs="Times New Roman"/>
          <w:sz w:val="24"/>
          <w:szCs w:val="24"/>
        </w:rPr>
        <w:t xml:space="preserve">that is reinforced by extensive job demands. </w:t>
      </w:r>
      <w:r w:rsidR="000C58B2" w:rsidRPr="000C58B2">
        <w:rPr>
          <w:rFonts w:ascii="Times New Roman" w:hAnsi="Times New Roman" w:cs="Times New Roman"/>
          <w:sz w:val="24"/>
          <w:szCs w:val="24"/>
        </w:rPr>
        <w:t>The attitudes and abilities of an individual are confined to complete involvemen</w:t>
      </w:r>
      <w:r w:rsidR="00135BA5">
        <w:rPr>
          <w:rFonts w:ascii="Times New Roman" w:hAnsi="Times New Roman" w:cs="Times New Roman"/>
          <w:sz w:val="24"/>
          <w:szCs w:val="24"/>
        </w:rPr>
        <w:t xml:space="preserve">t in their workplace during </w:t>
      </w:r>
      <w:r w:rsidR="000C58B2" w:rsidRPr="000C58B2">
        <w:rPr>
          <w:rFonts w:ascii="Times New Roman" w:hAnsi="Times New Roman" w:cs="Times New Roman"/>
          <w:sz w:val="24"/>
          <w:szCs w:val="24"/>
        </w:rPr>
        <w:t>menstrual pain</w:t>
      </w:r>
      <w:r w:rsidR="00825022">
        <w:rPr>
          <w:rFonts w:ascii="Times New Roman" w:hAnsi="Times New Roman" w:cs="Times New Roman"/>
          <w:sz w:val="24"/>
          <w:szCs w:val="24"/>
        </w:rPr>
        <w:t>,</w:t>
      </w:r>
      <w:r w:rsidR="00135BA5">
        <w:rPr>
          <w:rFonts w:ascii="Times New Roman" w:hAnsi="Times New Roman" w:cs="Times New Roman"/>
          <w:sz w:val="24"/>
          <w:szCs w:val="24"/>
        </w:rPr>
        <w:t xml:space="preserve"> but </w:t>
      </w:r>
      <w:r w:rsidR="00764F49">
        <w:rPr>
          <w:rFonts w:ascii="Times New Roman" w:hAnsi="Times New Roman" w:cs="Times New Roman"/>
          <w:sz w:val="24"/>
          <w:szCs w:val="24"/>
        </w:rPr>
        <w:t>choice of being present is provoked by elem</w:t>
      </w:r>
      <w:r w:rsidR="00825022">
        <w:rPr>
          <w:rFonts w:ascii="Times New Roman" w:hAnsi="Times New Roman" w:cs="Times New Roman"/>
          <w:sz w:val="24"/>
          <w:szCs w:val="24"/>
        </w:rPr>
        <w:t xml:space="preserve">ents like loss of pay, job loss, </w:t>
      </w:r>
      <w:r w:rsidR="00764F49">
        <w:rPr>
          <w:rFonts w:ascii="Times New Roman" w:hAnsi="Times New Roman" w:cs="Times New Roman"/>
          <w:sz w:val="24"/>
          <w:szCs w:val="24"/>
        </w:rPr>
        <w:t>distress and social standards</w:t>
      </w:r>
      <w:r w:rsidR="0030548B">
        <w:rPr>
          <w:rFonts w:ascii="Times New Roman" w:hAnsi="Times New Roman" w:cs="Times New Roman"/>
          <w:sz w:val="24"/>
          <w:szCs w:val="24"/>
        </w:rPr>
        <w:t xml:space="preserve"> </w:t>
      </w:r>
      <w:r w:rsidR="001F01FC">
        <w:rPr>
          <w:rFonts w:ascii="Times New Roman" w:hAnsi="Times New Roman" w:cs="Times New Roman"/>
          <w:sz w:val="24"/>
          <w:szCs w:val="24"/>
        </w:rPr>
        <w:t>(</w:t>
      </w:r>
      <w:proofErr w:type="spellStart"/>
      <w:r w:rsidR="001F01FC" w:rsidRPr="001F01FC">
        <w:rPr>
          <w:rFonts w:ascii="Times New Roman" w:hAnsi="Times New Roman" w:cs="Times New Roman"/>
          <w:sz w:val="24"/>
          <w:szCs w:val="24"/>
        </w:rPr>
        <w:t>Hoef</w:t>
      </w:r>
      <w:proofErr w:type="spellEnd"/>
      <w:r w:rsidR="001F01FC">
        <w:rPr>
          <w:rFonts w:ascii="Times New Roman" w:hAnsi="Times New Roman" w:cs="Times New Roman"/>
          <w:sz w:val="24"/>
          <w:szCs w:val="24"/>
        </w:rPr>
        <w:t>, 2023)</w:t>
      </w:r>
      <w:r w:rsidR="00764F49">
        <w:rPr>
          <w:rFonts w:ascii="Times New Roman" w:hAnsi="Times New Roman" w:cs="Times New Roman"/>
          <w:sz w:val="24"/>
          <w:szCs w:val="24"/>
        </w:rPr>
        <w:t xml:space="preserve">. </w:t>
      </w:r>
    </w:p>
    <w:p w14:paraId="10B52C7E" w14:textId="156D99A8" w:rsidR="00E705B6" w:rsidRPr="00B502FB" w:rsidRDefault="000E2BED" w:rsidP="002D3B52">
      <w:pPr>
        <w:spacing w:line="360" w:lineRule="auto"/>
        <w:jc w:val="both"/>
        <w:rPr>
          <w:rFonts w:ascii="Times New Roman" w:hAnsi="Times New Roman" w:cs="Times New Roman"/>
          <w:sz w:val="24"/>
          <w:szCs w:val="24"/>
        </w:rPr>
      </w:pPr>
      <w:r>
        <w:rPr>
          <w:rFonts w:ascii="Times New Roman" w:hAnsi="Times New Roman" w:cs="Times New Roman"/>
          <w:sz w:val="24"/>
          <w:szCs w:val="24"/>
        </w:rPr>
        <w:t>Developing countries remain uneducated about the significance and implications of menstruation among women. Few states, howev</w:t>
      </w:r>
      <w:r w:rsidR="006C76D5">
        <w:rPr>
          <w:rFonts w:ascii="Times New Roman" w:hAnsi="Times New Roman" w:cs="Times New Roman"/>
          <w:sz w:val="24"/>
          <w:szCs w:val="24"/>
        </w:rPr>
        <w:t>er, are taking the initiative of</w:t>
      </w:r>
      <w:r>
        <w:rPr>
          <w:rFonts w:ascii="Times New Roman" w:hAnsi="Times New Roman" w:cs="Times New Roman"/>
          <w:sz w:val="24"/>
          <w:szCs w:val="24"/>
        </w:rPr>
        <w:t xml:space="preserve"> teach</w:t>
      </w:r>
      <w:r w:rsidR="006C76D5">
        <w:rPr>
          <w:rFonts w:ascii="Times New Roman" w:hAnsi="Times New Roman" w:cs="Times New Roman"/>
          <w:sz w:val="24"/>
          <w:szCs w:val="24"/>
        </w:rPr>
        <w:t>ing</w:t>
      </w:r>
      <w:r>
        <w:rPr>
          <w:rFonts w:ascii="Times New Roman" w:hAnsi="Times New Roman" w:cs="Times New Roman"/>
          <w:sz w:val="24"/>
          <w:szCs w:val="24"/>
        </w:rPr>
        <w:t xml:space="preserve"> medically accurate information </w:t>
      </w:r>
      <w:r w:rsidR="006C76D5">
        <w:rPr>
          <w:rFonts w:ascii="Times New Roman" w:hAnsi="Times New Roman" w:cs="Times New Roman"/>
          <w:sz w:val="24"/>
          <w:szCs w:val="24"/>
        </w:rPr>
        <w:t xml:space="preserve">regarding </w:t>
      </w:r>
      <w:r>
        <w:rPr>
          <w:rFonts w:ascii="Times New Roman" w:hAnsi="Times New Roman" w:cs="Times New Roman"/>
          <w:sz w:val="24"/>
          <w:szCs w:val="24"/>
        </w:rPr>
        <w:t xml:space="preserve">menstruation, perimenopause, menopause or the adequate management of menstrual </w:t>
      </w:r>
      <w:r w:rsidRPr="00AC3E08">
        <w:rPr>
          <w:rFonts w:ascii="Times New Roman" w:hAnsi="Times New Roman" w:cs="Times New Roman"/>
          <w:sz w:val="24"/>
          <w:szCs w:val="24"/>
        </w:rPr>
        <w:t xml:space="preserve">health </w:t>
      </w:r>
      <w:r w:rsidR="00AC3E08">
        <w:rPr>
          <w:rFonts w:ascii="Times New Roman" w:hAnsi="Times New Roman" w:cs="Times New Roman"/>
          <w:sz w:val="24"/>
          <w:szCs w:val="24"/>
        </w:rPr>
        <w:t>(</w:t>
      </w:r>
      <w:proofErr w:type="spellStart"/>
      <w:r w:rsidR="00AC3E08" w:rsidRPr="00AC3E08">
        <w:rPr>
          <w:rFonts w:ascii="Times New Roman" w:hAnsi="Times New Roman" w:cs="Times New Roman"/>
          <w:sz w:val="24"/>
          <w:szCs w:val="24"/>
        </w:rPr>
        <w:t>Yaliwal</w:t>
      </w:r>
      <w:proofErr w:type="spellEnd"/>
      <w:r w:rsidR="00AC3E08" w:rsidRPr="00AC3E08">
        <w:rPr>
          <w:rFonts w:ascii="Times New Roman" w:hAnsi="Times New Roman" w:cs="Times New Roman"/>
          <w:sz w:val="24"/>
          <w:szCs w:val="24"/>
        </w:rPr>
        <w:t xml:space="preserve"> et al.,</w:t>
      </w:r>
      <w:r w:rsidR="00AC3E08">
        <w:rPr>
          <w:rFonts w:ascii="Times New Roman" w:hAnsi="Times New Roman" w:cs="Times New Roman"/>
          <w:sz w:val="24"/>
          <w:szCs w:val="24"/>
        </w:rPr>
        <w:t>2020)</w:t>
      </w:r>
      <w:r w:rsidRPr="00AC3E08">
        <w:rPr>
          <w:rFonts w:ascii="Times New Roman" w:hAnsi="Times New Roman" w:cs="Times New Roman"/>
          <w:sz w:val="24"/>
          <w:szCs w:val="24"/>
        </w:rPr>
        <w:t>.</w:t>
      </w:r>
      <w:r>
        <w:rPr>
          <w:rFonts w:ascii="Times New Roman" w:hAnsi="Times New Roman" w:cs="Times New Roman"/>
          <w:sz w:val="24"/>
          <w:szCs w:val="24"/>
        </w:rPr>
        <w:t xml:space="preserve"> </w:t>
      </w:r>
      <w:r w:rsidR="005C745E">
        <w:rPr>
          <w:rFonts w:ascii="Times New Roman" w:hAnsi="Times New Roman" w:cs="Times New Roman"/>
          <w:sz w:val="24"/>
          <w:szCs w:val="24"/>
        </w:rPr>
        <w:t xml:space="preserve">Limited states have a requirement for imparting education about menarche, perimenopause, menopause in addition to the proper management of the conditions. </w:t>
      </w:r>
      <w:r w:rsidR="00F04221">
        <w:rPr>
          <w:rFonts w:ascii="Times New Roman" w:hAnsi="Times New Roman" w:cs="Times New Roman"/>
          <w:sz w:val="24"/>
          <w:szCs w:val="24"/>
        </w:rPr>
        <w:t xml:space="preserve">Moreover, this health education helps in countering </w:t>
      </w:r>
      <w:r w:rsidR="00825022">
        <w:rPr>
          <w:rFonts w:ascii="Times New Roman" w:hAnsi="Times New Roman" w:cs="Times New Roman"/>
          <w:sz w:val="24"/>
          <w:szCs w:val="24"/>
        </w:rPr>
        <w:t xml:space="preserve">related stigmas of </w:t>
      </w:r>
      <w:r w:rsidR="006C76D5">
        <w:rPr>
          <w:rFonts w:ascii="Times New Roman" w:hAnsi="Times New Roman" w:cs="Times New Roman"/>
          <w:sz w:val="24"/>
          <w:szCs w:val="24"/>
        </w:rPr>
        <w:t xml:space="preserve">society by the provision of essential </w:t>
      </w:r>
      <w:r w:rsidR="00596E26">
        <w:rPr>
          <w:rFonts w:ascii="Times New Roman" w:hAnsi="Times New Roman" w:cs="Times New Roman"/>
          <w:sz w:val="24"/>
          <w:szCs w:val="24"/>
        </w:rPr>
        <w:t xml:space="preserve">information </w:t>
      </w:r>
      <w:r w:rsidR="006C76D5">
        <w:rPr>
          <w:rFonts w:ascii="Times New Roman" w:hAnsi="Times New Roman" w:cs="Times New Roman"/>
          <w:sz w:val="24"/>
          <w:szCs w:val="24"/>
        </w:rPr>
        <w:t>regarding people’s bodies as well as</w:t>
      </w:r>
      <w:r w:rsidR="00596E26">
        <w:rPr>
          <w:rFonts w:ascii="Times New Roman" w:hAnsi="Times New Roman" w:cs="Times New Roman"/>
          <w:sz w:val="24"/>
          <w:szCs w:val="24"/>
        </w:rPr>
        <w:t xml:space="preserve"> choices. The menstrual distress tends to increase without it</w:t>
      </w:r>
      <w:r w:rsidR="00825022">
        <w:rPr>
          <w:rFonts w:ascii="Times New Roman" w:hAnsi="Times New Roman" w:cs="Times New Roman"/>
          <w:sz w:val="24"/>
          <w:szCs w:val="24"/>
        </w:rPr>
        <w:t>,</w:t>
      </w:r>
      <w:r w:rsidR="00596E26">
        <w:rPr>
          <w:rFonts w:ascii="Times New Roman" w:hAnsi="Times New Roman" w:cs="Times New Roman"/>
          <w:sz w:val="24"/>
          <w:szCs w:val="24"/>
        </w:rPr>
        <w:t xml:space="preserve"> and some remain clueless about the handling of menstruation at home. </w:t>
      </w:r>
      <w:r w:rsidR="00596E26" w:rsidRPr="00596E26">
        <w:rPr>
          <w:rFonts w:ascii="Times New Roman" w:hAnsi="Times New Roman" w:cs="Times New Roman"/>
          <w:sz w:val="24"/>
          <w:szCs w:val="24"/>
        </w:rPr>
        <w:t>Worsening the issue, schools that incorporate menstrual education into their curriculum frequently delay it or present it in segregated, gender-specific settings.</w:t>
      </w:r>
      <w:r w:rsidR="00596E26">
        <w:rPr>
          <w:rFonts w:ascii="Times New Roman" w:hAnsi="Times New Roman" w:cs="Times New Roman"/>
          <w:sz w:val="24"/>
          <w:szCs w:val="24"/>
        </w:rPr>
        <w:t xml:space="preserve"> This</w:t>
      </w:r>
      <w:r w:rsidR="00825022">
        <w:rPr>
          <w:rFonts w:ascii="Times New Roman" w:hAnsi="Times New Roman" w:cs="Times New Roman"/>
          <w:sz w:val="24"/>
          <w:szCs w:val="24"/>
        </w:rPr>
        <w:t>,</w:t>
      </w:r>
      <w:r w:rsidR="00596E26">
        <w:rPr>
          <w:rFonts w:ascii="Times New Roman" w:hAnsi="Times New Roman" w:cs="Times New Roman"/>
          <w:sz w:val="24"/>
          <w:szCs w:val="24"/>
        </w:rPr>
        <w:t xml:space="preserve"> in turn, amplifies the misunderstandings about menstruation in the workplace</w:t>
      </w:r>
      <w:r w:rsidR="003D1B9C">
        <w:rPr>
          <w:rFonts w:ascii="Times New Roman" w:hAnsi="Times New Roman" w:cs="Times New Roman"/>
          <w:sz w:val="24"/>
          <w:szCs w:val="24"/>
        </w:rPr>
        <w:t>. Besides, a culture of silence aro</w:t>
      </w:r>
      <w:r w:rsidR="00E705B6">
        <w:rPr>
          <w:rFonts w:ascii="Times New Roman" w:hAnsi="Times New Roman" w:cs="Times New Roman"/>
          <w:sz w:val="24"/>
          <w:szCs w:val="24"/>
        </w:rPr>
        <w:t>und the conditions</w:t>
      </w:r>
      <w:r w:rsidR="00825022">
        <w:rPr>
          <w:rFonts w:ascii="Times New Roman" w:hAnsi="Times New Roman" w:cs="Times New Roman"/>
          <w:sz w:val="24"/>
          <w:szCs w:val="24"/>
        </w:rPr>
        <w:t>,</w:t>
      </w:r>
      <w:r w:rsidR="00E705B6">
        <w:rPr>
          <w:rFonts w:ascii="Times New Roman" w:hAnsi="Times New Roman" w:cs="Times New Roman"/>
          <w:sz w:val="24"/>
          <w:szCs w:val="24"/>
        </w:rPr>
        <w:t xml:space="preserve"> along with</w:t>
      </w:r>
      <w:r w:rsidR="003D1B9C">
        <w:rPr>
          <w:rFonts w:ascii="Times New Roman" w:hAnsi="Times New Roman" w:cs="Times New Roman"/>
          <w:sz w:val="24"/>
          <w:szCs w:val="24"/>
        </w:rPr>
        <w:t xml:space="preserve"> issues of menstruation</w:t>
      </w:r>
      <w:r w:rsidR="00825022">
        <w:rPr>
          <w:rFonts w:ascii="Times New Roman" w:hAnsi="Times New Roman" w:cs="Times New Roman"/>
          <w:sz w:val="24"/>
          <w:szCs w:val="24"/>
        </w:rPr>
        <w:t>,</w:t>
      </w:r>
      <w:r w:rsidR="003D1B9C">
        <w:rPr>
          <w:rFonts w:ascii="Times New Roman" w:hAnsi="Times New Roman" w:cs="Times New Roman"/>
          <w:sz w:val="24"/>
          <w:szCs w:val="24"/>
        </w:rPr>
        <w:t xml:space="preserve"> that eventually nurtures harassment at work is facilitated. </w:t>
      </w:r>
    </w:p>
    <w:p w14:paraId="582A0447" w14:textId="213C7E74" w:rsidR="00950E1C" w:rsidRDefault="00950E1C"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developing country like India is the host of </w:t>
      </w:r>
      <w:r w:rsidR="00E705B6">
        <w:rPr>
          <w:rFonts w:ascii="Times New Roman" w:hAnsi="Times New Roman" w:cs="Times New Roman"/>
          <w:sz w:val="24"/>
          <w:szCs w:val="24"/>
        </w:rPr>
        <w:t>1/5</w:t>
      </w:r>
      <w:r w:rsidR="00E705B6" w:rsidRPr="00E705B6">
        <w:rPr>
          <w:rFonts w:ascii="Times New Roman" w:hAnsi="Times New Roman" w:cs="Times New Roman"/>
          <w:sz w:val="24"/>
          <w:szCs w:val="24"/>
          <w:vertAlign w:val="superscript"/>
        </w:rPr>
        <w:t>th</w:t>
      </w:r>
      <w:r w:rsidR="00E705B6">
        <w:rPr>
          <w:rFonts w:ascii="Times New Roman" w:hAnsi="Times New Roman" w:cs="Times New Roman"/>
          <w:sz w:val="24"/>
          <w:szCs w:val="24"/>
        </w:rPr>
        <w:t xml:space="preserve"> </w:t>
      </w:r>
      <w:r>
        <w:rPr>
          <w:rFonts w:ascii="Times New Roman" w:hAnsi="Times New Roman" w:cs="Times New Roman"/>
          <w:sz w:val="24"/>
          <w:szCs w:val="24"/>
        </w:rPr>
        <w:t xml:space="preserve">of world’s adolescent female population. Sadly, </w:t>
      </w:r>
      <w:r w:rsidR="00E705B6">
        <w:rPr>
          <w:rFonts w:ascii="Times New Roman" w:hAnsi="Times New Roman" w:cs="Times New Roman"/>
          <w:sz w:val="24"/>
          <w:szCs w:val="24"/>
        </w:rPr>
        <w:t xml:space="preserve">most </w:t>
      </w:r>
      <w:r>
        <w:rPr>
          <w:rFonts w:ascii="Times New Roman" w:hAnsi="Times New Roman" w:cs="Times New Roman"/>
          <w:sz w:val="24"/>
          <w:szCs w:val="24"/>
        </w:rPr>
        <w:t xml:space="preserve">women in rural areas </w:t>
      </w:r>
      <w:r w:rsidR="009D6155">
        <w:rPr>
          <w:rFonts w:ascii="Times New Roman" w:hAnsi="Times New Roman" w:cs="Times New Roman"/>
          <w:sz w:val="24"/>
          <w:szCs w:val="24"/>
        </w:rPr>
        <w:t>encounter</w:t>
      </w:r>
      <w:r>
        <w:rPr>
          <w:rFonts w:ascii="Times New Roman" w:hAnsi="Times New Roman" w:cs="Times New Roman"/>
          <w:sz w:val="24"/>
          <w:szCs w:val="24"/>
        </w:rPr>
        <w:t xml:space="preserve"> constraints that limit their empowerment</w:t>
      </w:r>
      <w:r w:rsidR="00F25EFB">
        <w:rPr>
          <w:rFonts w:ascii="Times New Roman" w:hAnsi="Times New Roman" w:cs="Times New Roman"/>
          <w:sz w:val="24"/>
          <w:szCs w:val="24"/>
        </w:rPr>
        <w:t xml:space="preserve"> </w:t>
      </w:r>
      <w:r w:rsidR="004E2C50">
        <w:rPr>
          <w:rFonts w:ascii="Times New Roman" w:hAnsi="Times New Roman" w:cs="Times New Roman"/>
          <w:sz w:val="24"/>
          <w:szCs w:val="24"/>
        </w:rPr>
        <w:t>(</w:t>
      </w:r>
      <w:r w:rsidR="004E2C50" w:rsidRPr="004E2C50">
        <w:rPr>
          <w:rFonts w:ascii="Times New Roman" w:hAnsi="Times New Roman" w:cs="Times New Roman"/>
          <w:sz w:val="24"/>
          <w:szCs w:val="24"/>
        </w:rPr>
        <w:t>Rani PS</w:t>
      </w:r>
      <w:r w:rsidR="004E2C50">
        <w:rPr>
          <w:rFonts w:ascii="Times New Roman" w:hAnsi="Times New Roman" w:cs="Times New Roman"/>
          <w:sz w:val="24"/>
          <w:szCs w:val="24"/>
        </w:rPr>
        <w:t>, 2014)</w:t>
      </w:r>
      <w:r>
        <w:rPr>
          <w:rFonts w:ascii="Times New Roman" w:hAnsi="Times New Roman" w:cs="Times New Roman"/>
          <w:sz w:val="24"/>
          <w:szCs w:val="24"/>
        </w:rPr>
        <w:t>. During menstruation,</w:t>
      </w:r>
      <w:r w:rsidR="00825022">
        <w:rPr>
          <w:rFonts w:ascii="Times New Roman" w:hAnsi="Times New Roman" w:cs="Times New Roman"/>
          <w:sz w:val="24"/>
          <w:szCs w:val="24"/>
        </w:rPr>
        <w:t xml:space="preserve"> these barriers often reinforce</w:t>
      </w:r>
      <w:r>
        <w:rPr>
          <w:rFonts w:ascii="Times New Roman" w:hAnsi="Times New Roman" w:cs="Times New Roman"/>
          <w:sz w:val="24"/>
          <w:szCs w:val="24"/>
        </w:rPr>
        <w:t xml:space="preserve">, thus preventing social life </w:t>
      </w:r>
      <w:r>
        <w:rPr>
          <w:rFonts w:ascii="Times New Roman" w:hAnsi="Times New Roman" w:cs="Times New Roman"/>
          <w:sz w:val="24"/>
          <w:szCs w:val="24"/>
        </w:rPr>
        <w:lastRenderedPageBreak/>
        <w:t>participation</w:t>
      </w:r>
      <w:r w:rsidR="00825022">
        <w:rPr>
          <w:rFonts w:ascii="Times New Roman" w:hAnsi="Times New Roman" w:cs="Times New Roman"/>
          <w:sz w:val="24"/>
          <w:szCs w:val="24"/>
        </w:rPr>
        <w:t>,</w:t>
      </w:r>
      <w:r w:rsidR="00E04F11">
        <w:rPr>
          <w:rFonts w:ascii="Times New Roman" w:hAnsi="Times New Roman" w:cs="Times New Roman"/>
          <w:sz w:val="24"/>
          <w:szCs w:val="24"/>
        </w:rPr>
        <w:t xml:space="preserve"> including cooking, bathing, schooling and worship. Every year, countless school girls </w:t>
      </w:r>
      <w:r w:rsidR="009D6155">
        <w:rPr>
          <w:rFonts w:ascii="Times New Roman" w:hAnsi="Times New Roman" w:cs="Times New Roman"/>
          <w:sz w:val="24"/>
          <w:szCs w:val="24"/>
        </w:rPr>
        <w:t>leave school before completing their education</w:t>
      </w:r>
      <w:r w:rsidR="00825022">
        <w:rPr>
          <w:rFonts w:ascii="Times New Roman" w:hAnsi="Times New Roman" w:cs="Times New Roman"/>
          <w:sz w:val="24"/>
          <w:szCs w:val="24"/>
        </w:rPr>
        <w:t>,</w:t>
      </w:r>
      <w:r w:rsidR="00E705B6">
        <w:rPr>
          <w:rFonts w:ascii="Times New Roman" w:hAnsi="Times New Roman" w:cs="Times New Roman"/>
          <w:sz w:val="24"/>
          <w:szCs w:val="24"/>
        </w:rPr>
        <w:t xml:space="preserve"> </w:t>
      </w:r>
      <w:r w:rsidR="002B1C1E">
        <w:rPr>
          <w:rFonts w:ascii="Times New Roman" w:hAnsi="Times New Roman" w:cs="Times New Roman"/>
          <w:sz w:val="24"/>
          <w:szCs w:val="24"/>
        </w:rPr>
        <w:t>either due to fear of sin</w:t>
      </w:r>
      <w:r w:rsidR="000C4391">
        <w:rPr>
          <w:rFonts w:ascii="Times New Roman" w:hAnsi="Times New Roman" w:cs="Times New Roman"/>
          <w:sz w:val="24"/>
          <w:szCs w:val="24"/>
        </w:rPr>
        <w:t xml:space="preserve"> or odour from menstrual blood, inadequate restrooms or mobility restrictions</w:t>
      </w:r>
      <w:r w:rsidR="00BB6DEF">
        <w:rPr>
          <w:rFonts w:ascii="Times New Roman" w:hAnsi="Times New Roman" w:cs="Times New Roman"/>
          <w:sz w:val="24"/>
          <w:szCs w:val="24"/>
        </w:rPr>
        <w:t xml:space="preserve"> </w:t>
      </w:r>
      <w:r w:rsidR="00AC3E08">
        <w:rPr>
          <w:rFonts w:ascii="Times New Roman" w:hAnsi="Times New Roman" w:cs="Times New Roman"/>
          <w:sz w:val="24"/>
          <w:szCs w:val="24"/>
        </w:rPr>
        <w:t>(</w:t>
      </w:r>
      <w:r w:rsidR="00AC3E08" w:rsidRPr="00856D75">
        <w:rPr>
          <w:rFonts w:ascii="Times New Roman" w:hAnsi="Times New Roman" w:cs="Times New Roman"/>
          <w:sz w:val="24"/>
          <w:szCs w:val="24"/>
        </w:rPr>
        <w:t>Garg</w:t>
      </w:r>
      <w:r w:rsidR="00AC3E08">
        <w:rPr>
          <w:rFonts w:ascii="Times New Roman" w:hAnsi="Times New Roman" w:cs="Times New Roman"/>
          <w:sz w:val="24"/>
          <w:szCs w:val="24"/>
        </w:rPr>
        <w:t xml:space="preserve"> et al., 2022). </w:t>
      </w:r>
      <w:r w:rsidR="002B1C1E">
        <w:rPr>
          <w:rFonts w:ascii="Times New Roman" w:hAnsi="Times New Roman" w:cs="Times New Roman"/>
          <w:sz w:val="24"/>
          <w:szCs w:val="24"/>
        </w:rPr>
        <w:t>This problem is aggravated</w:t>
      </w:r>
      <w:r w:rsidR="000C4391">
        <w:rPr>
          <w:rFonts w:ascii="Times New Roman" w:hAnsi="Times New Roman" w:cs="Times New Roman"/>
          <w:sz w:val="24"/>
          <w:szCs w:val="24"/>
        </w:rPr>
        <w:t xml:space="preserve"> by limited apprehension </w:t>
      </w:r>
      <w:r w:rsidR="00AE6433">
        <w:rPr>
          <w:rFonts w:ascii="Times New Roman" w:hAnsi="Times New Roman" w:cs="Times New Roman"/>
          <w:sz w:val="24"/>
          <w:szCs w:val="24"/>
        </w:rPr>
        <w:t xml:space="preserve">regarding puberty, </w:t>
      </w:r>
      <w:r w:rsidR="000C4391">
        <w:rPr>
          <w:rFonts w:ascii="Times New Roman" w:hAnsi="Times New Roman" w:cs="Times New Roman"/>
          <w:sz w:val="24"/>
          <w:szCs w:val="24"/>
        </w:rPr>
        <w:t>menstruation, lac</w:t>
      </w:r>
      <w:r w:rsidR="00AE6433">
        <w:rPr>
          <w:rFonts w:ascii="Times New Roman" w:hAnsi="Times New Roman" w:cs="Times New Roman"/>
          <w:sz w:val="24"/>
          <w:szCs w:val="24"/>
        </w:rPr>
        <w:t xml:space="preserve">k of proper water, </w:t>
      </w:r>
      <w:r w:rsidR="000C4391">
        <w:rPr>
          <w:rFonts w:ascii="Times New Roman" w:hAnsi="Times New Roman" w:cs="Times New Roman"/>
          <w:sz w:val="24"/>
          <w:szCs w:val="24"/>
        </w:rPr>
        <w:t>hygi</w:t>
      </w:r>
      <w:r w:rsidR="00AE6433">
        <w:rPr>
          <w:rFonts w:ascii="Times New Roman" w:hAnsi="Times New Roman" w:cs="Times New Roman"/>
          <w:sz w:val="24"/>
          <w:szCs w:val="24"/>
        </w:rPr>
        <w:t>ene facilities as well as</w:t>
      </w:r>
      <w:r w:rsidR="00E705B6">
        <w:rPr>
          <w:rFonts w:ascii="Times New Roman" w:hAnsi="Times New Roman" w:cs="Times New Roman"/>
          <w:sz w:val="24"/>
          <w:szCs w:val="24"/>
        </w:rPr>
        <w:t xml:space="preserve"> inadequate </w:t>
      </w:r>
      <w:r w:rsidR="000C4391">
        <w:rPr>
          <w:rFonts w:ascii="Times New Roman" w:hAnsi="Times New Roman" w:cs="Times New Roman"/>
          <w:sz w:val="24"/>
          <w:szCs w:val="24"/>
        </w:rPr>
        <w:t xml:space="preserve">access to menstrual hygiene products. </w:t>
      </w:r>
      <w:r w:rsidR="00AE6433">
        <w:rPr>
          <w:rFonts w:ascii="Times New Roman" w:hAnsi="Times New Roman" w:cs="Times New Roman"/>
          <w:sz w:val="24"/>
          <w:szCs w:val="24"/>
        </w:rPr>
        <w:t xml:space="preserve">Several </w:t>
      </w:r>
      <w:r w:rsidR="000C4391">
        <w:rPr>
          <w:rFonts w:ascii="Times New Roman" w:hAnsi="Times New Roman" w:cs="Times New Roman"/>
          <w:sz w:val="24"/>
          <w:szCs w:val="24"/>
        </w:rPr>
        <w:t>health issues</w:t>
      </w:r>
      <w:r w:rsidR="002B1C1E">
        <w:rPr>
          <w:rFonts w:ascii="Times New Roman" w:hAnsi="Times New Roman" w:cs="Times New Roman"/>
          <w:sz w:val="24"/>
          <w:szCs w:val="24"/>
        </w:rPr>
        <w:t>,</w:t>
      </w:r>
      <w:r w:rsidR="000C4391">
        <w:rPr>
          <w:rFonts w:ascii="Times New Roman" w:hAnsi="Times New Roman" w:cs="Times New Roman"/>
          <w:sz w:val="24"/>
          <w:szCs w:val="24"/>
        </w:rPr>
        <w:t xml:space="preserve"> </w:t>
      </w:r>
      <w:r w:rsidR="00AE6433">
        <w:rPr>
          <w:rFonts w:ascii="Times New Roman" w:hAnsi="Times New Roman" w:cs="Times New Roman"/>
          <w:sz w:val="24"/>
          <w:szCs w:val="24"/>
        </w:rPr>
        <w:t xml:space="preserve">encompassing </w:t>
      </w:r>
      <w:r w:rsidR="00E705B6">
        <w:rPr>
          <w:rFonts w:ascii="Times New Roman" w:hAnsi="Times New Roman" w:cs="Times New Roman"/>
          <w:sz w:val="24"/>
          <w:szCs w:val="24"/>
        </w:rPr>
        <w:t>reproductive and UTIs</w:t>
      </w:r>
      <w:r w:rsidR="000C4391">
        <w:rPr>
          <w:rFonts w:ascii="Times New Roman" w:hAnsi="Times New Roman" w:cs="Times New Roman"/>
          <w:sz w:val="24"/>
          <w:szCs w:val="24"/>
        </w:rPr>
        <w:t xml:space="preserve"> </w:t>
      </w:r>
      <w:r w:rsidR="00E705B6">
        <w:rPr>
          <w:rFonts w:ascii="Times New Roman" w:hAnsi="Times New Roman" w:cs="Times New Roman"/>
          <w:sz w:val="24"/>
          <w:szCs w:val="24"/>
        </w:rPr>
        <w:t>(</w:t>
      </w:r>
      <w:r w:rsidR="000C4391">
        <w:rPr>
          <w:rFonts w:ascii="Times New Roman" w:hAnsi="Times New Roman" w:cs="Times New Roman"/>
          <w:sz w:val="24"/>
          <w:szCs w:val="24"/>
        </w:rPr>
        <w:t>urinary tract infections</w:t>
      </w:r>
      <w:r w:rsidR="00E705B6">
        <w:rPr>
          <w:rFonts w:ascii="Times New Roman" w:hAnsi="Times New Roman" w:cs="Times New Roman"/>
          <w:sz w:val="24"/>
          <w:szCs w:val="24"/>
        </w:rPr>
        <w:t>)</w:t>
      </w:r>
      <w:r w:rsidR="000C4391">
        <w:rPr>
          <w:rFonts w:ascii="Times New Roman" w:hAnsi="Times New Roman" w:cs="Times New Roman"/>
          <w:sz w:val="24"/>
          <w:szCs w:val="24"/>
        </w:rPr>
        <w:t>, red rashes</w:t>
      </w:r>
      <w:r w:rsidR="009F1A31">
        <w:rPr>
          <w:rFonts w:ascii="Times New Roman" w:hAnsi="Times New Roman" w:cs="Times New Roman"/>
          <w:sz w:val="24"/>
          <w:szCs w:val="24"/>
        </w:rPr>
        <w:t>,</w:t>
      </w:r>
      <w:r w:rsidR="00EA3610">
        <w:rPr>
          <w:rFonts w:ascii="Times New Roman" w:hAnsi="Times New Roman" w:cs="Times New Roman"/>
          <w:sz w:val="24"/>
          <w:szCs w:val="24"/>
        </w:rPr>
        <w:t xml:space="preserve"> and itching</w:t>
      </w:r>
      <w:r w:rsidR="00AD37EA">
        <w:rPr>
          <w:rFonts w:ascii="Times New Roman" w:hAnsi="Times New Roman" w:cs="Times New Roman"/>
          <w:sz w:val="24"/>
          <w:szCs w:val="24"/>
        </w:rPr>
        <w:t>,</w:t>
      </w:r>
      <w:r w:rsidR="00AE6433">
        <w:rPr>
          <w:rFonts w:ascii="Times New Roman" w:hAnsi="Times New Roman" w:cs="Times New Roman"/>
          <w:sz w:val="24"/>
          <w:szCs w:val="24"/>
        </w:rPr>
        <w:t xml:space="preserve"> can take place as </w:t>
      </w:r>
      <w:r w:rsidR="00EA3610">
        <w:rPr>
          <w:rFonts w:ascii="Times New Roman" w:hAnsi="Times New Roman" w:cs="Times New Roman"/>
          <w:sz w:val="24"/>
          <w:szCs w:val="24"/>
        </w:rPr>
        <w:t xml:space="preserve">result of poor menstrual hygiene practices.  </w:t>
      </w:r>
      <w:r w:rsidR="007730EB">
        <w:rPr>
          <w:rFonts w:ascii="Times New Roman" w:hAnsi="Times New Roman" w:cs="Times New Roman"/>
          <w:sz w:val="24"/>
          <w:szCs w:val="24"/>
        </w:rPr>
        <w:t>These practices also curb the educational and economic opportunities of women that directly impact the achievement of Sustainable Development Goals (SDGs) in relation to health, economic growth</w:t>
      </w:r>
      <w:r w:rsidR="00E705B6">
        <w:rPr>
          <w:rFonts w:ascii="Times New Roman" w:hAnsi="Times New Roman" w:cs="Times New Roman"/>
          <w:sz w:val="24"/>
          <w:szCs w:val="24"/>
        </w:rPr>
        <w:t>,</w:t>
      </w:r>
      <w:r w:rsidR="007730EB">
        <w:rPr>
          <w:rFonts w:ascii="Times New Roman" w:hAnsi="Times New Roman" w:cs="Times New Roman"/>
          <w:sz w:val="24"/>
          <w:szCs w:val="24"/>
        </w:rPr>
        <w:t xml:space="preserve"> </w:t>
      </w:r>
      <w:r w:rsidR="00E705B6">
        <w:rPr>
          <w:rFonts w:ascii="Times New Roman" w:hAnsi="Times New Roman" w:cs="Times New Roman"/>
          <w:sz w:val="24"/>
          <w:szCs w:val="24"/>
        </w:rPr>
        <w:t xml:space="preserve">education, </w:t>
      </w:r>
      <w:r w:rsidR="007730EB">
        <w:rPr>
          <w:rFonts w:ascii="Times New Roman" w:hAnsi="Times New Roman" w:cs="Times New Roman"/>
          <w:sz w:val="24"/>
          <w:szCs w:val="24"/>
        </w:rPr>
        <w:t xml:space="preserve">and gender equality. </w:t>
      </w:r>
    </w:p>
    <w:p w14:paraId="547D33E2" w14:textId="45CD04B5" w:rsidR="00D530BD" w:rsidRDefault="00D530BD" w:rsidP="00950E1C">
      <w:pPr>
        <w:spacing w:line="360" w:lineRule="auto"/>
        <w:jc w:val="both"/>
        <w:rPr>
          <w:rFonts w:ascii="Times New Roman" w:hAnsi="Times New Roman" w:cs="Times New Roman"/>
          <w:b/>
          <w:sz w:val="24"/>
          <w:szCs w:val="24"/>
        </w:rPr>
      </w:pPr>
      <w:r w:rsidRPr="00D530BD">
        <w:rPr>
          <w:rFonts w:ascii="Times New Roman" w:hAnsi="Times New Roman" w:cs="Times New Roman"/>
          <w:b/>
          <w:sz w:val="24"/>
          <w:szCs w:val="24"/>
        </w:rPr>
        <w:t>Theoretical Framework:</w:t>
      </w:r>
    </w:p>
    <w:p w14:paraId="26E51F4A" w14:textId="01BEA68B" w:rsidR="00D530BD" w:rsidRDefault="00D530BD"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 isn’t just about biology”. This statement reminded by </w:t>
      </w:r>
      <w:r w:rsidRPr="00D530BD">
        <w:rPr>
          <w:rFonts w:ascii="Times New Roman" w:hAnsi="Times New Roman" w:cs="Times New Roman"/>
          <w:bCs/>
          <w:sz w:val="24"/>
          <w:szCs w:val="24"/>
        </w:rPr>
        <w:t>Social Determinants of Health (SDH)</w:t>
      </w:r>
      <w:r w:rsidRPr="00D530BD">
        <w:rPr>
          <w:rFonts w:ascii="Times New Roman" w:hAnsi="Times New Roman" w:cs="Times New Roman"/>
          <w:sz w:val="24"/>
          <w:szCs w:val="24"/>
        </w:rPr>
        <w:t xml:space="preserve"> framework</w:t>
      </w:r>
      <w:r>
        <w:rPr>
          <w:rFonts w:ascii="Times New Roman" w:hAnsi="Times New Roman" w:cs="Times New Roman"/>
          <w:sz w:val="24"/>
          <w:szCs w:val="24"/>
        </w:rPr>
        <w:t xml:space="preserve"> shapes the world we live in. For many women in India, menstruation is a regular challenge that is marked by the limited access to illiteracy, poor sanitation facilities and sanitary products. </w:t>
      </w:r>
      <w:r w:rsidR="00EF50F6">
        <w:rPr>
          <w:rFonts w:ascii="Times New Roman" w:hAnsi="Times New Roman" w:cs="Times New Roman"/>
          <w:sz w:val="24"/>
          <w:szCs w:val="24"/>
        </w:rPr>
        <w:t xml:space="preserve">Besides, these are barriers that lead to serious health issues like infections and increased absenteeism of women and girls in work and school that lead to reduction in the opportunities and economic participation (WHO, 2008). </w:t>
      </w:r>
    </w:p>
    <w:p w14:paraId="493665FB" w14:textId="56DF06C0" w:rsidR="00F110C2" w:rsidRPr="00792608" w:rsidRDefault="00792608" w:rsidP="00950E1C">
      <w:pPr>
        <w:spacing w:line="360" w:lineRule="auto"/>
        <w:jc w:val="both"/>
        <w:rPr>
          <w:rFonts w:ascii="Times New Roman" w:hAnsi="Times New Roman" w:cs="Times New Roman"/>
          <w:b/>
          <w:sz w:val="24"/>
          <w:szCs w:val="24"/>
        </w:rPr>
      </w:pPr>
      <w:r w:rsidRPr="00792608">
        <w:rPr>
          <w:rFonts w:ascii="Times New Roman" w:hAnsi="Times New Roman" w:cs="Times New Roman"/>
          <w:b/>
          <w:sz w:val="24"/>
          <w:szCs w:val="24"/>
        </w:rPr>
        <w:t>Methodology:</w:t>
      </w:r>
    </w:p>
    <w:p w14:paraId="333A0F7E" w14:textId="7952F951" w:rsidR="00F110C2" w:rsidRDefault="00FF72E7"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Family Health Survey (NFHS-5) that had taken place between 2019 and 2021, provides extensive information on menstrual hygiene practices among Indian women in the age group 15 to 24 years. This survey</w:t>
      </w:r>
      <w:r w:rsidR="005A6890">
        <w:rPr>
          <w:rFonts w:ascii="Times New Roman" w:hAnsi="Times New Roman" w:cs="Times New Roman"/>
          <w:sz w:val="24"/>
          <w:szCs w:val="24"/>
        </w:rPr>
        <w:t xml:space="preserve"> is </w:t>
      </w:r>
      <w:r>
        <w:rPr>
          <w:rFonts w:ascii="Times New Roman" w:hAnsi="Times New Roman" w:cs="Times New Roman"/>
          <w:sz w:val="24"/>
          <w:szCs w:val="24"/>
        </w:rPr>
        <w:t xml:space="preserve">supervised by the </w:t>
      </w:r>
      <w:r w:rsidR="005A6890">
        <w:rPr>
          <w:rFonts w:ascii="Times New Roman" w:hAnsi="Times New Roman" w:cs="Times New Roman"/>
          <w:sz w:val="24"/>
          <w:szCs w:val="24"/>
        </w:rPr>
        <w:t xml:space="preserve">Ministry of Health and Family Welfare and enforced by the International Institute for Population Sciences. A multi-stage stratified sampling design is employed to ensure national representiveness. Data collection involves structured questions as interview form, focusing on various health indicators inclusive of menstrual hygiene practices. In the background of menstrual hygiene, NFHS-5 accumulated data on the types of menstrual protection used by menstruating women aged 15 to 24 years. Respondents were asked about their utilization of sanitary pads, cloth, menstrual cups, tampons and locally prepared napkins. Such methods were classified into hygienic and unhygienic for analytical purposes. The former includes </w:t>
      </w:r>
      <w:r w:rsidR="005A6890" w:rsidRPr="005A6890">
        <w:rPr>
          <w:rFonts w:ascii="Times New Roman" w:hAnsi="Times New Roman" w:cs="Times New Roman"/>
          <w:sz w:val="24"/>
          <w:szCs w:val="24"/>
        </w:rPr>
        <w:t>sanitary pads, menstrual cups, tampons and locally prepared napkins</w:t>
      </w:r>
      <w:r w:rsidR="005A6890">
        <w:rPr>
          <w:rFonts w:ascii="Times New Roman" w:hAnsi="Times New Roman" w:cs="Times New Roman"/>
          <w:sz w:val="24"/>
          <w:szCs w:val="24"/>
        </w:rPr>
        <w:t xml:space="preserve">, whereas, the latter comprises of cloth or other materials. The findings of the survey </w:t>
      </w:r>
      <w:r w:rsidR="00792608">
        <w:rPr>
          <w:rFonts w:ascii="Times New Roman" w:hAnsi="Times New Roman" w:cs="Times New Roman"/>
          <w:sz w:val="24"/>
          <w:szCs w:val="24"/>
        </w:rPr>
        <w:t xml:space="preserve">reveal significant alterations in menstrual hygiene practices across diverse socio-demographic groups that highlight the impact of factors like wealth, education and residence </w:t>
      </w:r>
      <w:r w:rsidR="00792608">
        <w:rPr>
          <w:rFonts w:ascii="Times New Roman" w:hAnsi="Times New Roman" w:cs="Times New Roman"/>
          <w:sz w:val="24"/>
          <w:szCs w:val="24"/>
        </w:rPr>
        <w:lastRenderedPageBreak/>
        <w:t xml:space="preserve">on the hygienic method adoption. These insights highlight the need for targeted interventions for the improvement of menstrual hygiene awareness and accessibility, distinctly among rural and lower income populations. </w:t>
      </w:r>
    </w:p>
    <w:p w14:paraId="5BEDD8A7" w14:textId="3064662F" w:rsidR="00C260B4" w:rsidRPr="00D220D6" w:rsidRDefault="00AC3E08" w:rsidP="00950E1C">
      <w:pPr>
        <w:spacing w:line="360" w:lineRule="auto"/>
        <w:jc w:val="both"/>
        <w:rPr>
          <w:rFonts w:ascii="Times New Roman" w:hAnsi="Times New Roman" w:cs="Times New Roman"/>
          <w:b/>
          <w:sz w:val="24"/>
          <w:szCs w:val="24"/>
        </w:rPr>
      </w:pPr>
      <w:r w:rsidRPr="00D220D6">
        <w:rPr>
          <w:rFonts w:ascii="Times New Roman" w:hAnsi="Times New Roman" w:cs="Times New Roman"/>
          <w:b/>
          <w:sz w:val="24"/>
          <w:szCs w:val="24"/>
        </w:rPr>
        <w:t>Analysis:</w:t>
      </w:r>
    </w:p>
    <w:p w14:paraId="63F312F4" w14:textId="19D6F0F9" w:rsidR="00F110C2" w:rsidRDefault="00F110C2" w:rsidP="00950E1C">
      <w:pPr>
        <w:spacing w:line="360" w:lineRule="auto"/>
        <w:jc w:val="both"/>
        <w:rPr>
          <w:rFonts w:ascii="Times New Roman" w:hAnsi="Times New Roman" w:cs="Times New Roman"/>
          <w:sz w:val="24"/>
          <w:szCs w:val="24"/>
        </w:rPr>
      </w:pPr>
      <w:r w:rsidRPr="00F110C2">
        <w:rPr>
          <w:rFonts w:ascii="Times New Roman" w:hAnsi="Times New Roman" w:cs="Times New Roman"/>
          <w:sz w:val="24"/>
          <w:szCs w:val="24"/>
        </w:rPr>
        <w:t>The table is highlighted by the divergences in the menstrual health practices across age, location, education and wealth. The most common choice of hygienic methods is sanitary napkins, where women aged 15-19 transcends those aged 20-24yrs. According to the NFHS data, rural women show a lower usage of hygienic products (72.6%) compared to urban women (89.6%), which reflects better access to resources. Choices are influenced by both education and wealth significantly, with women, where women with lowest economic status or with no education depend heavily on clothes. On the other side, wealthier women who have pursued higher education are more into hygienic methods. This emphasizes the need for specific measures for the improvement of menstrual hygiene, especially among rural and lower-income backgrounds.</w:t>
      </w:r>
    </w:p>
    <w:tbl>
      <w:tblPr>
        <w:tblStyle w:val="TableGrid"/>
        <w:tblW w:w="0" w:type="auto"/>
        <w:tblLayout w:type="fixed"/>
        <w:tblLook w:val="04A0" w:firstRow="1" w:lastRow="0" w:firstColumn="1" w:lastColumn="0" w:noHBand="0" w:noVBand="1"/>
      </w:tblPr>
      <w:tblGrid>
        <w:gridCol w:w="704"/>
        <w:gridCol w:w="1276"/>
        <w:gridCol w:w="709"/>
        <w:gridCol w:w="850"/>
        <w:gridCol w:w="709"/>
        <w:gridCol w:w="850"/>
        <w:gridCol w:w="851"/>
        <w:gridCol w:w="567"/>
        <w:gridCol w:w="730"/>
        <w:gridCol w:w="814"/>
        <w:gridCol w:w="956"/>
      </w:tblGrid>
      <w:tr w:rsidR="00DD7FAC" w:rsidRPr="00DD7FAC" w14:paraId="28AB4B58" w14:textId="77777777" w:rsidTr="0030548B">
        <w:tc>
          <w:tcPr>
            <w:tcW w:w="9016" w:type="dxa"/>
            <w:gridSpan w:val="11"/>
          </w:tcPr>
          <w:p w14:paraId="5EF2EE4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TYPE OF MENSTRUAL PROTECTION</w:t>
            </w:r>
          </w:p>
        </w:tc>
      </w:tr>
      <w:tr w:rsidR="00DD7FAC" w:rsidRPr="00DD7FAC" w14:paraId="11FFC156" w14:textId="77777777" w:rsidTr="0030548B">
        <w:tc>
          <w:tcPr>
            <w:tcW w:w="1980" w:type="dxa"/>
            <w:gridSpan w:val="2"/>
          </w:tcPr>
          <w:p w14:paraId="4E7641FD"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MENSTRUAL CHARACTERISTICS</w:t>
            </w:r>
          </w:p>
        </w:tc>
        <w:tc>
          <w:tcPr>
            <w:tcW w:w="709" w:type="dxa"/>
          </w:tcPr>
          <w:p w14:paraId="29CE6AA4"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CLOTH</w:t>
            </w:r>
          </w:p>
        </w:tc>
        <w:tc>
          <w:tcPr>
            <w:tcW w:w="850" w:type="dxa"/>
          </w:tcPr>
          <w:p w14:paraId="6EDDE659"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LOCALLY PREPARED NAPKINS</w:t>
            </w:r>
          </w:p>
        </w:tc>
        <w:tc>
          <w:tcPr>
            <w:tcW w:w="709" w:type="dxa"/>
          </w:tcPr>
          <w:p w14:paraId="51DADD31"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SANITARY NAPKINS</w:t>
            </w:r>
          </w:p>
        </w:tc>
        <w:tc>
          <w:tcPr>
            <w:tcW w:w="850" w:type="dxa"/>
          </w:tcPr>
          <w:p w14:paraId="54647A30"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TAMPONS</w:t>
            </w:r>
          </w:p>
        </w:tc>
        <w:tc>
          <w:tcPr>
            <w:tcW w:w="851" w:type="dxa"/>
          </w:tcPr>
          <w:p w14:paraId="2DB07807"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MENSTRUAL CUP</w:t>
            </w:r>
          </w:p>
        </w:tc>
        <w:tc>
          <w:tcPr>
            <w:tcW w:w="567" w:type="dxa"/>
          </w:tcPr>
          <w:p w14:paraId="65F9704B"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OTHER</w:t>
            </w:r>
          </w:p>
        </w:tc>
        <w:tc>
          <w:tcPr>
            <w:tcW w:w="730" w:type="dxa"/>
          </w:tcPr>
          <w:p w14:paraId="2D55DF97"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NOTHING</w:t>
            </w:r>
          </w:p>
        </w:tc>
        <w:tc>
          <w:tcPr>
            <w:tcW w:w="814" w:type="dxa"/>
          </w:tcPr>
          <w:p w14:paraId="526F5E60"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NUMBER OF WOMEN</w:t>
            </w:r>
          </w:p>
        </w:tc>
        <w:tc>
          <w:tcPr>
            <w:tcW w:w="956" w:type="dxa"/>
          </w:tcPr>
          <w:p w14:paraId="15845D66" w14:textId="77777777" w:rsidR="00DD7FAC" w:rsidRPr="00DC1D13" w:rsidRDefault="00DD7FAC" w:rsidP="0030548B">
            <w:pPr>
              <w:jc w:val="center"/>
              <w:rPr>
                <w:rFonts w:ascii="Times New Roman" w:hAnsi="Times New Roman" w:cs="Times New Roman"/>
                <w:b/>
                <w:sz w:val="20"/>
                <w:szCs w:val="20"/>
              </w:rPr>
            </w:pPr>
            <w:r w:rsidRPr="00DC1D13">
              <w:rPr>
                <w:rFonts w:ascii="Times New Roman" w:hAnsi="Times New Roman" w:cs="Times New Roman"/>
                <w:b/>
                <w:sz w:val="20"/>
                <w:szCs w:val="20"/>
              </w:rPr>
              <w:t>PERCENTAGE USING A HYGIENIC METHOD</w:t>
            </w:r>
          </w:p>
        </w:tc>
      </w:tr>
      <w:tr w:rsidR="00DD7FAC" w:rsidRPr="00DD7FAC" w14:paraId="28DF96DE" w14:textId="77777777" w:rsidTr="008411B9">
        <w:trPr>
          <w:trHeight w:val="231"/>
        </w:trPr>
        <w:tc>
          <w:tcPr>
            <w:tcW w:w="704" w:type="dxa"/>
            <w:vMerge w:val="restart"/>
          </w:tcPr>
          <w:p w14:paraId="1BA8CB5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AGE</w:t>
            </w:r>
          </w:p>
        </w:tc>
        <w:tc>
          <w:tcPr>
            <w:tcW w:w="1276" w:type="dxa"/>
            <w:vMerge w:val="restart"/>
          </w:tcPr>
          <w:p w14:paraId="358CE2C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15-19</w:t>
            </w:r>
          </w:p>
          <w:p w14:paraId="78E4CBE6" w14:textId="77777777" w:rsidR="00DD7FAC" w:rsidRPr="00DC1D13" w:rsidRDefault="00DD7FAC" w:rsidP="008411B9">
            <w:pPr>
              <w:rPr>
                <w:rFonts w:ascii="Times New Roman" w:hAnsi="Times New Roman" w:cs="Times New Roman"/>
                <w:sz w:val="20"/>
                <w:szCs w:val="20"/>
              </w:rPr>
            </w:pPr>
            <w:r w:rsidRPr="00DC1D13">
              <w:rPr>
                <w:rFonts w:ascii="Times New Roman" w:hAnsi="Times New Roman" w:cs="Times New Roman"/>
                <w:sz w:val="20"/>
                <w:szCs w:val="20"/>
              </w:rPr>
              <w:t>20-24</w:t>
            </w:r>
          </w:p>
        </w:tc>
        <w:tc>
          <w:tcPr>
            <w:tcW w:w="709" w:type="dxa"/>
          </w:tcPr>
          <w:p w14:paraId="7C6F2E1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49.3</w:t>
            </w:r>
          </w:p>
        </w:tc>
        <w:tc>
          <w:tcPr>
            <w:tcW w:w="850" w:type="dxa"/>
          </w:tcPr>
          <w:p w14:paraId="5047113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15.2</w:t>
            </w:r>
          </w:p>
        </w:tc>
        <w:tc>
          <w:tcPr>
            <w:tcW w:w="709" w:type="dxa"/>
          </w:tcPr>
          <w:p w14:paraId="516CA9D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64.5</w:t>
            </w:r>
          </w:p>
        </w:tc>
        <w:tc>
          <w:tcPr>
            <w:tcW w:w="850" w:type="dxa"/>
          </w:tcPr>
          <w:p w14:paraId="50BBCFA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w:t>
            </w:r>
          </w:p>
        </w:tc>
        <w:tc>
          <w:tcPr>
            <w:tcW w:w="851" w:type="dxa"/>
          </w:tcPr>
          <w:p w14:paraId="5019345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tc>
        <w:tc>
          <w:tcPr>
            <w:tcW w:w="567" w:type="dxa"/>
          </w:tcPr>
          <w:p w14:paraId="71FAF50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4397098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814" w:type="dxa"/>
          </w:tcPr>
          <w:p w14:paraId="1456316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1,21,803</w:t>
            </w:r>
          </w:p>
        </w:tc>
        <w:tc>
          <w:tcPr>
            <w:tcW w:w="956" w:type="dxa"/>
          </w:tcPr>
          <w:p w14:paraId="49B110D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78.0</w:t>
            </w:r>
          </w:p>
        </w:tc>
      </w:tr>
      <w:tr w:rsidR="00DD7FAC" w:rsidRPr="00DD7FAC" w14:paraId="27F5E634" w14:textId="77777777" w:rsidTr="008411B9">
        <w:trPr>
          <w:trHeight w:val="333"/>
        </w:trPr>
        <w:tc>
          <w:tcPr>
            <w:tcW w:w="704" w:type="dxa"/>
            <w:vMerge/>
          </w:tcPr>
          <w:p w14:paraId="24AB942C" w14:textId="77777777" w:rsidR="00DD7FAC" w:rsidRPr="00DC1D13" w:rsidRDefault="00DD7FAC" w:rsidP="0030548B">
            <w:pPr>
              <w:jc w:val="center"/>
              <w:rPr>
                <w:rFonts w:ascii="Times New Roman" w:hAnsi="Times New Roman" w:cs="Times New Roman"/>
                <w:sz w:val="20"/>
                <w:szCs w:val="20"/>
              </w:rPr>
            </w:pPr>
          </w:p>
        </w:tc>
        <w:tc>
          <w:tcPr>
            <w:tcW w:w="1276" w:type="dxa"/>
            <w:vMerge/>
          </w:tcPr>
          <w:p w14:paraId="6560276F" w14:textId="77777777" w:rsidR="00DD7FAC" w:rsidRPr="00DC1D13" w:rsidRDefault="00DD7FAC" w:rsidP="0030548B">
            <w:pPr>
              <w:jc w:val="center"/>
              <w:rPr>
                <w:rFonts w:ascii="Times New Roman" w:hAnsi="Times New Roman" w:cs="Times New Roman"/>
                <w:sz w:val="20"/>
                <w:szCs w:val="20"/>
              </w:rPr>
            </w:pPr>
          </w:p>
        </w:tc>
        <w:tc>
          <w:tcPr>
            <w:tcW w:w="709" w:type="dxa"/>
          </w:tcPr>
          <w:p w14:paraId="34D5CA2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50.0</w:t>
            </w:r>
          </w:p>
        </w:tc>
        <w:tc>
          <w:tcPr>
            <w:tcW w:w="850" w:type="dxa"/>
          </w:tcPr>
          <w:p w14:paraId="08B92B8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14.7</w:t>
            </w:r>
          </w:p>
        </w:tc>
        <w:tc>
          <w:tcPr>
            <w:tcW w:w="709" w:type="dxa"/>
          </w:tcPr>
          <w:p w14:paraId="42C7F9C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64.2</w:t>
            </w:r>
          </w:p>
        </w:tc>
        <w:tc>
          <w:tcPr>
            <w:tcW w:w="850" w:type="dxa"/>
          </w:tcPr>
          <w:p w14:paraId="0CC69E1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w:t>
            </w:r>
          </w:p>
        </w:tc>
        <w:tc>
          <w:tcPr>
            <w:tcW w:w="851" w:type="dxa"/>
          </w:tcPr>
          <w:p w14:paraId="3AAC8F4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tc>
        <w:tc>
          <w:tcPr>
            <w:tcW w:w="567" w:type="dxa"/>
          </w:tcPr>
          <w:p w14:paraId="09029C3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442F037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814" w:type="dxa"/>
          </w:tcPr>
          <w:p w14:paraId="5AA54CF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1,19,309</w:t>
            </w:r>
          </w:p>
        </w:tc>
        <w:tc>
          <w:tcPr>
            <w:tcW w:w="956" w:type="dxa"/>
          </w:tcPr>
          <w:p w14:paraId="1285896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77.2</w:t>
            </w:r>
          </w:p>
        </w:tc>
      </w:tr>
      <w:tr w:rsidR="00DD7FAC" w:rsidRPr="00DD7FAC" w14:paraId="667388B7" w14:textId="77777777" w:rsidTr="008411B9">
        <w:trPr>
          <w:trHeight w:val="293"/>
        </w:trPr>
        <w:tc>
          <w:tcPr>
            <w:tcW w:w="704" w:type="dxa"/>
            <w:vMerge w:val="restart"/>
          </w:tcPr>
          <w:p w14:paraId="1F8D16E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PLACE</w:t>
            </w:r>
          </w:p>
        </w:tc>
        <w:tc>
          <w:tcPr>
            <w:tcW w:w="1276" w:type="dxa"/>
            <w:vMerge w:val="restart"/>
          </w:tcPr>
          <w:p w14:paraId="02B5919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URBAN</w:t>
            </w:r>
          </w:p>
          <w:p w14:paraId="0A9EFB44" w14:textId="77777777" w:rsidR="008411B9" w:rsidRPr="00DC1D13" w:rsidRDefault="008411B9" w:rsidP="0030548B">
            <w:pPr>
              <w:jc w:val="center"/>
              <w:rPr>
                <w:rFonts w:ascii="Times New Roman" w:hAnsi="Times New Roman" w:cs="Times New Roman"/>
                <w:sz w:val="20"/>
                <w:szCs w:val="20"/>
              </w:rPr>
            </w:pPr>
          </w:p>
          <w:p w14:paraId="101A160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RURAL</w:t>
            </w:r>
          </w:p>
        </w:tc>
        <w:tc>
          <w:tcPr>
            <w:tcW w:w="709" w:type="dxa"/>
          </w:tcPr>
          <w:p w14:paraId="53CBEF7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31.5</w:t>
            </w:r>
          </w:p>
        </w:tc>
        <w:tc>
          <w:tcPr>
            <w:tcW w:w="850" w:type="dxa"/>
          </w:tcPr>
          <w:p w14:paraId="51AE662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14.1</w:t>
            </w:r>
          </w:p>
        </w:tc>
        <w:tc>
          <w:tcPr>
            <w:tcW w:w="709" w:type="dxa"/>
          </w:tcPr>
          <w:p w14:paraId="2A91FE6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77.5</w:t>
            </w:r>
          </w:p>
        </w:tc>
        <w:tc>
          <w:tcPr>
            <w:tcW w:w="850" w:type="dxa"/>
          </w:tcPr>
          <w:p w14:paraId="3DDA52A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1.8</w:t>
            </w:r>
          </w:p>
        </w:tc>
        <w:tc>
          <w:tcPr>
            <w:tcW w:w="851" w:type="dxa"/>
          </w:tcPr>
          <w:p w14:paraId="7BA2575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0.5</w:t>
            </w:r>
          </w:p>
        </w:tc>
        <w:tc>
          <w:tcPr>
            <w:tcW w:w="567" w:type="dxa"/>
          </w:tcPr>
          <w:p w14:paraId="1DFE848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482FA8C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tc>
        <w:tc>
          <w:tcPr>
            <w:tcW w:w="814" w:type="dxa"/>
          </w:tcPr>
          <w:p w14:paraId="676AC3C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70,941</w:t>
            </w:r>
          </w:p>
        </w:tc>
        <w:tc>
          <w:tcPr>
            <w:tcW w:w="956" w:type="dxa"/>
          </w:tcPr>
          <w:p w14:paraId="05E6130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89.6</w:t>
            </w:r>
          </w:p>
        </w:tc>
      </w:tr>
      <w:tr w:rsidR="00DD7FAC" w:rsidRPr="00DD7FAC" w14:paraId="7A5B8D20" w14:textId="77777777" w:rsidTr="008411B9">
        <w:trPr>
          <w:trHeight w:val="305"/>
        </w:trPr>
        <w:tc>
          <w:tcPr>
            <w:tcW w:w="704" w:type="dxa"/>
            <w:vMerge/>
          </w:tcPr>
          <w:p w14:paraId="7950CAA4" w14:textId="77777777" w:rsidR="00DD7FAC" w:rsidRPr="00DC1D13" w:rsidRDefault="00DD7FAC" w:rsidP="0030548B">
            <w:pPr>
              <w:jc w:val="center"/>
              <w:rPr>
                <w:rFonts w:ascii="Times New Roman" w:hAnsi="Times New Roman" w:cs="Times New Roman"/>
                <w:sz w:val="20"/>
                <w:szCs w:val="20"/>
              </w:rPr>
            </w:pPr>
          </w:p>
        </w:tc>
        <w:tc>
          <w:tcPr>
            <w:tcW w:w="1276" w:type="dxa"/>
            <w:vMerge/>
          </w:tcPr>
          <w:p w14:paraId="2B7AE094" w14:textId="77777777" w:rsidR="00DD7FAC" w:rsidRPr="00DC1D13" w:rsidRDefault="00DD7FAC" w:rsidP="0030548B">
            <w:pPr>
              <w:jc w:val="center"/>
              <w:rPr>
                <w:rFonts w:ascii="Times New Roman" w:hAnsi="Times New Roman" w:cs="Times New Roman"/>
                <w:sz w:val="20"/>
                <w:szCs w:val="20"/>
              </w:rPr>
            </w:pPr>
          </w:p>
        </w:tc>
        <w:tc>
          <w:tcPr>
            <w:tcW w:w="709" w:type="dxa"/>
          </w:tcPr>
          <w:p w14:paraId="24064FE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57.2</w:t>
            </w:r>
          </w:p>
        </w:tc>
        <w:tc>
          <w:tcPr>
            <w:tcW w:w="850" w:type="dxa"/>
          </w:tcPr>
          <w:p w14:paraId="21351FD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15.3</w:t>
            </w:r>
          </w:p>
        </w:tc>
        <w:tc>
          <w:tcPr>
            <w:tcW w:w="709" w:type="dxa"/>
          </w:tcPr>
          <w:p w14:paraId="0E139F2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58.9</w:t>
            </w:r>
          </w:p>
        </w:tc>
        <w:tc>
          <w:tcPr>
            <w:tcW w:w="850" w:type="dxa"/>
          </w:tcPr>
          <w:p w14:paraId="21CC598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w:t>
            </w:r>
          </w:p>
        </w:tc>
        <w:tc>
          <w:tcPr>
            <w:tcW w:w="851" w:type="dxa"/>
          </w:tcPr>
          <w:p w14:paraId="379468A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567" w:type="dxa"/>
          </w:tcPr>
          <w:p w14:paraId="537F1D1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4E8AE59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tc>
        <w:tc>
          <w:tcPr>
            <w:tcW w:w="814" w:type="dxa"/>
          </w:tcPr>
          <w:p w14:paraId="41960E6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1,70,171</w:t>
            </w:r>
          </w:p>
        </w:tc>
        <w:tc>
          <w:tcPr>
            <w:tcW w:w="956" w:type="dxa"/>
          </w:tcPr>
          <w:p w14:paraId="34B40CC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72.6</w:t>
            </w:r>
          </w:p>
        </w:tc>
      </w:tr>
      <w:tr w:rsidR="00DD7FAC" w:rsidRPr="00DD7FAC" w14:paraId="3484D3C7" w14:textId="77777777" w:rsidTr="008411B9">
        <w:tc>
          <w:tcPr>
            <w:tcW w:w="704" w:type="dxa"/>
          </w:tcPr>
          <w:p w14:paraId="25420C7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EDUCATION</w:t>
            </w:r>
          </w:p>
        </w:tc>
        <w:tc>
          <w:tcPr>
            <w:tcW w:w="1276" w:type="dxa"/>
          </w:tcPr>
          <w:p w14:paraId="71E53D9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NO SCHOOLING</w:t>
            </w:r>
          </w:p>
          <w:p w14:paraId="0277EC0D" w14:textId="77777777" w:rsidR="00DD7FAC" w:rsidRPr="00DC1D13" w:rsidRDefault="00E705B6" w:rsidP="0030548B">
            <w:pPr>
              <w:jc w:val="center"/>
              <w:rPr>
                <w:rFonts w:ascii="Times New Roman" w:hAnsi="Times New Roman" w:cs="Times New Roman"/>
                <w:sz w:val="20"/>
                <w:szCs w:val="20"/>
              </w:rPr>
            </w:pPr>
            <w:r w:rsidRPr="00DC1D13">
              <w:rPr>
                <w:rFonts w:ascii="Times New Roman" w:hAnsi="Times New Roman" w:cs="Times New Roman"/>
                <w:sz w:val="20"/>
                <w:szCs w:val="20"/>
              </w:rPr>
              <w:t>&lt;5 Y</w:t>
            </w:r>
            <w:r w:rsidR="00DD7FAC" w:rsidRPr="00DC1D13">
              <w:rPr>
                <w:rFonts w:ascii="Times New Roman" w:hAnsi="Times New Roman" w:cs="Times New Roman"/>
                <w:sz w:val="20"/>
                <w:szCs w:val="20"/>
              </w:rPr>
              <w:t>RS</w:t>
            </w:r>
          </w:p>
          <w:p w14:paraId="4DA75250" w14:textId="77777777" w:rsidR="00DD7FAC" w:rsidRPr="00DC1D13" w:rsidRDefault="00E705B6" w:rsidP="0030548B">
            <w:pPr>
              <w:jc w:val="center"/>
              <w:rPr>
                <w:rFonts w:ascii="Times New Roman" w:hAnsi="Times New Roman" w:cs="Times New Roman"/>
                <w:sz w:val="20"/>
                <w:szCs w:val="20"/>
              </w:rPr>
            </w:pPr>
            <w:r w:rsidRPr="00DC1D13">
              <w:rPr>
                <w:rFonts w:ascii="Times New Roman" w:hAnsi="Times New Roman" w:cs="Times New Roman"/>
                <w:sz w:val="20"/>
                <w:szCs w:val="20"/>
              </w:rPr>
              <w:t>5-7 Y</w:t>
            </w:r>
            <w:r w:rsidR="00DD7FAC" w:rsidRPr="00DC1D13">
              <w:rPr>
                <w:rFonts w:ascii="Times New Roman" w:hAnsi="Times New Roman" w:cs="Times New Roman"/>
                <w:sz w:val="20"/>
                <w:szCs w:val="20"/>
              </w:rPr>
              <w:t>RS</w:t>
            </w:r>
          </w:p>
          <w:p w14:paraId="270DAB9F" w14:textId="77777777" w:rsidR="00DD7FAC" w:rsidRPr="00DC1D13" w:rsidRDefault="00E705B6" w:rsidP="0030548B">
            <w:pPr>
              <w:jc w:val="center"/>
              <w:rPr>
                <w:rFonts w:ascii="Times New Roman" w:hAnsi="Times New Roman" w:cs="Times New Roman"/>
                <w:sz w:val="20"/>
                <w:szCs w:val="20"/>
              </w:rPr>
            </w:pPr>
            <w:r w:rsidRPr="00DC1D13">
              <w:rPr>
                <w:rFonts w:ascii="Times New Roman" w:hAnsi="Times New Roman" w:cs="Times New Roman"/>
                <w:sz w:val="20"/>
                <w:szCs w:val="20"/>
              </w:rPr>
              <w:t>8-9 Y</w:t>
            </w:r>
            <w:r w:rsidR="00DD7FAC" w:rsidRPr="00DC1D13">
              <w:rPr>
                <w:rFonts w:ascii="Times New Roman" w:hAnsi="Times New Roman" w:cs="Times New Roman"/>
                <w:sz w:val="20"/>
                <w:szCs w:val="20"/>
              </w:rPr>
              <w:t>RS</w:t>
            </w:r>
          </w:p>
          <w:p w14:paraId="527DB419" w14:textId="77777777" w:rsidR="00DD7FAC" w:rsidRPr="00DC1D13" w:rsidRDefault="00E705B6" w:rsidP="0030548B">
            <w:pPr>
              <w:jc w:val="center"/>
              <w:rPr>
                <w:rFonts w:ascii="Times New Roman" w:hAnsi="Times New Roman" w:cs="Times New Roman"/>
                <w:sz w:val="20"/>
                <w:szCs w:val="20"/>
              </w:rPr>
            </w:pPr>
            <w:r w:rsidRPr="00DC1D13">
              <w:rPr>
                <w:rFonts w:ascii="Times New Roman" w:hAnsi="Times New Roman" w:cs="Times New Roman"/>
                <w:sz w:val="20"/>
                <w:szCs w:val="20"/>
              </w:rPr>
              <w:t>10-11 Y</w:t>
            </w:r>
            <w:r w:rsidR="00DD7FAC" w:rsidRPr="00DC1D13">
              <w:rPr>
                <w:rFonts w:ascii="Times New Roman" w:hAnsi="Times New Roman" w:cs="Times New Roman"/>
                <w:sz w:val="20"/>
                <w:szCs w:val="20"/>
              </w:rPr>
              <w:t>RS</w:t>
            </w:r>
          </w:p>
          <w:p w14:paraId="3B730BE8" w14:textId="77777777" w:rsidR="00DD7FAC" w:rsidRPr="00DC1D13" w:rsidRDefault="00E705B6" w:rsidP="0030548B">
            <w:pPr>
              <w:jc w:val="center"/>
              <w:rPr>
                <w:rFonts w:ascii="Times New Roman" w:hAnsi="Times New Roman" w:cs="Times New Roman"/>
                <w:sz w:val="20"/>
                <w:szCs w:val="20"/>
              </w:rPr>
            </w:pPr>
            <w:r w:rsidRPr="00DC1D13">
              <w:rPr>
                <w:rFonts w:ascii="Times New Roman" w:hAnsi="Times New Roman" w:cs="Times New Roman"/>
                <w:sz w:val="20"/>
                <w:szCs w:val="20"/>
              </w:rPr>
              <w:t>&gt;12 Y</w:t>
            </w:r>
            <w:r w:rsidR="00DD7FAC" w:rsidRPr="00DC1D13">
              <w:rPr>
                <w:rFonts w:ascii="Times New Roman" w:hAnsi="Times New Roman" w:cs="Times New Roman"/>
                <w:sz w:val="20"/>
                <w:szCs w:val="20"/>
              </w:rPr>
              <w:t>RS</w:t>
            </w:r>
          </w:p>
          <w:p w14:paraId="479CA18A" w14:textId="77777777" w:rsidR="00DD7FAC" w:rsidRPr="00DC1D13" w:rsidRDefault="00DD7FAC" w:rsidP="0030548B">
            <w:pPr>
              <w:jc w:val="center"/>
              <w:rPr>
                <w:rFonts w:ascii="Times New Roman" w:hAnsi="Times New Roman" w:cs="Times New Roman"/>
                <w:sz w:val="20"/>
                <w:szCs w:val="20"/>
              </w:rPr>
            </w:pPr>
          </w:p>
        </w:tc>
        <w:tc>
          <w:tcPr>
            <w:tcW w:w="709" w:type="dxa"/>
          </w:tcPr>
          <w:p w14:paraId="5EEE184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80.0</w:t>
            </w:r>
          </w:p>
          <w:p w14:paraId="6F2734C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73.7</w:t>
            </w:r>
          </w:p>
          <w:p w14:paraId="4E20012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69.0</w:t>
            </w:r>
          </w:p>
          <w:p w14:paraId="3CD9B0D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57.8</w:t>
            </w:r>
          </w:p>
          <w:p w14:paraId="06627A0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43.3</w:t>
            </w:r>
          </w:p>
          <w:p w14:paraId="0AF1434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35.2</w:t>
            </w:r>
          </w:p>
        </w:tc>
        <w:tc>
          <w:tcPr>
            <w:tcW w:w="850" w:type="dxa"/>
          </w:tcPr>
          <w:p w14:paraId="64AECC9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11.0</w:t>
            </w:r>
          </w:p>
          <w:p w14:paraId="20EC8A5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11.6</w:t>
            </w:r>
          </w:p>
          <w:p w14:paraId="2D84D7C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13.5</w:t>
            </w:r>
          </w:p>
          <w:p w14:paraId="5C566D1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14.4</w:t>
            </w:r>
          </w:p>
          <w:p w14:paraId="7AA3107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16.3</w:t>
            </w:r>
          </w:p>
          <w:p w14:paraId="5CBBCFF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15.9</w:t>
            </w:r>
          </w:p>
        </w:tc>
        <w:tc>
          <w:tcPr>
            <w:tcW w:w="709" w:type="dxa"/>
          </w:tcPr>
          <w:p w14:paraId="2C271B9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32.6</w:t>
            </w:r>
          </w:p>
          <w:p w14:paraId="735B35C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40.3</w:t>
            </w:r>
          </w:p>
          <w:p w14:paraId="0D2B8BD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46.8</w:t>
            </w:r>
          </w:p>
          <w:p w14:paraId="5AA0312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58.7</w:t>
            </w:r>
          </w:p>
          <w:p w14:paraId="4E8BCAD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70.7</w:t>
            </w:r>
          </w:p>
          <w:p w14:paraId="63F2649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76.8</w:t>
            </w:r>
          </w:p>
        </w:tc>
        <w:tc>
          <w:tcPr>
            <w:tcW w:w="850" w:type="dxa"/>
          </w:tcPr>
          <w:p w14:paraId="650ABD3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1.1</w:t>
            </w:r>
          </w:p>
          <w:p w14:paraId="6808D8B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1.1</w:t>
            </w:r>
          </w:p>
          <w:p w14:paraId="366DDA9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1.3</w:t>
            </w:r>
          </w:p>
          <w:p w14:paraId="2F688A7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w:t>
            </w:r>
          </w:p>
          <w:p w14:paraId="58957B8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w:t>
            </w:r>
          </w:p>
          <w:p w14:paraId="79B0EAF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1.9</w:t>
            </w:r>
          </w:p>
        </w:tc>
        <w:tc>
          <w:tcPr>
            <w:tcW w:w="851" w:type="dxa"/>
          </w:tcPr>
          <w:p w14:paraId="1334034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p w14:paraId="4D6E1E3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p w14:paraId="148B28D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39AB4ED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p w14:paraId="7BFBB26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0.4</w:t>
            </w:r>
          </w:p>
          <w:p w14:paraId="01F799F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0.4</w:t>
            </w:r>
          </w:p>
        </w:tc>
        <w:tc>
          <w:tcPr>
            <w:tcW w:w="567" w:type="dxa"/>
          </w:tcPr>
          <w:p w14:paraId="12D996E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407E17E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40679B1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61B56E3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0852EC6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704522B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275259E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1.2</w:t>
            </w:r>
          </w:p>
          <w:p w14:paraId="1D505B2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0.6</w:t>
            </w:r>
          </w:p>
          <w:p w14:paraId="2EC48A6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0.4</w:t>
            </w:r>
          </w:p>
          <w:p w14:paraId="44FF737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16FD0CA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p w14:paraId="04DAF82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tc>
        <w:tc>
          <w:tcPr>
            <w:tcW w:w="814" w:type="dxa"/>
          </w:tcPr>
          <w:p w14:paraId="5F6F8ED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15,833</w:t>
            </w:r>
          </w:p>
          <w:p w14:paraId="55C7CCA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5501</w:t>
            </w:r>
          </w:p>
          <w:p w14:paraId="6D03413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22,820</w:t>
            </w:r>
          </w:p>
          <w:p w14:paraId="30E9C24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59,189</w:t>
            </w:r>
          </w:p>
          <w:p w14:paraId="12D016C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55,504</w:t>
            </w:r>
          </w:p>
          <w:p w14:paraId="5405E3F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82,265</w:t>
            </w:r>
          </w:p>
        </w:tc>
        <w:tc>
          <w:tcPr>
            <w:tcW w:w="956" w:type="dxa"/>
          </w:tcPr>
          <w:p w14:paraId="0106A21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43.5</w:t>
            </w:r>
          </w:p>
          <w:p w14:paraId="76852AC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51.3</w:t>
            </w:r>
          </w:p>
          <w:p w14:paraId="6DC675F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59.4</w:t>
            </w:r>
          </w:p>
          <w:p w14:paraId="71A7BB1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71.9</w:t>
            </w:r>
          </w:p>
          <w:p w14:paraId="4AC0B2F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84.7</w:t>
            </w:r>
          </w:p>
          <w:p w14:paraId="5D9EEA0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90.3</w:t>
            </w:r>
          </w:p>
        </w:tc>
      </w:tr>
      <w:tr w:rsidR="00DD7FAC" w:rsidRPr="00DD7FAC" w14:paraId="62165B20" w14:textId="77777777" w:rsidTr="008411B9">
        <w:trPr>
          <w:trHeight w:val="1089"/>
        </w:trPr>
        <w:tc>
          <w:tcPr>
            <w:tcW w:w="704" w:type="dxa"/>
          </w:tcPr>
          <w:p w14:paraId="66BD4CD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WEALTH QUINTILE</w:t>
            </w:r>
          </w:p>
        </w:tc>
        <w:tc>
          <w:tcPr>
            <w:tcW w:w="1276" w:type="dxa"/>
          </w:tcPr>
          <w:p w14:paraId="07399BE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LOWEST</w:t>
            </w:r>
          </w:p>
          <w:p w14:paraId="481E2DC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SECOND</w:t>
            </w:r>
          </w:p>
          <w:p w14:paraId="48CE1A3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MIDDLE</w:t>
            </w:r>
          </w:p>
          <w:p w14:paraId="25D1307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FOURTH</w:t>
            </w:r>
          </w:p>
          <w:p w14:paraId="653CEF5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HIGHEST</w:t>
            </w:r>
          </w:p>
        </w:tc>
        <w:tc>
          <w:tcPr>
            <w:tcW w:w="709" w:type="dxa"/>
          </w:tcPr>
          <w:p w14:paraId="6DB6B99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74.4</w:t>
            </w:r>
          </w:p>
          <w:p w14:paraId="15FABFA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61.9</w:t>
            </w:r>
          </w:p>
          <w:p w14:paraId="4F9755C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47.6</w:t>
            </w:r>
          </w:p>
          <w:p w14:paraId="7BC3045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36.3</w:t>
            </w:r>
          </w:p>
          <w:p w14:paraId="038A754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22.8</w:t>
            </w:r>
          </w:p>
        </w:tc>
        <w:tc>
          <w:tcPr>
            <w:tcW w:w="850" w:type="dxa"/>
          </w:tcPr>
          <w:p w14:paraId="71C18EB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12.0</w:t>
            </w:r>
          </w:p>
          <w:p w14:paraId="298BDFB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15.3</w:t>
            </w:r>
          </w:p>
          <w:p w14:paraId="76131B6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16.3</w:t>
            </w:r>
          </w:p>
          <w:p w14:paraId="560FB5D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16.3</w:t>
            </w:r>
          </w:p>
          <w:p w14:paraId="33BF7DD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14.8</w:t>
            </w:r>
          </w:p>
        </w:tc>
        <w:tc>
          <w:tcPr>
            <w:tcW w:w="709" w:type="dxa"/>
          </w:tcPr>
          <w:p w14:paraId="544AF280"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41.7</w:t>
            </w:r>
          </w:p>
          <w:p w14:paraId="5A45F31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56.8</w:t>
            </w:r>
          </w:p>
          <w:p w14:paraId="488B83F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68.0</w:t>
            </w:r>
          </w:p>
          <w:p w14:paraId="2B53311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75.6</w:t>
            </w:r>
          </w:p>
          <w:p w14:paraId="318F115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83.1</w:t>
            </w:r>
          </w:p>
        </w:tc>
        <w:tc>
          <w:tcPr>
            <w:tcW w:w="850" w:type="dxa"/>
          </w:tcPr>
          <w:p w14:paraId="5898926A"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1.4</w:t>
            </w:r>
          </w:p>
          <w:p w14:paraId="7035D09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w:t>
            </w:r>
          </w:p>
          <w:p w14:paraId="5B90E44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1.6</w:t>
            </w:r>
          </w:p>
          <w:p w14:paraId="6092A8D9"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1.9</w:t>
            </w:r>
          </w:p>
          <w:p w14:paraId="75646EF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1.7</w:t>
            </w:r>
          </w:p>
        </w:tc>
        <w:tc>
          <w:tcPr>
            <w:tcW w:w="851" w:type="dxa"/>
          </w:tcPr>
          <w:p w14:paraId="2902B7CE"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68520FD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2F37435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761F20F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p w14:paraId="2340A50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0.5</w:t>
            </w:r>
          </w:p>
        </w:tc>
        <w:tc>
          <w:tcPr>
            <w:tcW w:w="567" w:type="dxa"/>
          </w:tcPr>
          <w:p w14:paraId="0208F7B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2D13AAA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6685AE17"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3174A3C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p w14:paraId="62BB4FE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0.2</w:t>
            </w:r>
          </w:p>
        </w:tc>
        <w:tc>
          <w:tcPr>
            <w:tcW w:w="730" w:type="dxa"/>
          </w:tcPr>
          <w:p w14:paraId="46F4FF2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0.5</w:t>
            </w:r>
          </w:p>
          <w:p w14:paraId="3FED316B"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0.3</w:t>
            </w:r>
          </w:p>
          <w:p w14:paraId="098D9CD5"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p w14:paraId="18C64B62"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0.1</w:t>
            </w:r>
          </w:p>
          <w:p w14:paraId="0A46A454"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0.0</w:t>
            </w:r>
          </w:p>
        </w:tc>
        <w:tc>
          <w:tcPr>
            <w:tcW w:w="814" w:type="dxa"/>
          </w:tcPr>
          <w:p w14:paraId="531AE70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48,401</w:t>
            </w:r>
          </w:p>
          <w:p w14:paraId="4A1EFB4C"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52,523</w:t>
            </w:r>
          </w:p>
          <w:p w14:paraId="219B6C13"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50,656</w:t>
            </w:r>
          </w:p>
          <w:p w14:paraId="628DEA1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48,328</w:t>
            </w:r>
          </w:p>
          <w:p w14:paraId="795A88B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41,204</w:t>
            </w:r>
          </w:p>
        </w:tc>
        <w:tc>
          <w:tcPr>
            <w:tcW w:w="956" w:type="dxa"/>
          </w:tcPr>
          <w:p w14:paraId="213BA0D6"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53.6</w:t>
            </w:r>
          </w:p>
          <w:p w14:paraId="0795E8D1"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71.1</w:t>
            </w:r>
          </w:p>
          <w:p w14:paraId="1D1160CF"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82.1</w:t>
            </w:r>
          </w:p>
          <w:p w14:paraId="3EBBB898"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89.0</w:t>
            </w:r>
          </w:p>
          <w:p w14:paraId="42A57F6D" w14:textId="77777777" w:rsidR="00DD7FAC" w:rsidRPr="00DC1D13" w:rsidRDefault="00DD7FAC" w:rsidP="0030548B">
            <w:pPr>
              <w:jc w:val="center"/>
              <w:rPr>
                <w:rFonts w:ascii="Times New Roman" w:hAnsi="Times New Roman" w:cs="Times New Roman"/>
                <w:sz w:val="20"/>
                <w:szCs w:val="20"/>
              </w:rPr>
            </w:pPr>
            <w:r w:rsidRPr="00DC1D13">
              <w:rPr>
                <w:rFonts w:ascii="Times New Roman" w:hAnsi="Times New Roman" w:cs="Times New Roman"/>
                <w:sz w:val="20"/>
                <w:szCs w:val="20"/>
              </w:rPr>
              <w:t>95.1</w:t>
            </w:r>
          </w:p>
        </w:tc>
      </w:tr>
    </w:tbl>
    <w:p w14:paraId="0EB2D55C" w14:textId="5D58EF0F" w:rsidR="00DD7FAC" w:rsidRPr="00D220D6" w:rsidRDefault="00DD7FAC" w:rsidP="00950E1C">
      <w:pPr>
        <w:spacing w:line="360" w:lineRule="auto"/>
        <w:jc w:val="both"/>
        <w:rPr>
          <w:rFonts w:ascii="Times New Roman" w:hAnsi="Times New Roman" w:cs="Times New Roman"/>
          <w:b/>
          <w:sz w:val="24"/>
          <w:szCs w:val="24"/>
        </w:rPr>
      </w:pPr>
      <w:r w:rsidRPr="00D220D6">
        <w:rPr>
          <w:rFonts w:ascii="Times New Roman" w:hAnsi="Times New Roman" w:cs="Times New Roman"/>
          <w:b/>
          <w:sz w:val="24"/>
          <w:szCs w:val="24"/>
        </w:rPr>
        <w:lastRenderedPageBreak/>
        <w:t xml:space="preserve">TABLE 1: </w:t>
      </w:r>
      <w:r w:rsidR="00435AA2" w:rsidRPr="00D220D6">
        <w:rPr>
          <w:rFonts w:ascii="Times New Roman" w:hAnsi="Times New Roman" w:cs="Times New Roman"/>
          <w:b/>
          <w:sz w:val="24"/>
          <w:szCs w:val="24"/>
        </w:rPr>
        <w:t>The percentage distribution of women aged 15-24 who have experienced menstruation, categorized by the type of menstrual protection they use and their background characteristics in India (2019-</w:t>
      </w:r>
      <w:r w:rsidR="00D220D6" w:rsidRPr="00D220D6">
        <w:rPr>
          <w:rFonts w:ascii="Times New Roman" w:hAnsi="Times New Roman" w:cs="Times New Roman"/>
          <w:b/>
          <w:sz w:val="24"/>
          <w:szCs w:val="24"/>
        </w:rPr>
        <w:t>2021) (</w:t>
      </w:r>
      <w:r w:rsidRPr="00D220D6">
        <w:rPr>
          <w:rFonts w:ascii="Times New Roman" w:hAnsi="Times New Roman" w:cs="Times New Roman"/>
          <w:b/>
          <w:sz w:val="24"/>
          <w:szCs w:val="24"/>
        </w:rPr>
        <w:t>NFHS</w:t>
      </w:r>
      <w:r w:rsidR="00301248" w:rsidRPr="00D220D6">
        <w:rPr>
          <w:rFonts w:ascii="Times New Roman" w:hAnsi="Times New Roman" w:cs="Times New Roman"/>
          <w:b/>
          <w:sz w:val="24"/>
          <w:szCs w:val="24"/>
        </w:rPr>
        <w:t>-5</w:t>
      </w:r>
      <w:r w:rsidRPr="00D220D6">
        <w:rPr>
          <w:rFonts w:ascii="Times New Roman" w:hAnsi="Times New Roman" w:cs="Times New Roman"/>
          <w:b/>
          <w:sz w:val="24"/>
          <w:szCs w:val="24"/>
        </w:rPr>
        <w:t>)</w:t>
      </w:r>
    </w:p>
    <w:p w14:paraId="7DAFF220" w14:textId="13F2CD35" w:rsidR="00301248" w:rsidRPr="009F4E88" w:rsidRDefault="00301248" w:rsidP="009F4E88">
      <w:pPr>
        <w:spacing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980"/>
        <w:gridCol w:w="709"/>
        <w:gridCol w:w="850"/>
        <w:gridCol w:w="709"/>
        <w:gridCol w:w="850"/>
        <w:gridCol w:w="851"/>
        <w:gridCol w:w="567"/>
        <w:gridCol w:w="730"/>
        <w:gridCol w:w="814"/>
        <w:gridCol w:w="956"/>
      </w:tblGrid>
      <w:tr w:rsidR="0006076C" w:rsidRPr="0006076C" w14:paraId="369A42F1" w14:textId="77777777" w:rsidTr="0030548B">
        <w:tc>
          <w:tcPr>
            <w:tcW w:w="9016" w:type="dxa"/>
            <w:gridSpan w:val="10"/>
          </w:tcPr>
          <w:p w14:paraId="61E8AF4F" w14:textId="77777777" w:rsidR="0006076C" w:rsidRPr="00DC1D13" w:rsidRDefault="0006076C" w:rsidP="0030548B">
            <w:pPr>
              <w:jc w:val="center"/>
            </w:pPr>
            <w:bookmarkStart w:id="0" w:name="_Hlk186884106"/>
            <w:r w:rsidRPr="00DC1D13">
              <w:t>TYPE OF MENSTRUAL PROTECTION</w:t>
            </w:r>
          </w:p>
        </w:tc>
      </w:tr>
      <w:tr w:rsidR="0006076C" w:rsidRPr="0006076C" w14:paraId="38AD69EA" w14:textId="77777777" w:rsidTr="0030548B">
        <w:tc>
          <w:tcPr>
            <w:tcW w:w="1980" w:type="dxa"/>
          </w:tcPr>
          <w:p w14:paraId="5706D7D7"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STATE/UNION TERRITORY (EAST)</w:t>
            </w:r>
          </w:p>
        </w:tc>
        <w:tc>
          <w:tcPr>
            <w:tcW w:w="709" w:type="dxa"/>
          </w:tcPr>
          <w:p w14:paraId="3C93271A"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CLOTH</w:t>
            </w:r>
          </w:p>
        </w:tc>
        <w:tc>
          <w:tcPr>
            <w:tcW w:w="850" w:type="dxa"/>
          </w:tcPr>
          <w:p w14:paraId="744FDBAC"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LOCALLY PREPARED NAPKINS</w:t>
            </w:r>
          </w:p>
        </w:tc>
        <w:tc>
          <w:tcPr>
            <w:tcW w:w="709" w:type="dxa"/>
          </w:tcPr>
          <w:p w14:paraId="36AB3D69"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SANITARY NAPKINS</w:t>
            </w:r>
          </w:p>
        </w:tc>
        <w:tc>
          <w:tcPr>
            <w:tcW w:w="850" w:type="dxa"/>
          </w:tcPr>
          <w:p w14:paraId="625FBC96"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TAMPONS</w:t>
            </w:r>
          </w:p>
        </w:tc>
        <w:tc>
          <w:tcPr>
            <w:tcW w:w="851" w:type="dxa"/>
          </w:tcPr>
          <w:p w14:paraId="0DD29F5C"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MENSTRUAL CUP</w:t>
            </w:r>
          </w:p>
        </w:tc>
        <w:tc>
          <w:tcPr>
            <w:tcW w:w="567" w:type="dxa"/>
          </w:tcPr>
          <w:p w14:paraId="6438503B"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OTHER</w:t>
            </w:r>
          </w:p>
        </w:tc>
        <w:tc>
          <w:tcPr>
            <w:tcW w:w="730" w:type="dxa"/>
          </w:tcPr>
          <w:p w14:paraId="5F6AD008"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NOTHING</w:t>
            </w:r>
          </w:p>
        </w:tc>
        <w:tc>
          <w:tcPr>
            <w:tcW w:w="814" w:type="dxa"/>
          </w:tcPr>
          <w:p w14:paraId="1FBBB2A0"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NUMBER OF WOMEN</w:t>
            </w:r>
          </w:p>
        </w:tc>
        <w:tc>
          <w:tcPr>
            <w:tcW w:w="956" w:type="dxa"/>
          </w:tcPr>
          <w:p w14:paraId="7EC0774B" w14:textId="77777777" w:rsidR="0006076C" w:rsidRPr="00DC1D13" w:rsidRDefault="0006076C" w:rsidP="0030548B">
            <w:pPr>
              <w:jc w:val="center"/>
              <w:rPr>
                <w:rFonts w:ascii="Times New Roman" w:hAnsi="Times New Roman" w:cs="Times New Roman"/>
                <w:b/>
                <w:color w:val="000000" w:themeColor="text1"/>
              </w:rPr>
            </w:pPr>
            <w:r w:rsidRPr="00DC1D13">
              <w:rPr>
                <w:rFonts w:ascii="Times New Roman" w:hAnsi="Times New Roman" w:cs="Times New Roman"/>
                <w:b/>
                <w:color w:val="000000" w:themeColor="text1"/>
              </w:rPr>
              <w:t>PERCENTAGE USING A HYGIENIC METHOD</w:t>
            </w:r>
          </w:p>
        </w:tc>
      </w:tr>
      <w:tr w:rsidR="0006076C" w:rsidRPr="0006076C" w14:paraId="63E852B8" w14:textId="77777777" w:rsidTr="0030548B">
        <w:trPr>
          <w:trHeight w:val="303"/>
        </w:trPr>
        <w:tc>
          <w:tcPr>
            <w:tcW w:w="1980" w:type="dxa"/>
          </w:tcPr>
          <w:p w14:paraId="6FC4FE9C" w14:textId="77777777" w:rsidR="0006076C" w:rsidRPr="00DC1D13" w:rsidRDefault="00515144" w:rsidP="00515144">
            <w:pPr>
              <w:tabs>
                <w:tab w:val="left" w:pos="372"/>
                <w:tab w:val="center" w:pos="882"/>
              </w:tabs>
              <w:rPr>
                <w:rFonts w:ascii="Times New Roman" w:hAnsi="Times New Roman" w:cs="Times New Roman"/>
              </w:rPr>
            </w:pPr>
            <w:r w:rsidRPr="00DC1D13">
              <w:rPr>
                <w:rFonts w:ascii="Times New Roman" w:hAnsi="Times New Roman" w:cs="Times New Roman"/>
              </w:rPr>
              <w:tab/>
            </w:r>
            <w:r w:rsidRPr="00DC1D13">
              <w:rPr>
                <w:rFonts w:ascii="Times New Roman" w:hAnsi="Times New Roman" w:cs="Times New Roman"/>
              </w:rPr>
              <w:tab/>
            </w:r>
            <w:r w:rsidR="0006076C" w:rsidRPr="00DC1D13">
              <w:rPr>
                <w:rFonts w:ascii="Times New Roman" w:hAnsi="Times New Roman" w:cs="Times New Roman"/>
              </w:rPr>
              <w:t>BIHAR</w:t>
            </w:r>
          </w:p>
        </w:tc>
        <w:tc>
          <w:tcPr>
            <w:tcW w:w="709" w:type="dxa"/>
          </w:tcPr>
          <w:p w14:paraId="7368A73F"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67.5</w:t>
            </w:r>
          </w:p>
        </w:tc>
        <w:tc>
          <w:tcPr>
            <w:tcW w:w="850" w:type="dxa"/>
          </w:tcPr>
          <w:p w14:paraId="10E51067"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17.3</w:t>
            </w:r>
          </w:p>
        </w:tc>
        <w:tc>
          <w:tcPr>
            <w:tcW w:w="709" w:type="dxa"/>
          </w:tcPr>
          <w:p w14:paraId="3EB30447"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42.2</w:t>
            </w:r>
          </w:p>
        </w:tc>
        <w:tc>
          <w:tcPr>
            <w:tcW w:w="850" w:type="dxa"/>
          </w:tcPr>
          <w:p w14:paraId="74B7EEDB"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1.5</w:t>
            </w:r>
          </w:p>
        </w:tc>
        <w:tc>
          <w:tcPr>
            <w:tcW w:w="851" w:type="dxa"/>
          </w:tcPr>
          <w:p w14:paraId="4F534A4F"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0.1</w:t>
            </w:r>
          </w:p>
        </w:tc>
        <w:tc>
          <w:tcPr>
            <w:tcW w:w="567" w:type="dxa"/>
          </w:tcPr>
          <w:p w14:paraId="49569130"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0.5</w:t>
            </w:r>
          </w:p>
        </w:tc>
        <w:tc>
          <w:tcPr>
            <w:tcW w:w="730" w:type="dxa"/>
          </w:tcPr>
          <w:p w14:paraId="190CCC23"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0.8</w:t>
            </w:r>
          </w:p>
        </w:tc>
        <w:tc>
          <w:tcPr>
            <w:tcW w:w="814" w:type="dxa"/>
          </w:tcPr>
          <w:p w14:paraId="1B000B32"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25,647</w:t>
            </w:r>
          </w:p>
        </w:tc>
        <w:tc>
          <w:tcPr>
            <w:tcW w:w="956" w:type="dxa"/>
          </w:tcPr>
          <w:p w14:paraId="6BBA44A5"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59.2</w:t>
            </w:r>
          </w:p>
        </w:tc>
      </w:tr>
      <w:tr w:rsidR="00515144" w:rsidRPr="00F83483" w14:paraId="3C11985E" w14:textId="77777777" w:rsidTr="0030548B">
        <w:tc>
          <w:tcPr>
            <w:tcW w:w="1980" w:type="dxa"/>
          </w:tcPr>
          <w:p w14:paraId="62BA4285"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ORISSA</w:t>
            </w:r>
          </w:p>
        </w:tc>
        <w:tc>
          <w:tcPr>
            <w:tcW w:w="709" w:type="dxa"/>
          </w:tcPr>
          <w:p w14:paraId="1E96D4D1"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42.8</w:t>
            </w:r>
          </w:p>
        </w:tc>
        <w:tc>
          <w:tcPr>
            <w:tcW w:w="850" w:type="dxa"/>
          </w:tcPr>
          <w:p w14:paraId="1B6F0A01"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16.4</w:t>
            </w:r>
          </w:p>
        </w:tc>
        <w:tc>
          <w:tcPr>
            <w:tcW w:w="709" w:type="dxa"/>
          </w:tcPr>
          <w:p w14:paraId="0DDF850F"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68.4</w:t>
            </w:r>
          </w:p>
        </w:tc>
        <w:tc>
          <w:tcPr>
            <w:tcW w:w="850" w:type="dxa"/>
          </w:tcPr>
          <w:p w14:paraId="530048DF"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1.1</w:t>
            </w:r>
          </w:p>
        </w:tc>
        <w:tc>
          <w:tcPr>
            <w:tcW w:w="851" w:type="dxa"/>
          </w:tcPr>
          <w:p w14:paraId="4CF8643C"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0.0</w:t>
            </w:r>
          </w:p>
        </w:tc>
        <w:tc>
          <w:tcPr>
            <w:tcW w:w="567" w:type="dxa"/>
          </w:tcPr>
          <w:p w14:paraId="702A27BD"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0.0</w:t>
            </w:r>
          </w:p>
        </w:tc>
        <w:tc>
          <w:tcPr>
            <w:tcW w:w="730" w:type="dxa"/>
          </w:tcPr>
          <w:p w14:paraId="1C43649D"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0.0</w:t>
            </w:r>
          </w:p>
        </w:tc>
        <w:tc>
          <w:tcPr>
            <w:tcW w:w="814" w:type="dxa"/>
          </w:tcPr>
          <w:p w14:paraId="6077A4B0"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7,338</w:t>
            </w:r>
          </w:p>
        </w:tc>
        <w:tc>
          <w:tcPr>
            <w:tcW w:w="956" w:type="dxa"/>
          </w:tcPr>
          <w:p w14:paraId="68F5E2FB" w14:textId="77777777" w:rsidR="00515144" w:rsidRPr="00DC1D13" w:rsidRDefault="00515144" w:rsidP="0030548B">
            <w:pPr>
              <w:jc w:val="center"/>
              <w:rPr>
                <w:rFonts w:ascii="Times New Roman" w:hAnsi="Times New Roman" w:cs="Times New Roman"/>
              </w:rPr>
            </w:pPr>
            <w:r w:rsidRPr="00DC1D13">
              <w:rPr>
                <w:rFonts w:ascii="Times New Roman" w:hAnsi="Times New Roman" w:cs="Times New Roman"/>
              </w:rPr>
              <w:t>81.7</w:t>
            </w:r>
          </w:p>
        </w:tc>
      </w:tr>
      <w:tr w:rsidR="0006076C" w:rsidRPr="0006076C" w14:paraId="79459A0A" w14:textId="77777777" w:rsidTr="0030548B">
        <w:trPr>
          <w:trHeight w:val="303"/>
        </w:trPr>
        <w:tc>
          <w:tcPr>
            <w:tcW w:w="1980" w:type="dxa"/>
          </w:tcPr>
          <w:p w14:paraId="0A0F182E"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JHARKHAND</w:t>
            </w:r>
          </w:p>
        </w:tc>
        <w:tc>
          <w:tcPr>
            <w:tcW w:w="709" w:type="dxa"/>
          </w:tcPr>
          <w:p w14:paraId="001F61E0"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56.5</w:t>
            </w:r>
          </w:p>
        </w:tc>
        <w:tc>
          <w:tcPr>
            <w:tcW w:w="850" w:type="dxa"/>
          </w:tcPr>
          <w:p w14:paraId="4EFA7496"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21.9</w:t>
            </w:r>
          </w:p>
        </w:tc>
        <w:tc>
          <w:tcPr>
            <w:tcW w:w="709" w:type="dxa"/>
          </w:tcPr>
          <w:p w14:paraId="795790C2"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52.1</w:t>
            </w:r>
          </w:p>
        </w:tc>
        <w:tc>
          <w:tcPr>
            <w:tcW w:w="850" w:type="dxa"/>
          </w:tcPr>
          <w:p w14:paraId="2F594AC7"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2.8</w:t>
            </w:r>
          </w:p>
        </w:tc>
        <w:tc>
          <w:tcPr>
            <w:tcW w:w="851" w:type="dxa"/>
          </w:tcPr>
          <w:p w14:paraId="0F968824"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0.6</w:t>
            </w:r>
          </w:p>
        </w:tc>
        <w:tc>
          <w:tcPr>
            <w:tcW w:w="567" w:type="dxa"/>
          </w:tcPr>
          <w:p w14:paraId="1CF18A5F"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0.2</w:t>
            </w:r>
          </w:p>
        </w:tc>
        <w:tc>
          <w:tcPr>
            <w:tcW w:w="730" w:type="dxa"/>
          </w:tcPr>
          <w:p w14:paraId="79562850"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0.1</w:t>
            </w:r>
          </w:p>
        </w:tc>
        <w:tc>
          <w:tcPr>
            <w:tcW w:w="814" w:type="dxa"/>
          </w:tcPr>
          <w:p w14:paraId="7955820A"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6,800</w:t>
            </w:r>
          </w:p>
        </w:tc>
        <w:tc>
          <w:tcPr>
            <w:tcW w:w="956" w:type="dxa"/>
          </w:tcPr>
          <w:p w14:paraId="606AB8EF"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75.1</w:t>
            </w:r>
          </w:p>
        </w:tc>
      </w:tr>
      <w:tr w:rsidR="0006076C" w:rsidRPr="0006076C" w14:paraId="7B604DA7" w14:textId="77777777" w:rsidTr="0030548B">
        <w:tc>
          <w:tcPr>
            <w:tcW w:w="1980" w:type="dxa"/>
          </w:tcPr>
          <w:p w14:paraId="7E335D14"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WEST BENGAL</w:t>
            </w:r>
          </w:p>
        </w:tc>
        <w:tc>
          <w:tcPr>
            <w:tcW w:w="709" w:type="dxa"/>
          </w:tcPr>
          <w:p w14:paraId="1386B464"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42.8</w:t>
            </w:r>
          </w:p>
        </w:tc>
        <w:tc>
          <w:tcPr>
            <w:tcW w:w="850" w:type="dxa"/>
          </w:tcPr>
          <w:p w14:paraId="31C31800"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5.0</w:t>
            </w:r>
          </w:p>
        </w:tc>
        <w:tc>
          <w:tcPr>
            <w:tcW w:w="709" w:type="dxa"/>
          </w:tcPr>
          <w:p w14:paraId="247C9044"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77.4</w:t>
            </w:r>
          </w:p>
        </w:tc>
        <w:tc>
          <w:tcPr>
            <w:tcW w:w="850" w:type="dxa"/>
          </w:tcPr>
          <w:p w14:paraId="59B7597E"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2.1</w:t>
            </w:r>
          </w:p>
        </w:tc>
        <w:tc>
          <w:tcPr>
            <w:tcW w:w="851" w:type="dxa"/>
          </w:tcPr>
          <w:p w14:paraId="69F119FA"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0.1</w:t>
            </w:r>
          </w:p>
        </w:tc>
        <w:tc>
          <w:tcPr>
            <w:tcW w:w="567" w:type="dxa"/>
          </w:tcPr>
          <w:p w14:paraId="617E788A"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0.0</w:t>
            </w:r>
          </w:p>
        </w:tc>
        <w:tc>
          <w:tcPr>
            <w:tcW w:w="730" w:type="dxa"/>
          </w:tcPr>
          <w:p w14:paraId="4BE3357A"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0.2</w:t>
            </w:r>
          </w:p>
        </w:tc>
        <w:tc>
          <w:tcPr>
            <w:tcW w:w="814" w:type="dxa"/>
          </w:tcPr>
          <w:p w14:paraId="66876003"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19,247</w:t>
            </w:r>
          </w:p>
        </w:tc>
        <w:tc>
          <w:tcPr>
            <w:tcW w:w="956" w:type="dxa"/>
          </w:tcPr>
          <w:p w14:paraId="727B32FF" w14:textId="77777777" w:rsidR="0006076C" w:rsidRPr="00DC1D13" w:rsidRDefault="0006076C" w:rsidP="0030548B">
            <w:pPr>
              <w:jc w:val="center"/>
              <w:rPr>
                <w:rFonts w:ascii="Times New Roman" w:hAnsi="Times New Roman" w:cs="Times New Roman"/>
              </w:rPr>
            </w:pPr>
            <w:r w:rsidRPr="00DC1D13">
              <w:rPr>
                <w:rFonts w:ascii="Times New Roman" w:hAnsi="Times New Roman" w:cs="Times New Roman"/>
              </w:rPr>
              <w:t>83.4</w:t>
            </w:r>
          </w:p>
        </w:tc>
      </w:tr>
    </w:tbl>
    <w:bookmarkEnd w:id="0"/>
    <w:p w14:paraId="38900AF6" w14:textId="77777777" w:rsidR="003C6FAC" w:rsidRPr="00D220D6" w:rsidRDefault="0006076C" w:rsidP="009F4E88">
      <w:pPr>
        <w:spacing w:line="360" w:lineRule="auto"/>
        <w:jc w:val="both"/>
        <w:rPr>
          <w:rFonts w:ascii="Times New Roman" w:hAnsi="Times New Roman" w:cs="Times New Roman"/>
          <w:b/>
          <w:sz w:val="24"/>
          <w:szCs w:val="24"/>
        </w:rPr>
      </w:pPr>
      <w:r w:rsidRPr="00D220D6">
        <w:rPr>
          <w:rFonts w:ascii="Times New Roman" w:hAnsi="Times New Roman" w:cs="Times New Roman"/>
          <w:b/>
          <w:sz w:val="24"/>
          <w:szCs w:val="24"/>
        </w:rPr>
        <w:t xml:space="preserve">TABLE </w:t>
      </w:r>
      <w:proofErr w:type="gramStart"/>
      <w:r w:rsidR="00904B2B" w:rsidRPr="00D220D6">
        <w:rPr>
          <w:rFonts w:ascii="Times New Roman" w:hAnsi="Times New Roman" w:cs="Times New Roman"/>
          <w:b/>
          <w:sz w:val="24"/>
          <w:szCs w:val="24"/>
        </w:rPr>
        <w:t>2:</w:t>
      </w:r>
      <w:r w:rsidRPr="00D220D6">
        <w:rPr>
          <w:rFonts w:ascii="Times New Roman" w:hAnsi="Times New Roman" w:cs="Times New Roman"/>
          <w:b/>
          <w:sz w:val="24"/>
          <w:szCs w:val="24"/>
        </w:rPr>
        <w:t>Percentage</w:t>
      </w:r>
      <w:proofErr w:type="gramEnd"/>
      <w:r w:rsidRPr="00D220D6">
        <w:rPr>
          <w:rFonts w:ascii="Times New Roman" w:hAnsi="Times New Roman" w:cs="Times New Roman"/>
          <w:b/>
          <w:sz w:val="24"/>
          <w:szCs w:val="24"/>
        </w:rPr>
        <w:t xml:space="preserve"> of women age 15-24 who have ever menstruated by type of protection used during their menstrual period, according to state/union territory, India, 2019-21 (NFHS</w:t>
      </w:r>
      <w:r w:rsidR="00301248" w:rsidRPr="00D220D6">
        <w:rPr>
          <w:rFonts w:ascii="Times New Roman" w:hAnsi="Times New Roman" w:cs="Times New Roman"/>
          <w:b/>
          <w:sz w:val="24"/>
          <w:szCs w:val="24"/>
        </w:rPr>
        <w:t>-5</w:t>
      </w:r>
      <w:r w:rsidRPr="00D220D6">
        <w:rPr>
          <w:rFonts w:ascii="Times New Roman" w:hAnsi="Times New Roman" w:cs="Times New Roman"/>
          <w:b/>
          <w:sz w:val="24"/>
          <w:szCs w:val="24"/>
        </w:rPr>
        <w:t>)</w:t>
      </w:r>
    </w:p>
    <w:p w14:paraId="09014C9F" w14:textId="77777777" w:rsidR="009F4E88" w:rsidRDefault="009F4E88" w:rsidP="009F4E88">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465C6B">
        <w:rPr>
          <w:rFonts w:ascii="Times New Roman" w:hAnsi="Times New Roman" w:cs="Times New Roman"/>
          <w:sz w:val="24"/>
          <w:szCs w:val="24"/>
        </w:rPr>
        <w:t xml:space="preserve"> and the graph below</w:t>
      </w:r>
      <w:r w:rsidR="00A55926">
        <w:rPr>
          <w:rFonts w:ascii="Times New Roman" w:hAnsi="Times New Roman" w:cs="Times New Roman"/>
          <w:sz w:val="24"/>
          <w:szCs w:val="24"/>
        </w:rPr>
        <w:t xml:space="preserve"> </w:t>
      </w:r>
      <w:r w:rsidR="00465C6B">
        <w:rPr>
          <w:rFonts w:ascii="Times New Roman" w:hAnsi="Times New Roman" w:cs="Times New Roman"/>
          <w:sz w:val="24"/>
          <w:szCs w:val="24"/>
        </w:rPr>
        <w:t>are</w:t>
      </w:r>
      <w:r>
        <w:rPr>
          <w:rFonts w:ascii="Times New Roman" w:hAnsi="Times New Roman" w:cs="Times New Roman"/>
          <w:sz w:val="24"/>
          <w:szCs w:val="24"/>
        </w:rPr>
        <w:t xml:space="preserve"> highlighted</w:t>
      </w:r>
      <w:r w:rsidR="00AE6433">
        <w:rPr>
          <w:rFonts w:ascii="Times New Roman" w:hAnsi="Times New Roman" w:cs="Times New Roman"/>
          <w:sz w:val="24"/>
          <w:szCs w:val="24"/>
        </w:rPr>
        <w:t xml:space="preserve"> by </w:t>
      </w:r>
      <w:r w:rsidR="00904B2B">
        <w:rPr>
          <w:rFonts w:ascii="Times New Roman" w:hAnsi="Times New Roman" w:cs="Times New Roman"/>
          <w:sz w:val="24"/>
          <w:szCs w:val="24"/>
        </w:rPr>
        <w:t xml:space="preserve">use of menstrual protection </w:t>
      </w:r>
      <w:r w:rsidR="00AE6433">
        <w:rPr>
          <w:rFonts w:ascii="Times New Roman" w:hAnsi="Times New Roman" w:cs="Times New Roman"/>
          <w:sz w:val="24"/>
          <w:szCs w:val="24"/>
        </w:rPr>
        <w:t xml:space="preserve">approaches </w:t>
      </w:r>
      <w:r w:rsidR="00904B2B">
        <w:rPr>
          <w:rFonts w:ascii="Times New Roman" w:hAnsi="Times New Roman" w:cs="Times New Roman"/>
          <w:sz w:val="24"/>
          <w:szCs w:val="24"/>
        </w:rPr>
        <w:t>in eastern state</w:t>
      </w:r>
      <w:r w:rsidR="00070E06">
        <w:rPr>
          <w:rFonts w:ascii="Times New Roman" w:hAnsi="Times New Roman" w:cs="Times New Roman"/>
          <w:sz w:val="24"/>
          <w:szCs w:val="24"/>
        </w:rPr>
        <w:t>s of India. West Bengal tops</w:t>
      </w:r>
      <w:r w:rsidR="00904B2B">
        <w:rPr>
          <w:rFonts w:ascii="Times New Roman" w:hAnsi="Times New Roman" w:cs="Times New Roman"/>
          <w:sz w:val="24"/>
          <w:szCs w:val="24"/>
        </w:rPr>
        <w:t xml:space="preserve"> list of hygienic method usage (83.4%) with a higher inclination t</w:t>
      </w:r>
      <w:r w:rsidR="006F24E1">
        <w:rPr>
          <w:rFonts w:ascii="Times New Roman" w:hAnsi="Times New Roman" w:cs="Times New Roman"/>
          <w:sz w:val="24"/>
          <w:szCs w:val="24"/>
        </w:rPr>
        <w:t>owards sanitary napkins (77.4%),</w:t>
      </w:r>
      <w:r w:rsidR="00904B2B">
        <w:rPr>
          <w:rFonts w:ascii="Times New Roman" w:hAnsi="Times New Roman" w:cs="Times New Roman"/>
          <w:sz w:val="24"/>
          <w:szCs w:val="24"/>
        </w:rPr>
        <w:t xml:space="preserve"> followed by Orissa (81.7%), Jharkhand (75.1%) and Bihar (59.2%)</w:t>
      </w:r>
      <w:r w:rsidR="006F24E1">
        <w:rPr>
          <w:rFonts w:ascii="Times New Roman" w:hAnsi="Times New Roman" w:cs="Times New Roman"/>
          <w:sz w:val="24"/>
          <w:szCs w:val="24"/>
        </w:rPr>
        <w:t>, which</w:t>
      </w:r>
      <w:r w:rsidR="005406CB">
        <w:rPr>
          <w:rFonts w:ascii="Times New Roman" w:hAnsi="Times New Roman" w:cs="Times New Roman"/>
          <w:sz w:val="24"/>
          <w:szCs w:val="24"/>
        </w:rPr>
        <w:t xml:space="preserve"> reflects the limited access to</w:t>
      </w:r>
      <w:r w:rsidR="00904B2B">
        <w:rPr>
          <w:rFonts w:ascii="Times New Roman" w:hAnsi="Times New Roman" w:cs="Times New Roman"/>
          <w:sz w:val="24"/>
          <w:szCs w:val="24"/>
        </w:rPr>
        <w:t xml:space="preserve"> menstrual hygiene. In West Bengal and Orissa, the most prominent utilization is that of sanitary napkin</w:t>
      </w:r>
      <w:r w:rsidR="008F575C">
        <w:rPr>
          <w:rFonts w:ascii="Times New Roman" w:hAnsi="Times New Roman" w:cs="Times New Roman"/>
          <w:sz w:val="24"/>
          <w:szCs w:val="24"/>
        </w:rPr>
        <w:t>s</w:t>
      </w:r>
      <w:r w:rsidR="00904B2B">
        <w:rPr>
          <w:rFonts w:ascii="Times New Roman" w:hAnsi="Times New Roman" w:cs="Times New Roman"/>
          <w:sz w:val="24"/>
          <w:szCs w:val="24"/>
        </w:rPr>
        <w:t>. This data also highlights the r</w:t>
      </w:r>
      <w:r w:rsidR="006A0951">
        <w:rPr>
          <w:rFonts w:ascii="Times New Roman" w:hAnsi="Times New Roman" w:cs="Times New Roman"/>
          <w:sz w:val="24"/>
          <w:szCs w:val="24"/>
        </w:rPr>
        <w:t>equireme</w:t>
      </w:r>
      <w:r w:rsidR="00070E06">
        <w:rPr>
          <w:rFonts w:ascii="Times New Roman" w:hAnsi="Times New Roman" w:cs="Times New Roman"/>
          <w:sz w:val="24"/>
          <w:szCs w:val="24"/>
        </w:rPr>
        <w:t xml:space="preserve">nt of enhanced accessibility as well as awareness for </w:t>
      </w:r>
      <w:r w:rsidR="006A0951">
        <w:rPr>
          <w:rFonts w:ascii="Times New Roman" w:hAnsi="Times New Roman" w:cs="Times New Roman"/>
          <w:sz w:val="24"/>
          <w:szCs w:val="24"/>
        </w:rPr>
        <w:t>refinement of menstrua</w:t>
      </w:r>
      <w:r w:rsidR="00827AF8">
        <w:rPr>
          <w:rFonts w:ascii="Times New Roman" w:hAnsi="Times New Roman" w:cs="Times New Roman"/>
          <w:sz w:val="24"/>
          <w:szCs w:val="24"/>
        </w:rPr>
        <w:t xml:space="preserve">l hygiene practices in </w:t>
      </w:r>
      <w:r w:rsidR="006A0951">
        <w:rPr>
          <w:rFonts w:ascii="Times New Roman" w:hAnsi="Times New Roman" w:cs="Times New Roman"/>
          <w:sz w:val="24"/>
          <w:szCs w:val="24"/>
        </w:rPr>
        <w:t xml:space="preserve">areas like Bihar. </w:t>
      </w:r>
    </w:p>
    <w:p w14:paraId="11E52DA8" w14:textId="77777777" w:rsidR="00465C6B" w:rsidRPr="009F4E88" w:rsidRDefault="00465C6B" w:rsidP="009F4E8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FD0F0F0" wp14:editId="6DCE463A">
            <wp:extent cx="5715000" cy="33242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153ADC" w14:textId="3CB8527C" w:rsidR="00A24588" w:rsidRDefault="00E64CA9" w:rsidP="00950E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w:t>
      </w:r>
      <w:r w:rsidR="006A0951">
        <w:rPr>
          <w:rFonts w:ascii="Times New Roman" w:hAnsi="Times New Roman" w:cs="Times New Roman"/>
          <w:sz w:val="24"/>
          <w:szCs w:val="24"/>
        </w:rPr>
        <w:t>government efforts for the promotion of menstrual hygiene, National Family Health Surv</w:t>
      </w:r>
      <w:r w:rsidR="002D123E">
        <w:rPr>
          <w:rFonts w:ascii="Times New Roman" w:hAnsi="Times New Roman" w:cs="Times New Roman"/>
          <w:sz w:val="24"/>
          <w:szCs w:val="24"/>
        </w:rPr>
        <w:t>ey (NFHS-5) data show</w:t>
      </w:r>
      <w:r w:rsidR="00070E06">
        <w:rPr>
          <w:rFonts w:ascii="Times New Roman" w:hAnsi="Times New Roman" w:cs="Times New Roman"/>
          <w:sz w:val="24"/>
          <w:szCs w:val="24"/>
        </w:rPr>
        <w:t xml:space="preserve"> that </w:t>
      </w:r>
      <w:r w:rsidR="006A0951">
        <w:rPr>
          <w:rFonts w:ascii="Times New Roman" w:hAnsi="Times New Roman" w:cs="Times New Roman"/>
          <w:sz w:val="24"/>
          <w:szCs w:val="24"/>
        </w:rPr>
        <w:t>utility of hygie</w:t>
      </w:r>
      <w:r>
        <w:rPr>
          <w:rFonts w:ascii="Times New Roman" w:hAnsi="Times New Roman" w:cs="Times New Roman"/>
          <w:sz w:val="24"/>
          <w:szCs w:val="24"/>
        </w:rPr>
        <w:t>ne menstrual approaches</w:t>
      </w:r>
      <w:r w:rsidR="00070E06">
        <w:rPr>
          <w:rFonts w:ascii="Times New Roman" w:hAnsi="Times New Roman" w:cs="Times New Roman"/>
          <w:sz w:val="24"/>
          <w:szCs w:val="24"/>
        </w:rPr>
        <w:t xml:space="preserve"> is lower across</w:t>
      </w:r>
      <w:r w:rsidR="006A0951">
        <w:rPr>
          <w:rFonts w:ascii="Times New Roman" w:hAnsi="Times New Roman" w:cs="Times New Roman"/>
          <w:sz w:val="24"/>
          <w:szCs w:val="24"/>
        </w:rPr>
        <w:t xml:space="preserve"> rural areas in comparison to the urban regions</w:t>
      </w:r>
      <w:r w:rsidR="00BB6DEF">
        <w:rPr>
          <w:rFonts w:ascii="Times New Roman" w:hAnsi="Times New Roman" w:cs="Times New Roman"/>
          <w:sz w:val="24"/>
          <w:szCs w:val="24"/>
        </w:rPr>
        <w:t xml:space="preserve"> </w:t>
      </w:r>
      <w:r w:rsidR="00E61C29">
        <w:rPr>
          <w:rFonts w:ascii="Times New Roman" w:hAnsi="Times New Roman" w:cs="Times New Roman"/>
          <w:sz w:val="24"/>
          <w:szCs w:val="24"/>
        </w:rPr>
        <w:t>(</w:t>
      </w:r>
      <w:r w:rsidR="00E61C29" w:rsidRPr="00E61C29">
        <w:rPr>
          <w:rFonts w:ascii="Times New Roman" w:hAnsi="Times New Roman" w:cs="Times New Roman"/>
          <w:bCs/>
          <w:sz w:val="24"/>
          <w:szCs w:val="24"/>
        </w:rPr>
        <w:t>Nguyen</w:t>
      </w:r>
      <w:r w:rsidR="00E61C29">
        <w:rPr>
          <w:rFonts w:ascii="Times New Roman" w:hAnsi="Times New Roman" w:cs="Times New Roman"/>
          <w:bCs/>
          <w:sz w:val="24"/>
          <w:szCs w:val="24"/>
        </w:rPr>
        <w:t xml:space="preserve"> et al., 2015</w:t>
      </w:r>
      <w:r w:rsidR="00E61C29">
        <w:rPr>
          <w:rFonts w:ascii="Times New Roman" w:hAnsi="Times New Roman" w:cs="Times New Roman"/>
          <w:sz w:val="24"/>
          <w:szCs w:val="24"/>
        </w:rPr>
        <w:t>)</w:t>
      </w:r>
      <w:r w:rsidR="002D123E">
        <w:rPr>
          <w:rFonts w:ascii="Times New Roman" w:hAnsi="Times New Roman" w:cs="Times New Roman"/>
          <w:sz w:val="24"/>
          <w:szCs w:val="24"/>
        </w:rPr>
        <w:t>. Recent research has</w:t>
      </w:r>
      <w:r w:rsidR="006A0951">
        <w:rPr>
          <w:rFonts w:ascii="Times New Roman" w:hAnsi="Times New Roman" w:cs="Times New Roman"/>
          <w:sz w:val="24"/>
          <w:szCs w:val="24"/>
        </w:rPr>
        <w:t xml:space="preserve"> contrasted factors </w:t>
      </w:r>
      <w:r>
        <w:rPr>
          <w:rFonts w:ascii="Times New Roman" w:hAnsi="Times New Roman" w:cs="Times New Roman"/>
          <w:sz w:val="24"/>
          <w:szCs w:val="24"/>
        </w:rPr>
        <w:t>impacting</w:t>
      </w:r>
      <w:r w:rsidR="00070E06">
        <w:rPr>
          <w:rFonts w:ascii="Times New Roman" w:hAnsi="Times New Roman" w:cs="Times New Roman"/>
          <w:sz w:val="24"/>
          <w:szCs w:val="24"/>
        </w:rPr>
        <w:t xml:space="preserve"> </w:t>
      </w:r>
      <w:r w:rsidR="00EE2C32">
        <w:rPr>
          <w:rFonts w:ascii="Times New Roman" w:hAnsi="Times New Roman" w:cs="Times New Roman"/>
          <w:sz w:val="24"/>
          <w:szCs w:val="24"/>
        </w:rPr>
        <w:t xml:space="preserve">use of hygienic methods in relation to </w:t>
      </w:r>
      <w:r w:rsidR="00706725">
        <w:rPr>
          <w:rFonts w:ascii="Times New Roman" w:hAnsi="Times New Roman" w:cs="Times New Roman"/>
          <w:sz w:val="24"/>
          <w:szCs w:val="24"/>
        </w:rPr>
        <w:t>residence, education, economic status and mass media exposure. Nevertheless, no nationally representative study has evaluated the variation in the hygiene practices during menstruation</w:t>
      </w:r>
      <w:r w:rsidR="00F24D14">
        <w:rPr>
          <w:rFonts w:ascii="Times New Roman" w:hAnsi="Times New Roman" w:cs="Times New Roman"/>
          <w:sz w:val="24"/>
          <w:szCs w:val="24"/>
        </w:rPr>
        <w:t>,</w:t>
      </w:r>
      <w:r w:rsidR="00706725">
        <w:rPr>
          <w:rFonts w:ascii="Times New Roman" w:hAnsi="Times New Roman" w:cs="Times New Roman"/>
          <w:sz w:val="24"/>
          <w:szCs w:val="24"/>
        </w:rPr>
        <w:t xml:space="preserve"> especially among</w:t>
      </w:r>
      <w:r w:rsidR="00070E06">
        <w:rPr>
          <w:rFonts w:ascii="Times New Roman" w:hAnsi="Times New Roman" w:cs="Times New Roman"/>
          <w:sz w:val="24"/>
          <w:szCs w:val="24"/>
        </w:rPr>
        <w:t>st</w:t>
      </w:r>
      <w:r w:rsidR="00706725">
        <w:rPr>
          <w:rFonts w:ascii="Times New Roman" w:hAnsi="Times New Roman" w:cs="Times New Roman"/>
          <w:sz w:val="24"/>
          <w:szCs w:val="24"/>
        </w:rPr>
        <w:t xml:space="preserve"> rural adolescent girls. </w:t>
      </w:r>
    </w:p>
    <w:p w14:paraId="697FBF91" w14:textId="77777777" w:rsidR="00B11531" w:rsidRDefault="00E64CA9" w:rsidP="00B1153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Women's health and</w:t>
      </w:r>
      <w:r w:rsidR="00B11531" w:rsidRPr="00B11531">
        <w:rPr>
          <w:rFonts w:ascii="Times New Roman" w:hAnsi="Times New Roman" w:cs="Times New Roman"/>
          <w:color w:val="000000" w:themeColor="text1"/>
          <w:sz w:val="24"/>
          <w:szCs w:val="24"/>
        </w:rPr>
        <w:t xml:space="preserve"> personal hygiene depend </w:t>
      </w:r>
      <w:r w:rsidR="00F24D14">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employing </w:t>
      </w:r>
      <w:r w:rsidR="00F24D14">
        <w:rPr>
          <w:rFonts w:ascii="Times New Roman" w:hAnsi="Times New Roman" w:cs="Times New Roman"/>
          <w:color w:val="000000" w:themeColor="text1"/>
          <w:sz w:val="24"/>
          <w:szCs w:val="24"/>
        </w:rPr>
        <w:t>sanitary technique for</w:t>
      </w:r>
      <w:r w:rsidR="001C2980">
        <w:rPr>
          <w:rFonts w:ascii="Times New Roman" w:hAnsi="Times New Roman" w:cs="Times New Roman"/>
          <w:color w:val="000000" w:themeColor="text1"/>
          <w:sz w:val="24"/>
          <w:szCs w:val="24"/>
        </w:rPr>
        <w:t xml:space="preserve"> menstrual</w:t>
      </w:r>
      <w:r w:rsidR="00B11531" w:rsidRPr="00B11531">
        <w:rPr>
          <w:rFonts w:ascii="Times New Roman" w:hAnsi="Times New Roman" w:cs="Times New Roman"/>
          <w:color w:val="000000" w:themeColor="text1"/>
          <w:sz w:val="24"/>
          <w:szCs w:val="24"/>
        </w:rPr>
        <w:t xml:space="preserve"> pro</w:t>
      </w:r>
      <w:r w:rsidR="00070E06">
        <w:rPr>
          <w:rFonts w:ascii="Times New Roman" w:hAnsi="Times New Roman" w:cs="Times New Roman"/>
          <w:color w:val="000000" w:themeColor="text1"/>
          <w:sz w:val="24"/>
          <w:szCs w:val="24"/>
        </w:rPr>
        <w:t>tection. Young women aged 15-</w:t>
      </w:r>
      <w:r w:rsidR="00B11531" w:rsidRPr="00B11531">
        <w:rPr>
          <w:rFonts w:ascii="Times New Roman" w:hAnsi="Times New Roman" w:cs="Times New Roman"/>
          <w:color w:val="000000" w:themeColor="text1"/>
          <w:sz w:val="24"/>
          <w:szCs w:val="24"/>
        </w:rPr>
        <w:t>24 were questione</w:t>
      </w:r>
      <w:r w:rsidR="00F4131C">
        <w:rPr>
          <w:rFonts w:ascii="Times New Roman" w:hAnsi="Times New Roman" w:cs="Times New Roman"/>
          <w:color w:val="000000" w:themeColor="text1"/>
          <w:sz w:val="24"/>
          <w:szCs w:val="24"/>
        </w:rPr>
        <w:t>d in NFHS-5 about</w:t>
      </w:r>
      <w:r w:rsidR="00B11531" w:rsidRPr="00B11531">
        <w:rPr>
          <w:rFonts w:ascii="Times New Roman" w:hAnsi="Times New Roman" w:cs="Times New Roman"/>
          <w:color w:val="000000" w:themeColor="text1"/>
          <w:sz w:val="24"/>
          <w:szCs w:val="24"/>
        </w:rPr>
        <w:t xml:space="preserve"> strategy or procedures, if any, they employ to protect themselves during their periods. </w:t>
      </w:r>
      <w:r w:rsidR="00070E06">
        <w:rPr>
          <w:rFonts w:ascii="Times New Roman" w:hAnsi="Times New Roman" w:cs="Times New Roman"/>
          <w:color w:val="000000" w:themeColor="text1"/>
          <w:sz w:val="24"/>
          <w:szCs w:val="24"/>
        </w:rPr>
        <w:t xml:space="preserve">5% </w:t>
      </w:r>
      <w:r w:rsidR="00B11531" w:rsidRPr="00B11531">
        <w:rPr>
          <w:rFonts w:ascii="Times New Roman" w:hAnsi="Times New Roman" w:cs="Times New Roman"/>
          <w:color w:val="000000" w:themeColor="text1"/>
          <w:sz w:val="24"/>
          <w:szCs w:val="24"/>
        </w:rPr>
        <w:t xml:space="preserve">use locally made napkins, </w:t>
      </w:r>
      <w:r w:rsidR="00070E06">
        <w:rPr>
          <w:rFonts w:ascii="Times New Roman" w:hAnsi="Times New Roman" w:cs="Times New Roman"/>
          <w:color w:val="000000" w:themeColor="text1"/>
          <w:sz w:val="24"/>
          <w:szCs w:val="24"/>
        </w:rPr>
        <w:t xml:space="preserve">2% </w:t>
      </w:r>
      <w:r w:rsidR="00B11531" w:rsidRPr="00B11531">
        <w:rPr>
          <w:rFonts w:ascii="Times New Roman" w:hAnsi="Times New Roman" w:cs="Times New Roman"/>
          <w:color w:val="000000" w:themeColor="text1"/>
          <w:sz w:val="24"/>
          <w:szCs w:val="24"/>
        </w:rPr>
        <w:t xml:space="preserve">use tampons, </w:t>
      </w:r>
      <w:r w:rsidR="00070E06">
        <w:rPr>
          <w:rFonts w:ascii="Times New Roman" w:hAnsi="Times New Roman" w:cs="Times New Roman"/>
          <w:color w:val="000000" w:themeColor="text1"/>
          <w:sz w:val="24"/>
          <w:szCs w:val="24"/>
        </w:rPr>
        <w:t xml:space="preserve">43% </w:t>
      </w:r>
      <w:r w:rsidR="00B11531" w:rsidRPr="00B11531">
        <w:rPr>
          <w:rFonts w:ascii="Times New Roman" w:hAnsi="Times New Roman" w:cs="Times New Roman"/>
          <w:color w:val="000000" w:themeColor="text1"/>
          <w:sz w:val="24"/>
          <w:szCs w:val="24"/>
        </w:rPr>
        <w:t xml:space="preserve">use cloth, and </w:t>
      </w:r>
      <w:r w:rsidR="00070E06">
        <w:rPr>
          <w:rFonts w:ascii="Times New Roman" w:hAnsi="Times New Roman" w:cs="Times New Roman"/>
          <w:color w:val="000000" w:themeColor="text1"/>
          <w:sz w:val="24"/>
          <w:szCs w:val="24"/>
        </w:rPr>
        <w:t xml:space="preserve">77% </w:t>
      </w:r>
      <w:r w:rsidR="00B11531" w:rsidRPr="00B11531">
        <w:rPr>
          <w:rFonts w:ascii="Times New Roman" w:hAnsi="Times New Roman" w:cs="Times New Roman"/>
          <w:color w:val="000000" w:themeColor="text1"/>
          <w:sz w:val="24"/>
          <w:szCs w:val="24"/>
        </w:rPr>
        <w:t>use sanitary napkins in West Bengal. Compa</w:t>
      </w:r>
      <w:r w:rsidR="00F4131C">
        <w:rPr>
          <w:rFonts w:ascii="Times New Roman" w:hAnsi="Times New Roman" w:cs="Times New Roman"/>
          <w:color w:val="000000" w:themeColor="text1"/>
          <w:sz w:val="24"/>
          <w:szCs w:val="24"/>
        </w:rPr>
        <w:t>red to 55% in NFHS-4, 83%</w:t>
      </w:r>
      <w:r w:rsidR="00B11531" w:rsidRPr="00B11531">
        <w:rPr>
          <w:rFonts w:ascii="Times New Roman" w:hAnsi="Times New Roman" w:cs="Times New Roman"/>
          <w:color w:val="000000" w:themeColor="text1"/>
          <w:sz w:val="24"/>
          <w:szCs w:val="24"/>
        </w:rPr>
        <w:t xml:space="preserve"> of women aged 15 to 24 employ a sanitary technique of menstruatio</w:t>
      </w:r>
      <w:r w:rsidR="00E70173">
        <w:rPr>
          <w:rFonts w:ascii="Times New Roman" w:hAnsi="Times New Roman" w:cs="Times New Roman"/>
          <w:color w:val="000000" w:themeColor="text1"/>
          <w:sz w:val="24"/>
          <w:szCs w:val="24"/>
        </w:rPr>
        <w:t xml:space="preserve">n protection. Interestingly, 91% </w:t>
      </w:r>
      <w:r w:rsidR="00B11531" w:rsidRPr="00B11531">
        <w:rPr>
          <w:rFonts w:ascii="Times New Roman" w:hAnsi="Times New Roman" w:cs="Times New Roman"/>
          <w:color w:val="000000" w:themeColor="text1"/>
          <w:sz w:val="24"/>
          <w:szCs w:val="24"/>
        </w:rPr>
        <w:t>of urban women and 80</w:t>
      </w:r>
      <w:r w:rsidR="00E70173">
        <w:rPr>
          <w:rFonts w:ascii="Times New Roman" w:hAnsi="Times New Roman" w:cs="Times New Roman"/>
          <w:color w:val="000000" w:themeColor="text1"/>
          <w:sz w:val="24"/>
          <w:szCs w:val="24"/>
        </w:rPr>
        <w:t>%</w:t>
      </w:r>
      <w:r w:rsidR="00162F5D">
        <w:rPr>
          <w:rFonts w:ascii="Times New Roman" w:hAnsi="Times New Roman" w:cs="Times New Roman"/>
          <w:color w:val="000000" w:themeColor="text1"/>
          <w:sz w:val="24"/>
          <w:szCs w:val="24"/>
        </w:rPr>
        <w:t xml:space="preserve"> of rural women employ </w:t>
      </w:r>
      <w:r w:rsidR="00B11531" w:rsidRPr="00B11531">
        <w:rPr>
          <w:rFonts w:ascii="Times New Roman" w:hAnsi="Times New Roman" w:cs="Times New Roman"/>
          <w:color w:val="000000" w:themeColor="text1"/>
          <w:sz w:val="24"/>
          <w:szCs w:val="24"/>
        </w:rPr>
        <w:t>sanitary technique of menstruation protection.</w:t>
      </w:r>
    </w:p>
    <w:tbl>
      <w:tblPr>
        <w:tblStyle w:val="TableGrid"/>
        <w:tblW w:w="5000" w:type="pct"/>
        <w:tblLook w:val="04A0" w:firstRow="1" w:lastRow="0" w:firstColumn="1" w:lastColumn="0" w:noHBand="0" w:noVBand="1"/>
      </w:tblPr>
      <w:tblGrid>
        <w:gridCol w:w="1249"/>
        <w:gridCol w:w="639"/>
        <w:gridCol w:w="914"/>
        <w:gridCol w:w="925"/>
        <w:gridCol w:w="865"/>
        <w:gridCol w:w="1003"/>
        <w:gridCol w:w="737"/>
        <w:gridCol w:w="826"/>
        <w:gridCol w:w="1052"/>
        <w:gridCol w:w="806"/>
      </w:tblGrid>
      <w:tr w:rsidR="00473079" w:rsidRPr="00BD3C08" w14:paraId="182EDB72" w14:textId="77777777" w:rsidTr="00E93FB6">
        <w:trPr>
          <w:trHeight w:val="692"/>
        </w:trPr>
        <w:tc>
          <w:tcPr>
            <w:tcW w:w="704" w:type="pct"/>
            <w:hideMark/>
          </w:tcPr>
          <w:p w14:paraId="64E51FF9"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Background characteristic</w:t>
            </w:r>
          </w:p>
        </w:tc>
        <w:tc>
          <w:tcPr>
            <w:tcW w:w="376" w:type="pct"/>
            <w:noWrap/>
            <w:hideMark/>
          </w:tcPr>
          <w:p w14:paraId="45088ECA"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Cloth</w:t>
            </w:r>
          </w:p>
        </w:tc>
        <w:tc>
          <w:tcPr>
            <w:tcW w:w="528" w:type="pct"/>
            <w:hideMark/>
          </w:tcPr>
          <w:p w14:paraId="745AB478"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Locally prepared napkins</w:t>
            </w:r>
          </w:p>
        </w:tc>
        <w:tc>
          <w:tcPr>
            <w:tcW w:w="534" w:type="pct"/>
          </w:tcPr>
          <w:p w14:paraId="56CA5EAC" w14:textId="77777777" w:rsidR="00473079" w:rsidRPr="00DC1D13" w:rsidRDefault="00473079" w:rsidP="0030548B">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Tampons</w:t>
            </w:r>
          </w:p>
        </w:tc>
        <w:tc>
          <w:tcPr>
            <w:tcW w:w="534" w:type="pct"/>
            <w:hideMark/>
          </w:tcPr>
          <w:p w14:paraId="2C9EC8B9"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Sanitary napkins</w:t>
            </w:r>
          </w:p>
        </w:tc>
        <w:tc>
          <w:tcPr>
            <w:tcW w:w="628" w:type="pct"/>
            <w:hideMark/>
          </w:tcPr>
          <w:p w14:paraId="62872BAF"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Menstrual cups</w:t>
            </w:r>
          </w:p>
        </w:tc>
        <w:tc>
          <w:tcPr>
            <w:tcW w:w="446" w:type="pct"/>
            <w:noWrap/>
            <w:hideMark/>
          </w:tcPr>
          <w:p w14:paraId="76A3C78A"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Others</w:t>
            </w:r>
          </w:p>
        </w:tc>
        <w:tc>
          <w:tcPr>
            <w:tcW w:w="470" w:type="pct"/>
            <w:noWrap/>
            <w:hideMark/>
          </w:tcPr>
          <w:p w14:paraId="042AF9B7"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Nothing</w:t>
            </w:r>
          </w:p>
        </w:tc>
        <w:tc>
          <w:tcPr>
            <w:tcW w:w="351" w:type="pct"/>
            <w:noWrap/>
            <w:hideMark/>
          </w:tcPr>
          <w:p w14:paraId="7FBA8944"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Percentage</w:t>
            </w:r>
          </w:p>
        </w:tc>
        <w:tc>
          <w:tcPr>
            <w:tcW w:w="430" w:type="pct"/>
            <w:hideMark/>
          </w:tcPr>
          <w:p w14:paraId="3230E0DA"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No. Of Women</w:t>
            </w:r>
          </w:p>
        </w:tc>
      </w:tr>
      <w:tr w:rsidR="00473079" w:rsidRPr="00BD3C08" w14:paraId="7AC0CEEE" w14:textId="77777777" w:rsidTr="00E93FB6">
        <w:trPr>
          <w:trHeight w:val="405"/>
        </w:trPr>
        <w:tc>
          <w:tcPr>
            <w:tcW w:w="704" w:type="pct"/>
            <w:hideMark/>
          </w:tcPr>
          <w:p w14:paraId="58A56C7E"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lastRenderedPageBreak/>
              <w:t>AGE</w:t>
            </w:r>
          </w:p>
        </w:tc>
        <w:tc>
          <w:tcPr>
            <w:tcW w:w="376" w:type="pct"/>
            <w:noWrap/>
            <w:hideMark/>
          </w:tcPr>
          <w:p w14:paraId="5D4013EF"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528" w:type="pct"/>
            <w:hideMark/>
          </w:tcPr>
          <w:p w14:paraId="7E49A2D1"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534" w:type="pct"/>
          </w:tcPr>
          <w:p w14:paraId="69F83AD0" w14:textId="77777777" w:rsidR="00473079" w:rsidRPr="00DC1D13" w:rsidRDefault="00473079" w:rsidP="0030548B">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534" w:type="pct"/>
            <w:noWrap/>
            <w:hideMark/>
          </w:tcPr>
          <w:p w14:paraId="72F52662"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628" w:type="pct"/>
            <w:hideMark/>
          </w:tcPr>
          <w:p w14:paraId="41CE823A"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446" w:type="pct"/>
            <w:noWrap/>
            <w:hideMark/>
          </w:tcPr>
          <w:p w14:paraId="2A66B207"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470" w:type="pct"/>
            <w:noWrap/>
            <w:hideMark/>
          </w:tcPr>
          <w:p w14:paraId="40C890E8"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351" w:type="pct"/>
            <w:noWrap/>
            <w:hideMark/>
          </w:tcPr>
          <w:p w14:paraId="696BF05E"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c>
          <w:tcPr>
            <w:tcW w:w="430" w:type="pct"/>
            <w:hideMark/>
          </w:tcPr>
          <w:p w14:paraId="6CF1290D"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 </w:t>
            </w:r>
          </w:p>
        </w:tc>
      </w:tr>
      <w:tr w:rsidR="00473079" w:rsidRPr="00BD3C08" w14:paraId="48C0C12E" w14:textId="77777777" w:rsidTr="00E93FB6">
        <w:trPr>
          <w:trHeight w:val="300"/>
        </w:trPr>
        <w:tc>
          <w:tcPr>
            <w:tcW w:w="704" w:type="pct"/>
            <w:noWrap/>
            <w:hideMark/>
          </w:tcPr>
          <w:p w14:paraId="51CF805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15-19</w:t>
            </w:r>
          </w:p>
        </w:tc>
        <w:tc>
          <w:tcPr>
            <w:tcW w:w="376" w:type="pct"/>
            <w:noWrap/>
            <w:hideMark/>
          </w:tcPr>
          <w:p w14:paraId="207C4C06"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38.8</w:t>
            </w:r>
          </w:p>
        </w:tc>
        <w:tc>
          <w:tcPr>
            <w:tcW w:w="528" w:type="pct"/>
            <w:noWrap/>
            <w:hideMark/>
          </w:tcPr>
          <w:p w14:paraId="5B7D4CA8"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5.5</w:t>
            </w:r>
          </w:p>
        </w:tc>
        <w:tc>
          <w:tcPr>
            <w:tcW w:w="534" w:type="pct"/>
          </w:tcPr>
          <w:p w14:paraId="70F2B7FF" w14:textId="77777777" w:rsidR="00473079" w:rsidRPr="00DC1D13" w:rsidRDefault="00473079" w:rsidP="0030548B">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2.1</w:t>
            </w:r>
          </w:p>
        </w:tc>
        <w:tc>
          <w:tcPr>
            <w:tcW w:w="534" w:type="pct"/>
            <w:noWrap/>
            <w:hideMark/>
          </w:tcPr>
          <w:p w14:paraId="2A89B237"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80.3</w:t>
            </w:r>
          </w:p>
        </w:tc>
        <w:tc>
          <w:tcPr>
            <w:tcW w:w="628" w:type="pct"/>
            <w:noWrap/>
            <w:hideMark/>
          </w:tcPr>
          <w:p w14:paraId="7F86B621"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0.2</w:t>
            </w:r>
          </w:p>
        </w:tc>
        <w:tc>
          <w:tcPr>
            <w:tcW w:w="446" w:type="pct"/>
            <w:noWrap/>
            <w:hideMark/>
          </w:tcPr>
          <w:p w14:paraId="6E05FB22"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0.1</w:t>
            </w:r>
          </w:p>
        </w:tc>
        <w:tc>
          <w:tcPr>
            <w:tcW w:w="470" w:type="pct"/>
            <w:noWrap/>
            <w:hideMark/>
          </w:tcPr>
          <w:p w14:paraId="76803DF6"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0.2</w:t>
            </w:r>
          </w:p>
        </w:tc>
        <w:tc>
          <w:tcPr>
            <w:tcW w:w="351" w:type="pct"/>
            <w:noWrap/>
            <w:hideMark/>
          </w:tcPr>
          <w:p w14:paraId="30D5F4E3"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86.6</w:t>
            </w:r>
          </w:p>
        </w:tc>
        <w:tc>
          <w:tcPr>
            <w:tcW w:w="430" w:type="pct"/>
            <w:noWrap/>
            <w:hideMark/>
          </w:tcPr>
          <w:p w14:paraId="1B207F4F"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3397</w:t>
            </w:r>
          </w:p>
        </w:tc>
      </w:tr>
      <w:tr w:rsidR="00473079" w:rsidRPr="00BD3C08" w14:paraId="77BBF190" w14:textId="77777777" w:rsidTr="00E93FB6">
        <w:trPr>
          <w:trHeight w:val="300"/>
        </w:trPr>
        <w:tc>
          <w:tcPr>
            <w:tcW w:w="704" w:type="pct"/>
            <w:noWrap/>
            <w:hideMark/>
          </w:tcPr>
          <w:p w14:paraId="25BFE67E"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20-24</w:t>
            </w:r>
          </w:p>
        </w:tc>
        <w:tc>
          <w:tcPr>
            <w:tcW w:w="376" w:type="pct"/>
            <w:noWrap/>
            <w:hideMark/>
          </w:tcPr>
          <w:p w14:paraId="4DFA2F03"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46.3</w:t>
            </w:r>
          </w:p>
        </w:tc>
        <w:tc>
          <w:tcPr>
            <w:tcW w:w="528" w:type="pct"/>
            <w:noWrap/>
            <w:hideMark/>
          </w:tcPr>
          <w:p w14:paraId="11EA6B9F"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4.6</w:t>
            </w:r>
          </w:p>
        </w:tc>
        <w:tc>
          <w:tcPr>
            <w:tcW w:w="534" w:type="pct"/>
          </w:tcPr>
          <w:p w14:paraId="692F6AF5" w14:textId="77777777" w:rsidR="00473079" w:rsidRPr="00DC1D13" w:rsidRDefault="00473079" w:rsidP="0030548B">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2.2</w:t>
            </w:r>
          </w:p>
        </w:tc>
        <w:tc>
          <w:tcPr>
            <w:tcW w:w="534" w:type="pct"/>
            <w:noWrap/>
            <w:hideMark/>
          </w:tcPr>
          <w:p w14:paraId="5B271BAF"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74</w:t>
            </w:r>
          </w:p>
        </w:tc>
        <w:tc>
          <w:tcPr>
            <w:tcW w:w="628" w:type="pct"/>
            <w:noWrap/>
            <w:hideMark/>
          </w:tcPr>
          <w:p w14:paraId="065DEAE2"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0.1</w:t>
            </w:r>
          </w:p>
        </w:tc>
        <w:tc>
          <w:tcPr>
            <w:tcW w:w="446" w:type="pct"/>
            <w:noWrap/>
            <w:hideMark/>
          </w:tcPr>
          <w:p w14:paraId="5C089F90"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w:t>
            </w:r>
          </w:p>
        </w:tc>
        <w:tc>
          <w:tcPr>
            <w:tcW w:w="470" w:type="pct"/>
            <w:noWrap/>
            <w:hideMark/>
          </w:tcPr>
          <w:p w14:paraId="51DE51BF"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0.2</w:t>
            </w:r>
          </w:p>
        </w:tc>
        <w:tc>
          <w:tcPr>
            <w:tcW w:w="351" w:type="pct"/>
            <w:noWrap/>
            <w:hideMark/>
          </w:tcPr>
          <w:p w14:paraId="58F2DE95"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79.7</w:t>
            </w:r>
          </w:p>
        </w:tc>
        <w:tc>
          <w:tcPr>
            <w:tcW w:w="430" w:type="pct"/>
            <w:noWrap/>
            <w:hideMark/>
          </w:tcPr>
          <w:p w14:paraId="7851DDEE"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3471</w:t>
            </w:r>
          </w:p>
        </w:tc>
      </w:tr>
      <w:tr w:rsidR="00473079" w:rsidRPr="00BD3C08" w14:paraId="1848FAC2" w14:textId="77777777" w:rsidTr="00E93FB6">
        <w:trPr>
          <w:trHeight w:val="300"/>
        </w:trPr>
        <w:tc>
          <w:tcPr>
            <w:tcW w:w="704" w:type="pct"/>
            <w:noWrap/>
            <w:hideMark/>
          </w:tcPr>
          <w:p w14:paraId="002F1621" w14:textId="77777777" w:rsidR="00473079" w:rsidRPr="00DC1D13" w:rsidRDefault="00473079" w:rsidP="00BD3C08">
            <w:pPr>
              <w:spacing w:line="360" w:lineRule="auto"/>
              <w:jc w:val="both"/>
              <w:rPr>
                <w:rFonts w:ascii="Times New Roman" w:hAnsi="Times New Roman" w:cs="Times New Roman"/>
                <w:b/>
                <w:bCs/>
                <w:color w:val="000000" w:themeColor="text1"/>
              </w:rPr>
            </w:pPr>
            <w:r w:rsidRPr="00DC1D13">
              <w:rPr>
                <w:rFonts w:ascii="Times New Roman" w:hAnsi="Times New Roman" w:cs="Times New Roman"/>
                <w:b/>
                <w:bCs/>
                <w:color w:val="000000" w:themeColor="text1"/>
              </w:rPr>
              <w:t>RESIDENCE</w:t>
            </w:r>
          </w:p>
        </w:tc>
        <w:tc>
          <w:tcPr>
            <w:tcW w:w="376" w:type="pct"/>
            <w:noWrap/>
            <w:hideMark/>
          </w:tcPr>
          <w:p w14:paraId="2970AA5C"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528" w:type="pct"/>
            <w:noWrap/>
            <w:hideMark/>
          </w:tcPr>
          <w:p w14:paraId="62445201"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534" w:type="pct"/>
          </w:tcPr>
          <w:p w14:paraId="720ADCA2" w14:textId="77777777" w:rsidR="00473079" w:rsidRPr="00DC1D13" w:rsidRDefault="00473079" w:rsidP="0030548B">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534" w:type="pct"/>
            <w:noWrap/>
            <w:hideMark/>
          </w:tcPr>
          <w:p w14:paraId="25BF1EC0"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628" w:type="pct"/>
            <w:noWrap/>
            <w:hideMark/>
          </w:tcPr>
          <w:p w14:paraId="300B74CE"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446" w:type="pct"/>
            <w:noWrap/>
            <w:hideMark/>
          </w:tcPr>
          <w:p w14:paraId="428CE07F"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470" w:type="pct"/>
            <w:noWrap/>
            <w:hideMark/>
          </w:tcPr>
          <w:p w14:paraId="318D43E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351" w:type="pct"/>
            <w:noWrap/>
            <w:hideMark/>
          </w:tcPr>
          <w:p w14:paraId="1373A222"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c>
          <w:tcPr>
            <w:tcW w:w="430" w:type="pct"/>
            <w:noWrap/>
            <w:hideMark/>
          </w:tcPr>
          <w:p w14:paraId="561FAD52"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 </w:t>
            </w:r>
          </w:p>
        </w:tc>
      </w:tr>
      <w:tr w:rsidR="00473079" w:rsidRPr="00BD3C08" w14:paraId="194C08B1" w14:textId="77777777" w:rsidTr="00E93FB6">
        <w:trPr>
          <w:trHeight w:val="300"/>
        </w:trPr>
        <w:tc>
          <w:tcPr>
            <w:tcW w:w="704" w:type="pct"/>
            <w:noWrap/>
            <w:hideMark/>
          </w:tcPr>
          <w:p w14:paraId="42C8A165"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Urban</w:t>
            </w:r>
          </w:p>
        </w:tc>
        <w:tc>
          <w:tcPr>
            <w:tcW w:w="376" w:type="pct"/>
            <w:noWrap/>
            <w:hideMark/>
          </w:tcPr>
          <w:p w14:paraId="25E46D05"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29.3</w:t>
            </w:r>
          </w:p>
        </w:tc>
        <w:tc>
          <w:tcPr>
            <w:tcW w:w="528" w:type="pct"/>
            <w:noWrap/>
            <w:hideMark/>
          </w:tcPr>
          <w:p w14:paraId="47371DA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3.8</w:t>
            </w:r>
          </w:p>
        </w:tc>
        <w:tc>
          <w:tcPr>
            <w:tcW w:w="534" w:type="pct"/>
          </w:tcPr>
          <w:p w14:paraId="287A4CEB" w14:textId="77777777" w:rsidR="00473079" w:rsidRPr="00DC1D13" w:rsidRDefault="00473079" w:rsidP="0030548B">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1.7</w:t>
            </w:r>
          </w:p>
        </w:tc>
        <w:tc>
          <w:tcPr>
            <w:tcW w:w="534" w:type="pct"/>
            <w:noWrap/>
            <w:hideMark/>
          </w:tcPr>
          <w:p w14:paraId="76E58964"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86.5</w:t>
            </w:r>
          </w:p>
        </w:tc>
        <w:tc>
          <w:tcPr>
            <w:tcW w:w="628" w:type="pct"/>
            <w:noWrap/>
            <w:hideMark/>
          </w:tcPr>
          <w:p w14:paraId="5ED4C01B"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0.1</w:t>
            </w:r>
          </w:p>
        </w:tc>
        <w:tc>
          <w:tcPr>
            <w:tcW w:w="446" w:type="pct"/>
            <w:noWrap/>
            <w:hideMark/>
          </w:tcPr>
          <w:p w14:paraId="22DAB28A"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w:t>
            </w:r>
          </w:p>
        </w:tc>
        <w:tc>
          <w:tcPr>
            <w:tcW w:w="470" w:type="pct"/>
            <w:noWrap/>
            <w:hideMark/>
          </w:tcPr>
          <w:p w14:paraId="3B000CBC"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w:t>
            </w:r>
          </w:p>
        </w:tc>
        <w:tc>
          <w:tcPr>
            <w:tcW w:w="351" w:type="pct"/>
            <w:noWrap/>
            <w:hideMark/>
          </w:tcPr>
          <w:p w14:paraId="0BF54F68"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91.2</w:t>
            </w:r>
          </w:p>
        </w:tc>
        <w:tc>
          <w:tcPr>
            <w:tcW w:w="430" w:type="pct"/>
            <w:noWrap/>
            <w:hideMark/>
          </w:tcPr>
          <w:p w14:paraId="5CF40AB7"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1991</w:t>
            </w:r>
          </w:p>
        </w:tc>
      </w:tr>
      <w:tr w:rsidR="00473079" w:rsidRPr="00BD3C08" w14:paraId="7CB66DA1" w14:textId="77777777" w:rsidTr="00E93FB6">
        <w:trPr>
          <w:trHeight w:val="300"/>
        </w:trPr>
        <w:tc>
          <w:tcPr>
            <w:tcW w:w="704" w:type="pct"/>
            <w:noWrap/>
            <w:hideMark/>
          </w:tcPr>
          <w:p w14:paraId="14F62B98"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Rural</w:t>
            </w:r>
          </w:p>
        </w:tc>
        <w:tc>
          <w:tcPr>
            <w:tcW w:w="376" w:type="pct"/>
            <w:noWrap/>
            <w:hideMark/>
          </w:tcPr>
          <w:p w14:paraId="42F33006"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48</w:t>
            </w:r>
          </w:p>
        </w:tc>
        <w:tc>
          <w:tcPr>
            <w:tcW w:w="528" w:type="pct"/>
            <w:noWrap/>
            <w:hideMark/>
          </w:tcPr>
          <w:p w14:paraId="06862CC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5.5</w:t>
            </w:r>
          </w:p>
        </w:tc>
        <w:tc>
          <w:tcPr>
            <w:tcW w:w="534" w:type="pct"/>
          </w:tcPr>
          <w:p w14:paraId="6471670C" w14:textId="77777777" w:rsidR="00473079" w:rsidRPr="00DC1D13" w:rsidRDefault="00473079" w:rsidP="0030548B">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2.3</w:t>
            </w:r>
          </w:p>
        </w:tc>
        <w:tc>
          <w:tcPr>
            <w:tcW w:w="534" w:type="pct"/>
            <w:noWrap/>
            <w:hideMark/>
          </w:tcPr>
          <w:p w14:paraId="6D8B2880"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73.3</w:t>
            </w:r>
          </w:p>
        </w:tc>
        <w:tc>
          <w:tcPr>
            <w:tcW w:w="628" w:type="pct"/>
            <w:noWrap/>
            <w:hideMark/>
          </w:tcPr>
          <w:p w14:paraId="0E9D9AFB"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0.2</w:t>
            </w:r>
          </w:p>
        </w:tc>
        <w:tc>
          <w:tcPr>
            <w:tcW w:w="446" w:type="pct"/>
            <w:noWrap/>
            <w:hideMark/>
          </w:tcPr>
          <w:p w14:paraId="4F4F58F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0.1</w:t>
            </w:r>
          </w:p>
        </w:tc>
        <w:tc>
          <w:tcPr>
            <w:tcW w:w="470" w:type="pct"/>
            <w:noWrap/>
            <w:hideMark/>
          </w:tcPr>
          <w:p w14:paraId="3215B887"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0.3</w:t>
            </w:r>
          </w:p>
        </w:tc>
        <w:tc>
          <w:tcPr>
            <w:tcW w:w="351" w:type="pct"/>
            <w:noWrap/>
            <w:hideMark/>
          </w:tcPr>
          <w:p w14:paraId="0654EBFD"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79.8</w:t>
            </w:r>
          </w:p>
        </w:tc>
        <w:tc>
          <w:tcPr>
            <w:tcW w:w="430" w:type="pct"/>
            <w:noWrap/>
            <w:hideMark/>
          </w:tcPr>
          <w:p w14:paraId="02EDED54" w14:textId="77777777" w:rsidR="00473079" w:rsidRPr="00DC1D13" w:rsidRDefault="00473079" w:rsidP="00BD3C08">
            <w:pPr>
              <w:spacing w:line="360" w:lineRule="auto"/>
              <w:jc w:val="both"/>
              <w:rPr>
                <w:rFonts w:ascii="Times New Roman" w:hAnsi="Times New Roman" w:cs="Times New Roman"/>
                <w:color w:val="000000" w:themeColor="text1"/>
              </w:rPr>
            </w:pPr>
            <w:r w:rsidRPr="00DC1D13">
              <w:rPr>
                <w:rFonts w:ascii="Times New Roman" w:hAnsi="Times New Roman" w:cs="Times New Roman"/>
                <w:color w:val="000000" w:themeColor="text1"/>
              </w:rPr>
              <w:t>4878</w:t>
            </w:r>
          </w:p>
        </w:tc>
      </w:tr>
    </w:tbl>
    <w:p w14:paraId="7D98A994" w14:textId="77777777" w:rsidR="00D62B70" w:rsidRPr="00B11531" w:rsidRDefault="00D62B70" w:rsidP="00B11531">
      <w:pPr>
        <w:spacing w:line="360" w:lineRule="auto"/>
        <w:jc w:val="both"/>
        <w:rPr>
          <w:rFonts w:ascii="Times New Roman" w:hAnsi="Times New Roman" w:cs="Times New Roman"/>
          <w:color w:val="000000" w:themeColor="text1"/>
          <w:sz w:val="24"/>
          <w:szCs w:val="24"/>
        </w:rPr>
      </w:pPr>
    </w:p>
    <w:p w14:paraId="64AE9FDB" w14:textId="77777777" w:rsidR="00CC6F5C" w:rsidRPr="00D220D6" w:rsidRDefault="00124217" w:rsidP="00D62B70">
      <w:pPr>
        <w:spacing w:line="360" w:lineRule="auto"/>
        <w:jc w:val="both"/>
        <w:rPr>
          <w:rFonts w:ascii="Times New Roman" w:hAnsi="Times New Roman" w:cs="Times New Roman"/>
          <w:b/>
          <w:sz w:val="24"/>
          <w:szCs w:val="24"/>
        </w:rPr>
      </w:pPr>
      <w:r w:rsidRPr="00D220D6">
        <w:rPr>
          <w:rFonts w:ascii="Times New Roman" w:hAnsi="Times New Roman" w:cs="Times New Roman"/>
          <w:b/>
          <w:sz w:val="24"/>
          <w:szCs w:val="24"/>
        </w:rPr>
        <w:t>TABLE 3</w:t>
      </w:r>
      <w:r w:rsidR="00D62B70" w:rsidRPr="00D220D6">
        <w:rPr>
          <w:rFonts w:ascii="Times New Roman" w:hAnsi="Times New Roman" w:cs="Times New Roman"/>
          <w:b/>
          <w:sz w:val="24"/>
          <w:szCs w:val="24"/>
        </w:rPr>
        <w:t>:</w:t>
      </w:r>
      <w:r w:rsidRPr="00D220D6">
        <w:rPr>
          <w:rFonts w:ascii="Times New Roman" w:hAnsi="Times New Roman" w:cs="Times New Roman"/>
          <w:b/>
          <w:sz w:val="24"/>
          <w:szCs w:val="24"/>
        </w:rPr>
        <w:t xml:space="preserve"> </w:t>
      </w:r>
      <w:r w:rsidR="00D62B70" w:rsidRPr="00D220D6">
        <w:rPr>
          <w:rFonts w:ascii="Times New Roman" w:hAnsi="Times New Roman" w:cs="Times New Roman"/>
          <w:b/>
          <w:sz w:val="24"/>
          <w:szCs w:val="24"/>
        </w:rPr>
        <w:t>Percentage of women age 15-24 who use various methods of menstrual protection and percentage using a hygienic method, according to</w:t>
      </w:r>
      <w:r w:rsidR="009A2C7F" w:rsidRPr="00D220D6">
        <w:rPr>
          <w:rFonts w:ascii="Times New Roman" w:hAnsi="Times New Roman" w:cs="Times New Roman"/>
          <w:b/>
          <w:sz w:val="24"/>
          <w:szCs w:val="24"/>
        </w:rPr>
        <w:t xml:space="preserve"> </w:t>
      </w:r>
      <w:r w:rsidR="00D62B70" w:rsidRPr="00D220D6">
        <w:rPr>
          <w:rFonts w:ascii="Times New Roman" w:hAnsi="Times New Roman" w:cs="Times New Roman"/>
          <w:b/>
          <w:sz w:val="24"/>
          <w:szCs w:val="24"/>
        </w:rPr>
        <w:t>background characteristics, West Bengal, 2019-21</w:t>
      </w:r>
    </w:p>
    <w:p w14:paraId="1A376F99" w14:textId="77777777" w:rsidR="004919BF" w:rsidRPr="004919BF" w:rsidRDefault="004919BF" w:rsidP="004919BF">
      <w:pPr>
        <w:spacing w:after="0" w:line="360" w:lineRule="auto"/>
        <w:jc w:val="both"/>
        <w:rPr>
          <w:rFonts w:ascii="Times New Roman" w:eastAsia="Times New Roman" w:hAnsi="Times New Roman" w:cs="Times New Roman"/>
          <w:sz w:val="24"/>
          <w:szCs w:val="24"/>
          <w:lang w:eastAsia="en-IN"/>
        </w:rPr>
      </w:pPr>
      <w:r w:rsidRPr="004919BF">
        <w:rPr>
          <w:rFonts w:ascii="Times New Roman" w:eastAsia="Times New Roman" w:hAnsi="Times New Roman" w:cs="Times New Roman"/>
          <w:sz w:val="24"/>
          <w:szCs w:val="24"/>
          <w:lang w:eastAsia="en-IN"/>
        </w:rPr>
        <w:t xml:space="preserve">Data on menstrual hygiene </w:t>
      </w:r>
      <w:r w:rsidR="00BD3C08" w:rsidRPr="004919BF">
        <w:rPr>
          <w:rFonts w:ascii="Times New Roman" w:eastAsia="Times New Roman" w:hAnsi="Times New Roman" w:cs="Times New Roman"/>
          <w:sz w:val="24"/>
          <w:szCs w:val="24"/>
          <w:lang w:eastAsia="en-IN"/>
        </w:rPr>
        <w:t>behaviours</w:t>
      </w:r>
      <w:r w:rsidR="00494098">
        <w:rPr>
          <w:rFonts w:ascii="Times New Roman" w:eastAsia="Times New Roman" w:hAnsi="Times New Roman" w:cs="Times New Roman"/>
          <w:sz w:val="24"/>
          <w:szCs w:val="24"/>
          <w:lang w:eastAsia="en-IN"/>
        </w:rPr>
        <w:t xml:space="preserve"> among Indian women aged 15-</w:t>
      </w:r>
      <w:r w:rsidRPr="004919BF">
        <w:rPr>
          <w:rFonts w:ascii="Times New Roman" w:eastAsia="Times New Roman" w:hAnsi="Times New Roman" w:cs="Times New Roman"/>
          <w:sz w:val="24"/>
          <w:szCs w:val="24"/>
          <w:lang w:eastAsia="en-IN"/>
        </w:rPr>
        <w:t xml:space="preserve">24 from </w:t>
      </w:r>
      <w:r w:rsidR="00494098">
        <w:rPr>
          <w:rFonts w:ascii="Times New Roman" w:eastAsia="Times New Roman" w:hAnsi="Times New Roman" w:cs="Times New Roman"/>
          <w:sz w:val="24"/>
          <w:szCs w:val="24"/>
          <w:lang w:eastAsia="en-IN"/>
        </w:rPr>
        <w:t>NFHS-5, 2019-21</w:t>
      </w:r>
      <w:r w:rsidR="004C22E4">
        <w:rPr>
          <w:rFonts w:ascii="Times New Roman" w:eastAsia="Times New Roman" w:hAnsi="Times New Roman" w:cs="Times New Roman"/>
          <w:sz w:val="24"/>
          <w:szCs w:val="24"/>
          <w:lang w:eastAsia="en-IN"/>
        </w:rPr>
        <w:t>,</w:t>
      </w:r>
      <w:r w:rsidRPr="004919BF">
        <w:rPr>
          <w:rFonts w:ascii="Times New Roman" w:eastAsia="Times New Roman" w:hAnsi="Times New Roman" w:cs="Times New Roman"/>
          <w:sz w:val="24"/>
          <w:szCs w:val="24"/>
          <w:lang w:eastAsia="en-IN"/>
        </w:rPr>
        <w:t xml:space="preserve"> shows notable variations by age and locality. Com</w:t>
      </w:r>
      <w:r w:rsidR="004C22E4">
        <w:rPr>
          <w:rFonts w:ascii="Times New Roman" w:eastAsia="Times New Roman" w:hAnsi="Times New Roman" w:cs="Times New Roman"/>
          <w:sz w:val="24"/>
          <w:szCs w:val="24"/>
          <w:lang w:eastAsia="en-IN"/>
        </w:rPr>
        <w:t>pared to 79.7% of women aged 20-</w:t>
      </w:r>
      <w:r w:rsidRPr="004919BF">
        <w:rPr>
          <w:rFonts w:ascii="Times New Roman" w:eastAsia="Times New Roman" w:hAnsi="Times New Roman" w:cs="Times New Roman"/>
          <w:sz w:val="24"/>
          <w:szCs w:val="24"/>
          <w:lang w:eastAsia="en-IN"/>
        </w:rPr>
        <w:t>24,</w:t>
      </w:r>
      <w:r w:rsidR="004C22E4">
        <w:rPr>
          <w:rFonts w:ascii="Times New Roman" w:eastAsia="Times New Roman" w:hAnsi="Times New Roman" w:cs="Times New Roman"/>
          <w:sz w:val="24"/>
          <w:szCs w:val="24"/>
          <w:lang w:eastAsia="en-IN"/>
        </w:rPr>
        <w:t xml:space="preserve"> 86.6% of younger women aged 15-</w:t>
      </w:r>
      <w:r w:rsidRPr="004919BF">
        <w:rPr>
          <w:rFonts w:ascii="Times New Roman" w:eastAsia="Times New Roman" w:hAnsi="Times New Roman" w:cs="Times New Roman"/>
          <w:sz w:val="24"/>
          <w:szCs w:val="24"/>
          <w:lang w:eastAsia="en-IN"/>
        </w:rPr>
        <w:t>19 reported using any kind of menstruation protection. While cloth usage ris</w:t>
      </w:r>
      <w:r w:rsidR="004C22E4">
        <w:rPr>
          <w:rFonts w:ascii="Times New Roman" w:eastAsia="Times New Roman" w:hAnsi="Times New Roman" w:cs="Times New Roman"/>
          <w:sz w:val="24"/>
          <w:szCs w:val="24"/>
          <w:lang w:eastAsia="en-IN"/>
        </w:rPr>
        <w:t>es with age</w:t>
      </w:r>
      <w:r w:rsidR="00C31FC4">
        <w:rPr>
          <w:rFonts w:ascii="Times New Roman" w:eastAsia="Times New Roman" w:hAnsi="Times New Roman" w:cs="Times New Roman"/>
          <w:sz w:val="24"/>
          <w:szCs w:val="24"/>
          <w:lang w:eastAsia="en-IN"/>
        </w:rPr>
        <w:t xml:space="preserve"> </w:t>
      </w:r>
      <w:r w:rsidR="004C22E4">
        <w:rPr>
          <w:rFonts w:ascii="Times New Roman" w:eastAsia="Times New Roman" w:hAnsi="Times New Roman" w:cs="Times New Roman"/>
          <w:sz w:val="24"/>
          <w:szCs w:val="24"/>
          <w:lang w:eastAsia="en-IN"/>
        </w:rPr>
        <w:t>from 38.8% in the 15-19 group to 46.3% in the 20-</w:t>
      </w:r>
      <w:r w:rsidRPr="004919BF">
        <w:rPr>
          <w:rFonts w:ascii="Times New Roman" w:eastAsia="Times New Roman" w:hAnsi="Times New Roman" w:cs="Times New Roman"/>
          <w:sz w:val="24"/>
          <w:szCs w:val="24"/>
          <w:lang w:eastAsia="en-IN"/>
        </w:rPr>
        <w:t>24 group</w:t>
      </w:r>
      <w:r>
        <w:rPr>
          <w:rFonts w:ascii="Times New Roman" w:eastAsia="Times New Roman" w:hAnsi="Times New Roman" w:cs="Times New Roman"/>
          <w:sz w:val="24"/>
          <w:szCs w:val="24"/>
          <w:lang w:eastAsia="en-IN"/>
        </w:rPr>
        <w:t xml:space="preserve">, </w:t>
      </w:r>
      <w:r w:rsidRPr="004919BF">
        <w:rPr>
          <w:rFonts w:ascii="Times New Roman" w:eastAsia="Times New Roman" w:hAnsi="Times New Roman" w:cs="Times New Roman"/>
          <w:sz w:val="24"/>
          <w:szCs w:val="24"/>
          <w:lang w:eastAsia="en-IN"/>
        </w:rPr>
        <w:t>the younger group uses more sanitary napkins (80.3%) than the older group (74%). With younger women using sanitary napkins at higher rates, this points to a generational shift toward contemporary menstrual hygiene products.</w:t>
      </w:r>
    </w:p>
    <w:p w14:paraId="5BC10EA8" w14:textId="77777777" w:rsidR="004919BF" w:rsidRPr="004919BF" w:rsidRDefault="00E64CA9" w:rsidP="004919BF">
      <w:pPr>
        <w:spacing w:line="360" w:lineRule="auto"/>
        <w:jc w:val="both"/>
        <w:rPr>
          <w:rFonts w:ascii="Times New Roman" w:hAnsi="Times New Roman" w:cs="Times New Roman"/>
          <w:sz w:val="24"/>
          <w:szCs w:val="24"/>
        </w:rPr>
      </w:pPr>
      <w:r>
        <w:rPr>
          <w:rFonts w:ascii="Times New Roman" w:hAnsi="Times New Roman" w:cs="Times New Roman"/>
          <w:sz w:val="24"/>
          <w:szCs w:val="24"/>
        </w:rPr>
        <w:t>The gap between urban as well as</w:t>
      </w:r>
      <w:r w:rsidR="004919BF" w:rsidRPr="004919BF">
        <w:rPr>
          <w:rFonts w:ascii="Times New Roman" w:hAnsi="Times New Roman" w:cs="Times New Roman"/>
          <w:sz w:val="24"/>
          <w:szCs w:val="24"/>
        </w:rPr>
        <w:t xml:space="preserve"> rural areas is much more noticeable. Compared to 79.8% in rural regions, 91.2% of</w:t>
      </w:r>
      <w:r>
        <w:rPr>
          <w:rFonts w:ascii="Times New Roman" w:hAnsi="Times New Roman" w:cs="Times New Roman"/>
          <w:sz w:val="24"/>
          <w:szCs w:val="24"/>
        </w:rPr>
        <w:t xml:space="preserve"> women across</w:t>
      </w:r>
      <w:r w:rsidR="004919BF" w:rsidRPr="004919BF">
        <w:rPr>
          <w:rFonts w:ascii="Times New Roman" w:hAnsi="Times New Roman" w:cs="Times New Roman"/>
          <w:sz w:val="24"/>
          <w:szCs w:val="24"/>
        </w:rPr>
        <w:t xml:space="preserve"> urban areas reported using some kind of menstruation protection. In urban areas, 86.5% of people use sanitary napkins, which is mu</w:t>
      </w:r>
      <w:r>
        <w:rPr>
          <w:rFonts w:ascii="Times New Roman" w:hAnsi="Times New Roman" w:cs="Times New Roman"/>
          <w:sz w:val="24"/>
          <w:szCs w:val="24"/>
        </w:rPr>
        <w:t>ch higher than the 73.3% rate in</w:t>
      </w:r>
      <w:r w:rsidR="004919BF" w:rsidRPr="004919BF">
        <w:rPr>
          <w:rFonts w:ascii="Times New Roman" w:hAnsi="Times New Roman" w:cs="Times New Roman"/>
          <w:sz w:val="24"/>
          <w:szCs w:val="24"/>
        </w:rPr>
        <w:t xml:space="preserve"> rural areas. On the other hand, rural regions utilize far more cloth (48%) than urban areas (29.3%). A tiny percentage of women (up to 0.3%) reported not using any protection at all during their periods, and use of tampons, menstrual cups, and locally made napkins is still very low across all demographics. In order to encourage safer and more sanitary habits among all age groups, our </w:t>
      </w:r>
      <w:r w:rsidR="00B3707B">
        <w:rPr>
          <w:rFonts w:ascii="Times New Roman" w:hAnsi="Times New Roman" w:cs="Times New Roman"/>
          <w:sz w:val="24"/>
          <w:szCs w:val="24"/>
        </w:rPr>
        <w:t>results highlight requirement</w:t>
      </w:r>
      <w:r w:rsidR="004919BF" w:rsidRPr="004919BF">
        <w:rPr>
          <w:rFonts w:ascii="Times New Roman" w:hAnsi="Times New Roman" w:cs="Times New Roman"/>
          <w:sz w:val="24"/>
          <w:szCs w:val="24"/>
        </w:rPr>
        <w:t xml:space="preserve"> for more robust menstrual hygiene awareness and accessibility campaigns, particularly in rural India.</w:t>
      </w:r>
    </w:p>
    <w:p w14:paraId="185C2737" w14:textId="77777777" w:rsidR="00A24588" w:rsidRPr="009F7CA9" w:rsidRDefault="00A24588" w:rsidP="00950E1C">
      <w:pPr>
        <w:spacing w:line="360" w:lineRule="auto"/>
        <w:jc w:val="both"/>
        <w:rPr>
          <w:rFonts w:ascii="Times New Roman" w:hAnsi="Times New Roman" w:cs="Times New Roman"/>
          <w:b/>
          <w:sz w:val="24"/>
          <w:szCs w:val="24"/>
        </w:rPr>
      </w:pPr>
      <w:r w:rsidRPr="009F7CA9">
        <w:rPr>
          <w:rFonts w:ascii="Times New Roman" w:hAnsi="Times New Roman" w:cs="Times New Roman"/>
          <w:b/>
          <w:sz w:val="24"/>
          <w:szCs w:val="24"/>
        </w:rPr>
        <w:t xml:space="preserve">Period </w:t>
      </w:r>
      <w:r w:rsidR="008641E8" w:rsidRPr="009F7CA9">
        <w:rPr>
          <w:rFonts w:ascii="Times New Roman" w:hAnsi="Times New Roman" w:cs="Times New Roman"/>
          <w:b/>
          <w:sz w:val="24"/>
          <w:szCs w:val="24"/>
        </w:rPr>
        <w:t>Pain Presenteeism:</w:t>
      </w:r>
    </w:p>
    <w:p w14:paraId="225916D7" w14:textId="111C746C" w:rsidR="008641E8" w:rsidRDefault="003704C8" w:rsidP="008641E8">
      <w:pPr>
        <w:spacing w:line="360" w:lineRule="auto"/>
        <w:jc w:val="both"/>
        <w:rPr>
          <w:rFonts w:ascii="Times New Roman" w:hAnsi="Times New Roman" w:cs="Times New Roman"/>
          <w:sz w:val="24"/>
          <w:szCs w:val="24"/>
        </w:rPr>
      </w:pPr>
      <w:r>
        <w:rPr>
          <w:rFonts w:ascii="Times New Roman" w:hAnsi="Times New Roman" w:cs="Times New Roman"/>
          <w:sz w:val="24"/>
          <w:szCs w:val="24"/>
        </w:rPr>
        <w:t>Dysmenorrhea or period pain is represented by an excruciating, pai</w:t>
      </w:r>
      <w:r w:rsidR="00B3707B">
        <w:rPr>
          <w:rFonts w:ascii="Times New Roman" w:hAnsi="Times New Roman" w:cs="Times New Roman"/>
          <w:sz w:val="24"/>
          <w:szCs w:val="24"/>
        </w:rPr>
        <w:t xml:space="preserve">nful and often accompanied by cramping sensation in </w:t>
      </w:r>
      <w:r>
        <w:rPr>
          <w:rFonts w:ascii="Times New Roman" w:hAnsi="Times New Roman" w:cs="Times New Roman"/>
          <w:sz w:val="24"/>
          <w:szCs w:val="24"/>
        </w:rPr>
        <w:t>lower abdomen</w:t>
      </w:r>
      <w:r w:rsidR="00F018B4">
        <w:rPr>
          <w:rFonts w:ascii="Times New Roman" w:hAnsi="Times New Roman" w:cs="Times New Roman"/>
          <w:sz w:val="24"/>
          <w:szCs w:val="24"/>
        </w:rPr>
        <w:t xml:space="preserve"> </w:t>
      </w:r>
      <w:r w:rsidR="00E61C29">
        <w:rPr>
          <w:rFonts w:ascii="Times New Roman" w:hAnsi="Times New Roman" w:cs="Times New Roman"/>
          <w:sz w:val="24"/>
          <w:szCs w:val="24"/>
        </w:rPr>
        <w:t>(</w:t>
      </w:r>
      <w:r w:rsidR="00E61C29" w:rsidRPr="005F3154">
        <w:rPr>
          <w:rFonts w:ascii="Times New Roman" w:hAnsi="Times New Roman" w:cs="Times New Roman"/>
          <w:bCs/>
          <w:sz w:val="24"/>
          <w:szCs w:val="24"/>
        </w:rPr>
        <w:t>Chen</w:t>
      </w:r>
      <w:r w:rsidR="00E61C29">
        <w:rPr>
          <w:rFonts w:ascii="Times New Roman" w:hAnsi="Times New Roman" w:cs="Times New Roman"/>
          <w:bCs/>
          <w:sz w:val="24"/>
          <w:szCs w:val="24"/>
        </w:rPr>
        <w:t xml:space="preserve"> et al., 2018; </w:t>
      </w:r>
      <w:r w:rsidR="00E61C29" w:rsidRPr="00E61C29">
        <w:rPr>
          <w:rFonts w:ascii="Times New Roman" w:hAnsi="Times New Roman" w:cs="Times New Roman"/>
          <w:bCs/>
          <w:sz w:val="24"/>
          <w:szCs w:val="24"/>
        </w:rPr>
        <w:t>Ju</w:t>
      </w:r>
      <w:r w:rsidR="00E61C29">
        <w:rPr>
          <w:rFonts w:ascii="Times New Roman" w:hAnsi="Times New Roman" w:cs="Times New Roman"/>
          <w:bCs/>
          <w:sz w:val="24"/>
          <w:szCs w:val="24"/>
        </w:rPr>
        <w:t xml:space="preserve"> et al.</w:t>
      </w:r>
      <w:r w:rsidR="00F018B4">
        <w:rPr>
          <w:rFonts w:ascii="Times New Roman" w:hAnsi="Times New Roman" w:cs="Times New Roman"/>
          <w:sz w:val="24"/>
          <w:szCs w:val="24"/>
        </w:rPr>
        <w:t>, 2</w:t>
      </w:r>
      <w:r w:rsidR="00E61C29">
        <w:rPr>
          <w:rFonts w:ascii="Times New Roman" w:hAnsi="Times New Roman" w:cs="Times New Roman"/>
          <w:sz w:val="24"/>
          <w:szCs w:val="24"/>
        </w:rPr>
        <w:t>014)</w:t>
      </w:r>
      <w:r>
        <w:rPr>
          <w:rFonts w:ascii="Times New Roman" w:hAnsi="Times New Roman" w:cs="Times New Roman"/>
          <w:sz w:val="24"/>
          <w:szCs w:val="24"/>
        </w:rPr>
        <w:t xml:space="preserve">. It is </w:t>
      </w:r>
      <w:r w:rsidR="00B3707B">
        <w:rPr>
          <w:rFonts w:ascii="Times New Roman" w:hAnsi="Times New Roman" w:cs="Times New Roman"/>
          <w:sz w:val="24"/>
          <w:szCs w:val="24"/>
        </w:rPr>
        <w:t xml:space="preserve">familiar with prevalence rates suggesting </w:t>
      </w:r>
      <w:r>
        <w:rPr>
          <w:rFonts w:ascii="Times New Roman" w:hAnsi="Times New Roman" w:cs="Times New Roman"/>
          <w:sz w:val="24"/>
          <w:szCs w:val="24"/>
        </w:rPr>
        <w:t xml:space="preserve">almost 91% of menstruating pain </w:t>
      </w:r>
      <w:r w:rsidR="00390827">
        <w:rPr>
          <w:rFonts w:ascii="Times New Roman" w:hAnsi="Times New Roman" w:cs="Times New Roman"/>
          <w:sz w:val="24"/>
          <w:szCs w:val="24"/>
        </w:rPr>
        <w:t xml:space="preserve">and </w:t>
      </w:r>
      <w:proofErr w:type="spellStart"/>
      <w:r w:rsidR="00390827">
        <w:rPr>
          <w:rFonts w:ascii="Times New Roman" w:hAnsi="Times New Roman" w:cs="Times New Roman"/>
          <w:sz w:val="24"/>
          <w:szCs w:val="24"/>
        </w:rPr>
        <w:t>upto</w:t>
      </w:r>
      <w:proofErr w:type="spellEnd"/>
      <w:r w:rsidR="00390827">
        <w:rPr>
          <w:rFonts w:ascii="Times New Roman" w:hAnsi="Times New Roman" w:cs="Times New Roman"/>
          <w:sz w:val="24"/>
          <w:szCs w:val="24"/>
        </w:rPr>
        <w:t xml:space="preserve"> 30% of severe pain </w:t>
      </w:r>
      <w:r w:rsidR="00E61C29">
        <w:rPr>
          <w:rFonts w:ascii="Times New Roman" w:hAnsi="Times New Roman" w:cs="Times New Roman"/>
          <w:sz w:val="24"/>
          <w:szCs w:val="24"/>
        </w:rPr>
        <w:t>(</w:t>
      </w:r>
      <w:r w:rsidR="00E61C29" w:rsidRPr="00E61C29">
        <w:rPr>
          <w:rFonts w:ascii="Times New Roman" w:hAnsi="Times New Roman" w:cs="Times New Roman"/>
          <w:bCs/>
          <w:sz w:val="24"/>
          <w:szCs w:val="24"/>
        </w:rPr>
        <w:t>Chen et al., 2018</w:t>
      </w:r>
      <w:r w:rsidR="00E61C29">
        <w:rPr>
          <w:rFonts w:ascii="Times New Roman" w:hAnsi="Times New Roman" w:cs="Times New Roman"/>
          <w:sz w:val="24"/>
          <w:szCs w:val="24"/>
        </w:rPr>
        <w:t>)</w:t>
      </w:r>
      <w:r w:rsidR="00390827">
        <w:rPr>
          <w:rFonts w:ascii="Times New Roman" w:hAnsi="Times New Roman" w:cs="Times New Roman"/>
          <w:sz w:val="24"/>
          <w:szCs w:val="24"/>
        </w:rPr>
        <w:t xml:space="preserve">. It also </w:t>
      </w:r>
      <w:r w:rsidR="00B3707B">
        <w:rPr>
          <w:rFonts w:ascii="Times New Roman" w:hAnsi="Times New Roman" w:cs="Times New Roman"/>
          <w:sz w:val="24"/>
          <w:szCs w:val="24"/>
        </w:rPr>
        <w:t xml:space="preserve">impacts </w:t>
      </w:r>
      <w:r w:rsidR="00390827">
        <w:rPr>
          <w:rFonts w:ascii="Times New Roman" w:hAnsi="Times New Roman" w:cs="Times New Roman"/>
          <w:sz w:val="24"/>
          <w:szCs w:val="24"/>
        </w:rPr>
        <w:t xml:space="preserve">quality of life </w:t>
      </w:r>
      <w:r w:rsidR="00B3707B">
        <w:rPr>
          <w:rFonts w:ascii="Times New Roman" w:hAnsi="Times New Roman" w:cs="Times New Roman"/>
          <w:sz w:val="24"/>
          <w:szCs w:val="24"/>
        </w:rPr>
        <w:t xml:space="preserve">(QoL) </w:t>
      </w:r>
      <w:r w:rsidR="00390827">
        <w:rPr>
          <w:rFonts w:ascii="Times New Roman" w:hAnsi="Times New Roman" w:cs="Times New Roman"/>
          <w:sz w:val="24"/>
          <w:szCs w:val="24"/>
        </w:rPr>
        <w:t xml:space="preserve">strongly </w:t>
      </w:r>
      <w:r w:rsidR="00B3707B">
        <w:rPr>
          <w:rFonts w:ascii="Times New Roman" w:hAnsi="Times New Roman" w:cs="Times New Roman"/>
          <w:sz w:val="24"/>
          <w:szCs w:val="24"/>
        </w:rPr>
        <w:t xml:space="preserve">and may lead to work absence </w:t>
      </w:r>
      <w:r w:rsidR="00B3707B">
        <w:rPr>
          <w:rFonts w:ascii="Times New Roman" w:hAnsi="Times New Roman" w:cs="Times New Roman"/>
          <w:sz w:val="24"/>
          <w:szCs w:val="24"/>
        </w:rPr>
        <w:lastRenderedPageBreak/>
        <w:t>as well as</w:t>
      </w:r>
      <w:r w:rsidR="00390827">
        <w:rPr>
          <w:rFonts w:ascii="Times New Roman" w:hAnsi="Times New Roman" w:cs="Times New Roman"/>
          <w:sz w:val="24"/>
          <w:szCs w:val="24"/>
        </w:rPr>
        <w:t xml:space="preserve"> loss of productivity </w:t>
      </w:r>
      <w:r w:rsidR="007F5C7C">
        <w:rPr>
          <w:rFonts w:ascii="Times New Roman" w:hAnsi="Times New Roman" w:cs="Times New Roman"/>
          <w:sz w:val="24"/>
          <w:szCs w:val="24"/>
        </w:rPr>
        <w:t>(</w:t>
      </w:r>
      <w:r w:rsidR="007F5C7C" w:rsidRPr="00E81CF7">
        <w:rPr>
          <w:rFonts w:ascii="Times New Roman" w:hAnsi="Times New Roman" w:cs="Times New Roman"/>
          <w:sz w:val="24"/>
          <w:szCs w:val="24"/>
        </w:rPr>
        <w:t>Armour</w:t>
      </w:r>
      <w:r w:rsidR="007F5C7C">
        <w:rPr>
          <w:rFonts w:ascii="Times New Roman" w:hAnsi="Times New Roman" w:cs="Times New Roman"/>
          <w:sz w:val="24"/>
          <w:szCs w:val="24"/>
        </w:rPr>
        <w:t xml:space="preserve"> et al., 2019; </w:t>
      </w:r>
      <w:r w:rsidR="00EC7810" w:rsidRPr="00EC7810">
        <w:rPr>
          <w:rFonts w:ascii="Times New Roman" w:hAnsi="Times New Roman" w:cs="Times New Roman"/>
          <w:bCs/>
          <w:sz w:val="24"/>
          <w:szCs w:val="24"/>
        </w:rPr>
        <w:t>Kiran</w:t>
      </w:r>
      <w:r w:rsidR="00EC7810">
        <w:rPr>
          <w:rFonts w:ascii="Times New Roman" w:hAnsi="Times New Roman" w:cs="Times New Roman"/>
          <w:bCs/>
          <w:sz w:val="24"/>
          <w:szCs w:val="24"/>
        </w:rPr>
        <w:t xml:space="preserve"> et al., 2020</w:t>
      </w:r>
      <w:r w:rsidR="00EC7810">
        <w:rPr>
          <w:rFonts w:ascii="Times New Roman" w:hAnsi="Times New Roman" w:cs="Times New Roman"/>
          <w:sz w:val="24"/>
          <w:szCs w:val="24"/>
        </w:rPr>
        <w:t>)</w:t>
      </w:r>
      <w:r w:rsidR="00390827">
        <w:rPr>
          <w:rFonts w:ascii="Times New Roman" w:hAnsi="Times New Roman" w:cs="Times New Roman"/>
          <w:sz w:val="24"/>
          <w:szCs w:val="24"/>
        </w:rPr>
        <w:t xml:space="preserve">. </w:t>
      </w:r>
      <w:r w:rsidR="004F4BA4">
        <w:rPr>
          <w:rFonts w:ascii="Times New Roman" w:hAnsi="Times New Roman" w:cs="Times New Roman"/>
          <w:sz w:val="24"/>
          <w:szCs w:val="24"/>
        </w:rPr>
        <w:t>Nevert</w:t>
      </w:r>
      <w:r w:rsidR="00C31FC4">
        <w:rPr>
          <w:rFonts w:ascii="Times New Roman" w:hAnsi="Times New Roman" w:cs="Times New Roman"/>
          <w:sz w:val="24"/>
          <w:szCs w:val="24"/>
        </w:rPr>
        <w:t>heless, there are few reasons</w:t>
      </w:r>
      <w:r w:rsidR="004F4BA4">
        <w:rPr>
          <w:rFonts w:ascii="Times New Roman" w:hAnsi="Times New Roman" w:cs="Times New Roman"/>
          <w:sz w:val="24"/>
          <w:szCs w:val="24"/>
        </w:rPr>
        <w:t xml:space="preserve"> </w:t>
      </w:r>
      <w:r w:rsidR="00C31FC4">
        <w:rPr>
          <w:rFonts w:ascii="Times New Roman" w:hAnsi="Times New Roman" w:cs="Times New Roman"/>
          <w:sz w:val="24"/>
          <w:szCs w:val="24"/>
        </w:rPr>
        <w:t xml:space="preserve">for </w:t>
      </w:r>
      <w:r w:rsidR="004F4BA4">
        <w:rPr>
          <w:rFonts w:ascii="Times New Roman" w:hAnsi="Times New Roman" w:cs="Times New Roman"/>
          <w:sz w:val="24"/>
          <w:szCs w:val="24"/>
        </w:rPr>
        <w:t>management of period pain at work and insights on the improvements of organi</w:t>
      </w:r>
      <w:r w:rsidR="00B42E25">
        <w:rPr>
          <w:rFonts w:ascii="Times New Roman" w:hAnsi="Times New Roman" w:cs="Times New Roman"/>
          <w:sz w:val="24"/>
          <w:szCs w:val="24"/>
        </w:rPr>
        <w:t>zations related to work life along with</w:t>
      </w:r>
      <w:r w:rsidR="004F4BA4">
        <w:rPr>
          <w:rFonts w:ascii="Times New Roman" w:hAnsi="Times New Roman" w:cs="Times New Roman"/>
          <w:sz w:val="24"/>
          <w:szCs w:val="24"/>
        </w:rPr>
        <w:t xml:space="preserve"> self-management of dysmenorrhea. </w:t>
      </w:r>
      <w:r w:rsidR="00F018B4">
        <w:rPr>
          <w:rFonts w:ascii="Times New Roman" w:hAnsi="Times New Roman" w:cs="Times New Roman"/>
          <w:sz w:val="24"/>
          <w:szCs w:val="24"/>
        </w:rPr>
        <w:t>It se</w:t>
      </w:r>
      <w:r w:rsidR="00B42E25">
        <w:rPr>
          <w:rFonts w:ascii="Times New Roman" w:hAnsi="Times New Roman" w:cs="Times New Roman"/>
          <w:sz w:val="24"/>
          <w:szCs w:val="24"/>
        </w:rPr>
        <w:t>verely affects</w:t>
      </w:r>
      <w:r w:rsidR="00F018B4">
        <w:rPr>
          <w:rFonts w:ascii="Times New Roman" w:hAnsi="Times New Roman" w:cs="Times New Roman"/>
          <w:sz w:val="24"/>
          <w:szCs w:val="24"/>
        </w:rPr>
        <w:t xml:space="preserve"> life and activities of people at work</w:t>
      </w:r>
      <w:r w:rsidR="00C31FC4">
        <w:rPr>
          <w:rFonts w:ascii="Times New Roman" w:hAnsi="Times New Roman" w:cs="Times New Roman"/>
          <w:sz w:val="24"/>
          <w:szCs w:val="24"/>
        </w:rPr>
        <w:t>,</w:t>
      </w:r>
      <w:r w:rsidR="00F018B4">
        <w:rPr>
          <w:rFonts w:ascii="Times New Roman" w:hAnsi="Times New Roman" w:cs="Times New Roman"/>
          <w:sz w:val="24"/>
          <w:szCs w:val="24"/>
        </w:rPr>
        <w:t xml:space="preserve"> with employees describing sickness for entire work days. Additionally, difficulties in focusing and concentrating at work are also reported. </w:t>
      </w:r>
      <w:r w:rsidR="00B42E25">
        <w:rPr>
          <w:rFonts w:ascii="Times New Roman" w:hAnsi="Times New Roman" w:cs="Times New Roman"/>
          <w:sz w:val="24"/>
          <w:szCs w:val="24"/>
        </w:rPr>
        <w:t>Primary dysmenorrhea that isn'</w:t>
      </w:r>
      <w:r w:rsidR="00E81CF7">
        <w:rPr>
          <w:rFonts w:ascii="Times New Roman" w:hAnsi="Times New Roman" w:cs="Times New Roman"/>
          <w:sz w:val="24"/>
          <w:szCs w:val="24"/>
        </w:rPr>
        <w:t>t caused by any kind of med</w:t>
      </w:r>
      <w:r w:rsidR="00B42E25">
        <w:rPr>
          <w:rFonts w:ascii="Times New Roman" w:hAnsi="Times New Roman" w:cs="Times New Roman"/>
          <w:sz w:val="24"/>
          <w:szCs w:val="24"/>
        </w:rPr>
        <w:t>ical condition</w:t>
      </w:r>
      <w:r w:rsidR="00E81CF7">
        <w:rPr>
          <w:rFonts w:ascii="Times New Roman" w:hAnsi="Times New Roman" w:cs="Times New Roman"/>
          <w:sz w:val="24"/>
          <w:szCs w:val="24"/>
        </w:rPr>
        <w:t xml:space="preserve"> is related to lower</w:t>
      </w:r>
      <w:r w:rsidR="00B42E25">
        <w:rPr>
          <w:rFonts w:ascii="Times New Roman" w:hAnsi="Times New Roman" w:cs="Times New Roman"/>
          <w:sz w:val="24"/>
          <w:szCs w:val="24"/>
        </w:rPr>
        <w:t xml:space="preserve"> QoL</w:t>
      </w:r>
      <w:r w:rsidR="00E81CF7">
        <w:rPr>
          <w:rFonts w:ascii="Times New Roman" w:hAnsi="Times New Roman" w:cs="Times New Roman"/>
          <w:sz w:val="24"/>
          <w:szCs w:val="24"/>
        </w:rPr>
        <w:t xml:space="preserve">, less participation in social ventures, higher rates of absenteeism and sleeping problems </w:t>
      </w:r>
      <w:r w:rsidR="00EC7810">
        <w:rPr>
          <w:rFonts w:ascii="Times New Roman" w:hAnsi="Times New Roman" w:cs="Times New Roman"/>
          <w:sz w:val="24"/>
          <w:szCs w:val="24"/>
        </w:rPr>
        <w:t>(</w:t>
      </w:r>
      <w:proofErr w:type="spellStart"/>
      <w:r w:rsidR="00EC7810" w:rsidRPr="00EC7810">
        <w:rPr>
          <w:rFonts w:ascii="Times New Roman" w:hAnsi="Times New Roman" w:cs="Times New Roman"/>
          <w:bCs/>
          <w:sz w:val="24"/>
          <w:szCs w:val="24"/>
        </w:rPr>
        <w:t>Omidvar</w:t>
      </w:r>
      <w:proofErr w:type="spellEnd"/>
      <w:r w:rsidR="00EC7810">
        <w:rPr>
          <w:rFonts w:ascii="Times New Roman" w:hAnsi="Times New Roman" w:cs="Times New Roman"/>
          <w:bCs/>
          <w:sz w:val="24"/>
          <w:szCs w:val="24"/>
        </w:rPr>
        <w:t xml:space="preserve"> et al., 2016)</w:t>
      </w:r>
      <w:r w:rsidR="00E81CF7">
        <w:rPr>
          <w:rFonts w:ascii="Times New Roman" w:hAnsi="Times New Roman" w:cs="Times New Roman"/>
          <w:sz w:val="24"/>
          <w:szCs w:val="24"/>
        </w:rPr>
        <w:t xml:space="preserve">. </w:t>
      </w:r>
    </w:p>
    <w:p w14:paraId="4ECDEFE0" w14:textId="0352EDC6" w:rsidR="005F3154" w:rsidRDefault="00F83483" w:rsidP="008641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NFHS does not </w:t>
      </w:r>
      <w:r w:rsidR="005F3154">
        <w:rPr>
          <w:rFonts w:ascii="Times New Roman" w:hAnsi="Times New Roman" w:cs="Times New Roman"/>
          <w:sz w:val="24"/>
          <w:szCs w:val="24"/>
        </w:rPr>
        <w:t xml:space="preserve">track </w:t>
      </w:r>
      <w:r w:rsidR="00C31FC4">
        <w:rPr>
          <w:rFonts w:ascii="Times New Roman" w:hAnsi="Times New Roman" w:cs="Times New Roman"/>
          <w:sz w:val="24"/>
          <w:szCs w:val="24"/>
        </w:rPr>
        <w:t>dysmenorrhea data in particular. H</w:t>
      </w:r>
      <w:r w:rsidR="005F3154">
        <w:rPr>
          <w:rFonts w:ascii="Times New Roman" w:hAnsi="Times New Roman" w:cs="Times New Roman"/>
          <w:sz w:val="24"/>
          <w:szCs w:val="24"/>
        </w:rPr>
        <w:t>owever, various regional studies have shed light on its impact among women</w:t>
      </w:r>
      <w:r w:rsidR="00C31FC4">
        <w:rPr>
          <w:rFonts w:ascii="Times New Roman" w:hAnsi="Times New Roman" w:cs="Times New Roman"/>
          <w:sz w:val="24"/>
          <w:szCs w:val="24"/>
        </w:rPr>
        <w:t xml:space="preserve"> and young girls. In consistency, the research has</w:t>
      </w:r>
      <w:r w:rsidR="005F3154">
        <w:rPr>
          <w:rFonts w:ascii="Times New Roman" w:hAnsi="Times New Roman" w:cs="Times New Roman"/>
          <w:sz w:val="24"/>
          <w:szCs w:val="24"/>
        </w:rPr>
        <w:t xml:space="preserve"> shown a remarkable number of females experiencing menstrual discomfort that significantly affect</w:t>
      </w:r>
      <w:r w:rsidR="00C31FC4">
        <w:rPr>
          <w:rFonts w:ascii="Times New Roman" w:hAnsi="Times New Roman" w:cs="Times New Roman"/>
          <w:sz w:val="24"/>
          <w:szCs w:val="24"/>
        </w:rPr>
        <w:t>s</w:t>
      </w:r>
      <w:r w:rsidR="005F3154">
        <w:rPr>
          <w:rFonts w:ascii="Times New Roman" w:hAnsi="Times New Roman" w:cs="Times New Roman"/>
          <w:sz w:val="24"/>
          <w:szCs w:val="24"/>
        </w:rPr>
        <w:t xml:space="preserve"> daily lives, school or work attendance</w:t>
      </w:r>
      <w:r w:rsidR="00C31FC4">
        <w:rPr>
          <w:rFonts w:ascii="Times New Roman" w:hAnsi="Times New Roman" w:cs="Times New Roman"/>
          <w:sz w:val="24"/>
          <w:szCs w:val="24"/>
        </w:rPr>
        <w:t>,</w:t>
      </w:r>
      <w:r w:rsidR="005F3154">
        <w:rPr>
          <w:rFonts w:ascii="Times New Roman" w:hAnsi="Times New Roman" w:cs="Times New Roman"/>
          <w:sz w:val="24"/>
          <w:szCs w:val="24"/>
        </w:rPr>
        <w:t xml:space="preserve"> inclusive of overall well-being </w:t>
      </w:r>
      <w:r w:rsidR="00EC7810">
        <w:rPr>
          <w:rFonts w:ascii="Times New Roman" w:hAnsi="Times New Roman" w:cs="Times New Roman"/>
          <w:sz w:val="24"/>
          <w:szCs w:val="24"/>
        </w:rPr>
        <w:t>(</w:t>
      </w:r>
      <w:proofErr w:type="spellStart"/>
      <w:r w:rsidR="00EC7810" w:rsidRPr="00EC7810">
        <w:rPr>
          <w:rFonts w:ascii="Times New Roman" w:hAnsi="Times New Roman" w:cs="Times New Roman"/>
          <w:sz w:val="24"/>
          <w:szCs w:val="24"/>
        </w:rPr>
        <w:t>Kural</w:t>
      </w:r>
      <w:proofErr w:type="spellEnd"/>
      <w:r w:rsidR="00EC7810">
        <w:rPr>
          <w:rFonts w:ascii="Times New Roman" w:hAnsi="Times New Roman" w:cs="Times New Roman"/>
          <w:sz w:val="24"/>
          <w:szCs w:val="24"/>
        </w:rPr>
        <w:t xml:space="preserve"> et al., 2015)</w:t>
      </w:r>
      <w:r w:rsidR="005F3154">
        <w:rPr>
          <w:rFonts w:ascii="Times New Roman" w:hAnsi="Times New Roman" w:cs="Times New Roman"/>
          <w:sz w:val="24"/>
          <w:szCs w:val="24"/>
        </w:rPr>
        <w:t>.</w:t>
      </w:r>
      <w:r w:rsidR="009F7CA9">
        <w:rPr>
          <w:rFonts w:ascii="Times New Roman" w:hAnsi="Times New Roman" w:cs="Times New Roman"/>
          <w:sz w:val="24"/>
          <w:szCs w:val="24"/>
        </w:rPr>
        <w:t xml:space="preserve"> A study that involves 1000 females of age group 11-28 years, reporting prevalence of dysmenorrhea at 70.2%. Among those </w:t>
      </w:r>
      <w:r w:rsidR="000E167C">
        <w:rPr>
          <w:rFonts w:ascii="Times New Roman" w:hAnsi="Times New Roman" w:cs="Times New Roman"/>
          <w:sz w:val="24"/>
          <w:szCs w:val="24"/>
        </w:rPr>
        <w:t>affected</w:t>
      </w:r>
      <w:r w:rsidR="009F7CA9">
        <w:rPr>
          <w:rFonts w:ascii="Times New Roman" w:hAnsi="Times New Roman" w:cs="Times New Roman"/>
          <w:sz w:val="24"/>
          <w:szCs w:val="24"/>
        </w:rPr>
        <w:t xml:space="preserve"> 22.1% </w:t>
      </w:r>
      <w:r w:rsidR="000E167C">
        <w:rPr>
          <w:rFonts w:ascii="Times New Roman" w:hAnsi="Times New Roman" w:cs="Times New Roman"/>
          <w:sz w:val="24"/>
          <w:szCs w:val="24"/>
        </w:rPr>
        <w:t>address</w:t>
      </w:r>
      <w:r w:rsidR="002E2DE3">
        <w:rPr>
          <w:rFonts w:ascii="Times New Roman" w:hAnsi="Times New Roman" w:cs="Times New Roman"/>
          <w:sz w:val="24"/>
          <w:szCs w:val="24"/>
        </w:rPr>
        <w:t xml:space="preserve"> </w:t>
      </w:r>
      <w:r w:rsidR="00082ED6">
        <w:rPr>
          <w:rFonts w:ascii="Times New Roman" w:hAnsi="Times New Roman" w:cs="Times New Roman"/>
          <w:sz w:val="24"/>
          <w:szCs w:val="24"/>
        </w:rPr>
        <w:t xml:space="preserve">severe pain and 68.3% </w:t>
      </w:r>
      <w:r w:rsidR="000E167C">
        <w:rPr>
          <w:rFonts w:ascii="Times New Roman" w:hAnsi="Times New Roman" w:cs="Times New Roman"/>
          <w:sz w:val="24"/>
          <w:szCs w:val="24"/>
        </w:rPr>
        <w:t>report</w:t>
      </w:r>
      <w:r w:rsidR="00A144FF">
        <w:rPr>
          <w:rFonts w:ascii="Times New Roman" w:hAnsi="Times New Roman" w:cs="Times New Roman"/>
          <w:sz w:val="24"/>
          <w:szCs w:val="24"/>
        </w:rPr>
        <w:t xml:space="preserve"> having pain every month </w:t>
      </w:r>
      <w:r w:rsidR="00EC7810">
        <w:rPr>
          <w:rFonts w:ascii="Times New Roman" w:hAnsi="Times New Roman" w:cs="Times New Roman"/>
          <w:sz w:val="24"/>
          <w:szCs w:val="24"/>
        </w:rPr>
        <w:t>(</w:t>
      </w:r>
      <w:r w:rsidR="00EC7810" w:rsidRPr="00EC7810">
        <w:rPr>
          <w:rFonts w:ascii="Times New Roman" w:hAnsi="Times New Roman" w:cs="Times New Roman"/>
          <w:bCs/>
          <w:sz w:val="24"/>
          <w:szCs w:val="24"/>
        </w:rPr>
        <w:t>House</w:t>
      </w:r>
      <w:r w:rsidR="00EC7810">
        <w:rPr>
          <w:rFonts w:ascii="Times New Roman" w:hAnsi="Times New Roman" w:cs="Times New Roman"/>
          <w:bCs/>
          <w:sz w:val="24"/>
          <w:szCs w:val="24"/>
        </w:rPr>
        <w:t xml:space="preserve"> et al., 2012</w:t>
      </w:r>
      <w:r w:rsidR="00EC7810">
        <w:rPr>
          <w:rFonts w:ascii="Times New Roman" w:hAnsi="Times New Roman" w:cs="Times New Roman"/>
          <w:sz w:val="24"/>
          <w:szCs w:val="24"/>
        </w:rPr>
        <w:t>)</w:t>
      </w:r>
      <w:r w:rsidR="00A144FF">
        <w:rPr>
          <w:rFonts w:ascii="Times New Roman" w:hAnsi="Times New Roman" w:cs="Times New Roman"/>
          <w:sz w:val="24"/>
          <w:szCs w:val="24"/>
        </w:rPr>
        <w:t>. In addition, 14.</w:t>
      </w:r>
      <w:r w:rsidR="000E167C">
        <w:rPr>
          <w:rFonts w:ascii="Times New Roman" w:hAnsi="Times New Roman" w:cs="Times New Roman"/>
          <w:sz w:val="24"/>
          <w:szCs w:val="24"/>
        </w:rPr>
        <w:t>2% have sought medical advice and almost 26% use</w:t>
      </w:r>
      <w:r w:rsidR="00A144FF">
        <w:rPr>
          <w:rFonts w:ascii="Times New Roman" w:hAnsi="Times New Roman" w:cs="Times New Roman"/>
          <w:sz w:val="24"/>
          <w:szCs w:val="24"/>
        </w:rPr>
        <w:t xml:space="preserve"> pain killers for pain relief. In another study, </w:t>
      </w:r>
      <w:proofErr w:type="spellStart"/>
      <w:r w:rsidR="00A144FF">
        <w:rPr>
          <w:rFonts w:ascii="Times New Roman" w:hAnsi="Times New Roman" w:cs="Times New Roman"/>
          <w:sz w:val="24"/>
          <w:szCs w:val="24"/>
        </w:rPr>
        <w:t>dysmennorhea</w:t>
      </w:r>
      <w:proofErr w:type="spellEnd"/>
      <w:r w:rsidR="00A144FF">
        <w:rPr>
          <w:rFonts w:ascii="Times New Roman" w:hAnsi="Times New Roman" w:cs="Times New Roman"/>
          <w:sz w:val="24"/>
          <w:szCs w:val="24"/>
        </w:rPr>
        <w:t xml:space="preserve"> was faced by 84% of young adolescent girls and a strong association was established between </w:t>
      </w:r>
      <w:proofErr w:type="spellStart"/>
      <w:r w:rsidR="00343010">
        <w:rPr>
          <w:rFonts w:ascii="Times New Roman" w:hAnsi="Times New Roman" w:cs="Times New Roman"/>
          <w:sz w:val="24"/>
          <w:szCs w:val="24"/>
        </w:rPr>
        <w:t>dysmennorhea</w:t>
      </w:r>
      <w:proofErr w:type="spellEnd"/>
      <w:r w:rsidR="00343010">
        <w:rPr>
          <w:rFonts w:ascii="Times New Roman" w:hAnsi="Times New Roman" w:cs="Times New Roman"/>
          <w:sz w:val="24"/>
          <w:szCs w:val="24"/>
        </w:rPr>
        <w:t xml:space="preserve"> and </w:t>
      </w:r>
      <w:r w:rsidR="00125E25">
        <w:rPr>
          <w:rFonts w:ascii="Times New Roman" w:hAnsi="Times New Roman" w:cs="Times New Roman"/>
          <w:sz w:val="24"/>
          <w:szCs w:val="24"/>
        </w:rPr>
        <w:t>menstrual clots</w:t>
      </w:r>
      <w:r w:rsidR="00A07A43">
        <w:rPr>
          <w:rFonts w:ascii="Times New Roman" w:hAnsi="Times New Roman" w:cs="Times New Roman"/>
          <w:sz w:val="24"/>
          <w:szCs w:val="24"/>
        </w:rPr>
        <w:t xml:space="preserve">. </w:t>
      </w:r>
    </w:p>
    <w:p w14:paraId="4D783FF0" w14:textId="77777777" w:rsidR="00B452A6" w:rsidRDefault="00B452A6" w:rsidP="008641E8">
      <w:pPr>
        <w:spacing w:line="360" w:lineRule="auto"/>
        <w:jc w:val="both"/>
        <w:rPr>
          <w:rFonts w:ascii="Times New Roman" w:hAnsi="Times New Roman" w:cs="Times New Roman"/>
          <w:b/>
          <w:sz w:val="24"/>
          <w:szCs w:val="24"/>
        </w:rPr>
      </w:pPr>
      <w:r w:rsidRPr="00B452A6">
        <w:rPr>
          <w:rFonts w:ascii="Times New Roman" w:hAnsi="Times New Roman" w:cs="Times New Roman"/>
          <w:b/>
          <w:sz w:val="24"/>
          <w:szCs w:val="24"/>
        </w:rPr>
        <w:t>Barriers</w:t>
      </w:r>
      <w:r w:rsidR="00E57CFA">
        <w:rPr>
          <w:rFonts w:ascii="Times New Roman" w:hAnsi="Times New Roman" w:cs="Times New Roman"/>
          <w:b/>
          <w:sz w:val="24"/>
          <w:szCs w:val="24"/>
        </w:rPr>
        <w:t xml:space="preserve"> in menstruation</w:t>
      </w:r>
      <w:r w:rsidRPr="00B452A6">
        <w:rPr>
          <w:rFonts w:ascii="Times New Roman" w:hAnsi="Times New Roman" w:cs="Times New Roman"/>
          <w:b/>
          <w:sz w:val="24"/>
          <w:szCs w:val="24"/>
        </w:rPr>
        <w:t>:</w:t>
      </w:r>
    </w:p>
    <w:p w14:paraId="1939B2AE" w14:textId="2189FE3C" w:rsidR="00B452A6" w:rsidRPr="004B6B5C" w:rsidRDefault="008D3911" w:rsidP="004B6B5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D3911">
        <w:rPr>
          <w:rFonts w:ascii="Times New Roman" w:eastAsia="Times New Roman" w:hAnsi="Times New Roman" w:cs="Times New Roman"/>
          <w:sz w:val="24"/>
          <w:szCs w:val="24"/>
          <w:lang w:eastAsia="en-IN"/>
        </w:rPr>
        <w:t xml:space="preserve">A new trend in organizational operations that is gradually changing the corporate world is flexible working, which is shaped by the interaction between the typical Indian woman professional and the workplace regulations created to meet her specific demands. </w:t>
      </w:r>
      <w:r w:rsidRPr="008D3911">
        <w:rPr>
          <w:rFonts w:ascii="Times New Roman" w:eastAsia="Times New Roman" w:hAnsi="Times New Roman" w:cs="Times New Roman"/>
          <w:sz w:val="24"/>
          <w:szCs w:val="24"/>
          <w:lang w:eastAsia="en-IN"/>
        </w:rPr>
        <w:br/>
        <w:t xml:space="preserve">The advent of digital technology has significantly altered how, when, and where we work, particularly since the early 2000s. </w:t>
      </w:r>
      <w:r w:rsidR="00B95F52">
        <w:rPr>
          <w:rFonts w:ascii="Times New Roman" w:eastAsia="Times New Roman" w:hAnsi="Times New Roman" w:cs="Times New Roman"/>
          <w:sz w:val="24"/>
          <w:szCs w:val="24"/>
          <w:lang w:eastAsia="en-IN"/>
        </w:rPr>
        <w:t>In low-to-</w:t>
      </w:r>
      <w:r w:rsidR="001D7594">
        <w:rPr>
          <w:rFonts w:ascii="Times New Roman" w:eastAsia="Times New Roman" w:hAnsi="Times New Roman" w:cs="Times New Roman"/>
          <w:sz w:val="24"/>
          <w:szCs w:val="24"/>
          <w:lang w:eastAsia="en-IN"/>
        </w:rPr>
        <w:t xml:space="preserve">middle income countries, </w:t>
      </w:r>
      <w:r w:rsidR="00B95F52">
        <w:rPr>
          <w:rFonts w:ascii="Times New Roman" w:eastAsia="Times New Roman" w:hAnsi="Times New Roman" w:cs="Times New Roman"/>
          <w:sz w:val="24"/>
          <w:szCs w:val="24"/>
          <w:lang w:eastAsia="en-IN"/>
        </w:rPr>
        <w:t xml:space="preserve">taboos, </w:t>
      </w:r>
      <w:r w:rsidR="001D7594">
        <w:rPr>
          <w:rFonts w:ascii="Times New Roman" w:eastAsia="Times New Roman" w:hAnsi="Times New Roman" w:cs="Times New Roman"/>
          <w:sz w:val="24"/>
          <w:szCs w:val="24"/>
          <w:lang w:eastAsia="en-IN"/>
        </w:rPr>
        <w:t xml:space="preserve">myths, </w:t>
      </w:r>
      <w:r w:rsidR="00E64CA9">
        <w:rPr>
          <w:rFonts w:ascii="Times New Roman" w:eastAsia="Times New Roman" w:hAnsi="Times New Roman" w:cs="Times New Roman"/>
          <w:sz w:val="24"/>
          <w:szCs w:val="24"/>
          <w:lang w:eastAsia="en-IN"/>
        </w:rPr>
        <w:t>along with</w:t>
      </w:r>
      <w:r w:rsidR="001D7594">
        <w:rPr>
          <w:rFonts w:ascii="Times New Roman" w:eastAsia="Times New Roman" w:hAnsi="Times New Roman" w:cs="Times New Roman"/>
          <w:sz w:val="24"/>
          <w:szCs w:val="24"/>
          <w:lang w:eastAsia="en-IN"/>
        </w:rPr>
        <w:t xml:space="preserve"> various socio-cultural limitations create barriers and hindrances for women. This restricts th</w:t>
      </w:r>
      <w:r w:rsidR="00B95F52">
        <w:rPr>
          <w:rFonts w:ascii="Times New Roman" w:eastAsia="Times New Roman" w:hAnsi="Times New Roman" w:cs="Times New Roman"/>
          <w:sz w:val="24"/>
          <w:szCs w:val="24"/>
          <w:lang w:eastAsia="en-IN"/>
        </w:rPr>
        <w:t>eir daily activities that impact</w:t>
      </w:r>
      <w:r w:rsidR="001D7594">
        <w:rPr>
          <w:rFonts w:ascii="Times New Roman" w:eastAsia="Times New Roman" w:hAnsi="Times New Roman" w:cs="Times New Roman"/>
          <w:sz w:val="24"/>
          <w:szCs w:val="24"/>
          <w:lang w:eastAsia="en-IN"/>
        </w:rPr>
        <w:t xml:space="preserve"> their self</w:t>
      </w:r>
      <w:r w:rsidR="00B95F52">
        <w:rPr>
          <w:rFonts w:ascii="Times New Roman" w:eastAsia="Times New Roman" w:hAnsi="Times New Roman" w:cs="Times New Roman"/>
          <w:sz w:val="24"/>
          <w:szCs w:val="24"/>
          <w:lang w:eastAsia="en-IN"/>
        </w:rPr>
        <w:t>-esteem, reproductive health</w:t>
      </w:r>
      <w:r w:rsidR="000E167C">
        <w:rPr>
          <w:rFonts w:ascii="Times New Roman" w:eastAsia="Times New Roman" w:hAnsi="Times New Roman" w:cs="Times New Roman"/>
          <w:sz w:val="24"/>
          <w:szCs w:val="24"/>
          <w:lang w:eastAsia="en-IN"/>
        </w:rPr>
        <w:t>,</w:t>
      </w:r>
      <w:r w:rsidR="00B95F52">
        <w:rPr>
          <w:rFonts w:ascii="Times New Roman" w:eastAsia="Times New Roman" w:hAnsi="Times New Roman" w:cs="Times New Roman"/>
          <w:sz w:val="24"/>
          <w:szCs w:val="24"/>
          <w:lang w:eastAsia="en-IN"/>
        </w:rPr>
        <w:t xml:space="preserve"> </w:t>
      </w:r>
      <w:r w:rsidR="00E64CA9">
        <w:rPr>
          <w:rFonts w:ascii="Times New Roman" w:eastAsia="Times New Roman" w:hAnsi="Times New Roman" w:cs="Times New Roman"/>
          <w:sz w:val="24"/>
          <w:szCs w:val="24"/>
          <w:lang w:eastAsia="en-IN"/>
        </w:rPr>
        <w:t xml:space="preserve">in addition to </w:t>
      </w:r>
      <w:r w:rsidR="001D7594">
        <w:rPr>
          <w:rFonts w:ascii="Times New Roman" w:eastAsia="Times New Roman" w:hAnsi="Times New Roman" w:cs="Times New Roman"/>
          <w:sz w:val="24"/>
          <w:szCs w:val="24"/>
          <w:lang w:eastAsia="en-IN"/>
        </w:rPr>
        <w:t xml:space="preserve">productivity </w:t>
      </w:r>
      <w:r w:rsidR="00EC7810">
        <w:rPr>
          <w:rFonts w:ascii="Times New Roman" w:eastAsia="Times New Roman" w:hAnsi="Times New Roman" w:cs="Times New Roman"/>
          <w:sz w:val="24"/>
          <w:szCs w:val="24"/>
          <w:lang w:eastAsia="en-IN"/>
        </w:rPr>
        <w:t>(</w:t>
      </w:r>
      <w:r w:rsidR="00EC7810" w:rsidRPr="00EC7810">
        <w:rPr>
          <w:rFonts w:ascii="Times New Roman" w:eastAsia="Times New Roman" w:hAnsi="Times New Roman" w:cs="Times New Roman"/>
          <w:bCs/>
          <w:sz w:val="24"/>
          <w:szCs w:val="24"/>
          <w:lang w:eastAsia="en-IN"/>
        </w:rPr>
        <w:t>Kennedy</w:t>
      </w:r>
      <w:r w:rsidR="00EC7810">
        <w:rPr>
          <w:rFonts w:ascii="Times New Roman" w:eastAsia="Times New Roman" w:hAnsi="Times New Roman" w:cs="Times New Roman"/>
          <w:bCs/>
          <w:sz w:val="24"/>
          <w:szCs w:val="24"/>
          <w:lang w:eastAsia="en-IN"/>
        </w:rPr>
        <w:t xml:space="preserve"> et al., 2015</w:t>
      </w:r>
      <w:r w:rsidR="00EC7810">
        <w:rPr>
          <w:rFonts w:ascii="Times New Roman" w:eastAsia="Times New Roman" w:hAnsi="Times New Roman" w:cs="Times New Roman"/>
          <w:sz w:val="24"/>
          <w:szCs w:val="24"/>
          <w:lang w:eastAsia="en-IN"/>
        </w:rPr>
        <w:t>;</w:t>
      </w:r>
      <w:r w:rsidR="001D7594">
        <w:rPr>
          <w:rFonts w:ascii="Times New Roman" w:eastAsia="Times New Roman" w:hAnsi="Times New Roman" w:cs="Times New Roman"/>
          <w:sz w:val="24"/>
          <w:szCs w:val="24"/>
          <w:lang w:eastAsia="en-IN"/>
        </w:rPr>
        <w:t xml:space="preserve"> </w:t>
      </w:r>
      <w:proofErr w:type="spellStart"/>
      <w:r w:rsidR="00EC7810" w:rsidRPr="00EC7810">
        <w:rPr>
          <w:rFonts w:ascii="Times New Roman" w:eastAsia="Times New Roman" w:hAnsi="Times New Roman" w:cs="Times New Roman"/>
          <w:bCs/>
          <w:sz w:val="24"/>
          <w:szCs w:val="24"/>
          <w:lang w:eastAsia="en-IN"/>
        </w:rPr>
        <w:t>Chinyama</w:t>
      </w:r>
      <w:proofErr w:type="spellEnd"/>
      <w:r w:rsidR="00EC7810">
        <w:rPr>
          <w:rFonts w:ascii="Times New Roman" w:eastAsia="Times New Roman" w:hAnsi="Times New Roman" w:cs="Times New Roman"/>
          <w:bCs/>
          <w:sz w:val="24"/>
          <w:szCs w:val="24"/>
          <w:lang w:eastAsia="en-IN"/>
        </w:rPr>
        <w:t xml:space="preserve"> et al., </w:t>
      </w:r>
      <w:r w:rsidR="00A07A43">
        <w:rPr>
          <w:rFonts w:ascii="Times New Roman" w:eastAsia="Times New Roman" w:hAnsi="Times New Roman" w:cs="Times New Roman"/>
          <w:bCs/>
          <w:sz w:val="24"/>
          <w:szCs w:val="24"/>
          <w:lang w:eastAsia="en-IN"/>
        </w:rPr>
        <w:t>2019</w:t>
      </w:r>
      <w:r w:rsidR="00A07A43">
        <w:rPr>
          <w:rFonts w:ascii="Times New Roman" w:eastAsia="Times New Roman" w:hAnsi="Times New Roman" w:cs="Times New Roman"/>
          <w:sz w:val="24"/>
          <w:szCs w:val="24"/>
          <w:lang w:eastAsia="en-IN"/>
        </w:rPr>
        <w:t>; The</w:t>
      </w:r>
      <w:r w:rsidR="00EC7810" w:rsidRPr="00EC7810">
        <w:rPr>
          <w:rFonts w:ascii="Times New Roman" w:eastAsia="Times New Roman" w:hAnsi="Times New Roman" w:cs="Times New Roman"/>
          <w:bCs/>
          <w:sz w:val="24"/>
          <w:szCs w:val="24"/>
          <w:lang w:eastAsia="en-IN"/>
        </w:rPr>
        <w:t xml:space="preserve"> World Bank</w:t>
      </w:r>
      <w:r w:rsidR="00EC7810">
        <w:rPr>
          <w:rFonts w:ascii="Times New Roman" w:eastAsia="Times New Roman" w:hAnsi="Times New Roman" w:cs="Times New Roman"/>
          <w:bCs/>
          <w:sz w:val="24"/>
          <w:szCs w:val="24"/>
          <w:lang w:eastAsia="en-IN"/>
        </w:rPr>
        <w:t>, 2018</w:t>
      </w:r>
      <w:r w:rsidR="00EC7810">
        <w:rPr>
          <w:rFonts w:ascii="Times New Roman" w:eastAsia="Times New Roman" w:hAnsi="Times New Roman" w:cs="Times New Roman"/>
          <w:sz w:val="24"/>
          <w:szCs w:val="24"/>
          <w:lang w:eastAsia="en-IN"/>
        </w:rPr>
        <w:t>)</w:t>
      </w:r>
      <w:r w:rsidR="001D7594">
        <w:rPr>
          <w:rFonts w:ascii="Times New Roman" w:eastAsia="Times New Roman" w:hAnsi="Times New Roman" w:cs="Times New Roman"/>
          <w:sz w:val="24"/>
          <w:szCs w:val="24"/>
          <w:lang w:eastAsia="en-IN"/>
        </w:rPr>
        <w:t>. Additionall</w:t>
      </w:r>
      <w:r w:rsidR="000E167C">
        <w:rPr>
          <w:rFonts w:ascii="Times New Roman" w:eastAsia="Times New Roman" w:hAnsi="Times New Roman" w:cs="Times New Roman"/>
          <w:sz w:val="24"/>
          <w:szCs w:val="24"/>
          <w:lang w:eastAsia="en-IN"/>
        </w:rPr>
        <w:t>y, studies in India also reveal</w:t>
      </w:r>
      <w:r w:rsidR="001D7594">
        <w:rPr>
          <w:rFonts w:ascii="Times New Roman" w:eastAsia="Times New Roman" w:hAnsi="Times New Roman" w:cs="Times New Roman"/>
          <w:sz w:val="24"/>
          <w:szCs w:val="24"/>
          <w:lang w:eastAsia="en-IN"/>
        </w:rPr>
        <w:t xml:space="preserve"> that adolescents are not allowed to attend school during their menses and also refrain them from wearing new clothes in certain communities of India </w:t>
      </w:r>
      <w:r w:rsidR="00A07A43">
        <w:rPr>
          <w:rFonts w:ascii="Times New Roman" w:eastAsia="Times New Roman" w:hAnsi="Times New Roman" w:cs="Times New Roman"/>
          <w:sz w:val="24"/>
          <w:szCs w:val="24"/>
          <w:lang w:eastAsia="en-IN"/>
        </w:rPr>
        <w:t>(</w:t>
      </w:r>
      <w:r w:rsidR="00A07A43" w:rsidRPr="00A07A43">
        <w:rPr>
          <w:rFonts w:ascii="Times New Roman" w:eastAsia="Times New Roman" w:hAnsi="Times New Roman" w:cs="Times New Roman"/>
          <w:sz w:val="24"/>
          <w:szCs w:val="24"/>
          <w:lang w:eastAsia="en-IN"/>
        </w:rPr>
        <w:t>Garg</w:t>
      </w:r>
      <w:r w:rsidR="00A07A43">
        <w:rPr>
          <w:rFonts w:ascii="Times New Roman" w:eastAsia="Times New Roman" w:hAnsi="Times New Roman" w:cs="Times New Roman"/>
          <w:sz w:val="24"/>
          <w:szCs w:val="24"/>
          <w:lang w:eastAsia="en-IN"/>
        </w:rPr>
        <w:t xml:space="preserve"> </w:t>
      </w:r>
      <w:r w:rsidR="00A07A43" w:rsidRPr="00A07A43">
        <w:rPr>
          <w:rFonts w:ascii="Times New Roman" w:eastAsia="Times New Roman" w:hAnsi="Times New Roman" w:cs="Times New Roman"/>
          <w:sz w:val="24"/>
          <w:szCs w:val="24"/>
          <w:lang w:eastAsia="en-IN"/>
        </w:rPr>
        <w:t>&amp; Anand</w:t>
      </w:r>
      <w:r w:rsidR="00A07A43">
        <w:rPr>
          <w:rFonts w:ascii="Times New Roman" w:eastAsia="Times New Roman" w:hAnsi="Times New Roman" w:cs="Times New Roman"/>
          <w:sz w:val="24"/>
          <w:szCs w:val="24"/>
          <w:lang w:eastAsia="en-IN"/>
        </w:rPr>
        <w:t>,</w:t>
      </w:r>
      <w:r w:rsidR="00A07A43" w:rsidRPr="00A07A43">
        <w:rPr>
          <w:rFonts w:ascii="Times New Roman" w:eastAsia="Times New Roman" w:hAnsi="Times New Roman" w:cs="Times New Roman"/>
          <w:sz w:val="24"/>
          <w:szCs w:val="24"/>
          <w:lang w:eastAsia="en-IN"/>
        </w:rPr>
        <w:t xml:space="preserve"> 2015</w:t>
      </w:r>
      <w:r w:rsidR="00A07A43">
        <w:rPr>
          <w:rFonts w:ascii="Times New Roman" w:eastAsia="Times New Roman" w:hAnsi="Times New Roman" w:cs="Times New Roman"/>
          <w:sz w:val="24"/>
          <w:szCs w:val="24"/>
          <w:lang w:eastAsia="en-IN"/>
        </w:rPr>
        <w:t xml:space="preserve">; </w:t>
      </w:r>
      <w:r w:rsidR="00A07A43" w:rsidRPr="00A07A43">
        <w:rPr>
          <w:rFonts w:ascii="Times New Roman" w:eastAsia="Times New Roman" w:hAnsi="Times New Roman" w:cs="Times New Roman"/>
          <w:bCs/>
          <w:sz w:val="24"/>
          <w:szCs w:val="24"/>
          <w:lang w:eastAsia="en-IN"/>
        </w:rPr>
        <w:t>World Health Organization</w:t>
      </w:r>
      <w:r w:rsidR="00A07A43">
        <w:rPr>
          <w:rFonts w:ascii="Times New Roman" w:eastAsia="Times New Roman" w:hAnsi="Times New Roman" w:cs="Times New Roman"/>
          <w:bCs/>
          <w:sz w:val="24"/>
          <w:szCs w:val="24"/>
          <w:lang w:eastAsia="en-IN"/>
        </w:rPr>
        <w:t>,</w:t>
      </w:r>
      <w:r w:rsidR="00A07A43" w:rsidRPr="00A07A43">
        <w:rPr>
          <w:rFonts w:ascii="Times New Roman" w:eastAsia="Times New Roman" w:hAnsi="Times New Roman" w:cs="Times New Roman"/>
          <w:bCs/>
          <w:sz w:val="24"/>
          <w:szCs w:val="24"/>
          <w:lang w:eastAsia="en-IN"/>
        </w:rPr>
        <w:t xml:space="preserve"> 2008)</w:t>
      </w:r>
      <w:r w:rsidR="001D7594">
        <w:rPr>
          <w:rFonts w:ascii="Times New Roman" w:eastAsia="Times New Roman" w:hAnsi="Times New Roman" w:cs="Times New Roman"/>
          <w:sz w:val="24"/>
          <w:szCs w:val="24"/>
          <w:lang w:eastAsia="en-IN"/>
        </w:rPr>
        <w:t xml:space="preserve">. </w:t>
      </w:r>
      <w:r w:rsidR="004B6B5C" w:rsidRPr="004B6B5C">
        <w:rPr>
          <w:rFonts w:ascii="Times New Roman" w:eastAsia="Times New Roman" w:hAnsi="Times New Roman" w:cs="Times New Roman"/>
          <w:sz w:val="24"/>
          <w:szCs w:val="24"/>
          <w:lang w:eastAsia="en-IN"/>
        </w:rPr>
        <w:t xml:space="preserve">Once a revolutionary concept, flexible working is currently gaining significant popularity among global industry executives and politicians. Fundamentally, flexible working lets workers choose where and when they </w:t>
      </w:r>
      <w:r w:rsidR="004B6B5C" w:rsidRPr="004B6B5C">
        <w:rPr>
          <w:rFonts w:ascii="Times New Roman" w:eastAsia="Times New Roman" w:hAnsi="Times New Roman" w:cs="Times New Roman"/>
          <w:sz w:val="24"/>
          <w:szCs w:val="24"/>
          <w:lang w:eastAsia="en-IN"/>
        </w:rPr>
        <w:lastRenderedPageBreak/>
        <w:t xml:space="preserve">work as long as their obligations are fulfilled. Many professionals may now work from home or any other place, only needing to be physically present in the office when absolutely essential, </w:t>
      </w:r>
      <w:r w:rsidR="000E167C">
        <w:rPr>
          <w:rFonts w:ascii="Times New Roman" w:eastAsia="Times New Roman" w:hAnsi="Times New Roman" w:cs="Times New Roman"/>
          <w:sz w:val="24"/>
          <w:szCs w:val="24"/>
          <w:lang w:eastAsia="en-IN"/>
        </w:rPr>
        <w:t xml:space="preserve">owning </w:t>
      </w:r>
      <w:r w:rsidR="004B6B5C" w:rsidRPr="004B6B5C">
        <w:rPr>
          <w:rFonts w:ascii="Times New Roman" w:eastAsia="Times New Roman" w:hAnsi="Times New Roman" w:cs="Times New Roman"/>
          <w:sz w:val="24"/>
          <w:szCs w:val="24"/>
          <w:lang w:eastAsia="en-IN"/>
        </w:rPr>
        <w:t>to technologies like remote access and secure virtual networks. This change isn't just about convenience; it's also about acknowledging the changing requirements of the workforce, particularly women, and developing a structure that promotes autonomy, balance, and productivity across all geographies and cultural backgrounds.</w:t>
      </w:r>
    </w:p>
    <w:p w14:paraId="5588848B" w14:textId="77777777" w:rsidR="001D1073" w:rsidRPr="002D3B52" w:rsidRDefault="000C58B2" w:rsidP="001D1073">
      <w:pPr>
        <w:jc w:val="both"/>
        <w:rPr>
          <w:rFonts w:ascii="Times New Roman" w:hAnsi="Times New Roman" w:cs="Times New Roman"/>
          <w:b/>
          <w:sz w:val="24"/>
          <w:szCs w:val="24"/>
        </w:rPr>
      </w:pPr>
      <w:r w:rsidRPr="002D3B52">
        <w:rPr>
          <w:rFonts w:ascii="Times New Roman" w:hAnsi="Times New Roman" w:cs="Times New Roman"/>
          <w:b/>
          <w:sz w:val="24"/>
          <w:szCs w:val="24"/>
        </w:rPr>
        <w:t>Conclusion:</w:t>
      </w:r>
    </w:p>
    <w:p w14:paraId="71519F56" w14:textId="41A42F3D" w:rsidR="00706725" w:rsidRDefault="00706725" w:rsidP="00706725">
      <w:pPr>
        <w:spacing w:line="360" w:lineRule="auto"/>
        <w:jc w:val="both"/>
        <w:rPr>
          <w:rFonts w:ascii="Times New Roman" w:hAnsi="Times New Roman" w:cs="Times New Roman"/>
          <w:sz w:val="24"/>
          <w:szCs w:val="24"/>
        </w:rPr>
      </w:pPr>
      <w:r w:rsidRPr="00706725">
        <w:rPr>
          <w:rFonts w:ascii="Times New Roman" w:hAnsi="Times New Roman" w:cs="Times New Roman"/>
          <w:sz w:val="24"/>
          <w:szCs w:val="24"/>
        </w:rPr>
        <w:t xml:space="preserve">Menstrual health management </w:t>
      </w:r>
      <w:r w:rsidR="00741A46">
        <w:rPr>
          <w:rFonts w:ascii="Times New Roman" w:hAnsi="Times New Roman" w:cs="Times New Roman"/>
          <w:sz w:val="24"/>
          <w:szCs w:val="24"/>
        </w:rPr>
        <w:t>profoundly affects</w:t>
      </w:r>
      <w:r w:rsidR="00A27BD3">
        <w:rPr>
          <w:rFonts w:ascii="Times New Roman" w:hAnsi="Times New Roman" w:cs="Times New Roman"/>
          <w:sz w:val="24"/>
          <w:szCs w:val="24"/>
        </w:rPr>
        <w:t xml:space="preserve"> the </w:t>
      </w:r>
      <w:r w:rsidRPr="00706725">
        <w:rPr>
          <w:rFonts w:ascii="Times New Roman" w:hAnsi="Times New Roman" w:cs="Times New Roman"/>
          <w:sz w:val="24"/>
          <w:szCs w:val="24"/>
        </w:rPr>
        <w:t>productivity, education and economic opportunities</w:t>
      </w:r>
      <w:r w:rsidR="00A27BD3">
        <w:rPr>
          <w:rFonts w:ascii="Times New Roman" w:hAnsi="Times New Roman" w:cs="Times New Roman"/>
          <w:sz w:val="24"/>
          <w:szCs w:val="24"/>
        </w:rPr>
        <w:t xml:space="preserve"> of women</w:t>
      </w:r>
      <w:r w:rsidRPr="00706725">
        <w:rPr>
          <w:rFonts w:ascii="Times New Roman" w:hAnsi="Times New Roman" w:cs="Times New Roman"/>
          <w:sz w:val="24"/>
          <w:szCs w:val="24"/>
        </w:rPr>
        <w:t xml:space="preserve">. Data from NFHS-5 </w:t>
      </w:r>
      <w:r w:rsidR="00A27BD3">
        <w:rPr>
          <w:rFonts w:ascii="Times New Roman" w:hAnsi="Times New Roman" w:cs="Times New Roman"/>
          <w:sz w:val="24"/>
          <w:szCs w:val="24"/>
        </w:rPr>
        <w:t>draws attention to gaps</w:t>
      </w:r>
      <w:r w:rsidRPr="00706725">
        <w:rPr>
          <w:rFonts w:ascii="Times New Roman" w:hAnsi="Times New Roman" w:cs="Times New Roman"/>
          <w:sz w:val="24"/>
          <w:szCs w:val="24"/>
        </w:rPr>
        <w:t xml:space="preserve"> in hygienic practices across </w:t>
      </w:r>
      <w:r w:rsidR="00A27BD3">
        <w:rPr>
          <w:rFonts w:ascii="Times New Roman" w:hAnsi="Times New Roman" w:cs="Times New Roman"/>
          <w:sz w:val="24"/>
          <w:szCs w:val="24"/>
        </w:rPr>
        <w:t>financial</w:t>
      </w:r>
      <w:r w:rsidRPr="00706725">
        <w:rPr>
          <w:rFonts w:ascii="Times New Roman" w:hAnsi="Times New Roman" w:cs="Times New Roman"/>
          <w:sz w:val="24"/>
          <w:szCs w:val="24"/>
        </w:rPr>
        <w:t xml:space="preserve"> and geographic </w:t>
      </w:r>
      <w:r w:rsidR="00A27BD3">
        <w:rPr>
          <w:rFonts w:ascii="Times New Roman" w:hAnsi="Times New Roman" w:cs="Times New Roman"/>
          <w:sz w:val="24"/>
          <w:szCs w:val="24"/>
        </w:rPr>
        <w:t>distinctions</w:t>
      </w:r>
      <w:r w:rsidRPr="00706725">
        <w:rPr>
          <w:rFonts w:ascii="Times New Roman" w:hAnsi="Times New Roman" w:cs="Times New Roman"/>
          <w:sz w:val="24"/>
          <w:szCs w:val="24"/>
        </w:rPr>
        <w:t xml:space="preserve"> with rural and underprivileged women lagging behind. While government initiatives have improved awareness, further efforts</w:t>
      </w:r>
      <w:r w:rsidR="00A27BD3">
        <w:rPr>
          <w:rFonts w:ascii="Times New Roman" w:hAnsi="Times New Roman" w:cs="Times New Roman"/>
          <w:sz w:val="24"/>
          <w:szCs w:val="24"/>
        </w:rPr>
        <w:t xml:space="preserve"> and endeavours</w:t>
      </w:r>
      <w:r w:rsidRPr="00706725">
        <w:rPr>
          <w:rFonts w:ascii="Times New Roman" w:hAnsi="Times New Roman" w:cs="Times New Roman"/>
          <w:sz w:val="24"/>
          <w:szCs w:val="24"/>
        </w:rPr>
        <w:t xml:space="preserve"> are needed to provide affordable hygienic products and education, especially in </w:t>
      </w:r>
      <w:r w:rsidR="00A27BD3">
        <w:rPr>
          <w:rFonts w:ascii="Times New Roman" w:hAnsi="Times New Roman" w:cs="Times New Roman"/>
          <w:sz w:val="24"/>
          <w:szCs w:val="24"/>
        </w:rPr>
        <w:t>the backward</w:t>
      </w:r>
      <w:r w:rsidRPr="00706725">
        <w:rPr>
          <w:rFonts w:ascii="Times New Roman" w:hAnsi="Times New Roman" w:cs="Times New Roman"/>
          <w:sz w:val="24"/>
          <w:szCs w:val="24"/>
        </w:rPr>
        <w:t xml:space="preserve"> communities.</w:t>
      </w:r>
      <w:r w:rsidR="00703DD1">
        <w:rPr>
          <w:rFonts w:ascii="Times New Roman" w:hAnsi="Times New Roman" w:cs="Times New Roman"/>
          <w:sz w:val="24"/>
          <w:szCs w:val="24"/>
        </w:rPr>
        <w:t xml:space="preserve"> Hence, </w:t>
      </w:r>
      <w:r w:rsidR="00A27BD3">
        <w:rPr>
          <w:rFonts w:ascii="Times New Roman" w:hAnsi="Times New Roman" w:cs="Times New Roman"/>
          <w:sz w:val="24"/>
          <w:szCs w:val="24"/>
        </w:rPr>
        <w:t>p</w:t>
      </w:r>
      <w:r w:rsidRPr="00706725">
        <w:rPr>
          <w:rFonts w:ascii="Times New Roman" w:hAnsi="Times New Roman" w:cs="Times New Roman"/>
          <w:sz w:val="24"/>
          <w:szCs w:val="24"/>
        </w:rPr>
        <w:t>romoti</w:t>
      </w:r>
      <w:r w:rsidR="00A27BD3">
        <w:rPr>
          <w:rFonts w:ascii="Times New Roman" w:hAnsi="Times New Roman" w:cs="Times New Roman"/>
          <w:sz w:val="24"/>
          <w:szCs w:val="24"/>
        </w:rPr>
        <w:t>on of equity in</w:t>
      </w:r>
      <w:r w:rsidRPr="00706725">
        <w:rPr>
          <w:rFonts w:ascii="Times New Roman" w:hAnsi="Times New Roman" w:cs="Times New Roman"/>
          <w:sz w:val="24"/>
          <w:szCs w:val="24"/>
        </w:rPr>
        <w:t xml:space="preserve"> menstrual health is essential for </w:t>
      </w:r>
      <w:r w:rsidR="00A27BD3">
        <w:rPr>
          <w:rFonts w:ascii="Times New Roman" w:hAnsi="Times New Roman" w:cs="Times New Roman"/>
          <w:sz w:val="24"/>
          <w:szCs w:val="24"/>
        </w:rPr>
        <w:t xml:space="preserve">the </w:t>
      </w:r>
      <w:r w:rsidRPr="00706725">
        <w:rPr>
          <w:rFonts w:ascii="Times New Roman" w:hAnsi="Times New Roman" w:cs="Times New Roman"/>
          <w:sz w:val="24"/>
          <w:szCs w:val="24"/>
        </w:rPr>
        <w:t>enhanc</w:t>
      </w:r>
      <w:r w:rsidR="00A27BD3">
        <w:rPr>
          <w:rFonts w:ascii="Times New Roman" w:hAnsi="Times New Roman" w:cs="Times New Roman"/>
          <w:sz w:val="24"/>
          <w:szCs w:val="24"/>
        </w:rPr>
        <w:t xml:space="preserve">ement of </w:t>
      </w:r>
      <w:r w:rsidRPr="00706725">
        <w:rPr>
          <w:rFonts w:ascii="Times New Roman" w:hAnsi="Times New Roman" w:cs="Times New Roman"/>
          <w:sz w:val="24"/>
          <w:szCs w:val="24"/>
        </w:rPr>
        <w:t>workplace participation, poverty</w:t>
      </w:r>
      <w:r w:rsidR="00A27BD3">
        <w:rPr>
          <w:rFonts w:ascii="Times New Roman" w:hAnsi="Times New Roman" w:cs="Times New Roman"/>
          <w:sz w:val="24"/>
          <w:szCs w:val="24"/>
        </w:rPr>
        <w:t xml:space="preserve"> reduction</w:t>
      </w:r>
      <w:r w:rsidRPr="00706725">
        <w:rPr>
          <w:rFonts w:ascii="Times New Roman" w:hAnsi="Times New Roman" w:cs="Times New Roman"/>
          <w:sz w:val="24"/>
          <w:szCs w:val="24"/>
        </w:rPr>
        <w:t xml:space="preserve"> and achiev</w:t>
      </w:r>
      <w:r w:rsidR="00A27BD3">
        <w:rPr>
          <w:rFonts w:ascii="Times New Roman" w:hAnsi="Times New Roman" w:cs="Times New Roman"/>
          <w:sz w:val="24"/>
          <w:szCs w:val="24"/>
        </w:rPr>
        <w:t>ement of</w:t>
      </w:r>
      <w:r w:rsidRPr="00706725">
        <w:rPr>
          <w:rFonts w:ascii="Times New Roman" w:hAnsi="Times New Roman" w:cs="Times New Roman"/>
          <w:sz w:val="24"/>
          <w:szCs w:val="24"/>
        </w:rPr>
        <w:t xml:space="preserve"> sustainable development.</w:t>
      </w:r>
    </w:p>
    <w:p w14:paraId="52B50C0E" w14:textId="069C4736" w:rsidR="00A20406" w:rsidRPr="00BC76CB" w:rsidRDefault="00A20406" w:rsidP="00706725">
      <w:pPr>
        <w:spacing w:line="360" w:lineRule="auto"/>
        <w:jc w:val="both"/>
        <w:rPr>
          <w:rFonts w:ascii="Times New Roman" w:hAnsi="Times New Roman" w:cs="Times New Roman"/>
          <w:sz w:val="24"/>
          <w:szCs w:val="24"/>
        </w:rPr>
      </w:pPr>
    </w:p>
    <w:p w14:paraId="1251E338" w14:textId="77777777" w:rsidR="00A20406" w:rsidRPr="00BC76CB" w:rsidRDefault="00A20406" w:rsidP="00D220D6">
      <w:pPr>
        <w:spacing w:line="360" w:lineRule="auto"/>
        <w:rPr>
          <w:rFonts w:ascii="Times New Roman" w:hAnsi="Times New Roman" w:cs="Times New Roman"/>
          <w:sz w:val="24"/>
          <w:szCs w:val="24"/>
          <w:highlight w:val="yellow"/>
        </w:rPr>
      </w:pPr>
      <w:r w:rsidRPr="00BC76CB">
        <w:rPr>
          <w:rFonts w:ascii="Times New Roman" w:hAnsi="Times New Roman" w:cs="Times New Roman"/>
          <w:sz w:val="24"/>
          <w:szCs w:val="24"/>
          <w:highlight w:val="yellow"/>
        </w:rPr>
        <w:t>Disclaimer (Artificial intelligence)</w:t>
      </w:r>
    </w:p>
    <w:p w14:paraId="6A86A958" w14:textId="77777777" w:rsidR="00A20406" w:rsidRPr="00394842" w:rsidRDefault="00A20406" w:rsidP="00D220D6">
      <w:pPr>
        <w:spacing w:line="360" w:lineRule="auto"/>
        <w:rPr>
          <w:highlight w:val="yellow"/>
        </w:rPr>
      </w:pPr>
    </w:p>
    <w:p w14:paraId="1D1558FD" w14:textId="1A083740" w:rsidR="00BC76CB" w:rsidRPr="0080443F" w:rsidRDefault="00BC76CB" w:rsidP="00D220D6">
      <w:pPr>
        <w:spacing w:line="360" w:lineRule="auto"/>
        <w:rPr>
          <w:rFonts w:ascii="Times New Roman" w:hAnsi="Times New Roman" w:cs="Times New Roman"/>
          <w:b/>
        </w:rPr>
      </w:pPr>
      <w:r w:rsidRPr="0080443F">
        <w:rPr>
          <w:rFonts w:ascii="Times New Roman" w:hAnsi="Times New Roman" w:cs="Times New Roman"/>
          <w:b/>
        </w:rPr>
        <w:t>NO generative AI technologies such as Large Language Models (</w:t>
      </w:r>
      <w:proofErr w:type="spellStart"/>
      <w:r w:rsidRPr="0080443F">
        <w:rPr>
          <w:rFonts w:ascii="Times New Roman" w:hAnsi="Times New Roman" w:cs="Times New Roman"/>
          <w:b/>
        </w:rPr>
        <w:t>ChatGPT</w:t>
      </w:r>
      <w:proofErr w:type="spellEnd"/>
      <w:r w:rsidRPr="0080443F">
        <w:rPr>
          <w:rFonts w:ascii="Times New Roman" w:hAnsi="Times New Roman" w:cs="Times New Roman"/>
          <w:b/>
        </w:rPr>
        <w:t xml:space="preserve">, COPILOT, etc.) and text-to-image generators have been used during the writing or editing of this manuscript. </w:t>
      </w:r>
    </w:p>
    <w:p w14:paraId="4B1B722E" w14:textId="10998E1B" w:rsidR="00A20406" w:rsidRPr="00394842" w:rsidRDefault="00A20406" w:rsidP="00A20406">
      <w:pPr>
        <w:rPr>
          <w:highlight w:val="yellow"/>
        </w:rPr>
      </w:pPr>
    </w:p>
    <w:p w14:paraId="76F8270C" w14:textId="77777777" w:rsidR="00A20406" w:rsidRPr="00394842" w:rsidRDefault="00A20406" w:rsidP="00A20406">
      <w:pPr>
        <w:rPr>
          <w:highlight w:val="yellow"/>
        </w:rPr>
      </w:pPr>
    </w:p>
    <w:p w14:paraId="594F36EB" w14:textId="77777777" w:rsidR="00A20406" w:rsidRPr="00394842" w:rsidRDefault="00A20406" w:rsidP="00A20406">
      <w:pPr>
        <w:rPr>
          <w:highlight w:val="yellow"/>
        </w:rPr>
      </w:pPr>
    </w:p>
    <w:p w14:paraId="34649917" w14:textId="77777777" w:rsidR="00A20406" w:rsidRDefault="00A20406" w:rsidP="00706725">
      <w:pPr>
        <w:spacing w:line="360" w:lineRule="auto"/>
        <w:jc w:val="both"/>
        <w:rPr>
          <w:rFonts w:ascii="Times New Roman" w:hAnsi="Times New Roman" w:cs="Times New Roman"/>
          <w:sz w:val="24"/>
          <w:szCs w:val="24"/>
        </w:rPr>
      </w:pPr>
    </w:p>
    <w:p w14:paraId="635A9416" w14:textId="77777777" w:rsidR="001267D8" w:rsidRPr="00706725" w:rsidRDefault="006A0951" w:rsidP="004610D7">
      <w:pPr>
        <w:rPr>
          <w:rFonts w:ascii="Times New Roman" w:hAnsi="Times New Roman" w:cs="Times New Roman"/>
          <w:b/>
          <w:bCs/>
        </w:rPr>
      </w:pPr>
      <w:r w:rsidRPr="00706725">
        <w:rPr>
          <w:rFonts w:ascii="Times New Roman" w:hAnsi="Times New Roman" w:cs="Times New Roman"/>
          <w:b/>
          <w:bCs/>
        </w:rPr>
        <w:t>REFERENCES:</w:t>
      </w:r>
    </w:p>
    <w:p w14:paraId="4BF7904F" w14:textId="0C096FD4"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Armour, M., Smith, C. A., Steel, K. A., et al. (2019). The effectiveness of self-care and lifestyle interventions in primary dysmenorrhea: A systematic review and meta-analysis. </w:t>
      </w:r>
      <w:r w:rsidRPr="00040EE2">
        <w:rPr>
          <w:rFonts w:ascii="Times New Roman" w:hAnsi="Times New Roman" w:cs="Times New Roman"/>
          <w:i/>
          <w:iCs/>
          <w:sz w:val="24"/>
          <w:szCs w:val="24"/>
        </w:rPr>
        <w:t>BMC Complementary and Alternative Medicine, 19</w:t>
      </w:r>
      <w:r w:rsidRPr="00040EE2">
        <w:rPr>
          <w:rFonts w:ascii="Times New Roman" w:hAnsi="Times New Roman" w:cs="Times New Roman"/>
          <w:sz w:val="24"/>
          <w:szCs w:val="24"/>
        </w:rPr>
        <w:t>(1), 22. https://doi.org/10.1186/s12906-019-2433-8</w:t>
      </w:r>
    </w:p>
    <w:p w14:paraId="73680ACE" w14:textId="33A9E6C6"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lastRenderedPageBreak/>
        <w:t>Ashforth</w:t>
      </w:r>
      <w:proofErr w:type="spellEnd"/>
      <w:r w:rsidRPr="00040EE2">
        <w:rPr>
          <w:rFonts w:ascii="Times New Roman" w:hAnsi="Times New Roman" w:cs="Times New Roman"/>
          <w:sz w:val="24"/>
          <w:szCs w:val="24"/>
        </w:rPr>
        <w:t xml:space="preserve">, B. E., </w:t>
      </w:r>
      <w:proofErr w:type="spellStart"/>
      <w:r w:rsidRPr="00040EE2">
        <w:rPr>
          <w:rFonts w:ascii="Times New Roman" w:hAnsi="Times New Roman" w:cs="Times New Roman"/>
          <w:sz w:val="24"/>
          <w:szCs w:val="24"/>
        </w:rPr>
        <w:t>Kreiner</w:t>
      </w:r>
      <w:proofErr w:type="spellEnd"/>
      <w:r w:rsidRPr="00040EE2">
        <w:rPr>
          <w:rFonts w:ascii="Times New Roman" w:hAnsi="Times New Roman" w:cs="Times New Roman"/>
          <w:sz w:val="24"/>
          <w:szCs w:val="24"/>
        </w:rPr>
        <w:t xml:space="preserve">, G. E., &amp; Fugate, M. (2000). All in a day’s work: Boundaries and micro role transitions. </w:t>
      </w:r>
      <w:r w:rsidRPr="00040EE2">
        <w:rPr>
          <w:rFonts w:ascii="Times New Roman" w:hAnsi="Times New Roman" w:cs="Times New Roman"/>
          <w:i/>
          <w:iCs/>
          <w:sz w:val="24"/>
          <w:szCs w:val="24"/>
        </w:rPr>
        <w:t>Academy of Management Review, 25</w:t>
      </w:r>
      <w:r w:rsidRPr="00040EE2">
        <w:rPr>
          <w:rFonts w:ascii="Times New Roman" w:hAnsi="Times New Roman" w:cs="Times New Roman"/>
          <w:sz w:val="24"/>
          <w:szCs w:val="24"/>
        </w:rPr>
        <w:t>(3), 472–491. https://doi.org/10.5465/amr.2000.3363315</w:t>
      </w:r>
    </w:p>
    <w:p w14:paraId="79736516" w14:textId="7C932C55"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Asselberg</w:t>
      </w:r>
      <w:proofErr w:type="spellEnd"/>
      <w:r w:rsidRPr="00040EE2">
        <w:rPr>
          <w:rFonts w:ascii="Times New Roman" w:hAnsi="Times New Roman" w:cs="Times New Roman"/>
          <w:sz w:val="24"/>
          <w:szCs w:val="24"/>
        </w:rPr>
        <w:t xml:space="preserve">, K., &amp; </w:t>
      </w:r>
      <w:proofErr w:type="spellStart"/>
      <w:r w:rsidRPr="00040EE2">
        <w:rPr>
          <w:rFonts w:ascii="Times New Roman" w:hAnsi="Times New Roman" w:cs="Times New Roman"/>
          <w:sz w:val="24"/>
          <w:szCs w:val="24"/>
        </w:rPr>
        <w:t>Stecher</w:t>
      </w:r>
      <w:proofErr w:type="spellEnd"/>
      <w:r w:rsidRPr="00040EE2">
        <w:rPr>
          <w:rFonts w:ascii="Times New Roman" w:hAnsi="Times New Roman" w:cs="Times New Roman"/>
          <w:sz w:val="24"/>
          <w:szCs w:val="24"/>
        </w:rPr>
        <w:t xml:space="preserve">-Rasmussen, S. (2018). </w:t>
      </w:r>
      <w:r w:rsidRPr="00040EE2">
        <w:rPr>
          <w:rFonts w:ascii="Times New Roman" w:hAnsi="Times New Roman" w:cs="Times New Roman"/>
          <w:i/>
          <w:iCs/>
          <w:sz w:val="24"/>
          <w:szCs w:val="24"/>
        </w:rPr>
        <w:t>How can social protection systems, interlinked with the access to public services and sustainable infrastructure, contribute to achieve gender equality and the empowerment of women and girls?</w:t>
      </w:r>
    </w:p>
    <w:p w14:paraId="5AF9FEB1" w14:textId="7978C62C"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Brinda, E. M., Rajkumar, A. P., &amp; </w:t>
      </w:r>
      <w:proofErr w:type="spellStart"/>
      <w:r w:rsidRPr="00040EE2">
        <w:rPr>
          <w:rFonts w:ascii="Times New Roman" w:hAnsi="Times New Roman" w:cs="Times New Roman"/>
          <w:sz w:val="24"/>
          <w:szCs w:val="24"/>
        </w:rPr>
        <w:t>Enemark</w:t>
      </w:r>
      <w:proofErr w:type="spellEnd"/>
      <w:r w:rsidRPr="00040EE2">
        <w:rPr>
          <w:rFonts w:ascii="Times New Roman" w:hAnsi="Times New Roman" w:cs="Times New Roman"/>
          <w:sz w:val="24"/>
          <w:szCs w:val="24"/>
        </w:rPr>
        <w:t xml:space="preserve">, U. (2015). Association between gender inequality index and child mortality rates: A cross-national study of 138 countries. </w:t>
      </w:r>
      <w:r w:rsidRPr="00040EE2">
        <w:rPr>
          <w:rFonts w:ascii="Times New Roman" w:hAnsi="Times New Roman" w:cs="Times New Roman"/>
          <w:i/>
          <w:iCs/>
          <w:sz w:val="24"/>
          <w:szCs w:val="24"/>
        </w:rPr>
        <w:t>BMC Public Health, 15</w:t>
      </w:r>
      <w:r w:rsidRPr="00040EE2">
        <w:rPr>
          <w:rFonts w:ascii="Times New Roman" w:hAnsi="Times New Roman" w:cs="Times New Roman"/>
          <w:sz w:val="24"/>
          <w:szCs w:val="24"/>
        </w:rPr>
        <w:t>, 1–6. https://doi.org/10.1186/s12889-015-1449-3</w:t>
      </w:r>
    </w:p>
    <w:p w14:paraId="43ACB653" w14:textId="73653616"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Chen, C. X., </w:t>
      </w:r>
      <w:proofErr w:type="spellStart"/>
      <w:r w:rsidRPr="00040EE2">
        <w:rPr>
          <w:rFonts w:ascii="Times New Roman" w:hAnsi="Times New Roman" w:cs="Times New Roman"/>
          <w:sz w:val="24"/>
          <w:szCs w:val="24"/>
        </w:rPr>
        <w:t>Draucker</w:t>
      </w:r>
      <w:proofErr w:type="spellEnd"/>
      <w:r w:rsidRPr="00040EE2">
        <w:rPr>
          <w:rFonts w:ascii="Times New Roman" w:hAnsi="Times New Roman" w:cs="Times New Roman"/>
          <w:sz w:val="24"/>
          <w:szCs w:val="24"/>
        </w:rPr>
        <w:t xml:space="preserve">, C. B., &amp; Carpenter, J. S. (2018). What women say about their dysmenorrhea: A qualitative thematic analysis. </w:t>
      </w:r>
      <w:r w:rsidRPr="00040EE2">
        <w:rPr>
          <w:rFonts w:ascii="Times New Roman" w:hAnsi="Times New Roman" w:cs="Times New Roman"/>
          <w:i/>
          <w:iCs/>
          <w:sz w:val="24"/>
          <w:szCs w:val="24"/>
        </w:rPr>
        <w:t>BMC Women’s Health, 18</w:t>
      </w:r>
      <w:r w:rsidRPr="00040EE2">
        <w:rPr>
          <w:rFonts w:ascii="Times New Roman" w:hAnsi="Times New Roman" w:cs="Times New Roman"/>
          <w:sz w:val="24"/>
          <w:szCs w:val="24"/>
        </w:rPr>
        <w:t>(1), 1–8. https://doi.org/10.1186/s12905-018-0538-8</w:t>
      </w:r>
    </w:p>
    <w:p w14:paraId="53DB68D1" w14:textId="3C5D4F42"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Chinyama</w:t>
      </w:r>
      <w:proofErr w:type="spellEnd"/>
      <w:r w:rsidRPr="00040EE2">
        <w:rPr>
          <w:rFonts w:ascii="Times New Roman" w:hAnsi="Times New Roman" w:cs="Times New Roman"/>
          <w:sz w:val="24"/>
          <w:szCs w:val="24"/>
        </w:rPr>
        <w:t xml:space="preserve">, J., </w:t>
      </w:r>
      <w:proofErr w:type="spellStart"/>
      <w:r w:rsidRPr="00040EE2">
        <w:rPr>
          <w:rFonts w:ascii="Times New Roman" w:hAnsi="Times New Roman" w:cs="Times New Roman"/>
          <w:sz w:val="24"/>
          <w:szCs w:val="24"/>
        </w:rPr>
        <w:t>Chipungu</w:t>
      </w:r>
      <w:proofErr w:type="spellEnd"/>
      <w:r w:rsidRPr="00040EE2">
        <w:rPr>
          <w:rFonts w:ascii="Times New Roman" w:hAnsi="Times New Roman" w:cs="Times New Roman"/>
          <w:sz w:val="24"/>
          <w:szCs w:val="24"/>
        </w:rPr>
        <w:t xml:space="preserve">, J., Rudd, C., </w:t>
      </w:r>
      <w:proofErr w:type="spellStart"/>
      <w:r w:rsidRPr="00040EE2">
        <w:rPr>
          <w:rFonts w:ascii="Times New Roman" w:hAnsi="Times New Roman" w:cs="Times New Roman"/>
          <w:sz w:val="24"/>
          <w:szCs w:val="24"/>
        </w:rPr>
        <w:t>Mwale</w:t>
      </w:r>
      <w:proofErr w:type="spellEnd"/>
      <w:r w:rsidRPr="00040EE2">
        <w:rPr>
          <w:rFonts w:ascii="Times New Roman" w:hAnsi="Times New Roman" w:cs="Times New Roman"/>
          <w:sz w:val="24"/>
          <w:szCs w:val="24"/>
        </w:rPr>
        <w:t xml:space="preserve">, M., </w:t>
      </w:r>
      <w:proofErr w:type="spellStart"/>
      <w:r w:rsidRPr="00040EE2">
        <w:rPr>
          <w:rFonts w:ascii="Times New Roman" w:hAnsi="Times New Roman" w:cs="Times New Roman"/>
          <w:sz w:val="24"/>
          <w:szCs w:val="24"/>
        </w:rPr>
        <w:t>Verstraete</w:t>
      </w:r>
      <w:proofErr w:type="spellEnd"/>
      <w:r w:rsidRPr="00040EE2">
        <w:rPr>
          <w:rFonts w:ascii="Times New Roman" w:hAnsi="Times New Roman" w:cs="Times New Roman"/>
          <w:sz w:val="24"/>
          <w:szCs w:val="24"/>
        </w:rPr>
        <w:t xml:space="preserve">, L., </w:t>
      </w:r>
      <w:proofErr w:type="spellStart"/>
      <w:r w:rsidRPr="00040EE2">
        <w:rPr>
          <w:rFonts w:ascii="Times New Roman" w:hAnsi="Times New Roman" w:cs="Times New Roman"/>
          <w:sz w:val="24"/>
          <w:szCs w:val="24"/>
        </w:rPr>
        <w:t>Sikamo</w:t>
      </w:r>
      <w:proofErr w:type="spellEnd"/>
      <w:r w:rsidRPr="00040EE2">
        <w:rPr>
          <w:rFonts w:ascii="Times New Roman" w:hAnsi="Times New Roman" w:cs="Times New Roman"/>
          <w:sz w:val="24"/>
          <w:szCs w:val="24"/>
        </w:rPr>
        <w:t xml:space="preserve">, C., et al. (2019). Menstrual hygiene management in rural schools of Zambia: A descriptive study of knowledge, experiences and challenges faced by schoolgirls. </w:t>
      </w:r>
      <w:r w:rsidRPr="00040EE2">
        <w:rPr>
          <w:rFonts w:ascii="Times New Roman" w:hAnsi="Times New Roman" w:cs="Times New Roman"/>
          <w:i/>
          <w:iCs/>
          <w:sz w:val="24"/>
          <w:szCs w:val="24"/>
        </w:rPr>
        <w:t>BMC Public Health, 19</w:t>
      </w:r>
      <w:r w:rsidRPr="00040EE2">
        <w:rPr>
          <w:rFonts w:ascii="Times New Roman" w:hAnsi="Times New Roman" w:cs="Times New Roman"/>
          <w:sz w:val="24"/>
          <w:szCs w:val="24"/>
        </w:rPr>
        <w:t>(16), 1–10.</w:t>
      </w:r>
    </w:p>
    <w:p w14:paraId="2350EB86" w14:textId="714810F5"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Garg, S., Bhatnagar, N., Singh, M. M., </w:t>
      </w:r>
      <w:proofErr w:type="spellStart"/>
      <w:r w:rsidRPr="00040EE2">
        <w:rPr>
          <w:rFonts w:ascii="Times New Roman" w:hAnsi="Times New Roman" w:cs="Times New Roman"/>
          <w:sz w:val="24"/>
          <w:szCs w:val="24"/>
        </w:rPr>
        <w:t>Basu</w:t>
      </w:r>
      <w:proofErr w:type="spellEnd"/>
      <w:r w:rsidRPr="00040EE2">
        <w:rPr>
          <w:rFonts w:ascii="Times New Roman" w:hAnsi="Times New Roman" w:cs="Times New Roman"/>
          <w:sz w:val="24"/>
          <w:szCs w:val="24"/>
        </w:rPr>
        <w:t xml:space="preserve">, S., </w:t>
      </w:r>
      <w:proofErr w:type="spellStart"/>
      <w:r w:rsidRPr="00040EE2">
        <w:rPr>
          <w:rFonts w:ascii="Times New Roman" w:hAnsi="Times New Roman" w:cs="Times New Roman"/>
          <w:sz w:val="24"/>
          <w:szCs w:val="24"/>
        </w:rPr>
        <w:t>Borle</w:t>
      </w:r>
      <w:proofErr w:type="spellEnd"/>
      <w:r w:rsidRPr="00040EE2">
        <w:rPr>
          <w:rFonts w:ascii="Times New Roman" w:hAnsi="Times New Roman" w:cs="Times New Roman"/>
          <w:sz w:val="24"/>
          <w:szCs w:val="24"/>
        </w:rPr>
        <w:t xml:space="preserve">, A., </w:t>
      </w:r>
      <w:proofErr w:type="spellStart"/>
      <w:r w:rsidRPr="00040EE2">
        <w:rPr>
          <w:rFonts w:ascii="Times New Roman" w:hAnsi="Times New Roman" w:cs="Times New Roman"/>
          <w:sz w:val="24"/>
          <w:szCs w:val="24"/>
        </w:rPr>
        <w:t>Marimuthu</w:t>
      </w:r>
      <w:proofErr w:type="spellEnd"/>
      <w:r w:rsidRPr="00040EE2">
        <w:rPr>
          <w:rFonts w:ascii="Times New Roman" w:hAnsi="Times New Roman" w:cs="Times New Roman"/>
          <w:sz w:val="24"/>
          <w:szCs w:val="24"/>
        </w:rPr>
        <w:t xml:space="preserve">, Y., et al. (2022). Menstrual hygiene management and its determinants among adolescent girls in low-income urban areas of Delhi, India: A community-based study. </w:t>
      </w:r>
      <w:proofErr w:type="spellStart"/>
      <w:r w:rsidRPr="00040EE2">
        <w:rPr>
          <w:rFonts w:ascii="Times New Roman" w:hAnsi="Times New Roman" w:cs="Times New Roman"/>
          <w:i/>
          <w:iCs/>
          <w:sz w:val="24"/>
          <w:szCs w:val="24"/>
        </w:rPr>
        <w:t>Osong</w:t>
      </w:r>
      <w:proofErr w:type="spellEnd"/>
      <w:r w:rsidRPr="00040EE2">
        <w:rPr>
          <w:rFonts w:ascii="Times New Roman" w:hAnsi="Times New Roman" w:cs="Times New Roman"/>
          <w:i/>
          <w:iCs/>
          <w:sz w:val="24"/>
          <w:szCs w:val="24"/>
        </w:rPr>
        <w:t xml:space="preserve"> Public Health and Research Perspectives, 13</w:t>
      </w:r>
      <w:r w:rsidRPr="00040EE2">
        <w:rPr>
          <w:rFonts w:ascii="Times New Roman" w:hAnsi="Times New Roman" w:cs="Times New Roman"/>
          <w:sz w:val="24"/>
          <w:szCs w:val="24"/>
        </w:rPr>
        <w:t>, 273–281.</w:t>
      </w:r>
    </w:p>
    <w:p w14:paraId="72684619" w14:textId="7A564081"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Garg, S., &amp; Anand, T. (2015). Menstruation related myths in India: Strategies for combating it. </w:t>
      </w:r>
      <w:r w:rsidRPr="00040EE2">
        <w:rPr>
          <w:rFonts w:ascii="Times New Roman" w:hAnsi="Times New Roman" w:cs="Times New Roman"/>
          <w:i/>
          <w:iCs/>
          <w:sz w:val="24"/>
          <w:szCs w:val="24"/>
        </w:rPr>
        <w:t>Journal of Family Medicine and Primary Care, 4</w:t>
      </w:r>
      <w:r w:rsidRPr="00040EE2">
        <w:rPr>
          <w:rFonts w:ascii="Times New Roman" w:hAnsi="Times New Roman" w:cs="Times New Roman"/>
          <w:sz w:val="24"/>
          <w:szCs w:val="24"/>
        </w:rPr>
        <w:t xml:space="preserve">(2), 184–186. </w:t>
      </w:r>
      <w:hyperlink r:id="rId8" w:tgtFrame="_new" w:history="1">
        <w:r w:rsidRPr="00040EE2">
          <w:rPr>
            <w:rStyle w:val="Hyperlink"/>
            <w:rFonts w:ascii="Times New Roman" w:hAnsi="Times New Roman" w:cs="Times New Roman"/>
            <w:sz w:val="24"/>
            <w:szCs w:val="24"/>
          </w:rPr>
          <w:t>https://doi.org/10.4103/2249-4863.154627</w:t>
        </w:r>
      </w:hyperlink>
    </w:p>
    <w:p w14:paraId="255625CB" w14:textId="77176A86"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Hennegan</w:t>
      </w:r>
      <w:proofErr w:type="spellEnd"/>
      <w:r w:rsidRPr="00040EE2">
        <w:rPr>
          <w:rFonts w:ascii="Times New Roman" w:hAnsi="Times New Roman" w:cs="Times New Roman"/>
          <w:sz w:val="24"/>
          <w:szCs w:val="24"/>
        </w:rPr>
        <w:t xml:space="preserve">, J., </w:t>
      </w:r>
      <w:proofErr w:type="spellStart"/>
      <w:r w:rsidRPr="00040EE2">
        <w:rPr>
          <w:rFonts w:ascii="Times New Roman" w:hAnsi="Times New Roman" w:cs="Times New Roman"/>
          <w:sz w:val="24"/>
          <w:szCs w:val="24"/>
        </w:rPr>
        <w:t>OlaOlorun</w:t>
      </w:r>
      <w:proofErr w:type="spellEnd"/>
      <w:r w:rsidRPr="00040EE2">
        <w:rPr>
          <w:rFonts w:ascii="Times New Roman" w:hAnsi="Times New Roman" w:cs="Times New Roman"/>
          <w:sz w:val="24"/>
          <w:szCs w:val="24"/>
        </w:rPr>
        <w:t xml:space="preserve">, F. M., </w:t>
      </w:r>
      <w:proofErr w:type="spellStart"/>
      <w:r w:rsidRPr="00040EE2">
        <w:rPr>
          <w:rFonts w:ascii="Times New Roman" w:hAnsi="Times New Roman" w:cs="Times New Roman"/>
          <w:sz w:val="24"/>
          <w:szCs w:val="24"/>
        </w:rPr>
        <w:t>Oumarou</w:t>
      </w:r>
      <w:proofErr w:type="spellEnd"/>
      <w:r w:rsidRPr="00040EE2">
        <w:rPr>
          <w:rFonts w:ascii="Times New Roman" w:hAnsi="Times New Roman" w:cs="Times New Roman"/>
          <w:sz w:val="24"/>
          <w:szCs w:val="24"/>
        </w:rPr>
        <w:t xml:space="preserve">, S., </w:t>
      </w:r>
      <w:proofErr w:type="spellStart"/>
      <w:r w:rsidRPr="00040EE2">
        <w:rPr>
          <w:rFonts w:ascii="Times New Roman" w:hAnsi="Times New Roman" w:cs="Times New Roman"/>
          <w:sz w:val="24"/>
          <w:szCs w:val="24"/>
        </w:rPr>
        <w:t>Alzouma</w:t>
      </w:r>
      <w:proofErr w:type="spellEnd"/>
      <w:r w:rsidRPr="00040EE2">
        <w:rPr>
          <w:rFonts w:ascii="Times New Roman" w:hAnsi="Times New Roman" w:cs="Times New Roman"/>
          <w:sz w:val="24"/>
          <w:szCs w:val="24"/>
        </w:rPr>
        <w:t xml:space="preserve">, S., </w:t>
      </w:r>
      <w:proofErr w:type="spellStart"/>
      <w:r w:rsidRPr="00040EE2">
        <w:rPr>
          <w:rFonts w:ascii="Times New Roman" w:hAnsi="Times New Roman" w:cs="Times New Roman"/>
          <w:sz w:val="24"/>
          <w:szCs w:val="24"/>
        </w:rPr>
        <w:t>Guiella</w:t>
      </w:r>
      <w:proofErr w:type="spellEnd"/>
      <w:r w:rsidRPr="00040EE2">
        <w:rPr>
          <w:rFonts w:ascii="Times New Roman" w:hAnsi="Times New Roman" w:cs="Times New Roman"/>
          <w:sz w:val="24"/>
          <w:szCs w:val="24"/>
        </w:rPr>
        <w:t xml:space="preserve">, G., </w:t>
      </w:r>
      <w:proofErr w:type="spellStart"/>
      <w:r w:rsidRPr="00040EE2">
        <w:rPr>
          <w:rFonts w:ascii="Times New Roman" w:hAnsi="Times New Roman" w:cs="Times New Roman"/>
          <w:sz w:val="24"/>
          <w:szCs w:val="24"/>
        </w:rPr>
        <w:t>Omoluabi</w:t>
      </w:r>
      <w:proofErr w:type="spellEnd"/>
      <w:r w:rsidRPr="00040EE2">
        <w:rPr>
          <w:rFonts w:ascii="Times New Roman" w:hAnsi="Times New Roman" w:cs="Times New Roman"/>
          <w:sz w:val="24"/>
          <w:szCs w:val="24"/>
        </w:rPr>
        <w:t xml:space="preserve">, E., et al. (2021). School and work absenteeism due to menstruation in three West African countries: Findings from PMA2020 surveys. </w:t>
      </w:r>
      <w:r w:rsidRPr="00040EE2">
        <w:rPr>
          <w:rFonts w:ascii="Times New Roman" w:hAnsi="Times New Roman" w:cs="Times New Roman"/>
          <w:i/>
          <w:iCs/>
          <w:sz w:val="24"/>
          <w:szCs w:val="24"/>
        </w:rPr>
        <w:t>Sexual and Reproductive Health Matters, 29</w:t>
      </w:r>
      <w:r w:rsidRPr="00040EE2">
        <w:rPr>
          <w:rFonts w:ascii="Times New Roman" w:hAnsi="Times New Roman" w:cs="Times New Roman"/>
          <w:sz w:val="24"/>
          <w:szCs w:val="24"/>
        </w:rPr>
        <w:t>(1), 1915940. https://doi.org/10.1080/26410397.2021.1915940</w:t>
      </w:r>
    </w:p>
    <w:p w14:paraId="74F4A832" w14:textId="53A6A955"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Hennegan</w:t>
      </w:r>
      <w:proofErr w:type="spellEnd"/>
      <w:r w:rsidRPr="00040EE2">
        <w:rPr>
          <w:rFonts w:ascii="Times New Roman" w:hAnsi="Times New Roman" w:cs="Times New Roman"/>
          <w:sz w:val="24"/>
          <w:szCs w:val="24"/>
        </w:rPr>
        <w:t xml:space="preserve">, J., Shannon, A. K., </w:t>
      </w:r>
      <w:proofErr w:type="spellStart"/>
      <w:r w:rsidRPr="00040EE2">
        <w:rPr>
          <w:rFonts w:ascii="Times New Roman" w:hAnsi="Times New Roman" w:cs="Times New Roman"/>
          <w:sz w:val="24"/>
          <w:szCs w:val="24"/>
        </w:rPr>
        <w:t>Rubli</w:t>
      </w:r>
      <w:proofErr w:type="spellEnd"/>
      <w:r w:rsidRPr="00040EE2">
        <w:rPr>
          <w:rFonts w:ascii="Times New Roman" w:hAnsi="Times New Roman" w:cs="Times New Roman"/>
          <w:sz w:val="24"/>
          <w:szCs w:val="24"/>
        </w:rPr>
        <w:t xml:space="preserve">, J., Schwab, K. J., &amp; Melendez-Torres, G. J. (2019). Women’s and girls’ experiences of menstruation in low- and middle-income countries: A systematic review and qualitative </w:t>
      </w:r>
      <w:proofErr w:type="spellStart"/>
      <w:r w:rsidRPr="00040EE2">
        <w:rPr>
          <w:rFonts w:ascii="Times New Roman" w:hAnsi="Times New Roman" w:cs="Times New Roman"/>
          <w:sz w:val="24"/>
          <w:szCs w:val="24"/>
        </w:rPr>
        <w:t>metasynthesis</w:t>
      </w:r>
      <w:proofErr w:type="spellEnd"/>
      <w:r w:rsidRPr="00040EE2">
        <w:rPr>
          <w:rFonts w:ascii="Times New Roman" w:hAnsi="Times New Roman" w:cs="Times New Roman"/>
          <w:sz w:val="24"/>
          <w:szCs w:val="24"/>
        </w:rPr>
        <w:t xml:space="preserve">. </w:t>
      </w:r>
      <w:r w:rsidRPr="00040EE2">
        <w:rPr>
          <w:rFonts w:ascii="Times New Roman" w:hAnsi="Times New Roman" w:cs="Times New Roman"/>
          <w:i/>
          <w:iCs/>
          <w:sz w:val="24"/>
          <w:szCs w:val="24"/>
        </w:rPr>
        <w:t>PLOS Medicine, 16</w:t>
      </w:r>
      <w:r w:rsidRPr="00040EE2">
        <w:rPr>
          <w:rFonts w:ascii="Times New Roman" w:hAnsi="Times New Roman" w:cs="Times New Roman"/>
          <w:sz w:val="24"/>
          <w:szCs w:val="24"/>
        </w:rPr>
        <w:t xml:space="preserve">(5), e1002803. </w:t>
      </w:r>
      <w:hyperlink r:id="rId9" w:tgtFrame="_new" w:history="1">
        <w:r w:rsidRPr="00040EE2">
          <w:rPr>
            <w:rStyle w:val="Hyperlink"/>
            <w:rFonts w:ascii="Times New Roman" w:hAnsi="Times New Roman" w:cs="Times New Roman"/>
            <w:sz w:val="24"/>
            <w:szCs w:val="24"/>
          </w:rPr>
          <w:t>https://doi.org/10.1371/journal.pmed.1002803</w:t>
        </w:r>
      </w:hyperlink>
    </w:p>
    <w:p w14:paraId="68E582FE" w14:textId="5AF6E31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Hennegan</w:t>
      </w:r>
      <w:proofErr w:type="spellEnd"/>
      <w:r w:rsidRPr="00040EE2">
        <w:rPr>
          <w:rFonts w:ascii="Times New Roman" w:hAnsi="Times New Roman" w:cs="Times New Roman"/>
          <w:sz w:val="24"/>
          <w:szCs w:val="24"/>
        </w:rPr>
        <w:t xml:space="preserve">, J., </w:t>
      </w:r>
      <w:proofErr w:type="spellStart"/>
      <w:r w:rsidRPr="00040EE2">
        <w:rPr>
          <w:rFonts w:ascii="Times New Roman" w:hAnsi="Times New Roman" w:cs="Times New Roman"/>
          <w:sz w:val="24"/>
          <w:szCs w:val="24"/>
        </w:rPr>
        <w:t>Tsui</w:t>
      </w:r>
      <w:proofErr w:type="spellEnd"/>
      <w:r w:rsidRPr="00040EE2">
        <w:rPr>
          <w:rFonts w:ascii="Times New Roman" w:hAnsi="Times New Roman" w:cs="Times New Roman"/>
          <w:sz w:val="24"/>
          <w:szCs w:val="24"/>
        </w:rPr>
        <w:t xml:space="preserve">, A. O., &amp; Sommer, M. (2019). Missed opportunities: Menstruation matters for family planning. </w:t>
      </w:r>
      <w:r w:rsidRPr="00040EE2">
        <w:rPr>
          <w:rFonts w:ascii="Times New Roman" w:hAnsi="Times New Roman" w:cs="Times New Roman"/>
          <w:i/>
          <w:iCs/>
          <w:sz w:val="24"/>
          <w:szCs w:val="24"/>
        </w:rPr>
        <w:t>International Perspectives on Sexual and Reproductive Health, 45</w:t>
      </w:r>
      <w:r w:rsidRPr="00040EE2">
        <w:rPr>
          <w:rFonts w:ascii="Times New Roman" w:hAnsi="Times New Roman" w:cs="Times New Roman"/>
          <w:sz w:val="24"/>
          <w:szCs w:val="24"/>
        </w:rPr>
        <w:t>, 55–59. https://doi.org/10.1363/45e7919</w:t>
      </w:r>
    </w:p>
    <w:p w14:paraId="47DF3BCA" w14:textId="5C8EA9DB"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lastRenderedPageBreak/>
        <w:t>Hennegan</w:t>
      </w:r>
      <w:proofErr w:type="spellEnd"/>
      <w:r w:rsidRPr="00040EE2">
        <w:rPr>
          <w:rFonts w:ascii="Times New Roman" w:hAnsi="Times New Roman" w:cs="Times New Roman"/>
          <w:sz w:val="24"/>
          <w:szCs w:val="24"/>
        </w:rPr>
        <w:t xml:space="preserve">, J., Winkler, I. T., </w:t>
      </w:r>
      <w:proofErr w:type="spellStart"/>
      <w:r w:rsidRPr="00040EE2">
        <w:rPr>
          <w:rFonts w:ascii="Times New Roman" w:hAnsi="Times New Roman" w:cs="Times New Roman"/>
          <w:sz w:val="24"/>
          <w:szCs w:val="24"/>
        </w:rPr>
        <w:t>Bobel</w:t>
      </w:r>
      <w:proofErr w:type="spellEnd"/>
      <w:r w:rsidRPr="00040EE2">
        <w:rPr>
          <w:rFonts w:ascii="Times New Roman" w:hAnsi="Times New Roman" w:cs="Times New Roman"/>
          <w:sz w:val="24"/>
          <w:szCs w:val="24"/>
        </w:rPr>
        <w:t xml:space="preserve">, C., Keiser, D., Hampton, J., Larsson, G., et al. (2021). Menstrual health: A definition for policy, practice, and research. </w:t>
      </w:r>
      <w:r w:rsidRPr="00040EE2">
        <w:rPr>
          <w:rFonts w:ascii="Times New Roman" w:hAnsi="Times New Roman" w:cs="Times New Roman"/>
          <w:i/>
          <w:iCs/>
          <w:sz w:val="24"/>
          <w:szCs w:val="24"/>
        </w:rPr>
        <w:t>Sexual and Reproductive Health Matters, 29</w:t>
      </w:r>
      <w:r w:rsidRPr="00040EE2">
        <w:rPr>
          <w:rFonts w:ascii="Times New Roman" w:hAnsi="Times New Roman" w:cs="Times New Roman"/>
          <w:sz w:val="24"/>
          <w:szCs w:val="24"/>
        </w:rPr>
        <w:t xml:space="preserve">(1), 1911618. </w:t>
      </w:r>
      <w:hyperlink r:id="rId10" w:tgtFrame="_new" w:history="1">
        <w:r w:rsidRPr="00040EE2">
          <w:rPr>
            <w:rStyle w:val="Hyperlink"/>
            <w:rFonts w:ascii="Times New Roman" w:hAnsi="Times New Roman" w:cs="Times New Roman"/>
            <w:sz w:val="24"/>
            <w:szCs w:val="24"/>
          </w:rPr>
          <w:t>https://doi.org/10.1080/26410397.2021.1911618</w:t>
        </w:r>
      </w:hyperlink>
    </w:p>
    <w:p w14:paraId="5A059557" w14:textId="7BF63D3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Hoef</w:t>
      </w:r>
      <w:proofErr w:type="spellEnd"/>
      <w:r w:rsidRPr="00040EE2">
        <w:rPr>
          <w:rFonts w:ascii="Times New Roman" w:hAnsi="Times New Roman" w:cs="Times New Roman"/>
          <w:sz w:val="24"/>
          <w:szCs w:val="24"/>
        </w:rPr>
        <w:t xml:space="preserve">, R. v. d. (2023). </w:t>
      </w:r>
      <w:r w:rsidRPr="00040EE2">
        <w:rPr>
          <w:rFonts w:ascii="Times New Roman" w:hAnsi="Times New Roman" w:cs="Times New Roman"/>
          <w:i/>
          <w:iCs/>
          <w:sz w:val="24"/>
          <w:szCs w:val="24"/>
        </w:rPr>
        <w:t>Understanding the impact of menstruation on work performance: The role of presenteeism and job demands</w:t>
      </w:r>
      <w:r w:rsidRPr="00040EE2">
        <w:rPr>
          <w:rFonts w:ascii="Times New Roman" w:hAnsi="Times New Roman" w:cs="Times New Roman"/>
          <w:sz w:val="24"/>
          <w:szCs w:val="24"/>
        </w:rPr>
        <w:t>.</w:t>
      </w:r>
    </w:p>
    <w:p w14:paraId="233F0618" w14:textId="22BC21FD"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House, S., Mahon, T., &amp; </w:t>
      </w:r>
      <w:proofErr w:type="spellStart"/>
      <w:r w:rsidRPr="00040EE2">
        <w:rPr>
          <w:rFonts w:ascii="Times New Roman" w:hAnsi="Times New Roman" w:cs="Times New Roman"/>
          <w:sz w:val="24"/>
          <w:szCs w:val="24"/>
        </w:rPr>
        <w:t>Cavill</w:t>
      </w:r>
      <w:proofErr w:type="spellEnd"/>
      <w:r w:rsidRPr="00040EE2">
        <w:rPr>
          <w:rFonts w:ascii="Times New Roman" w:hAnsi="Times New Roman" w:cs="Times New Roman"/>
          <w:sz w:val="24"/>
          <w:szCs w:val="24"/>
        </w:rPr>
        <w:t xml:space="preserve">, S. (2012). </w:t>
      </w:r>
      <w:r w:rsidRPr="00040EE2">
        <w:rPr>
          <w:rFonts w:ascii="Times New Roman" w:hAnsi="Times New Roman" w:cs="Times New Roman"/>
          <w:i/>
          <w:iCs/>
          <w:sz w:val="24"/>
          <w:szCs w:val="24"/>
        </w:rPr>
        <w:t>Menstrual hygiene matters: A resource for improving menstrual hygiene around the world</w:t>
      </w:r>
      <w:r w:rsidRPr="00040EE2">
        <w:rPr>
          <w:rFonts w:ascii="Times New Roman" w:hAnsi="Times New Roman" w:cs="Times New Roman"/>
          <w:sz w:val="24"/>
          <w:szCs w:val="24"/>
        </w:rPr>
        <w:t xml:space="preserve"> (1st ed.). WaterAid.</w:t>
      </w:r>
    </w:p>
    <w:p w14:paraId="43D9983E" w14:textId="4A8C4D95"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International Institute for Population Sciences (IIPS), &amp; ICF. (2021). </w:t>
      </w:r>
      <w:r w:rsidRPr="00040EE2">
        <w:rPr>
          <w:rFonts w:ascii="Times New Roman" w:hAnsi="Times New Roman" w:cs="Times New Roman"/>
          <w:i/>
          <w:iCs/>
          <w:sz w:val="24"/>
          <w:szCs w:val="24"/>
        </w:rPr>
        <w:t>National Family Health Survey (NFHS-5), 2019–21: India (Volume II)</w:t>
      </w:r>
      <w:r w:rsidRPr="00040EE2">
        <w:rPr>
          <w:rFonts w:ascii="Times New Roman" w:hAnsi="Times New Roman" w:cs="Times New Roman"/>
          <w:sz w:val="24"/>
          <w:szCs w:val="24"/>
        </w:rPr>
        <w:t>. Mumbai: IIPS.</w:t>
      </w:r>
    </w:p>
    <w:p w14:paraId="0DB24DFB" w14:textId="0657CA65"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Ju, H., Jones, M., &amp; Mishra, G. (2014). The prevalence and risk factors of dysmenorrhea. </w:t>
      </w:r>
      <w:r w:rsidRPr="00040EE2">
        <w:rPr>
          <w:rFonts w:ascii="Times New Roman" w:hAnsi="Times New Roman" w:cs="Times New Roman"/>
          <w:i/>
          <w:iCs/>
          <w:sz w:val="24"/>
          <w:szCs w:val="24"/>
        </w:rPr>
        <w:t>Epidemiologic Reviews, 36</w:t>
      </w:r>
      <w:r w:rsidRPr="00040EE2">
        <w:rPr>
          <w:rFonts w:ascii="Times New Roman" w:hAnsi="Times New Roman" w:cs="Times New Roman"/>
          <w:sz w:val="24"/>
          <w:szCs w:val="24"/>
        </w:rPr>
        <w:t>(1), 104–113. https://doi.org/10.1093/epirev/mxt009</w:t>
      </w:r>
    </w:p>
    <w:p w14:paraId="0C66464B" w14:textId="6CE808B7"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Kaur, R., Kaur, K., &amp; Kaur, R. (2020). Menstrual hygiene, management, and waste disposal: Practices and challenges faced by girls/women of developing countries. </w:t>
      </w:r>
      <w:r w:rsidRPr="00040EE2">
        <w:rPr>
          <w:rFonts w:ascii="Times New Roman" w:hAnsi="Times New Roman" w:cs="Times New Roman"/>
          <w:i/>
          <w:iCs/>
          <w:sz w:val="24"/>
          <w:szCs w:val="24"/>
        </w:rPr>
        <w:t>Journal of Environmental and Public Health, 2020</w:t>
      </w:r>
      <w:r w:rsidRPr="00040EE2">
        <w:rPr>
          <w:rFonts w:ascii="Times New Roman" w:hAnsi="Times New Roman" w:cs="Times New Roman"/>
          <w:sz w:val="24"/>
          <w:szCs w:val="24"/>
        </w:rPr>
        <w:t xml:space="preserve">, 7479359. </w:t>
      </w:r>
      <w:hyperlink r:id="rId11" w:tgtFrame="_new" w:history="1">
        <w:r w:rsidRPr="00040EE2">
          <w:rPr>
            <w:rStyle w:val="Hyperlink"/>
            <w:rFonts w:ascii="Times New Roman" w:hAnsi="Times New Roman" w:cs="Times New Roman"/>
            <w:sz w:val="24"/>
            <w:szCs w:val="24"/>
          </w:rPr>
          <w:t>https://doi.org/10.1155/2020/7479359</w:t>
        </w:r>
      </w:hyperlink>
    </w:p>
    <w:p w14:paraId="4AA34FE3" w14:textId="0701C652"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Kennedy, E., </w:t>
      </w:r>
      <w:proofErr w:type="spellStart"/>
      <w:r w:rsidRPr="00040EE2">
        <w:rPr>
          <w:rFonts w:ascii="Times New Roman" w:hAnsi="Times New Roman" w:cs="Times New Roman"/>
          <w:sz w:val="24"/>
          <w:szCs w:val="24"/>
        </w:rPr>
        <w:t>Suriastini</w:t>
      </w:r>
      <w:proofErr w:type="spellEnd"/>
      <w:r w:rsidRPr="00040EE2">
        <w:rPr>
          <w:rFonts w:ascii="Times New Roman" w:hAnsi="Times New Roman" w:cs="Times New Roman"/>
          <w:sz w:val="24"/>
          <w:szCs w:val="24"/>
        </w:rPr>
        <w:t xml:space="preserve">, W., Macintyre, A., Huggett, C., </w:t>
      </w:r>
      <w:proofErr w:type="spellStart"/>
      <w:r w:rsidRPr="00040EE2">
        <w:rPr>
          <w:rFonts w:ascii="Times New Roman" w:hAnsi="Times New Roman" w:cs="Times New Roman"/>
          <w:sz w:val="24"/>
          <w:szCs w:val="24"/>
        </w:rPr>
        <w:t>Wheen</w:t>
      </w:r>
      <w:proofErr w:type="spellEnd"/>
      <w:r w:rsidRPr="00040EE2">
        <w:rPr>
          <w:rFonts w:ascii="Times New Roman" w:hAnsi="Times New Roman" w:cs="Times New Roman"/>
          <w:sz w:val="24"/>
          <w:szCs w:val="24"/>
        </w:rPr>
        <w:t xml:space="preserve">, R., </w:t>
      </w:r>
      <w:proofErr w:type="spellStart"/>
      <w:r w:rsidRPr="00040EE2">
        <w:rPr>
          <w:rFonts w:ascii="Times New Roman" w:hAnsi="Times New Roman" w:cs="Times New Roman"/>
          <w:sz w:val="24"/>
          <w:szCs w:val="24"/>
        </w:rPr>
        <w:t>Faiqoh</w:t>
      </w:r>
      <w:proofErr w:type="spellEnd"/>
      <w:r w:rsidRPr="00040EE2">
        <w:rPr>
          <w:rFonts w:ascii="Times New Roman" w:hAnsi="Times New Roman" w:cs="Times New Roman"/>
          <w:sz w:val="24"/>
          <w:szCs w:val="24"/>
        </w:rPr>
        <w:t xml:space="preserve">, F., et al. (2015). </w:t>
      </w:r>
      <w:r w:rsidRPr="00040EE2">
        <w:rPr>
          <w:rFonts w:ascii="Times New Roman" w:hAnsi="Times New Roman" w:cs="Times New Roman"/>
          <w:i/>
          <w:iCs/>
          <w:sz w:val="24"/>
          <w:szCs w:val="24"/>
        </w:rPr>
        <w:t>Menstrual hygiene management in Indonesia: Understanding practices, determinants, and impacts among adolescent school girls</w:t>
      </w:r>
      <w:r w:rsidRPr="00040EE2">
        <w:rPr>
          <w:rFonts w:ascii="Times New Roman" w:hAnsi="Times New Roman" w:cs="Times New Roman"/>
          <w:sz w:val="24"/>
          <w:szCs w:val="24"/>
        </w:rPr>
        <w:t xml:space="preserve"> [Internet]. WaterAid.</w:t>
      </w:r>
    </w:p>
    <w:p w14:paraId="763C8A7B" w14:textId="0722CABC"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Kiran, S., Kumar, A., </w:t>
      </w:r>
      <w:proofErr w:type="spellStart"/>
      <w:r w:rsidRPr="00040EE2">
        <w:rPr>
          <w:rFonts w:ascii="Times New Roman" w:hAnsi="Times New Roman" w:cs="Times New Roman"/>
          <w:sz w:val="24"/>
          <w:szCs w:val="24"/>
        </w:rPr>
        <w:t>Pappu</w:t>
      </w:r>
      <w:proofErr w:type="spellEnd"/>
      <w:r w:rsidRPr="00040EE2">
        <w:rPr>
          <w:rFonts w:ascii="Times New Roman" w:hAnsi="Times New Roman" w:cs="Times New Roman"/>
          <w:sz w:val="24"/>
          <w:szCs w:val="24"/>
        </w:rPr>
        <w:t xml:space="preserve">, R., Poddar, C., &amp; Singh, M. (2020). Prevalence and severity of dysmenorrhea during menstruation in adolescent girls in a tertiary care hospital, </w:t>
      </w:r>
      <w:proofErr w:type="spellStart"/>
      <w:r w:rsidRPr="00040EE2">
        <w:rPr>
          <w:rFonts w:ascii="Times New Roman" w:hAnsi="Times New Roman" w:cs="Times New Roman"/>
          <w:sz w:val="24"/>
          <w:szCs w:val="24"/>
        </w:rPr>
        <w:t>Koshi</w:t>
      </w:r>
      <w:proofErr w:type="spellEnd"/>
      <w:r w:rsidRPr="00040EE2">
        <w:rPr>
          <w:rFonts w:ascii="Times New Roman" w:hAnsi="Times New Roman" w:cs="Times New Roman"/>
          <w:sz w:val="24"/>
          <w:szCs w:val="24"/>
        </w:rPr>
        <w:t xml:space="preserve"> Region (Northern Bihar), India. </w:t>
      </w:r>
      <w:r w:rsidRPr="00040EE2">
        <w:rPr>
          <w:rFonts w:ascii="Times New Roman" w:hAnsi="Times New Roman" w:cs="Times New Roman"/>
          <w:i/>
          <w:iCs/>
          <w:sz w:val="24"/>
          <w:szCs w:val="24"/>
        </w:rPr>
        <w:t>Journal of Evidence Based Medicine and Healthcare, 7</w:t>
      </w:r>
      <w:r w:rsidRPr="00040EE2">
        <w:rPr>
          <w:rFonts w:ascii="Times New Roman" w:hAnsi="Times New Roman" w:cs="Times New Roman"/>
          <w:sz w:val="24"/>
          <w:szCs w:val="24"/>
        </w:rPr>
        <w:t>, 548–552. https://doi.org/10.18410/jebmh/2020/120</w:t>
      </w:r>
    </w:p>
    <w:p w14:paraId="0B999AC8" w14:textId="0FC7A1A4"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Kural</w:t>
      </w:r>
      <w:proofErr w:type="spellEnd"/>
      <w:r w:rsidRPr="00040EE2">
        <w:rPr>
          <w:rFonts w:ascii="Times New Roman" w:hAnsi="Times New Roman" w:cs="Times New Roman"/>
          <w:sz w:val="24"/>
          <w:szCs w:val="24"/>
        </w:rPr>
        <w:t xml:space="preserve">, M., Noor, N. N., Pandit, D., Joshi, T., &amp; Patil, A. (2015). Menstrual characteristics and prevalence of dysmenorrhea in college going girls. </w:t>
      </w:r>
      <w:r w:rsidRPr="00040EE2">
        <w:rPr>
          <w:rFonts w:ascii="Times New Roman" w:hAnsi="Times New Roman" w:cs="Times New Roman"/>
          <w:i/>
          <w:iCs/>
          <w:sz w:val="24"/>
          <w:szCs w:val="24"/>
        </w:rPr>
        <w:t>Journal of Family Medicine and Primary Care, 4</w:t>
      </w:r>
      <w:r w:rsidRPr="00040EE2">
        <w:rPr>
          <w:rFonts w:ascii="Times New Roman" w:hAnsi="Times New Roman" w:cs="Times New Roman"/>
          <w:sz w:val="24"/>
          <w:szCs w:val="24"/>
        </w:rPr>
        <w:t>(3), 426–431. https://doi.org/10.4103/2249-4863.161345</w:t>
      </w:r>
    </w:p>
    <w:p w14:paraId="1ED39525" w14:textId="10603874"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Kwak, Y., &amp; Kim, Y. (2018). Irregular menstruation according to occupational status. </w:t>
      </w:r>
      <w:r w:rsidRPr="00040EE2">
        <w:rPr>
          <w:rFonts w:ascii="Times New Roman" w:hAnsi="Times New Roman" w:cs="Times New Roman"/>
          <w:i/>
          <w:iCs/>
          <w:sz w:val="24"/>
          <w:szCs w:val="24"/>
        </w:rPr>
        <w:t>Women &amp; Health, 58</w:t>
      </w:r>
      <w:r w:rsidRPr="00040EE2">
        <w:rPr>
          <w:rFonts w:ascii="Times New Roman" w:hAnsi="Times New Roman" w:cs="Times New Roman"/>
          <w:sz w:val="24"/>
          <w:szCs w:val="24"/>
        </w:rPr>
        <w:t xml:space="preserve">(10), 1135–1150. </w:t>
      </w:r>
      <w:hyperlink r:id="rId12" w:tgtFrame="_new" w:history="1">
        <w:r w:rsidRPr="00040EE2">
          <w:rPr>
            <w:rStyle w:val="Hyperlink"/>
            <w:rFonts w:ascii="Times New Roman" w:hAnsi="Times New Roman" w:cs="Times New Roman"/>
            <w:sz w:val="24"/>
            <w:szCs w:val="24"/>
          </w:rPr>
          <w:t>https://doi.org/10.1080/03630242.2017.1342740</w:t>
        </w:r>
      </w:hyperlink>
    </w:p>
    <w:p w14:paraId="360D5F8B" w14:textId="4CBDDEB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Moyo</w:t>
      </w:r>
      <w:proofErr w:type="spellEnd"/>
      <w:r w:rsidRPr="00040EE2">
        <w:rPr>
          <w:rFonts w:ascii="Times New Roman" w:hAnsi="Times New Roman" w:cs="Times New Roman"/>
          <w:sz w:val="24"/>
          <w:szCs w:val="24"/>
        </w:rPr>
        <w:t xml:space="preserve">, T., &amp; </w:t>
      </w:r>
      <w:proofErr w:type="spellStart"/>
      <w:r w:rsidRPr="00040EE2">
        <w:rPr>
          <w:rFonts w:ascii="Times New Roman" w:hAnsi="Times New Roman" w:cs="Times New Roman"/>
          <w:sz w:val="24"/>
          <w:szCs w:val="24"/>
        </w:rPr>
        <w:t>Dhliwayo</w:t>
      </w:r>
      <w:proofErr w:type="spellEnd"/>
      <w:r w:rsidRPr="00040EE2">
        <w:rPr>
          <w:rFonts w:ascii="Times New Roman" w:hAnsi="Times New Roman" w:cs="Times New Roman"/>
          <w:sz w:val="24"/>
          <w:szCs w:val="24"/>
        </w:rPr>
        <w:t xml:space="preserve">, R. (2019). Achieving gender equality and women’s empowerment in Sub-Saharan Africa: Lessons from the experience of selected countries. </w:t>
      </w:r>
      <w:r w:rsidRPr="00040EE2">
        <w:rPr>
          <w:rFonts w:ascii="Times New Roman" w:hAnsi="Times New Roman" w:cs="Times New Roman"/>
          <w:i/>
          <w:iCs/>
          <w:sz w:val="24"/>
          <w:szCs w:val="24"/>
        </w:rPr>
        <w:t>Journal of Developing Societies, 35</w:t>
      </w:r>
      <w:r w:rsidRPr="00040EE2">
        <w:rPr>
          <w:rFonts w:ascii="Times New Roman" w:hAnsi="Times New Roman" w:cs="Times New Roman"/>
          <w:sz w:val="24"/>
          <w:szCs w:val="24"/>
        </w:rPr>
        <w:t>(2), 256–281.</w:t>
      </w:r>
    </w:p>
    <w:p w14:paraId="3A172CB1" w14:textId="27A2E43A"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lastRenderedPageBreak/>
        <w:t xml:space="preserve">Nguyen, A. M., Humphrey, L., Kitchen, H., et al. (2015). A qualitative study to develop a patient-reported outcome for dysmenorrhea. </w:t>
      </w:r>
      <w:r w:rsidRPr="00040EE2">
        <w:rPr>
          <w:rFonts w:ascii="Times New Roman" w:hAnsi="Times New Roman" w:cs="Times New Roman"/>
          <w:i/>
          <w:iCs/>
          <w:sz w:val="24"/>
          <w:szCs w:val="24"/>
        </w:rPr>
        <w:t>Quality of Life Research, 24</w:t>
      </w:r>
      <w:r w:rsidRPr="00040EE2">
        <w:rPr>
          <w:rFonts w:ascii="Times New Roman" w:hAnsi="Times New Roman" w:cs="Times New Roman"/>
          <w:sz w:val="24"/>
          <w:szCs w:val="24"/>
        </w:rPr>
        <w:t>(1), 181–191. https://doi.org/10.1007/s11136-014-0755-z</w:t>
      </w:r>
    </w:p>
    <w:p w14:paraId="261A49EF" w14:textId="69E7FE71"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Oğurlu</w:t>
      </w:r>
      <w:proofErr w:type="spellEnd"/>
      <w:r w:rsidRPr="00040EE2">
        <w:rPr>
          <w:rFonts w:ascii="Times New Roman" w:hAnsi="Times New Roman" w:cs="Times New Roman"/>
          <w:sz w:val="24"/>
          <w:szCs w:val="24"/>
        </w:rPr>
        <w:t xml:space="preserve">, N., </w:t>
      </w:r>
      <w:proofErr w:type="spellStart"/>
      <w:r w:rsidRPr="00040EE2">
        <w:rPr>
          <w:rFonts w:ascii="Times New Roman" w:hAnsi="Times New Roman" w:cs="Times New Roman"/>
          <w:sz w:val="24"/>
          <w:szCs w:val="24"/>
        </w:rPr>
        <w:t>Küçük</w:t>
      </w:r>
      <w:proofErr w:type="spellEnd"/>
      <w:r w:rsidRPr="00040EE2">
        <w:rPr>
          <w:rFonts w:ascii="Times New Roman" w:hAnsi="Times New Roman" w:cs="Times New Roman"/>
          <w:sz w:val="24"/>
          <w:szCs w:val="24"/>
        </w:rPr>
        <w:t xml:space="preserve">, M., &amp; Aksu, H. (2011). Influence of employment status on menopausal symptoms. </w:t>
      </w:r>
      <w:r w:rsidRPr="00040EE2">
        <w:rPr>
          <w:rFonts w:ascii="Times New Roman" w:hAnsi="Times New Roman" w:cs="Times New Roman"/>
          <w:i/>
          <w:iCs/>
          <w:sz w:val="24"/>
          <w:szCs w:val="24"/>
        </w:rPr>
        <w:t>International Journal of Gynaecology and Obstetrics, 112</w:t>
      </w:r>
      <w:r w:rsidRPr="00040EE2">
        <w:rPr>
          <w:rFonts w:ascii="Times New Roman" w:hAnsi="Times New Roman" w:cs="Times New Roman"/>
          <w:sz w:val="24"/>
          <w:szCs w:val="24"/>
        </w:rPr>
        <w:t xml:space="preserve">(3), 204–207. </w:t>
      </w:r>
      <w:hyperlink r:id="rId13" w:tgtFrame="_new" w:history="1">
        <w:r w:rsidRPr="00040EE2">
          <w:rPr>
            <w:rStyle w:val="Hyperlink"/>
            <w:rFonts w:ascii="Times New Roman" w:hAnsi="Times New Roman" w:cs="Times New Roman"/>
            <w:sz w:val="24"/>
            <w:szCs w:val="24"/>
          </w:rPr>
          <w:t>https://doi.org/10.1016/j.ijgo.2010.10.010</w:t>
        </w:r>
      </w:hyperlink>
    </w:p>
    <w:p w14:paraId="5993222D" w14:textId="5D961B11"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Omidvar</w:t>
      </w:r>
      <w:proofErr w:type="spellEnd"/>
      <w:r w:rsidRPr="00040EE2">
        <w:rPr>
          <w:rFonts w:ascii="Times New Roman" w:hAnsi="Times New Roman" w:cs="Times New Roman"/>
          <w:sz w:val="24"/>
          <w:szCs w:val="24"/>
        </w:rPr>
        <w:t xml:space="preserve">, S., </w:t>
      </w:r>
      <w:proofErr w:type="spellStart"/>
      <w:r w:rsidRPr="00040EE2">
        <w:rPr>
          <w:rFonts w:ascii="Times New Roman" w:hAnsi="Times New Roman" w:cs="Times New Roman"/>
          <w:sz w:val="24"/>
          <w:szCs w:val="24"/>
        </w:rPr>
        <w:t>Bakouei</w:t>
      </w:r>
      <w:proofErr w:type="spellEnd"/>
      <w:r w:rsidRPr="00040EE2">
        <w:rPr>
          <w:rFonts w:ascii="Times New Roman" w:hAnsi="Times New Roman" w:cs="Times New Roman"/>
          <w:sz w:val="24"/>
          <w:szCs w:val="24"/>
        </w:rPr>
        <w:t xml:space="preserve">, F., </w:t>
      </w:r>
      <w:proofErr w:type="spellStart"/>
      <w:r w:rsidRPr="00040EE2">
        <w:rPr>
          <w:rFonts w:ascii="Times New Roman" w:hAnsi="Times New Roman" w:cs="Times New Roman"/>
          <w:sz w:val="24"/>
          <w:szCs w:val="24"/>
        </w:rPr>
        <w:t>Amiri</w:t>
      </w:r>
      <w:proofErr w:type="spellEnd"/>
      <w:r w:rsidRPr="00040EE2">
        <w:rPr>
          <w:rFonts w:ascii="Times New Roman" w:hAnsi="Times New Roman" w:cs="Times New Roman"/>
          <w:sz w:val="24"/>
          <w:szCs w:val="24"/>
        </w:rPr>
        <w:t xml:space="preserve">, F. N., &amp; Begum, K. (2016). Primary dysmenorrhea and menstrual symptoms in Indian female students: Prevalence, impact and management. </w:t>
      </w:r>
      <w:r w:rsidRPr="00040EE2">
        <w:rPr>
          <w:rFonts w:ascii="Times New Roman" w:hAnsi="Times New Roman" w:cs="Times New Roman"/>
          <w:i/>
          <w:iCs/>
          <w:sz w:val="24"/>
          <w:szCs w:val="24"/>
        </w:rPr>
        <w:t>Global Journal of Health Science, 8</w:t>
      </w:r>
      <w:r w:rsidRPr="00040EE2">
        <w:rPr>
          <w:rFonts w:ascii="Times New Roman" w:hAnsi="Times New Roman" w:cs="Times New Roman"/>
          <w:sz w:val="24"/>
          <w:szCs w:val="24"/>
        </w:rPr>
        <w:t>(8), 135. https://doi.org/10.5539/gjhs.v8n8p135</w:t>
      </w:r>
    </w:p>
    <w:p w14:paraId="7C92F5B4" w14:textId="395EC9C0" w:rsidR="00040EE2" w:rsidRPr="00040EE2" w:rsidRDefault="00040EE2" w:rsidP="00040EE2">
      <w:pPr>
        <w:pStyle w:val="ListParagraph"/>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Rani, P. S. (2014). Knowledge and practices of menstrual hygiene among married adolescents and young women in Chittoor District of Andhra Pradesh: India. </w:t>
      </w:r>
      <w:r w:rsidRPr="00040EE2">
        <w:rPr>
          <w:rFonts w:ascii="Times New Roman" w:hAnsi="Times New Roman" w:cs="Times New Roman"/>
          <w:i/>
          <w:iCs/>
          <w:sz w:val="24"/>
          <w:szCs w:val="24"/>
        </w:rPr>
        <w:t>IOSR Journal of Nursing and Health Science, 3</w:t>
      </w:r>
      <w:r w:rsidRPr="00040EE2">
        <w:rPr>
          <w:rFonts w:ascii="Times New Roman" w:hAnsi="Times New Roman" w:cs="Times New Roman"/>
          <w:sz w:val="24"/>
          <w:szCs w:val="24"/>
        </w:rPr>
        <w:t>(2), 6–15.</w:t>
      </w:r>
    </w:p>
    <w:p w14:paraId="2CE90708" w14:textId="22DC710D"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Sang, K., Remnant, J., </w:t>
      </w:r>
      <w:proofErr w:type="spellStart"/>
      <w:r w:rsidRPr="00040EE2">
        <w:rPr>
          <w:rFonts w:ascii="Times New Roman" w:hAnsi="Times New Roman" w:cs="Times New Roman"/>
          <w:sz w:val="24"/>
          <w:szCs w:val="24"/>
        </w:rPr>
        <w:t>Calvard</w:t>
      </w:r>
      <w:proofErr w:type="spellEnd"/>
      <w:r w:rsidRPr="00040EE2">
        <w:rPr>
          <w:rFonts w:ascii="Times New Roman" w:hAnsi="Times New Roman" w:cs="Times New Roman"/>
          <w:sz w:val="24"/>
          <w:szCs w:val="24"/>
        </w:rPr>
        <w:t xml:space="preserve">, T., &amp; </w:t>
      </w:r>
      <w:proofErr w:type="spellStart"/>
      <w:r w:rsidRPr="00040EE2">
        <w:rPr>
          <w:rFonts w:ascii="Times New Roman" w:hAnsi="Times New Roman" w:cs="Times New Roman"/>
          <w:sz w:val="24"/>
          <w:szCs w:val="24"/>
        </w:rPr>
        <w:t>Myhill</w:t>
      </w:r>
      <w:proofErr w:type="spellEnd"/>
      <w:r w:rsidRPr="00040EE2">
        <w:rPr>
          <w:rFonts w:ascii="Times New Roman" w:hAnsi="Times New Roman" w:cs="Times New Roman"/>
          <w:sz w:val="24"/>
          <w:szCs w:val="24"/>
        </w:rPr>
        <w:t xml:space="preserve">, K. (2021). Blood work: Managing menstruation, menopause and gynaecological health conditions in the workplace. </w:t>
      </w:r>
      <w:r w:rsidRPr="00040EE2">
        <w:rPr>
          <w:rFonts w:ascii="Times New Roman" w:hAnsi="Times New Roman" w:cs="Times New Roman"/>
          <w:i/>
          <w:iCs/>
          <w:sz w:val="24"/>
          <w:szCs w:val="24"/>
        </w:rPr>
        <w:t>International Journal of Environmental Research and Public Health, 18</w:t>
      </w:r>
      <w:r w:rsidRPr="00040EE2">
        <w:rPr>
          <w:rFonts w:ascii="Times New Roman" w:hAnsi="Times New Roman" w:cs="Times New Roman"/>
          <w:sz w:val="24"/>
          <w:szCs w:val="24"/>
        </w:rPr>
        <w:t xml:space="preserve">(4), 1951. </w:t>
      </w:r>
      <w:hyperlink r:id="rId14" w:tgtFrame="_new" w:history="1">
        <w:r w:rsidRPr="00040EE2">
          <w:rPr>
            <w:rStyle w:val="Hyperlink"/>
            <w:rFonts w:ascii="Times New Roman" w:hAnsi="Times New Roman" w:cs="Times New Roman"/>
            <w:sz w:val="24"/>
            <w:szCs w:val="24"/>
          </w:rPr>
          <w:t>https://doi.org/10.3390/ijerph18041951</w:t>
        </w:r>
      </w:hyperlink>
    </w:p>
    <w:p w14:paraId="02BF9580" w14:textId="3E720B12"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Schoep</w:t>
      </w:r>
      <w:proofErr w:type="spellEnd"/>
      <w:r w:rsidRPr="00040EE2">
        <w:rPr>
          <w:rFonts w:ascii="Times New Roman" w:hAnsi="Times New Roman" w:cs="Times New Roman"/>
          <w:sz w:val="24"/>
          <w:szCs w:val="24"/>
        </w:rPr>
        <w:t xml:space="preserve">, M. E., </w:t>
      </w:r>
      <w:proofErr w:type="spellStart"/>
      <w:r w:rsidRPr="00040EE2">
        <w:rPr>
          <w:rFonts w:ascii="Times New Roman" w:hAnsi="Times New Roman" w:cs="Times New Roman"/>
          <w:sz w:val="24"/>
          <w:szCs w:val="24"/>
        </w:rPr>
        <w:t>Adang</w:t>
      </w:r>
      <w:proofErr w:type="spellEnd"/>
      <w:r w:rsidRPr="00040EE2">
        <w:rPr>
          <w:rFonts w:ascii="Times New Roman" w:hAnsi="Times New Roman" w:cs="Times New Roman"/>
          <w:sz w:val="24"/>
          <w:szCs w:val="24"/>
        </w:rPr>
        <w:t xml:space="preserve">, E. M. M., Maas, J. W. M., et al. (2019). Productivity loss due to menstruation-related symptoms: A nationwide cross-sectional survey among 32,748 women. </w:t>
      </w:r>
      <w:r w:rsidRPr="00040EE2">
        <w:rPr>
          <w:rFonts w:ascii="Times New Roman" w:hAnsi="Times New Roman" w:cs="Times New Roman"/>
          <w:i/>
          <w:iCs/>
          <w:sz w:val="24"/>
          <w:szCs w:val="24"/>
        </w:rPr>
        <w:t>BMJ Open, 9</w:t>
      </w:r>
      <w:r w:rsidRPr="00040EE2">
        <w:rPr>
          <w:rFonts w:ascii="Times New Roman" w:hAnsi="Times New Roman" w:cs="Times New Roman"/>
          <w:sz w:val="24"/>
          <w:szCs w:val="24"/>
        </w:rPr>
        <w:t>(6), e026186. https://doi.org/10.1136/bmjopen-2018-026186</w:t>
      </w:r>
    </w:p>
    <w:p w14:paraId="0AD70FF1" w14:textId="71AFA832"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Sommer, M., </w:t>
      </w:r>
      <w:proofErr w:type="spellStart"/>
      <w:r w:rsidRPr="00040EE2">
        <w:rPr>
          <w:rFonts w:ascii="Times New Roman" w:hAnsi="Times New Roman" w:cs="Times New Roman"/>
          <w:sz w:val="24"/>
          <w:szCs w:val="24"/>
        </w:rPr>
        <w:t>Chandraratna</w:t>
      </w:r>
      <w:proofErr w:type="spellEnd"/>
      <w:r w:rsidRPr="00040EE2">
        <w:rPr>
          <w:rFonts w:ascii="Times New Roman" w:hAnsi="Times New Roman" w:cs="Times New Roman"/>
          <w:sz w:val="24"/>
          <w:szCs w:val="24"/>
        </w:rPr>
        <w:t xml:space="preserve">, S., </w:t>
      </w:r>
      <w:proofErr w:type="spellStart"/>
      <w:r w:rsidRPr="00040EE2">
        <w:rPr>
          <w:rFonts w:ascii="Times New Roman" w:hAnsi="Times New Roman" w:cs="Times New Roman"/>
          <w:sz w:val="24"/>
          <w:szCs w:val="24"/>
        </w:rPr>
        <w:t>Cavill</w:t>
      </w:r>
      <w:proofErr w:type="spellEnd"/>
      <w:r w:rsidRPr="00040EE2">
        <w:rPr>
          <w:rFonts w:ascii="Times New Roman" w:hAnsi="Times New Roman" w:cs="Times New Roman"/>
          <w:sz w:val="24"/>
          <w:szCs w:val="24"/>
        </w:rPr>
        <w:t xml:space="preserve">, S., Mahon, T., &amp; Phillips-Howard, P. A. (2016). Managing menstruation in the workplace: An overlooked issue in low- and middle-income countries. </w:t>
      </w:r>
      <w:r w:rsidRPr="00040EE2">
        <w:rPr>
          <w:rFonts w:ascii="Times New Roman" w:hAnsi="Times New Roman" w:cs="Times New Roman"/>
          <w:i/>
          <w:iCs/>
          <w:sz w:val="24"/>
          <w:szCs w:val="24"/>
        </w:rPr>
        <w:t>International Journal for Equity in Health, 15</w:t>
      </w:r>
      <w:r w:rsidRPr="00040EE2">
        <w:rPr>
          <w:rFonts w:ascii="Times New Roman" w:hAnsi="Times New Roman" w:cs="Times New Roman"/>
          <w:sz w:val="24"/>
          <w:szCs w:val="24"/>
        </w:rPr>
        <w:t xml:space="preserve">, 86. </w:t>
      </w:r>
      <w:hyperlink r:id="rId15" w:tgtFrame="_new" w:history="1">
        <w:r w:rsidRPr="00040EE2">
          <w:rPr>
            <w:rStyle w:val="Hyperlink"/>
            <w:rFonts w:ascii="Times New Roman" w:hAnsi="Times New Roman" w:cs="Times New Roman"/>
            <w:sz w:val="24"/>
            <w:szCs w:val="24"/>
          </w:rPr>
          <w:t>https://doi.org/10.1186/s12939-016-0379-8</w:t>
        </w:r>
      </w:hyperlink>
    </w:p>
    <w:p w14:paraId="778B4C1E" w14:textId="73251170"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Sommer, M., </w:t>
      </w:r>
      <w:proofErr w:type="spellStart"/>
      <w:r w:rsidRPr="00040EE2">
        <w:rPr>
          <w:rFonts w:ascii="Times New Roman" w:hAnsi="Times New Roman" w:cs="Times New Roman"/>
          <w:sz w:val="24"/>
          <w:szCs w:val="24"/>
        </w:rPr>
        <w:t>Torondel</w:t>
      </w:r>
      <w:proofErr w:type="spellEnd"/>
      <w:r w:rsidRPr="00040EE2">
        <w:rPr>
          <w:rFonts w:ascii="Times New Roman" w:hAnsi="Times New Roman" w:cs="Times New Roman"/>
          <w:sz w:val="24"/>
          <w:szCs w:val="24"/>
        </w:rPr>
        <w:t xml:space="preserve">, B., </w:t>
      </w:r>
      <w:proofErr w:type="spellStart"/>
      <w:r w:rsidRPr="00040EE2">
        <w:rPr>
          <w:rFonts w:ascii="Times New Roman" w:hAnsi="Times New Roman" w:cs="Times New Roman"/>
          <w:sz w:val="24"/>
          <w:szCs w:val="24"/>
        </w:rPr>
        <w:t>Hennegan</w:t>
      </w:r>
      <w:proofErr w:type="spellEnd"/>
      <w:r w:rsidRPr="00040EE2">
        <w:rPr>
          <w:rFonts w:ascii="Times New Roman" w:hAnsi="Times New Roman" w:cs="Times New Roman"/>
          <w:sz w:val="24"/>
          <w:szCs w:val="24"/>
        </w:rPr>
        <w:t xml:space="preserve">, J., Phillips-Howard, P. A., Mahon, T., </w:t>
      </w:r>
      <w:proofErr w:type="spellStart"/>
      <w:r w:rsidRPr="00040EE2">
        <w:rPr>
          <w:rFonts w:ascii="Times New Roman" w:hAnsi="Times New Roman" w:cs="Times New Roman"/>
          <w:sz w:val="24"/>
          <w:szCs w:val="24"/>
        </w:rPr>
        <w:t>Motivans</w:t>
      </w:r>
      <w:proofErr w:type="spellEnd"/>
      <w:r w:rsidRPr="00040EE2">
        <w:rPr>
          <w:rFonts w:ascii="Times New Roman" w:hAnsi="Times New Roman" w:cs="Times New Roman"/>
          <w:sz w:val="24"/>
          <w:szCs w:val="24"/>
        </w:rPr>
        <w:t xml:space="preserve">, A., et al. (2021). How addressing menstrual health and hygiene may enable progress across the Sustainable Development Goals. </w:t>
      </w:r>
      <w:r w:rsidRPr="00040EE2">
        <w:rPr>
          <w:rFonts w:ascii="Times New Roman" w:hAnsi="Times New Roman" w:cs="Times New Roman"/>
          <w:i/>
          <w:iCs/>
          <w:sz w:val="24"/>
          <w:szCs w:val="24"/>
        </w:rPr>
        <w:t>Global Health Action, 14</w:t>
      </w:r>
      <w:r w:rsidRPr="00040EE2">
        <w:rPr>
          <w:rFonts w:ascii="Times New Roman" w:hAnsi="Times New Roman" w:cs="Times New Roman"/>
          <w:sz w:val="24"/>
          <w:szCs w:val="24"/>
        </w:rPr>
        <w:t xml:space="preserve">(1), 1920315. </w:t>
      </w:r>
      <w:hyperlink r:id="rId16" w:tgtFrame="_new" w:history="1">
        <w:r w:rsidRPr="00040EE2">
          <w:rPr>
            <w:rStyle w:val="Hyperlink"/>
            <w:rFonts w:ascii="Times New Roman" w:hAnsi="Times New Roman" w:cs="Times New Roman"/>
            <w:sz w:val="24"/>
            <w:szCs w:val="24"/>
          </w:rPr>
          <w:t>https://doi.org/10.1080/16549716.2021.1920315</w:t>
        </w:r>
      </w:hyperlink>
    </w:p>
    <w:p w14:paraId="35F41B3E" w14:textId="242E3D8F"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Sommer, M. (2011). An early window of opportunity for promoting girls’ health: Policy implications of the Girl’s Puberty Book Project in Tanzania. </w:t>
      </w:r>
      <w:r w:rsidRPr="00040EE2">
        <w:rPr>
          <w:rFonts w:ascii="Times New Roman" w:hAnsi="Times New Roman" w:cs="Times New Roman"/>
          <w:i/>
          <w:iCs/>
          <w:sz w:val="24"/>
          <w:szCs w:val="24"/>
        </w:rPr>
        <w:t>International Electronic Journal of Health Education, 14</w:t>
      </w:r>
      <w:r w:rsidRPr="00040EE2">
        <w:rPr>
          <w:rFonts w:ascii="Times New Roman" w:hAnsi="Times New Roman" w:cs="Times New Roman"/>
          <w:sz w:val="24"/>
          <w:szCs w:val="24"/>
        </w:rPr>
        <w:t>, 77–92.</w:t>
      </w:r>
    </w:p>
    <w:p w14:paraId="70C5E9EB" w14:textId="6CEE6893"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Sommer, M., Hirsch, J. S., Nathanson, C., &amp; Parker, R. G. (2016). Comfortably, safely, and without shame: Defining menstrual hygiene management as a public health issue. </w:t>
      </w:r>
      <w:r w:rsidRPr="00040EE2">
        <w:rPr>
          <w:rFonts w:ascii="Times New Roman" w:hAnsi="Times New Roman" w:cs="Times New Roman"/>
          <w:i/>
          <w:iCs/>
          <w:sz w:val="24"/>
          <w:szCs w:val="24"/>
        </w:rPr>
        <w:t>American Journal of Public Health, 105</w:t>
      </w:r>
      <w:r w:rsidRPr="00040EE2">
        <w:rPr>
          <w:rFonts w:ascii="Times New Roman" w:hAnsi="Times New Roman" w:cs="Times New Roman"/>
          <w:sz w:val="24"/>
          <w:szCs w:val="24"/>
        </w:rPr>
        <w:t>(7), 1302–1311.</w:t>
      </w:r>
    </w:p>
    <w:p w14:paraId="73ABD8C0" w14:textId="741B26F0"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lastRenderedPageBreak/>
        <w:t xml:space="preserve">Tanaka, E., </w:t>
      </w:r>
      <w:proofErr w:type="spellStart"/>
      <w:r w:rsidRPr="00040EE2">
        <w:rPr>
          <w:rFonts w:ascii="Times New Roman" w:hAnsi="Times New Roman" w:cs="Times New Roman"/>
          <w:sz w:val="24"/>
          <w:szCs w:val="24"/>
        </w:rPr>
        <w:t>Momoeda</w:t>
      </w:r>
      <w:proofErr w:type="spellEnd"/>
      <w:r w:rsidRPr="00040EE2">
        <w:rPr>
          <w:rFonts w:ascii="Times New Roman" w:hAnsi="Times New Roman" w:cs="Times New Roman"/>
          <w:sz w:val="24"/>
          <w:szCs w:val="24"/>
        </w:rPr>
        <w:t xml:space="preserve">, M., </w:t>
      </w:r>
      <w:proofErr w:type="spellStart"/>
      <w:r w:rsidRPr="00040EE2">
        <w:rPr>
          <w:rFonts w:ascii="Times New Roman" w:hAnsi="Times New Roman" w:cs="Times New Roman"/>
          <w:sz w:val="24"/>
          <w:szCs w:val="24"/>
        </w:rPr>
        <w:t>Osuga</w:t>
      </w:r>
      <w:proofErr w:type="spellEnd"/>
      <w:r w:rsidRPr="00040EE2">
        <w:rPr>
          <w:rFonts w:ascii="Times New Roman" w:hAnsi="Times New Roman" w:cs="Times New Roman"/>
          <w:sz w:val="24"/>
          <w:szCs w:val="24"/>
        </w:rPr>
        <w:t xml:space="preserve">, Y., et al. (2013). Burden of menstrual symptoms in Japanese women: Results from a survey-based study. </w:t>
      </w:r>
      <w:r w:rsidRPr="00040EE2">
        <w:rPr>
          <w:rFonts w:ascii="Times New Roman" w:hAnsi="Times New Roman" w:cs="Times New Roman"/>
          <w:i/>
          <w:iCs/>
          <w:sz w:val="24"/>
          <w:szCs w:val="24"/>
        </w:rPr>
        <w:t>Journal of Medical Economics, 16</w:t>
      </w:r>
      <w:r w:rsidRPr="00040EE2">
        <w:rPr>
          <w:rFonts w:ascii="Times New Roman" w:hAnsi="Times New Roman" w:cs="Times New Roman"/>
          <w:sz w:val="24"/>
          <w:szCs w:val="24"/>
        </w:rPr>
        <w:t>, 1255–1266.</w:t>
      </w:r>
    </w:p>
    <w:p w14:paraId="22A72BAC" w14:textId="7CCC9BB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The World Bank. (2018). </w:t>
      </w:r>
      <w:r w:rsidRPr="00040EE2">
        <w:rPr>
          <w:rFonts w:ascii="Times New Roman" w:hAnsi="Times New Roman" w:cs="Times New Roman"/>
          <w:i/>
          <w:iCs/>
          <w:sz w:val="24"/>
          <w:szCs w:val="24"/>
        </w:rPr>
        <w:t>Menstrual hygiene management enables women and girls to reach their full potential</w:t>
      </w:r>
      <w:r w:rsidRPr="00040EE2">
        <w:rPr>
          <w:rFonts w:ascii="Times New Roman" w:hAnsi="Times New Roman" w:cs="Times New Roman"/>
          <w:sz w:val="24"/>
          <w:szCs w:val="24"/>
        </w:rPr>
        <w:t xml:space="preserve">. </w:t>
      </w:r>
      <w:hyperlink r:id="rId17" w:tgtFrame="_new" w:history="1">
        <w:r w:rsidRPr="00040EE2">
          <w:rPr>
            <w:rStyle w:val="Hyperlink"/>
            <w:rFonts w:ascii="Times New Roman" w:hAnsi="Times New Roman" w:cs="Times New Roman"/>
            <w:sz w:val="24"/>
            <w:szCs w:val="24"/>
          </w:rPr>
          <w:t>https://www.worldbank.org</w:t>
        </w:r>
      </w:hyperlink>
    </w:p>
    <w:p w14:paraId="02432AF2" w14:textId="5C665479"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UNFPA. (2021). </w:t>
      </w:r>
      <w:r w:rsidRPr="00040EE2">
        <w:rPr>
          <w:rFonts w:ascii="Times New Roman" w:hAnsi="Times New Roman" w:cs="Times New Roman"/>
          <w:i/>
          <w:iCs/>
          <w:sz w:val="24"/>
          <w:szCs w:val="24"/>
        </w:rPr>
        <w:t>Technical brief on the integration of menstrual health into sexual and reproductive health and rights policies and programmes</w:t>
      </w:r>
      <w:r w:rsidRPr="00040EE2">
        <w:rPr>
          <w:rFonts w:ascii="Times New Roman" w:hAnsi="Times New Roman" w:cs="Times New Roman"/>
          <w:sz w:val="24"/>
          <w:szCs w:val="24"/>
        </w:rPr>
        <w:t>. Johannesburg: United Nations Population Fund.</w:t>
      </w:r>
    </w:p>
    <w:p w14:paraId="65D34800" w14:textId="4941049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UNICEF. (2019). </w:t>
      </w:r>
      <w:r w:rsidRPr="00040EE2">
        <w:rPr>
          <w:rFonts w:ascii="Times New Roman" w:hAnsi="Times New Roman" w:cs="Times New Roman"/>
          <w:i/>
          <w:iCs/>
          <w:sz w:val="24"/>
          <w:szCs w:val="24"/>
        </w:rPr>
        <w:t>Guidance on menstrual health and hygiene</w:t>
      </w:r>
      <w:r w:rsidRPr="00040EE2">
        <w:rPr>
          <w:rFonts w:ascii="Times New Roman" w:hAnsi="Times New Roman" w:cs="Times New Roman"/>
          <w:sz w:val="24"/>
          <w:szCs w:val="24"/>
        </w:rPr>
        <w:t>. United Nations Children's Fund.</w:t>
      </w:r>
    </w:p>
    <w:p w14:paraId="757E09C8" w14:textId="36388243"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United Nations Development Programme (UNDP). (2018). </w:t>
      </w:r>
      <w:r w:rsidRPr="00040EE2">
        <w:rPr>
          <w:rFonts w:ascii="Times New Roman" w:hAnsi="Times New Roman" w:cs="Times New Roman"/>
          <w:i/>
          <w:iCs/>
          <w:sz w:val="24"/>
          <w:szCs w:val="24"/>
        </w:rPr>
        <w:t>Gender equality strategy 2018–2021</w:t>
      </w:r>
      <w:r w:rsidRPr="00040EE2">
        <w:rPr>
          <w:rFonts w:ascii="Times New Roman" w:hAnsi="Times New Roman" w:cs="Times New Roman"/>
          <w:sz w:val="24"/>
          <w:szCs w:val="24"/>
        </w:rPr>
        <w:t>. New York: UNDP.</w:t>
      </w:r>
    </w:p>
    <w:p w14:paraId="7F4A3011" w14:textId="283BD7FB"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World Bank Group. (2016). </w:t>
      </w:r>
      <w:proofErr w:type="spellStart"/>
      <w:r w:rsidRPr="00040EE2">
        <w:rPr>
          <w:rFonts w:ascii="Times New Roman" w:hAnsi="Times New Roman" w:cs="Times New Roman"/>
          <w:i/>
          <w:iCs/>
          <w:sz w:val="24"/>
          <w:szCs w:val="24"/>
        </w:rPr>
        <w:t>Labor</w:t>
      </w:r>
      <w:proofErr w:type="spellEnd"/>
      <w:r w:rsidRPr="00040EE2">
        <w:rPr>
          <w:rFonts w:ascii="Times New Roman" w:hAnsi="Times New Roman" w:cs="Times New Roman"/>
          <w:i/>
          <w:iCs/>
          <w:sz w:val="24"/>
          <w:szCs w:val="24"/>
        </w:rPr>
        <w:t xml:space="preserve"> force, female</w:t>
      </w:r>
      <w:r w:rsidRPr="00040EE2">
        <w:rPr>
          <w:rFonts w:ascii="Times New Roman" w:hAnsi="Times New Roman" w:cs="Times New Roman"/>
          <w:sz w:val="24"/>
          <w:szCs w:val="24"/>
        </w:rPr>
        <w:t xml:space="preserve">. </w:t>
      </w:r>
      <w:hyperlink r:id="rId18" w:tgtFrame="_new" w:history="1">
        <w:r w:rsidRPr="00040EE2">
          <w:rPr>
            <w:rStyle w:val="Hyperlink"/>
            <w:rFonts w:ascii="Times New Roman" w:hAnsi="Times New Roman" w:cs="Times New Roman"/>
            <w:sz w:val="24"/>
            <w:szCs w:val="24"/>
          </w:rPr>
          <w:t>https://data.worldbank.org/indicator/SL.TLF.TOTL.FE.ZS</w:t>
        </w:r>
      </w:hyperlink>
    </w:p>
    <w:p w14:paraId="5C230A77" w14:textId="45B40B88" w:rsidR="00040EE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r w:rsidRPr="00040EE2">
        <w:rPr>
          <w:rFonts w:ascii="Times New Roman" w:hAnsi="Times New Roman" w:cs="Times New Roman"/>
          <w:sz w:val="24"/>
          <w:szCs w:val="24"/>
        </w:rPr>
        <w:t xml:space="preserve">World Health Organization. (2008). </w:t>
      </w:r>
      <w:r w:rsidRPr="00040EE2">
        <w:rPr>
          <w:rFonts w:ascii="Times New Roman" w:hAnsi="Times New Roman" w:cs="Times New Roman"/>
          <w:i/>
          <w:iCs/>
          <w:sz w:val="24"/>
          <w:szCs w:val="24"/>
        </w:rPr>
        <w:t>Closing the gap in a generation: Health equity through action on the social determinants of health</w:t>
      </w:r>
      <w:r w:rsidRPr="00040EE2">
        <w:rPr>
          <w:rFonts w:ascii="Times New Roman" w:hAnsi="Times New Roman" w:cs="Times New Roman"/>
          <w:sz w:val="24"/>
          <w:szCs w:val="24"/>
        </w:rPr>
        <w:t xml:space="preserve"> (Final Report of the Commission on Social Determinants of Health). Geneva: WHO.</w:t>
      </w:r>
    </w:p>
    <w:p w14:paraId="686FB072" w14:textId="6C5D521B" w:rsidR="00C822B2" w:rsidRPr="00040EE2" w:rsidRDefault="00040EE2" w:rsidP="00040EE2">
      <w:pPr>
        <w:pStyle w:val="ListParagraph"/>
        <w:numPr>
          <w:ilvl w:val="0"/>
          <w:numId w:val="10"/>
        </w:numPr>
        <w:spacing w:line="360" w:lineRule="auto"/>
        <w:jc w:val="both"/>
        <w:rPr>
          <w:rFonts w:ascii="Times New Roman" w:hAnsi="Times New Roman" w:cs="Times New Roman"/>
          <w:sz w:val="24"/>
          <w:szCs w:val="24"/>
        </w:rPr>
      </w:pPr>
      <w:proofErr w:type="spellStart"/>
      <w:r w:rsidRPr="00040EE2">
        <w:rPr>
          <w:rFonts w:ascii="Times New Roman" w:hAnsi="Times New Roman" w:cs="Times New Roman"/>
          <w:sz w:val="24"/>
          <w:szCs w:val="24"/>
        </w:rPr>
        <w:t>Yaliwal</w:t>
      </w:r>
      <w:proofErr w:type="spellEnd"/>
      <w:r w:rsidRPr="00040EE2">
        <w:rPr>
          <w:rFonts w:ascii="Times New Roman" w:hAnsi="Times New Roman" w:cs="Times New Roman"/>
          <w:sz w:val="24"/>
          <w:szCs w:val="24"/>
        </w:rPr>
        <w:t xml:space="preserve">, R. G., </w:t>
      </w:r>
      <w:proofErr w:type="spellStart"/>
      <w:r w:rsidRPr="00040EE2">
        <w:rPr>
          <w:rFonts w:ascii="Times New Roman" w:hAnsi="Times New Roman" w:cs="Times New Roman"/>
          <w:sz w:val="24"/>
          <w:szCs w:val="24"/>
        </w:rPr>
        <w:t>Biradar</w:t>
      </w:r>
      <w:proofErr w:type="spellEnd"/>
      <w:r w:rsidRPr="00040EE2">
        <w:rPr>
          <w:rFonts w:ascii="Times New Roman" w:hAnsi="Times New Roman" w:cs="Times New Roman"/>
          <w:sz w:val="24"/>
          <w:szCs w:val="24"/>
        </w:rPr>
        <w:t xml:space="preserve">, A. M., Kori, S. S., </w:t>
      </w:r>
      <w:proofErr w:type="spellStart"/>
      <w:r w:rsidRPr="00040EE2">
        <w:rPr>
          <w:rFonts w:ascii="Times New Roman" w:hAnsi="Times New Roman" w:cs="Times New Roman"/>
          <w:sz w:val="24"/>
          <w:szCs w:val="24"/>
        </w:rPr>
        <w:t>Mudanur</w:t>
      </w:r>
      <w:proofErr w:type="spellEnd"/>
      <w:r w:rsidRPr="00040EE2">
        <w:rPr>
          <w:rFonts w:ascii="Times New Roman" w:hAnsi="Times New Roman" w:cs="Times New Roman"/>
          <w:sz w:val="24"/>
          <w:szCs w:val="24"/>
        </w:rPr>
        <w:t xml:space="preserve">, S. R., </w:t>
      </w:r>
      <w:proofErr w:type="spellStart"/>
      <w:r w:rsidRPr="00040EE2">
        <w:rPr>
          <w:rFonts w:ascii="Times New Roman" w:hAnsi="Times New Roman" w:cs="Times New Roman"/>
          <w:sz w:val="24"/>
          <w:szCs w:val="24"/>
        </w:rPr>
        <w:t>Pujeri</w:t>
      </w:r>
      <w:proofErr w:type="spellEnd"/>
      <w:r w:rsidRPr="00040EE2">
        <w:rPr>
          <w:rFonts w:ascii="Times New Roman" w:hAnsi="Times New Roman" w:cs="Times New Roman"/>
          <w:sz w:val="24"/>
          <w:szCs w:val="24"/>
        </w:rPr>
        <w:t xml:space="preserve">, S. U., &amp; </w:t>
      </w:r>
      <w:proofErr w:type="spellStart"/>
      <w:r w:rsidRPr="00040EE2">
        <w:rPr>
          <w:rFonts w:ascii="Times New Roman" w:hAnsi="Times New Roman" w:cs="Times New Roman"/>
          <w:sz w:val="24"/>
          <w:szCs w:val="24"/>
        </w:rPr>
        <w:t>Shannawaz</w:t>
      </w:r>
      <w:proofErr w:type="spellEnd"/>
      <w:r w:rsidRPr="00040EE2">
        <w:rPr>
          <w:rFonts w:ascii="Times New Roman" w:hAnsi="Times New Roman" w:cs="Times New Roman"/>
          <w:sz w:val="24"/>
          <w:szCs w:val="24"/>
        </w:rPr>
        <w:t xml:space="preserve">, M. (2020). Menstrual morbidities, menstrual hygiene, cultural practices during menstruation, and WASH practices at schools in adolescent girls of North Karnataka, India: A cross-sectional prospective study. </w:t>
      </w:r>
      <w:r w:rsidRPr="00040EE2">
        <w:rPr>
          <w:rFonts w:ascii="Times New Roman" w:hAnsi="Times New Roman" w:cs="Times New Roman"/>
          <w:i/>
          <w:iCs/>
          <w:sz w:val="24"/>
          <w:szCs w:val="24"/>
        </w:rPr>
        <w:t xml:space="preserve">Obstetrics and </w:t>
      </w:r>
      <w:proofErr w:type="spellStart"/>
      <w:r w:rsidRPr="00040EE2">
        <w:rPr>
          <w:rFonts w:ascii="Times New Roman" w:hAnsi="Times New Roman" w:cs="Times New Roman"/>
          <w:i/>
          <w:iCs/>
          <w:sz w:val="24"/>
          <w:szCs w:val="24"/>
        </w:rPr>
        <w:t>Gynecology</w:t>
      </w:r>
      <w:proofErr w:type="spellEnd"/>
      <w:r w:rsidRPr="00040EE2">
        <w:rPr>
          <w:rFonts w:ascii="Times New Roman" w:hAnsi="Times New Roman" w:cs="Times New Roman"/>
          <w:i/>
          <w:iCs/>
          <w:sz w:val="24"/>
          <w:szCs w:val="24"/>
        </w:rPr>
        <w:t xml:space="preserve"> International, 2020</w:t>
      </w:r>
      <w:r w:rsidRPr="00040EE2">
        <w:rPr>
          <w:rFonts w:ascii="Times New Roman" w:hAnsi="Times New Roman" w:cs="Times New Roman"/>
          <w:sz w:val="24"/>
          <w:szCs w:val="24"/>
        </w:rPr>
        <w:t>, 6238193. https://doi.org/10.1155/2020/6238193</w:t>
      </w:r>
      <w:bookmarkStart w:id="1" w:name="_GoBack"/>
      <w:bookmarkEnd w:id="1"/>
    </w:p>
    <w:sectPr w:rsidR="00C822B2" w:rsidRPr="00040EE2" w:rsidSect="008713E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66017" w14:textId="77777777" w:rsidR="00404DB7" w:rsidRDefault="00404DB7" w:rsidP="00596E26">
      <w:pPr>
        <w:spacing w:after="0" w:line="240" w:lineRule="auto"/>
      </w:pPr>
      <w:r>
        <w:separator/>
      </w:r>
    </w:p>
  </w:endnote>
  <w:endnote w:type="continuationSeparator" w:id="0">
    <w:p w14:paraId="48B2CF66" w14:textId="77777777" w:rsidR="00404DB7" w:rsidRDefault="00404DB7" w:rsidP="0059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BA9B" w14:textId="77777777" w:rsidR="0030548B" w:rsidRDefault="0030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D7A1" w14:textId="77777777" w:rsidR="0030548B" w:rsidRDefault="00305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94C9" w14:textId="77777777" w:rsidR="0030548B" w:rsidRDefault="00305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462DE" w14:textId="77777777" w:rsidR="00404DB7" w:rsidRDefault="00404DB7" w:rsidP="00596E26">
      <w:pPr>
        <w:spacing w:after="0" w:line="240" w:lineRule="auto"/>
      </w:pPr>
      <w:r>
        <w:separator/>
      </w:r>
    </w:p>
  </w:footnote>
  <w:footnote w:type="continuationSeparator" w:id="0">
    <w:p w14:paraId="1ACF3993" w14:textId="77777777" w:rsidR="00404DB7" w:rsidRDefault="00404DB7" w:rsidP="0059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58F7" w14:textId="4B09F36C" w:rsidR="0030548B" w:rsidRDefault="0030548B">
    <w:pPr>
      <w:pStyle w:val="Header"/>
    </w:pPr>
    <w:r>
      <w:rPr>
        <w:noProof/>
      </w:rPr>
      <w:pict w14:anchorId="05E8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A4BA" w14:textId="4ADF6AF0" w:rsidR="0030548B" w:rsidRDefault="0030548B">
    <w:pPr>
      <w:pStyle w:val="Header"/>
    </w:pPr>
    <w:r>
      <w:rPr>
        <w:noProof/>
      </w:rPr>
      <w:pict w14:anchorId="2AF3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BE87" w14:textId="2437BBA2" w:rsidR="0030548B" w:rsidRDefault="0030548B">
    <w:pPr>
      <w:pStyle w:val="Header"/>
    </w:pPr>
    <w:r>
      <w:rPr>
        <w:noProof/>
      </w:rPr>
      <w:pict w14:anchorId="20A63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40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2CAD"/>
    <w:multiLevelType w:val="multilevel"/>
    <w:tmpl w:val="3886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32AAD"/>
    <w:multiLevelType w:val="multilevel"/>
    <w:tmpl w:val="F0C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80EB6"/>
    <w:multiLevelType w:val="multilevel"/>
    <w:tmpl w:val="2AB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B35F5"/>
    <w:multiLevelType w:val="hybridMultilevel"/>
    <w:tmpl w:val="7256DDA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153C19"/>
    <w:multiLevelType w:val="multilevel"/>
    <w:tmpl w:val="B9E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7191F"/>
    <w:multiLevelType w:val="multilevel"/>
    <w:tmpl w:val="C66E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0473A"/>
    <w:multiLevelType w:val="hybridMultilevel"/>
    <w:tmpl w:val="D242EB5C"/>
    <w:lvl w:ilvl="0" w:tplc="40D6E4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E9121DE"/>
    <w:multiLevelType w:val="multilevel"/>
    <w:tmpl w:val="F1B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71A5"/>
    <w:multiLevelType w:val="hybridMultilevel"/>
    <w:tmpl w:val="7BF4A7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4776FF"/>
    <w:multiLevelType w:val="multilevel"/>
    <w:tmpl w:val="D872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83BB0"/>
    <w:multiLevelType w:val="multilevel"/>
    <w:tmpl w:val="1B78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B554D"/>
    <w:multiLevelType w:val="multilevel"/>
    <w:tmpl w:val="7CE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C1FE3"/>
    <w:multiLevelType w:val="multilevel"/>
    <w:tmpl w:val="190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E740E"/>
    <w:multiLevelType w:val="multilevel"/>
    <w:tmpl w:val="339C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2"/>
  </w:num>
  <w:num w:numId="4">
    <w:abstractNumId w:val="7"/>
  </w:num>
  <w:num w:numId="5">
    <w:abstractNumId w:val="10"/>
  </w:num>
  <w:num w:numId="6">
    <w:abstractNumId w:val="4"/>
  </w:num>
  <w:num w:numId="7">
    <w:abstractNumId w:val="1"/>
  </w:num>
  <w:num w:numId="8">
    <w:abstractNumId w:val="13"/>
  </w:num>
  <w:num w:numId="9">
    <w:abstractNumId w:val="11"/>
  </w:num>
  <w:num w:numId="10">
    <w:abstractNumId w:val="3"/>
  </w:num>
  <w:num w:numId="11">
    <w:abstractNumId w:val="0"/>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D7"/>
    <w:rsid w:val="000027AB"/>
    <w:rsid w:val="00006514"/>
    <w:rsid w:val="00040EE2"/>
    <w:rsid w:val="0006076C"/>
    <w:rsid w:val="00070E06"/>
    <w:rsid w:val="00082ED6"/>
    <w:rsid w:val="00090C05"/>
    <w:rsid w:val="000C4391"/>
    <w:rsid w:val="000C58B2"/>
    <w:rsid w:val="000C614B"/>
    <w:rsid w:val="000E167C"/>
    <w:rsid w:val="000E2BED"/>
    <w:rsid w:val="000F0431"/>
    <w:rsid w:val="00124217"/>
    <w:rsid w:val="00125E25"/>
    <w:rsid w:val="001267D8"/>
    <w:rsid w:val="00135439"/>
    <w:rsid w:val="00135BA5"/>
    <w:rsid w:val="00145796"/>
    <w:rsid w:val="00162F5D"/>
    <w:rsid w:val="001709FD"/>
    <w:rsid w:val="001C161A"/>
    <w:rsid w:val="001C2980"/>
    <w:rsid w:val="001D1073"/>
    <w:rsid w:val="001D7594"/>
    <w:rsid w:val="001F01FC"/>
    <w:rsid w:val="00201479"/>
    <w:rsid w:val="00207C1E"/>
    <w:rsid w:val="00223D84"/>
    <w:rsid w:val="00246496"/>
    <w:rsid w:val="002529F0"/>
    <w:rsid w:val="00285135"/>
    <w:rsid w:val="002B1C1E"/>
    <w:rsid w:val="002B5CF1"/>
    <w:rsid w:val="002B7561"/>
    <w:rsid w:val="002C2E48"/>
    <w:rsid w:val="002D123E"/>
    <w:rsid w:val="002D3B52"/>
    <w:rsid w:val="002E2DE3"/>
    <w:rsid w:val="002F5C03"/>
    <w:rsid w:val="00301248"/>
    <w:rsid w:val="0030548B"/>
    <w:rsid w:val="0032772E"/>
    <w:rsid w:val="00343010"/>
    <w:rsid w:val="00361BB4"/>
    <w:rsid w:val="00362A58"/>
    <w:rsid w:val="003702B1"/>
    <w:rsid w:val="003704C8"/>
    <w:rsid w:val="00390827"/>
    <w:rsid w:val="003A39B5"/>
    <w:rsid w:val="003A6E5B"/>
    <w:rsid w:val="003B69C0"/>
    <w:rsid w:val="003B7312"/>
    <w:rsid w:val="003C6FAC"/>
    <w:rsid w:val="003D1B9C"/>
    <w:rsid w:val="003E34F0"/>
    <w:rsid w:val="003F2C76"/>
    <w:rsid w:val="003F3818"/>
    <w:rsid w:val="00404DB7"/>
    <w:rsid w:val="0041597A"/>
    <w:rsid w:val="00435AA2"/>
    <w:rsid w:val="004610D7"/>
    <w:rsid w:val="00465C6B"/>
    <w:rsid w:val="00473079"/>
    <w:rsid w:val="004754FB"/>
    <w:rsid w:val="004919BF"/>
    <w:rsid w:val="00494098"/>
    <w:rsid w:val="00497122"/>
    <w:rsid w:val="004B6B5C"/>
    <w:rsid w:val="004C22E4"/>
    <w:rsid w:val="004E2C50"/>
    <w:rsid w:val="004F4BA4"/>
    <w:rsid w:val="00515144"/>
    <w:rsid w:val="0053062A"/>
    <w:rsid w:val="00534728"/>
    <w:rsid w:val="005406CB"/>
    <w:rsid w:val="00552DD7"/>
    <w:rsid w:val="00596E26"/>
    <w:rsid w:val="005A52D6"/>
    <w:rsid w:val="005A6890"/>
    <w:rsid w:val="005B2811"/>
    <w:rsid w:val="005B2A09"/>
    <w:rsid w:val="005C745E"/>
    <w:rsid w:val="005D503E"/>
    <w:rsid w:val="005E05E1"/>
    <w:rsid w:val="005F3154"/>
    <w:rsid w:val="005F6C17"/>
    <w:rsid w:val="00613F49"/>
    <w:rsid w:val="00620E82"/>
    <w:rsid w:val="00632134"/>
    <w:rsid w:val="006513B1"/>
    <w:rsid w:val="00661D22"/>
    <w:rsid w:val="0068663C"/>
    <w:rsid w:val="006A0951"/>
    <w:rsid w:val="006A3C75"/>
    <w:rsid w:val="006C23FD"/>
    <w:rsid w:val="006C76D5"/>
    <w:rsid w:val="006F0673"/>
    <w:rsid w:val="006F24E1"/>
    <w:rsid w:val="006F581A"/>
    <w:rsid w:val="00703DD1"/>
    <w:rsid w:val="00706725"/>
    <w:rsid w:val="007374E1"/>
    <w:rsid w:val="00741A46"/>
    <w:rsid w:val="00762363"/>
    <w:rsid w:val="00764F49"/>
    <w:rsid w:val="007730EB"/>
    <w:rsid w:val="007857F5"/>
    <w:rsid w:val="00792608"/>
    <w:rsid w:val="0079574E"/>
    <w:rsid w:val="007A3E26"/>
    <w:rsid w:val="007C5C5E"/>
    <w:rsid w:val="007D6EC7"/>
    <w:rsid w:val="007E4F0E"/>
    <w:rsid w:val="007F5C7C"/>
    <w:rsid w:val="0080443F"/>
    <w:rsid w:val="008203D2"/>
    <w:rsid w:val="00825022"/>
    <w:rsid w:val="00827AF8"/>
    <w:rsid w:val="008411B9"/>
    <w:rsid w:val="00841A56"/>
    <w:rsid w:val="00856D75"/>
    <w:rsid w:val="008641E8"/>
    <w:rsid w:val="008713EA"/>
    <w:rsid w:val="0087489D"/>
    <w:rsid w:val="008D0819"/>
    <w:rsid w:val="008D251B"/>
    <w:rsid w:val="008D3911"/>
    <w:rsid w:val="008E4A26"/>
    <w:rsid w:val="008F3D72"/>
    <w:rsid w:val="008F575C"/>
    <w:rsid w:val="00904B2B"/>
    <w:rsid w:val="00950E1C"/>
    <w:rsid w:val="00955B6E"/>
    <w:rsid w:val="00967C1E"/>
    <w:rsid w:val="00972E85"/>
    <w:rsid w:val="009743F5"/>
    <w:rsid w:val="009A2C7F"/>
    <w:rsid w:val="009D6155"/>
    <w:rsid w:val="009F0AB9"/>
    <w:rsid w:val="009F1A31"/>
    <w:rsid w:val="009F4E88"/>
    <w:rsid w:val="009F7CA9"/>
    <w:rsid w:val="00A04552"/>
    <w:rsid w:val="00A07A43"/>
    <w:rsid w:val="00A144FF"/>
    <w:rsid w:val="00A20406"/>
    <w:rsid w:val="00A22CCC"/>
    <w:rsid w:val="00A24588"/>
    <w:rsid w:val="00A27BD3"/>
    <w:rsid w:val="00A515AB"/>
    <w:rsid w:val="00A55926"/>
    <w:rsid w:val="00A6435A"/>
    <w:rsid w:val="00A6700E"/>
    <w:rsid w:val="00AB28B0"/>
    <w:rsid w:val="00AC3E08"/>
    <w:rsid w:val="00AD12D7"/>
    <w:rsid w:val="00AD37EA"/>
    <w:rsid w:val="00AE6433"/>
    <w:rsid w:val="00B11531"/>
    <w:rsid w:val="00B250FC"/>
    <w:rsid w:val="00B3707B"/>
    <w:rsid w:val="00B42E25"/>
    <w:rsid w:val="00B452A6"/>
    <w:rsid w:val="00B502FB"/>
    <w:rsid w:val="00B74B66"/>
    <w:rsid w:val="00B95F52"/>
    <w:rsid w:val="00BB5D10"/>
    <w:rsid w:val="00BB6DEF"/>
    <w:rsid w:val="00BC76CB"/>
    <w:rsid w:val="00BD3C08"/>
    <w:rsid w:val="00BD4EE8"/>
    <w:rsid w:val="00C02EB2"/>
    <w:rsid w:val="00C063F3"/>
    <w:rsid w:val="00C13BED"/>
    <w:rsid w:val="00C1523E"/>
    <w:rsid w:val="00C17DE4"/>
    <w:rsid w:val="00C260B4"/>
    <w:rsid w:val="00C3196B"/>
    <w:rsid w:val="00C31FC4"/>
    <w:rsid w:val="00C822B2"/>
    <w:rsid w:val="00C9592A"/>
    <w:rsid w:val="00CC6F5C"/>
    <w:rsid w:val="00CE3C88"/>
    <w:rsid w:val="00D16690"/>
    <w:rsid w:val="00D220D6"/>
    <w:rsid w:val="00D251A9"/>
    <w:rsid w:val="00D530BD"/>
    <w:rsid w:val="00D62B70"/>
    <w:rsid w:val="00DC1D13"/>
    <w:rsid w:val="00DD46E4"/>
    <w:rsid w:val="00DD7FAC"/>
    <w:rsid w:val="00DE0E86"/>
    <w:rsid w:val="00DE4EE9"/>
    <w:rsid w:val="00E01C4E"/>
    <w:rsid w:val="00E04F11"/>
    <w:rsid w:val="00E20983"/>
    <w:rsid w:val="00E57CFA"/>
    <w:rsid w:val="00E61C29"/>
    <w:rsid w:val="00E64CA9"/>
    <w:rsid w:val="00E70173"/>
    <w:rsid w:val="00E705B6"/>
    <w:rsid w:val="00E81CF7"/>
    <w:rsid w:val="00E9300C"/>
    <w:rsid w:val="00E93FB6"/>
    <w:rsid w:val="00EA3610"/>
    <w:rsid w:val="00EB31F2"/>
    <w:rsid w:val="00EB3F58"/>
    <w:rsid w:val="00EC7810"/>
    <w:rsid w:val="00EE2C32"/>
    <w:rsid w:val="00EE58CB"/>
    <w:rsid w:val="00EF50F6"/>
    <w:rsid w:val="00F018B4"/>
    <w:rsid w:val="00F04221"/>
    <w:rsid w:val="00F110C2"/>
    <w:rsid w:val="00F1143D"/>
    <w:rsid w:val="00F24D14"/>
    <w:rsid w:val="00F25EFB"/>
    <w:rsid w:val="00F4131C"/>
    <w:rsid w:val="00F772A2"/>
    <w:rsid w:val="00F83483"/>
    <w:rsid w:val="00F945A8"/>
    <w:rsid w:val="00FA0C8C"/>
    <w:rsid w:val="00FE6101"/>
    <w:rsid w:val="00FF7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A0202"/>
  <w15:docId w15:val="{2167D76B-B5DD-423D-907F-6F0EDFE7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6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3F5"/>
    <w:pPr>
      <w:ind w:left="720"/>
      <w:contextualSpacing/>
    </w:pPr>
  </w:style>
  <w:style w:type="character" w:styleId="Hyperlink">
    <w:name w:val="Hyperlink"/>
    <w:basedOn w:val="DefaultParagraphFont"/>
    <w:uiPriority w:val="99"/>
    <w:unhideWhenUsed/>
    <w:rsid w:val="00BB5D10"/>
    <w:rPr>
      <w:color w:val="0563C1" w:themeColor="hyperlink"/>
      <w:u w:val="single"/>
    </w:rPr>
  </w:style>
  <w:style w:type="character" w:customStyle="1" w:styleId="UnresolvedMention1">
    <w:name w:val="Unresolved Mention1"/>
    <w:basedOn w:val="DefaultParagraphFont"/>
    <w:uiPriority w:val="99"/>
    <w:semiHidden/>
    <w:unhideWhenUsed/>
    <w:rsid w:val="00BB5D10"/>
    <w:rPr>
      <w:color w:val="605E5C"/>
      <w:shd w:val="clear" w:color="auto" w:fill="E1DFDD"/>
    </w:rPr>
  </w:style>
  <w:style w:type="paragraph" w:styleId="Header">
    <w:name w:val="header"/>
    <w:basedOn w:val="Normal"/>
    <w:link w:val="HeaderChar"/>
    <w:uiPriority w:val="99"/>
    <w:unhideWhenUsed/>
    <w:rsid w:val="0059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E26"/>
  </w:style>
  <w:style w:type="paragraph" w:styleId="Footer">
    <w:name w:val="footer"/>
    <w:basedOn w:val="Normal"/>
    <w:link w:val="FooterChar"/>
    <w:uiPriority w:val="99"/>
    <w:unhideWhenUsed/>
    <w:rsid w:val="0059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E26"/>
  </w:style>
  <w:style w:type="table" w:styleId="TableGrid">
    <w:name w:val="Table Grid"/>
    <w:basedOn w:val="TableNormal"/>
    <w:uiPriority w:val="39"/>
    <w:rsid w:val="00DD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124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390827"/>
    <w:pPr>
      <w:autoSpaceDE w:val="0"/>
      <w:autoSpaceDN w:val="0"/>
      <w:adjustRightInd w:val="0"/>
      <w:spacing w:after="0" w:line="240" w:lineRule="auto"/>
    </w:pPr>
    <w:rPr>
      <w:rFonts w:ascii="Myriad Pro" w:hAnsi="Myriad Pro" w:cs="Myriad Pro"/>
      <w:color w:val="000000"/>
      <w:sz w:val="24"/>
      <w:szCs w:val="24"/>
    </w:rPr>
  </w:style>
  <w:style w:type="character" w:customStyle="1" w:styleId="relative">
    <w:name w:val="relative"/>
    <w:basedOn w:val="DefaultParagraphFont"/>
    <w:rsid w:val="00A144FF"/>
  </w:style>
  <w:style w:type="paragraph" w:styleId="BalloonText">
    <w:name w:val="Balloon Text"/>
    <w:basedOn w:val="Normal"/>
    <w:link w:val="BalloonTextChar"/>
    <w:uiPriority w:val="99"/>
    <w:semiHidden/>
    <w:unhideWhenUsed/>
    <w:rsid w:val="0013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A5"/>
    <w:rPr>
      <w:rFonts w:ascii="Tahoma" w:hAnsi="Tahoma" w:cs="Tahoma"/>
      <w:sz w:val="16"/>
      <w:szCs w:val="16"/>
    </w:rPr>
  </w:style>
  <w:style w:type="character" w:customStyle="1" w:styleId="UnresolvedMention2">
    <w:name w:val="Unresolved Mention2"/>
    <w:basedOn w:val="DefaultParagraphFont"/>
    <w:uiPriority w:val="99"/>
    <w:semiHidden/>
    <w:unhideWhenUsed/>
    <w:rsid w:val="006F0673"/>
    <w:rPr>
      <w:color w:val="605E5C"/>
      <w:shd w:val="clear" w:color="auto" w:fill="E1DFDD"/>
    </w:rPr>
  </w:style>
  <w:style w:type="character" w:styleId="Emphasis">
    <w:name w:val="Emphasis"/>
    <w:basedOn w:val="DefaultParagraphFont"/>
    <w:uiPriority w:val="20"/>
    <w:qFormat/>
    <w:rsid w:val="00762363"/>
    <w:rPr>
      <w:i/>
      <w:iCs/>
    </w:rPr>
  </w:style>
  <w:style w:type="character" w:styleId="UnresolvedMention">
    <w:name w:val="Unresolved Mention"/>
    <w:basedOn w:val="DefaultParagraphFont"/>
    <w:uiPriority w:val="99"/>
    <w:semiHidden/>
    <w:unhideWhenUsed/>
    <w:rsid w:val="00F110C2"/>
    <w:rPr>
      <w:color w:val="605E5C"/>
      <w:shd w:val="clear" w:color="auto" w:fill="E1DFDD"/>
    </w:rPr>
  </w:style>
  <w:style w:type="character" w:styleId="Strong">
    <w:name w:val="Strong"/>
    <w:basedOn w:val="DefaultParagraphFont"/>
    <w:uiPriority w:val="22"/>
    <w:qFormat/>
    <w:rsid w:val="00804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0561">
      <w:bodyDiv w:val="1"/>
      <w:marLeft w:val="0"/>
      <w:marRight w:val="0"/>
      <w:marTop w:val="0"/>
      <w:marBottom w:val="0"/>
      <w:divBdr>
        <w:top w:val="none" w:sz="0" w:space="0" w:color="auto"/>
        <w:left w:val="none" w:sz="0" w:space="0" w:color="auto"/>
        <w:bottom w:val="none" w:sz="0" w:space="0" w:color="auto"/>
        <w:right w:val="none" w:sz="0" w:space="0" w:color="auto"/>
      </w:divBdr>
    </w:div>
    <w:div w:id="453523907">
      <w:bodyDiv w:val="1"/>
      <w:marLeft w:val="0"/>
      <w:marRight w:val="0"/>
      <w:marTop w:val="0"/>
      <w:marBottom w:val="0"/>
      <w:divBdr>
        <w:top w:val="none" w:sz="0" w:space="0" w:color="auto"/>
        <w:left w:val="none" w:sz="0" w:space="0" w:color="auto"/>
        <w:bottom w:val="none" w:sz="0" w:space="0" w:color="auto"/>
        <w:right w:val="none" w:sz="0" w:space="0" w:color="auto"/>
      </w:divBdr>
    </w:div>
    <w:div w:id="502621580">
      <w:bodyDiv w:val="1"/>
      <w:marLeft w:val="0"/>
      <w:marRight w:val="0"/>
      <w:marTop w:val="0"/>
      <w:marBottom w:val="0"/>
      <w:divBdr>
        <w:top w:val="none" w:sz="0" w:space="0" w:color="auto"/>
        <w:left w:val="none" w:sz="0" w:space="0" w:color="auto"/>
        <w:bottom w:val="none" w:sz="0" w:space="0" w:color="auto"/>
        <w:right w:val="none" w:sz="0" w:space="0" w:color="auto"/>
      </w:divBdr>
    </w:div>
    <w:div w:id="823397243">
      <w:bodyDiv w:val="1"/>
      <w:marLeft w:val="0"/>
      <w:marRight w:val="0"/>
      <w:marTop w:val="0"/>
      <w:marBottom w:val="0"/>
      <w:divBdr>
        <w:top w:val="none" w:sz="0" w:space="0" w:color="auto"/>
        <w:left w:val="none" w:sz="0" w:space="0" w:color="auto"/>
        <w:bottom w:val="none" w:sz="0" w:space="0" w:color="auto"/>
        <w:right w:val="none" w:sz="0" w:space="0" w:color="auto"/>
      </w:divBdr>
    </w:div>
    <w:div w:id="825780233">
      <w:bodyDiv w:val="1"/>
      <w:marLeft w:val="0"/>
      <w:marRight w:val="0"/>
      <w:marTop w:val="0"/>
      <w:marBottom w:val="0"/>
      <w:divBdr>
        <w:top w:val="none" w:sz="0" w:space="0" w:color="auto"/>
        <w:left w:val="none" w:sz="0" w:space="0" w:color="auto"/>
        <w:bottom w:val="none" w:sz="0" w:space="0" w:color="auto"/>
        <w:right w:val="none" w:sz="0" w:space="0" w:color="auto"/>
      </w:divBdr>
    </w:div>
    <w:div w:id="1005325797">
      <w:bodyDiv w:val="1"/>
      <w:marLeft w:val="0"/>
      <w:marRight w:val="0"/>
      <w:marTop w:val="0"/>
      <w:marBottom w:val="0"/>
      <w:divBdr>
        <w:top w:val="none" w:sz="0" w:space="0" w:color="auto"/>
        <w:left w:val="none" w:sz="0" w:space="0" w:color="auto"/>
        <w:bottom w:val="none" w:sz="0" w:space="0" w:color="auto"/>
        <w:right w:val="none" w:sz="0" w:space="0" w:color="auto"/>
      </w:divBdr>
    </w:div>
    <w:div w:id="1330138369">
      <w:bodyDiv w:val="1"/>
      <w:marLeft w:val="0"/>
      <w:marRight w:val="0"/>
      <w:marTop w:val="0"/>
      <w:marBottom w:val="0"/>
      <w:divBdr>
        <w:top w:val="none" w:sz="0" w:space="0" w:color="auto"/>
        <w:left w:val="none" w:sz="0" w:space="0" w:color="auto"/>
        <w:bottom w:val="none" w:sz="0" w:space="0" w:color="auto"/>
        <w:right w:val="none" w:sz="0" w:space="0" w:color="auto"/>
      </w:divBdr>
    </w:div>
    <w:div w:id="1365642994">
      <w:bodyDiv w:val="1"/>
      <w:marLeft w:val="0"/>
      <w:marRight w:val="0"/>
      <w:marTop w:val="0"/>
      <w:marBottom w:val="0"/>
      <w:divBdr>
        <w:top w:val="none" w:sz="0" w:space="0" w:color="auto"/>
        <w:left w:val="none" w:sz="0" w:space="0" w:color="auto"/>
        <w:bottom w:val="none" w:sz="0" w:space="0" w:color="auto"/>
        <w:right w:val="none" w:sz="0" w:space="0" w:color="auto"/>
      </w:divBdr>
    </w:div>
    <w:div w:id="1370882461">
      <w:bodyDiv w:val="1"/>
      <w:marLeft w:val="0"/>
      <w:marRight w:val="0"/>
      <w:marTop w:val="0"/>
      <w:marBottom w:val="0"/>
      <w:divBdr>
        <w:top w:val="none" w:sz="0" w:space="0" w:color="auto"/>
        <w:left w:val="none" w:sz="0" w:space="0" w:color="auto"/>
        <w:bottom w:val="none" w:sz="0" w:space="0" w:color="auto"/>
        <w:right w:val="none" w:sz="0" w:space="0" w:color="auto"/>
      </w:divBdr>
    </w:div>
    <w:div w:id="1391415489">
      <w:bodyDiv w:val="1"/>
      <w:marLeft w:val="0"/>
      <w:marRight w:val="0"/>
      <w:marTop w:val="0"/>
      <w:marBottom w:val="0"/>
      <w:divBdr>
        <w:top w:val="none" w:sz="0" w:space="0" w:color="auto"/>
        <w:left w:val="none" w:sz="0" w:space="0" w:color="auto"/>
        <w:bottom w:val="none" w:sz="0" w:space="0" w:color="auto"/>
        <w:right w:val="none" w:sz="0" w:space="0" w:color="auto"/>
      </w:divBdr>
    </w:div>
    <w:div w:id="1502744352">
      <w:bodyDiv w:val="1"/>
      <w:marLeft w:val="0"/>
      <w:marRight w:val="0"/>
      <w:marTop w:val="0"/>
      <w:marBottom w:val="0"/>
      <w:divBdr>
        <w:top w:val="none" w:sz="0" w:space="0" w:color="auto"/>
        <w:left w:val="none" w:sz="0" w:space="0" w:color="auto"/>
        <w:bottom w:val="none" w:sz="0" w:space="0" w:color="auto"/>
        <w:right w:val="none" w:sz="0" w:space="0" w:color="auto"/>
      </w:divBdr>
    </w:div>
    <w:div w:id="1587153207">
      <w:bodyDiv w:val="1"/>
      <w:marLeft w:val="0"/>
      <w:marRight w:val="0"/>
      <w:marTop w:val="0"/>
      <w:marBottom w:val="0"/>
      <w:divBdr>
        <w:top w:val="none" w:sz="0" w:space="0" w:color="auto"/>
        <w:left w:val="none" w:sz="0" w:space="0" w:color="auto"/>
        <w:bottom w:val="none" w:sz="0" w:space="0" w:color="auto"/>
        <w:right w:val="none" w:sz="0" w:space="0" w:color="auto"/>
      </w:divBdr>
    </w:div>
    <w:div w:id="1590654521">
      <w:bodyDiv w:val="1"/>
      <w:marLeft w:val="0"/>
      <w:marRight w:val="0"/>
      <w:marTop w:val="0"/>
      <w:marBottom w:val="0"/>
      <w:divBdr>
        <w:top w:val="none" w:sz="0" w:space="0" w:color="auto"/>
        <w:left w:val="none" w:sz="0" w:space="0" w:color="auto"/>
        <w:bottom w:val="none" w:sz="0" w:space="0" w:color="auto"/>
        <w:right w:val="none" w:sz="0" w:space="0" w:color="auto"/>
      </w:divBdr>
    </w:div>
    <w:div w:id="1666588137">
      <w:bodyDiv w:val="1"/>
      <w:marLeft w:val="0"/>
      <w:marRight w:val="0"/>
      <w:marTop w:val="0"/>
      <w:marBottom w:val="0"/>
      <w:divBdr>
        <w:top w:val="none" w:sz="0" w:space="0" w:color="auto"/>
        <w:left w:val="none" w:sz="0" w:space="0" w:color="auto"/>
        <w:bottom w:val="none" w:sz="0" w:space="0" w:color="auto"/>
        <w:right w:val="none" w:sz="0" w:space="0" w:color="auto"/>
      </w:divBdr>
    </w:div>
    <w:div w:id="1686441859">
      <w:bodyDiv w:val="1"/>
      <w:marLeft w:val="0"/>
      <w:marRight w:val="0"/>
      <w:marTop w:val="0"/>
      <w:marBottom w:val="0"/>
      <w:divBdr>
        <w:top w:val="none" w:sz="0" w:space="0" w:color="auto"/>
        <w:left w:val="none" w:sz="0" w:space="0" w:color="auto"/>
        <w:bottom w:val="none" w:sz="0" w:space="0" w:color="auto"/>
        <w:right w:val="none" w:sz="0" w:space="0" w:color="auto"/>
      </w:divBdr>
    </w:div>
    <w:div w:id="1780372435">
      <w:bodyDiv w:val="1"/>
      <w:marLeft w:val="0"/>
      <w:marRight w:val="0"/>
      <w:marTop w:val="0"/>
      <w:marBottom w:val="0"/>
      <w:divBdr>
        <w:top w:val="none" w:sz="0" w:space="0" w:color="auto"/>
        <w:left w:val="none" w:sz="0" w:space="0" w:color="auto"/>
        <w:bottom w:val="none" w:sz="0" w:space="0" w:color="auto"/>
        <w:right w:val="none" w:sz="0" w:space="0" w:color="auto"/>
      </w:divBdr>
    </w:div>
    <w:div w:id="1898130148">
      <w:bodyDiv w:val="1"/>
      <w:marLeft w:val="0"/>
      <w:marRight w:val="0"/>
      <w:marTop w:val="0"/>
      <w:marBottom w:val="0"/>
      <w:divBdr>
        <w:top w:val="none" w:sz="0" w:space="0" w:color="auto"/>
        <w:left w:val="none" w:sz="0" w:space="0" w:color="auto"/>
        <w:bottom w:val="none" w:sz="0" w:space="0" w:color="auto"/>
        <w:right w:val="none" w:sz="0" w:space="0" w:color="auto"/>
      </w:divBdr>
      <w:divsChild>
        <w:div w:id="1842890720">
          <w:marLeft w:val="0"/>
          <w:marRight w:val="0"/>
          <w:marTop w:val="0"/>
          <w:marBottom w:val="0"/>
          <w:divBdr>
            <w:top w:val="none" w:sz="0" w:space="0" w:color="auto"/>
            <w:left w:val="none" w:sz="0" w:space="0" w:color="auto"/>
            <w:bottom w:val="none" w:sz="0" w:space="0" w:color="auto"/>
            <w:right w:val="none" w:sz="0" w:space="0" w:color="auto"/>
          </w:divBdr>
          <w:divsChild>
            <w:div w:id="938753161">
              <w:marLeft w:val="0"/>
              <w:marRight w:val="0"/>
              <w:marTop w:val="0"/>
              <w:marBottom w:val="0"/>
              <w:divBdr>
                <w:top w:val="none" w:sz="0" w:space="0" w:color="auto"/>
                <w:left w:val="none" w:sz="0" w:space="0" w:color="auto"/>
                <w:bottom w:val="none" w:sz="0" w:space="0" w:color="auto"/>
                <w:right w:val="none" w:sz="0" w:space="0" w:color="auto"/>
              </w:divBdr>
              <w:divsChild>
                <w:div w:id="707682636">
                  <w:marLeft w:val="0"/>
                  <w:marRight w:val="0"/>
                  <w:marTop w:val="0"/>
                  <w:marBottom w:val="0"/>
                  <w:divBdr>
                    <w:top w:val="none" w:sz="0" w:space="0" w:color="auto"/>
                    <w:left w:val="none" w:sz="0" w:space="0" w:color="auto"/>
                    <w:bottom w:val="none" w:sz="0" w:space="0" w:color="auto"/>
                    <w:right w:val="none" w:sz="0" w:space="0" w:color="auto"/>
                  </w:divBdr>
                  <w:divsChild>
                    <w:div w:id="813253628">
                      <w:marLeft w:val="0"/>
                      <w:marRight w:val="0"/>
                      <w:marTop w:val="0"/>
                      <w:marBottom w:val="0"/>
                      <w:divBdr>
                        <w:top w:val="none" w:sz="0" w:space="0" w:color="auto"/>
                        <w:left w:val="none" w:sz="0" w:space="0" w:color="auto"/>
                        <w:bottom w:val="none" w:sz="0" w:space="0" w:color="auto"/>
                        <w:right w:val="none" w:sz="0" w:space="0" w:color="auto"/>
                      </w:divBdr>
                      <w:divsChild>
                        <w:div w:id="1537963654">
                          <w:marLeft w:val="0"/>
                          <w:marRight w:val="0"/>
                          <w:marTop w:val="0"/>
                          <w:marBottom w:val="0"/>
                          <w:divBdr>
                            <w:top w:val="none" w:sz="0" w:space="0" w:color="auto"/>
                            <w:left w:val="none" w:sz="0" w:space="0" w:color="auto"/>
                            <w:bottom w:val="none" w:sz="0" w:space="0" w:color="auto"/>
                            <w:right w:val="none" w:sz="0" w:space="0" w:color="auto"/>
                          </w:divBdr>
                          <w:divsChild>
                            <w:div w:id="13815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91586">
      <w:bodyDiv w:val="1"/>
      <w:marLeft w:val="0"/>
      <w:marRight w:val="0"/>
      <w:marTop w:val="0"/>
      <w:marBottom w:val="0"/>
      <w:divBdr>
        <w:top w:val="none" w:sz="0" w:space="0" w:color="auto"/>
        <w:left w:val="none" w:sz="0" w:space="0" w:color="auto"/>
        <w:bottom w:val="none" w:sz="0" w:space="0" w:color="auto"/>
        <w:right w:val="none" w:sz="0" w:space="0" w:color="auto"/>
      </w:divBdr>
    </w:div>
    <w:div w:id="1988969727">
      <w:bodyDiv w:val="1"/>
      <w:marLeft w:val="0"/>
      <w:marRight w:val="0"/>
      <w:marTop w:val="0"/>
      <w:marBottom w:val="0"/>
      <w:divBdr>
        <w:top w:val="none" w:sz="0" w:space="0" w:color="auto"/>
        <w:left w:val="none" w:sz="0" w:space="0" w:color="auto"/>
        <w:bottom w:val="none" w:sz="0" w:space="0" w:color="auto"/>
        <w:right w:val="none" w:sz="0" w:space="0" w:color="auto"/>
      </w:divBdr>
    </w:div>
    <w:div w:id="20601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249-4863.154627" TargetMode="External"/><Relationship Id="rId13" Type="http://schemas.openxmlformats.org/officeDocument/2006/relationships/hyperlink" Target="https://doi.org/10.1016/j.ijgo.2010.10.010" TargetMode="External"/><Relationship Id="rId18" Type="http://schemas.openxmlformats.org/officeDocument/2006/relationships/hyperlink" Target="https://data.worldbank.org/indicator/SL.TLF.TOTL.FE.Z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80/03630242.2017.1342740" TargetMode="External"/><Relationship Id="rId17" Type="http://schemas.openxmlformats.org/officeDocument/2006/relationships/hyperlink" Target="https://www.worldbank.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6549716.2021.192031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0/747935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939-016-0379-8" TargetMode="External"/><Relationship Id="rId23" Type="http://schemas.openxmlformats.org/officeDocument/2006/relationships/header" Target="header3.xml"/><Relationship Id="rId10" Type="http://schemas.openxmlformats.org/officeDocument/2006/relationships/hyperlink" Target="https://doi.org/10.1080/26410397.2021.191161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med.1002803" TargetMode="External"/><Relationship Id="rId14" Type="http://schemas.openxmlformats.org/officeDocument/2006/relationships/hyperlink" Target="https://doi.org/10.3390/ijerph18041951"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tx1"/>
                </a:solidFill>
              </a:rPr>
              <a:t>Fig .1 MENSTRUAL HYGIENE</a:t>
            </a:r>
            <a:r>
              <a:rPr lang="en-IN" baseline="0">
                <a:solidFill>
                  <a:schemeClr val="tx1"/>
                </a:solidFill>
              </a:rPr>
              <a:t> PRACTICES</a:t>
            </a:r>
            <a:endParaRPr lang="en-IN">
              <a:solidFill>
                <a:schemeClr val="tx1"/>
              </a:solidFill>
            </a:endParaRPr>
          </a:p>
        </c:rich>
      </c:tx>
      <c:overlay val="0"/>
      <c:spPr>
        <a:noFill/>
        <a:ln>
          <a:noFill/>
        </a:ln>
        <a:effectLst/>
      </c:spPr>
    </c:title>
    <c:autoTitleDeleted val="0"/>
    <c:plotArea>
      <c:layout/>
      <c:lineChart>
        <c:grouping val="standard"/>
        <c:varyColors val="0"/>
        <c:ser>
          <c:idx val="0"/>
          <c:order val="0"/>
          <c:tx>
            <c:strRef>
              <c:f>Sheet1!$B$1</c:f>
              <c:strCache>
                <c:ptCount val="1"/>
                <c:pt idx="0">
                  <c:v>CLOTH</c:v>
                </c:pt>
              </c:strCache>
            </c:strRef>
          </c:tx>
          <c:spPr>
            <a:ln w="28575" cap="rnd">
              <a:solidFill>
                <a:schemeClr val="accent1"/>
              </a:solidFill>
              <a:round/>
            </a:ln>
            <a:effectLst/>
          </c:spPr>
          <c:marker>
            <c:symbol val="none"/>
          </c:marker>
          <c:cat>
            <c:strRef>
              <c:f>Sheet1!$A$2:$A$5</c:f>
              <c:strCache>
                <c:ptCount val="4"/>
                <c:pt idx="0">
                  <c:v>BIHAR</c:v>
                </c:pt>
                <c:pt idx="1">
                  <c:v>JHARKHAND</c:v>
                </c:pt>
                <c:pt idx="2">
                  <c:v>ORISSA</c:v>
                </c:pt>
                <c:pt idx="3">
                  <c:v>WEST BENGAL</c:v>
                </c:pt>
              </c:strCache>
            </c:strRef>
          </c:cat>
          <c:val>
            <c:numRef>
              <c:f>Sheet1!$B$2:$B$5</c:f>
              <c:numCache>
                <c:formatCode>General</c:formatCode>
                <c:ptCount val="4"/>
                <c:pt idx="0">
                  <c:v>67.5</c:v>
                </c:pt>
                <c:pt idx="1">
                  <c:v>56.5</c:v>
                </c:pt>
                <c:pt idx="2">
                  <c:v>42.8</c:v>
                </c:pt>
                <c:pt idx="3">
                  <c:v>42.8</c:v>
                </c:pt>
              </c:numCache>
            </c:numRef>
          </c:val>
          <c:smooth val="0"/>
          <c:extLst>
            <c:ext xmlns:c16="http://schemas.microsoft.com/office/drawing/2014/chart" uri="{C3380CC4-5D6E-409C-BE32-E72D297353CC}">
              <c16:uniqueId val="{00000000-8E18-4D0E-A421-A27B857D297D}"/>
            </c:ext>
          </c:extLst>
        </c:ser>
        <c:ser>
          <c:idx val="1"/>
          <c:order val="1"/>
          <c:tx>
            <c:strRef>
              <c:f>Sheet1!$C$1</c:f>
              <c:strCache>
                <c:ptCount val="1"/>
                <c:pt idx="0">
                  <c:v>LOCALLY PREPARED NAPKINS</c:v>
                </c:pt>
              </c:strCache>
            </c:strRef>
          </c:tx>
          <c:spPr>
            <a:ln w="28575" cap="rnd">
              <a:solidFill>
                <a:schemeClr val="accent2"/>
              </a:solidFill>
              <a:round/>
            </a:ln>
            <a:effectLst/>
          </c:spPr>
          <c:marker>
            <c:symbol val="none"/>
          </c:marker>
          <c:cat>
            <c:strRef>
              <c:f>Sheet1!$A$2:$A$5</c:f>
              <c:strCache>
                <c:ptCount val="4"/>
                <c:pt idx="0">
                  <c:v>BIHAR</c:v>
                </c:pt>
                <c:pt idx="1">
                  <c:v>JHARKHAND</c:v>
                </c:pt>
                <c:pt idx="2">
                  <c:v>ORISSA</c:v>
                </c:pt>
                <c:pt idx="3">
                  <c:v>WEST BENGAL</c:v>
                </c:pt>
              </c:strCache>
            </c:strRef>
          </c:cat>
          <c:val>
            <c:numRef>
              <c:f>Sheet1!$C$2:$C$5</c:f>
              <c:numCache>
                <c:formatCode>General</c:formatCode>
                <c:ptCount val="4"/>
                <c:pt idx="0">
                  <c:v>17.3</c:v>
                </c:pt>
                <c:pt idx="1">
                  <c:v>21.9</c:v>
                </c:pt>
                <c:pt idx="2">
                  <c:v>16.399999999999999</c:v>
                </c:pt>
                <c:pt idx="3">
                  <c:v>5</c:v>
                </c:pt>
              </c:numCache>
            </c:numRef>
          </c:val>
          <c:smooth val="0"/>
          <c:extLst>
            <c:ext xmlns:c16="http://schemas.microsoft.com/office/drawing/2014/chart" uri="{C3380CC4-5D6E-409C-BE32-E72D297353CC}">
              <c16:uniqueId val="{00000001-8E18-4D0E-A421-A27B857D297D}"/>
            </c:ext>
          </c:extLst>
        </c:ser>
        <c:ser>
          <c:idx val="2"/>
          <c:order val="2"/>
          <c:tx>
            <c:strRef>
              <c:f>Sheet1!$D$1</c:f>
              <c:strCache>
                <c:ptCount val="1"/>
                <c:pt idx="0">
                  <c:v>SANITARY NAPKINS</c:v>
                </c:pt>
              </c:strCache>
            </c:strRef>
          </c:tx>
          <c:spPr>
            <a:ln w="28575" cap="rnd">
              <a:solidFill>
                <a:schemeClr val="accent3"/>
              </a:solidFill>
              <a:round/>
            </a:ln>
            <a:effectLst/>
          </c:spPr>
          <c:marker>
            <c:symbol val="none"/>
          </c:marker>
          <c:cat>
            <c:strRef>
              <c:f>Sheet1!$A$2:$A$5</c:f>
              <c:strCache>
                <c:ptCount val="4"/>
                <c:pt idx="0">
                  <c:v>BIHAR</c:v>
                </c:pt>
                <c:pt idx="1">
                  <c:v>JHARKHAND</c:v>
                </c:pt>
                <c:pt idx="2">
                  <c:v>ORISSA</c:v>
                </c:pt>
                <c:pt idx="3">
                  <c:v>WEST BENGAL</c:v>
                </c:pt>
              </c:strCache>
            </c:strRef>
          </c:cat>
          <c:val>
            <c:numRef>
              <c:f>Sheet1!$D$2:$D$5</c:f>
              <c:numCache>
                <c:formatCode>General</c:formatCode>
                <c:ptCount val="4"/>
                <c:pt idx="0">
                  <c:v>42.2</c:v>
                </c:pt>
                <c:pt idx="1">
                  <c:v>52.1</c:v>
                </c:pt>
                <c:pt idx="2">
                  <c:v>68.400000000000006</c:v>
                </c:pt>
                <c:pt idx="3">
                  <c:v>77.400000000000006</c:v>
                </c:pt>
              </c:numCache>
            </c:numRef>
          </c:val>
          <c:smooth val="0"/>
          <c:extLst>
            <c:ext xmlns:c16="http://schemas.microsoft.com/office/drawing/2014/chart" uri="{C3380CC4-5D6E-409C-BE32-E72D297353CC}">
              <c16:uniqueId val="{00000002-8E18-4D0E-A421-A27B857D297D}"/>
            </c:ext>
          </c:extLst>
        </c:ser>
        <c:ser>
          <c:idx val="3"/>
          <c:order val="3"/>
          <c:tx>
            <c:strRef>
              <c:f>Sheet1!$E$1</c:f>
              <c:strCache>
                <c:ptCount val="1"/>
                <c:pt idx="0">
                  <c:v>TAMPONS</c:v>
                </c:pt>
              </c:strCache>
            </c:strRef>
          </c:tx>
          <c:spPr>
            <a:ln w="28575" cap="rnd">
              <a:solidFill>
                <a:schemeClr val="accent4"/>
              </a:solidFill>
              <a:round/>
            </a:ln>
            <a:effectLst/>
          </c:spPr>
          <c:marker>
            <c:symbol val="none"/>
          </c:marker>
          <c:cat>
            <c:strRef>
              <c:f>Sheet1!$A$2:$A$5</c:f>
              <c:strCache>
                <c:ptCount val="4"/>
                <c:pt idx="0">
                  <c:v>BIHAR</c:v>
                </c:pt>
                <c:pt idx="1">
                  <c:v>JHARKHAND</c:v>
                </c:pt>
                <c:pt idx="2">
                  <c:v>ORISSA</c:v>
                </c:pt>
                <c:pt idx="3">
                  <c:v>WEST BENGAL</c:v>
                </c:pt>
              </c:strCache>
            </c:strRef>
          </c:cat>
          <c:val>
            <c:numRef>
              <c:f>Sheet1!$E$2:$E$5</c:f>
              <c:numCache>
                <c:formatCode>General</c:formatCode>
                <c:ptCount val="4"/>
                <c:pt idx="0">
                  <c:v>1.5</c:v>
                </c:pt>
                <c:pt idx="1">
                  <c:v>2.8</c:v>
                </c:pt>
                <c:pt idx="2">
                  <c:v>1.1000000000000001</c:v>
                </c:pt>
                <c:pt idx="3">
                  <c:v>2.1</c:v>
                </c:pt>
              </c:numCache>
            </c:numRef>
          </c:val>
          <c:smooth val="0"/>
          <c:extLst>
            <c:ext xmlns:c16="http://schemas.microsoft.com/office/drawing/2014/chart" uri="{C3380CC4-5D6E-409C-BE32-E72D297353CC}">
              <c16:uniqueId val="{00000003-8E18-4D0E-A421-A27B857D297D}"/>
            </c:ext>
          </c:extLst>
        </c:ser>
        <c:ser>
          <c:idx val="4"/>
          <c:order val="4"/>
          <c:tx>
            <c:strRef>
              <c:f>Sheet1!$F$1</c:f>
              <c:strCache>
                <c:ptCount val="1"/>
                <c:pt idx="0">
                  <c:v>MENSTRUAL CUP</c:v>
                </c:pt>
              </c:strCache>
            </c:strRef>
          </c:tx>
          <c:spPr>
            <a:ln w="28575" cap="rnd">
              <a:solidFill>
                <a:schemeClr val="accent5"/>
              </a:solidFill>
              <a:round/>
            </a:ln>
            <a:effectLst/>
          </c:spPr>
          <c:marker>
            <c:symbol val="none"/>
          </c:marker>
          <c:cat>
            <c:strRef>
              <c:f>Sheet1!$A$2:$A$5</c:f>
              <c:strCache>
                <c:ptCount val="4"/>
                <c:pt idx="0">
                  <c:v>BIHAR</c:v>
                </c:pt>
                <c:pt idx="1">
                  <c:v>JHARKHAND</c:v>
                </c:pt>
                <c:pt idx="2">
                  <c:v>ORISSA</c:v>
                </c:pt>
                <c:pt idx="3">
                  <c:v>WEST BENGAL</c:v>
                </c:pt>
              </c:strCache>
            </c:strRef>
          </c:cat>
          <c:val>
            <c:numRef>
              <c:f>Sheet1!$F$2:$F$5</c:f>
              <c:numCache>
                <c:formatCode>General</c:formatCode>
                <c:ptCount val="4"/>
                <c:pt idx="0">
                  <c:v>0.1</c:v>
                </c:pt>
                <c:pt idx="1">
                  <c:v>0.6000000000000002</c:v>
                </c:pt>
                <c:pt idx="2">
                  <c:v>0</c:v>
                </c:pt>
                <c:pt idx="3">
                  <c:v>0.1</c:v>
                </c:pt>
              </c:numCache>
            </c:numRef>
          </c:val>
          <c:smooth val="0"/>
          <c:extLst>
            <c:ext xmlns:c16="http://schemas.microsoft.com/office/drawing/2014/chart" uri="{C3380CC4-5D6E-409C-BE32-E72D297353CC}">
              <c16:uniqueId val="{00000004-8E18-4D0E-A421-A27B857D297D}"/>
            </c:ext>
          </c:extLst>
        </c:ser>
        <c:ser>
          <c:idx val="5"/>
          <c:order val="5"/>
          <c:tx>
            <c:strRef>
              <c:f>Sheet1!$G$1</c:f>
              <c:strCache>
                <c:ptCount val="1"/>
                <c:pt idx="0">
                  <c:v>OTHER</c:v>
                </c:pt>
              </c:strCache>
            </c:strRef>
          </c:tx>
          <c:spPr>
            <a:ln w="28575" cap="rnd">
              <a:solidFill>
                <a:schemeClr val="accent6"/>
              </a:solidFill>
              <a:round/>
            </a:ln>
            <a:effectLst/>
          </c:spPr>
          <c:marker>
            <c:symbol val="none"/>
          </c:marker>
          <c:cat>
            <c:strRef>
              <c:f>Sheet1!$A$2:$A$5</c:f>
              <c:strCache>
                <c:ptCount val="4"/>
                <c:pt idx="0">
                  <c:v>BIHAR</c:v>
                </c:pt>
                <c:pt idx="1">
                  <c:v>JHARKHAND</c:v>
                </c:pt>
                <c:pt idx="2">
                  <c:v>ORISSA</c:v>
                </c:pt>
                <c:pt idx="3">
                  <c:v>WEST BENGAL</c:v>
                </c:pt>
              </c:strCache>
            </c:strRef>
          </c:cat>
          <c:val>
            <c:numRef>
              <c:f>Sheet1!$G$2:$G$5</c:f>
              <c:numCache>
                <c:formatCode>General</c:formatCode>
                <c:ptCount val="4"/>
                <c:pt idx="0">
                  <c:v>0.5</c:v>
                </c:pt>
                <c:pt idx="1">
                  <c:v>0.2</c:v>
                </c:pt>
                <c:pt idx="2">
                  <c:v>0</c:v>
                </c:pt>
                <c:pt idx="3">
                  <c:v>0</c:v>
                </c:pt>
              </c:numCache>
            </c:numRef>
          </c:val>
          <c:smooth val="0"/>
          <c:extLst>
            <c:ext xmlns:c16="http://schemas.microsoft.com/office/drawing/2014/chart" uri="{C3380CC4-5D6E-409C-BE32-E72D297353CC}">
              <c16:uniqueId val="{00000005-8E18-4D0E-A421-A27B857D297D}"/>
            </c:ext>
          </c:extLst>
        </c:ser>
        <c:dLbls>
          <c:showLegendKey val="0"/>
          <c:showVal val="0"/>
          <c:showCatName val="0"/>
          <c:showSerName val="0"/>
          <c:showPercent val="0"/>
          <c:showBubbleSize val="0"/>
        </c:dLbls>
        <c:smooth val="0"/>
        <c:axId val="87273856"/>
        <c:axId val="87275776"/>
      </c:lineChart>
      <c:catAx>
        <c:axId val="872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75776"/>
        <c:crosses val="autoZero"/>
        <c:auto val="1"/>
        <c:lblAlgn val="ctr"/>
        <c:lblOffset val="100"/>
        <c:noMultiLvlLbl val="0"/>
      </c:catAx>
      <c:valAx>
        <c:axId val="8727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27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14</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bwu</cp:lastModifiedBy>
  <cp:revision>33</cp:revision>
  <dcterms:created xsi:type="dcterms:W3CDTF">2025-05-09T07:36:00Z</dcterms:created>
  <dcterms:modified xsi:type="dcterms:W3CDTF">2025-05-16T10:54:00Z</dcterms:modified>
</cp:coreProperties>
</file>